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35430" w:rsidRDefault="00735430" w:rsidP="00735430">
      <w:pPr>
        <w:spacing w:line="360" w:lineRule="auto"/>
        <w:jc w:val="center"/>
        <w:rPr>
          <w:rFonts w:ascii="Times New Roman" w:eastAsia="Times New Roman" w:hAnsi="Times New Roman" w:cs="Times New Roman"/>
          <w:sz w:val="36"/>
          <w:szCs w:val="36"/>
        </w:rPr>
      </w:pPr>
    </w:p>
    <w:p w:rsidR="00735430" w:rsidRDefault="00735430" w:rsidP="00735430">
      <w:pPr>
        <w:spacing w:line="360" w:lineRule="auto"/>
        <w:jc w:val="center"/>
        <w:rPr>
          <w:rFonts w:ascii="Times New Roman" w:eastAsia="Times New Roman" w:hAnsi="Times New Roman" w:cs="Times New Roman"/>
          <w:sz w:val="36"/>
          <w:szCs w:val="36"/>
        </w:rPr>
      </w:pPr>
    </w:p>
    <w:p w:rsidR="00735430" w:rsidRPr="00735430" w:rsidRDefault="00735430" w:rsidP="00735430">
      <w:pPr>
        <w:spacing w:line="360" w:lineRule="auto"/>
        <w:jc w:val="center"/>
        <w:rPr>
          <w:rFonts w:ascii="Times New Roman" w:eastAsia="Times New Roman" w:hAnsi="Times New Roman" w:cs="Times New Roman"/>
          <w:sz w:val="36"/>
          <w:szCs w:val="36"/>
        </w:rPr>
      </w:pPr>
      <w:r w:rsidRPr="00735430">
        <w:rPr>
          <w:rFonts w:ascii="Times New Roman" w:eastAsia="Times New Roman" w:hAnsi="Times New Roman" w:cs="Times New Roman"/>
          <w:sz w:val="36"/>
          <w:szCs w:val="36"/>
        </w:rPr>
        <w:t xml:space="preserve">Supplementary </w:t>
      </w:r>
      <w:r>
        <w:rPr>
          <w:rFonts w:ascii="Times New Roman" w:eastAsia="Times New Roman" w:hAnsi="Times New Roman" w:cs="Times New Roman"/>
          <w:sz w:val="36"/>
          <w:szCs w:val="36"/>
        </w:rPr>
        <w:t>Information</w:t>
      </w:r>
      <w:r w:rsidRPr="00735430">
        <w:rPr>
          <w:rFonts w:ascii="Times New Roman" w:eastAsia="Times New Roman" w:hAnsi="Times New Roman" w:cs="Times New Roman"/>
          <w:sz w:val="36"/>
          <w:szCs w:val="36"/>
        </w:rPr>
        <w:t xml:space="preserve"> for</w:t>
      </w:r>
    </w:p>
    <w:p w:rsidR="00735430" w:rsidRPr="00735430" w:rsidRDefault="00735430" w:rsidP="00735430">
      <w:pPr>
        <w:spacing w:line="360" w:lineRule="auto"/>
        <w:rPr>
          <w:rFonts w:ascii="Times New Roman" w:eastAsia="Times New Roman" w:hAnsi="Times New Roman" w:cs="Times New Roman"/>
        </w:rPr>
      </w:pPr>
    </w:p>
    <w:p w:rsidR="00735430" w:rsidRPr="00735430" w:rsidRDefault="00735430" w:rsidP="00735430">
      <w:pPr>
        <w:spacing w:line="360" w:lineRule="auto"/>
        <w:jc w:val="center"/>
        <w:rPr>
          <w:rFonts w:ascii="Times New Roman" w:eastAsia="Times New Roman" w:hAnsi="Times New Roman" w:cs="Times New Roman"/>
          <w:b/>
          <w:sz w:val="28"/>
          <w:szCs w:val="28"/>
        </w:rPr>
      </w:pPr>
      <w:r w:rsidRPr="009E4644">
        <w:rPr>
          <w:rFonts w:ascii="Times New Roman" w:hAnsi="Times New Roman" w:cs="Times New Roman"/>
          <w:b/>
          <w:color w:val="000000" w:themeColor="text1"/>
          <w:sz w:val="28"/>
          <w:szCs w:val="28"/>
        </w:rPr>
        <w:t>Empirical estimates of regional carbon budgets imply reduced global soil heterotrophic respiration</w:t>
      </w:r>
    </w:p>
    <w:p w:rsidR="00735430" w:rsidRPr="00735430" w:rsidRDefault="00735430" w:rsidP="00735430">
      <w:pPr>
        <w:spacing w:line="360" w:lineRule="auto"/>
        <w:jc w:val="center"/>
        <w:rPr>
          <w:rFonts w:ascii="Times New Roman" w:eastAsia="Times New Roman" w:hAnsi="Times New Roman" w:cs="Times New Roman"/>
          <w:sz w:val="28"/>
          <w:szCs w:val="28"/>
        </w:rPr>
      </w:pPr>
    </w:p>
    <w:p w:rsidR="00735430" w:rsidRDefault="00735430" w:rsidP="00735430">
      <w:pPr>
        <w:spacing w:line="360" w:lineRule="auto"/>
        <w:jc w:val="center"/>
        <w:rPr>
          <w:rFonts w:ascii="Times New Roman" w:hAnsi="Times New Roman" w:cs="Times New Roman"/>
          <w:noProof/>
          <w:color w:val="000000" w:themeColor="text1"/>
        </w:rPr>
      </w:pPr>
      <w:r w:rsidRPr="009E4644">
        <w:rPr>
          <w:rFonts w:ascii="Times New Roman" w:hAnsi="Times New Roman" w:cs="Times New Roman"/>
          <w:noProof/>
          <w:color w:val="000000" w:themeColor="text1"/>
        </w:rPr>
        <w:t>Philippe Ciais</w:t>
      </w:r>
      <w:r>
        <w:rPr>
          <w:rFonts w:ascii="Times New Roman" w:hAnsi="Times New Roman" w:cs="Times New Roman"/>
          <w:noProof/>
          <w:color w:val="000000" w:themeColor="text1"/>
          <w:vertAlign w:val="superscript"/>
        </w:rPr>
        <w:t>*</w:t>
      </w:r>
      <w:r w:rsidRPr="009E4644">
        <w:rPr>
          <w:rFonts w:ascii="Times New Roman" w:hAnsi="Times New Roman" w:cs="Times New Roman"/>
          <w:noProof/>
          <w:color w:val="000000" w:themeColor="text1"/>
        </w:rPr>
        <w:t xml:space="preserve">, Yitong Yao, Thomas Gasser, Alessandro Baccini, Yilong Wang, </w:t>
      </w:r>
    </w:p>
    <w:p w:rsidR="00735430" w:rsidRDefault="00735430" w:rsidP="00735430">
      <w:pPr>
        <w:spacing w:line="360" w:lineRule="auto"/>
        <w:jc w:val="center"/>
        <w:rPr>
          <w:rFonts w:ascii="Times New Roman" w:hAnsi="Times New Roman" w:cs="Times New Roman"/>
          <w:noProof/>
          <w:color w:val="000000" w:themeColor="text1"/>
        </w:rPr>
      </w:pPr>
      <w:r w:rsidRPr="009E4644">
        <w:rPr>
          <w:rFonts w:ascii="Times New Roman" w:hAnsi="Times New Roman" w:cs="Times New Roman"/>
          <w:noProof/>
          <w:color w:val="000000" w:themeColor="text1"/>
        </w:rPr>
        <w:t xml:space="preserve">Ronny Lauerwald, Shushi Peng, Ana Bastos, Wei Li, Peter A. Raymond, Josep G. Canadell, Glen P. Peters, Rob J. Andres, Jinfeng Chang, Chao Yue, A. Johannes Dolman, </w:t>
      </w:r>
    </w:p>
    <w:p w:rsidR="00735430" w:rsidRDefault="00735430" w:rsidP="00735430">
      <w:pPr>
        <w:spacing w:line="360" w:lineRule="auto"/>
        <w:jc w:val="center"/>
        <w:rPr>
          <w:rFonts w:ascii="Times New Roman" w:hAnsi="Times New Roman" w:cs="Times New Roman"/>
          <w:noProof/>
          <w:color w:val="000000" w:themeColor="text1"/>
        </w:rPr>
      </w:pPr>
      <w:r w:rsidRPr="009E4644">
        <w:rPr>
          <w:rFonts w:ascii="Times New Roman" w:hAnsi="Times New Roman" w:cs="Times New Roman"/>
          <w:noProof/>
          <w:color w:val="000000" w:themeColor="text1"/>
        </w:rPr>
        <w:t xml:space="preserve">Vanessa Haverd, Jens Hartmann, Goulven Laruelle, Alexandra G. Konings, </w:t>
      </w:r>
    </w:p>
    <w:p w:rsidR="00735430" w:rsidRPr="001D7FE4" w:rsidRDefault="00735430" w:rsidP="00735430">
      <w:pPr>
        <w:spacing w:line="360" w:lineRule="auto"/>
        <w:jc w:val="center"/>
        <w:rPr>
          <w:rFonts w:ascii="Times New Roman" w:hAnsi="Times New Roman" w:cs="Times New Roman"/>
          <w:noProof/>
          <w:color w:val="000000" w:themeColor="text1"/>
          <w:lang w:val="fr-FR"/>
        </w:rPr>
      </w:pPr>
      <w:r w:rsidRPr="00735430">
        <w:rPr>
          <w:rFonts w:ascii="Times New Roman" w:hAnsi="Times New Roman" w:cs="Times New Roman"/>
          <w:noProof/>
          <w:color w:val="000000" w:themeColor="text1"/>
          <w:lang w:val="fr-FR"/>
        </w:rPr>
        <w:t xml:space="preserve">Anthony W. King,  Yi Liu, Sebastiaan Luyssaert, Fabienne Maignan, Prabir K.  </w:t>
      </w:r>
      <w:r w:rsidRPr="001D7FE4">
        <w:rPr>
          <w:rFonts w:ascii="Times New Roman" w:hAnsi="Times New Roman" w:cs="Times New Roman"/>
          <w:noProof/>
          <w:color w:val="000000" w:themeColor="text1"/>
          <w:lang w:val="fr-FR"/>
        </w:rPr>
        <w:t xml:space="preserve">Patra, </w:t>
      </w:r>
    </w:p>
    <w:p w:rsidR="00735430" w:rsidRPr="001D7FE4" w:rsidRDefault="00735430" w:rsidP="00735430">
      <w:pPr>
        <w:spacing w:line="360" w:lineRule="auto"/>
        <w:jc w:val="center"/>
        <w:rPr>
          <w:rFonts w:ascii="Times New Roman" w:hAnsi="Times New Roman" w:cs="Times New Roman"/>
          <w:noProof/>
          <w:color w:val="000000" w:themeColor="text1"/>
          <w:lang w:val="fr-FR"/>
        </w:rPr>
      </w:pPr>
      <w:r w:rsidRPr="001D7FE4">
        <w:rPr>
          <w:rFonts w:ascii="Times New Roman" w:hAnsi="Times New Roman" w:cs="Times New Roman"/>
          <w:noProof/>
          <w:color w:val="000000" w:themeColor="text1"/>
          <w:lang w:val="fr-FR"/>
        </w:rPr>
        <w:t xml:space="preserve">Anna Peregon, Pierre Regnier, Julia Pongratz, Benjamin Poulter, Anatoly Shvidenko, Riccardo Valentini, Rong Wang, Grégoire Broquet, Yi Yin,  Jakob Zscheischler, </w:t>
      </w:r>
    </w:p>
    <w:p w:rsidR="00735430" w:rsidRPr="00735430" w:rsidRDefault="00735430" w:rsidP="00735430">
      <w:pPr>
        <w:spacing w:line="360" w:lineRule="auto"/>
        <w:jc w:val="center"/>
        <w:rPr>
          <w:rFonts w:ascii="Times New Roman" w:eastAsia="Times New Roman" w:hAnsi="Times New Roman" w:cs="Times New Roman"/>
        </w:rPr>
      </w:pPr>
      <w:r w:rsidRPr="009E4644">
        <w:rPr>
          <w:rFonts w:ascii="Times New Roman" w:hAnsi="Times New Roman" w:cs="Times New Roman"/>
          <w:noProof/>
          <w:color w:val="000000" w:themeColor="text1"/>
        </w:rPr>
        <w:t xml:space="preserve">Bertrand Guenet, Daniel S. Goll, Ashley-P. Ballantyne, </w:t>
      </w:r>
      <w:r w:rsidR="001D7FE4">
        <w:rPr>
          <w:rFonts w:ascii="Times New Roman" w:hAnsi="Times New Roman" w:cs="Times New Roman"/>
          <w:noProof/>
          <w:color w:val="000000" w:themeColor="text1"/>
        </w:rPr>
        <w:t>Hui Yang</w:t>
      </w:r>
      <w:bookmarkStart w:id="0" w:name="_GoBack"/>
      <w:bookmarkEnd w:id="0"/>
      <w:r w:rsidR="001D7FE4">
        <w:rPr>
          <w:rFonts w:ascii="Times New Roman" w:hAnsi="Times New Roman" w:cs="Times New Roman"/>
          <w:noProof/>
          <w:color w:val="000000" w:themeColor="text1"/>
        </w:rPr>
        <w:t>, Chunjing Qiu</w:t>
      </w:r>
      <w:r w:rsidR="001D7FE4">
        <w:rPr>
          <w:rFonts w:ascii="Times New Roman" w:hAnsi="Times New Roman" w:cs="Times New Roman"/>
          <w:noProof/>
          <w:color w:val="000000" w:themeColor="text1"/>
        </w:rPr>
        <w:t>,</w:t>
      </w:r>
      <w:r w:rsidR="001D7FE4" w:rsidRPr="009E4644">
        <w:rPr>
          <w:rFonts w:ascii="Times New Roman" w:hAnsi="Times New Roman" w:cs="Times New Roman"/>
          <w:noProof/>
          <w:color w:val="000000" w:themeColor="text1"/>
        </w:rPr>
        <w:t xml:space="preserve"> </w:t>
      </w:r>
      <w:r w:rsidRPr="009E4644">
        <w:rPr>
          <w:rFonts w:ascii="Times New Roman" w:hAnsi="Times New Roman" w:cs="Times New Roman"/>
          <w:noProof/>
          <w:color w:val="000000" w:themeColor="text1"/>
        </w:rPr>
        <w:t>Dan Zhu</w:t>
      </w:r>
    </w:p>
    <w:p w:rsidR="00735430" w:rsidRPr="00735430" w:rsidRDefault="00735430" w:rsidP="00735430">
      <w:pPr>
        <w:spacing w:line="360" w:lineRule="auto"/>
        <w:jc w:val="center"/>
        <w:rPr>
          <w:rFonts w:ascii="Times New Roman" w:eastAsia="Times New Roman" w:hAnsi="Times New Roman" w:cs="Times New Roman"/>
        </w:rPr>
      </w:pPr>
    </w:p>
    <w:p w:rsidR="00735430" w:rsidRPr="00735430" w:rsidRDefault="00735430" w:rsidP="00735430">
      <w:pPr>
        <w:spacing w:line="360" w:lineRule="auto"/>
        <w:rPr>
          <w:rFonts w:ascii="Times New Roman" w:eastAsia="Times New Roman" w:hAnsi="Times New Roman" w:cs="Times New Roman"/>
        </w:rPr>
      </w:pPr>
      <w:r>
        <w:rPr>
          <w:rFonts w:ascii="Times New Roman" w:eastAsia="Times New Roman" w:hAnsi="Times New Roman" w:cs="Times New Roman"/>
        </w:rPr>
        <w:t xml:space="preserve">*  </w:t>
      </w:r>
      <w:r w:rsidRPr="00735430">
        <w:rPr>
          <w:rFonts w:ascii="Times New Roman" w:eastAsia="Times New Roman" w:hAnsi="Times New Roman" w:cs="Times New Roman"/>
        </w:rPr>
        <w:t xml:space="preserve">Correspondence to: </w:t>
      </w:r>
      <w:hyperlink r:id="rId5" w:history="1">
        <w:r w:rsidRPr="00891E29">
          <w:rPr>
            <w:rStyle w:val="Hyperlink"/>
            <w:rFonts w:ascii="Times New Roman" w:hAnsi="Times New Roman" w:cs="Times New Roman"/>
            <w:noProof/>
          </w:rPr>
          <w:t>philippe.ciais@lsce.ipsl.fr</w:t>
        </w:r>
      </w:hyperlink>
    </w:p>
    <w:p w:rsidR="00735430" w:rsidRPr="00735430" w:rsidRDefault="00735430" w:rsidP="00735430">
      <w:pPr>
        <w:spacing w:line="360" w:lineRule="auto"/>
        <w:rPr>
          <w:rFonts w:ascii="Times New Roman" w:eastAsia="Times New Roman" w:hAnsi="Times New Roman" w:cs="Times New Roman"/>
        </w:rPr>
      </w:pPr>
    </w:p>
    <w:p w:rsidR="00735430" w:rsidRPr="00735430" w:rsidRDefault="00735430" w:rsidP="00735430">
      <w:pPr>
        <w:spacing w:line="360" w:lineRule="auto"/>
        <w:rPr>
          <w:rFonts w:ascii="Times New Roman" w:eastAsia="Times New Roman" w:hAnsi="Times New Roman" w:cs="Times New Roman"/>
          <w:b/>
        </w:rPr>
      </w:pPr>
    </w:p>
    <w:p w:rsidR="00735430" w:rsidRPr="00735430" w:rsidRDefault="00735430" w:rsidP="00735430">
      <w:pPr>
        <w:spacing w:line="360" w:lineRule="auto"/>
        <w:rPr>
          <w:rFonts w:ascii="Times New Roman" w:eastAsia="Times New Roman" w:hAnsi="Times New Roman" w:cs="Times New Roman"/>
          <w:b/>
        </w:rPr>
      </w:pPr>
      <w:r w:rsidRPr="00735430">
        <w:rPr>
          <w:rFonts w:ascii="Times New Roman" w:eastAsia="Times New Roman" w:hAnsi="Times New Roman" w:cs="Times New Roman"/>
          <w:b/>
        </w:rPr>
        <w:t>This file includes:</w:t>
      </w:r>
    </w:p>
    <w:p w:rsidR="00735430" w:rsidRPr="00735430" w:rsidRDefault="00735430" w:rsidP="00735430">
      <w:pPr>
        <w:spacing w:line="360" w:lineRule="auto"/>
        <w:ind w:left="720"/>
        <w:rPr>
          <w:rFonts w:ascii="Times New Roman" w:eastAsia="Times New Roman" w:hAnsi="Times New Roman" w:cs="Times New Roman"/>
        </w:rPr>
      </w:pPr>
      <w:r>
        <w:rPr>
          <w:rFonts w:ascii="Times New Roman" w:eastAsia="Times New Roman" w:hAnsi="Times New Roman" w:cs="Times New Roman"/>
        </w:rPr>
        <w:t xml:space="preserve">Supplementary </w:t>
      </w:r>
      <w:r w:rsidRPr="00735430">
        <w:rPr>
          <w:rFonts w:ascii="Times New Roman" w:eastAsia="Times New Roman" w:hAnsi="Times New Roman" w:cs="Times New Roman"/>
        </w:rPr>
        <w:t>Text 1</w:t>
      </w:r>
      <w:r>
        <w:rPr>
          <w:rFonts w:ascii="Times New Roman" w:eastAsia="Times New Roman" w:hAnsi="Times New Roman" w:cs="Times New Roman"/>
        </w:rPr>
        <w:t xml:space="preserve"> to 5</w:t>
      </w:r>
    </w:p>
    <w:p w:rsidR="00735430" w:rsidRPr="00735430" w:rsidRDefault="00735430" w:rsidP="00735430">
      <w:pPr>
        <w:spacing w:line="360" w:lineRule="auto"/>
        <w:ind w:left="720"/>
        <w:rPr>
          <w:rFonts w:ascii="Times New Roman" w:eastAsia="Times New Roman" w:hAnsi="Times New Roman" w:cs="Times New Roman"/>
        </w:rPr>
      </w:pPr>
      <w:r>
        <w:rPr>
          <w:rFonts w:ascii="Times New Roman" w:eastAsia="Times New Roman" w:hAnsi="Times New Roman" w:cs="Times New Roman"/>
        </w:rPr>
        <w:t>Supplementary Table</w:t>
      </w:r>
      <w:r w:rsidRPr="00735430">
        <w:rPr>
          <w:rFonts w:ascii="Times New Roman" w:eastAsia="Times New Roman" w:hAnsi="Times New Roman" w:cs="Times New Roman"/>
        </w:rPr>
        <w:t xml:space="preserve"> </w:t>
      </w:r>
      <w:r>
        <w:rPr>
          <w:rFonts w:ascii="Times New Roman" w:eastAsia="Times New Roman" w:hAnsi="Times New Roman" w:cs="Times New Roman"/>
        </w:rPr>
        <w:t>1</w:t>
      </w:r>
      <w:r w:rsidRPr="00735430">
        <w:rPr>
          <w:rFonts w:ascii="Times New Roman" w:eastAsia="Times New Roman" w:hAnsi="Times New Roman" w:cs="Times New Roman"/>
        </w:rPr>
        <w:t xml:space="preserve"> to </w:t>
      </w:r>
      <w:r>
        <w:rPr>
          <w:rFonts w:ascii="Times New Roman" w:eastAsia="Times New Roman" w:hAnsi="Times New Roman" w:cs="Times New Roman"/>
        </w:rPr>
        <w:t>6</w:t>
      </w:r>
    </w:p>
    <w:p w:rsidR="00735430" w:rsidRDefault="00735430" w:rsidP="00735430">
      <w:pPr>
        <w:spacing w:line="360" w:lineRule="auto"/>
        <w:ind w:firstLine="720"/>
        <w:rPr>
          <w:rFonts w:ascii="Times New Roman" w:eastAsia="Times New Roman" w:hAnsi="Times New Roman" w:cs="Times New Roman"/>
        </w:rPr>
      </w:pPr>
      <w:r>
        <w:rPr>
          <w:rFonts w:ascii="Times New Roman" w:eastAsia="Times New Roman" w:hAnsi="Times New Roman" w:cs="Times New Roman"/>
        </w:rPr>
        <w:t>Supplementary</w:t>
      </w:r>
      <w:r w:rsidRPr="00735430">
        <w:rPr>
          <w:rFonts w:ascii="Times New Roman" w:eastAsia="Times New Roman" w:hAnsi="Times New Roman" w:cs="Times New Roman"/>
        </w:rPr>
        <w:t xml:space="preserve"> </w:t>
      </w:r>
      <w:r>
        <w:rPr>
          <w:rFonts w:ascii="Times New Roman" w:eastAsia="Times New Roman" w:hAnsi="Times New Roman" w:cs="Times New Roman"/>
        </w:rPr>
        <w:t>Figure</w:t>
      </w:r>
      <w:r w:rsidRPr="00735430">
        <w:rPr>
          <w:rFonts w:ascii="Times New Roman" w:eastAsia="Times New Roman" w:hAnsi="Times New Roman" w:cs="Times New Roman"/>
        </w:rPr>
        <w:t xml:space="preserve"> 1 to </w:t>
      </w:r>
      <w:r>
        <w:rPr>
          <w:rFonts w:ascii="Times New Roman" w:eastAsia="Times New Roman" w:hAnsi="Times New Roman" w:cs="Times New Roman"/>
        </w:rPr>
        <w:t>9</w:t>
      </w:r>
    </w:p>
    <w:p w:rsidR="00735430" w:rsidRPr="00735430" w:rsidRDefault="00735430" w:rsidP="00735430">
      <w:pPr>
        <w:spacing w:line="360" w:lineRule="auto"/>
        <w:ind w:firstLine="720"/>
        <w:rPr>
          <w:rFonts w:ascii="Times New Roman" w:hAnsi="Times New Roman" w:cs="Times New Roman"/>
          <w:b/>
          <w:color w:val="000000" w:themeColor="text1"/>
        </w:rPr>
      </w:pPr>
      <w:r>
        <w:rPr>
          <w:rFonts w:ascii="Times New Roman" w:eastAsia="Times New Roman" w:hAnsi="Times New Roman" w:cs="Times New Roman"/>
        </w:rPr>
        <w:t>References</w:t>
      </w:r>
    </w:p>
    <w:p w:rsidR="00B170F7" w:rsidRDefault="00B170F7">
      <w:pPr>
        <w:rPr>
          <w:rFonts w:ascii="Times New Roman" w:hAnsi="Times New Roman" w:cs="Times New Roman"/>
          <w:b/>
          <w:color w:val="000000" w:themeColor="text1"/>
        </w:rPr>
      </w:pPr>
      <w:r>
        <w:rPr>
          <w:rFonts w:ascii="Times New Roman" w:hAnsi="Times New Roman" w:cs="Times New Roman"/>
          <w:b/>
          <w:color w:val="000000" w:themeColor="text1"/>
        </w:rPr>
        <w:br w:type="page"/>
      </w:r>
    </w:p>
    <w:p w:rsidR="00934FF7" w:rsidRPr="00DA354E" w:rsidRDefault="00934FF7" w:rsidP="00934FF7">
      <w:pPr>
        <w:rPr>
          <w:rFonts w:ascii="Times New Roman" w:hAnsi="Times New Roman" w:cs="Times New Roman"/>
          <w:b/>
          <w:color w:val="000000" w:themeColor="text1"/>
        </w:rPr>
      </w:pPr>
      <w:r w:rsidRPr="00DA354E">
        <w:rPr>
          <w:rFonts w:ascii="Times New Roman" w:hAnsi="Times New Roman" w:cs="Times New Roman"/>
          <w:b/>
          <w:color w:val="000000" w:themeColor="text1"/>
        </w:rPr>
        <w:lastRenderedPageBreak/>
        <w:t>Supplementary</w:t>
      </w:r>
      <w:r>
        <w:rPr>
          <w:rFonts w:ascii="Times New Roman" w:hAnsi="Times New Roman" w:cs="Times New Roman"/>
          <w:b/>
          <w:color w:val="000000" w:themeColor="text1"/>
        </w:rPr>
        <w:t xml:space="preserve"> Text 1. </w:t>
      </w:r>
      <w:r w:rsidRPr="00DA354E">
        <w:rPr>
          <w:rFonts w:ascii="Times New Roman" w:hAnsi="Times New Roman" w:cs="Times New Roman"/>
          <w:b/>
          <w:color w:val="000000" w:themeColor="text1"/>
        </w:rPr>
        <w:t>Plausible bias of regional NEE from ignoring soil C change in Tropical regions due to a lack of observations</w:t>
      </w:r>
    </w:p>
    <w:p w:rsidR="00934FF7" w:rsidRPr="00DA354E" w:rsidRDefault="00934FF7" w:rsidP="00934FF7">
      <w:pPr>
        <w:jc w:val="both"/>
        <w:rPr>
          <w:rFonts w:ascii="Times New Roman" w:hAnsi="Times New Roman" w:cs="Times New Roman"/>
          <w:color w:val="000000" w:themeColor="text1"/>
        </w:rPr>
      </w:pPr>
      <w:r w:rsidRPr="00DA354E">
        <w:rPr>
          <w:rFonts w:ascii="Times New Roman" w:hAnsi="Times New Roman" w:cs="Times New Roman"/>
          <w:color w:val="000000" w:themeColor="text1"/>
        </w:rPr>
        <w:t xml:space="preserve">There is a large uncertainty on soil C changes. Pan et al. </w:t>
      </w:r>
      <w:r>
        <w:rPr>
          <w:rFonts w:ascii="Times New Roman" w:hAnsi="Times New Roman" w:cs="Times New Roman"/>
          <w:color w:val="000000" w:themeColor="text1"/>
        </w:rPr>
        <w:t>[41]</w:t>
      </w:r>
      <w:r w:rsidRPr="00DA354E">
        <w:rPr>
          <w:rFonts w:ascii="Times New Roman" w:hAnsi="Times New Roman" w:cs="Times New Roman"/>
          <w:color w:val="000000" w:themeColor="text1"/>
        </w:rPr>
        <w:t xml:space="preserve"> analyzed forest C changes used models for SOC changes in absence of data. SOC changes are nevertheless generally smaller than biomass increments in managed tropical forests</w:t>
      </w:r>
      <w:r>
        <w:rPr>
          <w:rFonts w:ascii="Times New Roman" w:hAnsi="Times New Roman" w:cs="Times New Roman"/>
          <w:color w:val="000000" w:themeColor="text1"/>
        </w:rPr>
        <w:t xml:space="preserve"> [</w:t>
      </w:r>
      <w:r w:rsidRPr="004F279B">
        <w:rPr>
          <w:rFonts w:ascii="Times New Roman" w:hAnsi="Times New Roman" w:cs="Times New Roman"/>
          <w:color w:val="000000" w:themeColor="text1"/>
        </w:rPr>
        <w:fldChar w:fldCharType="begin" w:fldLock="1"/>
      </w:r>
      <w:r w:rsidRPr="004F279B">
        <w:rPr>
          <w:rFonts w:ascii="Times New Roman" w:hAnsi="Times New Roman" w:cs="Times New Roman"/>
          <w:color w:val="000000" w:themeColor="text1"/>
        </w:rPr>
        <w:instrText>ADDIN CSL_CITATION {"citationItems":[{"id":"ITEM-1","itemData":{"DOI":"10.1111/j.1466-8238.2012.00788.x","ISSN":"1466-822X","abstract":"Abstract Aim To analyse global patterns in soil carbon (C) in tropical successional and plantation forests based on climate, forest age, former land use and soil type to determine factors driving below-ground C storage. Location Pantropical. Methods We conducted a synthesis of 81 studies reporting soil C stocks in more than 400 reforested and tree plantation sites. We used regression models and regression tree analyses to determine the importance of multiple predictor variables on soil C stocks standardized to three common depth ranges: 0?10, 0?30 and 0?100?cm. Results Mean annual temperature (MAT) was the most important predictor of soil C. Forest age explained little to no variability in soil C, in contrast with above-ground studies. Data on long-term trends in soil C are limited, as median time since forest growth was 15 years. Soil C stocks were similar between tropical secondary forests, tree plantations and reference forests. Differences between plantation and successional forests only appeared below 10?cm on sites with MAT &lt; 21.3?°C. Former pastures and cultivated sites differed from each other only to depths of 30 or 100?cm. Climatic variables appeared multiple times across all layers of the regression trees, consistent with strong interactions between MAT and precipitation on soil C stocks. Main conclusions Climate explained greater variability in soil C in successional and plantation forests than former land use or forest age, despite the tropical location of all sites. Human management factors were more important for predicting soil C stocks in cooler and drier sites, while environmental variables were more important in hotter and wetter sites. The relative importance and interactions between soil type, previous land use and forest cover type differed with soil depth, highlighting the importance of comparing C across consistent depths. Climatic controls suggest sensitivity of soil C stocks in successional and plantation forests to future climate change.","author":[{"dropping-particle":"","family":"Marín-Spiotta","given":"Erika","non-dropping-particle":"","parse-names":false,"suffix":""},{"dropping-particle":"","family":"Sharma","given":"Sapna","non-dropping-particle":"","parse-names":false,"suffix":""}],"container-title":"Global Ecology and Biogeography","id":"ITEM-1","issue":"1","issued":{"date-parts":[["2013","1","1"]]},"note":"doi: 10.1111/j.1466-8238.2012.00788.x","page":"105-117","publisher":"John Wiley &amp; Sons, Ltd","title":"Carbon storage in successional and plantation forest soils: a tropical analysis","type":"article-journal","volume":"22"},"uris":["http://www.mendeley.com/documents/?uuid=2032b03e-839a-4bd5-b0a9-464211579807"]}],"mendeley":{"formattedCitation":"&lt;sup&gt;105&lt;/sup&gt;","plainTextFormattedCitation":"105","previouslyFormattedCitation":"&lt;sup&gt;105&lt;/sup&gt;"},"properties":{"noteIndex":0},"schema":"https://github.com/citation-style-language/schema/raw/master/csl-citation.json"}</w:instrText>
      </w:r>
      <w:r w:rsidRPr="004F279B">
        <w:rPr>
          <w:rFonts w:ascii="Times New Roman" w:hAnsi="Times New Roman" w:cs="Times New Roman"/>
          <w:color w:val="000000" w:themeColor="text1"/>
        </w:rPr>
        <w:fldChar w:fldCharType="separate"/>
      </w:r>
      <w:r w:rsidRPr="004F279B">
        <w:rPr>
          <w:rFonts w:ascii="Times New Roman" w:hAnsi="Times New Roman" w:cs="Times New Roman"/>
          <w:noProof/>
          <w:color w:val="000000" w:themeColor="text1"/>
        </w:rPr>
        <w:t>105</w:t>
      </w:r>
      <w:r w:rsidRPr="004F279B">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Pr="00DA354E">
        <w:rPr>
          <w:rFonts w:ascii="Times New Roman" w:hAnsi="Times New Roman" w:cs="Times New Roman"/>
          <w:color w:val="000000" w:themeColor="text1"/>
        </w:rPr>
        <w:t>. No long term tropical SOC changes inventory is available to our knowledge in intact tropical forests.</w:t>
      </w:r>
    </w:p>
    <w:p w:rsidR="00934FF7" w:rsidRPr="00DA354E" w:rsidRDefault="00934FF7" w:rsidP="00934FF7">
      <w:pPr>
        <w:jc w:val="both"/>
        <w:rPr>
          <w:rFonts w:ascii="Times New Roman" w:hAnsi="Times New Roman" w:cs="Times New Roman"/>
          <w:color w:val="000000" w:themeColor="text1"/>
        </w:rPr>
      </w:pPr>
    </w:p>
    <w:p w:rsidR="00934FF7" w:rsidRDefault="00934FF7" w:rsidP="00934FF7">
      <w:pPr>
        <w:jc w:val="both"/>
        <w:rPr>
          <w:rFonts w:ascii="Times New Roman" w:hAnsi="Times New Roman" w:cs="Times New Roman"/>
          <w:color w:val="000000" w:themeColor="text1"/>
        </w:rPr>
      </w:pPr>
      <w:r w:rsidRPr="00DA354E">
        <w:rPr>
          <w:rFonts w:ascii="Times New Roman" w:hAnsi="Times New Roman" w:cs="Times New Roman"/>
          <w:color w:val="000000" w:themeColor="text1"/>
        </w:rPr>
        <w:t>We can only get a rough estimate of the SOC change contribution to ∆C from models. We looked at the TRENDY v6 DGVM models for SOC changes in the 4 tropical regions and found a) that some TRENDY models are clearly unrealistic with a ratio of SOC change to total carbon change (∆C) of up to 7. When excluding models being 2-sigma outliers in the ensemble for this ratio, the median ensemble values of SOC change to total C change (∆C) during 2000-2009 (</w:t>
      </w:r>
      <w:r>
        <w:rPr>
          <w:rFonts w:ascii="Times New Roman" w:hAnsi="Times New Roman" w:cs="Times New Roman"/>
          <w:color w:val="000000" w:themeColor="text1"/>
        </w:rPr>
        <w:t xml:space="preserve">Supplementary </w:t>
      </w:r>
      <w:r w:rsidRPr="00DA354E">
        <w:rPr>
          <w:rFonts w:ascii="Times New Roman" w:hAnsi="Times New Roman" w:cs="Times New Roman"/>
          <w:color w:val="000000" w:themeColor="text1"/>
        </w:rPr>
        <w:t xml:space="preserve">Table </w:t>
      </w:r>
      <w:r>
        <w:rPr>
          <w:rFonts w:ascii="Times New Roman" w:hAnsi="Times New Roman" w:cs="Times New Roman"/>
          <w:color w:val="000000" w:themeColor="text1"/>
        </w:rPr>
        <w:t>2</w:t>
      </w:r>
      <w:r w:rsidRPr="00DA354E">
        <w:rPr>
          <w:rFonts w:ascii="Times New Roman" w:hAnsi="Times New Roman" w:cs="Times New Roman"/>
          <w:color w:val="000000" w:themeColor="text1"/>
        </w:rPr>
        <w:t>) ranges from 13% in S.E. Asia up to 40% in South Asia, with an average of 27%. This gives a rough indication of the omission error in ∆C in our study due to ignoring (non-measured) SOC changes. This error stays within the range of the uncertainty we derived for regional ∆C.</w:t>
      </w:r>
    </w:p>
    <w:p w:rsidR="00934FF7" w:rsidRDefault="00934FF7" w:rsidP="00934FF7">
      <w:pPr>
        <w:jc w:val="both"/>
        <w:rPr>
          <w:rFonts w:ascii="Times New Roman" w:hAnsi="Times New Roman" w:cs="Times New Roman"/>
          <w:color w:val="000000" w:themeColor="text1"/>
        </w:rPr>
      </w:pPr>
    </w:p>
    <w:p w:rsidR="00934FF7" w:rsidRPr="00DA354E" w:rsidRDefault="00934FF7" w:rsidP="00934FF7">
      <w:pPr>
        <w:rPr>
          <w:rFonts w:ascii="Times New Roman" w:hAnsi="Times New Roman" w:cs="Times New Roman"/>
          <w:b/>
          <w:color w:val="000000" w:themeColor="text1"/>
        </w:rPr>
      </w:pPr>
      <w:r w:rsidRPr="00DA354E">
        <w:rPr>
          <w:rFonts w:ascii="Times New Roman" w:hAnsi="Times New Roman" w:cs="Times New Roman"/>
          <w:b/>
          <w:color w:val="000000" w:themeColor="text1"/>
        </w:rPr>
        <w:t>Supplementary</w:t>
      </w:r>
      <w:r>
        <w:rPr>
          <w:rFonts w:ascii="Times New Roman" w:hAnsi="Times New Roman" w:cs="Times New Roman"/>
          <w:b/>
          <w:color w:val="000000" w:themeColor="text1"/>
        </w:rPr>
        <w:t xml:space="preserve"> Text 2. </w:t>
      </w:r>
      <w:r w:rsidRPr="00DA354E">
        <w:rPr>
          <w:rFonts w:ascii="Times New Roman" w:hAnsi="Times New Roman" w:cs="Times New Roman"/>
          <w:b/>
          <w:color w:val="000000" w:themeColor="text1"/>
        </w:rPr>
        <w:t>Regions not covered by RECCAP region have a small C flux</w:t>
      </w:r>
    </w:p>
    <w:p w:rsidR="00934FF7" w:rsidRPr="00DA354E" w:rsidRDefault="00934FF7" w:rsidP="00934FF7">
      <w:pPr>
        <w:jc w:val="both"/>
        <w:rPr>
          <w:rFonts w:ascii="Times New Roman" w:hAnsi="Times New Roman" w:cs="Times New Roman"/>
          <w:color w:val="000000" w:themeColor="text1"/>
        </w:rPr>
      </w:pPr>
      <w:r w:rsidRPr="00DA354E">
        <w:rPr>
          <w:rFonts w:ascii="Times New Roman" w:hAnsi="Times New Roman" w:cs="Times New Roman"/>
          <w:color w:val="000000" w:themeColor="text1"/>
        </w:rPr>
        <w:t>These regions cover Greenland, Antarctica, Middle East countries, Ukraine, New Zealand and Kazakhstan. Greenland and Antarctica are ice covered and do not contribute significant C fluxes with the atmosphere. Except for New Zealand, there no systematic observations of the carbon balance of these territories. Middle East and Kazakhstan are dry areas with low forest cover. Ukraine also has a low forest cover. The table below summarizes partial estimates of the carbon balance (mainly ∆C) for these regions.</w:t>
      </w:r>
    </w:p>
    <w:p w:rsidR="00934FF7" w:rsidRDefault="00934FF7" w:rsidP="00934FF7">
      <w:pPr>
        <w:jc w:val="both"/>
        <w:rPr>
          <w:rFonts w:ascii="Times New Roman" w:hAnsi="Times New Roman" w:cs="Times New Roman"/>
          <w:color w:val="000000" w:themeColor="text1"/>
        </w:rPr>
      </w:pPr>
    </w:p>
    <w:p w:rsidR="00D7497F" w:rsidRPr="00DA354E" w:rsidRDefault="00D7497F" w:rsidP="00D7497F">
      <w:pPr>
        <w:rPr>
          <w:rFonts w:ascii="Times New Roman" w:hAnsi="Times New Roman" w:cs="Times New Roman"/>
          <w:b/>
          <w:color w:val="000000" w:themeColor="text1"/>
        </w:rPr>
      </w:pPr>
      <w:r w:rsidRPr="00DA354E">
        <w:rPr>
          <w:rFonts w:ascii="Times New Roman" w:hAnsi="Times New Roman" w:cs="Times New Roman"/>
          <w:b/>
          <w:color w:val="000000" w:themeColor="text1"/>
        </w:rPr>
        <w:t>Supplementary</w:t>
      </w:r>
      <w:r>
        <w:rPr>
          <w:rFonts w:ascii="Times New Roman" w:hAnsi="Times New Roman" w:cs="Times New Roman"/>
          <w:b/>
          <w:color w:val="000000" w:themeColor="text1"/>
        </w:rPr>
        <w:t xml:space="preserve"> Text 3. </w:t>
      </w:r>
      <w:r w:rsidRPr="00DA354E">
        <w:rPr>
          <w:rFonts w:ascii="Times New Roman" w:hAnsi="Times New Roman" w:cs="Times New Roman"/>
          <w:b/>
          <w:color w:val="000000" w:themeColor="text1"/>
        </w:rPr>
        <w:t>SHR upscaling from site-level measurements using a machine learning approach</w:t>
      </w:r>
    </w:p>
    <w:p w:rsidR="00D7497F" w:rsidRPr="00CB1133" w:rsidRDefault="00D7497F" w:rsidP="00D7497F">
      <w:pPr>
        <w:rPr>
          <w:rFonts w:ascii="Times New Roman" w:hAnsi="Times New Roman" w:cs="Times New Roman"/>
          <w:i/>
          <w:color w:val="000000" w:themeColor="text1"/>
        </w:rPr>
      </w:pPr>
      <w:r w:rsidRPr="00DA354E">
        <w:rPr>
          <w:rFonts w:ascii="Times New Roman" w:hAnsi="Times New Roman" w:cs="Times New Roman"/>
          <w:b/>
          <w:i/>
          <w:color w:val="000000" w:themeColor="text1"/>
        </w:rPr>
        <w:t>Data preparation for upscaled SHR estimation</w:t>
      </w:r>
      <w:r w:rsidRPr="00DA354E">
        <w:rPr>
          <w:rFonts w:ascii="Times New Roman" w:hAnsi="Times New Roman" w:cs="Times New Roman"/>
          <w:i/>
          <w:color w:val="000000" w:themeColor="text1"/>
        </w:rPr>
        <w:t xml:space="preserve">. </w:t>
      </w:r>
    </w:p>
    <w:p w:rsidR="00D7497F" w:rsidRPr="00DA354E" w:rsidRDefault="00D7497F" w:rsidP="00D7497F">
      <w:pPr>
        <w:jc w:val="both"/>
        <w:rPr>
          <w:rFonts w:ascii="Times New Roman" w:hAnsi="Times New Roman" w:cs="Times New Roman"/>
          <w:color w:val="000000" w:themeColor="text1"/>
        </w:rPr>
      </w:pPr>
      <w:r w:rsidRPr="00DA354E">
        <w:rPr>
          <w:rFonts w:ascii="Times New Roman" w:hAnsi="Times New Roman" w:cs="Times New Roman"/>
          <w:color w:val="000000" w:themeColor="text1"/>
        </w:rPr>
        <w:t>The 455 site-level SRDB observation data are unevenly distributed in boreal, temperate and tropical zones, with the highest sampling density in temperate areas (</w:t>
      </w:r>
      <w:r w:rsidR="00541658">
        <w:rPr>
          <w:rFonts w:ascii="Times New Roman" w:hAnsi="Times New Roman" w:cs="Times New Roman"/>
          <w:color w:val="000000" w:themeColor="text1"/>
        </w:rPr>
        <w:t>Supplementary</w:t>
      </w:r>
      <w:r w:rsidR="00541658" w:rsidRPr="00DA354E">
        <w:rPr>
          <w:rFonts w:ascii="Times New Roman" w:hAnsi="Times New Roman" w:cs="Times New Roman"/>
          <w:color w:val="000000" w:themeColor="text1"/>
        </w:rPr>
        <w:t xml:space="preserve"> </w:t>
      </w:r>
      <w:r w:rsidRPr="00DA354E">
        <w:rPr>
          <w:rFonts w:ascii="Times New Roman" w:hAnsi="Times New Roman" w:cs="Times New Roman"/>
          <w:color w:val="000000" w:themeColor="text1"/>
        </w:rPr>
        <w:t>Fig</w:t>
      </w:r>
      <w:r>
        <w:rPr>
          <w:rFonts w:ascii="Times New Roman" w:hAnsi="Times New Roman" w:cs="Times New Roman"/>
          <w:color w:val="000000" w:themeColor="text1"/>
        </w:rPr>
        <w:t>.</w:t>
      </w:r>
      <w:r w:rsidRPr="00DA354E">
        <w:rPr>
          <w:rFonts w:ascii="Times New Roman" w:hAnsi="Times New Roman" w:cs="Times New Roman"/>
          <w:color w:val="000000" w:themeColor="text1"/>
        </w:rPr>
        <w:t xml:space="preserve"> </w:t>
      </w:r>
      <w:r w:rsidR="00541658">
        <w:rPr>
          <w:rFonts w:ascii="Times New Roman" w:hAnsi="Times New Roman" w:cs="Times New Roman"/>
          <w:color w:val="000000" w:themeColor="text1"/>
        </w:rPr>
        <w:t>5</w:t>
      </w:r>
      <w:r w:rsidRPr="00DA354E">
        <w:rPr>
          <w:rFonts w:ascii="Times New Roman" w:hAnsi="Times New Roman" w:cs="Times New Roman"/>
          <w:color w:val="000000" w:themeColor="text1"/>
        </w:rPr>
        <w:t xml:space="preserve">). This dataset covers seven land cover types in total. We tested different predictors and selected those that altogether explained the largest fraction of variance across sites. Table 4 shows the specific data sources of chosen predictor variables, their spatial resolution and temporal resolution. Soil carbon content and soil nitrogen content are static variables without any inter-annual variability. Other variables listed in </w:t>
      </w:r>
      <w:r w:rsidR="00541658">
        <w:rPr>
          <w:rFonts w:ascii="Times New Roman" w:hAnsi="Times New Roman" w:cs="Times New Roman"/>
          <w:color w:val="000000" w:themeColor="text1"/>
        </w:rPr>
        <w:t xml:space="preserve">Supplementary </w:t>
      </w:r>
      <w:r w:rsidRPr="00DA354E">
        <w:rPr>
          <w:rFonts w:ascii="Times New Roman" w:hAnsi="Times New Roman" w:cs="Times New Roman"/>
          <w:color w:val="000000" w:themeColor="text1"/>
        </w:rPr>
        <w:t xml:space="preserve">Table 4 are dynamic and we used yearly values. </w:t>
      </w:r>
    </w:p>
    <w:p w:rsidR="00D7497F" w:rsidRPr="00DA354E" w:rsidRDefault="00D7497F" w:rsidP="00D7497F">
      <w:pPr>
        <w:rPr>
          <w:rFonts w:ascii="Times New Roman" w:hAnsi="Times New Roman" w:cs="Times New Roman"/>
          <w:color w:val="000000" w:themeColor="text1"/>
        </w:rPr>
      </w:pPr>
    </w:p>
    <w:p w:rsidR="00D7497F" w:rsidRPr="00CA64FA" w:rsidRDefault="00D7497F" w:rsidP="00D7497F">
      <w:pPr>
        <w:jc w:val="both"/>
        <w:rPr>
          <w:rFonts w:ascii="Times New Roman" w:hAnsi="Times New Roman" w:cs="Times New Roman"/>
          <w:b/>
          <w:i/>
          <w:iCs/>
          <w:color w:val="000000" w:themeColor="text1"/>
        </w:rPr>
      </w:pPr>
      <w:r w:rsidRPr="00CA64FA">
        <w:rPr>
          <w:rFonts w:ascii="Times New Roman" w:hAnsi="Times New Roman" w:cs="Times New Roman"/>
          <w:b/>
          <w:i/>
          <w:iCs/>
          <w:color w:val="000000" w:themeColor="text1"/>
        </w:rPr>
        <w:t>Leave-one-out cross validation (LOOCV)</w:t>
      </w:r>
    </w:p>
    <w:p w:rsidR="00D7497F" w:rsidRPr="00DA354E" w:rsidRDefault="00D7497F" w:rsidP="00D7497F">
      <w:pPr>
        <w:jc w:val="both"/>
        <w:rPr>
          <w:rFonts w:ascii="Times New Roman" w:hAnsi="Times New Roman" w:cs="Times New Roman"/>
          <w:color w:val="000000" w:themeColor="text1"/>
        </w:rPr>
      </w:pPr>
      <w:r w:rsidRPr="00DA354E">
        <w:rPr>
          <w:rFonts w:ascii="Times New Roman" w:hAnsi="Times New Roman" w:cs="Times New Roman"/>
          <w:color w:val="000000" w:themeColor="text1"/>
        </w:rPr>
        <w:t>As mentioned in the Methods section, we applied LOOCV to evaluate whether the model performs well enough at site-level to enable the spatiotemporal SHR prediction at large scales. In the framework of LOOCV, each sample data is used as a validation and compared with the predicted value by a random forest model that is built by all other training samples. The R</w:t>
      </w:r>
      <w:r w:rsidRPr="00DA354E">
        <w:rPr>
          <w:rFonts w:ascii="Times New Roman" w:hAnsi="Times New Roman" w:cs="Times New Roman"/>
          <w:color w:val="000000" w:themeColor="text1"/>
          <w:vertAlign w:val="superscript"/>
        </w:rPr>
        <w:t>2</w:t>
      </w:r>
      <w:r w:rsidRPr="00DA354E">
        <w:rPr>
          <w:rFonts w:ascii="Times New Roman" w:hAnsi="Times New Roman" w:cs="Times New Roman"/>
          <w:color w:val="000000" w:themeColor="text1"/>
        </w:rPr>
        <w:t xml:space="preserve"> and RMSE between the observed and predicted values are shown in </w:t>
      </w:r>
      <w:r w:rsidR="00541658">
        <w:rPr>
          <w:rFonts w:ascii="Times New Roman" w:hAnsi="Times New Roman" w:cs="Times New Roman"/>
          <w:color w:val="000000" w:themeColor="text1"/>
        </w:rPr>
        <w:t>Supplementary</w:t>
      </w:r>
      <w:r w:rsidR="00541658" w:rsidRPr="00DA354E">
        <w:rPr>
          <w:rFonts w:ascii="Times New Roman" w:hAnsi="Times New Roman" w:cs="Times New Roman"/>
          <w:color w:val="000000" w:themeColor="text1"/>
        </w:rPr>
        <w:t xml:space="preserve"> </w:t>
      </w:r>
      <w:r w:rsidRPr="00DA354E">
        <w:rPr>
          <w:rFonts w:ascii="Times New Roman" w:hAnsi="Times New Roman" w:cs="Times New Roman"/>
          <w:color w:val="000000" w:themeColor="text1"/>
        </w:rPr>
        <w:t>Fig</w:t>
      </w:r>
      <w:r>
        <w:rPr>
          <w:rFonts w:ascii="Times New Roman" w:hAnsi="Times New Roman" w:cs="Times New Roman"/>
          <w:color w:val="000000" w:themeColor="text1"/>
        </w:rPr>
        <w:t>.</w:t>
      </w:r>
      <w:r w:rsidRPr="00DA354E">
        <w:rPr>
          <w:rFonts w:ascii="Times New Roman" w:hAnsi="Times New Roman" w:cs="Times New Roman"/>
          <w:color w:val="000000" w:themeColor="text1"/>
        </w:rPr>
        <w:t xml:space="preserve"> </w:t>
      </w:r>
      <w:r w:rsidR="00541658">
        <w:rPr>
          <w:rFonts w:ascii="Times New Roman" w:hAnsi="Times New Roman" w:cs="Times New Roman"/>
          <w:color w:val="000000" w:themeColor="text1"/>
        </w:rPr>
        <w:t>6</w:t>
      </w:r>
      <w:r w:rsidRPr="00DA354E">
        <w:rPr>
          <w:rFonts w:ascii="Times New Roman" w:hAnsi="Times New Roman" w:cs="Times New Roman"/>
          <w:color w:val="000000" w:themeColor="text1"/>
        </w:rPr>
        <w:t>.</w:t>
      </w:r>
    </w:p>
    <w:p w:rsidR="00D7497F" w:rsidRPr="00DA354E" w:rsidRDefault="00D7497F" w:rsidP="00D7497F">
      <w:pPr>
        <w:rPr>
          <w:rFonts w:ascii="Times New Roman" w:hAnsi="Times New Roman" w:cs="Times New Roman"/>
          <w:color w:val="000000" w:themeColor="text1"/>
        </w:rPr>
      </w:pPr>
    </w:p>
    <w:p w:rsidR="00D7497F" w:rsidRPr="00DA354E" w:rsidRDefault="00D7497F" w:rsidP="00D7497F">
      <w:pPr>
        <w:jc w:val="both"/>
        <w:rPr>
          <w:rFonts w:ascii="Times New Roman" w:hAnsi="Times New Roman" w:cs="Times New Roman"/>
          <w:color w:val="000000" w:themeColor="text1"/>
        </w:rPr>
      </w:pPr>
      <w:r w:rsidRPr="00DA354E">
        <w:rPr>
          <w:rFonts w:ascii="Times New Roman" w:hAnsi="Times New Roman" w:cs="Times New Roman"/>
          <w:color w:val="000000" w:themeColor="text1"/>
          <w:highlight w:val="white"/>
        </w:rPr>
        <w:t>We forced the trained RF model at 0.5° spatial resolution and yearly time step to generate the annual SHR predictions in spatiotemporal grids from 2000 to 2009. The input climatic variables of annual temperature, precipitation and radiation are from CRUNCEP</w:t>
      </w:r>
      <w:r w:rsidR="00541658">
        <w:rPr>
          <w:rFonts w:ascii="Times New Roman" w:hAnsi="Times New Roman" w:cs="Times New Roman"/>
          <w:color w:val="000000" w:themeColor="text1"/>
          <w:highlight w:val="white"/>
        </w:rPr>
        <w:t xml:space="preserve"> </w:t>
      </w:r>
      <w:r w:rsidRPr="00DA354E">
        <w:rPr>
          <w:rFonts w:ascii="Times New Roman" w:hAnsi="Times New Roman" w:cs="Times New Roman"/>
          <w:color w:val="000000" w:themeColor="text1"/>
          <w:highlight w:val="white"/>
        </w:rPr>
        <w:t xml:space="preserve">v6. This dataset is a combination of CRU TS3.2 0.5°×0.5° monthly climatological output and NCEP reanalysis data of 2.5°×2.5° and finer temporal resolution of 6-hourly time intervals in near real time. The annual soil moisture input is based on averaging over the CPC monthly soil </w:t>
      </w:r>
      <w:r w:rsidRPr="00DA354E">
        <w:rPr>
          <w:rFonts w:ascii="Times New Roman" w:hAnsi="Times New Roman" w:cs="Times New Roman"/>
          <w:color w:val="000000" w:themeColor="text1"/>
          <w:highlight w:val="white"/>
        </w:rPr>
        <w:lastRenderedPageBreak/>
        <w:t>moisture dataset, which was derived by a leaky bucket model</w:t>
      </w:r>
      <w:r>
        <w:rPr>
          <w:rFonts w:ascii="Times New Roman" w:hAnsi="Times New Roman" w:cs="Times New Roman"/>
          <w:color w:val="000000" w:themeColor="text1"/>
          <w:highlight w:val="white"/>
        </w:rPr>
        <w:t xml:space="preserve"> [</w:t>
      </w:r>
      <w:r w:rsidRPr="00CA64FA">
        <w:rPr>
          <w:rFonts w:ascii="Times New Roman" w:hAnsi="Times New Roman" w:cs="Times New Roman"/>
          <w:color w:val="000000" w:themeColor="text1"/>
          <w:highlight w:val="white"/>
        </w:rPr>
        <w:fldChar w:fldCharType="begin" w:fldLock="1"/>
      </w:r>
      <w:r w:rsidRPr="00CA64FA">
        <w:rPr>
          <w:rFonts w:ascii="Times New Roman" w:hAnsi="Times New Roman" w:cs="Times New Roman"/>
          <w:color w:val="000000" w:themeColor="text1"/>
          <w:highlight w:val="white"/>
        </w:rPr>
        <w:instrText>ADDIN CSL_CITATION {"citationItems":[{"id":"ITEM-1","itemData":{"ISSN":"1520-0442","author":[{"dropping-particle":"","family":"Huang","given":"Jin","non-dropping-particle":"","parse-names":false,"suffix":""},{"dropping-particle":"","family":"Dool","given":"Huug M","non-dropping-particle":"van den","parse-names":false,"suffix":""},{"dropping-particle":"","family":"Georgarakos","given":"Konstantine P","non-dropping-particle":"","parse-names":false,"suffix":""}],"container-title":"Journal of Climate","id":"ITEM-1","issue":"6","issued":{"date-parts":[["1996"]]},"page":"1350-1362","title":"Analysis of model-calculated soil moisture over the United States (1931–1993) and applications to long-range temperature forecasts","type":"article-journal","volume":"9"},"uris":["http://www.mendeley.com/documents/?uuid=27cd10aa-5b41-4803-a177-e80ec6806568"]}],"mendeley":{"formattedCitation":"&lt;sup&gt;100&lt;/sup&gt;","plainTextFormattedCitation":"100","previouslyFormattedCitation":"&lt;sup&gt;100&lt;/sup&gt;"},"properties":{"noteIndex":0},"schema":"https://github.com/citation-style-language/schema/raw/master/csl-citation.json"}</w:instrText>
      </w:r>
      <w:r w:rsidRPr="00CA64FA">
        <w:rPr>
          <w:rFonts w:ascii="Times New Roman" w:hAnsi="Times New Roman" w:cs="Times New Roman"/>
          <w:color w:val="000000" w:themeColor="text1"/>
          <w:highlight w:val="white"/>
        </w:rPr>
        <w:fldChar w:fldCharType="separate"/>
      </w:r>
      <w:r w:rsidRPr="00CA64FA">
        <w:rPr>
          <w:rFonts w:ascii="Times New Roman" w:hAnsi="Times New Roman" w:cs="Times New Roman"/>
          <w:noProof/>
          <w:color w:val="000000" w:themeColor="text1"/>
          <w:highlight w:val="white"/>
        </w:rPr>
        <w:t>100</w:t>
      </w:r>
      <w:r w:rsidRPr="00CA64FA">
        <w:rPr>
          <w:rFonts w:ascii="Times New Roman" w:hAnsi="Times New Roman" w:cs="Times New Roman"/>
          <w:color w:val="000000" w:themeColor="text1"/>
          <w:highlight w:val="white"/>
        </w:rPr>
        <w:fldChar w:fldCharType="end"/>
      </w:r>
      <w:r>
        <w:rPr>
          <w:rFonts w:ascii="Times New Roman" w:hAnsi="Times New Roman" w:cs="Times New Roman"/>
          <w:color w:val="000000" w:themeColor="text1"/>
          <w:highlight w:val="white"/>
        </w:rPr>
        <w:t>]</w:t>
      </w:r>
      <w:r w:rsidRPr="00DA354E">
        <w:rPr>
          <w:rFonts w:ascii="Times New Roman" w:hAnsi="Times New Roman" w:cs="Times New Roman"/>
          <w:color w:val="000000" w:themeColor="text1"/>
          <w:highlight w:val="white"/>
        </w:rPr>
        <w:t xml:space="preserve">. The annual GPP data is the average of six GPP ensemble data produced by three machine learning methods and two flux partitioning methods in Jung et al </w:t>
      </w:r>
      <w:r>
        <w:rPr>
          <w:rFonts w:ascii="Times New Roman" w:hAnsi="Times New Roman" w:cs="Times New Roman"/>
          <w:color w:val="000000" w:themeColor="text1"/>
          <w:highlight w:val="white"/>
        </w:rPr>
        <w:t>[</w:t>
      </w:r>
      <w:r w:rsidRPr="00CA64FA">
        <w:rPr>
          <w:rFonts w:ascii="Times New Roman" w:hAnsi="Times New Roman" w:cs="Times New Roman"/>
          <w:color w:val="000000" w:themeColor="text1"/>
          <w:highlight w:val="white"/>
        </w:rPr>
        <w:fldChar w:fldCharType="begin" w:fldLock="1"/>
      </w:r>
      <w:r w:rsidRPr="00CA64FA">
        <w:rPr>
          <w:rFonts w:ascii="Times New Roman" w:hAnsi="Times New Roman" w:cs="Times New Roman"/>
          <w:color w:val="000000" w:themeColor="text1"/>
          <w:highlight w:val="white"/>
        </w:rPr>
        <w:instrText>ADDIN CSL_CITATION {"citationItems":[{"id":"ITEM-1","itemData":{"DOI":"10.1038/nature20780","ISSN":"14764687","abstract":"© 2017 Macmillan Publishers Limited, part of Springer Nature. Large interannual variations in the measured growth rate of atmospheric carbon dioxide (CO 2) originate primarily from fluctuations in carbon uptake by land ecosystems. It remains uncertain, however, to what extent temperature and water availability control the carbon balance of land ecosystems across spatial and temporal scales. Here we use empirical models based on eddy covariance data and process-based models to investigate the effect of changes in temperature and water availability on gross primary productivity (GPP), terrestrial ecosystem respiration (TER) and net ecosystem exchange (NEE) at local and global scales. We find that water availability is the dominant driver of the local interannual variability in GPP and TER. To a lesser extent this is true also for NEE at the local scale, but when integrated globally, temporal NEE variability is mostly driven by temperature fluctuations. We suggest that this apparent paradox can be explained by two compensatory water effects. Temporal water-driven GPP and TER variations compensate locally, dampening water-driven NEE variability. Spatial water availability anomalies also compensate, leaving a dominant temperature signal in the year-to-year fluctuations of the land carbon sink. These findings help to reconcile seemingly contradictory reports regarding the importance of temperature and water in controlling the interannual variability of the terrestrial carbon balance. Our study indicates that spatial climate covariation drives the global carbon cycle response.","author":[{"dropping-particle":"","family":"Jung","given":"M.","non-dropping-particle":"","parse-names":false,"suffix":""},{"dropping-particle":"","family":"Reichstein","given":"M.","non-dropping-particle":"","parse-names":false,"suffix":""},{"dropping-particle":"","family":"Schwalm","given":"C.R.","non-dropping-particle":"","parse-names":false,"suffix":""},{"dropping-particle":"","family":"Huntingford","given":"C.","non-dropping-particle":"","parse-names":false,"suffix":""},{"dropping-particle":"","family":"Sitch","given":"S.","non-dropping-particle":"","parse-names":false,"suffix":""},{"dropping-particle":"","family":"Ahlström","given":"A.","non-dropping-particle":"","parse-names":false,"suffix":""},{"dropping-particle":"","family":"Arneth","given":"A.","non-dropping-particle":"","parse-names":false,"suffix":""},{"dropping-particle":"","family":"Camps-Valls","given":"G.","non-dropping-particle":"","parse-names":false,"suffix":""},{"dropping-particle":"","family":"Ciais","given":"P.","non-dropping-particle":"","parse-names":false,"suffix":""},{"dropping-particle":"","family":"Friedlingstein","given":"P.","non-dropping-particle":"","parse-names":false,"suffix":""},{"dropping-particle":"","family":"Gans","given":"F.","non-dropping-particle":"","parse-names":false,"suffix":""},{"dropping-particle":"","family":"Ichii","given":"K.","non-dropping-particle":"","parse-names":false,"suffix":""},{"dropping-particle":"","family":"Jain","given":"A.K.","non-dropping-particle":"","parse-names":false,"suffix":""},{"dropping-particle":"","family":"Kato","given":"E.","non-dropping-particle":"","parse-names":false,"suffix":""},{"dropping-particle":"","family":"Papale","given":"D.","non-dropping-particle":"","parse-names":false,"suffix":""},{"dropping-particle":"","family":"Poulter","given":"B.","non-dropping-particle":"","parse-names":false,"suffix":""},{"dropping-particle":"","family":"Raduly","given":"B.","non-dropping-particle":"","parse-names":false,"suffix":""},{"dropping-particle":"","family":"Rödenbeck","given":"C.","non-dropping-particle":"","parse-names":false,"suffix":""},{"dropping-particle":"","family":"Tramontana","given":"G.","non-dropping-particle":"","parse-names":false,"suffix":""},{"dropping-particle":"","family":"Viovy","given":"N.","non-dropping-particle":"","parse-names":false,"suffix":""},{"dropping-particle":"","family":"Wang","given":"Y.-P.","non-dropping-particle":"","parse-names":false,"suffix":""},{"dropping-particle":"","family":"Weber","given":"U.","non-dropping-particle":"","parse-names":false,"suffix":""},{"dropping-particle":"","family":"Zaehle","given":"S.","non-dropping-particle":"","parse-names":false,"suffix":""},{"dropping-particle":"","family":"Zeng","given":"N.","non-dropping-particle":"","parse-names":false,"suffix":""}],"container-title":"Nature","id":"ITEM-1","issue":"7638","issued":{"date-parts":[["2017"]]},"title":"Compensatory water effects link yearly global land CO 2 sink changes to temperature","type":"article-journal","volume":"541"},"uris":["http://www.mendeley.com/documents/?uuid=9af8e401-4787-3190-90c1-e48b32df30fd"]}],"mendeley":{"formattedCitation":"&lt;sup&gt;101&lt;/sup&gt;","plainTextFormattedCitation":"101","previouslyFormattedCitation":"&lt;sup&gt;101&lt;/sup&gt;"},"properties":{"noteIndex":0},"schema":"https://github.com/citation-style-language/schema/raw/master/csl-citation.json"}</w:instrText>
      </w:r>
      <w:r w:rsidRPr="00CA64FA">
        <w:rPr>
          <w:rFonts w:ascii="Times New Roman" w:hAnsi="Times New Roman" w:cs="Times New Roman"/>
          <w:color w:val="000000" w:themeColor="text1"/>
          <w:highlight w:val="white"/>
        </w:rPr>
        <w:fldChar w:fldCharType="separate"/>
      </w:r>
      <w:r w:rsidRPr="00CA64FA">
        <w:rPr>
          <w:rFonts w:ascii="Times New Roman" w:hAnsi="Times New Roman" w:cs="Times New Roman"/>
          <w:noProof/>
          <w:color w:val="000000" w:themeColor="text1"/>
          <w:highlight w:val="white"/>
        </w:rPr>
        <w:t>101</w:t>
      </w:r>
      <w:r w:rsidRPr="00CA64FA">
        <w:rPr>
          <w:rFonts w:ascii="Times New Roman" w:hAnsi="Times New Roman" w:cs="Times New Roman"/>
          <w:color w:val="000000" w:themeColor="text1"/>
          <w:highlight w:val="white"/>
        </w:rPr>
        <w:fldChar w:fldCharType="end"/>
      </w:r>
      <w:r>
        <w:rPr>
          <w:rFonts w:ascii="Times New Roman" w:hAnsi="Times New Roman" w:cs="Times New Roman"/>
          <w:color w:val="000000" w:themeColor="text1"/>
          <w:highlight w:val="white"/>
        </w:rPr>
        <w:t>]</w:t>
      </w:r>
      <w:r w:rsidRPr="00DA354E">
        <w:rPr>
          <w:rFonts w:ascii="Times New Roman" w:hAnsi="Times New Roman" w:cs="Times New Roman"/>
          <w:color w:val="000000" w:themeColor="text1"/>
          <w:highlight w:val="white"/>
        </w:rPr>
        <w:t>. Atmospheric nitrogen deposition data is from the Multi-scale Synthesis and Terrestrial Model Inter-comparison Project environmental forcing dataset</w:t>
      </w:r>
      <w:r>
        <w:rPr>
          <w:rFonts w:ascii="Times New Roman" w:hAnsi="Times New Roman" w:cs="Times New Roman"/>
          <w:color w:val="000000" w:themeColor="text1"/>
          <w:highlight w:val="white"/>
        </w:rPr>
        <w:t xml:space="preserve"> [</w:t>
      </w:r>
      <w:r w:rsidRPr="00CA64FA">
        <w:rPr>
          <w:rFonts w:ascii="Times New Roman" w:hAnsi="Times New Roman" w:cs="Times New Roman"/>
          <w:color w:val="000000" w:themeColor="text1"/>
          <w:highlight w:val="white"/>
        </w:rPr>
        <w:fldChar w:fldCharType="begin" w:fldLock="1"/>
      </w:r>
      <w:r w:rsidRPr="00CA64FA">
        <w:rPr>
          <w:rFonts w:ascii="Times New Roman" w:hAnsi="Times New Roman" w:cs="Times New Roman"/>
          <w:color w:val="000000" w:themeColor="text1"/>
          <w:highlight w:val="white"/>
        </w:rPr>
        <w:instrText>ADDIN CSL_CITATION {"citationItems":[{"id":"ITEM-1","itemData":{"author":[{"dropping-particle":"","family":"Wei, Y., S. Liu, D.N. Huntzinger, A.M. Michalak, N. Viovy, W.M. Post, C.R. Schwalm, K. Schaefer, A.R. Jacobson, C. Lu, H. Tian, D.M. Ricciuto, R.B. Cook, J. Mao","given":"and X. Shi.","non-dropping-particle":"","parse-names":false,"suffix":""}],"id":"ITEM-1","issued":{"date-parts":[["2014"]]},"title":"NACP MsTMIP: Global and North American Driver Data for Multi-Model Intercomparison","type":"report"},"uris":["http://www.mendeley.com/documents/?uuid=a8014341-b9d3-48c9-bd2f-2dda0c55e2e8"]}],"mendeley":{"formattedCitation":"&lt;sup&gt;102&lt;/sup&gt;","plainTextFormattedCitation":"102","previouslyFormattedCitation":"&lt;sup&gt;102&lt;/sup&gt;"},"properties":{"noteIndex":0},"schema":"https://github.com/citation-style-language/schema/raw/master/csl-citation.json"}</w:instrText>
      </w:r>
      <w:r w:rsidRPr="00CA64FA">
        <w:rPr>
          <w:rFonts w:ascii="Times New Roman" w:hAnsi="Times New Roman" w:cs="Times New Roman"/>
          <w:color w:val="000000" w:themeColor="text1"/>
          <w:highlight w:val="white"/>
        </w:rPr>
        <w:fldChar w:fldCharType="separate"/>
      </w:r>
      <w:r w:rsidRPr="00CA64FA">
        <w:rPr>
          <w:rFonts w:ascii="Times New Roman" w:hAnsi="Times New Roman" w:cs="Times New Roman"/>
          <w:noProof/>
          <w:color w:val="000000" w:themeColor="text1"/>
          <w:highlight w:val="white"/>
        </w:rPr>
        <w:t>102</w:t>
      </w:r>
      <w:r w:rsidRPr="00CA64FA">
        <w:rPr>
          <w:rFonts w:ascii="Times New Roman" w:hAnsi="Times New Roman" w:cs="Times New Roman"/>
          <w:color w:val="000000" w:themeColor="text1"/>
          <w:highlight w:val="white"/>
        </w:rPr>
        <w:fldChar w:fldCharType="end"/>
      </w:r>
      <w:r>
        <w:rPr>
          <w:rFonts w:ascii="Times New Roman" w:hAnsi="Times New Roman" w:cs="Times New Roman"/>
          <w:color w:val="000000" w:themeColor="text1"/>
          <w:highlight w:val="white"/>
        </w:rPr>
        <w:t>]</w:t>
      </w:r>
      <w:r w:rsidRPr="00DA354E">
        <w:rPr>
          <w:rFonts w:ascii="Times New Roman" w:hAnsi="Times New Roman" w:cs="Times New Roman"/>
          <w:color w:val="000000" w:themeColor="text1"/>
          <w:highlight w:val="white"/>
        </w:rPr>
        <w:t>. Soil carbon content information is from Harmonized World Soil Database</w:t>
      </w:r>
      <w:r>
        <w:rPr>
          <w:rFonts w:ascii="Times New Roman" w:hAnsi="Times New Roman" w:cs="Times New Roman"/>
          <w:color w:val="000000" w:themeColor="text1"/>
          <w:highlight w:val="white"/>
        </w:rPr>
        <w:t xml:space="preserve"> [</w:t>
      </w:r>
      <w:r w:rsidRPr="00CA64FA">
        <w:rPr>
          <w:rFonts w:ascii="Times New Roman" w:hAnsi="Times New Roman" w:cs="Times New Roman"/>
          <w:color w:val="000000" w:themeColor="text1"/>
          <w:highlight w:val="white"/>
        </w:rPr>
        <w:fldChar w:fldCharType="begin" w:fldLock="1"/>
      </w:r>
      <w:r w:rsidRPr="00CA64FA">
        <w:rPr>
          <w:rFonts w:ascii="Times New Roman" w:hAnsi="Times New Roman" w:cs="Times New Roman"/>
          <w:color w:val="000000" w:themeColor="text1"/>
          <w:highlight w:val="white"/>
        </w:rPr>
        <w:instrText>ADDIN CSL_CITATION {"citationItems":[{"id":"ITEM-1","itemData":{"id":"ITEM-1","issued":{"date-parts":[["2012"]]},"publisher-place":"Rome","title":"FAO/IIASA/ISRIC/ISSCAS/JRC Harmonized World Soil Database (version 1.2)","type":"report","volume":"FAO"},"uris":["http://www.mendeley.com/documents/?uuid=7db8fdbb-dc76-4c0c-8d8e-edcd12b64775"]}],"mendeley":{"formattedCitation":"&lt;sup&gt;103&lt;/sup&gt;","plainTextFormattedCitation":"103","previouslyFormattedCitation":"&lt;sup&gt;103&lt;/sup&gt;"},"properties":{"noteIndex":0},"schema":"https://github.com/citation-style-language/schema/raw/master/csl-citation.json"}</w:instrText>
      </w:r>
      <w:r w:rsidRPr="00CA64FA">
        <w:rPr>
          <w:rFonts w:ascii="Times New Roman" w:hAnsi="Times New Roman" w:cs="Times New Roman"/>
          <w:color w:val="000000" w:themeColor="text1"/>
          <w:highlight w:val="white"/>
        </w:rPr>
        <w:fldChar w:fldCharType="separate"/>
      </w:r>
      <w:r w:rsidRPr="00CA64FA">
        <w:rPr>
          <w:rFonts w:ascii="Times New Roman" w:hAnsi="Times New Roman" w:cs="Times New Roman"/>
          <w:noProof/>
          <w:color w:val="000000" w:themeColor="text1"/>
          <w:highlight w:val="white"/>
        </w:rPr>
        <w:t>103</w:t>
      </w:r>
      <w:r w:rsidRPr="00CA64FA">
        <w:rPr>
          <w:rFonts w:ascii="Times New Roman" w:hAnsi="Times New Roman" w:cs="Times New Roman"/>
          <w:color w:val="000000" w:themeColor="text1"/>
          <w:highlight w:val="white"/>
        </w:rPr>
        <w:fldChar w:fldCharType="end"/>
      </w:r>
      <w:r>
        <w:rPr>
          <w:rFonts w:ascii="Times New Roman" w:hAnsi="Times New Roman" w:cs="Times New Roman"/>
          <w:color w:val="000000" w:themeColor="text1"/>
          <w:highlight w:val="white"/>
        </w:rPr>
        <w:t>]</w:t>
      </w:r>
      <w:r w:rsidRPr="00DA354E">
        <w:rPr>
          <w:rFonts w:ascii="Times New Roman" w:hAnsi="Times New Roman" w:cs="Times New Roman"/>
          <w:color w:val="000000" w:themeColor="text1"/>
          <w:highlight w:val="white"/>
        </w:rPr>
        <w:t>. Both top-soil (0-30cm) and sub-soil (30-100cm) carbon contents are included. Soil nitrogen content data (depth of 0-100cm) is from Global Gridded Surfaces of Selected Soil Characteristics (IGBP-DIS) dataset</w:t>
      </w:r>
      <w:r>
        <w:rPr>
          <w:rFonts w:ascii="Times New Roman" w:hAnsi="Times New Roman" w:cs="Times New Roman"/>
          <w:color w:val="000000" w:themeColor="text1"/>
          <w:highlight w:val="white"/>
        </w:rPr>
        <w:t xml:space="preserve"> [</w:t>
      </w:r>
      <w:r w:rsidRPr="00CA64FA">
        <w:rPr>
          <w:rFonts w:ascii="Times New Roman" w:hAnsi="Times New Roman" w:cs="Times New Roman"/>
          <w:color w:val="000000" w:themeColor="text1"/>
          <w:highlight w:val="white"/>
        </w:rPr>
        <w:fldChar w:fldCharType="begin" w:fldLock="1"/>
      </w:r>
      <w:r w:rsidRPr="00CA64FA">
        <w:rPr>
          <w:rFonts w:ascii="Times New Roman" w:hAnsi="Times New Roman" w:cs="Times New Roman"/>
          <w:color w:val="000000" w:themeColor="text1"/>
          <w:highlight w:val="white"/>
        </w:rPr>
        <w:instrText>ADDIN CSL_CITATION {"citationItems":[{"id":"ITEM-1","itemData":{"id":"ITEM-1","issued":{"date-parts":[["0"]]},"title":"Global Soil Data Task Group. 2000. Global Gridded Surfaces of Selected Soil Characteristics (IGBP-DIS)","type":"report"},"uris":["http://www.mendeley.com/documents/?uuid=761fe044-4c29-48a2-9877-31b272a913fd"]}],"mendeley":{"formattedCitation":"&lt;sup&gt;104&lt;/sup&gt;","plainTextFormattedCitation":"104","previouslyFormattedCitation":"&lt;sup&gt;104&lt;/sup&gt;"},"properties":{"noteIndex":0},"schema":"https://github.com/citation-style-language/schema/raw/master/csl-citation.json"}</w:instrText>
      </w:r>
      <w:r w:rsidRPr="00CA64FA">
        <w:rPr>
          <w:rFonts w:ascii="Times New Roman" w:hAnsi="Times New Roman" w:cs="Times New Roman"/>
          <w:color w:val="000000" w:themeColor="text1"/>
          <w:highlight w:val="white"/>
        </w:rPr>
        <w:fldChar w:fldCharType="separate"/>
      </w:r>
      <w:r w:rsidRPr="00CA64FA">
        <w:rPr>
          <w:rFonts w:ascii="Times New Roman" w:hAnsi="Times New Roman" w:cs="Times New Roman"/>
          <w:noProof/>
          <w:color w:val="000000" w:themeColor="text1"/>
          <w:highlight w:val="white"/>
        </w:rPr>
        <w:t>104</w:t>
      </w:r>
      <w:r w:rsidRPr="00CA64FA">
        <w:rPr>
          <w:rFonts w:ascii="Times New Roman" w:hAnsi="Times New Roman" w:cs="Times New Roman"/>
          <w:color w:val="000000" w:themeColor="text1"/>
          <w:highlight w:val="white"/>
        </w:rPr>
        <w:fldChar w:fldCharType="end"/>
      </w:r>
      <w:r>
        <w:rPr>
          <w:rFonts w:ascii="Times New Roman" w:hAnsi="Times New Roman" w:cs="Times New Roman"/>
          <w:color w:val="000000" w:themeColor="text1"/>
          <w:highlight w:val="white"/>
        </w:rPr>
        <w:t>]</w:t>
      </w:r>
      <w:r w:rsidRPr="00DA354E">
        <w:rPr>
          <w:rFonts w:ascii="Times New Roman" w:hAnsi="Times New Roman" w:cs="Times New Roman"/>
          <w:color w:val="000000" w:themeColor="text1"/>
          <w:highlight w:val="white"/>
        </w:rPr>
        <w:t>. The original resolution of soil carbon content (0.05°×0.05°) and soil nitrogen content (0.083°×0.083°) were resampled to 0.5°×0.5° before using in the SHR upscaling procedure.</w:t>
      </w:r>
    </w:p>
    <w:p w:rsidR="00D7497F" w:rsidRPr="00DA354E" w:rsidRDefault="00D7497F" w:rsidP="00D7497F">
      <w:pPr>
        <w:rPr>
          <w:rFonts w:ascii="Times New Roman" w:hAnsi="Times New Roman" w:cs="Times New Roman"/>
          <w:color w:val="000000" w:themeColor="text1"/>
        </w:rPr>
      </w:pPr>
    </w:p>
    <w:p w:rsidR="00D7497F" w:rsidRPr="00CA64FA" w:rsidRDefault="00D7497F" w:rsidP="00D7497F">
      <w:pPr>
        <w:rPr>
          <w:rFonts w:ascii="Times New Roman" w:hAnsi="Times New Roman" w:cs="Times New Roman"/>
          <w:b/>
          <w:i/>
          <w:iCs/>
          <w:color w:val="000000" w:themeColor="text1"/>
        </w:rPr>
      </w:pPr>
      <w:r w:rsidRPr="00CA64FA">
        <w:rPr>
          <w:rFonts w:ascii="Times New Roman" w:hAnsi="Times New Roman" w:cs="Times New Roman"/>
          <w:b/>
          <w:i/>
          <w:iCs/>
          <w:color w:val="000000" w:themeColor="text1"/>
        </w:rPr>
        <w:t>Comparison of the two bottom-up SHR upscaled products used in this study</w:t>
      </w:r>
    </w:p>
    <w:p w:rsidR="00D7497F" w:rsidRPr="00DA354E" w:rsidRDefault="00D7497F" w:rsidP="00D7497F">
      <w:pPr>
        <w:jc w:val="both"/>
        <w:rPr>
          <w:rFonts w:ascii="Times New Roman" w:hAnsi="Times New Roman" w:cs="Times New Roman"/>
          <w:color w:val="000000" w:themeColor="text1"/>
        </w:rPr>
      </w:pPr>
      <w:r w:rsidRPr="00DA354E">
        <w:rPr>
          <w:rFonts w:ascii="Times New Roman" w:hAnsi="Times New Roman" w:cs="Times New Roman"/>
          <w:color w:val="000000" w:themeColor="text1"/>
        </w:rPr>
        <w:t>In addition to Main text Fig. 2 comparing regional average values of bottom-up SHR between the climate based upscaling with re-parameterized Hashimoto et al.</w:t>
      </w:r>
      <w:r>
        <w:rPr>
          <w:rFonts w:ascii="Times New Roman" w:hAnsi="Times New Roman" w:cs="Times New Roman"/>
          <w:color w:val="000000" w:themeColor="text1"/>
        </w:rPr>
        <w:t xml:space="preserve"> [</w:t>
      </w:r>
      <w:r w:rsidRPr="00CA64FA">
        <w:rPr>
          <w:rFonts w:ascii="Times New Roman" w:hAnsi="Times New Roman" w:cs="Times New Roman"/>
          <w:color w:val="000000" w:themeColor="text1"/>
        </w:rPr>
        <w:fldChar w:fldCharType="begin" w:fldLock="1"/>
      </w:r>
      <w:r w:rsidRPr="00CA64FA">
        <w:rPr>
          <w:rFonts w:ascii="Times New Roman" w:hAnsi="Times New Roman" w:cs="Times New Roman"/>
          <w:color w:val="000000" w:themeColor="text1"/>
        </w:rPr>
        <w:instrText>ADDIN CSL_CITATION {"citationItems":[{"id":"ITEM-1","itemData":{"DOI":"10.5194/bg-12-4121-2015","ISSN":"1726-4189","abstract":"&lt;p&gt;&lt;p&gt;&lt;strong&gt;Abstract.&lt;/strong&gt; The flux of carbon dioxide from the soil to the atmosphere (soil respiration) is one of the major fluxes in the global carbon cycle. At present, the accumulated field observation data cover a wide range of geographical locations and climate conditions. However, there are still large uncertainties in the magnitude and spatiotemporal variation of global soil respiration. Using a global soil respiration data set, we developed a climate-driven model of soil respiration by modifying and updating Raich's model, and the global spatiotemporal distribution of soil respiration was examined using this model. The model was applied at a spatial resolution of 0.5°and a monthly time step. Soil respiration was divided into the heterotrophic and autotrophic components of respiration using an empirical model. The estimated mean annual global soil respiration was 91 Pg C yr&lt;sup&gt;−1&lt;/sup&gt; (between 1965 and 2012; Monte Carlo 95 % confidence interval: 87–95 Pg C yr&lt;sup&gt;−1&lt;/sup&gt;) and increased at the rate of 0.09 Pg C yr&lt;sup&gt;−2&lt;/sup&gt;. The contribution of soil respiration from boreal regions to the total increase in global soil respiration was on the same order of magnitude as that of tropical and temperate regions, despite a lower absolute magnitude of soil respiration in boreal regions. The estimated annual global heterotrophic respiration and global autotrophic respiration were 51 and 40 Pg C yr&lt;sup&gt;−1&lt;/sup&gt;, respectively. The global soil respiration responded to the increase in air temperature at the rate of 3.3 Pg C yr&lt;sup&gt;−1&lt;/sup&gt; °C&lt;sup&gt;−1&lt;/sup&gt;, and &lt;i&gt;Q&lt;/i&gt;&lt;sub&gt;10&lt;/sub&gt; = 1.4. Our study scaled up observed soil respiration values from field measurements to estimate global soil respiration and provide a data-oriented estimate of global soil respiration. The estimates are based on a semi-empirical model parameterized with over one thousand data points. Our analysis indicates that the climate controls on soil respiration may translate into an increasing trend in global soil respiration and our analysis emphasizes the relevance of the soil carbon flux from soil to the atmosphere in response to climate change. Further approaches should additionally focus on climate controls in soil respiration in combination with changes in vegetation dynamics and soil carbon stocks, along with their effects on the long temporal dynamics of soil respiration. We expect that these spatiotemporal estimates will provide a benchmark for future studies and also hel…","author":[{"dropping-particle":"","family":"Hashimoto","given":"S.","non-dropping-particle":"","parse-names":false,"suffix":""},{"dropping-particle":"","family":"Carvalhais","given":"N.","non-dropping-particle":"","parse-names":false,"suffix":""},{"dropping-particle":"","family":"Ito","given":"A.","non-dropping-particle":"","parse-names":false,"suffix":""},{"dropping-particle":"","family":"Migliavacca","given":"M.","non-dropping-particle":"","parse-names":false,"suffix":""},{"dropping-particle":"","family":"Nishina","given":"K.","non-dropping-particle":"","parse-names":false,"suffix":""},{"dropping-particle":"","family":"Reichstein","given":"M.","non-dropping-particle":"","parse-names":false,"suffix":""}],"container-title":"Biogeosciences","id":"ITEM-1","issue":"13","issued":{"date-parts":[["2015","7","9"]]},"page":"4121-4132","title":"Global spatiotemporal distribution of soil respiration modeled using a global database","type":"article-journal","volume":"12"},"uris":["http://www.mendeley.com/documents/?uuid=6685a534-d56f-3b18-aca5-94417ddbf4b2"]}],"mendeley":{"formattedCitation":"&lt;sup&gt;29&lt;/sup&gt;","plainTextFormattedCitation":"29","previouslyFormattedCitation":"&lt;sup&gt;29&lt;/sup&gt;"},"properties":{"noteIndex":0},"schema":"https://github.com/citation-style-language/schema/raw/master/csl-citation.json"}</w:instrText>
      </w:r>
      <w:r w:rsidRPr="00CA64FA">
        <w:rPr>
          <w:rFonts w:ascii="Times New Roman" w:hAnsi="Times New Roman" w:cs="Times New Roman"/>
          <w:color w:val="000000" w:themeColor="text1"/>
        </w:rPr>
        <w:fldChar w:fldCharType="separate"/>
      </w:r>
      <w:r w:rsidRPr="00CA64FA">
        <w:rPr>
          <w:rFonts w:ascii="Times New Roman" w:hAnsi="Times New Roman" w:cs="Times New Roman"/>
          <w:noProof/>
          <w:color w:val="000000" w:themeColor="text1"/>
        </w:rPr>
        <w:t>29</w:t>
      </w:r>
      <w:r w:rsidRPr="00CA64FA">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Pr="00DA354E">
        <w:rPr>
          <w:rFonts w:ascii="Times New Roman" w:hAnsi="Times New Roman" w:cs="Times New Roman"/>
          <w:color w:val="000000" w:themeColor="text1"/>
        </w:rPr>
        <w:t xml:space="preserve"> functions by </w:t>
      </w:r>
      <w:proofErr w:type="spellStart"/>
      <w:r w:rsidRPr="00DA354E">
        <w:rPr>
          <w:rFonts w:ascii="Times New Roman" w:hAnsi="Times New Roman" w:cs="Times New Roman"/>
          <w:color w:val="000000" w:themeColor="text1"/>
        </w:rPr>
        <w:t>Konings</w:t>
      </w:r>
      <w:proofErr w:type="spellEnd"/>
      <w:r w:rsidRPr="00DA354E">
        <w:rPr>
          <w:rFonts w:ascii="Times New Roman" w:hAnsi="Times New Roman" w:cs="Times New Roman"/>
          <w:color w:val="000000" w:themeColor="text1"/>
        </w:rPr>
        <w:t xml:space="preserve"> et al. </w:t>
      </w:r>
      <w:r>
        <w:rPr>
          <w:rFonts w:ascii="Times New Roman" w:hAnsi="Times New Roman" w:cs="Times New Roman"/>
          <w:color w:val="000000" w:themeColor="text1"/>
        </w:rPr>
        <w:t>[</w:t>
      </w:r>
      <w:r w:rsidRPr="00CA64FA">
        <w:rPr>
          <w:rFonts w:ascii="Times New Roman" w:hAnsi="Times New Roman" w:cs="Times New Roman"/>
          <w:color w:val="000000" w:themeColor="text1"/>
        </w:rPr>
        <w:fldChar w:fldCharType="begin" w:fldLock="1"/>
      </w:r>
      <w:r w:rsidRPr="00CA64FA">
        <w:rPr>
          <w:rFonts w:ascii="Times New Roman" w:hAnsi="Times New Roman" w:cs="Times New Roman"/>
          <w:color w:val="000000" w:themeColor="text1"/>
        </w:rPr>
        <w:instrText>ADDIN CSL_CITATION {"citationItems":[{"id":"ITEM-1","itemData":{"DOI":"10.5194/bg-2018-466","ISSN":"1810-6285","abstract":"Abstract. While heterotrophic respiration (Rh) makes up about a quarter of gross global terrestrial carbon fluxes, it remains among the least observed carbon fluxes, particularly outside the mid-latitudes. In situ measurements collected in the Soil Respiration Database (SRDB) number only a few hundred worldwide. Similarly, only a single data-driven wall-to-wall estimate of annual average heterotrophic respiration exists, based on bottom-up upscaling of SRDB measurements using an assumed functional form to account for climate variability. In this study, we exploit recent advances in remote sensing of terrestrial carbon fluxes to estimate global variations in heterotrophic respiration in a top-down fashion at monthly temporal resolution and 4&amp;thinsp;x&amp;thinsp;5&amp;deg; spatial resolution. We combine net ecosystem productivity estimates from atmospheric inversions of the NASA Carbon Monitoring System- Flux (CMS-Flux) with an optimally-scaled gross primary productivity dataset based on satellite-observed solar-induced fluorescence variations to estimate total ecosystem respiration as a residual of the terrestrial carbon balance. The ecosystem respiration is then separated into autotrophic and heterotrophic components based on a spatially-varying carbon use efficiency retrieved in a model-data fusion framework (the CARbon DAta MOdel fraMework, CARDAMOM). The resulting dataset is independent of any assumptions about how heterotrophic respiration responds to climate or substrate variations. It estimates an annual average global average heterotrophic respiration flux of 43.6&amp;thinsp;&amp;pm;&amp;thinsp;19.3&amp;thinsp;Pg&amp;thinsp;C/yr. These top-down estimates are compared to bottom-up estimates of annual heterotrophic respiration, with new uncertainty estimates that partially account for sampling and model errors. Top-down heterotrophic respiration estimates are higher than those from bottom-up upscaling everywhere except at high latitudes, and are 30&amp;thinsp;% greater overall (43.6&amp;thinsp;Pg&amp;thinsp;C/yr vs. 33.4&amp;thinsp;Pg&amp;thinsp;C/yr). The uncertainty ranges of both methods are comparable, except poleward of 45 degrees North, where bottom-up uncertainties are greater. The ratio of top-down heterotrophic to total ecosystem respiration varies seasonally by as much as 0.6 depending on season and climate, illustrating the importance of studying the drivers of autotrophic and heterotrophic respiration separately, and thus the importance of data-driven estimates of Rh such as those es…","author":[{"dropping-particle":"","family":"Konings","given":"Alexandra G.","non-dropping-particle":"","parse-names":false,"suffix":""},{"dropping-particle":"","family":"Bloom","given":"A. Anthony","non-dropping-particle":"","parse-names":false,"suffix":""},{"dropping-particle":"","family":"Liu","given":"Junjie","non-dropping-particle":"","parse-names":false,"suffix":""},{"dropping-particle":"","family":"Parazoo","given":"Nicholas C.","non-dropping-particle":"","parse-names":false,"suffix":""},{"dropping-particle":"","family":"Schimel","given":"David S.","non-dropping-particle":"","parse-names":false,"suffix":""},{"dropping-particle":"","family":"Bowman","given":"Kevin W.","non-dropping-particle":"","parse-names":false,"suffix":""}],"container-title":"Biogeosciences","id":"ITEM-1","issued":{"date-parts":[["2019","11","15"]]},"page":"2269-2284","title":"Global, Satellite-Driven Estimates of Heterotrophic Respiration","type":"article-journal","volume":"16"},"uris":["http://www.mendeley.com/documents/?uuid=156123b4-21b3-3c9d-9b2f-04dfacecead9"]}],"mendeley":{"formattedCitation":"&lt;sup&gt;31&lt;/sup&gt;","plainTextFormattedCitation":"31","previouslyFormattedCitation":"&lt;sup&gt;31&lt;/sup&gt;"},"properties":{"noteIndex":0},"schema":"https://github.com/citation-style-language/schema/raw/master/csl-citation.json"}</w:instrText>
      </w:r>
      <w:r w:rsidRPr="00CA64FA">
        <w:rPr>
          <w:rFonts w:ascii="Times New Roman" w:hAnsi="Times New Roman" w:cs="Times New Roman"/>
          <w:color w:val="000000" w:themeColor="text1"/>
        </w:rPr>
        <w:fldChar w:fldCharType="separate"/>
      </w:r>
      <w:r w:rsidRPr="00CA64FA">
        <w:rPr>
          <w:rFonts w:ascii="Times New Roman" w:hAnsi="Times New Roman" w:cs="Times New Roman"/>
          <w:noProof/>
          <w:color w:val="000000" w:themeColor="text1"/>
        </w:rPr>
        <w:t>31</w:t>
      </w:r>
      <w:r w:rsidRPr="00CA64FA">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Pr="00DA354E">
        <w:rPr>
          <w:rFonts w:ascii="Times New Roman" w:hAnsi="Times New Roman" w:cs="Times New Roman"/>
          <w:color w:val="000000" w:themeColor="text1"/>
        </w:rPr>
        <w:t xml:space="preserve"> and the random-forest based upscaling approach (this study), spatial patterns of annual median SHR from both products are displayed in </w:t>
      </w:r>
      <w:r w:rsidR="00541658">
        <w:rPr>
          <w:rFonts w:ascii="Times New Roman" w:hAnsi="Times New Roman" w:cs="Times New Roman"/>
          <w:color w:val="000000" w:themeColor="text1"/>
        </w:rPr>
        <w:t>Supplementary</w:t>
      </w:r>
      <w:r w:rsidR="00541658" w:rsidRPr="00DA354E">
        <w:rPr>
          <w:rFonts w:ascii="Times New Roman" w:hAnsi="Times New Roman" w:cs="Times New Roman"/>
          <w:color w:val="000000" w:themeColor="text1"/>
        </w:rPr>
        <w:t xml:space="preserve"> </w:t>
      </w:r>
      <w:r w:rsidRPr="00DA354E">
        <w:rPr>
          <w:rFonts w:ascii="Times New Roman" w:hAnsi="Times New Roman" w:cs="Times New Roman"/>
          <w:color w:val="000000" w:themeColor="text1"/>
        </w:rPr>
        <w:t>Fig</w:t>
      </w:r>
      <w:r>
        <w:rPr>
          <w:rFonts w:ascii="Times New Roman" w:hAnsi="Times New Roman" w:cs="Times New Roman"/>
          <w:color w:val="000000" w:themeColor="text1"/>
        </w:rPr>
        <w:t>.</w:t>
      </w:r>
      <w:r w:rsidRPr="00DA354E">
        <w:rPr>
          <w:rFonts w:ascii="Times New Roman" w:hAnsi="Times New Roman" w:cs="Times New Roman"/>
          <w:color w:val="000000" w:themeColor="text1"/>
        </w:rPr>
        <w:t xml:space="preserve"> </w:t>
      </w:r>
      <w:r w:rsidR="00683641">
        <w:rPr>
          <w:rFonts w:ascii="Times New Roman" w:hAnsi="Times New Roman" w:cs="Times New Roman"/>
          <w:color w:val="000000" w:themeColor="text1"/>
        </w:rPr>
        <w:t>7</w:t>
      </w:r>
      <w:r w:rsidRPr="00DA354E">
        <w:rPr>
          <w:rFonts w:ascii="Times New Roman" w:hAnsi="Times New Roman" w:cs="Times New Roman"/>
          <w:color w:val="000000" w:themeColor="text1"/>
        </w:rPr>
        <w:t xml:space="preserve">a-b. Desert areas in Sahara, Arabia and Xinjiang in China have been filtered in the </w:t>
      </w:r>
      <w:proofErr w:type="spellStart"/>
      <w:r w:rsidRPr="00DA354E">
        <w:rPr>
          <w:rFonts w:ascii="Times New Roman" w:hAnsi="Times New Roman" w:cs="Times New Roman"/>
          <w:color w:val="000000" w:themeColor="text1"/>
        </w:rPr>
        <w:t>Konings</w:t>
      </w:r>
      <w:proofErr w:type="spellEnd"/>
      <w:r w:rsidRPr="00DA354E">
        <w:rPr>
          <w:rFonts w:ascii="Times New Roman" w:hAnsi="Times New Roman" w:cs="Times New Roman"/>
          <w:color w:val="000000" w:themeColor="text1"/>
        </w:rPr>
        <w:t xml:space="preserve"> et al. products. The spatial distributions of the first (Q1) and third quantiles (Q3) are shown in </w:t>
      </w:r>
      <w:r w:rsidR="00683641">
        <w:rPr>
          <w:rFonts w:ascii="Times New Roman" w:hAnsi="Times New Roman" w:cs="Times New Roman"/>
          <w:color w:val="000000" w:themeColor="text1"/>
        </w:rPr>
        <w:t>Supplementary</w:t>
      </w:r>
      <w:r w:rsidR="00683641" w:rsidRPr="00DA354E">
        <w:rPr>
          <w:rFonts w:ascii="Times New Roman" w:hAnsi="Times New Roman" w:cs="Times New Roman"/>
          <w:color w:val="000000" w:themeColor="text1"/>
        </w:rPr>
        <w:t xml:space="preserve"> </w:t>
      </w:r>
      <w:r w:rsidRPr="00DA354E">
        <w:rPr>
          <w:rFonts w:ascii="Times New Roman" w:hAnsi="Times New Roman" w:cs="Times New Roman"/>
          <w:color w:val="000000" w:themeColor="text1"/>
        </w:rPr>
        <w:t>Fig</w:t>
      </w:r>
      <w:r>
        <w:rPr>
          <w:rFonts w:ascii="Times New Roman" w:hAnsi="Times New Roman" w:cs="Times New Roman"/>
          <w:color w:val="000000" w:themeColor="text1"/>
        </w:rPr>
        <w:t>.</w:t>
      </w:r>
      <w:r w:rsidRPr="00DA354E">
        <w:rPr>
          <w:rFonts w:ascii="Times New Roman" w:hAnsi="Times New Roman" w:cs="Times New Roman"/>
          <w:color w:val="000000" w:themeColor="text1"/>
        </w:rPr>
        <w:t xml:space="preserve"> </w:t>
      </w:r>
      <w:r w:rsidR="00683641">
        <w:rPr>
          <w:rFonts w:ascii="Times New Roman" w:hAnsi="Times New Roman" w:cs="Times New Roman"/>
          <w:color w:val="000000" w:themeColor="text1"/>
        </w:rPr>
        <w:t>7</w:t>
      </w:r>
      <w:r w:rsidRPr="00DA354E">
        <w:rPr>
          <w:rFonts w:ascii="Times New Roman" w:hAnsi="Times New Roman" w:cs="Times New Roman"/>
          <w:color w:val="000000" w:themeColor="text1"/>
        </w:rPr>
        <w:t xml:space="preserve">c-f. </w:t>
      </w:r>
    </w:p>
    <w:p w:rsidR="00D7497F" w:rsidRPr="00DA354E" w:rsidRDefault="00D7497F" w:rsidP="00D7497F">
      <w:pPr>
        <w:rPr>
          <w:rFonts w:ascii="Times New Roman" w:hAnsi="Times New Roman" w:cs="Times New Roman"/>
          <w:color w:val="000000" w:themeColor="text1"/>
        </w:rPr>
      </w:pPr>
    </w:p>
    <w:p w:rsidR="00683641" w:rsidRPr="00DA354E" w:rsidRDefault="00683641" w:rsidP="00683641">
      <w:pPr>
        <w:rPr>
          <w:rFonts w:ascii="Times New Roman" w:hAnsi="Times New Roman" w:cs="Times New Roman"/>
          <w:b/>
          <w:color w:val="000000" w:themeColor="text1"/>
        </w:rPr>
      </w:pPr>
      <w:r w:rsidRPr="00DA354E">
        <w:rPr>
          <w:rFonts w:ascii="Times New Roman" w:hAnsi="Times New Roman" w:cs="Times New Roman"/>
          <w:b/>
          <w:color w:val="000000" w:themeColor="text1"/>
        </w:rPr>
        <w:t>Supplementary</w:t>
      </w:r>
      <w:r>
        <w:rPr>
          <w:rFonts w:ascii="Times New Roman" w:hAnsi="Times New Roman" w:cs="Times New Roman"/>
          <w:b/>
          <w:color w:val="000000" w:themeColor="text1"/>
        </w:rPr>
        <w:t xml:space="preserve"> Text 4. </w:t>
      </w:r>
      <w:r w:rsidRPr="00DA354E">
        <w:rPr>
          <w:rFonts w:ascii="Times New Roman" w:hAnsi="Times New Roman" w:cs="Times New Roman"/>
          <w:b/>
          <w:color w:val="000000" w:themeColor="text1"/>
        </w:rPr>
        <w:t>OSCAR earth system model</w:t>
      </w:r>
    </w:p>
    <w:p w:rsidR="00683641" w:rsidRPr="005C2A3C" w:rsidRDefault="00683641" w:rsidP="007233A0">
      <w:pPr>
        <w:rPr>
          <w:rFonts w:ascii="Times New Roman" w:hAnsi="Times New Roman" w:cs="Times New Roman"/>
          <w:b/>
          <w:i/>
          <w:color w:val="000000" w:themeColor="text1"/>
        </w:rPr>
      </w:pPr>
      <w:r w:rsidRPr="00DA354E">
        <w:rPr>
          <w:rFonts w:ascii="Times New Roman" w:hAnsi="Times New Roman" w:cs="Times New Roman"/>
          <w:b/>
          <w:i/>
          <w:color w:val="000000" w:themeColor="text1"/>
        </w:rPr>
        <w:t>Model description</w:t>
      </w:r>
    </w:p>
    <w:p w:rsidR="00683641" w:rsidRPr="00DA354E" w:rsidRDefault="00683641" w:rsidP="00683641">
      <w:pPr>
        <w:jc w:val="both"/>
        <w:rPr>
          <w:rFonts w:ascii="Times New Roman" w:hAnsi="Times New Roman" w:cs="Times New Roman"/>
          <w:color w:val="000000" w:themeColor="text1"/>
        </w:rPr>
      </w:pPr>
      <w:r w:rsidRPr="00DA354E">
        <w:rPr>
          <w:rFonts w:ascii="Times New Roman" w:hAnsi="Times New Roman" w:cs="Times New Roman"/>
          <w:color w:val="000000" w:themeColor="text1"/>
        </w:rPr>
        <w:t xml:space="preserve">The compact carbon-climate model OSCAR v2.1 </w:t>
      </w:r>
      <w:r>
        <w:rPr>
          <w:rFonts w:ascii="Times New Roman" w:hAnsi="Times New Roman" w:cs="Times New Roman"/>
          <w:color w:val="000000" w:themeColor="text1"/>
        </w:rPr>
        <w:t>[</w:t>
      </w:r>
      <w:r w:rsidRPr="005C2A3C">
        <w:rPr>
          <w:rFonts w:ascii="Times New Roman" w:hAnsi="Times New Roman" w:cs="Times New Roman"/>
          <w:color w:val="000000" w:themeColor="text1"/>
        </w:rPr>
        <w:fldChar w:fldCharType="begin" w:fldLock="1"/>
      </w:r>
      <w:r w:rsidRPr="005C2A3C">
        <w:rPr>
          <w:rFonts w:ascii="Times New Roman" w:hAnsi="Times New Roman" w:cs="Times New Roman"/>
          <w:color w:val="000000" w:themeColor="text1"/>
        </w:rPr>
        <w:instrText>ADDIN CSL_CITATION {"citationItems":[{"id":"ITEM-1","itemData":{"DOI":"10.5194/gmd-10-271-2017","ISSN":"19919603","abstract":"© Author(s) 2017. This paper provides a comprehensive description of OSCAR v2.2, a simple Earth system model. The general philosophy of development is first explained, followed by a complete description of the model's drivers and various modules. All components of the Earth system necessary to simulate future climate change are represented in the model: the oceanic and terrestrial carbon cycles - including a book-keeping module to endogenously estimate land-use change emissions - so as to simulate the change in atmospheric carbon dioxide; the tropospheric chemistry and the natural wetlands, to simulate that of methane; the stratospheric chemistry, for nitrous oxide; 37 halogenated compounds; changing tropospheric and stratospheric ozone; the direct and indirect effects of aerosols; changes in surface albedo caused by black carbon deposition on snow and land-cover change; and the global and regional response of climate - in terms of temperature and precipitation - to all these climate forcers. Following the probabilistic framework of the model, an ensemble of simulations is made over the historical period (1750-2010). We show that the model performs well in reproducing observed past changes in the Earth system such as increased atmospheric concentration of greenhouse gases or increased global mean surface temperature.","author":[{"dropping-particle":"","family":"Gasser","given":"T.","non-dropping-particle":"","parse-names":false,"suffix":""},{"dropping-particle":"","family":"Ciais","given":"P.","non-dropping-particle":"","parse-names":false,"suffix":""},{"dropping-particle":"","family":"Boucher","given":"O.","non-dropping-particle":"","parse-names":false,"suffix":""},{"dropping-particle":"","family":"Quilcaille","given":"Y.","non-dropping-particle":"","parse-names":false,"suffix":""},{"dropping-particle":"","family":"Tortora","given":"M.","non-dropping-particle":"","parse-names":false,"suffix":""},{"dropping-particle":"","family":"Bopp","given":"L.","non-dropping-particle":"","parse-names":false,"suffix":""},{"dropping-particle":"","family":"Hauglustaine","given":"D.","non-dropping-particle":"","parse-names":false,"suffix":""}],"container-title":"Geoscientific Model Development","id":"ITEM-1","issue":"1","issued":{"date-parts":[["2017"]]},"title":"The compact Earth system model OSCAR v2.2: Description and first results","type":"article-journal","volume":"10"},"uris":["http://www.mendeley.com/documents/?uuid=31fc36f1-c481-3f28-b4ab-608bb04c544c"]}],"mendeley":{"formattedCitation":"&lt;sup&gt;33&lt;/sup&gt;","plainTextFormattedCitation":"33","previouslyFormattedCitation":"&lt;sup&gt;33&lt;/sup&gt;"},"properties":{"noteIndex":0},"schema":"https://github.com/citation-style-language/schema/raw/master/csl-citation.json"}</w:instrText>
      </w:r>
      <w:r w:rsidRPr="005C2A3C">
        <w:rPr>
          <w:rFonts w:ascii="Times New Roman" w:hAnsi="Times New Roman" w:cs="Times New Roman"/>
          <w:color w:val="000000" w:themeColor="text1"/>
        </w:rPr>
        <w:fldChar w:fldCharType="separate"/>
      </w:r>
      <w:r w:rsidRPr="005C2A3C">
        <w:rPr>
          <w:rFonts w:ascii="Times New Roman" w:hAnsi="Times New Roman" w:cs="Times New Roman"/>
          <w:noProof/>
          <w:color w:val="000000" w:themeColor="text1"/>
        </w:rPr>
        <w:t>33</w:t>
      </w:r>
      <w:r w:rsidRPr="005C2A3C">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Pr="00DA354E">
        <w:rPr>
          <w:rFonts w:ascii="Times New Roman" w:hAnsi="Times New Roman" w:cs="Times New Roman"/>
          <w:color w:val="000000" w:themeColor="text1"/>
        </w:rPr>
        <w:t>was used to estimate the effect of including/excluding processes that prevent carbon from NPP to be delivered as a substrate of soil heterotrophic respiration. This specific version of OSCAR was calibrated to emulate the land carbon cycle of seven ESMs (</w:t>
      </w:r>
      <w:r>
        <w:rPr>
          <w:rFonts w:ascii="Times New Roman" w:hAnsi="Times New Roman" w:cs="Times New Roman"/>
          <w:color w:val="000000" w:themeColor="text1"/>
          <w:lang w:eastAsia="zh-CN"/>
        </w:rPr>
        <w:t xml:space="preserve">Supplementary </w:t>
      </w:r>
      <w:r w:rsidRPr="00DA354E">
        <w:rPr>
          <w:rFonts w:ascii="Times New Roman" w:hAnsi="Times New Roman" w:cs="Times New Roman"/>
          <w:color w:val="000000" w:themeColor="text1"/>
        </w:rPr>
        <w:t xml:space="preserve">Table </w:t>
      </w:r>
      <w:r>
        <w:rPr>
          <w:rFonts w:ascii="Times New Roman" w:hAnsi="Times New Roman" w:cs="Times New Roman"/>
          <w:color w:val="000000" w:themeColor="text1"/>
        </w:rPr>
        <w:t>5</w:t>
      </w:r>
      <w:r w:rsidRPr="00DA354E">
        <w:rPr>
          <w:rFonts w:ascii="Times New Roman" w:hAnsi="Times New Roman" w:cs="Times New Roman"/>
          <w:color w:val="000000" w:themeColor="text1"/>
        </w:rPr>
        <w:t xml:space="preserve">) with a regional subdivision that follows RECCAP regions (see main text Fig. 1). For each ESM, OSCAR was tuned to match for each RECCAP region the preindustrial land carbon stocks, the turnover times of carbon in biomass and soils, and the NPP of the CMIP5 control run, with unforced variability (named </w:t>
      </w:r>
      <w:proofErr w:type="spellStart"/>
      <w:r w:rsidRPr="00DA354E">
        <w:rPr>
          <w:rFonts w:ascii="Times New Roman" w:hAnsi="Times New Roman" w:cs="Times New Roman"/>
          <w:i/>
          <w:color w:val="000000" w:themeColor="text1"/>
        </w:rPr>
        <w:t>piControl</w:t>
      </w:r>
      <w:proofErr w:type="spellEnd"/>
      <w:r w:rsidRPr="00DA354E">
        <w:rPr>
          <w:rFonts w:ascii="Times New Roman" w:hAnsi="Times New Roman" w:cs="Times New Roman"/>
          <w:color w:val="000000" w:themeColor="text1"/>
        </w:rPr>
        <w:t>). The regional NPP sensitivities to atmospheric CO</w:t>
      </w:r>
      <w:r w:rsidRPr="00DA354E">
        <w:rPr>
          <w:rFonts w:ascii="Times New Roman" w:hAnsi="Times New Roman" w:cs="Times New Roman"/>
          <w:color w:val="000000" w:themeColor="text1"/>
          <w:vertAlign w:val="subscript"/>
        </w:rPr>
        <w:t>2</w:t>
      </w:r>
      <w:r w:rsidRPr="00DA354E">
        <w:rPr>
          <w:rFonts w:ascii="Times New Roman" w:hAnsi="Times New Roman" w:cs="Times New Roman"/>
          <w:color w:val="000000" w:themeColor="text1"/>
        </w:rPr>
        <w:t xml:space="preserve"> (assumed hyperbolic in OSCAR) and to temperature change (assumed linear) are calibrated on the ESMs’ outputs from three idealized simulations of CMIP5 (namely </w:t>
      </w:r>
      <w:r w:rsidRPr="00DA354E">
        <w:rPr>
          <w:rFonts w:ascii="Times New Roman" w:hAnsi="Times New Roman" w:cs="Times New Roman"/>
          <w:i/>
          <w:color w:val="000000" w:themeColor="text1"/>
        </w:rPr>
        <w:t>1pctCO2</w:t>
      </w:r>
      <w:r w:rsidRPr="00DA354E">
        <w:rPr>
          <w:rFonts w:ascii="Times New Roman" w:hAnsi="Times New Roman" w:cs="Times New Roman"/>
          <w:color w:val="000000" w:themeColor="text1"/>
        </w:rPr>
        <w:t xml:space="preserve">, </w:t>
      </w:r>
      <w:r w:rsidRPr="00DA354E">
        <w:rPr>
          <w:rFonts w:ascii="Times New Roman" w:hAnsi="Times New Roman" w:cs="Times New Roman"/>
          <w:i/>
          <w:color w:val="000000" w:themeColor="text1"/>
        </w:rPr>
        <w:t>esmFdbk1</w:t>
      </w:r>
      <w:r w:rsidRPr="00DA354E">
        <w:rPr>
          <w:rFonts w:ascii="Times New Roman" w:hAnsi="Times New Roman" w:cs="Times New Roman"/>
          <w:color w:val="000000" w:themeColor="text1"/>
        </w:rPr>
        <w:t xml:space="preserve">, </w:t>
      </w:r>
      <w:r w:rsidRPr="00DA354E">
        <w:rPr>
          <w:rFonts w:ascii="Times New Roman" w:hAnsi="Times New Roman" w:cs="Times New Roman"/>
          <w:i/>
          <w:color w:val="000000" w:themeColor="text1"/>
        </w:rPr>
        <w:t>esmFixClim1</w:t>
      </w:r>
      <w:r w:rsidRPr="00DA354E">
        <w:rPr>
          <w:rFonts w:ascii="Times New Roman" w:hAnsi="Times New Roman" w:cs="Times New Roman"/>
          <w:color w:val="000000" w:themeColor="text1"/>
        </w:rPr>
        <w:t xml:space="preserve">). The regional </w:t>
      </w:r>
      <w:r w:rsidRPr="00DA354E">
        <w:rPr>
          <w:rFonts w:ascii="Times New Roman" w:hAnsi="Times New Roman" w:cs="Times New Roman"/>
          <w:i/>
          <w:color w:val="000000" w:themeColor="text1"/>
        </w:rPr>
        <w:t>SHR</w:t>
      </w:r>
      <w:r w:rsidRPr="00DA354E">
        <w:rPr>
          <w:rFonts w:ascii="Times New Roman" w:hAnsi="Times New Roman" w:cs="Times New Roman"/>
          <w:color w:val="000000" w:themeColor="text1"/>
        </w:rPr>
        <w:t xml:space="preserve"> sensitivities to the input carbon flux from dead biomass (assumed linear), and to temperature change (assumed exponential, i.e. following a Q</w:t>
      </w:r>
      <w:r w:rsidRPr="00DA354E">
        <w:rPr>
          <w:rFonts w:ascii="Times New Roman" w:hAnsi="Times New Roman" w:cs="Times New Roman"/>
          <w:color w:val="000000" w:themeColor="text1"/>
          <w:vertAlign w:val="subscript"/>
        </w:rPr>
        <w:t>10</w:t>
      </w:r>
      <w:r w:rsidRPr="00DA354E">
        <w:rPr>
          <w:rFonts w:ascii="Times New Roman" w:hAnsi="Times New Roman" w:cs="Times New Roman"/>
          <w:color w:val="000000" w:themeColor="text1"/>
        </w:rPr>
        <w:t xml:space="preserve"> formulation) are also calibrated on those three simulations, for each ESM and for each RECCAP region. The climate response to global radiative forcing is emulated by an impulse response function</w:t>
      </w:r>
      <w:r>
        <w:rPr>
          <w:rFonts w:ascii="Times New Roman" w:hAnsi="Times New Roman" w:cs="Times New Roman"/>
          <w:color w:val="000000" w:themeColor="text1"/>
        </w:rPr>
        <w:t xml:space="preserve"> [</w:t>
      </w:r>
      <w:r w:rsidRPr="005C2A3C">
        <w:rPr>
          <w:rFonts w:ascii="Times New Roman" w:hAnsi="Times New Roman" w:cs="Times New Roman"/>
          <w:color w:val="000000" w:themeColor="text1"/>
        </w:rPr>
        <w:fldChar w:fldCharType="begin" w:fldLock="1"/>
      </w:r>
      <w:r w:rsidRPr="005C2A3C">
        <w:rPr>
          <w:rFonts w:ascii="Times New Roman" w:hAnsi="Times New Roman" w:cs="Times New Roman"/>
          <w:color w:val="000000" w:themeColor="text1"/>
        </w:rPr>
        <w:instrText>ADDIN CSL_CITATION {"citationItems":[{"id":"ITEM-1","itemData":{"DOI":"10.1175/JCLI-D-12-00195.1","ISSN":"0894-8755","author":[{"dropping-particle":"","family":"Geoffroy","given":"O.","non-dropping-particle":"","parse-names":false,"suffix":""},{"dropping-particle":"","family":"Saint-Martin","given":"D.","non-dropping-particle":"","parse-names":false,"suffix":""},{"dropping-particle":"","family":"Olivié","given":"D. J. L.","non-dropping-particle":"","parse-names":false,"suffix":""},{"dropping-particle":"","family":"Voldoire","given":"a.","non-dropping-particle":"","parse-names":false,"suffix":""},{"dropping-particle":"","family":"Bellon","given":"G.","non-dropping-particle":"","parse-names":false,"suffix":""},{"dropping-particle":"","family":"Tytéca","given":"S.","non-dropping-particle":"","parse-names":false,"suffix":""}],"container-title":"Journal of Climate","id":"ITEM-1","issue":"6","issued":{"date-parts":[["2013","3"]]},"page":"1841-1857","title":"Transient Climate Response in a Two-Layer Energy-Balance Model. Part I: Analytical Solution and Parameter Calibration Using CMIP5 AOGCM Experiments","type":"article-journal","volume":"26"},"uris":["http://www.mendeley.com/documents/?uuid=62fea171-e353-44e2-8929-744ac54ecfd2"]}],"mendeley":{"formattedCitation":"&lt;sup&gt;95&lt;/sup&gt;","plainTextFormattedCitation":"95","previouslyFormattedCitation":"&lt;sup&gt;95&lt;/sup&gt;"},"properties":{"noteIndex":0},"schema":"https://github.com/citation-style-language/schema/raw/master/csl-citation.json"}</w:instrText>
      </w:r>
      <w:r w:rsidRPr="005C2A3C">
        <w:rPr>
          <w:rFonts w:ascii="Times New Roman" w:hAnsi="Times New Roman" w:cs="Times New Roman"/>
          <w:color w:val="000000" w:themeColor="text1"/>
        </w:rPr>
        <w:fldChar w:fldCharType="separate"/>
      </w:r>
      <w:r w:rsidRPr="005C2A3C">
        <w:rPr>
          <w:rFonts w:ascii="Times New Roman" w:hAnsi="Times New Roman" w:cs="Times New Roman"/>
          <w:noProof/>
          <w:color w:val="000000" w:themeColor="text1"/>
        </w:rPr>
        <w:t>95</w:t>
      </w:r>
      <w:r w:rsidRPr="005C2A3C">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Pr="00DA354E">
        <w:rPr>
          <w:rFonts w:ascii="Times New Roman" w:hAnsi="Times New Roman" w:cs="Times New Roman"/>
          <w:color w:val="000000" w:themeColor="text1"/>
        </w:rPr>
        <w:t xml:space="preserve">  that is calibrated on the CMIP5 simulation </w:t>
      </w:r>
      <w:r w:rsidRPr="00DA354E">
        <w:rPr>
          <w:rFonts w:ascii="Times New Roman" w:hAnsi="Times New Roman" w:cs="Times New Roman"/>
          <w:i/>
          <w:color w:val="000000" w:themeColor="text1"/>
        </w:rPr>
        <w:t>abrupt4xCO2</w:t>
      </w:r>
      <w:r w:rsidRPr="00DA354E">
        <w:rPr>
          <w:rFonts w:ascii="Times New Roman" w:hAnsi="Times New Roman" w:cs="Times New Roman"/>
          <w:color w:val="000000" w:themeColor="text1"/>
        </w:rPr>
        <w:t xml:space="preserve"> of the corresponding ESM. Only two correspondences could not be found: so we took CCSM4 as the climate model of the land carbon model CESM-C1 and </w:t>
      </w:r>
      <w:proofErr w:type="spellStart"/>
      <w:r w:rsidRPr="00DA354E">
        <w:rPr>
          <w:rFonts w:ascii="Times New Roman" w:hAnsi="Times New Roman" w:cs="Times New Roman"/>
          <w:color w:val="000000" w:themeColor="text1"/>
        </w:rPr>
        <w:t>NorESM</w:t>
      </w:r>
      <w:proofErr w:type="spellEnd"/>
      <w:r w:rsidRPr="00DA354E">
        <w:rPr>
          <w:rFonts w:ascii="Times New Roman" w:hAnsi="Times New Roman" w:cs="Times New Roman"/>
          <w:color w:val="000000" w:themeColor="text1"/>
        </w:rPr>
        <w:t xml:space="preserve">-M as that of the land carbon model </w:t>
      </w:r>
      <w:proofErr w:type="spellStart"/>
      <w:r w:rsidRPr="00DA354E">
        <w:rPr>
          <w:rFonts w:ascii="Times New Roman" w:hAnsi="Times New Roman" w:cs="Times New Roman"/>
          <w:color w:val="000000" w:themeColor="text1"/>
        </w:rPr>
        <w:t>NorESM</w:t>
      </w:r>
      <w:proofErr w:type="spellEnd"/>
      <w:r w:rsidRPr="00DA354E">
        <w:rPr>
          <w:rFonts w:ascii="Times New Roman" w:hAnsi="Times New Roman" w:cs="Times New Roman"/>
          <w:color w:val="000000" w:themeColor="text1"/>
        </w:rPr>
        <w:t>-ME.</w:t>
      </w:r>
    </w:p>
    <w:p w:rsidR="00683641" w:rsidRPr="00DA354E" w:rsidRDefault="00683641" w:rsidP="00683641">
      <w:pPr>
        <w:rPr>
          <w:rFonts w:ascii="Times New Roman" w:hAnsi="Times New Roman" w:cs="Times New Roman"/>
          <w:color w:val="000000" w:themeColor="text1"/>
        </w:rPr>
      </w:pPr>
    </w:p>
    <w:p w:rsidR="00683641" w:rsidRPr="005C2A3C" w:rsidRDefault="00683641" w:rsidP="00683641">
      <w:pPr>
        <w:rPr>
          <w:rFonts w:ascii="Times New Roman" w:hAnsi="Times New Roman" w:cs="Times New Roman"/>
          <w:b/>
          <w:i/>
          <w:color w:val="000000" w:themeColor="text1"/>
        </w:rPr>
      </w:pPr>
      <w:r w:rsidRPr="00DA354E">
        <w:rPr>
          <w:rFonts w:ascii="Times New Roman" w:hAnsi="Times New Roman" w:cs="Times New Roman"/>
          <w:b/>
          <w:i/>
          <w:color w:val="000000" w:themeColor="text1"/>
        </w:rPr>
        <w:t>Future scenarios SIM-1 and SIM-2 derived from CMIP5 Earth System Model results</w:t>
      </w:r>
    </w:p>
    <w:p w:rsidR="00683641" w:rsidRPr="00DA354E" w:rsidRDefault="00683641" w:rsidP="00683641">
      <w:pPr>
        <w:jc w:val="both"/>
        <w:rPr>
          <w:rFonts w:ascii="Times New Roman" w:hAnsi="Times New Roman" w:cs="Times New Roman"/>
          <w:color w:val="000000" w:themeColor="text1"/>
        </w:rPr>
      </w:pPr>
      <w:r w:rsidRPr="00DA354E">
        <w:rPr>
          <w:rFonts w:ascii="Times New Roman" w:hAnsi="Times New Roman" w:cs="Times New Roman"/>
          <w:color w:val="000000" w:themeColor="text1"/>
        </w:rPr>
        <w:t xml:space="preserve">We determine </w:t>
      </w:r>
      <w:r w:rsidRPr="005C2A3C">
        <w:rPr>
          <w:rFonts w:ascii="Times New Roman" w:eastAsia="Noto Sans Symbols" w:hAnsi="Times New Roman" w:cs="Times New Roman"/>
          <w:i/>
          <w:iCs/>
          <w:color w:val="000000" w:themeColor="text1"/>
        </w:rPr>
        <w:t>β</w:t>
      </w:r>
      <w:r w:rsidRPr="00DA354E">
        <w:rPr>
          <w:rFonts w:ascii="Times New Roman" w:hAnsi="Times New Roman" w:cs="Times New Roman"/>
          <w:color w:val="000000" w:themeColor="text1"/>
          <w:vertAlign w:val="subscript"/>
        </w:rPr>
        <w:t>soil</w:t>
      </w:r>
      <w:r w:rsidRPr="00DA354E">
        <w:rPr>
          <w:rFonts w:ascii="Times New Roman" w:hAnsi="Times New Roman" w:cs="Times New Roman"/>
          <w:color w:val="000000" w:themeColor="text1"/>
        </w:rPr>
        <w:t xml:space="preserve"> and </w:t>
      </w:r>
      <w:proofErr w:type="spellStart"/>
      <w:r w:rsidRPr="00DA354E">
        <w:rPr>
          <w:rFonts w:ascii="Times New Roman" w:eastAsia="Noto Sans Symbols" w:hAnsi="Times New Roman" w:cs="Times New Roman"/>
          <w:color w:val="000000" w:themeColor="text1"/>
        </w:rPr>
        <w:t>γ</w:t>
      </w:r>
      <w:r w:rsidRPr="00DA354E">
        <w:rPr>
          <w:rFonts w:ascii="Times New Roman" w:hAnsi="Times New Roman" w:cs="Times New Roman"/>
          <w:color w:val="000000" w:themeColor="text1"/>
          <w:vertAlign w:val="subscript"/>
        </w:rPr>
        <w:t>soil</w:t>
      </w:r>
      <w:proofErr w:type="spellEnd"/>
      <w:r w:rsidRPr="00DA354E">
        <w:rPr>
          <w:rFonts w:ascii="Times New Roman" w:hAnsi="Times New Roman" w:cs="Times New Roman"/>
          <w:color w:val="000000" w:themeColor="text1"/>
        </w:rPr>
        <w:t xml:space="preserve"> (shown in main text and. Figure 3) with two simulations giving the increase in atmospheric CO</w:t>
      </w:r>
      <w:r w:rsidRPr="00DA354E">
        <w:rPr>
          <w:rFonts w:ascii="Times New Roman" w:hAnsi="Times New Roman" w:cs="Times New Roman"/>
          <w:color w:val="000000" w:themeColor="text1"/>
          <w:vertAlign w:val="subscript"/>
        </w:rPr>
        <w:t>2</w:t>
      </w:r>
      <w:r w:rsidRPr="00DA354E">
        <w:rPr>
          <w:rFonts w:ascii="Times New Roman" w:hAnsi="Times New Roman" w:cs="Times New Roman"/>
          <w:color w:val="000000" w:themeColor="text1"/>
        </w:rPr>
        <w:t xml:space="preserve"> and prescribing non-CO</w:t>
      </w:r>
      <w:r w:rsidRPr="00DA354E">
        <w:rPr>
          <w:rFonts w:ascii="Times New Roman" w:hAnsi="Times New Roman" w:cs="Times New Roman"/>
          <w:color w:val="000000" w:themeColor="text1"/>
          <w:vertAlign w:val="subscript"/>
        </w:rPr>
        <w:t>2</w:t>
      </w:r>
      <w:r w:rsidRPr="00DA354E">
        <w:rPr>
          <w:rFonts w:ascii="Times New Roman" w:hAnsi="Times New Roman" w:cs="Times New Roman"/>
          <w:color w:val="000000" w:themeColor="text1"/>
        </w:rPr>
        <w:t xml:space="preserve"> radiative forcing of the RCP8.5</w:t>
      </w:r>
      <w:r>
        <w:rPr>
          <w:rFonts w:ascii="Times New Roman" w:hAnsi="Times New Roman" w:cs="Times New Roman"/>
          <w:color w:val="000000" w:themeColor="text1"/>
        </w:rPr>
        <w:t xml:space="preserve"> [</w:t>
      </w:r>
      <w:r w:rsidRPr="005C2A3C">
        <w:rPr>
          <w:rFonts w:ascii="Times New Roman" w:hAnsi="Times New Roman" w:cs="Times New Roman"/>
          <w:color w:val="000000" w:themeColor="text1"/>
        </w:rPr>
        <w:fldChar w:fldCharType="begin" w:fldLock="1"/>
      </w:r>
      <w:r w:rsidRPr="005C2A3C">
        <w:rPr>
          <w:rFonts w:ascii="Times New Roman" w:hAnsi="Times New Roman" w:cs="Times New Roman"/>
          <w:color w:val="000000" w:themeColor="text1"/>
        </w:rPr>
        <w:instrText>ADDIN CSL_CITATION {"citationItems":[{"id":"ITEM-1","itemData":{"DOI":"10.1007/s10584-011-0156-z","ISSN":"0165-0009","author":[{"dropping-particle":"","family":"Meinshausen","given":"Malte","non-dropping-particle":"","parse-names":false,"suffix":""},{"dropping-particle":"","family":"Smith","given":"S. J.","non-dropping-particle":"","parse-names":false,"suffix":""},{"dropping-particle":"","family":"Calvin","given":"K.","non-dropping-particle":"","parse-names":false,"suffix":""},{"dropping-particle":"","family":"Daniel","given":"J. S.","non-dropping-particle":"","parse-names":false,"suffix":""},{"dropping-particle":"","family":"Kainuma","given":"M. L. T.","non-dropping-particle":"","parse-names":false,"suffix":""},{"dropping-particle":"","family":"Lamarque","given":"J-F.","non-dropping-particle":"","parse-names":false,"suffix":""},{"dropping-particle":"","family":"Matsumoto","given":"K.","non-dropping-particle":"","parse-names":false,"suffix":""},{"dropping-particle":"","family":"Montzka","given":"S. a.","non-dropping-particle":"","parse-names":false,"suffix":""},{"dropping-particle":"","family":"Raper","given":"S. C. B.","non-dropping-particle":"","parse-names":false,"suffix":""},{"dropping-particle":"","family":"Riahi","given":"K.","non-dropping-particle":"","parse-names":false,"suffix":""},{"dropping-particle":"","family":"Thomson","given":"a.","non-dropping-particle":"","parse-names":false,"suffix":""},{"dropping-particle":"","family":"Velders","given":"G. J. M.","non-dropping-particle":"","parse-names":false,"suffix":""},{"dropping-particle":"","family":"Vuuren","given":"D.P. P.","non-dropping-particle":"","parse-names":false,"suffix":""}],"container-title":"Climatic Change","id":"ITEM-1","issue":"1-2","issued":{"date-parts":[["2011","8"]]},"page":"213-241","title":"The RCP greenhouse gas concentrations and their extensions from 1765 to 2300","type":"article-journal","volume":"109"},"uris":["http://www.mendeley.com/documents/?uuid=5d498eb0-1515-4f37-9016-5473a8d42f83"]}],"mendeley":{"formattedCitation":"&lt;sup&gt;96&lt;/sup&gt;","plainTextFormattedCitation":"96","previouslyFormattedCitation":"&lt;sup&gt;96&lt;/sup&gt;"},"properties":{"noteIndex":0},"schema":"https://github.com/citation-style-language/schema/raw/master/csl-citation.json"}</w:instrText>
      </w:r>
      <w:r w:rsidRPr="005C2A3C">
        <w:rPr>
          <w:rFonts w:ascii="Times New Roman" w:hAnsi="Times New Roman" w:cs="Times New Roman"/>
          <w:color w:val="000000" w:themeColor="text1"/>
        </w:rPr>
        <w:fldChar w:fldCharType="separate"/>
      </w:r>
      <w:r w:rsidRPr="005C2A3C">
        <w:rPr>
          <w:rFonts w:ascii="Times New Roman" w:hAnsi="Times New Roman" w:cs="Times New Roman"/>
          <w:noProof/>
          <w:color w:val="000000" w:themeColor="text1"/>
        </w:rPr>
        <w:t>96</w:t>
      </w:r>
      <w:r w:rsidRPr="005C2A3C">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Pr="00DA354E">
        <w:rPr>
          <w:rFonts w:ascii="Times New Roman" w:hAnsi="Times New Roman" w:cs="Times New Roman"/>
          <w:color w:val="000000" w:themeColor="text1"/>
        </w:rPr>
        <w:t>. In the first simulation, the carbon cycle and the climate are fully coupled. In the second one, only the climate is impacted by the increase of atmospheric CO</w:t>
      </w:r>
      <w:r w:rsidRPr="00DA354E">
        <w:rPr>
          <w:rFonts w:ascii="Times New Roman" w:hAnsi="Times New Roman" w:cs="Times New Roman"/>
          <w:color w:val="000000" w:themeColor="text1"/>
          <w:vertAlign w:val="subscript"/>
        </w:rPr>
        <w:t>2</w:t>
      </w:r>
      <w:r w:rsidRPr="00DA354E">
        <w:rPr>
          <w:rFonts w:ascii="Times New Roman" w:hAnsi="Times New Roman" w:cs="Times New Roman"/>
          <w:color w:val="000000" w:themeColor="text1"/>
        </w:rPr>
        <w:t xml:space="preserve"> while the carbon cycle sees a pre-industrial climate. </w:t>
      </w:r>
      <w:r w:rsidRPr="005C2A3C">
        <w:rPr>
          <w:rFonts w:ascii="Times New Roman" w:eastAsia="Noto Sans Symbols" w:hAnsi="Times New Roman" w:cs="Times New Roman"/>
          <w:i/>
          <w:iCs/>
          <w:color w:val="000000" w:themeColor="text1"/>
        </w:rPr>
        <w:t>β</w:t>
      </w:r>
      <w:r w:rsidRPr="00DA354E">
        <w:rPr>
          <w:rFonts w:ascii="Times New Roman" w:hAnsi="Times New Roman" w:cs="Times New Roman"/>
          <w:color w:val="000000" w:themeColor="text1"/>
          <w:vertAlign w:val="subscript"/>
        </w:rPr>
        <w:t>soil</w:t>
      </w:r>
      <w:r w:rsidRPr="00DA354E">
        <w:rPr>
          <w:rFonts w:ascii="Times New Roman" w:hAnsi="Times New Roman" w:cs="Times New Roman"/>
          <w:color w:val="000000" w:themeColor="text1"/>
        </w:rPr>
        <w:t xml:space="preserve"> and </w:t>
      </w:r>
      <w:proofErr w:type="spellStart"/>
      <w:r w:rsidRPr="00DA354E">
        <w:rPr>
          <w:rFonts w:ascii="Times New Roman" w:eastAsia="Noto Sans Symbols" w:hAnsi="Times New Roman" w:cs="Times New Roman"/>
          <w:color w:val="000000" w:themeColor="text1"/>
        </w:rPr>
        <w:t>γ</w:t>
      </w:r>
      <w:r w:rsidRPr="00DA354E">
        <w:rPr>
          <w:rFonts w:ascii="Times New Roman" w:hAnsi="Times New Roman" w:cs="Times New Roman"/>
          <w:color w:val="000000" w:themeColor="text1"/>
          <w:vertAlign w:val="subscript"/>
        </w:rPr>
        <w:t>soil</w:t>
      </w:r>
      <w:proofErr w:type="spellEnd"/>
      <w:r w:rsidRPr="00DA354E">
        <w:rPr>
          <w:rFonts w:ascii="Times New Roman" w:hAnsi="Times New Roman" w:cs="Times New Roman"/>
          <w:color w:val="000000" w:themeColor="text1"/>
        </w:rPr>
        <w:t xml:space="preserve"> are then calculated following the methodology developed for C4MIP</w:t>
      </w:r>
      <w:r>
        <w:rPr>
          <w:rFonts w:ascii="Times New Roman" w:hAnsi="Times New Roman" w:cs="Times New Roman"/>
          <w:color w:val="000000" w:themeColor="text1"/>
        </w:rPr>
        <w:t xml:space="preserve"> [</w:t>
      </w:r>
      <w:r w:rsidRPr="005C2A3C">
        <w:rPr>
          <w:rFonts w:ascii="Times New Roman" w:hAnsi="Times New Roman" w:cs="Times New Roman"/>
          <w:color w:val="000000" w:themeColor="text1"/>
        </w:rPr>
        <w:fldChar w:fldCharType="begin" w:fldLock="1"/>
      </w:r>
      <w:r w:rsidRPr="005C2A3C">
        <w:rPr>
          <w:rFonts w:ascii="Times New Roman" w:hAnsi="Times New Roman" w:cs="Times New Roman"/>
          <w:color w:val="000000" w:themeColor="text1"/>
        </w:rPr>
        <w:instrText>ADDIN CSL_CITATION {"citationItems":[{"id":"ITEM-1","itemData":{"DOI":"10.1175/JCLI3800.1","ISSN":"0894-8755","abstract":"Abstract Eleven coupled climate?carbon cycle models used a common protocol to study the coupling between climate change and the carbon cycle. The models were forced by historical emissions and the Intergovernmental Panel on Climate Change (IPCC) Special Report on Emissions Scenarios (SRES) A2 anthropogenic emissions of CO2 for the 1850?2100 time period. For each model, two simulations were performed in order to isolate the impact of climate change on the land and ocean carbon cycle, and therefore the climate feedback on the atmospheric CO2 concentration growth rate. There was unanimous agreement among the models that future climate change will reduce the efficiency of the earth system to absorb the anthropogenic carbon perturbation. A larger fraction of anthropogenic CO2 will stay airborne if climate change is accounted for. By the end of the twenty-first century, this additional CO2 varied between 20 and 200 ppm for the two extreme models, the majority of the models lying between 50 and 100 ppm. The higher CO2 levels led to an additional climate warming ranging between 0.1° and 1.5°C. All models simulated a negative sensitivity for both the land and the ocean carbon cycle to future climate. However, there was still a large uncertainty on the magnitude of these sensitivities. Eight models attributed most of the changes to the land, while three attributed it to the ocean. Also, a majority of the models located the reduction of land carbon uptake in the Tropics. However, the attribution of the land sensitivity to changes in net primary productivity versus changes in respiration is still subject to debate; no consensus emerged among the models.","author":[{"dropping-particle":"","family":"Friedlingstein","given":"P","non-dropping-particle":"","parse-names":false,"suffix":""},{"dropping-particle":"","family":"Cox","given":"P","non-dropping-particle":"","parse-names":false,"suffix":""},{"dropping-particle":"","family":"Betts","given":"R","non-dropping-particle":"","parse-names":false,"suffix":""},{"dropping-particle":"","family":"Bopp","given":"L","non-dropping-particle":"","parse-names":false,"suffix":""},{"dropping-particle":"","family":"Bloh","given":"W","non-dropping-particle":"von","parse-names":false,"suffix":""},{"dropping-particle":"","family":"Brovkin","given":"V","non-dropping-particle":"","parse-names":false,"suffix":""},{"dropping-particle":"","family":"Cadule","given":"P","non-dropping-particle":"","parse-names":false,"suffix":""},{"dropping-particle":"","family":"Doney","given":"S","non-dropping-particle":"","parse-names":false,"suffix":""},{"dropping-particle":"","family":"Eby","given":"M","non-dropping-particle":"","parse-names":false,"suffix":""},{"dropping-particle":"","family":"Fung","given":"I","non-dropping-particle":"","parse-names":false,"suffix":""},{"dropping-particle":"","family":"Bala","given":"G","non-dropping-particle":"","parse-names":false,"suffix":""},{"dropping-particle":"","family":"John","given":"J","non-dropping-particle":"","parse-names":false,"suffix":""},{"dropping-particle":"","family":"Jones","given":"C","non-dropping-particle":"","parse-names":false,"suffix":""},{"dropping-particle":"","family":"Joos","given":"F","non-dropping-particle":"","parse-names":false,"suffix":""},{"dropping-particle":"","family":"Kato","given":"T","non-dropping-particle":"","parse-names":false,"suffix":""},{"dropping-particle":"","family":"Kawamiya","given":"M","non-dropping-particle":"","parse-names":false,"suffix":""},{"dropping-particle":"","family":"Knorr","given":"W","non-dropping-particle":"","parse-names":false,"suffix":""},{"dropping-particle":"","family":"Lindsay","given":"K","non-dropping-particle":"","parse-names":false,"suffix":""},{"dropping-particle":"","family":"Matthews","given":"H D","non-dropping-particle":"","parse-names":false,"suffix":""},{"dropping-particle":"","family":"Raddatz","given":"T","non-dropping-particle":"","parse-names":false,"suffix":""},{"dropping-particle":"","family":"Rayner","given":"P","non-dropping-particle":"","parse-names":false,"suffix":""},{"dropping-particle":"","family":"Reick","given":"C","non-dropping-particle":"","parse-names":false,"suffix":""},{"dropping-particle":"","family":"Roeckner","given":"E","non-dropping-particle":"","parse-names":false,"suffix":""},{"dropping-particle":"","family":"Schnitzler","given":"K.-G.","non-dropping-particle":"","parse-names":false,"suffix":""},{"dropping-particle":"","family":"Schnur","given":"R","non-dropping-particle":"","parse-names":false,"suffix":""},{"dropping-particle":"","family":"Strassmann","given":"K","non-dropping-particle":"","parse-names":false,"suffix":""},{"dropping-particle":"","family":"Weaver","given":"A J","non-dropping-particle":"","parse-names":false,"suffix":""},{"dropping-particle":"","family":"Yoshikawa","given":"C","non-dropping-particle":"","parse-names":false,"suffix":""},{"dropping-particle":"","family":"Zeng","given":"N","non-dropping-particle":"","parse-names":false,"suffix":""}],"container-title":"Journal of Climate","id":"ITEM-1","issue":"14","issued":{"date-parts":[["2006","7"]]},"page":"3337-3353","publisher":"American Meteorological Society","title":"Climate–Carbon Cycle Feedback Analysis: Results from the C4MIP Model Intercomparison","type":"article-journal","volume":"19"},"uris":["http://www.mendeley.com/documents/?uuid=213c1586-b0d2-43ca-9650-f61cd52799c1"]}],"mendeley":{"formattedCitation":"&lt;sup&gt;6&lt;/sup&gt;","plainTextFormattedCitation":"6","previouslyFormattedCitation":"&lt;sup&gt;6&lt;/sup&gt;"},"properties":{"noteIndex":0},"schema":"https://github.com/citation-style-language/schema/raw/master/csl-citation.json"}</w:instrText>
      </w:r>
      <w:r w:rsidRPr="005C2A3C">
        <w:rPr>
          <w:rFonts w:ascii="Times New Roman" w:hAnsi="Times New Roman" w:cs="Times New Roman"/>
          <w:color w:val="000000" w:themeColor="text1"/>
        </w:rPr>
        <w:fldChar w:fldCharType="separate"/>
      </w:r>
      <w:r w:rsidRPr="005C2A3C">
        <w:rPr>
          <w:rFonts w:ascii="Times New Roman" w:hAnsi="Times New Roman" w:cs="Times New Roman"/>
          <w:noProof/>
          <w:color w:val="000000" w:themeColor="text1"/>
        </w:rPr>
        <w:t>6</w:t>
      </w:r>
      <w:r w:rsidRPr="005C2A3C">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Pr="00DA354E">
        <w:rPr>
          <w:rFonts w:ascii="Times New Roman" w:hAnsi="Times New Roman" w:cs="Times New Roman"/>
          <w:color w:val="000000" w:themeColor="text1"/>
        </w:rPr>
        <w:t>. To determine the increase in atmospheric CO</w:t>
      </w:r>
      <w:r w:rsidRPr="00DA354E">
        <w:rPr>
          <w:rFonts w:ascii="Times New Roman" w:hAnsi="Times New Roman" w:cs="Times New Roman"/>
          <w:color w:val="000000" w:themeColor="text1"/>
          <w:vertAlign w:val="subscript"/>
        </w:rPr>
        <w:t>2</w:t>
      </w:r>
      <w:r w:rsidRPr="00DA354E">
        <w:rPr>
          <w:rFonts w:ascii="Times New Roman" w:hAnsi="Times New Roman" w:cs="Times New Roman"/>
          <w:color w:val="000000" w:themeColor="text1"/>
        </w:rPr>
        <w:t xml:space="preserve"> and temperature (shown in main text Figs 3c and 3d) we used OSCAR in an emission-driven fashion: emissions of CO</w:t>
      </w:r>
      <w:r w:rsidRPr="00DA354E">
        <w:rPr>
          <w:rFonts w:ascii="Times New Roman" w:hAnsi="Times New Roman" w:cs="Times New Roman"/>
          <w:color w:val="000000" w:themeColor="text1"/>
          <w:vertAlign w:val="subscript"/>
        </w:rPr>
        <w:t>2</w:t>
      </w:r>
      <w:r w:rsidRPr="00DA354E">
        <w:rPr>
          <w:rFonts w:ascii="Times New Roman" w:hAnsi="Times New Roman" w:cs="Times New Roman"/>
          <w:color w:val="000000" w:themeColor="text1"/>
        </w:rPr>
        <w:t xml:space="preserve"> from fossil-fuel burning are prescribed following the RCP8.5 data</w:t>
      </w:r>
      <w:r>
        <w:rPr>
          <w:rFonts w:ascii="Times New Roman" w:hAnsi="Times New Roman" w:cs="Times New Roman"/>
          <w:color w:val="000000" w:themeColor="text1"/>
        </w:rPr>
        <w:t xml:space="preserve"> [</w:t>
      </w:r>
      <w:r w:rsidRPr="005C2A3C">
        <w:rPr>
          <w:rFonts w:ascii="Times New Roman" w:hAnsi="Times New Roman" w:cs="Times New Roman"/>
          <w:color w:val="000000" w:themeColor="text1"/>
        </w:rPr>
        <w:fldChar w:fldCharType="begin" w:fldLock="1"/>
      </w:r>
      <w:r w:rsidRPr="005C2A3C">
        <w:rPr>
          <w:rFonts w:ascii="Times New Roman" w:hAnsi="Times New Roman" w:cs="Times New Roman"/>
          <w:color w:val="000000" w:themeColor="text1"/>
        </w:rPr>
        <w:instrText>ADDIN CSL_CITATION {"citationItems":[{"id":"ITEM-1","itemData":{"DOI":"10.1007/s10584-011-0156-z","ISSN":"0165-0009","author":[{"dropping-particle":"","family":"Meinshausen","given":"Malte","non-dropping-particle":"","parse-names":false,"suffix":""},{"dropping-particle":"","family":"Smith","given":"S. J.","non-dropping-particle":"","parse-names":false,"suffix":""},{"dropping-particle":"","family":"Calvin","given":"K.","non-dropping-particle":"","parse-names":false,"suffix":""},{"dropping-particle":"","family":"Daniel","given":"J. S.","non-dropping-particle":"","parse-names":false,"suffix":""},{"dropping-particle":"","family":"Kainuma","given":"M. L. T.","non-dropping-particle":"","parse-names":false,"suffix":""},{"dropping-particle":"","family":"Lamarque","given":"J-F.","non-dropping-particle":"","parse-names":false,"suffix":""},{"dropping-particle":"","family":"Matsumoto","given":"K.","non-dropping-particle":"","parse-names":false,"suffix":""},{"dropping-particle":"","family":"Montzka","given":"S. a.","non-dropping-particle":"","parse-names":false,"suffix":""},{"dropping-particle":"","family":"Raper","given":"S. C. B.","non-dropping-particle":"","parse-names":false,"suffix":""},{"dropping-particle":"","family":"Riahi","given":"K.","non-dropping-particle":"","parse-names":false,"suffix":""},{"dropping-particle":"","family":"Thomson","given":"a.","non-dropping-particle":"","parse-names":false,"suffix":""},{"dropping-particle":"","family":"Velders","given":"G. J. M.","non-dropping-particle":"","parse-names":false,"suffix":""},{"dropping-particle":"","family":"Vuuren","given":"D.P. P.","non-dropping-particle":"","parse-names":false,"suffix":""}],"container-title":"Climatic Change","id":"ITEM-1","issue":"1-2","issued":{"date-parts":[["2011","8"]]},"page":"213-241","title":"The RCP greenhouse gas concentrations and their extensions from 1765 to 2300","type":"article-journal","volume":"109"},"uris":["http://www.mendeley.com/documents/?uuid=5d498eb0-1515-4f37-9016-5473a8d42f83"]}],"mendeley":{"formattedCitation":"&lt;sup&gt;96&lt;/sup&gt;","plainTextFormattedCitation":"96","previouslyFormattedCitation":"&lt;sup&gt;96&lt;/sup&gt;"},"properties":{"noteIndex":0},"schema":"https://github.com/citation-style-language/schema/raw/master/csl-citation.json"}</w:instrText>
      </w:r>
      <w:r w:rsidRPr="005C2A3C">
        <w:rPr>
          <w:rFonts w:ascii="Times New Roman" w:hAnsi="Times New Roman" w:cs="Times New Roman"/>
          <w:color w:val="000000" w:themeColor="text1"/>
        </w:rPr>
        <w:fldChar w:fldCharType="separate"/>
      </w:r>
      <w:r w:rsidRPr="005C2A3C">
        <w:rPr>
          <w:rFonts w:ascii="Times New Roman" w:hAnsi="Times New Roman" w:cs="Times New Roman"/>
          <w:noProof/>
          <w:color w:val="000000" w:themeColor="text1"/>
        </w:rPr>
        <w:t>96</w:t>
      </w:r>
      <w:r w:rsidRPr="005C2A3C">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Pr="00DA354E">
        <w:rPr>
          <w:rFonts w:ascii="Times New Roman" w:hAnsi="Times New Roman" w:cs="Times New Roman"/>
          <w:color w:val="000000" w:themeColor="text1"/>
        </w:rPr>
        <w:t>.</w:t>
      </w:r>
    </w:p>
    <w:p w:rsidR="00683641" w:rsidRPr="00DA354E" w:rsidRDefault="00683641" w:rsidP="00683641">
      <w:pPr>
        <w:jc w:val="both"/>
        <w:rPr>
          <w:rFonts w:ascii="Times New Roman" w:hAnsi="Times New Roman" w:cs="Times New Roman"/>
          <w:color w:val="000000" w:themeColor="text1"/>
        </w:rPr>
      </w:pPr>
    </w:p>
    <w:p w:rsidR="00683641" w:rsidRPr="00DA354E" w:rsidRDefault="00683641" w:rsidP="00683641">
      <w:pPr>
        <w:jc w:val="both"/>
        <w:rPr>
          <w:rFonts w:ascii="Times New Roman" w:hAnsi="Times New Roman" w:cs="Times New Roman"/>
          <w:color w:val="000000" w:themeColor="text1"/>
        </w:rPr>
      </w:pPr>
      <w:r w:rsidRPr="00DA354E">
        <w:rPr>
          <w:rFonts w:ascii="Times New Roman" w:hAnsi="Times New Roman" w:cs="Times New Roman"/>
          <w:color w:val="000000" w:themeColor="text1"/>
        </w:rPr>
        <w:lastRenderedPageBreak/>
        <w:t xml:space="preserve">Two sets of simulations were made in order to estimate the effect of including or not some component fluxes of NEE assessed in this study, that prevent carbon from NPP to be delivered as a substrate of soil heterotrophic respiration. These components are not included in ESMs. In all cases, those fluxes, excepted LUC emissions, are prescribed as a fraction of NPP that is immediately oxidized and emitted to the atmosphere. In the first set of simulations (SIM-1) only the fluxes that are already included in the CMIP5 version of the considered ESM are prescribed (see </w:t>
      </w:r>
      <w:r>
        <w:rPr>
          <w:rFonts w:ascii="Times New Roman" w:hAnsi="Times New Roman" w:cs="Times New Roman"/>
          <w:color w:val="000000" w:themeColor="text1"/>
        </w:rPr>
        <w:t xml:space="preserve">Supplementary </w:t>
      </w:r>
      <w:r w:rsidRPr="00DA354E">
        <w:rPr>
          <w:rFonts w:ascii="Times New Roman" w:hAnsi="Times New Roman" w:cs="Times New Roman"/>
          <w:color w:val="000000" w:themeColor="text1"/>
        </w:rPr>
        <w:t xml:space="preserve">Table </w:t>
      </w:r>
      <w:r>
        <w:rPr>
          <w:rFonts w:ascii="Times New Roman" w:hAnsi="Times New Roman" w:cs="Times New Roman"/>
          <w:color w:val="000000" w:themeColor="text1"/>
        </w:rPr>
        <w:t>5</w:t>
      </w:r>
      <w:r w:rsidRPr="00DA354E">
        <w:rPr>
          <w:rFonts w:ascii="Times New Roman" w:hAnsi="Times New Roman" w:cs="Times New Roman"/>
          <w:color w:val="000000" w:themeColor="text1"/>
        </w:rPr>
        <w:t>). In the second set of simulations (SIM-2), all the fluxes are prescribed in each region according to the results synthesized for this study, whatever the ESM.</w:t>
      </w:r>
    </w:p>
    <w:p w:rsidR="00683641" w:rsidRPr="00DA354E" w:rsidRDefault="00683641" w:rsidP="00683641">
      <w:pPr>
        <w:jc w:val="both"/>
        <w:rPr>
          <w:rFonts w:ascii="Times New Roman" w:hAnsi="Times New Roman" w:cs="Times New Roman"/>
          <w:color w:val="000000" w:themeColor="text1"/>
        </w:rPr>
      </w:pPr>
    </w:p>
    <w:p w:rsidR="00683641" w:rsidRPr="00DA354E" w:rsidRDefault="00683641" w:rsidP="00683641">
      <w:pPr>
        <w:jc w:val="both"/>
        <w:rPr>
          <w:rFonts w:ascii="Times New Roman" w:hAnsi="Times New Roman" w:cs="Times New Roman"/>
          <w:color w:val="000000" w:themeColor="text1"/>
        </w:rPr>
      </w:pPr>
      <w:r w:rsidRPr="00DA354E">
        <w:rPr>
          <w:rFonts w:ascii="Times New Roman" w:hAnsi="Times New Roman" w:cs="Times New Roman"/>
          <w:color w:val="000000" w:themeColor="text1"/>
        </w:rPr>
        <w:t xml:space="preserve">To perform the SIM-2 simulations with OSCAR being calibrated for each CMIP5 ESM, we need time series of all the NEE components that are not related to </w:t>
      </w:r>
      <w:r w:rsidRPr="00683641">
        <w:rPr>
          <w:rFonts w:ascii="Times New Roman" w:hAnsi="Times New Roman" w:cs="Times New Roman"/>
          <w:iCs/>
          <w:color w:val="000000" w:themeColor="text1"/>
        </w:rPr>
        <w:t>SHR</w:t>
      </w:r>
      <w:r w:rsidRPr="00DA354E">
        <w:rPr>
          <w:rFonts w:ascii="Times New Roman" w:hAnsi="Times New Roman" w:cs="Times New Roman"/>
          <w:color w:val="000000" w:themeColor="text1"/>
        </w:rPr>
        <w:t xml:space="preserve">, expressed as a fraction of yearly </w:t>
      </w:r>
      <w:r w:rsidRPr="00520155">
        <w:rPr>
          <w:rFonts w:ascii="Times New Roman" w:hAnsi="Times New Roman" w:cs="Times New Roman"/>
          <w:color w:val="000000" w:themeColor="text1"/>
        </w:rPr>
        <w:t>NPP. To create those time series, we first grouped the fluxes of Supplementary Fig. 3</w:t>
      </w:r>
      <w:r w:rsidRPr="00520155">
        <w:rPr>
          <w:rFonts w:ascii="Times New Roman" w:hAnsi="Times New Roman" w:cs="Times New Roman"/>
          <w:i/>
          <w:color w:val="000000" w:themeColor="text1"/>
        </w:rPr>
        <w:t xml:space="preserve"> </w:t>
      </w:r>
      <w:r w:rsidRPr="00520155">
        <w:rPr>
          <w:rFonts w:ascii="Times New Roman" w:hAnsi="Times New Roman" w:cs="Times New Roman"/>
          <w:color w:val="000000" w:themeColor="text1"/>
        </w:rPr>
        <w:t>into six groups (</w:t>
      </w:r>
      <w:r w:rsidR="00520155" w:rsidRPr="00520155">
        <w:rPr>
          <w:rFonts w:ascii="Times New Roman" w:hAnsi="Times New Roman" w:cs="Times New Roman"/>
          <w:color w:val="000000" w:themeColor="text1"/>
        </w:rPr>
        <w:t xml:space="preserve">Supplementary </w:t>
      </w:r>
      <w:r w:rsidRPr="00520155">
        <w:rPr>
          <w:rFonts w:ascii="Times New Roman" w:hAnsi="Times New Roman" w:cs="Times New Roman"/>
          <w:color w:val="000000" w:themeColor="text1"/>
        </w:rPr>
        <w:t xml:space="preserve">Table </w:t>
      </w:r>
      <w:r w:rsidR="00520155" w:rsidRPr="00520155">
        <w:rPr>
          <w:rFonts w:ascii="Times New Roman" w:hAnsi="Times New Roman" w:cs="Times New Roman"/>
          <w:color w:val="000000" w:themeColor="text1"/>
        </w:rPr>
        <w:t>6</w:t>
      </w:r>
      <w:r w:rsidRPr="00520155">
        <w:rPr>
          <w:rFonts w:ascii="Times New Roman" w:hAnsi="Times New Roman" w:cs="Times New Roman"/>
          <w:color w:val="000000" w:themeColor="text1"/>
        </w:rPr>
        <w:t>). Second, we considered the RECCAP estimates of each flux in each region</w:t>
      </w:r>
      <w:r w:rsidRPr="00DA354E">
        <w:rPr>
          <w:rFonts w:ascii="Times New Roman" w:hAnsi="Times New Roman" w:cs="Times New Roman"/>
          <w:color w:val="000000" w:themeColor="text1"/>
        </w:rPr>
        <w:t xml:space="preserve"> from </w:t>
      </w:r>
      <w:r>
        <w:rPr>
          <w:rFonts w:ascii="Times New Roman" w:hAnsi="Times New Roman" w:cs="Times New Roman"/>
          <w:color w:val="000000" w:themeColor="text1"/>
        </w:rPr>
        <w:t>Supplementary</w:t>
      </w:r>
      <w:r w:rsidRPr="00DA354E">
        <w:rPr>
          <w:rFonts w:ascii="Times New Roman" w:hAnsi="Times New Roman" w:cs="Times New Roman"/>
          <w:color w:val="000000" w:themeColor="text1"/>
        </w:rPr>
        <w:t xml:space="preserve"> Table 1 as reference values of the ratio of each flux over NPP, for the 2000-2010 time period. Third, for each of these groups of fluxes, and for NPP, we estimated changes relative to this reference period at different snapshots, using various proxies. The snapshots used to create the time series of the groups of fluxes listed in </w:t>
      </w:r>
      <w:r w:rsidR="00520155" w:rsidRPr="00520155">
        <w:rPr>
          <w:rFonts w:ascii="Times New Roman" w:hAnsi="Times New Roman" w:cs="Times New Roman"/>
          <w:color w:val="000000" w:themeColor="text1"/>
        </w:rPr>
        <w:t>Supplementary Table 6</w:t>
      </w:r>
      <w:r w:rsidRPr="00DA354E">
        <w:rPr>
          <w:rFonts w:ascii="Times New Roman" w:hAnsi="Times New Roman" w:cs="Times New Roman"/>
          <w:color w:val="000000" w:themeColor="text1"/>
        </w:rPr>
        <w:t xml:space="preserve"> are: 1850, 1900, 1950, 2050 and 2100 (following RCP8.5); except for the </w:t>
      </w:r>
      <w:r w:rsidRPr="00DA354E">
        <w:rPr>
          <w:rFonts w:ascii="Times New Roman" w:hAnsi="Times New Roman" w:cs="Times New Roman"/>
          <w:i/>
          <w:color w:val="000000" w:themeColor="text1"/>
        </w:rPr>
        <w:t>Rivers</w:t>
      </w:r>
      <w:r w:rsidRPr="00DA354E">
        <w:rPr>
          <w:rFonts w:ascii="Times New Roman" w:hAnsi="Times New Roman" w:cs="Times New Roman"/>
          <w:color w:val="000000" w:themeColor="text1"/>
        </w:rPr>
        <w:t xml:space="preserve"> group that was back-casted only for 1850. Between these points, we used linear interpolation. We used the multi-model mean from the CMIP5 ESMs as proxy for regional NPP (seven models), emissions from wildfires (four models) and CO</w:t>
      </w:r>
      <w:r w:rsidRPr="00DA354E">
        <w:rPr>
          <w:rFonts w:ascii="Times New Roman" w:hAnsi="Times New Roman" w:cs="Times New Roman"/>
          <w:color w:val="000000" w:themeColor="text1"/>
          <w:vertAlign w:val="subscript"/>
        </w:rPr>
        <w:t>2</w:t>
      </w:r>
      <w:r w:rsidRPr="00DA354E">
        <w:rPr>
          <w:rFonts w:ascii="Times New Roman" w:hAnsi="Times New Roman" w:cs="Times New Roman"/>
          <w:color w:val="000000" w:themeColor="text1"/>
        </w:rPr>
        <w:t xml:space="preserve"> fluxes from land-use change and harvested wood products (five models for the past, three for the future). We used the change in cropland and pasture area from the LUH1 dataset</w:t>
      </w:r>
      <w:r>
        <w:rPr>
          <w:rFonts w:ascii="Times New Roman" w:hAnsi="Times New Roman" w:cs="Times New Roman"/>
          <w:color w:val="000000" w:themeColor="text1"/>
        </w:rPr>
        <w:t xml:space="preserve"> [</w:t>
      </w:r>
      <w:r w:rsidRPr="005C2A3C">
        <w:rPr>
          <w:rFonts w:ascii="Times New Roman" w:hAnsi="Times New Roman" w:cs="Times New Roman"/>
          <w:iCs/>
          <w:color w:val="000000" w:themeColor="text1"/>
        </w:rPr>
        <w:t>92]</w:t>
      </w:r>
      <w:r w:rsidRPr="00DA354E">
        <w:rPr>
          <w:rFonts w:ascii="Times New Roman" w:hAnsi="Times New Roman" w:cs="Times New Roman"/>
          <w:color w:val="000000" w:themeColor="text1"/>
        </w:rPr>
        <w:t xml:space="preserve"> as proxies for the </w:t>
      </w:r>
      <w:r w:rsidRPr="00DA354E">
        <w:rPr>
          <w:rFonts w:ascii="Times New Roman" w:hAnsi="Times New Roman" w:cs="Times New Roman"/>
          <w:i/>
          <w:color w:val="000000" w:themeColor="text1"/>
        </w:rPr>
        <w:t xml:space="preserve">Harvest </w:t>
      </w:r>
      <w:r w:rsidRPr="00DA354E">
        <w:rPr>
          <w:rFonts w:ascii="Times New Roman" w:hAnsi="Times New Roman" w:cs="Times New Roman"/>
          <w:color w:val="000000" w:themeColor="text1"/>
        </w:rPr>
        <w:t xml:space="preserve">and </w:t>
      </w:r>
      <w:r w:rsidRPr="00DA354E">
        <w:rPr>
          <w:rFonts w:ascii="Times New Roman" w:hAnsi="Times New Roman" w:cs="Times New Roman"/>
          <w:i/>
          <w:color w:val="000000" w:themeColor="text1"/>
        </w:rPr>
        <w:t>Grazing</w:t>
      </w:r>
      <w:r w:rsidRPr="00DA354E">
        <w:rPr>
          <w:rFonts w:ascii="Times New Roman" w:hAnsi="Times New Roman" w:cs="Times New Roman"/>
          <w:color w:val="000000" w:themeColor="text1"/>
        </w:rPr>
        <w:t xml:space="preserve"> groups of fluxes.</w:t>
      </w:r>
    </w:p>
    <w:p w:rsidR="00683641" w:rsidRPr="00DA354E" w:rsidRDefault="00683641" w:rsidP="00683641">
      <w:pPr>
        <w:jc w:val="both"/>
        <w:rPr>
          <w:rFonts w:ascii="Times New Roman" w:hAnsi="Times New Roman" w:cs="Times New Roman"/>
          <w:color w:val="000000" w:themeColor="text1"/>
        </w:rPr>
      </w:pPr>
    </w:p>
    <w:p w:rsidR="00683641" w:rsidRPr="00DA354E" w:rsidRDefault="00683641" w:rsidP="00683641">
      <w:pPr>
        <w:jc w:val="both"/>
        <w:rPr>
          <w:rFonts w:ascii="Times New Roman" w:hAnsi="Times New Roman" w:cs="Times New Roman"/>
          <w:color w:val="000000" w:themeColor="text1"/>
        </w:rPr>
      </w:pPr>
      <w:r w:rsidRPr="00DA354E">
        <w:rPr>
          <w:rFonts w:ascii="Times New Roman" w:hAnsi="Times New Roman" w:cs="Times New Roman"/>
          <w:color w:val="000000" w:themeColor="text1"/>
        </w:rPr>
        <w:t>Projections of relative changes in inland water-atmosphere CO</w:t>
      </w:r>
      <w:r w:rsidRPr="00DA354E">
        <w:rPr>
          <w:rFonts w:ascii="Times New Roman" w:hAnsi="Times New Roman" w:cs="Times New Roman"/>
          <w:color w:val="000000" w:themeColor="text1"/>
          <w:vertAlign w:val="subscript"/>
        </w:rPr>
        <w:t>2</w:t>
      </w:r>
      <w:r w:rsidRPr="00DA354E">
        <w:rPr>
          <w:rFonts w:ascii="Times New Roman" w:hAnsi="Times New Roman" w:cs="Times New Roman"/>
          <w:color w:val="000000" w:themeColor="text1"/>
        </w:rPr>
        <w:t xml:space="preserve"> fluxes from 1850, 2000, 2050 and 2100 were specifically made for this study using the spatially-explicit empirical model of ref.</w:t>
      </w:r>
      <w:r>
        <w:rPr>
          <w:rFonts w:ascii="Times New Roman" w:hAnsi="Times New Roman" w:cs="Times New Roman"/>
          <w:color w:val="000000" w:themeColor="text1"/>
        </w:rPr>
        <w:t xml:space="preserve"> [</w:t>
      </w:r>
      <w:r w:rsidRPr="005C2A3C">
        <w:rPr>
          <w:rFonts w:ascii="Times New Roman" w:hAnsi="Times New Roman" w:cs="Times New Roman"/>
          <w:color w:val="000000" w:themeColor="text1"/>
        </w:rPr>
        <w:fldChar w:fldCharType="begin" w:fldLock="1"/>
      </w:r>
      <w:r w:rsidRPr="005C2A3C">
        <w:rPr>
          <w:rFonts w:ascii="Times New Roman" w:hAnsi="Times New Roman" w:cs="Times New Roman"/>
          <w:color w:val="000000" w:themeColor="text1"/>
        </w:rPr>
        <w:instrText>ADDIN CSL_CITATION {"citationItems":[{"id":"ITEM-1","itemData":{"DOI":"10.1002/2014GB004941","ISSN":"08866236","author":[{"dropping-particle":"","family":"Lauerwald","given":"Ronny","non-dropping-particle":"","parse-names":false,"suffix":""},{"dropping-particle":"","family":"Laruelle","given":"Goulven G","non-dropping-particle":"","parse-names":false,"suffix":""},{"dropping-particle":"","family":"Hartmann","given":"Jens","non-dropping-particle":"","parse-names":false,"suffix":""},{"dropping-particle":"","family":"Ciais","given":"Philippe","non-dropping-particle":"","parse-names":false,"suffix":""},{"dropping-particle":"","family":"Regnier","given":"Pierre A.G.","non-dropping-particle":"","parse-names":false,"suffix":""}],"container-title":"Global Biogeochemical Cycles","id":"ITEM-1","issue":"5","issued":{"date-parts":[["2015","5"]]},"page":"534-554","title":"Spatial patterns in CO2 evasion from the global river network","type":"article-journal","volume":"29"},"uris":["http://www.mendeley.com/documents/?uuid=4e0486d5-587a-4f30-8b77-15db040e8c4d"]}],"mendeley":{"formattedCitation":"&lt;sup&gt;97&lt;/sup&gt;","plainTextFormattedCitation":"97","previouslyFormattedCitation":"&lt;sup&gt;97&lt;/sup&gt;"},"properties":{"noteIndex":0},"schema":"https://github.com/citation-style-language/schema/raw/master/csl-citation.json"}</w:instrText>
      </w:r>
      <w:r w:rsidRPr="005C2A3C">
        <w:rPr>
          <w:rFonts w:ascii="Times New Roman" w:hAnsi="Times New Roman" w:cs="Times New Roman"/>
          <w:color w:val="000000" w:themeColor="text1"/>
        </w:rPr>
        <w:fldChar w:fldCharType="separate"/>
      </w:r>
      <w:r w:rsidRPr="005C2A3C">
        <w:rPr>
          <w:rFonts w:ascii="Times New Roman" w:hAnsi="Times New Roman" w:cs="Times New Roman"/>
          <w:noProof/>
          <w:color w:val="000000" w:themeColor="text1"/>
        </w:rPr>
        <w:t>97</w:t>
      </w:r>
      <w:r w:rsidRPr="005C2A3C">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Pr="00DA354E">
        <w:rPr>
          <w:rFonts w:ascii="Times New Roman" w:hAnsi="Times New Roman" w:cs="Times New Roman"/>
          <w:color w:val="000000" w:themeColor="text1"/>
        </w:rPr>
        <w:t xml:space="preserve"> with updated values of its main predictor variables: air temperature, terrestrial NPP and population density. The average projected change in NPP and air temperature were derived from the gridded historical data and future projections corresponding to the seven ESMs discussed in this study. Projected changes in population density were obtained from the medium fecundity scenario of the population growth estimated by the UN</w:t>
      </w:r>
      <w:r>
        <w:rPr>
          <w:rFonts w:ascii="Times New Roman" w:hAnsi="Times New Roman" w:cs="Times New Roman"/>
          <w:color w:val="000000" w:themeColor="text1"/>
        </w:rPr>
        <w:t xml:space="preserve"> [</w:t>
      </w:r>
      <w:r w:rsidRPr="005C2A3C">
        <w:rPr>
          <w:rFonts w:ascii="Times New Roman" w:hAnsi="Times New Roman" w:cs="Times New Roman"/>
          <w:color w:val="000000" w:themeColor="text1"/>
        </w:rPr>
        <w:fldChar w:fldCharType="begin" w:fldLock="1"/>
      </w:r>
      <w:r w:rsidRPr="005C2A3C">
        <w:rPr>
          <w:rFonts w:ascii="Times New Roman" w:hAnsi="Times New Roman" w:cs="Times New Roman"/>
          <w:color w:val="000000" w:themeColor="text1"/>
        </w:rPr>
        <w:instrText>ADDIN CSL_CITATION {"citationItems":[{"id":"ITEM-1","itemData":{"id":"ITEM-1","issued":{"date-parts":[["0"]]},"title":"United Nations, Department of Economic and Social Affairs, Population Division (2013).World Population Prospects: The 2012 Revision, DVD Edition.","type":"article-journal"},"uris":["http://www.mendeley.com/documents/?uuid=40a028e9-53ac-4d7f-ae97-e5580f05301a"]}],"mendeley":{"formattedCitation":"&lt;sup&gt;98&lt;/sup&gt;","plainTextFormattedCitation":"98","previouslyFormattedCitation":"&lt;sup&gt;98&lt;/sup&gt;"},"properties":{"noteIndex":0},"schema":"https://github.com/citation-style-language/schema/raw/master/csl-citation.json"}</w:instrText>
      </w:r>
      <w:r w:rsidRPr="005C2A3C">
        <w:rPr>
          <w:rFonts w:ascii="Times New Roman" w:hAnsi="Times New Roman" w:cs="Times New Roman"/>
          <w:color w:val="000000" w:themeColor="text1"/>
        </w:rPr>
        <w:fldChar w:fldCharType="separate"/>
      </w:r>
      <w:r w:rsidRPr="005C2A3C">
        <w:rPr>
          <w:rFonts w:ascii="Times New Roman" w:hAnsi="Times New Roman" w:cs="Times New Roman"/>
          <w:noProof/>
          <w:color w:val="000000" w:themeColor="text1"/>
        </w:rPr>
        <w:t>98</w:t>
      </w:r>
      <w:r w:rsidRPr="005C2A3C">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Pr="00DA354E">
        <w:rPr>
          <w:rFonts w:ascii="Times New Roman" w:hAnsi="Times New Roman" w:cs="Times New Roman"/>
          <w:color w:val="000000" w:themeColor="text1"/>
        </w:rPr>
        <w:t>. The simulated relative changes in CO</w:t>
      </w:r>
      <w:r w:rsidRPr="00DA354E">
        <w:rPr>
          <w:rFonts w:ascii="Times New Roman" w:hAnsi="Times New Roman" w:cs="Times New Roman"/>
          <w:color w:val="000000" w:themeColor="text1"/>
          <w:vertAlign w:val="subscript"/>
        </w:rPr>
        <w:t>2</w:t>
      </w:r>
      <w:r w:rsidRPr="00DA354E">
        <w:rPr>
          <w:rFonts w:ascii="Times New Roman" w:hAnsi="Times New Roman" w:cs="Times New Roman"/>
          <w:color w:val="000000" w:themeColor="text1"/>
        </w:rPr>
        <w:t xml:space="preserve"> evasion were then applied to the present-day estimates of ref. </w:t>
      </w:r>
      <w:r>
        <w:rPr>
          <w:rFonts w:ascii="Times New Roman" w:hAnsi="Times New Roman" w:cs="Times New Roman"/>
          <w:color w:val="000000" w:themeColor="text1"/>
        </w:rPr>
        <w:t>[</w:t>
      </w:r>
      <w:r w:rsidRPr="005C2A3C">
        <w:rPr>
          <w:rFonts w:ascii="Times New Roman" w:hAnsi="Times New Roman" w:cs="Times New Roman"/>
          <w:color w:val="000000" w:themeColor="text1"/>
        </w:rPr>
        <w:fldChar w:fldCharType="begin" w:fldLock="1"/>
      </w:r>
      <w:r w:rsidRPr="005C2A3C">
        <w:rPr>
          <w:rFonts w:ascii="Times New Roman" w:hAnsi="Times New Roman" w:cs="Times New Roman"/>
          <w:color w:val="000000" w:themeColor="text1"/>
        </w:rPr>
        <w:instrText>ADDIN CSL_CITATION {"citationItems":[{"id":"ITEM-1","itemData":{"DOI":"10.1038/nature12760","ISSN":"1476-4687","PMID":"24256802","abstract":"Carbon dioxide (CO2) transfer from inland waters to the atmosphere, known as CO2 evasion, is a component of the global carbon cycle. Global estimates of CO2 evasion have been hampered, however, by the lack of a framework for estimating the inland water surface area and gas transfer velocity and by the absence of a global CO2 database. Here we report regional variations in global inland water surface area, dissolved CO2 and gas transfer velocity. We obtain global CO2 evasion rates of 1.8(+0.25)(-0.25) petagrams of carbon (Pg C) per year from streams and rivers and 0.32(+0.52)(-0.26) Pg C yr(-1) from lakes and reservoirs, where the upper and lower limits are respectively the 5th and 95th confidence interval percentiles. The resulting global evasion rate of 2.1 Pg C yr(-1) is higher than previous estimates owing to a larger stream and river evasion rate. Our analysis predicts global hotspots in stream and river evasion, with about 70 per cent of the flux occurring over just 20 per cent of the land surface. The source of inland water CO2 is still not known with certainty and new studies are needed to research the mechanisms controlling CO2 evasion globally.","author":[{"dropping-particle":"","family":"Raymond","given":"Peter A","non-dropping-particle":"","parse-names":false,"suffix":""},{"dropping-particle":"","family":"Hartmann","given":"Jens","non-dropping-particle":"","parse-names":false,"suffix":""},{"dropping-particle":"","family":"Lauerwald","given":"Ronny","non-dropping-particle":"","parse-names":false,"suffix":""},{"dropping-particle":"","family":"Sobek","given":"Sebastian","non-dropping-particle":"","parse-names":false,"suffix":""},{"dropping-particle":"","family":"McDonald","given":"Cory","non-dropping-particle":"","parse-names":false,"suffix":""},{"dropping-particle":"","family":"Hoover","given":"Mark","non-dropping-particle":"","parse-names":false,"suffix":""},{"dropping-particle":"","family":"Butman","given":"David","non-dropping-particle":"","parse-names":false,"suffix":""},{"dropping-particle":"","family":"Striegl","given":"Robert","non-dropping-particle":"","parse-names":false,"suffix":""},{"dropping-particle":"","family":"Mayorga","given":"Emilio","non-dropping-particle":"","parse-names":false,"suffix":""},{"dropping-particle":"","family":"Humborg","given":"Christoph","non-dropping-particle":"","parse-names":false,"suffix":""},{"dropping-particle":"","family":"Kortelainen","given":"Pirkko","non-dropping-particle":"","parse-names":false,"suffix":""},{"dropping-particle":"","family":"Dürr","given":"Hans","non-dropping-particle":"","parse-names":false,"suffix":""},{"dropping-particle":"","family":"Meybeck","given":"Michel","non-dropping-particle":"","parse-names":false,"suffix":""},{"dropping-particle":"","family":"Ciais","given":"Philippe","non-dropping-particle":"","parse-names":false,"suffix":""},{"dropping-particle":"","family":"Guth","given":"Peter","non-dropping-particle":"","parse-names":false,"suffix":""}],"container-title":"Nature","id":"ITEM-1","issue":"7476","issued":{"date-parts":[["2013","11"]]},"page":"355-9","title":"Global carbon dioxide emissions from inland waters.","type":"article-journal","volume":"503"},"uris":["http://www.mendeley.com/documents/?uuid=eabd41ca-221a-48b7-bf3e-392e04532f97"]}],"mendeley":{"formattedCitation":"&lt;sup&gt;27&lt;/sup&gt;","plainTextFormattedCitation":"27","previouslyFormattedCitation":"&lt;sup&gt;27&lt;/sup&gt;"},"properties":{"noteIndex":0},"schema":"https://github.com/citation-style-language/schema/raw/master/csl-citation.json"}</w:instrText>
      </w:r>
      <w:r w:rsidRPr="005C2A3C">
        <w:rPr>
          <w:rFonts w:ascii="Times New Roman" w:hAnsi="Times New Roman" w:cs="Times New Roman"/>
          <w:color w:val="000000" w:themeColor="text1"/>
        </w:rPr>
        <w:fldChar w:fldCharType="separate"/>
      </w:r>
      <w:r w:rsidRPr="005C2A3C">
        <w:rPr>
          <w:rFonts w:ascii="Times New Roman" w:hAnsi="Times New Roman" w:cs="Times New Roman"/>
          <w:noProof/>
          <w:color w:val="000000" w:themeColor="text1"/>
        </w:rPr>
        <w:t>27</w:t>
      </w:r>
      <w:r w:rsidRPr="005C2A3C">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Pr="00DA354E">
        <w:rPr>
          <w:rFonts w:ascii="Times New Roman" w:hAnsi="Times New Roman" w:cs="Times New Roman"/>
          <w:color w:val="000000" w:themeColor="text1"/>
        </w:rPr>
        <w:t xml:space="preserve"> used in this study. For the projections of soil carbon exports to inland waters, it was assumed that the increase in inland water-atmosphere fluxes with time reflects mainly the increased release of non-refractory carbon from soils. Fluvial C exports to the coasts and C burial in sediments are only poorly constrained for 2030 and 2050</w:t>
      </w:r>
      <w:r>
        <w:rPr>
          <w:rFonts w:ascii="Times New Roman" w:hAnsi="Times New Roman" w:cs="Times New Roman"/>
          <w:color w:val="000000" w:themeColor="text1"/>
        </w:rPr>
        <w:t xml:space="preserve"> [</w:t>
      </w:r>
      <w:r w:rsidRPr="005C2A3C">
        <w:rPr>
          <w:rFonts w:ascii="Times New Roman" w:hAnsi="Times New Roman" w:cs="Times New Roman"/>
          <w:color w:val="000000" w:themeColor="text1"/>
        </w:rPr>
        <w:fldChar w:fldCharType="begin" w:fldLock="1"/>
      </w:r>
      <w:r w:rsidRPr="005C2A3C">
        <w:rPr>
          <w:rFonts w:ascii="Times New Roman" w:hAnsi="Times New Roman" w:cs="Times New Roman"/>
          <w:color w:val="000000" w:themeColor="text1"/>
        </w:rPr>
        <w:instrText>ADDIN CSL_CITATION {"citationItems":[{"id":"ITEM-1","itemData":{"DOI":"10.1016/j.envsoft.2010.01.007","ISSN":"13648152","author":[{"dropping-particle":"","family":"Mayorga","given":"Emilio","non-dropping-particle":"","parse-names":false,"suffix":""},{"dropping-particle":"","family":"Seitzinger","given":"Sybil P.","non-dropping-particle":"","parse-names":false,"suffix":""},{"dropping-particle":"","family":"Harrison","given":"John a.","non-dropping-particle":"","parse-names":false,"suffix":""},{"dropping-particle":"","family":"Dumont","given":"Egon","non-dropping-particle":"","parse-names":false,"suffix":""},{"dropping-particle":"","family":"Beusen","given":"Arthur H.W.","non-dropping-particle":"","parse-names":false,"suffix":""},{"dropping-particle":"","family":"Bouwman","given":"a.F.","non-dropping-particle":"","parse-names":false,"suffix":""},{"dropping-particle":"","family":"Fekete","given":"Balazs M.","non-dropping-particle":"","parse-names":false,"suffix":""},{"dropping-particle":"","family":"Kroeze","given":"Carolien","non-dropping-particle":"","parse-names":false,"suffix":""},{"dropping-particle":"","family":"Drecht","given":"Gerard","non-dropping-particle":"Van","parse-names":false,"suffix":""}],"container-title":"Environmental Modelling &amp; Software","id":"ITEM-1","issue":"7","issued":{"date-parts":[["2010","7"]]},"page":"837-853","publisher":"Elsevier Ltd","title":"Global Nutrient Export from WaterSheds 2 (NEWS 2): Model development and implementation","type":"article-journal","volume":"25"},"uris":["http://www.mendeley.com/documents/?uuid=8e5548a0-24d2-4e5d-b032-52ac33638b93"]}],"mendeley":{"formattedCitation":"&lt;sup&gt;19&lt;/sup&gt;","plainTextFormattedCitation":"19","previouslyFormattedCitation":"&lt;sup&gt;19&lt;/sup&gt;"},"properties":{"noteIndex":0},"schema":"https://github.com/citation-style-language/schema/raw/master/csl-citation.json"}</w:instrText>
      </w:r>
      <w:r w:rsidRPr="005C2A3C">
        <w:rPr>
          <w:rFonts w:ascii="Times New Roman" w:hAnsi="Times New Roman" w:cs="Times New Roman"/>
          <w:color w:val="000000" w:themeColor="text1"/>
        </w:rPr>
        <w:fldChar w:fldCharType="separate"/>
      </w:r>
      <w:r w:rsidRPr="005C2A3C">
        <w:rPr>
          <w:rFonts w:ascii="Times New Roman" w:hAnsi="Times New Roman" w:cs="Times New Roman"/>
          <w:noProof/>
          <w:color w:val="000000" w:themeColor="text1"/>
        </w:rPr>
        <w:t>19</w:t>
      </w:r>
      <w:r w:rsidRPr="005C2A3C">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Pr="00DA354E">
        <w:rPr>
          <w:rFonts w:ascii="Times New Roman" w:hAnsi="Times New Roman" w:cs="Times New Roman"/>
          <w:color w:val="000000" w:themeColor="text1"/>
        </w:rPr>
        <w:t xml:space="preserve"> and likely reflect more the behavior of refractory soil carbon which is less relevant in the context of this study. In the absence of better constraints, these fluxes were thus assumed constant and, although highly uncertain, the estimated soil carbon change should thus be regarded as conservative. The difficulty in predicting changes in fluvial carbon exports in the coming century is supported by a recent study</w:t>
      </w:r>
      <w:r>
        <w:rPr>
          <w:rFonts w:ascii="Times New Roman" w:hAnsi="Times New Roman" w:cs="Times New Roman"/>
          <w:color w:val="000000" w:themeColor="text1"/>
        </w:rPr>
        <w:t xml:space="preserve"> [</w:t>
      </w:r>
      <w:r w:rsidRPr="00CB1133">
        <w:rPr>
          <w:rFonts w:ascii="Times New Roman" w:hAnsi="Times New Roman" w:cs="Times New Roman"/>
          <w:color w:val="000000" w:themeColor="text1"/>
        </w:rPr>
        <w:fldChar w:fldCharType="begin" w:fldLock="1"/>
      </w:r>
      <w:r w:rsidRPr="00CB1133">
        <w:rPr>
          <w:rFonts w:ascii="Times New Roman" w:hAnsi="Times New Roman" w:cs="Times New Roman"/>
          <w:color w:val="000000" w:themeColor="text1"/>
        </w:rPr>
        <w:instrText>ADDIN CSL_CITATION {"citationItems":[{"id":"ITEM-1","itemData":{"DOI":"10.5194/esdd-6-1445-2015","ISSN":"2190-4995","abstract":"&lt;p&gt;Carbon fluxes in the Amazon Basin are considerably influenced by annual flooding during which terrigenous organic material is imported to the river. This regular interaction affects carbon pools within the riverine system, terrestrial carbon, and carbon exported to the ocean and released to the atmosphere. The processes of generation, conversion, and transport of organic carbon in this coupled terrigenous–riverine system strongly interact and are climate-sensitive, yet their response to climate change is still largely unknown. To quantify climate change effects on carbon pools and on carbon fluxes within the river and to the ocean and the atmosphere, we developed the riverine carbon model RivCM, which is directly coupled to the well-established dynamic vegetation and hydrology model LPJmL. We show here that RivCM successfully reproduces observed values in exported carbon and riverine carbon concentration. We evaluate future changes in riverine carbon by applying RivCM for climate forcing from five climate models and three CO&lt;sub&gt;2&lt;/sub&gt; emission scenarios (SRES). We find that climate change causes a doubling of riverine organic carbon in the Southern and Western basin while reducing it by 20 % in the eastern and northern parts. In contrast, the amount of riverine inorganic carbon shows a 2- to 3-fold increase in the entire basin, independent of the SRES scenario. The export of carbon to the atmosphere increases as well with an average of about 30 %. In contrast, changes in future export of organic carbon to the Atlantic Ocean depend on the SRES scenario and are projected to either decrease by about 8.9 % (SRES A1B) or increase by about 9.1 % (SRES A2). Such changes in the terrigenous–riverine system could have local and regional impacts on the carbon budget of the whole Amazon Basin and parts of the Atlantic Ocean. Changes in the riverine carbon could lead to a shift in the riverine nutrient supply and pH, while changes in the exported carbon to the ocean leads to changes in the supply of organic material that acts as food source in the Atlantic. On the larger scale the increased outgassing of CO&lt;sub&gt;2&lt;/sub&gt; could turn the Amazon Basin from a sink of carbon to a considerable source. Therefore we propose that the coupling of terrestrial and riverine carbon budget should be included in subsequent analysis of the future regional carbon budget.&lt;/p&gt;","author":[{"dropping-particle":"","family":"Langerwisch","given":"F.","non-dropping-particle":"","parse-names":false,"suffix":""},{"dropping-particle":"","family":"Walz","given":"a.","non-dropping-particle":"","parse-names":false,"suffix":""},{"dropping-particle":"","family":"Rammig","given":"a.","non-dropping-particle":"","parse-names":false,"suffix":""},{"dropping-particle":"","family":"Tietjen","given":"B.","non-dropping-particle":"","parse-names":false,"suffix":""},{"dropping-particle":"","family":"Thonicke","given":"K.","non-dropping-particle":"","parse-names":false,"suffix":""},{"dropping-particle":"","family":"Cramer","given":"W.","non-dropping-particle":"","parse-names":false,"suffix":""}],"container-title":"Earth System Dynamics Discussions","id":"ITEM-1","issue":"2","issued":{"date-parts":[["2015"]]},"page":"1445-1497","title":"Climate change increases riverine carbon outgassing while export to the ocean remains uncertain","type":"article-journal","volume":"6"},"uris":["http://www.mendeley.com/documents/?uuid=764381cc-638e-441e-865c-6f35f71c8ecc"]}],"mendeley":{"formattedCitation":"&lt;sup&gt;99&lt;/sup&gt;","plainTextFormattedCitation":"99","previouslyFormattedCitation":"&lt;sup&gt;99&lt;/sup&gt;"},"properties":{"noteIndex":0},"schema":"https://github.com/citation-style-language/schema/raw/master/csl-citation.json"}</w:instrText>
      </w:r>
      <w:r w:rsidRPr="00CB1133">
        <w:rPr>
          <w:rFonts w:ascii="Times New Roman" w:hAnsi="Times New Roman" w:cs="Times New Roman"/>
          <w:color w:val="000000" w:themeColor="text1"/>
        </w:rPr>
        <w:fldChar w:fldCharType="separate"/>
      </w:r>
      <w:r w:rsidRPr="00CB1133">
        <w:rPr>
          <w:rFonts w:ascii="Times New Roman" w:hAnsi="Times New Roman" w:cs="Times New Roman"/>
          <w:noProof/>
          <w:color w:val="000000" w:themeColor="text1"/>
        </w:rPr>
        <w:t>99</w:t>
      </w:r>
      <w:r w:rsidRPr="00CB1133">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Pr="00DA354E">
        <w:rPr>
          <w:rFonts w:ascii="Times New Roman" w:hAnsi="Times New Roman" w:cs="Times New Roman"/>
          <w:color w:val="000000" w:themeColor="text1"/>
        </w:rPr>
        <w:t xml:space="preserve"> on the Amazon basin. Finally, we assumed no change in CH</w:t>
      </w:r>
      <w:r w:rsidRPr="00DA354E">
        <w:rPr>
          <w:rFonts w:ascii="Times New Roman" w:hAnsi="Times New Roman" w:cs="Times New Roman"/>
          <w:color w:val="000000" w:themeColor="text1"/>
          <w:vertAlign w:val="subscript"/>
        </w:rPr>
        <w:t>4</w:t>
      </w:r>
      <w:r w:rsidRPr="00DA354E">
        <w:rPr>
          <w:rFonts w:ascii="Times New Roman" w:hAnsi="Times New Roman" w:cs="Times New Roman"/>
          <w:color w:val="000000" w:themeColor="text1"/>
        </w:rPr>
        <w:t xml:space="preserve"> and VOC fluxes in the future, given uncertainties in the sign of these changes. The proxies used for setting changes in the groups of fluxes in the different snapshots, are summarized in Table 3.</w:t>
      </w:r>
    </w:p>
    <w:p w:rsidR="00683641" w:rsidRPr="00DA354E" w:rsidRDefault="00683641" w:rsidP="00683641">
      <w:pPr>
        <w:jc w:val="both"/>
        <w:rPr>
          <w:rFonts w:ascii="Times New Roman" w:hAnsi="Times New Roman" w:cs="Times New Roman"/>
          <w:color w:val="000000" w:themeColor="text1"/>
        </w:rPr>
      </w:pPr>
    </w:p>
    <w:p w:rsidR="00683641" w:rsidRDefault="00683641" w:rsidP="00683641">
      <w:pPr>
        <w:jc w:val="both"/>
        <w:rPr>
          <w:rFonts w:ascii="Times New Roman" w:hAnsi="Times New Roman" w:cs="Times New Roman"/>
          <w:color w:val="000000" w:themeColor="text1"/>
        </w:rPr>
      </w:pPr>
      <w:r w:rsidRPr="00DA354E">
        <w:rPr>
          <w:rFonts w:ascii="Times New Roman" w:hAnsi="Times New Roman" w:cs="Times New Roman"/>
          <w:color w:val="000000" w:themeColor="text1"/>
        </w:rPr>
        <w:t xml:space="preserve">Finally, we repeat the above simulation setup for each of the four central estimates of NPP (MODIS, BETHY, GIMMS, CARDAMOM), each of the two central estimates of </w:t>
      </w:r>
      <w:proofErr w:type="spellStart"/>
      <w:r w:rsidRPr="00DA354E">
        <w:rPr>
          <w:rFonts w:ascii="Times New Roman" w:hAnsi="Times New Roman" w:cs="Times New Roman"/>
          <w:i/>
          <w:color w:val="000000" w:themeColor="text1"/>
        </w:rPr>
        <w:t>F</w:t>
      </w:r>
      <w:r w:rsidRPr="00DA354E">
        <w:rPr>
          <w:rFonts w:ascii="Times New Roman" w:hAnsi="Times New Roman" w:cs="Times New Roman"/>
          <w:i/>
          <w:color w:val="000000" w:themeColor="text1"/>
          <w:vertAlign w:val="subscript"/>
        </w:rPr>
        <w:t>fires</w:t>
      </w:r>
      <w:proofErr w:type="spellEnd"/>
      <w:r w:rsidRPr="00DA354E">
        <w:rPr>
          <w:rFonts w:ascii="Times New Roman" w:hAnsi="Times New Roman" w:cs="Times New Roman"/>
          <w:i/>
          <w:color w:val="000000" w:themeColor="text1"/>
        </w:rPr>
        <w:t xml:space="preserve"> </w:t>
      </w:r>
      <w:r w:rsidRPr="00DA354E">
        <w:rPr>
          <w:rFonts w:ascii="Times New Roman" w:hAnsi="Times New Roman" w:cs="Times New Roman"/>
          <w:color w:val="000000" w:themeColor="text1"/>
        </w:rPr>
        <w:t xml:space="preserve">(GFED, GFAS), each of the two central estimates of </w:t>
      </w:r>
      <w:r w:rsidRPr="00DA354E">
        <w:rPr>
          <w:rFonts w:ascii="Times New Roman" w:hAnsi="Times New Roman" w:cs="Times New Roman"/>
          <w:i/>
          <w:color w:val="000000" w:themeColor="text1"/>
        </w:rPr>
        <w:t>F</w:t>
      </w:r>
      <w:r w:rsidRPr="00DA354E">
        <w:rPr>
          <w:rFonts w:ascii="Times New Roman" w:hAnsi="Times New Roman" w:cs="Times New Roman"/>
          <w:i/>
          <w:color w:val="000000" w:themeColor="text1"/>
          <w:vertAlign w:val="subscript"/>
        </w:rPr>
        <w:t>LUC</w:t>
      </w:r>
      <w:r w:rsidRPr="00DA354E">
        <w:rPr>
          <w:rFonts w:ascii="Times New Roman" w:hAnsi="Times New Roman" w:cs="Times New Roman"/>
          <w:color w:val="000000" w:themeColor="text1"/>
          <w:vertAlign w:val="subscript"/>
        </w:rPr>
        <w:t xml:space="preserve"> </w:t>
      </w:r>
      <w:r w:rsidRPr="00DA354E">
        <w:rPr>
          <w:rFonts w:ascii="Times New Roman" w:hAnsi="Times New Roman" w:cs="Times New Roman"/>
          <w:color w:val="000000" w:themeColor="text1"/>
        </w:rPr>
        <w:t xml:space="preserve">(RECCAP, BLUE) and each of the two central estimates of </w:t>
      </w:r>
      <w:proofErr w:type="spellStart"/>
      <w:r w:rsidRPr="00CB1133">
        <w:rPr>
          <w:rFonts w:ascii="Times New Roman" w:hAnsi="Times New Roman" w:cs="Times New Roman"/>
          <w:i/>
          <w:iCs/>
          <w:color w:val="000000" w:themeColor="text1"/>
        </w:rPr>
        <w:t>F</w:t>
      </w:r>
      <w:r w:rsidRPr="00CB1133">
        <w:rPr>
          <w:rFonts w:ascii="Times New Roman" w:hAnsi="Times New Roman" w:cs="Times New Roman"/>
          <w:i/>
          <w:iCs/>
          <w:color w:val="000000" w:themeColor="text1"/>
          <w:vertAlign w:val="subscript"/>
        </w:rPr>
        <w:t>rivers</w:t>
      </w:r>
      <w:proofErr w:type="spellEnd"/>
      <w:r w:rsidRPr="00DA354E">
        <w:rPr>
          <w:rFonts w:ascii="Times New Roman" w:hAnsi="Times New Roman" w:cs="Times New Roman"/>
          <w:color w:val="000000" w:themeColor="text1"/>
        </w:rPr>
        <w:t xml:space="preserve">. This leads to a </w:t>
      </w:r>
      <w:r w:rsidRPr="00406A35">
        <w:rPr>
          <w:rFonts w:ascii="Times New Roman" w:hAnsi="Times New Roman" w:cs="Times New Roman"/>
          <w:color w:val="000000" w:themeColor="text1"/>
        </w:rPr>
        <w:t xml:space="preserve">total 32 different values of SHR to NPP ratios </w:t>
      </w:r>
      <w:r w:rsidRPr="00406A35">
        <w:rPr>
          <w:rFonts w:ascii="Times New Roman" w:hAnsi="Times New Roman" w:cs="Times New Roman"/>
          <w:color w:val="000000" w:themeColor="text1"/>
        </w:rPr>
        <w:lastRenderedPageBreak/>
        <w:t xml:space="preserve">combined to seven different ESM parameterizations. The final 224 cases are presented in </w:t>
      </w:r>
      <w:r w:rsidR="00406A35">
        <w:rPr>
          <w:rFonts w:ascii="Times New Roman" w:hAnsi="Times New Roman" w:cs="Times New Roman"/>
          <w:color w:val="000000" w:themeColor="text1"/>
        </w:rPr>
        <w:t xml:space="preserve">main text </w:t>
      </w:r>
      <w:r w:rsidRPr="00406A35">
        <w:rPr>
          <w:rFonts w:ascii="Times New Roman" w:hAnsi="Times New Roman" w:cs="Times New Roman"/>
          <w:color w:val="000000" w:themeColor="text1"/>
        </w:rPr>
        <w:t>Fig. 3.</w:t>
      </w:r>
    </w:p>
    <w:p w:rsidR="00406A35" w:rsidRDefault="00406A35" w:rsidP="00683641">
      <w:pPr>
        <w:jc w:val="both"/>
        <w:rPr>
          <w:rFonts w:ascii="Times New Roman" w:hAnsi="Times New Roman" w:cs="Times New Roman"/>
          <w:color w:val="000000" w:themeColor="text1"/>
        </w:rPr>
      </w:pPr>
    </w:p>
    <w:p w:rsidR="00406A35" w:rsidRPr="00CB1133" w:rsidRDefault="00406A35" w:rsidP="00406A35">
      <w:pPr>
        <w:jc w:val="both"/>
        <w:rPr>
          <w:rFonts w:ascii="Times New Roman" w:hAnsi="Times New Roman" w:cs="Times New Roman"/>
          <w:b/>
          <w:color w:val="000000" w:themeColor="text1"/>
        </w:rPr>
      </w:pPr>
      <w:r w:rsidRPr="00DA354E">
        <w:rPr>
          <w:rFonts w:ascii="Times New Roman" w:hAnsi="Times New Roman" w:cs="Times New Roman"/>
          <w:b/>
          <w:color w:val="000000" w:themeColor="text1"/>
        </w:rPr>
        <w:t>Supplementary</w:t>
      </w:r>
      <w:r>
        <w:rPr>
          <w:rFonts w:ascii="Times New Roman" w:hAnsi="Times New Roman" w:cs="Times New Roman"/>
          <w:b/>
          <w:color w:val="000000" w:themeColor="text1"/>
        </w:rPr>
        <w:t xml:space="preserve"> Text 5. </w:t>
      </w:r>
      <w:r w:rsidRPr="00DA354E">
        <w:rPr>
          <w:rFonts w:ascii="Times New Roman" w:hAnsi="Times New Roman" w:cs="Times New Roman"/>
          <w:b/>
          <w:color w:val="000000" w:themeColor="text1"/>
        </w:rPr>
        <w:t>Including error correlations between SHR and NPP for estimating the uncertainty of the ratio of SHR-to-NPP</w:t>
      </w:r>
    </w:p>
    <w:p w:rsidR="00406A35" w:rsidRPr="00DA354E" w:rsidRDefault="00406A35" w:rsidP="00406A35">
      <w:pPr>
        <w:jc w:val="both"/>
        <w:rPr>
          <w:rFonts w:ascii="Times New Roman" w:hAnsi="Times New Roman" w:cs="Times New Roman"/>
          <w:color w:val="000000" w:themeColor="text1"/>
        </w:rPr>
      </w:pPr>
      <w:r w:rsidRPr="00DA354E">
        <w:rPr>
          <w:rFonts w:ascii="Times New Roman" w:hAnsi="Times New Roman" w:cs="Times New Roman"/>
          <w:color w:val="000000" w:themeColor="text1"/>
        </w:rPr>
        <w:t xml:space="preserve">The distributions of the ratio SHR to NPP (denoted as </w:t>
      </w:r>
      <w:r w:rsidRPr="00DA354E">
        <w:rPr>
          <w:rFonts w:ascii="Times New Roman" w:hAnsi="Times New Roman" w:cs="Times New Roman"/>
          <w:i/>
          <w:color w:val="000000" w:themeColor="text1"/>
        </w:rPr>
        <w:t>r</w:t>
      </w:r>
      <w:r w:rsidRPr="00DA354E">
        <w:rPr>
          <w:rFonts w:ascii="Times New Roman" w:hAnsi="Times New Roman" w:cs="Times New Roman"/>
          <w:color w:val="000000" w:themeColor="text1"/>
        </w:rPr>
        <w:t xml:space="preserve">) were estimated by error propagation rules. Assuming that both SHR and NPP follow unbiased Gaussian distributions with means </w:t>
      </w:r>
      <w:r w:rsidRPr="00CB1133">
        <w:rPr>
          <w:rFonts w:ascii="Times New Roman" w:hAnsi="Times New Roman" w:cs="Times New Roman"/>
          <w:i/>
          <w:iCs/>
          <w:color w:val="000000" w:themeColor="text1"/>
        </w:rPr>
        <w:t>μ</w:t>
      </w:r>
      <w:r w:rsidRPr="00DA354E">
        <w:rPr>
          <w:rFonts w:ascii="Times New Roman" w:hAnsi="Times New Roman" w:cs="Times New Roman"/>
          <w:color w:val="000000" w:themeColor="text1"/>
        </w:rPr>
        <w:t xml:space="preserve"> and standard deviation σ</w:t>
      </w:r>
      <w:r w:rsidRPr="00DA354E">
        <w:rPr>
          <w:rFonts w:ascii="Times New Roman" w:hAnsi="Times New Roman" w:cs="Times New Roman"/>
          <w:b/>
          <w:color w:val="000000" w:themeColor="text1"/>
        </w:rPr>
        <w:t xml:space="preserve"> </w:t>
      </w:r>
      <w:r w:rsidRPr="00DA354E">
        <w:rPr>
          <w:rFonts w:ascii="Times New Roman" w:hAnsi="Times New Roman" w:cs="Times New Roman"/>
          <w:color w:val="000000" w:themeColor="text1"/>
        </w:rPr>
        <w:t>so that SHR ~ N(</w:t>
      </w:r>
      <w:proofErr w:type="spellStart"/>
      <w:r w:rsidRPr="00CB1133">
        <w:rPr>
          <w:rFonts w:ascii="Times New Roman" w:hAnsi="Times New Roman" w:cs="Times New Roman"/>
          <w:i/>
          <w:iCs/>
          <w:color w:val="000000" w:themeColor="text1"/>
        </w:rPr>
        <w:t>μ</w:t>
      </w:r>
      <w:r w:rsidRPr="00DA354E">
        <w:rPr>
          <w:rFonts w:ascii="Times New Roman" w:hAnsi="Times New Roman" w:cs="Times New Roman"/>
          <w:color w:val="000000" w:themeColor="text1"/>
          <w:vertAlign w:val="subscript"/>
        </w:rPr>
        <w:t>SHR</w:t>
      </w:r>
      <w:proofErr w:type="spellEnd"/>
      <w:r w:rsidRPr="00DA354E">
        <w:rPr>
          <w:rFonts w:ascii="Times New Roman" w:hAnsi="Times New Roman" w:cs="Times New Roman"/>
          <w:color w:val="000000" w:themeColor="text1"/>
        </w:rPr>
        <w:t xml:space="preserve">, </w:t>
      </w:r>
      <w:r w:rsidRPr="00CB1133">
        <w:rPr>
          <w:rFonts w:ascii="Times New Roman" w:hAnsi="Times New Roman" w:cs="Times New Roman"/>
          <w:i/>
          <w:iCs/>
          <w:color w:val="000000" w:themeColor="text1"/>
        </w:rPr>
        <w:t>σ</w:t>
      </w:r>
      <w:r w:rsidRPr="00DA354E">
        <w:rPr>
          <w:rFonts w:ascii="Times New Roman" w:hAnsi="Times New Roman" w:cs="Times New Roman"/>
          <w:color w:val="000000" w:themeColor="text1"/>
          <w:vertAlign w:val="subscript"/>
        </w:rPr>
        <w:t>SHR</w:t>
      </w:r>
      <w:r w:rsidRPr="00DA354E">
        <w:rPr>
          <w:rFonts w:ascii="Times New Roman" w:hAnsi="Times New Roman" w:cs="Times New Roman"/>
          <w:color w:val="000000" w:themeColor="text1"/>
          <w:vertAlign w:val="superscript"/>
        </w:rPr>
        <w:t>2</w:t>
      </w:r>
      <w:r w:rsidRPr="00DA354E">
        <w:rPr>
          <w:rFonts w:ascii="Times New Roman" w:hAnsi="Times New Roman" w:cs="Times New Roman"/>
          <w:color w:val="000000" w:themeColor="text1"/>
        </w:rPr>
        <w:t>) and NPP ~ N(</w:t>
      </w:r>
      <w:proofErr w:type="spellStart"/>
      <w:r w:rsidRPr="00CB1133">
        <w:rPr>
          <w:rFonts w:ascii="Times New Roman" w:hAnsi="Times New Roman" w:cs="Times New Roman"/>
          <w:i/>
          <w:iCs/>
          <w:color w:val="000000" w:themeColor="text1"/>
        </w:rPr>
        <w:t>μ</w:t>
      </w:r>
      <w:r w:rsidRPr="00DA354E">
        <w:rPr>
          <w:rFonts w:ascii="Times New Roman" w:hAnsi="Times New Roman" w:cs="Times New Roman"/>
          <w:color w:val="000000" w:themeColor="text1"/>
          <w:vertAlign w:val="subscript"/>
        </w:rPr>
        <w:t>NPP</w:t>
      </w:r>
      <w:proofErr w:type="spellEnd"/>
      <w:r w:rsidRPr="00DA354E">
        <w:rPr>
          <w:rFonts w:ascii="Times New Roman" w:hAnsi="Times New Roman" w:cs="Times New Roman"/>
          <w:color w:val="000000" w:themeColor="text1"/>
        </w:rPr>
        <w:t xml:space="preserve">, </w:t>
      </w:r>
      <w:r w:rsidRPr="00CB1133">
        <w:rPr>
          <w:rFonts w:ascii="Times New Roman" w:hAnsi="Times New Roman" w:cs="Times New Roman"/>
          <w:i/>
          <w:iCs/>
          <w:color w:val="000000" w:themeColor="text1"/>
        </w:rPr>
        <w:t>σ</w:t>
      </w:r>
      <w:r w:rsidRPr="00DA354E">
        <w:rPr>
          <w:rFonts w:ascii="Times New Roman" w:hAnsi="Times New Roman" w:cs="Times New Roman"/>
          <w:color w:val="000000" w:themeColor="text1"/>
          <w:vertAlign w:val="subscript"/>
        </w:rPr>
        <w:t>NPP</w:t>
      </w:r>
      <w:r w:rsidRPr="00DA354E">
        <w:rPr>
          <w:rFonts w:ascii="Times New Roman" w:hAnsi="Times New Roman" w:cs="Times New Roman"/>
          <w:color w:val="000000" w:themeColor="text1"/>
          <w:vertAlign w:val="superscript"/>
        </w:rPr>
        <w:t>2</w:t>
      </w:r>
      <w:r w:rsidRPr="00DA354E">
        <w:rPr>
          <w:rFonts w:ascii="Times New Roman" w:hAnsi="Times New Roman" w:cs="Times New Roman"/>
          <w:color w:val="000000" w:themeColor="text1"/>
        </w:rPr>
        <w:t xml:space="preserve">), the mean of </w:t>
      </w:r>
      <w:r w:rsidRPr="00DA354E">
        <w:rPr>
          <w:rFonts w:ascii="Times New Roman" w:hAnsi="Times New Roman" w:cs="Times New Roman"/>
          <w:i/>
          <w:color w:val="000000" w:themeColor="text1"/>
        </w:rPr>
        <w:t xml:space="preserve">r </w:t>
      </w:r>
      <w:r w:rsidRPr="00DA354E">
        <w:rPr>
          <w:rFonts w:ascii="Times New Roman" w:hAnsi="Times New Roman" w:cs="Times New Roman"/>
          <w:color w:val="000000" w:themeColor="text1"/>
        </w:rPr>
        <w:t xml:space="preserve">for a region </w:t>
      </w:r>
      <w:proofErr w:type="spellStart"/>
      <w:r w:rsidRPr="00DA354E">
        <w:rPr>
          <w:rFonts w:ascii="Times New Roman" w:hAnsi="Times New Roman" w:cs="Times New Roman"/>
          <w:i/>
          <w:color w:val="000000" w:themeColor="text1"/>
        </w:rPr>
        <w:t>i</w:t>
      </w:r>
      <w:proofErr w:type="spellEnd"/>
      <w:r w:rsidRPr="00DA354E">
        <w:rPr>
          <w:rFonts w:ascii="Times New Roman" w:hAnsi="Times New Roman" w:cs="Times New Roman"/>
          <w:color w:val="000000" w:themeColor="text1"/>
        </w:rPr>
        <w:t xml:space="preserve"> is:</w:t>
      </w:r>
    </w:p>
    <w:p w:rsidR="00406A35" w:rsidRPr="00DA354E" w:rsidRDefault="00406A35" w:rsidP="00406A35">
      <w:pPr>
        <w:jc w:val="both"/>
        <w:rPr>
          <w:rFonts w:ascii="Times New Roman" w:hAnsi="Times New Roman" w:cs="Times New Roman"/>
          <w:color w:val="000000" w:themeColor="text1"/>
        </w:rPr>
      </w:pPr>
    </w:p>
    <w:p w:rsidR="00406A35" w:rsidRPr="00DA354E" w:rsidRDefault="001D7FE4" w:rsidP="00406A35">
      <w:pPr>
        <w:widowControl w:val="0"/>
        <w:pBdr>
          <w:top w:val="nil"/>
          <w:left w:val="nil"/>
          <w:bottom w:val="nil"/>
          <w:right w:val="nil"/>
          <w:between w:val="nil"/>
        </w:pBdr>
        <w:tabs>
          <w:tab w:val="center" w:pos="0"/>
        </w:tabs>
        <w:jc w:val="both"/>
        <w:rPr>
          <w:rFonts w:ascii="Times New Roman" w:hAnsi="Times New Roman" w:cs="Times New Roman"/>
          <w:color w:val="000000" w:themeColor="text1"/>
        </w:rPr>
      </w:pPr>
      <m:oMath>
        <m:bar>
          <m:barPr>
            <m:ctrlPr>
              <w:rPr>
                <w:rFonts w:ascii="Cambria Math" w:hAnsi="Cambria Math" w:cs="Times New Roman"/>
                <w:color w:val="000000" w:themeColor="text1"/>
              </w:rPr>
            </m:ctrlPr>
          </m:barPr>
          <m:e>
            <m:sSub>
              <m:sSubPr>
                <m:ctrlPr>
                  <w:rPr>
                    <w:rFonts w:ascii="Cambria Math" w:eastAsia="Cambria Math" w:hAnsi="Cambria Math" w:cs="Times New Roman"/>
                    <w:color w:val="000000" w:themeColor="text1"/>
                    <w:sz w:val="21"/>
                    <w:szCs w:val="21"/>
                  </w:rPr>
                </m:ctrlPr>
              </m:sSubPr>
              <m:e>
                <m:r>
                  <w:rPr>
                    <w:rFonts w:ascii="Cambria Math" w:eastAsia="Cambria Math" w:hAnsi="Cambria Math" w:cs="Times New Roman"/>
                    <w:color w:val="000000" w:themeColor="text1"/>
                    <w:sz w:val="21"/>
                    <w:szCs w:val="21"/>
                  </w:rPr>
                  <m:t>r</m:t>
                </m:r>
              </m:e>
              <m:sub>
                <m:r>
                  <w:rPr>
                    <w:rFonts w:ascii="Cambria Math" w:eastAsia="Cambria Math" w:hAnsi="Cambria Math" w:cs="Times New Roman"/>
                    <w:color w:val="000000" w:themeColor="text1"/>
                    <w:sz w:val="21"/>
                    <w:szCs w:val="21"/>
                  </w:rPr>
                  <m:t>i</m:t>
                </m:r>
              </m:sub>
            </m:sSub>
          </m:e>
        </m:bar>
        <m:r>
          <w:rPr>
            <w:rFonts w:ascii="Cambria Math" w:eastAsia="Cambria Math" w:hAnsi="Cambria Math" w:cs="Times New Roman"/>
            <w:color w:val="000000" w:themeColor="text1"/>
            <w:sz w:val="21"/>
            <w:szCs w:val="21"/>
          </w:rPr>
          <m:t>=</m:t>
        </m:r>
        <m:sSub>
          <m:sSubPr>
            <m:ctrlPr>
              <w:rPr>
                <w:rFonts w:ascii="Cambria Math" w:eastAsia="Cambria Math" w:hAnsi="Cambria Math" w:cs="Times New Roman"/>
                <w:color w:val="000000" w:themeColor="text1"/>
                <w:sz w:val="21"/>
                <w:szCs w:val="21"/>
              </w:rPr>
            </m:ctrlPr>
          </m:sSubPr>
          <m:e>
            <m:sSub>
              <m:sSubPr>
                <m:ctrlPr>
                  <w:rPr>
                    <w:rFonts w:ascii="Cambria Math" w:eastAsia="Cambria Math" w:hAnsi="Cambria Math" w:cs="Times New Roman"/>
                    <w:color w:val="000000" w:themeColor="text1"/>
                    <w:sz w:val="21"/>
                    <w:szCs w:val="21"/>
                  </w:rPr>
                </m:ctrlPr>
              </m:sSubPr>
              <m:e>
                <m:r>
                  <w:rPr>
                    <w:rFonts w:ascii="Cambria Math" w:eastAsia="Cambria Math" w:hAnsi="Cambria Math" w:cs="Times New Roman"/>
                    <w:color w:val="000000" w:themeColor="text1"/>
                    <w:sz w:val="21"/>
                    <w:szCs w:val="21"/>
                  </w:rPr>
                  <m:t>μ</m:t>
                </m:r>
              </m:e>
              <m:sub>
                <m:r>
                  <w:rPr>
                    <w:rFonts w:ascii="Cambria Math" w:eastAsia="Cambria Math" w:hAnsi="Cambria Math" w:cs="Times New Roman"/>
                    <w:color w:val="000000" w:themeColor="text1"/>
                    <w:sz w:val="21"/>
                    <w:szCs w:val="21"/>
                  </w:rPr>
                  <m:t>SHR/NPP</m:t>
                </m:r>
              </m:sub>
            </m:sSub>
          </m:e>
          <m:sub>
            <m:r>
              <w:rPr>
                <w:rFonts w:ascii="Cambria Math" w:eastAsia="Cambria Math" w:hAnsi="Cambria Math" w:cs="Times New Roman"/>
                <w:color w:val="000000" w:themeColor="text1"/>
                <w:sz w:val="21"/>
                <w:szCs w:val="21"/>
              </w:rPr>
              <m:t>i</m:t>
            </m:r>
          </m:sub>
        </m:sSub>
        <m:r>
          <w:rPr>
            <w:rFonts w:ascii="Cambria Math" w:eastAsia="Cambria Math" w:hAnsi="Cambria Math" w:cs="Times New Roman"/>
            <w:color w:val="000000" w:themeColor="text1"/>
            <w:sz w:val="21"/>
            <w:szCs w:val="21"/>
          </w:rPr>
          <m:t>=</m:t>
        </m:r>
        <m:f>
          <m:fPr>
            <m:ctrlPr>
              <w:rPr>
                <w:rFonts w:ascii="Cambria Math" w:eastAsia="Cambria Math" w:hAnsi="Cambria Math" w:cs="Times New Roman"/>
                <w:color w:val="000000" w:themeColor="text1"/>
                <w:sz w:val="21"/>
                <w:szCs w:val="21"/>
              </w:rPr>
            </m:ctrlPr>
          </m:fPr>
          <m:num>
            <m:sSub>
              <m:sSubPr>
                <m:ctrlPr>
                  <w:rPr>
                    <w:rFonts w:ascii="Cambria Math" w:eastAsia="Cambria Math" w:hAnsi="Cambria Math" w:cs="Times New Roman"/>
                    <w:color w:val="000000" w:themeColor="text1"/>
                    <w:sz w:val="21"/>
                    <w:szCs w:val="21"/>
                  </w:rPr>
                </m:ctrlPr>
              </m:sSubPr>
              <m:e>
                <m:sSub>
                  <m:sSubPr>
                    <m:ctrlPr>
                      <w:rPr>
                        <w:rFonts w:ascii="Cambria Math" w:eastAsia="Cambria Math" w:hAnsi="Cambria Math" w:cs="Times New Roman"/>
                        <w:color w:val="000000" w:themeColor="text1"/>
                        <w:sz w:val="21"/>
                        <w:szCs w:val="21"/>
                      </w:rPr>
                    </m:ctrlPr>
                  </m:sSubPr>
                  <m:e>
                    <m:r>
                      <w:rPr>
                        <w:rFonts w:ascii="Cambria Math" w:eastAsia="Cambria Math" w:hAnsi="Cambria Math" w:cs="Times New Roman"/>
                        <w:color w:val="000000" w:themeColor="text1"/>
                        <w:sz w:val="21"/>
                        <w:szCs w:val="21"/>
                      </w:rPr>
                      <m:t>μ</m:t>
                    </m:r>
                  </m:e>
                  <m:sub>
                    <m:r>
                      <w:rPr>
                        <w:rFonts w:ascii="Cambria Math" w:eastAsia="Cambria Math" w:hAnsi="Cambria Math" w:cs="Times New Roman"/>
                        <w:color w:val="000000" w:themeColor="text1"/>
                        <w:sz w:val="21"/>
                        <w:szCs w:val="21"/>
                      </w:rPr>
                      <m:t>SHR</m:t>
                    </m:r>
                  </m:sub>
                </m:sSub>
              </m:e>
              <m:sub>
                <m:r>
                  <w:rPr>
                    <w:rFonts w:ascii="Cambria Math" w:eastAsia="Cambria Math" w:hAnsi="Cambria Math" w:cs="Times New Roman"/>
                    <w:color w:val="000000" w:themeColor="text1"/>
                    <w:sz w:val="21"/>
                    <w:szCs w:val="21"/>
                  </w:rPr>
                  <m:t>i</m:t>
                </m:r>
              </m:sub>
            </m:sSub>
          </m:num>
          <m:den>
            <m:d>
              <m:dPr>
                <m:begChr m:val="|"/>
                <m:endChr m:val="|"/>
                <m:ctrlPr>
                  <w:rPr>
                    <w:rFonts w:ascii="Cambria Math" w:eastAsia="Cambria Math" w:hAnsi="Cambria Math" w:cs="Times New Roman"/>
                    <w:color w:val="000000" w:themeColor="text1"/>
                    <w:sz w:val="21"/>
                    <w:szCs w:val="21"/>
                  </w:rPr>
                </m:ctrlPr>
              </m:dPr>
              <m:e>
                <m:sSub>
                  <m:sSubPr>
                    <m:ctrlPr>
                      <w:rPr>
                        <w:rFonts w:ascii="Cambria Math" w:eastAsia="Cambria Math" w:hAnsi="Cambria Math" w:cs="Times New Roman"/>
                        <w:color w:val="000000" w:themeColor="text1"/>
                        <w:sz w:val="21"/>
                        <w:szCs w:val="21"/>
                      </w:rPr>
                    </m:ctrlPr>
                  </m:sSubPr>
                  <m:e>
                    <m:sSub>
                      <m:sSubPr>
                        <m:ctrlPr>
                          <w:rPr>
                            <w:rFonts w:ascii="Cambria Math" w:eastAsia="Cambria Math" w:hAnsi="Cambria Math" w:cs="Times New Roman"/>
                            <w:color w:val="000000" w:themeColor="text1"/>
                            <w:sz w:val="21"/>
                            <w:szCs w:val="21"/>
                          </w:rPr>
                        </m:ctrlPr>
                      </m:sSubPr>
                      <m:e>
                        <m:r>
                          <w:rPr>
                            <w:rFonts w:ascii="Cambria Math" w:eastAsia="Cambria Math" w:hAnsi="Cambria Math" w:cs="Times New Roman"/>
                            <w:color w:val="000000" w:themeColor="text1"/>
                            <w:sz w:val="21"/>
                            <w:szCs w:val="21"/>
                          </w:rPr>
                          <m:t>μ</m:t>
                        </m:r>
                      </m:e>
                      <m:sub>
                        <m:r>
                          <w:rPr>
                            <w:rFonts w:ascii="Cambria Math" w:eastAsia="Cambria Math" w:hAnsi="Cambria Math" w:cs="Times New Roman"/>
                            <w:color w:val="000000" w:themeColor="text1"/>
                            <w:sz w:val="21"/>
                            <w:szCs w:val="21"/>
                          </w:rPr>
                          <m:t>NPP</m:t>
                        </m:r>
                      </m:sub>
                    </m:sSub>
                  </m:e>
                  <m:sub>
                    <m:r>
                      <w:rPr>
                        <w:rFonts w:ascii="Cambria Math" w:eastAsia="Cambria Math" w:hAnsi="Cambria Math" w:cs="Times New Roman"/>
                        <w:color w:val="000000" w:themeColor="text1"/>
                        <w:sz w:val="21"/>
                        <w:szCs w:val="21"/>
                      </w:rPr>
                      <m:t>i</m:t>
                    </m:r>
                  </m:sub>
                </m:sSub>
              </m:e>
            </m:d>
          </m:den>
        </m:f>
        <m:r>
          <w:rPr>
            <w:rFonts w:ascii="Cambria Math" w:eastAsia="Cambria Math" w:hAnsi="Cambria Math" w:cs="Times New Roman"/>
            <w:color w:val="000000" w:themeColor="text1"/>
            <w:sz w:val="21"/>
            <w:szCs w:val="21"/>
          </w:rPr>
          <m:t>=-</m:t>
        </m:r>
        <m:f>
          <m:fPr>
            <m:ctrlPr>
              <w:rPr>
                <w:rFonts w:ascii="Cambria Math" w:eastAsia="Cambria Math" w:hAnsi="Cambria Math" w:cs="Times New Roman"/>
                <w:color w:val="000000" w:themeColor="text1"/>
                <w:sz w:val="21"/>
                <w:szCs w:val="21"/>
              </w:rPr>
            </m:ctrlPr>
          </m:fPr>
          <m:num>
            <m:sSub>
              <m:sSubPr>
                <m:ctrlPr>
                  <w:rPr>
                    <w:rFonts w:ascii="Cambria Math" w:eastAsia="Cambria Math" w:hAnsi="Cambria Math" w:cs="Times New Roman"/>
                    <w:color w:val="000000" w:themeColor="text1"/>
                    <w:sz w:val="21"/>
                    <w:szCs w:val="21"/>
                  </w:rPr>
                </m:ctrlPr>
              </m:sSubPr>
              <m:e>
                <m:sSub>
                  <m:sSubPr>
                    <m:ctrlPr>
                      <w:rPr>
                        <w:rFonts w:ascii="Cambria Math" w:eastAsia="Cambria Math" w:hAnsi="Cambria Math" w:cs="Times New Roman"/>
                        <w:color w:val="000000" w:themeColor="text1"/>
                        <w:sz w:val="21"/>
                        <w:szCs w:val="21"/>
                      </w:rPr>
                    </m:ctrlPr>
                  </m:sSubPr>
                  <m:e>
                    <m:r>
                      <w:rPr>
                        <w:rFonts w:ascii="Cambria Math" w:eastAsia="Cambria Math" w:hAnsi="Cambria Math" w:cs="Times New Roman"/>
                        <w:color w:val="000000" w:themeColor="text1"/>
                        <w:sz w:val="21"/>
                        <w:szCs w:val="21"/>
                      </w:rPr>
                      <m:t>μ</m:t>
                    </m:r>
                  </m:e>
                  <m:sub>
                    <m:r>
                      <w:rPr>
                        <w:rFonts w:ascii="Cambria Math" w:eastAsia="Cambria Math" w:hAnsi="Cambria Math" w:cs="Times New Roman"/>
                        <w:color w:val="000000" w:themeColor="text1"/>
                        <w:sz w:val="21"/>
                        <w:szCs w:val="21"/>
                      </w:rPr>
                      <m:t>SHR</m:t>
                    </m:r>
                  </m:sub>
                </m:sSub>
              </m:e>
              <m:sub>
                <m:r>
                  <w:rPr>
                    <w:rFonts w:ascii="Cambria Math" w:eastAsia="Cambria Math" w:hAnsi="Cambria Math" w:cs="Times New Roman"/>
                    <w:color w:val="000000" w:themeColor="text1"/>
                    <w:sz w:val="21"/>
                    <w:szCs w:val="21"/>
                  </w:rPr>
                  <m:t>i</m:t>
                </m:r>
              </m:sub>
            </m:sSub>
          </m:num>
          <m:den>
            <m:sSub>
              <m:sSubPr>
                <m:ctrlPr>
                  <w:rPr>
                    <w:rFonts w:ascii="Cambria Math" w:eastAsia="Cambria Math" w:hAnsi="Cambria Math" w:cs="Times New Roman"/>
                    <w:color w:val="000000" w:themeColor="text1"/>
                    <w:sz w:val="21"/>
                    <w:szCs w:val="21"/>
                  </w:rPr>
                </m:ctrlPr>
              </m:sSubPr>
              <m:e>
                <m:sSub>
                  <m:sSubPr>
                    <m:ctrlPr>
                      <w:rPr>
                        <w:rFonts w:ascii="Cambria Math" w:eastAsia="Cambria Math" w:hAnsi="Cambria Math" w:cs="Times New Roman"/>
                        <w:color w:val="000000" w:themeColor="text1"/>
                        <w:sz w:val="21"/>
                        <w:szCs w:val="21"/>
                      </w:rPr>
                    </m:ctrlPr>
                  </m:sSubPr>
                  <m:e>
                    <m:r>
                      <w:rPr>
                        <w:rFonts w:ascii="Cambria Math" w:eastAsia="Cambria Math" w:hAnsi="Cambria Math" w:cs="Times New Roman"/>
                        <w:color w:val="000000" w:themeColor="text1"/>
                        <w:sz w:val="21"/>
                        <w:szCs w:val="21"/>
                      </w:rPr>
                      <m:t>μ</m:t>
                    </m:r>
                  </m:e>
                  <m:sub>
                    <m:r>
                      <w:rPr>
                        <w:rFonts w:ascii="Cambria Math" w:eastAsia="Cambria Math" w:hAnsi="Cambria Math" w:cs="Times New Roman"/>
                        <w:color w:val="000000" w:themeColor="text1"/>
                        <w:sz w:val="21"/>
                        <w:szCs w:val="21"/>
                      </w:rPr>
                      <m:t>NPP</m:t>
                    </m:r>
                  </m:sub>
                </m:sSub>
              </m:e>
              <m:sub>
                <m:r>
                  <w:rPr>
                    <w:rFonts w:ascii="Cambria Math" w:eastAsia="Cambria Math" w:hAnsi="Cambria Math" w:cs="Times New Roman"/>
                    <w:color w:val="000000" w:themeColor="text1"/>
                    <w:sz w:val="21"/>
                    <w:szCs w:val="21"/>
                  </w:rPr>
                  <m:t>i</m:t>
                </m:r>
              </m:sub>
            </m:sSub>
          </m:den>
        </m:f>
      </m:oMath>
      <w:r w:rsidR="00406A35" w:rsidRPr="00DA354E">
        <w:rPr>
          <w:rFonts w:ascii="Times New Roman" w:hAnsi="Times New Roman" w:cs="Times New Roman"/>
          <w:color w:val="000000" w:themeColor="text1"/>
        </w:rPr>
        <w:t xml:space="preserve">                                       </w:t>
      </w:r>
    </w:p>
    <w:p w:rsidR="00406A35" w:rsidRPr="00DA354E" w:rsidRDefault="00406A35" w:rsidP="00406A35">
      <w:pPr>
        <w:jc w:val="both"/>
        <w:rPr>
          <w:rFonts w:ascii="Times New Roman" w:hAnsi="Times New Roman" w:cs="Times New Roman"/>
          <w:color w:val="000000" w:themeColor="text1"/>
        </w:rPr>
      </w:pPr>
    </w:p>
    <w:p w:rsidR="00406A35" w:rsidRPr="00DA354E" w:rsidRDefault="00406A35" w:rsidP="00406A35">
      <w:pPr>
        <w:jc w:val="both"/>
        <w:rPr>
          <w:rFonts w:ascii="Times New Roman" w:hAnsi="Times New Roman" w:cs="Times New Roman"/>
          <w:color w:val="000000" w:themeColor="text1"/>
        </w:rPr>
      </w:pPr>
      <w:r w:rsidRPr="00DA354E">
        <w:rPr>
          <w:rFonts w:ascii="Times New Roman" w:hAnsi="Times New Roman" w:cs="Times New Roman"/>
          <w:color w:val="000000" w:themeColor="text1"/>
        </w:rPr>
        <w:t xml:space="preserve">And the first-order approximation for the error of </w:t>
      </w:r>
      <w:r w:rsidRPr="00DA354E">
        <w:rPr>
          <w:rFonts w:ascii="Times New Roman" w:hAnsi="Times New Roman" w:cs="Times New Roman"/>
          <w:i/>
          <w:color w:val="000000" w:themeColor="text1"/>
        </w:rPr>
        <w:t>r</w:t>
      </w:r>
      <w:r w:rsidRPr="00DA354E">
        <w:rPr>
          <w:rFonts w:ascii="Times New Roman" w:hAnsi="Times New Roman" w:cs="Times New Roman"/>
          <w:color w:val="000000" w:themeColor="text1"/>
        </w:rPr>
        <w:t xml:space="preserve"> is:</w:t>
      </w:r>
    </w:p>
    <w:p w:rsidR="00406A35" w:rsidRPr="00DA354E" w:rsidRDefault="00406A35" w:rsidP="00406A35">
      <w:pPr>
        <w:jc w:val="both"/>
        <w:rPr>
          <w:rFonts w:ascii="Times New Roman" w:hAnsi="Times New Roman" w:cs="Times New Roman"/>
          <w:color w:val="000000" w:themeColor="text1"/>
        </w:rPr>
      </w:pPr>
    </w:p>
    <w:p w:rsidR="00406A35" w:rsidRPr="00DA354E" w:rsidRDefault="001D7FE4" w:rsidP="00406A35">
      <w:pPr>
        <w:jc w:val="center"/>
        <w:rPr>
          <w:rFonts w:ascii="Times New Roman" w:hAnsi="Times New Roman" w:cs="Times New Roman"/>
          <w:color w:val="000000" w:themeColor="text1"/>
        </w:rPr>
      </w:pPr>
      <m:oMathPara>
        <m:oMath>
          <m:sSub>
            <m:sSubPr>
              <m:ctrlPr>
                <w:rPr>
                  <w:rFonts w:ascii="Cambria Math" w:hAnsi="Cambria Math" w:cs="Times New Roman"/>
                  <w:color w:val="000000" w:themeColor="text1"/>
                </w:rPr>
              </m:ctrlPr>
            </m:sSubPr>
            <m:e>
              <m:r>
                <w:rPr>
                  <w:rFonts w:ascii="Cambria Math" w:hAnsi="Cambria Math" w:cs="Times New Roman"/>
                  <w:color w:val="000000" w:themeColor="text1"/>
                </w:rPr>
                <m:t>ε</m:t>
              </m:r>
            </m:e>
            <m:sub>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r</m:t>
                  </m:r>
                </m:e>
                <m:sub>
                  <m:r>
                    <w:rPr>
                      <w:rFonts w:ascii="Cambria Math" w:eastAsia="Cambria Math" w:hAnsi="Cambria Math" w:cs="Times New Roman"/>
                      <w:color w:val="000000" w:themeColor="text1"/>
                    </w:rPr>
                    <m:t>i</m:t>
                  </m:r>
                </m:sub>
              </m:sSub>
            </m:sub>
          </m:sSub>
          <m:r>
            <w:rPr>
              <w:rFonts w:ascii="Cambria Math" w:eastAsia="Cambria Math" w:hAnsi="Cambria Math" w:cs="Times New Roman"/>
              <w:color w:val="000000" w:themeColor="text1"/>
            </w:rPr>
            <m:t>=</m:t>
          </m:r>
          <m:f>
            <m:fPr>
              <m:ctrlPr>
                <w:rPr>
                  <w:rFonts w:ascii="Cambria Math" w:eastAsia="Cambria Math" w:hAnsi="Cambria Math" w:cs="Times New Roman"/>
                  <w:color w:val="000000" w:themeColor="text1"/>
                </w:rPr>
              </m:ctrlPr>
            </m:fPr>
            <m:num>
              <m:r>
                <w:rPr>
                  <w:rFonts w:ascii="Cambria Math" w:eastAsia="Cambria Math" w:hAnsi="Cambria Math" w:cs="Times New Roman"/>
                  <w:color w:val="000000" w:themeColor="text1"/>
                </w:rPr>
                <m:t>∂</m:t>
              </m:r>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r</m:t>
                  </m:r>
                </m:e>
                <m:sub>
                  <m:r>
                    <w:rPr>
                      <w:rFonts w:ascii="Cambria Math" w:eastAsia="Cambria Math" w:hAnsi="Cambria Math" w:cs="Times New Roman"/>
                      <w:color w:val="000000" w:themeColor="text1"/>
                    </w:rPr>
                    <m:t>i</m:t>
                  </m:r>
                </m:sub>
              </m:sSub>
            </m:num>
            <m:den>
              <m:r>
                <w:rPr>
                  <w:rFonts w:ascii="Cambria Math" w:eastAsia="Cambria Math" w:hAnsi="Cambria Math" w:cs="Times New Roman"/>
                  <w:color w:val="000000" w:themeColor="text1"/>
                </w:rPr>
                <m:t>∂</m:t>
              </m:r>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(SHR)</m:t>
                  </m:r>
                </m:e>
                <m:sub>
                  <m:r>
                    <w:rPr>
                      <w:rFonts w:ascii="Cambria Math" w:eastAsia="Cambria Math" w:hAnsi="Cambria Math" w:cs="Times New Roman"/>
                      <w:color w:val="000000" w:themeColor="text1"/>
                    </w:rPr>
                    <m:t>i</m:t>
                  </m:r>
                </m:sub>
              </m:sSub>
            </m:den>
          </m:f>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ε</m:t>
              </m:r>
            </m:e>
            <m:sub>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SHR</m:t>
                  </m:r>
                </m:e>
                <m:sub>
                  <m:r>
                    <w:rPr>
                      <w:rFonts w:ascii="Cambria Math" w:eastAsia="Cambria Math" w:hAnsi="Cambria Math" w:cs="Times New Roman"/>
                      <w:color w:val="000000" w:themeColor="text1"/>
                    </w:rPr>
                    <m:t>i</m:t>
                  </m:r>
                </m:sub>
              </m:sSub>
            </m:sub>
          </m:sSub>
          <m:r>
            <w:rPr>
              <w:rFonts w:ascii="Cambria Math" w:eastAsia="Cambria Math" w:hAnsi="Cambria Math" w:cs="Times New Roman"/>
              <w:color w:val="000000" w:themeColor="text1"/>
            </w:rPr>
            <m:t>+</m:t>
          </m:r>
          <m:f>
            <m:fPr>
              <m:ctrlPr>
                <w:rPr>
                  <w:rFonts w:ascii="Cambria Math" w:eastAsia="Cambria Math" w:hAnsi="Cambria Math" w:cs="Times New Roman"/>
                  <w:color w:val="000000" w:themeColor="text1"/>
                </w:rPr>
              </m:ctrlPr>
            </m:fPr>
            <m:num>
              <m:r>
                <w:rPr>
                  <w:rFonts w:ascii="Cambria Math" w:eastAsia="Cambria Math" w:hAnsi="Cambria Math" w:cs="Times New Roman"/>
                  <w:color w:val="000000" w:themeColor="text1"/>
                </w:rPr>
                <m:t>∂</m:t>
              </m:r>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r</m:t>
                  </m:r>
                </m:e>
                <m:sub>
                  <m:r>
                    <w:rPr>
                      <w:rFonts w:ascii="Cambria Math" w:eastAsia="Cambria Math" w:hAnsi="Cambria Math" w:cs="Times New Roman"/>
                      <w:color w:val="000000" w:themeColor="text1"/>
                    </w:rPr>
                    <m:t>i</m:t>
                  </m:r>
                </m:sub>
              </m:sSub>
            </m:num>
            <m:den>
              <m:r>
                <w:rPr>
                  <w:rFonts w:ascii="Cambria Math" w:eastAsia="Cambria Math" w:hAnsi="Cambria Math" w:cs="Times New Roman"/>
                  <w:color w:val="000000" w:themeColor="text1"/>
                </w:rPr>
                <m:t>∂</m:t>
              </m:r>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(NPP)</m:t>
                  </m:r>
                </m:e>
                <m:sub>
                  <m:r>
                    <w:rPr>
                      <w:rFonts w:ascii="Cambria Math" w:eastAsia="Cambria Math" w:hAnsi="Cambria Math" w:cs="Times New Roman"/>
                      <w:color w:val="000000" w:themeColor="text1"/>
                    </w:rPr>
                    <m:t>i</m:t>
                  </m:r>
                </m:sub>
              </m:sSub>
            </m:den>
          </m:f>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ε</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r>
            <w:rPr>
              <w:rFonts w:ascii="Cambria Math" w:eastAsia="Cambria Math" w:hAnsi="Cambria Math" w:cs="Times New Roman"/>
              <w:color w:val="000000" w:themeColor="text1"/>
            </w:rPr>
            <m:t>=-</m:t>
          </m:r>
          <m:f>
            <m:fPr>
              <m:ctrlPr>
                <w:rPr>
                  <w:rFonts w:ascii="Cambria Math" w:eastAsia="Cambria Math" w:hAnsi="Cambria Math" w:cs="Times New Roman"/>
                  <w:color w:val="000000" w:themeColor="text1"/>
                </w:rPr>
              </m:ctrlPr>
            </m:fPr>
            <m:num>
              <m:r>
                <w:rPr>
                  <w:rFonts w:ascii="Cambria Math" w:eastAsia="Cambria Math" w:hAnsi="Cambria Math" w:cs="Times New Roman"/>
                  <w:color w:val="000000" w:themeColor="text1"/>
                </w:rPr>
                <m:t>1</m:t>
              </m:r>
            </m:num>
            <m:den>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den>
          </m:f>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ε</m:t>
                  </m:r>
                </m:e>
                <m:sub>
                  <m:r>
                    <w:rPr>
                      <w:rFonts w:ascii="Cambria Math" w:eastAsia="Cambria Math" w:hAnsi="Cambria Math" w:cs="Times New Roman"/>
                      <w:color w:val="000000" w:themeColor="text1"/>
                    </w:rPr>
                    <m:t>SHR</m:t>
                  </m:r>
                </m:sub>
              </m:sSub>
            </m:e>
            <m:sub>
              <m:r>
                <w:rPr>
                  <w:rFonts w:ascii="Cambria Math" w:eastAsia="Cambria Math" w:hAnsi="Cambria Math" w:cs="Times New Roman"/>
                  <w:color w:val="000000" w:themeColor="text1"/>
                </w:rPr>
                <m:t>i</m:t>
              </m:r>
            </m:sub>
          </m:sSub>
          <m:r>
            <w:rPr>
              <w:rFonts w:ascii="Cambria Math" w:eastAsia="Cambria Math" w:hAnsi="Cambria Math" w:cs="Times New Roman"/>
              <w:color w:val="000000" w:themeColor="text1"/>
            </w:rPr>
            <m:t>+</m:t>
          </m:r>
          <m:f>
            <m:fPr>
              <m:ctrlPr>
                <w:rPr>
                  <w:rFonts w:ascii="Cambria Math" w:eastAsia="Cambria Math" w:hAnsi="Cambria Math" w:cs="Times New Roman"/>
                  <w:color w:val="000000" w:themeColor="text1"/>
                </w:rPr>
              </m:ctrlPr>
            </m:fPr>
            <m:num>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SHR</m:t>
                      </m:r>
                    </m:sub>
                  </m:sSub>
                </m:e>
                <m:sub>
                  <m:r>
                    <w:rPr>
                      <w:rFonts w:ascii="Cambria Math" w:eastAsia="Cambria Math" w:hAnsi="Cambria Math" w:cs="Times New Roman"/>
                      <w:color w:val="000000" w:themeColor="text1"/>
                    </w:rPr>
                    <m:t>i</m:t>
                  </m:r>
                </m:sub>
              </m:sSub>
            </m:num>
            <m:den>
              <m:sSub>
                <m:sSubPr>
                  <m:ctrlPr>
                    <w:rPr>
                      <w:rFonts w:ascii="Cambria Math" w:eastAsia="Cambria Math" w:hAnsi="Cambria Math" w:cs="Times New Roman"/>
                      <w:color w:val="000000" w:themeColor="text1"/>
                    </w:rPr>
                  </m:ctrlPr>
                </m:sSubPr>
                <m:e>
                  <m:sSubSup>
                    <m:sSubSupPr>
                      <m:ctrlPr>
                        <w:rPr>
                          <w:rFonts w:ascii="Cambria Math" w:eastAsia="Cambria Math" w:hAnsi="Cambria Math" w:cs="Times New Roman"/>
                          <w:color w:val="000000" w:themeColor="text1"/>
                        </w:rPr>
                      </m:ctrlPr>
                    </m:sSubSup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NPP</m:t>
                      </m:r>
                    </m:sub>
                    <m:sup>
                      <m:r>
                        <w:rPr>
                          <w:rFonts w:ascii="Cambria Math" w:eastAsia="Cambria Math" w:hAnsi="Cambria Math" w:cs="Times New Roman"/>
                          <w:color w:val="000000" w:themeColor="text1"/>
                        </w:rPr>
                        <m:t>2</m:t>
                      </m:r>
                    </m:sup>
                  </m:sSubSup>
                </m:e>
                <m:sub>
                  <m:r>
                    <w:rPr>
                      <w:rFonts w:ascii="Cambria Math" w:eastAsia="Cambria Math" w:hAnsi="Cambria Math" w:cs="Times New Roman"/>
                      <w:color w:val="000000" w:themeColor="text1"/>
                    </w:rPr>
                    <m:t>i</m:t>
                  </m:r>
                </m:sub>
              </m:sSub>
            </m:den>
          </m:f>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ε</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oMath>
      </m:oMathPara>
    </w:p>
    <w:p w:rsidR="00406A35" w:rsidRPr="00DA354E" w:rsidRDefault="00406A35" w:rsidP="00406A35">
      <w:pPr>
        <w:jc w:val="both"/>
        <w:rPr>
          <w:rFonts w:ascii="Times New Roman" w:hAnsi="Times New Roman" w:cs="Times New Roman"/>
          <w:color w:val="000000" w:themeColor="text1"/>
        </w:rPr>
      </w:pPr>
    </w:p>
    <w:p w:rsidR="00406A35" w:rsidRPr="00DA354E" w:rsidRDefault="00406A35" w:rsidP="00406A35">
      <w:pPr>
        <w:jc w:val="both"/>
        <w:rPr>
          <w:rFonts w:ascii="Times New Roman" w:hAnsi="Times New Roman" w:cs="Times New Roman"/>
          <w:color w:val="000000" w:themeColor="text1"/>
        </w:rPr>
      </w:pPr>
      <w:r w:rsidRPr="00DA354E">
        <w:rPr>
          <w:rFonts w:ascii="Times New Roman" w:hAnsi="Times New Roman" w:cs="Times New Roman"/>
          <w:color w:val="000000" w:themeColor="text1"/>
        </w:rPr>
        <w:t>The standard deviation of the ratio error is:</w:t>
      </w:r>
    </w:p>
    <w:p w:rsidR="00406A35" w:rsidRPr="00DA354E" w:rsidRDefault="00406A35" w:rsidP="00406A35">
      <w:pPr>
        <w:jc w:val="both"/>
        <w:rPr>
          <w:rFonts w:ascii="Times New Roman" w:hAnsi="Times New Roman" w:cs="Times New Roman"/>
          <w:color w:val="000000" w:themeColor="text1"/>
        </w:rPr>
      </w:pPr>
    </w:p>
    <w:p w:rsidR="00406A35" w:rsidRPr="00DA354E" w:rsidRDefault="001D7FE4" w:rsidP="00406A35">
      <w:pPr>
        <w:jc w:val="both"/>
        <w:rPr>
          <w:rFonts w:ascii="Times New Roman" w:hAnsi="Times New Roman" w:cs="Times New Roman"/>
          <w:color w:val="000000" w:themeColor="text1"/>
        </w:rPr>
      </w:pPr>
      <m:oMath>
        <m:sSub>
          <m:sSubPr>
            <m:ctrlPr>
              <w:rPr>
                <w:rFonts w:ascii="Cambria Math" w:hAnsi="Cambria Math" w:cs="Times New Roman"/>
                <w:color w:val="000000" w:themeColor="text1"/>
              </w:rPr>
            </m:ctrlPr>
          </m:sSubPr>
          <m:e>
            <m:r>
              <w:rPr>
                <w:rFonts w:ascii="Cambria Math" w:hAnsi="Cambria Math" w:cs="Times New Roman"/>
                <w:color w:val="000000" w:themeColor="text1"/>
              </w:rPr>
              <m:t>σ</m:t>
            </m:r>
          </m:e>
          <m:sub>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r</m:t>
                </m:r>
              </m:e>
              <m:sub>
                <m:r>
                  <w:rPr>
                    <w:rFonts w:ascii="Cambria Math" w:eastAsia="Cambria Math" w:hAnsi="Cambria Math" w:cs="Times New Roman"/>
                    <w:color w:val="000000" w:themeColor="text1"/>
                  </w:rPr>
                  <m:t>i</m:t>
                </m:r>
              </m:sub>
            </m:sSub>
          </m:sub>
        </m:sSub>
        <m:r>
          <w:rPr>
            <w:rFonts w:ascii="Cambria Math" w:eastAsia="Cambria Math" w:hAnsi="Cambria Math" w:cs="Times New Roman"/>
            <w:color w:val="000000" w:themeColor="text1"/>
          </w:rPr>
          <m:t>=</m:t>
        </m:r>
        <m:rad>
          <m:radPr>
            <m:degHide m:val="1"/>
            <m:ctrlPr>
              <w:rPr>
                <w:rFonts w:ascii="Cambria Math" w:eastAsia="Cambria Math" w:hAnsi="Cambria Math" w:cs="Times New Roman"/>
                <w:color w:val="000000" w:themeColor="text1"/>
              </w:rPr>
            </m:ctrlPr>
          </m:radPr>
          <m:deg/>
          <m:e>
            <m:sSup>
              <m:sSupPr>
                <m:ctrlPr>
                  <w:rPr>
                    <w:rFonts w:ascii="Cambria Math" w:eastAsia="Cambria Math" w:hAnsi="Cambria Math" w:cs="Times New Roman"/>
                    <w:color w:val="000000" w:themeColor="text1"/>
                  </w:rPr>
                </m:ctrlPr>
              </m:sSupPr>
              <m:e>
                <m:d>
                  <m:dPr>
                    <m:ctrlPr>
                      <w:rPr>
                        <w:rFonts w:ascii="Cambria Math" w:eastAsia="Cambria Math" w:hAnsi="Cambria Math" w:cs="Times New Roman"/>
                        <w:color w:val="000000" w:themeColor="text1"/>
                      </w:rPr>
                    </m:ctrlPr>
                  </m:dPr>
                  <m:e>
                    <m:f>
                      <m:fPr>
                        <m:ctrlPr>
                          <w:rPr>
                            <w:rFonts w:ascii="Cambria Math" w:eastAsia="Cambria Math" w:hAnsi="Cambria Math" w:cs="Times New Roman"/>
                            <w:color w:val="000000" w:themeColor="text1"/>
                          </w:rPr>
                        </m:ctrlPr>
                      </m:fPr>
                      <m:num>
                        <m:r>
                          <w:rPr>
                            <w:rFonts w:ascii="Cambria Math" w:eastAsia="Cambria Math" w:hAnsi="Cambria Math" w:cs="Times New Roman"/>
                            <w:color w:val="000000" w:themeColor="text1"/>
                          </w:rPr>
                          <m:t>1</m:t>
                        </m:r>
                      </m:num>
                      <m:den>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den>
                    </m:f>
                  </m:e>
                </m:d>
              </m:e>
              <m:sup>
                <m:r>
                  <w:rPr>
                    <w:rFonts w:ascii="Cambria Math" w:eastAsia="Cambria Math" w:hAnsi="Cambria Math" w:cs="Times New Roman"/>
                    <w:color w:val="000000" w:themeColor="text1"/>
                  </w:rPr>
                  <m:t>2</m:t>
                </m:r>
              </m:sup>
            </m:sSup>
            <m:sSup>
              <m:sSupPr>
                <m:ctrlPr>
                  <w:rPr>
                    <w:rFonts w:ascii="Cambria Math" w:eastAsia="Cambria Math" w:hAnsi="Cambria Math" w:cs="Times New Roman"/>
                    <w:color w:val="000000" w:themeColor="text1"/>
                  </w:rPr>
                </m:ctrlPr>
              </m:sSup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σ</m:t>
                        </m:r>
                      </m:e>
                      <m:sub>
                        <m:r>
                          <w:rPr>
                            <w:rFonts w:ascii="Cambria Math" w:eastAsia="Cambria Math" w:hAnsi="Cambria Math" w:cs="Times New Roman"/>
                            <w:color w:val="000000" w:themeColor="text1"/>
                          </w:rPr>
                          <m:t>SHR</m:t>
                        </m:r>
                      </m:sub>
                    </m:sSub>
                  </m:e>
                  <m:sub>
                    <m:r>
                      <w:rPr>
                        <w:rFonts w:ascii="Cambria Math" w:eastAsia="Cambria Math" w:hAnsi="Cambria Math" w:cs="Times New Roman"/>
                        <w:color w:val="000000" w:themeColor="text1"/>
                      </w:rPr>
                      <m:t>i</m:t>
                    </m:r>
                  </m:sub>
                </m:sSub>
              </m:e>
              <m:sup>
                <m:r>
                  <w:rPr>
                    <w:rFonts w:ascii="Cambria Math" w:eastAsia="Cambria Math" w:hAnsi="Cambria Math" w:cs="Times New Roman"/>
                    <w:color w:val="000000" w:themeColor="text1"/>
                  </w:rPr>
                  <m:t>2</m:t>
                </m:r>
              </m:sup>
            </m:sSup>
            <m:r>
              <w:rPr>
                <w:rFonts w:ascii="Cambria Math" w:eastAsia="Cambria Math" w:hAnsi="Cambria Math" w:cs="Times New Roman"/>
                <w:color w:val="000000" w:themeColor="text1"/>
              </w:rPr>
              <m:t>+</m:t>
            </m:r>
            <m:sSup>
              <m:sSupPr>
                <m:ctrlPr>
                  <w:rPr>
                    <w:rFonts w:ascii="Cambria Math" w:eastAsia="Cambria Math" w:hAnsi="Cambria Math" w:cs="Times New Roman"/>
                    <w:color w:val="000000" w:themeColor="text1"/>
                  </w:rPr>
                </m:ctrlPr>
              </m:sSupPr>
              <m:e>
                <m:d>
                  <m:dPr>
                    <m:ctrlPr>
                      <w:rPr>
                        <w:rFonts w:ascii="Cambria Math" w:eastAsia="Cambria Math" w:hAnsi="Cambria Math" w:cs="Times New Roman"/>
                        <w:color w:val="000000" w:themeColor="text1"/>
                      </w:rPr>
                    </m:ctrlPr>
                  </m:dPr>
                  <m:e>
                    <m:f>
                      <m:fPr>
                        <m:ctrlPr>
                          <w:rPr>
                            <w:rFonts w:ascii="Cambria Math" w:eastAsia="Cambria Math" w:hAnsi="Cambria Math" w:cs="Times New Roman"/>
                            <w:color w:val="000000" w:themeColor="text1"/>
                          </w:rPr>
                        </m:ctrlPr>
                      </m:fPr>
                      <m:num>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SHR</m:t>
                                </m:r>
                              </m:sub>
                            </m:sSub>
                          </m:e>
                          <m:sub>
                            <m:r>
                              <w:rPr>
                                <w:rFonts w:ascii="Cambria Math" w:eastAsia="Cambria Math" w:hAnsi="Cambria Math" w:cs="Times New Roman"/>
                                <w:color w:val="000000" w:themeColor="text1"/>
                              </w:rPr>
                              <m:t>i</m:t>
                            </m:r>
                          </m:sub>
                        </m:sSub>
                      </m:num>
                      <m:den>
                        <m:sSup>
                          <m:sSupPr>
                            <m:ctrlPr>
                              <w:rPr>
                                <w:rFonts w:ascii="Cambria Math" w:eastAsia="Cambria Math" w:hAnsi="Cambria Math" w:cs="Times New Roman"/>
                                <w:color w:val="000000" w:themeColor="text1"/>
                              </w:rPr>
                            </m:ctrlPr>
                          </m:sSup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e>
                          <m:sup>
                            <m:r>
                              <w:rPr>
                                <w:rFonts w:ascii="Cambria Math" w:eastAsia="Cambria Math" w:hAnsi="Cambria Math" w:cs="Times New Roman"/>
                                <w:color w:val="000000" w:themeColor="text1"/>
                              </w:rPr>
                              <m:t>2</m:t>
                            </m:r>
                          </m:sup>
                        </m:sSup>
                      </m:den>
                    </m:f>
                  </m:e>
                </m:d>
              </m:e>
              <m:sup>
                <m:r>
                  <w:rPr>
                    <w:rFonts w:ascii="Cambria Math" w:eastAsia="Cambria Math" w:hAnsi="Cambria Math" w:cs="Times New Roman"/>
                    <w:color w:val="000000" w:themeColor="text1"/>
                  </w:rPr>
                  <m:t>2</m:t>
                </m:r>
              </m:sup>
            </m:sSup>
            <m:sSup>
              <m:sSupPr>
                <m:ctrlPr>
                  <w:rPr>
                    <w:rFonts w:ascii="Cambria Math" w:eastAsia="Cambria Math" w:hAnsi="Cambria Math" w:cs="Times New Roman"/>
                    <w:color w:val="000000" w:themeColor="text1"/>
                  </w:rPr>
                </m:ctrlPr>
              </m:sSup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σ</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e>
              <m:sup>
                <m:r>
                  <w:rPr>
                    <w:rFonts w:ascii="Cambria Math" w:eastAsia="Cambria Math" w:hAnsi="Cambria Math" w:cs="Times New Roman"/>
                    <w:color w:val="000000" w:themeColor="text1"/>
                  </w:rPr>
                  <m:t>2</m:t>
                </m:r>
              </m:sup>
            </m:sSup>
            <m:r>
              <w:rPr>
                <w:rFonts w:ascii="Cambria Math" w:eastAsia="Cambria Math" w:hAnsi="Cambria Math" w:cs="Times New Roman"/>
                <w:color w:val="000000" w:themeColor="text1"/>
              </w:rPr>
              <m:t>-2</m:t>
            </m:r>
            <m:d>
              <m:dPr>
                <m:ctrlPr>
                  <w:rPr>
                    <w:rFonts w:ascii="Cambria Math" w:eastAsia="Cambria Math" w:hAnsi="Cambria Math" w:cs="Times New Roman"/>
                    <w:color w:val="000000" w:themeColor="text1"/>
                  </w:rPr>
                </m:ctrlPr>
              </m:dPr>
              <m:e>
                <m:f>
                  <m:fPr>
                    <m:ctrlPr>
                      <w:rPr>
                        <w:rFonts w:ascii="Cambria Math" w:eastAsia="Cambria Math" w:hAnsi="Cambria Math" w:cs="Times New Roman"/>
                        <w:color w:val="000000" w:themeColor="text1"/>
                      </w:rPr>
                    </m:ctrlPr>
                  </m:fPr>
                  <m:num>
                    <m:r>
                      <w:rPr>
                        <w:rFonts w:ascii="Cambria Math" w:eastAsia="Cambria Math" w:hAnsi="Cambria Math" w:cs="Times New Roman"/>
                        <w:color w:val="000000" w:themeColor="text1"/>
                      </w:rPr>
                      <m:t>1</m:t>
                    </m:r>
                  </m:num>
                  <m:den>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den>
                </m:f>
                <m:r>
                  <w:rPr>
                    <w:rFonts w:ascii="Cambria Math" w:eastAsia="Cambria Math" w:hAnsi="Cambria Math" w:cs="Times New Roman"/>
                    <w:color w:val="000000" w:themeColor="text1"/>
                  </w:rPr>
                  <m:t>∙</m:t>
                </m:r>
                <m:f>
                  <m:fPr>
                    <m:ctrlPr>
                      <w:rPr>
                        <w:rFonts w:ascii="Cambria Math" w:eastAsia="Cambria Math" w:hAnsi="Cambria Math" w:cs="Times New Roman"/>
                        <w:color w:val="000000" w:themeColor="text1"/>
                      </w:rPr>
                    </m:ctrlPr>
                  </m:fPr>
                  <m:num>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SHR</m:t>
                            </m:r>
                          </m:sub>
                        </m:sSub>
                      </m:e>
                      <m:sub>
                        <m:r>
                          <w:rPr>
                            <w:rFonts w:ascii="Cambria Math" w:eastAsia="Cambria Math" w:hAnsi="Cambria Math" w:cs="Times New Roman"/>
                            <w:color w:val="000000" w:themeColor="text1"/>
                          </w:rPr>
                          <m:t>i</m:t>
                        </m:r>
                      </m:sub>
                    </m:sSub>
                  </m:num>
                  <m:den>
                    <m:sSup>
                      <m:sSupPr>
                        <m:ctrlPr>
                          <w:rPr>
                            <w:rFonts w:ascii="Cambria Math" w:eastAsia="Cambria Math" w:hAnsi="Cambria Math" w:cs="Times New Roman"/>
                            <w:color w:val="000000" w:themeColor="text1"/>
                          </w:rPr>
                        </m:ctrlPr>
                      </m:sSup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e>
                      <m:sup>
                        <m:r>
                          <w:rPr>
                            <w:rFonts w:ascii="Cambria Math" w:eastAsia="Cambria Math" w:hAnsi="Cambria Math" w:cs="Times New Roman"/>
                            <w:color w:val="000000" w:themeColor="text1"/>
                          </w:rPr>
                          <m:t>2</m:t>
                        </m:r>
                      </m:sup>
                    </m:sSup>
                  </m:den>
                </m:f>
              </m:e>
            </m:d>
            <m:r>
              <w:rPr>
                <w:rFonts w:ascii="Cambria Math" w:eastAsia="Cambria Math" w:hAnsi="Cambria Math" w:cs="Times New Roman"/>
                <w:color w:val="000000" w:themeColor="text1"/>
              </w:rPr>
              <m:t>cov</m:t>
            </m:r>
            <m:d>
              <m:dPr>
                <m:ctrlPr>
                  <w:rPr>
                    <w:rFonts w:ascii="Cambria Math" w:eastAsia="Cambria Math" w:hAnsi="Cambria Math" w:cs="Times New Roman"/>
                    <w:color w:val="000000" w:themeColor="text1"/>
                  </w:rPr>
                </m:ctrlPr>
              </m:d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σ</m:t>
                        </m:r>
                      </m:e>
                      <m:sub>
                        <m:r>
                          <w:rPr>
                            <w:rFonts w:ascii="Cambria Math" w:eastAsia="Cambria Math" w:hAnsi="Cambria Math" w:cs="Times New Roman"/>
                            <w:color w:val="000000" w:themeColor="text1"/>
                          </w:rPr>
                          <m:t>SHR</m:t>
                        </m:r>
                      </m:sub>
                    </m:sSub>
                  </m:e>
                  <m:sub>
                    <m:r>
                      <w:rPr>
                        <w:rFonts w:ascii="Cambria Math" w:eastAsia="Cambria Math" w:hAnsi="Cambria Math" w:cs="Times New Roman"/>
                        <w:color w:val="000000" w:themeColor="text1"/>
                      </w:rPr>
                      <m:t>i</m:t>
                    </m:r>
                  </m:sub>
                </m:sSub>
                <m:r>
                  <w:rPr>
                    <w:rFonts w:ascii="Cambria Math" w:eastAsia="Cambria Math" w:hAnsi="Cambria Math" w:cs="Times New Roman"/>
                    <w:color w:val="000000" w:themeColor="text1"/>
                  </w:rPr>
                  <m:t>,</m:t>
                </m:r>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σ</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e>
            </m:d>
            <m:r>
              <w:rPr>
                <w:rFonts w:ascii="Cambria Math" w:eastAsia="Cambria Math" w:hAnsi="Cambria Math" w:cs="Times New Roman"/>
                <w:color w:val="000000" w:themeColor="text1"/>
              </w:rPr>
              <m:t xml:space="preserve">       </m:t>
            </m:r>
          </m:e>
        </m:rad>
      </m:oMath>
      <w:r w:rsidR="00406A35" w:rsidRPr="00DA354E">
        <w:rPr>
          <w:rFonts w:ascii="Times New Roman" w:hAnsi="Times New Roman" w:cs="Times New Roman"/>
          <w:color w:val="000000" w:themeColor="text1"/>
        </w:rPr>
        <w:t>(1)</w:t>
      </w:r>
    </w:p>
    <w:p w:rsidR="00406A35" w:rsidRPr="00DA354E" w:rsidRDefault="00406A35" w:rsidP="00406A35">
      <w:pPr>
        <w:jc w:val="both"/>
        <w:rPr>
          <w:rFonts w:ascii="Times New Roman" w:hAnsi="Times New Roman" w:cs="Times New Roman"/>
          <w:color w:val="000000" w:themeColor="text1"/>
        </w:rPr>
      </w:pPr>
    </w:p>
    <w:p w:rsidR="00406A35" w:rsidRPr="00DA354E" w:rsidRDefault="00406A35" w:rsidP="00406A35">
      <w:pPr>
        <w:jc w:val="both"/>
        <w:rPr>
          <w:rFonts w:ascii="Times New Roman" w:hAnsi="Times New Roman" w:cs="Times New Roman"/>
          <w:color w:val="000000" w:themeColor="text1"/>
        </w:rPr>
      </w:pPr>
      <w:r>
        <w:rPr>
          <w:rFonts w:ascii="Times New Roman" w:hAnsi="Times New Roman" w:cs="Times New Roman"/>
          <w:color w:val="000000" w:themeColor="text1"/>
        </w:rPr>
        <w:t>w</w:t>
      </w:r>
      <w:r w:rsidRPr="00DA354E">
        <w:rPr>
          <w:rFonts w:ascii="Times New Roman" w:hAnsi="Times New Roman" w:cs="Times New Roman"/>
          <w:color w:val="000000" w:themeColor="text1"/>
        </w:rPr>
        <w:t xml:space="preserve">here </w:t>
      </w:r>
      <w:proofErr w:type="spellStart"/>
      <w:r w:rsidRPr="00DA354E">
        <w:rPr>
          <w:rFonts w:ascii="Times New Roman" w:hAnsi="Times New Roman" w:cs="Times New Roman"/>
          <w:i/>
          <w:color w:val="000000" w:themeColor="text1"/>
        </w:rPr>
        <w:t>cov</w:t>
      </w:r>
      <w:proofErr w:type="spellEnd"/>
      <w:r w:rsidRPr="00DA354E">
        <w:rPr>
          <w:rFonts w:ascii="Times New Roman" w:hAnsi="Times New Roman" w:cs="Times New Roman"/>
          <w:i/>
          <w:color w:val="000000" w:themeColor="text1"/>
        </w:rPr>
        <w:t>(,)</w:t>
      </w:r>
      <w:r w:rsidRPr="00DA354E">
        <w:rPr>
          <w:rFonts w:ascii="Times New Roman" w:hAnsi="Times New Roman" w:cs="Times New Roman"/>
          <w:color w:val="000000" w:themeColor="text1"/>
        </w:rPr>
        <w:t xml:space="preserve"> means the covariance of the two variables within the brackets. Since SHR is calculated based on mass balance from NEE, NPP and other non-SHR sources composing NEE noted </w:t>
      </w:r>
      <m:oMath>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F</m:t>
            </m:r>
          </m:e>
          <m:sub>
            <m:r>
              <w:rPr>
                <w:rFonts w:ascii="Cambria Math" w:eastAsia="Cambria Math" w:hAnsi="Cambria Math" w:cs="Times New Roman"/>
                <w:color w:val="000000" w:themeColor="text1"/>
              </w:rPr>
              <m:t>ik</m:t>
            </m:r>
          </m:sub>
        </m:sSub>
      </m:oMath>
      <w:r w:rsidRPr="00DA354E">
        <w:rPr>
          <w:rFonts w:ascii="Times New Roman" w:hAnsi="Times New Roman" w:cs="Times New Roman"/>
          <w:color w:val="000000" w:themeColor="text1"/>
        </w:rPr>
        <w:t xml:space="preserve"> for </w:t>
      </w:r>
      <w:r w:rsidRPr="00CB1133">
        <w:rPr>
          <w:rFonts w:ascii="Times New Roman" w:hAnsi="Times New Roman" w:cs="Times New Roman"/>
          <w:i/>
          <w:iCs/>
          <w:color w:val="000000" w:themeColor="text1"/>
        </w:rPr>
        <w:t>k</w:t>
      </w:r>
      <w:r w:rsidRPr="00DA354E">
        <w:rPr>
          <w:rFonts w:ascii="Times New Roman" w:hAnsi="Times New Roman" w:cs="Times New Roman"/>
          <w:color w:val="000000" w:themeColor="text1"/>
        </w:rPr>
        <w:t xml:space="preserve"> = 1, 8 (</w:t>
      </w:r>
      <w:r>
        <w:rPr>
          <w:rFonts w:ascii="Times New Roman" w:hAnsi="Times New Roman" w:cs="Times New Roman"/>
          <w:color w:val="000000" w:themeColor="text1"/>
        </w:rPr>
        <w:t>Supplementary</w:t>
      </w:r>
      <w:r w:rsidRPr="00DA354E">
        <w:rPr>
          <w:rFonts w:ascii="Times New Roman" w:hAnsi="Times New Roman" w:cs="Times New Roman"/>
          <w:color w:val="000000" w:themeColor="text1"/>
        </w:rPr>
        <w:t xml:space="preserve"> Eq. 2), the covariance between SHR and NPP can be written as:</w:t>
      </w:r>
    </w:p>
    <w:p w:rsidR="00406A35" w:rsidRPr="00DA354E" w:rsidRDefault="00406A35" w:rsidP="00406A35">
      <w:pPr>
        <w:rPr>
          <w:rFonts w:ascii="Times New Roman" w:hAnsi="Times New Roman" w:cs="Times New Roman"/>
          <w:color w:val="000000" w:themeColor="text1"/>
        </w:rPr>
      </w:pPr>
    </w:p>
    <w:p w:rsidR="00406A35" w:rsidRPr="00CB1133" w:rsidRDefault="00406A35" w:rsidP="00406A35">
      <w:pPr>
        <w:rPr>
          <w:rFonts w:ascii="Times New Roman" w:eastAsia="Cambria Math" w:hAnsi="Times New Roman" w:cs="Times New Roman"/>
          <w:color w:val="000000" w:themeColor="text1"/>
        </w:rPr>
      </w:pPr>
      <m:oMathPara>
        <m:oMathParaPr>
          <m:jc m:val="left"/>
        </m:oMathParaPr>
        <m:oMath>
          <m:r>
            <w:rPr>
              <w:rFonts w:ascii="Cambria Math" w:eastAsia="Cambria Math" w:hAnsi="Cambria Math" w:cs="Times New Roman"/>
              <w:color w:val="000000" w:themeColor="text1"/>
            </w:rPr>
            <m:t>cov</m:t>
          </m:r>
          <m:d>
            <m:dPr>
              <m:ctrlPr>
                <w:rPr>
                  <w:rFonts w:ascii="Cambria Math" w:eastAsia="Cambria Math" w:hAnsi="Cambria Math" w:cs="Times New Roman"/>
                  <w:color w:val="000000" w:themeColor="text1"/>
                </w:rPr>
              </m:ctrlPr>
            </m:d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σ</m:t>
                      </m:r>
                    </m:e>
                    <m:sub>
                      <m:r>
                        <w:rPr>
                          <w:rFonts w:ascii="Cambria Math" w:eastAsia="Cambria Math" w:hAnsi="Cambria Math" w:cs="Times New Roman"/>
                          <w:color w:val="000000" w:themeColor="text1"/>
                        </w:rPr>
                        <m:t>SHR</m:t>
                      </m:r>
                    </m:sub>
                  </m:sSub>
                </m:e>
                <m:sub>
                  <m:r>
                    <w:rPr>
                      <w:rFonts w:ascii="Cambria Math" w:eastAsia="Cambria Math" w:hAnsi="Cambria Math" w:cs="Times New Roman"/>
                      <w:color w:val="000000" w:themeColor="text1"/>
                    </w:rPr>
                    <m:t>i</m:t>
                  </m:r>
                </m:sub>
              </m:sSub>
              <m:r>
                <w:rPr>
                  <w:rFonts w:ascii="Cambria Math" w:eastAsia="Cambria Math" w:hAnsi="Cambria Math" w:cs="Times New Roman"/>
                  <w:color w:val="000000" w:themeColor="text1"/>
                </w:rPr>
                <m:t>,</m:t>
              </m:r>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σ</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e>
          </m:d>
          <m:r>
            <w:rPr>
              <w:rFonts w:ascii="Cambria Math" w:eastAsia="Cambria Math" w:hAnsi="Cambria Math" w:cs="Times New Roman"/>
              <w:color w:val="000000" w:themeColor="text1"/>
            </w:rPr>
            <m:t>=cov</m:t>
          </m:r>
          <m:d>
            <m:dPr>
              <m:ctrlPr>
                <w:rPr>
                  <w:rFonts w:ascii="Cambria Math" w:eastAsia="Cambria Math" w:hAnsi="Cambria Math" w:cs="Times New Roman"/>
                  <w:color w:val="000000" w:themeColor="text1"/>
                </w:rPr>
              </m:ctrlPr>
            </m:d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SHR</m:t>
                  </m:r>
                </m:e>
                <m:sub>
                  <m:r>
                    <w:rPr>
                      <w:rFonts w:ascii="Cambria Math" w:eastAsia="Cambria Math" w:hAnsi="Cambria Math" w:cs="Times New Roman"/>
                      <w:color w:val="000000" w:themeColor="text1"/>
                    </w:rPr>
                    <m:t>i</m:t>
                  </m:r>
                </m:sub>
              </m:sSub>
              <m:r>
                <w:rPr>
                  <w:rFonts w:ascii="Cambria Math" w:eastAsia="Cambria Math" w:hAnsi="Cambria Math" w:cs="Times New Roman"/>
                  <w:color w:val="000000" w:themeColor="text1"/>
                </w:rPr>
                <m:t>,</m:t>
              </m:r>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NPP</m:t>
                  </m:r>
                </m:e>
                <m:sub>
                  <m:r>
                    <w:rPr>
                      <w:rFonts w:ascii="Cambria Math" w:eastAsia="Cambria Math" w:hAnsi="Cambria Math" w:cs="Times New Roman"/>
                      <w:color w:val="000000" w:themeColor="text1"/>
                    </w:rPr>
                    <m:t>i</m:t>
                  </m:r>
                </m:sub>
              </m:sSub>
            </m:e>
          </m:d>
        </m:oMath>
      </m:oMathPara>
    </w:p>
    <w:p w:rsidR="00406A35" w:rsidRPr="00CB1133" w:rsidRDefault="00406A35" w:rsidP="00406A35">
      <w:pPr>
        <w:rPr>
          <w:rFonts w:ascii="Times New Roman" w:eastAsia="Cambria Math" w:hAnsi="Times New Roman" w:cs="Times New Roman"/>
          <w:color w:val="000000" w:themeColor="text1"/>
        </w:rPr>
      </w:pPr>
      <m:oMath>
        <m:r>
          <w:rPr>
            <w:rFonts w:ascii="Cambria Math" w:eastAsia="Cambria Math" w:hAnsi="Cambria Math" w:cs="Times New Roman"/>
            <w:color w:val="000000" w:themeColor="text1"/>
          </w:rPr>
          <m:t xml:space="preserve">                                   =cov</m:t>
        </m:r>
        <m:d>
          <m:dPr>
            <m:ctrlPr>
              <w:rPr>
                <w:rFonts w:ascii="Cambria Math" w:eastAsia="Cambria Math" w:hAnsi="Cambria Math" w:cs="Times New Roman"/>
                <w:color w:val="000000" w:themeColor="text1"/>
              </w:rPr>
            </m:ctrlPr>
          </m:d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NEE</m:t>
                </m:r>
              </m:e>
              <m:sub>
                <m:r>
                  <w:rPr>
                    <w:rFonts w:ascii="Cambria Math" w:eastAsia="Cambria Math" w:hAnsi="Cambria Math" w:cs="Times New Roman"/>
                    <w:color w:val="000000" w:themeColor="text1"/>
                  </w:rPr>
                  <m:t>i</m:t>
                </m:r>
              </m:sub>
            </m:sSub>
            <m:r>
              <w:rPr>
                <w:rFonts w:ascii="Cambria Math" w:eastAsia="Cambria Math" w:hAnsi="Cambria Math" w:cs="Times New Roman"/>
                <w:color w:val="000000" w:themeColor="text1"/>
              </w:rPr>
              <m:t>-</m:t>
            </m:r>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NPP</m:t>
                </m:r>
              </m:e>
              <m:sub>
                <m:r>
                  <w:rPr>
                    <w:rFonts w:ascii="Cambria Math" w:eastAsia="Cambria Math" w:hAnsi="Cambria Math" w:cs="Times New Roman"/>
                    <w:color w:val="000000" w:themeColor="text1"/>
                  </w:rPr>
                  <m:t>i</m:t>
                </m:r>
              </m:sub>
            </m:sSub>
            <m:r>
              <w:rPr>
                <w:rFonts w:ascii="Cambria Math" w:eastAsia="Cambria Math" w:hAnsi="Cambria Math" w:cs="Times New Roman"/>
                <w:color w:val="000000" w:themeColor="text1"/>
              </w:rPr>
              <m:t>-</m:t>
            </m:r>
            <m:nary>
              <m:naryPr>
                <m:chr m:val="∑"/>
                <m:ctrlPr>
                  <w:rPr>
                    <w:rFonts w:ascii="Cambria Math" w:eastAsia="Cambria Math" w:hAnsi="Cambria Math" w:cs="Times New Roman"/>
                    <w:color w:val="000000" w:themeColor="text1"/>
                  </w:rPr>
                </m:ctrlPr>
              </m:naryPr>
              <m:sub>
                <m:r>
                  <w:rPr>
                    <w:rFonts w:ascii="Cambria Math" w:eastAsia="Cambria Math" w:hAnsi="Cambria Math" w:cs="Times New Roman"/>
                    <w:color w:val="000000" w:themeColor="text1"/>
                  </w:rPr>
                  <m:t>k=1</m:t>
                </m:r>
              </m:sub>
              <m:sup>
                <m:r>
                  <w:rPr>
                    <w:rFonts w:ascii="Cambria Math" w:eastAsia="Cambria Math" w:hAnsi="Cambria Math" w:cs="Times New Roman"/>
                    <w:color w:val="000000" w:themeColor="text1"/>
                  </w:rPr>
                  <m:t>8</m:t>
                </m:r>
              </m:sup>
              <m:e/>
            </m:nary>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F</m:t>
                </m:r>
              </m:e>
              <m:sub>
                <m:r>
                  <w:rPr>
                    <w:rFonts w:ascii="Cambria Math" w:eastAsia="Cambria Math" w:hAnsi="Cambria Math" w:cs="Times New Roman"/>
                    <w:color w:val="000000" w:themeColor="text1"/>
                  </w:rPr>
                  <m:t>ik</m:t>
                </m:r>
              </m:sub>
            </m:sSub>
            <m:r>
              <w:rPr>
                <w:rFonts w:ascii="Cambria Math" w:eastAsia="Cambria Math" w:hAnsi="Cambria Math" w:cs="Times New Roman"/>
                <w:color w:val="000000" w:themeColor="text1"/>
              </w:rPr>
              <m:t xml:space="preserve">, </m:t>
            </m:r>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NPP</m:t>
                </m:r>
              </m:e>
              <m:sub>
                <m:r>
                  <w:rPr>
                    <w:rFonts w:ascii="Cambria Math" w:eastAsia="Cambria Math" w:hAnsi="Cambria Math" w:cs="Times New Roman"/>
                    <w:color w:val="000000" w:themeColor="text1"/>
                  </w:rPr>
                  <m:t>i</m:t>
                </m:r>
              </m:sub>
            </m:sSub>
          </m:e>
        </m:d>
      </m:oMath>
      <w:r>
        <w:rPr>
          <w:rFonts w:ascii="Times New Roman" w:eastAsia="Cambria Math" w:hAnsi="Times New Roman" w:cs="Times New Roman"/>
          <w:color w:val="000000" w:themeColor="text1"/>
        </w:rPr>
        <w:t xml:space="preserve">                                       (2)</w:t>
      </w:r>
    </w:p>
    <w:p w:rsidR="00406A35" w:rsidRPr="00DA354E" w:rsidRDefault="00406A35" w:rsidP="00406A35">
      <w:pPr>
        <w:jc w:val="center"/>
        <w:rPr>
          <w:rFonts w:ascii="Times New Roman" w:hAnsi="Times New Roman" w:cs="Times New Roman"/>
          <w:color w:val="000000" w:themeColor="text1"/>
        </w:rPr>
      </w:pPr>
      <m:oMath>
        <m:r>
          <w:rPr>
            <w:rFonts w:ascii="Cambria Math" w:eastAsia="Cambria Math" w:hAnsi="Cambria Math" w:cs="Times New Roman"/>
            <w:color w:val="000000" w:themeColor="text1"/>
          </w:rPr>
          <m:t xml:space="preserve">                               =cov</m:t>
        </m:r>
        <m:d>
          <m:dPr>
            <m:ctrlPr>
              <w:rPr>
                <w:rFonts w:ascii="Cambria Math" w:eastAsia="Cambria Math" w:hAnsi="Cambria Math" w:cs="Times New Roman"/>
                <w:color w:val="000000" w:themeColor="text1"/>
              </w:rPr>
            </m:ctrlPr>
          </m:d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NEE</m:t>
                </m:r>
              </m:e>
              <m:sub>
                <m:r>
                  <w:rPr>
                    <w:rFonts w:ascii="Cambria Math" w:eastAsia="Cambria Math" w:hAnsi="Cambria Math" w:cs="Times New Roman"/>
                    <w:color w:val="000000" w:themeColor="text1"/>
                  </w:rPr>
                  <m:t>i</m:t>
                </m:r>
              </m:sub>
            </m:sSub>
            <m:r>
              <w:rPr>
                <w:rFonts w:ascii="Cambria Math" w:eastAsia="Cambria Math" w:hAnsi="Cambria Math" w:cs="Times New Roman"/>
                <w:color w:val="000000" w:themeColor="text1"/>
              </w:rPr>
              <m:t>,</m:t>
            </m:r>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NPP</m:t>
                </m:r>
              </m:e>
              <m:sub>
                <m:r>
                  <w:rPr>
                    <w:rFonts w:ascii="Cambria Math" w:eastAsia="Cambria Math" w:hAnsi="Cambria Math" w:cs="Times New Roman"/>
                    <w:color w:val="000000" w:themeColor="text1"/>
                  </w:rPr>
                  <m:t>i</m:t>
                </m:r>
              </m:sub>
            </m:sSub>
          </m:e>
        </m:d>
        <m:r>
          <w:rPr>
            <w:rFonts w:ascii="Cambria Math" w:eastAsia="Cambria Math" w:hAnsi="Cambria Math" w:cs="Times New Roman"/>
            <w:color w:val="000000" w:themeColor="text1"/>
          </w:rPr>
          <m:t>-var</m:t>
        </m:r>
        <m:d>
          <m:dPr>
            <m:ctrlPr>
              <w:rPr>
                <w:rFonts w:ascii="Cambria Math" w:eastAsia="Cambria Math" w:hAnsi="Cambria Math" w:cs="Times New Roman"/>
                <w:color w:val="000000" w:themeColor="text1"/>
              </w:rPr>
            </m:ctrlPr>
          </m:d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NPP</m:t>
                </m:r>
              </m:e>
              <m:sub>
                <m:r>
                  <w:rPr>
                    <w:rFonts w:ascii="Cambria Math" w:eastAsia="Cambria Math" w:hAnsi="Cambria Math" w:cs="Times New Roman"/>
                    <w:color w:val="000000" w:themeColor="text1"/>
                  </w:rPr>
                  <m:t>i</m:t>
                </m:r>
              </m:sub>
            </m:sSub>
          </m:e>
        </m:d>
        <m:r>
          <w:rPr>
            <w:rFonts w:ascii="Cambria Math" w:eastAsia="Cambria Math" w:hAnsi="Cambria Math" w:cs="Times New Roman"/>
            <w:color w:val="000000" w:themeColor="text1"/>
          </w:rPr>
          <m:t>-</m:t>
        </m:r>
        <m:nary>
          <m:naryPr>
            <m:chr m:val="∑"/>
            <m:ctrlPr>
              <w:rPr>
                <w:rFonts w:ascii="Cambria Math" w:eastAsia="Cambria Math" w:hAnsi="Cambria Math" w:cs="Times New Roman"/>
                <w:color w:val="000000" w:themeColor="text1"/>
              </w:rPr>
            </m:ctrlPr>
          </m:naryPr>
          <m:sub>
            <m:r>
              <w:rPr>
                <w:rFonts w:ascii="Cambria Math" w:eastAsia="Cambria Math" w:hAnsi="Cambria Math" w:cs="Times New Roman"/>
                <w:color w:val="000000" w:themeColor="text1"/>
              </w:rPr>
              <m:t>k=1</m:t>
            </m:r>
          </m:sub>
          <m:sup>
            <m:r>
              <w:rPr>
                <w:rFonts w:ascii="Cambria Math" w:eastAsia="Cambria Math" w:hAnsi="Cambria Math" w:cs="Times New Roman"/>
                <w:color w:val="000000" w:themeColor="text1"/>
              </w:rPr>
              <m:t>8</m:t>
            </m:r>
          </m:sup>
          <m:e/>
        </m:nary>
        <m:r>
          <w:rPr>
            <w:rFonts w:ascii="Cambria Math" w:eastAsia="Cambria Math" w:hAnsi="Cambria Math" w:cs="Times New Roman"/>
            <w:color w:val="000000" w:themeColor="text1"/>
          </w:rPr>
          <m:t>cov</m:t>
        </m:r>
        <m:d>
          <m:dPr>
            <m:ctrlPr>
              <w:rPr>
                <w:rFonts w:ascii="Cambria Math" w:eastAsia="Cambria Math" w:hAnsi="Cambria Math" w:cs="Times New Roman"/>
                <w:color w:val="000000" w:themeColor="text1"/>
              </w:rPr>
            </m:ctrlPr>
          </m:d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F</m:t>
                </m:r>
              </m:e>
              <m:sub>
                <m:r>
                  <w:rPr>
                    <w:rFonts w:ascii="Cambria Math" w:eastAsia="Cambria Math" w:hAnsi="Cambria Math" w:cs="Times New Roman"/>
                    <w:color w:val="000000" w:themeColor="text1"/>
                  </w:rPr>
                  <m:t>ik</m:t>
                </m:r>
              </m:sub>
            </m:sSub>
            <m:r>
              <w:rPr>
                <w:rFonts w:ascii="Cambria Math" w:eastAsia="Cambria Math" w:hAnsi="Cambria Math" w:cs="Times New Roman"/>
                <w:color w:val="000000" w:themeColor="text1"/>
              </w:rPr>
              <m:t>,</m:t>
            </m:r>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NPP</m:t>
                </m:r>
              </m:e>
              <m:sub>
                <m:r>
                  <w:rPr>
                    <w:rFonts w:ascii="Cambria Math" w:eastAsia="Cambria Math" w:hAnsi="Cambria Math" w:cs="Times New Roman"/>
                    <w:color w:val="000000" w:themeColor="text1"/>
                  </w:rPr>
                  <m:t>i</m:t>
                </m:r>
              </m:sub>
            </m:sSub>
          </m:e>
        </m:d>
      </m:oMath>
      <w:r w:rsidRPr="00DA354E">
        <w:rPr>
          <w:rFonts w:ascii="Times New Roman" w:hAnsi="Times New Roman" w:cs="Times New Roman"/>
          <w:color w:val="000000" w:themeColor="text1"/>
        </w:rPr>
        <w:tab/>
      </w:r>
      <w:r w:rsidRPr="00DA354E">
        <w:rPr>
          <w:rFonts w:ascii="Times New Roman" w:hAnsi="Times New Roman" w:cs="Times New Roman"/>
          <w:color w:val="000000" w:themeColor="text1"/>
        </w:rPr>
        <w:tab/>
      </w:r>
      <w:r w:rsidRPr="00DA354E">
        <w:rPr>
          <w:rFonts w:ascii="Times New Roman" w:hAnsi="Times New Roman" w:cs="Times New Roman"/>
          <w:color w:val="000000" w:themeColor="text1"/>
        </w:rPr>
        <w:tab/>
      </w:r>
    </w:p>
    <w:p w:rsidR="00406A35" w:rsidRPr="00DA354E" w:rsidRDefault="00406A35" w:rsidP="00406A35">
      <w:pPr>
        <w:rPr>
          <w:rFonts w:ascii="Times New Roman" w:hAnsi="Times New Roman" w:cs="Times New Roman"/>
          <w:color w:val="000000" w:themeColor="text1"/>
        </w:rPr>
      </w:pPr>
      <w:r w:rsidRPr="00DA354E">
        <w:rPr>
          <w:rFonts w:ascii="Times New Roman" w:hAnsi="Times New Roman" w:cs="Times New Roman"/>
          <w:color w:val="000000" w:themeColor="text1"/>
        </w:rPr>
        <w:t xml:space="preserve">Assuming </w:t>
      </w:r>
      <w:r w:rsidRPr="00DA354E">
        <w:rPr>
          <w:rFonts w:ascii="Times New Roman" w:hAnsi="Times New Roman" w:cs="Times New Roman"/>
          <w:i/>
          <w:color w:val="000000" w:themeColor="text1"/>
        </w:rPr>
        <w:t>NPP</w:t>
      </w:r>
      <w:r w:rsidRPr="00DA354E">
        <w:rPr>
          <w:rFonts w:ascii="Times New Roman" w:hAnsi="Times New Roman" w:cs="Times New Roman"/>
          <w:color w:val="000000" w:themeColor="text1"/>
        </w:rPr>
        <w:t xml:space="preserve"> is independent from </w:t>
      </w:r>
      <w:r w:rsidRPr="00DA354E">
        <w:rPr>
          <w:rFonts w:ascii="Times New Roman" w:hAnsi="Times New Roman" w:cs="Times New Roman"/>
          <w:i/>
          <w:color w:val="000000" w:themeColor="text1"/>
        </w:rPr>
        <w:t>NEE</w:t>
      </w:r>
      <w:r w:rsidRPr="00DA354E">
        <w:rPr>
          <w:rFonts w:ascii="Times New Roman" w:hAnsi="Times New Roman" w:cs="Times New Roman"/>
          <w:color w:val="000000" w:themeColor="text1"/>
        </w:rPr>
        <w:t xml:space="preserve"> the other fluxes that compose </w:t>
      </w:r>
      <w:r w:rsidRPr="00DA354E">
        <w:rPr>
          <w:rFonts w:ascii="Times New Roman" w:hAnsi="Times New Roman" w:cs="Times New Roman"/>
          <w:i/>
          <w:color w:val="000000" w:themeColor="text1"/>
        </w:rPr>
        <w:t>NEE</w:t>
      </w:r>
      <w:r w:rsidRPr="00DA354E">
        <w:rPr>
          <w:rFonts w:ascii="Times New Roman" w:hAnsi="Times New Roman" w:cs="Times New Roman"/>
          <w:color w:val="000000" w:themeColor="text1"/>
        </w:rPr>
        <w:t>, equation (SOM-6) becomes:</w:t>
      </w:r>
    </w:p>
    <w:p w:rsidR="00406A35" w:rsidRPr="00DA354E" w:rsidRDefault="00406A35" w:rsidP="00406A35">
      <w:pPr>
        <w:rPr>
          <w:rFonts w:ascii="Times New Roman" w:hAnsi="Times New Roman" w:cs="Times New Roman"/>
          <w:color w:val="000000" w:themeColor="text1"/>
        </w:rPr>
      </w:pPr>
    </w:p>
    <w:p w:rsidR="00406A35" w:rsidRPr="00DA354E" w:rsidRDefault="00406A35" w:rsidP="00406A35">
      <w:pPr>
        <w:jc w:val="center"/>
        <w:rPr>
          <w:rFonts w:ascii="Times New Roman" w:hAnsi="Times New Roman" w:cs="Times New Roman"/>
          <w:color w:val="000000" w:themeColor="text1"/>
        </w:rPr>
      </w:pPr>
      <m:oMathPara>
        <m:oMath>
          <m:r>
            <w:rPr>
              <w:rFonts w:ascii="Cambria Math" w:eastAsia="Cambria Math" w:hAnsi="Cambria Math" w:cs="Times New Roman"/>
              <w:color w:val="000000" w:themeColor="text1"/>
            </w:rPr>
            <m:t>cov</m:t>
          </m:r>
          <m:d>
            <m:dPr>
              <m:ctrlPr>
                <w:rPr>
                  <w:rFonts w:ascii="Cambria Math" w:eastAsia="Cambria Math" w:hAnsi="Cambria Math" w:cs="Times New Roman"/>
                  <w:color w:val="000000" w:themeColor="text1"/>
                </w:rPr>
              </m:ctrlPr>
            </m:d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σ</m:t>
                      </m:r>
                    </m:e>
                    <m:sub>
                      <m:r>
                        <w:rPr>
                          <w:rFonts w:ascii="Cambria Math" w:eastAsia="Cambria Math" w:hAnsi="Cambria Math" w:cs="Times New Roman"/>
                          <w:color w:val="000000" w:themeColor="text1"/>
                        </w:rPr>
                        <m:t>SHR</m:t>
                      </m:r>
                    </m:sub>
                  </m:sSub>
                </m:e>
                <m:sub>
                  <m:r>
                    <w:rPr>
                      <w:rFonts w:ascii="Cambria Math" w:eastAsia="Cambria Math" w:hAnsi="Cambria Math" w:cs="Times New Roman"/>
                      <w:color w:val="000000" w:themeColor="text1"/>
                    </w:rPr>
                    <m:t>i</m:t>
                  </m:r>
                </m:sub>
              </m:sSub>
              <m:r>
                <w:rPr>
                  <w:rFonts w:ascii="Cambria Math" w:eastAsia="Cambria Math" w:hAnsi="Cambria Math" w:cs="Times New Roman"/>
                  <w:color w:val="000000" w:themeColor="text1"/>
                </w:rPr>
                <m:t>,</m:t>
              </m:r>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σ</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e>
          </m:d>
          <m:r>
            <w:rPr>
              <w:rFonts w:ascii="Cambria Math" w:eastAsia="Cambria Math" w:hAnsi="Cambria Math" w:cs="Times New Roman"/>
              <w:color w:val="000000" w:themeColor="text1"/>
            </w:rPr>
            <m:t>=-var</m:t>
          </m:r>
          <m:d>
            <m:dPr>
              <m:ctrlPr>
                <w:rPr>
                  <w:rFonts w:ascii="Cambria Math" w:eastAsia="Cambria Math" w:hAnsi="Cambria Math" w:cs="Times New Roman"/>
                  <w:color w:val="000000" w:themeColor="text1"/>
                </w:rPr>
              </m:ctrlPr>
            </m:d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NPP</m:t>
                  </m:r>
                </m:e>
                <m:sub>
                  <m:r>
                    <w:rPr>
                      <w:rFonts w:ascii="Cambria Math" w:eastAsia="Cambria Math" w:hAnsi="Cambria Math" w:cs="Times New Roman"/>
                      <w:color w:val="000000" w:themeColor="text1"/>
                    </w:rPr>
                    <m:t>i</m:t>
                  </m:r>
                </m:sub>
              </m:sSub>
            </m:e>
          </m:d>
          <m:r>
            <w:rPr>
              <w:rFonts w:ascii="Cambria Math" w:eastAsia="Cambria Math" w:hAnsi="Cambria Math" w:cs="Times New Roman"/>
              <w:color w:val="000000" w:themeColor="text1"/>
            </w:rPr>
            <m:t>=</m:t>
          </m:r>
          <m:sSup>
            <m:sSupPr>
              <m:ctrlPr>
                <w:rPr>
                  <w:rFonts w:ascii="Cambria Math" w:eastAsia="Cambria Math" w:hAnsi="Cambria Math" w:cs="Times New Roman"/>
                  <w:color w:val="000000" w:themeColor="text1"/>
                </w:rPr>
              </m:ctrlPr>
            </m:sSup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σ</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e>
            <m:sup>
              <m:r>
                <w:rPr>
                  <w:rFonts w:ascii="Cambria Math" w:eastAsia="Cambria Math" w:hAnsi="Cambria Math" w:cs="Times New Roman"/>
                  <w:color w:val="000000" w:themeColor="text1"/>
                </w:rPr>
                <m:t>2</m:t>
              </m:r>
            </m:sup>
          </m:sSup>
        </m:oMath>
      </m:oMathPara>
    </w:p>
    <w:p w:rsidR="00406A35" w:rsidRPr="00DA354E" w:rsidRDefault="00406A35" w:rsidP="00406A35">
      <w:pPr>
        <w:rPr>
          <w:rFonts w:ascii="Times New Roman" w:hAnsi="Times New Roman" w:cs="Times New Roman"/>
          <w:color w:val="000000" w:themeColor="text1"/>
        </w:rPr>
      </w:pPr>
      <w:r w:rsidRPr="00DA354E">
        <w:rPr>
          <w:rFonts w:ascii="Times New Roman" w:hAnsi="Times New Roman" w:cs="Times New Roman"/>
          <w:color w:val="000000" w:themeColor="text1"/>
        </w:rPr>
        <w:t>Substituting equation (SOM-7) into equation (SOM-5), the standard deviation of the ratio error is calculated by:</w:t>
      </w:r>
    </w:p>
    <w:p w:rsidR="00406A35" w:rsidRPr="00DA354E" w:rsidRDefault="00406A35" w:rsidP="00406A35">
      <w:pPr>
        <w:rPr>
          <w:rFonts w:ascii="Times New Roman" w:hAnsi="Times New Roman" w:cs="Times New Roman"/>
          <w:color w:val="000000" w:themeColor="text1"/>
        </w:rPr>
      </w:pPr>
    </w:p>
    <w:p w:rsidR="00406A35" w:rsidRPr="00DA354E" w:rsidRDefault="00406A35" w:rsidP="00406A35">
      <w:pPr>
        <w:rPr>
          <w:rFonts w:ascii="Times New Roman" w:eastAsia="Cambria Math" w:hAnsi="Times New Roman" w:cs="Times New Roman"/>
          <w:color w:val="000000" w:themeColor="text1"/>
        </w:rPr>
      </w:pPr>
      <m:oMath>
        <m:r>
          <w:rPr>
            <w:rFonts w:ascii="Cambria Math" w:hAnsi="Cambria Math" w:cs="Times New Roman"/>
            <w:color w:val="000000" w:themeColor="text1"/>
          </w:rPr>
          <m:t xml:space="preserve">          </m:t>
        </m:r>
        <m:sSub>
          <m:sSubPr>
            <m:ctrlPr>
              <w:rPr>
                <w:rFonts w:ascii="Cambria Math" w:hAnsi="Cambria Math" w:cs="Times New Roman"/>
                <w:color w:val="000000" w:themeColor="text1"/>
              </w:rPr>
            </m:ctrlPr>
          </m:sSubPr>
          <m:e>
            <m:r>
              <w:rPr>
                <w:rFonts w:ascii="Cambria Math" w:hAnsi="Cambria Math" w:cs="Times New Roman"/>
                <w:color w:val="000000" w:themeColor="text1"/>
              </w:rPr>
              <m:t>σ</m:t>
            </m:r>
          </m:e>
          <m:sub>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r</m:t>
                </m:r>
              </m:e>
              <m:sub>
                <m:r>
                  <w:rPr>
                    <w:rFonts w:ascii="Cambria Math" w:eastAsia="Cambria Math" w:hAnsi="Cambria Math" w:cs="Times New Roman"/>
                    <w:color w:val="000000" w:themeColor="text1"/>
                  </w:rPr>
                  <m:t>i</m:t>
                </m:r>
              </m:sub>
            </m:sSub>
          </m:sub>
        </m:sSub>
        <m:r>
          <w:rPr>
            <w:rFonts w:ascii="Cambria Math" w:eastAsia="Cambria Math" w:hAnsi="Cambria Math" w:cs="Times New Roman"/>
            <w:color w:val="000000" w:themeColor="text1"/>
          </w:rPr>
          <m:t>=</m:t>
        </m:r>
        <m:rad>
          <m:radPr>
            <m:degHide m:val="1"/>
            <m:ctrlPr>
              <w:rPr>
                <w:rFonts w:ascii="Cambria Math" w:eastAsia="Cambria Math" w:hAnsi="Cambria Math" w:cs="Times New Roman"/>
                <w:color w:val="000000" w:themeColor="text1"/>
              </w:rPr>
            </m:ctrlPr>
          </m:radPr>
          <m:deg/>
          <m:e>
            <m:sSup>
              <m:sSupPr>
                <m:ctrlPr>
                  <w:rPr>
                    <w:rFonts w:ascii="Cambria Math" w:eastAsia="Cambria Math" w:hAnsi="Cambria Math" w:cs="Times New Roman"/>
                    <w:color w:val="000000" w:themeColor="text1"/>
                  </w:rPr>
                </m:ctrlPr>
              </m:sSupPr>
              <m:e>
                <m:d>
                  <m:dPr>
                    <m:ctrlPr>
                      <w:rPr>
                        <w:rFonts w:ascii="Cambria Math" w:eastAsia="Cambria Math" w:hAnsi="Cambria Math" w:cs="Times New Roman"/>
                        <w:color w:val="000000" w:themeColor="text1"/>
                      </w:rPr>
                    </m:ctrlPr>
                  </m:dPr>
                  <m:e>
                    <m:f>
                      <m:fPr>
                        <m:ctrlPr>
                          <w:rPr>
                            <w:rFonts w:ascii="Cambria Math" w:eastAsia="Cambria Math" w:hAnsi="Cambria Math" w:cs="Times New Roman"/>
                            <w:color w:val="000000" w:themeColor="text1"/>
                          </w:rPr>
                        </m:ctrlPr>
                      </m:fPr>
                      <m:num>
                        <m:r>
                          <w:rPr>
                            <w:rFonts w:ascii="Cambria Math" w:eastAsia="Cambria Math" w:hAnsi="Cambria Math" w:cs="Times New Roman"/>
                            <w:color w:val="000000" w:themeColor="text1"/>
                          </w:rPr>
                          <m:t>1</m:t>
                        </m:r>
                      </m:num>
                      <m:den>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den>
                    </m:f>
                  </m:e>
                </m:d>
              </m:e>
              <m:sup>
                <m:r>
                  <w:rPr>
                    <w:rFonts w:ascii="Cambria Math" w:eastAsia="Cambria Math" w:hAnsi="Cambria Math" w:cs="Times New Roman"/>
                    <w:color w:val="000000" w:themeColor="text1"/>
                  </w:rPr>
                  <m:t>2</m:t>
                </m:r>
              </m:sup>
            </m:sSup>
            <m:sSup>
              <m:sSupPr>
                <m:ctrlPr>
                  <w:rPr>
                    <w:rFonts w:ascii="Cambria Math" w:eastAsia="Cambria Math" w:hAnsi="Cambria Math" w:cs="Times New Roman"/>
                    <w:color w:val="000000" w:themeColor="text1"/>
                  </w:rPr>
                </m:ctrlPr>
              </m:sSup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σ</m:t>
                        </m:r>
                      </m:e>
                      <m:sub>
                        <m:r>
                          <w:rPr>
                            <w:rFonts w:ascii="Cambria Math" w:eastAsia="Cambria Math" w:hAnsi="Cambria Math" w:cs="Times New Roman"/>
                            <w:color w:val="000000" w:themeColor="text1"/>
                          </w:rPr>
                          <m:t>SHR</m:t>
                        </m:r>
                      </m:sub>
                    </m:sSub>
                  </m:e>
                  <m:sub>
                    <m:r>
                      <w:rPr>
                        <w:rFonts w:ascii="Cambria Math" w:eastAsia="Cambria Math" w:hAnsi="Cambria Math" w:cs="Times New Roman"/>
                        <w:color w:val="000000" w:themeColor="text1"/>
                      </w:rPr>
                      <m:t>i</m:t>
                    </m:r>
                  </m:sub>
                </m:sSub>
              </m:e>
              <m:sup>
                <m:r>
                  <w:rPr>
                    <w:rFonts w:ascii="Cambria Math" w:eastAsia="Cambria Math" w:hAnsi="Cambria Math" w:cs="Times New Roman"/>
                    <w:color w:val="000000" w:themeColor="text1"/>
                  </w:rPr>
                  <m:t>2</m:t>
                </m:r>
              </m:sup>
            </m:sSup>
            <m:r>
              <w:rPr>
                <w:rFonts w:ascii="Cambria Math" w:eastAsia="Cambria Math" w:hAnsi="Cambria Math" w:cs="Times New Roman"/>
                <w:color w:val="000000" w:themeColor="text1"/>
              </w:rPr>
              <m:t>+</m:t>
            </m:r>
            <m:sSup>
              <m:sSupPr>
                <m:ctrlPr>
                  <w:rPr>
                    <w:rFonts w:ascii="Cambria Math" w:eastAsia="Cambria Math" w:hAnsi="Cambria Math" w:cs="Times New Roman"/>
                    <w:color w:val="000000" w:themeColor="text1"/>
                  </w:rPr>
                </m:ctrlPr>
              </m:sSupPr>
              <m:e>
                <m:d>
                  <m:dPr>
                    <m:ctrlPr>
                      <w:rPr>
                        <w:rFonts w:ascii="Cambria Math" w:eastAsia="Cambria Math" w:hAnsi="Cambria Math" w:cs="Times New Roman"/>
                        <w:color w:val="000000" w:themeColor="text1"/>
                      </w:rPr>
                    </m:ctrlPr>
                  </m:dPr>
                  <m:e>
                    <m:f>
                      <m:fPr>
                        <m:ctrlPr>
                          <w:rPr>
                            <w:rFonts w:ascii="Cambria Math" w:eastAsia="Cambria Math" w:hAnsi="Cambria Math" w:cs="Times New Roman"/>
                            <w:color w:val="000000" w:themeColor="text1"/>
                          </w:rPr>
                        </m:ctrlPr>
                      </m:fPr>
                      <m:num>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SHR</m:t>
                                </m:r>
                              </m:sub>
                            </m:sSub>
                          </m:e>
                          <m:sub>
                            <m:r>
                              <w:rPr>
                                <w:rFonts w:ascii="Cambria Math" w:eastAsia="Cambria Math" w:hAnsi="Cambria Math" w:cs="Times New Roman"/>
                                <w:color w:val="000000" w:themeColor="text1"/>
                              </w:rPr>
                              <m:t>i</m:t>
                            </m:r>
                          </m:sub>
                        </m:sSub>
                      </m:num>
                      <m:den>
                        <m:sSup>
                          <m:sSupPr>
                            <m:ctrlPr>
                              <w:rPr>
                                <w:rFonts w:ascii="Cambria Math" w:eastAsia="Cambria Math" w:hAnsi="Cambria Math" w:cs="Times New Roman"/>
                                <w:color w:val="000000" w:themeColor="text1"/>
                              </w:rPr>
                            </m:ctrlPr>
                          </m:sSup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e>
                          <m:sup>
                            <m:r>
                              <w:rPr>
                                <w:rFonts w:ascii="Cambria Math" w:eastAsia="Cambria Math" w:hAnsi="Cambria Math" w:cs="Times New Roman"/>
                                <w:color w:val="000000" w:themeColor="text1"/>
                              </w:rPr>
                              <m:t>2</m:t>
                            </m:r>
                          </m:sup>
                        </m:sSup>
                      </m:den>
                    </m:f>
                  </m:e>
                </m:d>
              </m:e>
              <m:sup>
                <m:r>
                  <w:rPr>
                    <w:rFonts w:ascii="Cambria Math" w:eastAsia="Cambria Math" w:hAnsi="Cambria Math" w:cs="Times New Roman"/>
                    <w:color w:val="000000" w:themeColor="text1"/>
                  </w:rPr>
                  <m:t>2</m:t>
                </m:r>
              </m:sup>
            </m:sSup>
            <m:sSup>
              <m:sSupPr>
                <m:ctrlPr>
                  <w:rPr>
                    <w:rFonts w:ascii="Cambria Math" w:eastAsia="Cambria Math" w:hAnsi="Cambria Math" w:cs="Times New Roman"/>
                    <w:color w:val="000000" w:themeColor="text1"/>
                  </w:rPr>
                </m:ctrlPr>
              </m:sSup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σ</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e>
              <m:sup>
                <m:r>
                  <w:rPr>
                    <w:rFonts w:ascii="Cambria Math" w:eastAsia="Cambria Math" w:hAnsi="Cambria Math" w:cs="Times New Roman"/>
                    <w:color w:val="000000" w:themeColor="text1"/>
                  </w:rPr>
                  <m:t>2</m:t>
                </m:r>
              </m:sup>
            </m:sSup>
            <m:r>
              <w:rPr>
                <w:rFonts w:ascii="Cambria Math" w:eastAsia="Cambria Math" w:hAnsi="Cambria Math" w:cs="Times New Roman"/>
                <w:color w:val="000000" w:themeColor="text1"/>
              </w:rPr>
              <m:t>+2</m:t>
            </m:r>
            <m:d>
              <m:dPr>
                <m:ctrlPr>
                  <w:rPr>
                    <w:rFonts w:ascii="Cambria Math" w:eastAsia="Cambria Math" w:hAnsi="Cambria Math" w:cs="Times New Roman"/>
                    <w:color w:val="000000" w:themeColor="text1"/>
                  </w:rPr>
                </m:ctrlPr>
              </m:dPr>
              <m:e>
                <m:f>
                  <m:fPr>
                    <m:ctrlPr>
                      <w:rPr>
                        <w:rFonts w:ascii="Cambria Math" w:eastAsia="Cambria Math" w:hAnsi="Cambria Math" w:cs="Times New Roman"/>
                        <w:color w:val="000000" w:themeColor="text1"/>
                      </w:rPr>
                    </m:ctrlPr>
                  </m:fPr>
                  <m:num>
                    <m:r>
                      <w:rPr>
                        <w:rFonts w:ascii="Cambria Math" w:eastAsia="Cambria Math" w:hAnsi="Cambria Math" w:cs="Times New Roman"/>
                        <w:color w:val="000000" w:themeColor="text1"/>
                      </w:rPr>
                      <m:t>1</m:t>
                    </m:r>
                  </m:num>
                  <m:den>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den>
                </m:f>
                <m:r>
                  <w:rPr>
                    <w:rFonts w:ascii="Cambria Math" w:eastAsia="Cambria Math" w:hAnsi="Cambria Math" w:cs="Times New Roman"/>
                    <w:color w:val="000000" w:themeColor="text1"/>
                  </w:rPr>
                  <m:t>∙</m:t>
                </m:r>
                <m:f>
                  <m:fPr>
                    <m:ctrlPr>
                      <w:rPr>
                        <w:rFonts w:ascii="Cambria Math" w:eastAsia="Cambria Math" w:hAnsi="Cambria Math" w:cs="Times New Roman"/>
                        <w:color w:val="000000" w:themeColor="text1"/>
                      </w:rPr>
                    </m:ctrlPr>
                  </m:fPr>
                  <m:num>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SHR</m:t>
                            </m:r>
                          </m:sub>
                        </m:sSub>
                      </m:e>
                      <m:sub>
                        <m:r>
                          <w:rPr>
                            <w:rFonts w:ascii="Cambria Math" w:eastAsia="Cambria Math" w:hAnsi="Cambria Math" w:cs="Times New Roman"/>
                            <w:color w:val="000000" w:themeColor="text1"/>
                          </w:rPr>
                          <m:t>i</m:t>
                        </m:r>
                      </m:sub>
                    </m:sSub>
                  </m:num>
                  <m:den>
                    <m:sSup>
                      <m:sSupPr>
                        <m:ctrlPr>
                          <w:rPr>
                            <w:rFonts w:ascii="Cambria Math" w:eastAsia="Cambria Math" w:hAnsi="Cambria Math" w:cs="Times New Roman"/>
                            <w:color w:val="000000" w:themeColor="text1"/>
                          </w:rPr>
                        </m:ctrlPr>
                      </m:sSup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e>
                      <m:sup>
                        <m:r>
                          <w:rPr>
                            <w:rFonts w:ascii="Cambria Math" w:eastAsia="Cambria Math" w:hAnsi="Cambria Math" w:cs="Times New Roman"/>
                            <w:color w:val="000000" w:themeColor="text1"/>
                          </w:rPr>
                          <m:t>2</m:t>
                        </m:r>
                      </m:sup>
                    </m:sSup>
                  </m:den>
                </m:f>
              </m:e>
            </m:d>
            <m:sSup>
              <m:sSupPr>
                <m:ctrlPr>
                  <w:rPr>
                    <w:rFonts w:ascii="Cambria Math" w:eastAsia="Cambria Math" w:hAnsi="Cambria Math" w:cs="Times New Roman"/>
                    <w:color w:val="000000" w:themeColor="text1"/>
                  </w:rPr>
                </m:ctrlPr>
              </m:sSup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σ</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e>
              <m:sup>
                <m:r>
                  <w:rPr>
                    <w:rFonts w:ascii="Cambria Math" w:eastAsia="Cambria Math" w:hAnsi="Cambria Math" w:cs="Times New Roman"/>
                    <w:color w:val="000000" w:themeColor="text1"/>
                  </w:rPr>
                  <m:t>2</m:t>
                </m:r>
              </m:sup>
            </m:sSup>
          </m:e>
        </m:rad>
      </m:oMath>
      <w:r>
        <w:rPr>
          <w:rFonts w:ascii="Times New Roman" w:eastAsia="Cambria Math" w:hAnsi="Times New Roman" w:cs="Times New Roman"/>
          <w:color w:val="000000" w:themeColor="text1"/>
        </w:rPr>
        <w:t xml:space="preserve">               (3)</w:t>
      </w:r>
    </w:p>
    <w:p w:rsidR="00406A35" w:rsidRPr="00DA354E" w:rsidRDefault="00406A35" w:rsidP="00406A35">
      <w:pPr>
        <w:jc w:val="both"/>
        <w:rPr>
          <w:rFonts w:ascii="Times New Roman" w:hAnsi="Times New Roman" w:cs="Times New Roman"/>
          <w:color w:val="000000" w:themeColor="text1"/>
        </w:rPr>
      </w:pPr>
      <m:oMath>
        <m:r>
          <w:rPr>
            <w:rFonts w:ascii="Cambria Math" w:eastAsia="Cambria Math" w:hAnsi="Cambria Math" w:cs="Times New Roman"/>
            <w:color w:val="000000" w:themeColor="text1"/>
          </w:rPr>
          <m:t xml:space="preserve">                 =</m:t>
        </m:r>
        <m:f>
          <m:fPr>
            <m:ctrlPr>
              <w:rPr>
                <w:rFonts w:ascii="Cambria Math" w:eastAsia="Cambria Math" w:hAnsi="Cambria Math" w:cs="Times New Roman"/>
                <w:color w:val="000000" w:themeColor="text1"/>
              </w:rPr>
            </m:ctrlPr>
          </m:fPr>
          <m:num>
            <m:rad>
              <m:radPr>
                <m:degHide m:val="1"/>
                <m:ctrlPr>
                  <w:rPr>
                    <w:rFonts w:ascii="Cambria Math" w:eastAsia="Cambria Math" w:hAnsi="Cambria Math" w:cs="Times New Roman"/>
                    <w:color w:val="000000" w:themeColor="text1"/>
                  </w:rPr>
                </m:ctrlPr>
              </m:radPr>
              <m:deg/>
              <m:e>
                <m:sSup>
                  <m:sSupPr>
                    <m:ctrlPr>
                      <w:rPr>
                        <w:rFonts w:ascii="Cambria Math" w:eastAsia="Cambria Math" w:hAnsi="Cambria Math" w:cs="Times New Roman"/>
                        <w:color w:val="000000" w:themeColor="text1"/>
                      </w:rPr>
                    </m:ctrlPr>
                  </m:sSupPr>
                  <m:e>
                    <m:d>
                      <m:dPr>
                        <m:ctrlPr>
                          <w:rPr>
                            <w:rFonts w:ascii="Cambria Math" w:eastAsia="Cambria Math" w:hAnsi="Cambria Math" w:cs="Times New Roman"/>
                            <w:color w:val="000000" w:themeColor="text1"/>
                          </w:rPr>
                        </m:ctrlPr>
                      </m:d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e>
                    </m:d>
                  </m:e>
                  <m:sup>
                    <m:r>
                      <w:rPr>
                        <w:rFonts w:ascii="Cambria Math" w:eastAsia="Cambria Math" w:hAnsi="Cambria Math" w:cs="Times New Roman"/>
                        <w:color w:val="000000" w:themeColor="text1"/>
                      </w:rPr>
                      <m:t>2</m:t>
                    </m:r>
                  </m:sup>
                </m:sSup>
                <m:sSup>
                  <m:sSupPr>
                    <m:ctrlPr>
                      <w:rPr>
                        <w:rFonts w:ascii="Cambria Math" w:eastAsia="Cambria Math" w:hAnsi="Cambria Math" w:cs="Times New Roman"/>
                        <w:color w:val="000000" w:themeColor="text1"/>
                      </w:rPr>
                    </m:ctrlPr>
                  </m:sSup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σ</m:t>
                            </m:r>
                          </m:e>
                          <m:sub>
                            <m:r>
                              <w:rPr>
                                <w:rFonts w:ascii="Cambria Math" w:eastAsia="Cambria Math" w:hAnsi="Cambria Math" w:cs="Times New Roman"/>
                                <w:color w:val="000000" w:themeColor="text1"/>
                              </w:rPr>
                              <m:t>SHR</m:t>
                            </m:r>
                          </m:sub>
                        </m:sSub>
                      </m:e>
                      <m:sub>
                        <m:r>
                          <w:rPr>
                            <w:rFonts w:ascii="Cambria Math" w:eastAsia="Cambria Math" w:hAnsi="Cambria Math" w:cs="Times New Roman"/>
                            <w:color w:val="000000" w:themeColor="text1"/>
                          </w:rPr>
                          <m:t>i</m:t>
                        </m:r>
                      </m:sub>
                    </m:sSub>
                  </m:e>
                  <m:sup>
                    <m:r>
                      <w:rPr>
                        <w:rFonts w:ascii="Cambria Math" w:eastAsia="Cambria Math" w:hAnsi="Cambria Math" w:cs="Times New Roman"/>
                        <w:color w:val="000000" w:themeColor="text1"/>
                      </w:rPr>
                      <m:t>2</m:t>
                    </m:r>
                  </m:sup>
                </m:sSup>
                <m:r>
                  <w:rPr>
                    <w:rFonts w:ascii="Cambria Math" w:eastAsia="Cambria Math" w:hAnsi="Cambria Math" w:cs="Times New Roman"/>
                    <w:color w:val="000000" w:themeColor="text1"/>
                  </w:rPr>
                  <m:t>+</m:t>
                </m:r>
                <m:sSup>
                  <m:sSupPr>
                    <m:ctrlPr>
                      <w:rPr>
                        <w:rFonts w:ascii="Cambria Math" w:eastAsia="Cambria Math" w:hAnsi="Cambria Math" w:cs="Times New Roman"/>
                        <w:color w:val="000000" w:themeColor="text1"/>
                      </w:rPr>
                    </m:ctrlPr>
                  </m:sSupPr>
                  <m:e>
                    <m:d>
                      <m:dPr>
                        <m:ctrlPr>
                          <w:rPr>
                            <w:rFonts w:ascii="Cambria Math" w:eastAsia="Cambria Math" w:hAnsi="Cambria Math" w:cs="Times New Roman"/>
                            <w:color w:val="000000" w:themeColor="text1"/>
                          </w:rPr>
                        </m:ctrlPr>
                      </m:d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SHR</m:t>
                                </m:r>
                              </m:sub>
                            </m:sSub>
                          </m:e>
                          <m:sub>
                            <m:r>
                              <w:rPr>
                                <w:rFonts w:ascii="Cambria Math" w:eastAsia="Cambria Math" w:hAnsi="Cambria Math" w:cs="Times New Roman"/>
                                <w:color w:val="000000" w:themeColor="text1"/>
                              </w:rPr>
                              <m:t>i</m:t>
                            </m:r>
                          </m:sub>
                        </m:sSub>
                      </m:e>
                    </m:d>
                  </m:e>
                  <m:sup>
                    <m:r>
                      <w:rPr>
                        <w:rFonts w:ascii="Cambria Math" w:eastAsia="Cambria Math" w:hAnsi="Cambria Math" w:cs="Times New Roman"/>
                        <w:color w:val="000000" w:themeColor="text1"/>
                      </w:rPr>
                      <m:t>2</m:t>
                    </m:r>
                  </m:sup>
                </m:sSup>
                <m:sSup>
                  <m:sSupPr>
                    <m:ctrlPr>
                      <w:rPr>
                        <w:rFonts w:ascii="Cambria Math" w:eastAsia="Cambria Math" w:hAnsi="Cambria Math" w:cs="Times New Roman"/>
                        <w:color w:val="000000" w:themeColor="text1"/>
                      </w:rPr>
                    </m:ctrlPr>
                  </m:sSup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σ</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e>
                  <m:sup>
                    <m:r>
                      <w:rPr>
                        <w:rFonts w:ascii="Cambria Math" w:eastAsia="Cambria Math" w:hAnsi="Cambria Math" w:cs="Times New Roman"/>
                        <w:color w:val="000000" w:themeColor="text1"/>
                      </w:rPr>
                      <m:t>2</m:t>
                    </m:r>
                  </m:sup>
                </m:sSup>
                <m:r>
                  <w:rPr>
                    <w:rFonts w:ascii="Cambria Math" w:eastAsia="Cambria Math" w:hAnsi="Cambria Math" w:cs="Times New Roman"/>
                    <w:color w:val="000000" w:themeColor="text1"/>
                  </w:rPr>
                  <m:t>+2</m:t>
                </m:r>
                <m:d>
                  <m:dPr>
                    <m:ctrlPr>
                      <w:rPr>
                        <w:rFonts w:ascii="Cambria Math" w:eastAsia="Cambria Math" w:hAnsi="Cambria Math" w:cs="Times New Roman"/>
                        <w:color w:val="000000" w:themeColor="text1"/>
                      </w:rPr>
                    </m:ctrlPr>
                  </m:d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r>
                      <w:rPr>
                        <w:rFonts w:ascii="Cambria Math" w:eastAsia="Cambria Math" w:hAnsi="Cambria Math" w:cs="Times New Roman"/>
                        <w:color w:val="000000" w:themeColor="text1"/>
                      </w:rPr>
                      <m:t>∙</m:t>
                    </m:r>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SHR</m:t>
                            </m:r>
                          </m:sub>
                        </m:sSub>
                      </m:e>
                      <m:sub>
                        <m:r>
                          <w:rPr>
                            <w:rFonts w:ascii="Cambria Math" w:eastAsia="Cambria Math" w:hAnsi="Cambria Math" w:cs="Times New Roman"/>
                            <w:color w:val="000000" w:themeColor="text1"/>
                          </w:rPr>
                          <m:t>i</m:t>
                        </m:r>
                      </m:sub>
                    </m:sSub>
                  </m:e>
                </m:d>
                <m:sSup>
                  <m:sSupPr>
                    <m:ctrlPr>
                      <w:rPr>
                        <w:rFonts w:ascii="Cambria Math" w:eastAsia="Cambria Math" w:hAnsi="Cambria Math" w:cs="Times New Roman"/>
                        <w:color w:val="000000" w:themeColor="text1"/>
                      </w:rPr>
                    </m:ctrlPr>
                  </m:sSup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σ</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e>
                  <m:sup>
                    <m:r>
                      <w:rPr>
                        <w:rFonts w:ascii="Cambria Math" w:eastAsia="Cambria Math" w:hAnsi="Cambria Math" w:cs="Times New Roman"/>
                        <w:color w:val="000000" w:themeColor="text1"/>
                      </w:rPr>
                      <m:t>2</m:t>
                    </m:r>
                  </m:sup>
                </m:sSup>
              </m:e>
            </m:rad>
          </m:num>
          <m:den>
            <m:sSup>
              <m:sSupPr>
                <m:ctrlPr>
                  <w:rPr>
                    <w:rFonts w:ascii="Cambria Math" w:eastAsia="Cambria Math" w:hAnsi="Cambria Math" w:cs="Times New Roman"/>
                    <w:color w:val="000000" w:themeColor="text1"/>
                  </w:rPr>
                </m:ctrlPr>
              </m:sSupPr>
              <m:e>
                <m:sSub>
                  <m:sSubPr>
                    <m:ctrlPr>
                      <w:rPr>
                        <w:rFonts w:ascii="Cambria Math" w:eastAsia="Cambria Math" w:hAnsi="Cambria Math" w:cs="Times New Roman"/>
                        <w:color w:val="000000" w:themeColor="text1"/>
                      </w:rPr>
                    </m:ctrlPr>
                  </m:sSubPr>
                  <m:e>
                    <m:sSub>
                      <m:sSubPr>
                        <m:ctrlPr>
                          <w:rPr>
                            <w:rFonts w:ascii="Cambria Math" w:eastAsia="Cambria Math" w:hAnsi="Cambria Math" w:cs="Times New Roman"/>
                            <w:color w:val="000000" w:themeColor="text1"/>
                          </w:rPr>
                        </m:ctrlPr>
                      </m:sSubPr>
                      <m:e>
                        <m:r>
                          <w:rPr>
                            <w:rFonts w:ascii="Cambria Math" w:eastAsia="Cambria Math" w:hAnsi="Cambria Math" w:cs="Times New Roman"/>
                            <w:color w:val="000000" w:themeColor="text1"/>
                          </w:rPr>
                          <m:t>μ</m:t>
                        </m:r>
                      </m:e>
                      <m:sub>
                        <m:r>
                          <w:rPr>
                            <w:rFonts w:ascii="Cambria Math" w:eastAsia="Cambria Math" w:hAnsi="Cambria Math" w:cs="Times New Roman"/>
                            <w:color w:val="000000" w:themeColor="text1"/>
                          </w:rPr>
                          <m:t>NPP</m:t>
                        </m:r>
                      </m:sub>
                    </m:sSub>
                  </m:e>
                  <m:sub>
                    <m:r>
                      <w:rPr>
                        <w:rFonts w:ascii="Cambria Math" w:eastAsia="Cambria Math" w:hAnsi="Cambria Math" w:cs="Times New Roman"/>
                        <w:color w:val="000000" w:themeColor="text1"/>
                      </w:rPr>
                      <m:t>i</m:t>
                    </m:r>
                  </m:sub>
                </m:sSub>
              </m:e>
              <m:sup>
                <m:r>
                  <w:rPr>
                    <w:rFonts w:ascii="Cambria Math" w:eastAsia="Cambria Math" w:hAnsi="Cambria Math" w:cs="Times New Roman"/>
                    <w:color w:val="000000" w:themeColor="text1"/>
                  </w:rPr>
                  <m:t>2</m:t>
                </m:r>
              </m:sup>
            </m:sSup>
          </m:den>
        </m:f>
      </m:oMath>
      <w:r w:rsidRPr="00DA354E">
        <w:rPr>
          <w:rFonts w:ascii="Times New Roman" w:hAnsi="Times New Roman" w:cs="Times New Roman"/>
          <w:color w:val="000000" w:themeColor="text1"/>
        </w:rPr>
        <w:tab/>
      </w:r>
      <w:r w:rsidRPr="00DA354E">
        <w:rPr>
          <w:rFonts w:ascii="Times New Roman" w:hAnsi="Times New Roman" w:cs="Times New Roman"/>
          <w:color w:val="000000" w:themeColor="text1"/>
        </w:rPr>
        <w:tab/>
      </w:r>
      <w:r w:rsidRPr="00DA354E">
        <w:rPr>
          <w:rFonts w:ascii="Times New Roman" w:hAnsi="Times New Roman" w:cs="Times New Roman"/>
          <w:color w:val="000000" w:themeColor="text1"/>
        </w:rPr>
        <w:tab/>
      </w:r>
      <w:r w:rsidRPr="00DA354E">
        <w:rPr>
          <w:rFonts w:ascii="Times New Roman" w:hAnsi="Times New Roman" w:cs="Times New Roman"/>
          <w:color w:val="000000" w:themeColor="text1"/>
        </w:rPr>
        <w:tab/>
      </w:r>
      <w:r w:rsidRPr="00DA354E">
        <w:rPr>
          <w:rFonts w:ascii="Times New Roman" w:hAnsi="Times New Roman" w:cs="Times New Roman"/>
          <w:color w:val="000000" w:themeColor="text1"/>
        </w:rPr>
        <w:tab/>
      </w:r>
    </w:p>
    <w:p w:rsidR="00406A35" w:rsidRPr="00DA354E" w:rsidRDefault="00406A35" w:rsidP="00406A35">
      <w:pPr>
        <w:jc w:val="both"/>
        <w:rPr>
          <w:rFonts w:ascii="Times New Roman" w:hAnsi="Times New Roman" w:cs="Times New Roman"/>
          <w:i/>
          <w:color w:val="000000" w:themeColor="text1"/>
          <w:vertAlign w:val="subscript"/>
        </w:rPr>
      </w:pPr>
      <w:r w:rsidRPr="00DA354E">
        <w:rPr>
          <w:rFonts w:ascii="Times New Roman" w:hAnsi="Times New Roman" w:cs="Times New Roman"/>
          <w:color w:val="000000" w:themeColor="text1"/>
        </w:rPr>
        <w:t xml:space="preserve">We further verified that Monte Carlo simulations with random realizations of each flux and SHR calculated as in the main text by mass balance gives the same error in </w:t>
      </w:r>
      <w:proofErr w:type="spellStart"/>
      <w:r w:rsidRPr="00DA354E">
        <w:rPr>
          <w:rFonts w:ascii="Times New Roman" w:hAnsi="Times New Roman" w:cs="Times New Roman"/>
          <w:i/>
          <w:color w:val="000000" w:themeColor="text1"/>
        </w:rPr>
        <w:t>r</w:t>
      </w:r>
      <w:r w:rsidRPr="00DA354E">
        <w:rPr>
          <w:rFonts w:ascii="Times New Roman" w:hAnsi="Times New Roman" w:cs="Times New Roman"/>
          <w:i/>
          <w:color w:val="000000" w:themeColor="text1"/>
          <w:vertAlign w:val="subscript"/>
        </w:rPr>
        <w:t>i</w:t>
      </w:r>
      <w:proofErr w:type="spellEnd"/>
      <w:r w:rsidRPr="00DA354E">
        <w:rPr>
          <w:rFonts w:ascii="Times New Roman" w:hAnsi="Times New Roman" w:cs="Times New Roman"/>
          <w:color w:val="000000" w:themeColor="text1"/>
        </w:rPr>
        <w:t xml:space="preserve"> for each region.</w:t>
      </w:r>
    </w:p>
    <w:p w:rsidR="00934FF7" w:rsidRPr="00DA354E" w:rsidRDefault="00934FF7" w:rsidP="00934FF7">
      <w:pPr>
        <w:jc w:val="both"/>
        <w:rPr>
          <w:rFonts w:ascii="Times New Roman" w:hAnsi="Times New Roman" w:cs="Times New Roman"/>
          <w:color w:val="000000" w:themeColor="text1"/>
        </w:rPr>
      </w:pPr>
    </w:p>
    <w:p w:rsidR="00F6749E" w:rsidRPr="007233A0" w:rsidRDefault="00934FF7" w:rsidP="007233A0">
      <w:pPr>
        <w:rPr>
          <w:rFonts w:ascii="Times New Roman" w:hAnsi="Times New Roman" w:cs="Times New Roman"/>
          <w:b/>
          <w:color w:val="000000" w:themeColor="text1"/>
        </w:rPr>
      </w:pPr>
      <w:r>
        <w:rPr>
          <w:rFonts w:ascii="Times New Roman" w:hAnsi="Times New Roman" w:cs="Times New Roman"/>
          <w:b/>
          <w:color w:val="000000" w:themeColor="text1"/>
        </w:rPr>
        <w:br w:type="page"/>
      </w:r>
      <w:r w:rsidR="00F6749E" w:rsidRPr="009F1047">
        <w:rPr>
          <w:rFonts w:ascii="Times New Roman" w:hAnsi="Times New Roman" w:cs="Times New Roman"/>
          <w:b/>
          <w:color w:val="000000" w:themeColor="text1"/>
        </w:rPr>
        <w:lastRenderedPageBreak/>
        <w:t>Supplementary</w:t>
      </w:r>
      <w:r w:rsidR="00F6749E" w:rsidRPr="00DA354E">
        <w:rPr>
          <w:rFonts w:ascii="Times New Roman" w:hAnsi="Times New Roman" w:cs="Times New Roman"/>
          <w:b/>
          <w:color w:val="000000" w:themeColor="text1"/>
        </w:rPr>
        <w:t xml:space="preserve"> Table 1</w:t>
      </w:r>
      <w:r w:rsidR="00F6749E" w:rsidRPr="00DA354E">
        <w:rPr>
          <w:rFonts w:ascii="Times New Roman" w:hAnsi="Times New Roman" w:cs="Times New Roman"/>
          <w:color w:val="000000" w:themeColor="text1"/>
        </w:rPr>
        <w:t xml:space="preserve">. Carbon storage change, lateral fluxes from rivers and trade, NEE, component fluxes from NEE, and SHR in each region in </w:t>
      </w:r>
      <w:proofErr w:type="spellStart"/>
      <w:r w:rsidR="00F6749E" w:rsidRPr="00DA354E">
        <w:rPr>
          <w:rFonts w:ascii="Times New Roman" w:hAnsi="Times New Roman" w:cs="Times New Roman"/>
          <w:color w:val="000000" w:themeColor="text1"/>
        </w:rPr>
        <w:t>Tg</w:t>
      </w:r>
      <w:proofErr w:type="spellEnd"/>
      <w:r w:rsidR="00F6749E" w:rsidRPr="00DA354E">
        <w:rPr>
          <w:rFonts w:ascii="Times New Roman" w:hAnsi="Times New Roman" w:cs="Times New Roman"/>
          <w:color w:val="000000" w:themeColor="text1"/>
        </w:rPr>
        <w:t xml:space="preserve"> C yr</w:t>
      </w:r>
      <w:r w:rsidR="00F6749E" w:rsidRPr="00DA354E">
        <w:rPr>
          <w:rFonts w:ascii="Times New Roman" w:hAnsi="Times New Roman" w:cs="Times New Roman"/>
          <w:color w:val="000000" w:themeColor="text1"/>
          <w:vertAlign w:val="superscript"/>
        </w:rPr>
        <w:t>-1</w:t>
      </w:r>
      <w:r w:rsidR="00F6749E" w:rsidRPr="00DA354E">
        <w:rPr>
          <w:rFonts w:ascii="Times New Roman" w:hAnsi="Times New Roman" w:cs="Times New Roman"/>
          <w:color w:val="000000" w:themeColor="text1"/>
        </w:rPr>
        <w:t>. All data for the period 2000-2009 except for rivers, lakes and estuaries which are based on data covering an epoch of the last two decades.</w:t>
      </w:r>
    </w:p>
    <w:tbl>
      <w:tblPr>
        <w:tblpPr w:leftFromText="180" w:rightFromText="180" w:vertAnchor="text" w:horzAnchor="margin" w:tblpY="157"/>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675"/>
        <w:gridCol w:w="270"/>
        <w:gridCol w:w="735"/>
        <w:gridCol w:w="3660"/>
        <w:gridCol w:w="1830"/>
      </w:tblGrid>
      <w:tr w:rsidR="00F6749E" w:rsidRPr="00DA354E" w:rsidTr="00F6749E">
        <w:trPr>
          <w:trHeight w:val="400"/>
        </w:trPr>
        <w:tc>
          <w:tcPr>
            <w:tcW w:w="8940" w:type="dxa"/>
            <w:gridSpan w:val="6"/>
            <w:shd w:val="clear" w:color="auto" w:fill="auto"/>
            <w:tcMar>
              <w:top w:w="100" w:type="dxa"/>
              <w:left w:w="100" w:type="dxa"/>
              <w:bottom w:w="100" w:type="dxa"/>
              <w:right w:w="100" w:type="dxa"/>
            </w:tcMar>
            <w:vAlign w:val="center"/>
          </w:tcPr>
          <w:p w:rsidR="00F6749E" w:rsidRPr="00DA354E" w:rsidRDefault="00F6749E" w:rsidP="00F6749E">
            <w:pPr>
              <w:widowControl w:val="0"/>
              <w:pBdr>
                <w:top w:val="nil"/>
                <w:left w:val="nil"/>
                <w:bottom w:val="nil"/>
                <w:right w:val="nil"/>
                <w:between w:val="nil"/>
              </w:pBdr>
              <w:rPr>
                <w:rFonts w:ascii="Times New Roman" w:eastAsia="Arial" w:hAnsi="Times New Roman" w:cs="Times New Roman"/>
                <w:b/>
                <w:color w:val="000000" w:themeColor="text1"/>
              </w:rPr>
            </w:pPr>
            <w:r w:rsidRPr="00DA354E">
              <w:rPr>
                <w:rFonts w:ascii="Times New Roman" w:eastAsia="Arial" w:hAnsi="Times New Roman" w:cs="Times New Roman"/>
                <w:b/>
                <w:color w:val="000000" w:themeColor="text1"/>
              </w:rPr>
              <w:t>North America</w:t>
            </w:r>
          </w:p>
        </w:tc>
      </w:tr>
      <w:tr w:rsidR="00F6749E" w:rsidRPr="005A63F3" w:rsidTr="00F6749E">
        <w:trPr>
          <w:trHeight w:val="400"/>
        </w:trPr>
        <w:tc>
          <w:tcPr>
            <w:tcW w:w="3450" w:type="dxa"/>
            <w:gridSpan w:val="4"/>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roofErr w:type="spellStart"/>
            <w:r w:rsidRPr="005A63F3">
              <w:rPr>
                <w:rFonts w:ascii="Times New Roman" w:eastAsia="Arial" w:hAnsi="Times New Roman" w:cs="Times New Roman"/>
                <w:color w:val="000000" w:themeColor="text1"/>
                <w:sz w:val="20"/>
                <w:szCs w:val="20"/>
              </w:rPr>
              <w:t>TgC</w:t>
            </w:r>
            <w:proofErr w:type="spellEnd"/>
            <w:r w:rsidRPr="005A63F3">
              <w:rPr>
                <w:rFonts w:ascii="Times New Roman" w:eastAsia="Arial" w:hAnsi="Times New Roman" w:cs="Times New Roman"/>
                <w:color w:val="000000" w:themeColor="text1"/>
                <w:sz w:val="20"/>
                <w:szCs w:val="20"/>
              </w:rPr>
              <w:t xml:space="preserve"> yr</w:t>
            </w:r>
            <w:r w:rsidRPr="005A63F3">
              <w:rPr>
                <w:rFonts w:ascii="Times New Roman" w:eastAsia="Arial" w:hAnsi="Times New Roman" w:cs="Times New Roman"/>
                <w:color w:val="000000" w:themeColor="text1"/>
                <w:sz w:val="20"/>
                <w:szCs w:val="20"/>
                <w:vertAlign w:val="superscript"/>
              </w:rPr>
              <w:t>-1</w:t>
            </w:r>
            <w:r w:rsidRPr="005A63F3">
              <w:rPr>
                <w:rFonts w:ascii="Times New Roman" w:eastAsia="Arial" w:hAnsi="Times New Roman" w:cs="Times New Roman"/>
                <w:color w:val="000000" w:themeColor="text1"/>
                <w:sz w:val="20"/>
                <w:szCs w:val="20"/>
              </w:rPr>
              <w:t>)</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Reference</w:t>
            </w:r>
          </w:p>
        </w:tc>
        <w:tc>
          <w:tcPr>
            <w:tcW w:w="1830" w:type="dxa"/>
            <w:shd w:val="clear" w:color="auto" w:fill="auto"/>
            <w:tcMar>
              <w:top w:w="100" w:type="dxa"/>
              <w:left w:w="100" w:type="dxa"/>
              <w:bottom w:w="100" w:type="dxa"/>
              <w:right w:w="100" w:type="dxa"/>
            </w:tcMa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Uncertainty estimation</w:t>
            </w:r>
          </w:p>
        </w:tc>
      </w:tr>
      <w:tr w:rsidR="00F6749E" w:rsidRPr="005A63F3" w:rsidTr="00F6749E">
        <w:trPr>
          <w:trHeight w:val="20"/>
        </w:trPr>
        <w:tc>
          <w:tcPr>
            <w:tcW w:w="1770" w:type="dxa"/>
            <w:tcBorders>
              <w:top w:val="single" w:sz="8" w:space="0" w:color="000000"/>
              <w:left w:val="single" w:sz="8" w:space="0" w:color="000000"/>
              <w:bottom w:val="single" w:sz="8" w:space="0" w:color="000000"/>
            </w:tcBorders>
            <w:shd w:val="clear" w:color="auto" w:fill="FFFFFF"/>
            <w:vAlign w:val="center"/>
          </w:tcPr>
          <w:p w:rsidR="00F6749E" w:rsidRPr="005A63F3" w:rsidRDefault="00F6749E" w:rsidP="00F6749E">
            <w:pPr>
              <w:rPr>
                <w:rFonts w:ascii="Times New Roman" w:eastAsia="Arial" w:hAnsi="Times New Roman" w:cs="Times New Roman"/>
                <w:color w:val="000000" w:themeColor="text1"/>
                <w:sz w:val="20"/>
                <w:szCs w:val="20"/>
              </w:rPr>
            </w:pPr>
            <w:r w:rsidRPr="005A63F3">
              <w:rPr>
                <w:rFonts w:ascii="Times New Roman" w:eastAsia="Arial Unicode MS" w:hAnsi="Times New Roman" w:cs="Times New Roman"/>
                <w:color w:val="000000" w:themeColor="text1"/>
                <w:sz w:val="20"/>
                <w:szCs w:val="20"/>
              </w:rPr>
              <w:t>∆C</w:t>
            </w:r>
          </w:p>
        </w:tc>
        <w:tc>
          <w:tcPr>
            <w:tcW w:w="675" w:type="dxa"/>
            <w:tcMar>
              <w:top w:w="0" w:type="dxa"/>
              <w:left w:w="0" w:type="dxa"/>
              <w:bottom w:w="0" w:type="dxa"/>
              <w:right w:w="0" w:type="dxa"/>
            </w:tcMar>
            <w:vAlign w:val="bottom"/>
          </w:tcPr>
          <w:p w:rsidR="00F6749E" w:rsidRPr="005A63F3" w:rsidRDefault="00F6749E" w:rsidP="00F6749E">
            <w:pPr>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-348</w:t>
            </w:r>
          </w:p>
        </w:tc>
        <w:tc>
          <w:tcPr>
            <w:tcW w:w="270" w:type="dxa"/>
            <w:tcMar>
              <w:top w:w="0" w:type="dxa"/>
              <w:left w:w="0" w:type="dxa"/>
              <w:bottom w:w="0" w:type="dxa"/>
              <w:right w:w="0" w:type="dxa"/>
            </w:tcMar>
            <w:vAlign w:val="bottom"/>
          </w:tcPr>
          <w:p w:rsidR="00F6749E" w:rsidRPr="005A63F3" w:rsidRDefault="00F6749E" w:rsidP="00F6749E">
            <w:pPr>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285</w:t>
            </w:r>
          </w:p>
        </w:tc>
        <w:tc>
          <w:tcPr>
            <w:tcW w:w="3660" w:type="dxa"/>
            <w:tcBorders>
              <w:top w:val="single" w:sz="8" w:space="0" w:color="000000"/>
              <w:bottom w:val="single" w:sz="8" w:space="0" w:color="000000"/>
              <w:right w:val="single" w:sz="8" w:space="0" w:color="000000"/>
            </w:tcBorders>
            <w:shd w:val="clear" w:color="auto" w:fill="FFFFFF"/>
            <w:vAlign w:val="center"/>
          </w:tcPr>
          <w:p w:rsidR="00F6749E" w:rsidRPr="005A63F3" w:rsidRDefault="00F6749E" w:rsidP="00F6749E">
            <w:pP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 xml:space="preserve">King et al. </w:t>
            </w:r>
            <w:r>
              <w:rPr>
                <w:rFonts w:ascii="Times New Roman" w:eastAsia="Arial" w:hAnsi="Times New Roman" w:cs="Times New Roman"/>
                <w:color w:val="000000" w:themeColor="text1"/>
                <w:sz w:val="20"/>
                <w:szCs w:val="20"/>
              </w:rPr>
              <w:t>[</w:t>
            </w:r>
            <w:r w:rsidRPr="005A63F3">
              <w:rPr>
                <w:rFonts w:ascii="Times New Roman" w:eastAsia="Arial" w:hAnsi="Times New Roman" w:cs="Times New Roman"/>
                <w:color w:val="000000" w:themeColor="text1"/>
                <w:sz w:val="20"/>
                <w:szCs w:val="20"/>
              </w:rPr>
              <w:fldChar w:fldCharType="begin" w:fldLock="1"/>
            </w:r>
            <w:r w:rsidRPr="005A63F3">
              <w:rPr>
                <w:rFonts w:ascii="Times New Roman" w:eastAsia="Arial" w:hAnsi="Times New Roman" w:cs="Times New Roman"/>
                <w:color w:val="000000" w:themeColor="text1"/>
                <w:sz w:val="20"/>
                <w:szCs w:val="20"/>
              </w:rPr>
              <w:instrText>ADDIN CSL_CITATION {"citationItems":[{"id":"ITEM-1","itemData":{"DOI":"10.5194/bg-12-399-2015","ISSN":"1726-4189","author":[{"dropping-particle":"","family":"King","given":"A. W.","non-dropping-particle":"","parse-names":false,"suffix":""},{"dropping-particle":"","family":"Andres","given":"R. J.","non-dropping-particle":"","parse-names":false,"suffix":""},{"dropping-particle":"","family":"Davis","given":"K. J.","non-dropping-particle":"","parse-names":false,"suffix":""},{"dropping-particle":"","family":"Hafer","given":"M.","non-dropping-particle":"","parse-names":false,"suffix":""},{"dropping-particle":"","family":"Hayes","given":"D. J.","non-dropping-particle":"","parse-names":false,"suffix":""},{"dropping-particle":"","family":"Huntzinger","given":"D. N.","non-dropping-particle":"","parse-names":false,"suffix":""},{"dropping-particle":"","family":"Jong","given":"B.","non-dropping-particle":"de","parse-names":false,"suffix":""},{"dropping-particle":"","family":"Kurz","given":"W. a.","non-dropping-particle":"","parse-names":false,"suffix":""},{"dropping-particle":"","family":"McGuire","given":"a. D.","non-dropping-particle":"","parse-names":false,"suffix":""},{"dropping-particle":"","family":"Vargas","given":"R.","non-dropping-particle":"","parse-names":false,"suffix":""},{"dropping-particle":"","family":"Wei","given":"Y.","non-dropping-particle":"","parse-names":false,"suffix":""},{"dropping-particle":"","family":"West","given":"T. O.","non-dropping-particle":"","parse-names":false,"suffix":""},{"dropping-particle":"","family":"Woodall","given":"C. W.","non-dropping-particle":"","parse-names":false,"suffix":""}],"container-title":"Biogeosciences","id":"ITEM-1","issue":"2","issued":{"date-parts":[["2015","1"]]},"page":"399-414","title":"North America's net terrestrial CO2 exchange with the atmosphere 1990–2009","type":"article-journal","volume":"12"},"uris":["http://www.mendeley.com/documents/?uuid=009c32ec-080a-45c7-bddf-044549ffccea"]}],"mendeley":{"formattedCitation":"&lt;sup&gt;7&lt;/sup&gt;","plainTextFormattedCitation":"7","previouslyFormattedCitation":"&lt;sup&gt;7&lt;/sup&gt;"},"properties":{"noteIndex":0},"schema":"https://github.com/citation-style-language/schema/raw/master/csl-citation.json"}</w:instrText>
            </w:r>
            <w:r w:rsidRPr="005A63F3">
              <w:rPr>
                <w:rFonts w:ascii="Times New Roman" w:eastAsia="Arial" w:hAnsi="Times New Roman" w:cs="Times New Roman"/>
                <w:color w:val="000000" w:themeColor="text1"/>
                <w:sz w:val="20"/>
                <w:szCs w:val="20"/>
              </w:rPr>
              <w:fldChar w:fldCharType="separate"/>
            </w:r>
            <w:r w:rsidRPr="005A63F3">
              <w:rPr>
                <w:rFonts w:ascii="Times New Roman" w:eastAsia="Arial" w:hAnsi="Times New Roman" w:cs="Times New Roman"/>
                <w:noProof/>
                <w:color w:val="000000" w:themeColor="text1"/>
                <w:sz w:val="20"/>
                <w:szCs w:val="20"/>
              </w:rPr>
              <w:t>7</w:t>
            </w:r>
            <w:r w:rsidRPr="005A63F3">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 xml:space="preserve">] </w:t>
            </w:r>
            <w:r w:rsidRPr="005A63F3">
              <w:rPr>
                <w:rFonts w:ascii="Times New Roman" w:eastAsia="Arial" w:hAnsi="Times New Roman" w:cs="Times New Roman"/>
                <w:color w:val="000000" w:themeColor="text1"/>
                <w:sz w:val="20"/>
                <w:szCs w:val="20"/>
                <w:vertAlign w:val="superscript"/>
              </w:rPr>
              <w:t>a</w:t>
            </w:r>
          </w:p>
        </w:tc>
        <w:tc>
          <w:tcPr>
            <w:tcW w:w="18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6749E" w:rsidRPr="005A63F3" w:rsidRDefault="00F6749E" w:rsidP="00F6749E">
            <w:pPr>
              <w:rPr>
                <w:rFonts w:ascii="Times New Roman" w:eastAsia="Arial" w:hAnsi="Times New Roman" w:cs="Times New Roman"/>
                <w:color w:val="000000" w:themeColor="text1"/>
                <w:sz w:val="20"/>
                <w:szCs w:val="20"/>
                <w:vertAlign w:val="superscript"/>
              </w:rPr>
            </w:pPr>
            <w:r w:rsidRPr="005A63F3">
              <w:rPr>
                <w:rFonts w:ascii="Times New Roman" w:eastAsia="Arial" w:hAnsi="Times New Roman" w:cs="Times New Roman"/>
                <w:color w:val="000000" w:themeColor="text1"/>
                <w:sz w:val="20"/>
                <w:szCs w:val="20"/>
                <w:vertAlign w:val="superscript"/>
              </w:rPr>
              <w:t>b</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vertAlign w:val="subscript"/>
              </w:rPr>
            </w:pPr>
            <w:proofErr w:type="spellStart"/>
            <w:r w:rsidRPr="005A63F3">
              <w:rPr>
                <w:rFonts w:ascii="Times New Roman" w:eastAsia="Arial" w:hAnsi="Times New Roman" w:cs="Times New Roman"/>
                <w:color w:val="000000" w:themeColor="text1"/>
                <w:sz w:val="20"/>
                <w:szCs w:val="20"/>
              </w:rPr>
              <w:t>F</w:t>
            </w:r>
            <w:r w:rsidRPr="005A63F3">
              <w:rPr>
                <w:rFonts w:ascii="Times New Roman" w:eastAsia="Arial" w:hAnsi="Times New Roman" w:cs="Times New Roman"/>
                <w:color w:val="000000" w:themeColor="text1"/>
                <w:sz w:val="20"/>
                <w:szCs w:val="20"/>
                <w:vertAlign w:val="subscript"/>
              </w:rPr>
              <w:t>trade</w:t>
            </w:r>
            <w:proofErr w:type="spellEnd"/>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30</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37</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 xml:space="preserve">Peters et al. </w:t>
            </w:r>
            <w:r>
              <w:rPr>
                <w:rFonts w:ascii="Times New Roman" w:eastAsia="Arial" w:hAnsi="Times New Roman" w:cs="Times New Roman"/>
                <w:color w:val="000000" w:themeColor="text1"/>
                <w:sz w:val="20"/>
                <w:szCs w:val="20"/>
              </w:rPr>
              <w:t>[</w:t>
            </w:r>
            <w:r w:rsidRPr="005A63F3">
              <w:rPr>
                <w:rFonts w:ascii="Times New Roman" w:eastAsia="Arial" w:hAnsi="Times New Roman" w:cs="Times New Roman"/>
                <w:color w:val="000000" w:themeColor="text1"/>
                <w:sz w:val="20"/>
                <w:szCs w:val="20"/>
              </w:rPr>
              <w:fldChar w:fldCharType="begin" w:fldLock="1"/>
            </w:r>
            <w:r w:rsidRPr="005A63F3">
              <w:rPr>
                <w:rFonts w:ascii="Times New Roman" w:eastAsia="Arial" w:hAnsi="Times New Roman" w:cs="Times New Roman"/>
                <w:color w:val="000000" w:themeColor="text1"/>
                <w:sz w:val="20"/>
                <w:szCs w:val="20"/>
              </w:rPr>
              <w:instrText>ADDIN CSL_CITATION {"citationItems":[{"id":"ITEM-1","itemData":{"DOI":"10.5194/bg-9-3247-2012","ISSN":"1726-4189","author":[{"dropping-particle":"","family":"Peters","given":"G. P.","non-dropping-particle":"","parse-names":false,"suffix":""},{"dropping-particle":"","family":"Davis","given":"S. J.","non-dropping-particle":"","parse-names":false,"suffix":""},{"dropping-particle":"","family":"Andrew","given":"R.","non-dropping-particle":"","parse-names":false,"suffix":""}],"container-title":"Biogeosciences","id":"ITEM-1","issue":"8","issued":{"date-parts":[["2012","8"]]},"page":"3247-3276","title":"A synthesis of carbon in international trade","type":"article-journal","volume":"9"},"uris":["http://www.mendeley.com/documents/?uuid=13aaa07d-69fb-4d0c-b60c-c51107b8444a"]}],"mendeley":{"formattedCitation":"&lt;sup&gt;18&lt;/sup&gt;","plainTextFormattedCitation":"18","previouslyFormattedCitation":"&lt;sup&gt;18&lt;/sup&gt;"},"properties":{"noteIndex":0},"schema":"https://github.com/citation-style-language/schema/raw/master/csl-citation.json"}</w:instrText>
            </w:r>
            <w:r w:rsidRPr="005A63F3">
              <w:rPr>
                <w:rFonts w:ascii="Times New Roman" w:eastAsia="Arial" w:hAnsi="Times New Roman" w:cs="Times New Roman"/>
                <w:color w:val="000000" w:themeColor="text1"/>
                <w:sz w:val="20"/>
                <w:szCs w:val="20"/>
              </w:rPr>
              <w:fldChar w:fldCharType="separate"/>
            </w:r>
            <w:r w:rsidRPr="005A63F3">
              <w:rPr>
                <w:rFonts w:ascii="Times New Roman" w:eastAsia="Arial" w:hAnsi="Times New Roman" w:cs="Times New Roman"/>
                <w:noProof/>
                <w:color w:val="000000" w:themeColor="text1"/>
                <w:sz w:val="20"/>
                <w:szCs w:val="20"/>
              </w:rPr>
              <w:t>18</w:t>
            </w:r>
            <w:r w:rsidRPr="005A63F3">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r w:rsidRPr="005A63F3">
              <w:rPr>
                <w:rFonts w:ascii="Times New Roman" w:eastAsia="Arial" w:hAnsi="Times New Roman" w:cs="Times New Roman"/>
                <w:color w:val="000000" w:themeColor="text1"/>
                <w:sz w:val="20"/>
                <w:szCs w:val="20"/>
              </w:rPr>
              <w:t xml:space="preserve"> for wood products and SOCCR report</w:t>
            </w:r>
            <w:r>
              <w:rPr>
                <w:rFonts w:ascii="Times New Roman" w:eastAsia="Arial" w:hAnsi="Times New Roman" w:cs="Times New Roman"/>
                <w:color w:val="000000" w:themeColor="text1"/>
                <w:sz w:val="20"/>
                <w:szCs w:val="20"/>
              </w:rPr>
              <w:t xml:space="preserve"> [</w:t>
            </w:r>
            <w:r w:rsidRPr="005A63F3">
              <w:rPr>
                <w:rFonts w:ascii="Times New Roman" w:eastAsia="Arial" w:hAnsi="Times New Roman" w:cs="Times New Roman"/>
                <w:color w:val="000000" w:themeColor="text1"/>
                <w:sz w:val="20"/>
                <w:szCs w:val="20"/>
              </w:rPr>
              <w:fldChar w:fldCharType="begin" w:fldLock="1"/>
            </w:r>
            <w:r w:rsidRPr="005A63F3">
              <w:rPr>
                <w:rFonts w:ascii="Times New Roman" w:eastAsia="Arial" w:hAnsi="Times New Roman" w:cs="Times New Roman"/>
                <w:color w:val="000000" w:themeColor="text1"/>
                <w:sz w:val="20"/>
                <w:szCs w:val="20"/>
              </w:rPr>
              <w:instrText>ADDIN CSL_CITATION {"citationItems":[{"id":"ITEM-1","itemData":{"author":[{"dropping-particle":"","family":"King","given":"A. W.","non-dropping-particle":"","parse-names":false,"suffix":""},{"dropping-particle":"","family":"Dilling","given":"L.","non-dropping-particle":"","parse-names":false,"suffix":""},{"dropping-particle":"","family":"Zimmerman","given":"G. P.","non-dropping-particle":"","parse-names":false,"suffix":""},{"dropping-particle":"","family":"Fairman","given":"D. M.","non-dropping-particle":"","parse-names":false,"suffix":""},{"dropping-particle":"","family":"Houghton","given":"R. A.","non-dropping-particle":"","parse-names":false,"suffix":""},{"dropping-particle":"","family":"Marland","given":"G.","non-dropping-particle":"","parse-names":false,"suffix":""},{"dropping-particle":"","family":"Rose","given":"A. Z.","non-dropping-particle":"","parse-names":false,"suffix":""},{"dropping-particle":"","family":"Wilbanks","given":"T. J.","non-dropping-particle":"","parse-names":false,"suffix":""}],"id":"ITEM-1","issued":{"date-parts":[["2007"]]},"language":"English","publisher":"U.S. Climate Change Science Program","title":"The first state of the carbon cycle report (SOCCR): The North American carbon budget and implications for the global carbon cycle.","type":"book"},"uris":["http://www.mendeley.com/documents/?uuid=32000a6e-dc3d-4157-85aa-a8e2ef2d91e8"]}],"mendeley":{"formattedCitation":"&lt;sup&gt;56&lt;/sup&gt;","plainTextFormattedCitation":"56","previouslyFormattedCitation":"&lt;sup&gt;56&lt;/sup&gt;"},"properties":{"noteIndex":0},"schema":"https://github.com/citation-style-language/schema/raw/master/csl-citation.json"}</w:instrText>
            </w:r>
            <w:r w:rsidRPr="005A63F3">
              <w:rPr>
                <w:rFonts w:ascii="Times New Roman" w:eastAsia="Arial" w:hAnsi="Times New Roman" w:cs="Times New Roman"/>
                <w:color w:val="000000" w:themeColor="text1"/>
                <w:sz w:val="20"/>
                <w:szCs w:val="20"/>
              </w:rPr>
              <w:fldChar w:fldCharType="separate"/>
            </w:r>
            <w:r w:rsidRPr="005A63F3">
              <w:rPr>
                <w:rFonts w:ascii="Times New Roman" w:eastAsia="Arial" w:hAnsi="Times New Roman" w:cs="Times New Roman"/>
                <w:noProof/>
                <w:color w:val="000000" w:themeColor="text1"/>
                <w:sz w:val="20"/>
                <w:szCs w:val="20"/>
              </w:rPr>
              <w:t>56</w:t>
            </w:r>
            <w:r w:rsidRPr="005A63F3">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r w:rsidRPr="005A63F3">
              <w:rPr>
                <w:rFonts w:ascii="Times New Roman" w:eastAsia="Arial" w:hAnsi="Times New Roman" w:cs="Times New Roman"/>
                <w:color w:val="000000" w:themeColor="text1"/>
                <w:sz w:val="20"/>
                <w:szCs w:val="20"/>
              </w:rPr>
              <w:t xml:space="preserve"> for crop products</w:t>
            </w:r>
          </w:p>
        </w:tc>
        <w:tc>
          <w:tcPr>
            <w:tcW w:w="183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20%</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vertAlign w:val="subscript"/>
              </w:rPr>
            </w:pPr>
            <w:proofErr w:type="spellStart"/>
            <w:r w:rsidRPr="005A63F3">
              <w:rPr>
                <w:rFonts w:ascii="Times New Roman" w:eastAsia="Arial" w:hAnsi="Times New Roman" w:cs="Times New Roman"/>
                <w:color w:val="000000" w:themeColor="text1"/>
                <w:sz w:val="20"/>
                <w:szCs w:val="20"/>
              </w:rPr>
              <w:t>F</w:t>
            </w:r>
            <w:r w:rsidRPr="005A63F3">
              <w:rPr>
                <w:rFonts w:ascii="Times New Roman" w:eastAsia="Arial" w:hAnsi="Times New Roman" w:cs="Times New Roman"/>
                <w:color w:val="000000" w:themeColor="text1"/>
                <w:sz w:val="20"/>
                <w:szCs w:val="20"/>
                <w:vertAlign w:val="subscript"/>
              </w:rPr>
              <w:t>rivers</w:t>
            </w:r>
            <w:proofErr w:type="spellEnd"/>
            <w:r>
              <w:rPr>
                <w:rFonts w:ascii="Times New Roman" w:eastAsia="Arial" w:hAnsi="Times New Roman" w:cs="Times New Roman"/>
                <w:color w:val="000000" w:themeColor="text1"/>
                <w:sz w:val="20"/>
                <w:szCs w:val="20"/>
                <w:vertAlign w:val="subscript"/>
              </w:rPr>
              <w:t xml:space="preserve">  </w:t>
            </w:r>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124</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47</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lang w:val="fr-FR"/>
              </w:rPr>
            </w:pPr>
            <w:r w:rsidRPr="005A63F3">
              <w:rPr>
                <w:rFonts w:ascii="Times New Roman" w:eastAsia="Arial" w:hAnsi="Times New Roman" w:cs="Times New Roman"/>
                <w:color w:val="000000" w:themeColor="text1"/>
                <w:sz w:val="20"/>
                <w:szCs w:val="20"/>
                <w:lang w:val="es-US"/>
              </w:rPr>
              <w:t>Mayorga et al.</w:t>
            </w:r>
            <w:r>
              <w:rPr>
                <w:rFonts w:ascii="Times New Roman" w:eastAsia="Arial" w:hAnsi="Times New Roman" w:cs="Times New Roman"/>
                <w:color w:val="000000" w:themeColor="text1"/>
                <w:sz w:val="20"/>
                <w:szCs w:val="20"/>
                <w:lang w:val="es-US"/>
              </w:rPr>
              <w:t xml:space="preserve"> [</w:t>
            </w:r>
            <w:r w:rsidRPr="004E75E3">
              <w:rPr>
                <w:rFonts w:ascii="Times New Roman" w:eastAsia="Arial" w:hAnsi="Times New Roman" w:cs="Times New Roman"/>
                <w:color w:val="000000" w:themeColor="text1"/>
                <w:sz w:val="20"/>
                <w:szCs w:val="20"/>
                <w:lang w:val="fr-FR"/>
              </w:rPr>
              <w:fldChar w:fldCharType="begin" w:fldLock="1"/>
            </w:r>
            <w:r w:rsidRPr="004E75E3">
              <w:rPr>
                <w:rFonts w:ascii="Times New Roman" w:eastAsia="Arial" w:hAnsi="Times New Roman" w:cs="Times New Roman"/>
                <w:color w:val="000000" w:themeColor="text1"/>
                <w:sz w:val="20"/>
                <w:szCs w:val="20"/>
                <w:lang w:val="es-US"/>
              </w:rPr>
              <w:instrText>ADDIN CSL_CITATION {"citationItems":[{"id":"ITEM-1","itemData":{"DOI":"10.1038/nature12760","ISSN":"1476-4687","PMID":"24256802","abstract":"Carbon dioxide (CO2) transfer from inland waters to the atmosphere, known as CO2 evasion, is a component of the global carbon cycle. Global estimates of CO2 evasion have been hampered, however, by the lack of a framework for estimating the inland water surface area and gas transfer velocity and by the absence of a global CO2 database. Here we report regional variations in global inland water surface area, dissolved CO2 and gas transfer velocity. We obtain global CO2 evasion rates of 1.8(+0.25)(-0.25) petagrams of carbon (Pg C) per year from streams and rivers and 0.32(+0.52)(-0.26) Pg C yr(-1) from lakes and reservoirs, where the upper and lower limits are respectively the 5th and 95th confidence interval percentiles. The resulting global evasion rate of 2.1 Pg C yr(-1) is higher than previous estimates owing to a larger stream and river evasion rate. Our analysis predicts global hotspots in stream and river evasion, with about 70 per cent of the flux occurring over just 20 per cent of the land surface. The source of inland water CO2 is still not known with certainty and new studies are needed to research the mechanisms controlling CO2 evasion globally.","author":[{"dropping-particle":"","family":"Raymond","given":"Peter A","non-dropping-particle":"","parse-names":false,"suffix":""},{"dropping-particle":"","family":"Hartmann","given":"Jens","non-dropping-particle":"","parse-names":false,"suffix":""},{"dropping-particle":"","family":"Lauerwald","given":"Ronny","non-dropping-particle":"","parse-names":false,"suffix":""},{"dropping-particle":"","family":"Sobek","given":"Sebastian","non-dropping-particle":"","parse-names":false,"suffix":""},{"dropping-particle":"","family":"McDonald","given":"Cory","non-dropping-particle":"","parse-names":false,"suffix":""},{"dropping-particle":"","family":"Hoover","given":"Mark","non-dropping-particle":"","parse-names":false,"suffix":""},{"dropping-particle":"","family":"Butman","given":"David","non-dropping-particle":"","parse-names":false,"suffix":""},{"dropping-particle":"","family":"Striegl","given":"Robert","non-dropping-particle":"","parse-names":false,"suffix":""},{"dropping-particle":"","family":"Mayorga","given":"Emilio","non-dropping-particle":"","parse-names":false,"suffix":""},{"dropping-particle":"","family":"Humborg","given":"Christoph","non-dropping-particle":"","parse-names":false,"suffix":""},{"dropping-particle":"","family":"Kortelainen","given":"Pirkko","non-dropping-particle":"","parse-names":false,"suffix":""},{"dropping-particle":"","family":"Dürr","given":"Hans","non-dropping-particle":"","parse-names":false,"suffix":""},{"dropping-particle":"","family":"Meybeck","given":"Michel","non-dropping-particle":"","parse-names":false,"suffix":""},{"dropping-particle":"","family":"Ciais","given":"Philippe","non-dropping-particle":"","parse-names":false,"suffix":""},{"dropping-particle":"","family":"Guth","given":"Peter","non-dropping-particle":"","parse-names":false,"suffix":""}],"container-title":"Nature","id":"ITEM-1","issue":"7476","issued":{"date-parts":[["2013","11"]]},"page":"355-9","title":"Global carbon dioxide emissions from inland waters.","type":"article-journal","volume":"503"},"uris":["http://www.mendeley.com/documents/?uuid=eabd41ca-221a-48b7-bf3e-392e04532f97"]}],"mendeley":{"formattedCitation":"&lt;sup&gt;27&lt;/sup&gt;","plainTextFormattedCitation":"27","previouslyFormattedCitation":"&lt;sup&gt;27&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lang w:val="fr-FR"/>
              </w:rPr>
              <w:fldChar w:fldCharType="separate"/>
            </w:r>
            <w:r w:rsidRPr="004E75E3">
              <w:rPr>
                <w:rFonts w:ascii="Times New Roman" w:eastAsia="Arial" w:hAnsi="Times New Roman" w:cs="Times New Roman"/>
                <w:noProof/>
                <w:color w:val="000000" w:themeColor="text1"/>
                <w:sz w:val="20"/>
                <w:szCs w:val="20"/>
                <w:lang w:val="es-US"/>
              </w:rPr>
              <w:t>27</w:t>
            </w:r>
            <w:r w:rsidRPr="004E75E3">
              <w:rPr>
                <w:rFonts w:ascii="Times New Roman" w:eastAsia="Arial" w:hAnsi="Times New Roman" w:cs="Times New Roman"/>
                <w:color w:val="000000" w:themeColor="text1"/>
                <w:sz w:val="20"/>
                <w:szCs w:val="20"/>
                <w:lang w:val="fr-FR"/>
              </w:rPr>
              <w:fldChar w:fldCharType="end"/>
            </w:r>
            <w:r>
              <w:rPr>
                <w:rFonts w:ascii="Times New Roman" w:eastAsia="Arial" w:hAnsi="Times New Roman" w:cs="Times New Roman"/>
                <w:color w:val="000000" w:themeColor="text1"/>
                <w:sz w:val="20"/>
                <w:szCs w:val="20"/>
                <w:lang w:val="fr-FR"/>
              </w:rPr>
              <w:t>]</w:t>
            </w:r>
            <w:r w:rsidRPr="005A63F3">
              <w:rPr>
                <w:rFonts w:ascii="Times New Roman" w:eastAsia="Arial" w:hAnsi="Times New Roman" w:cs="Times New Roman"/>
                <w:color w:val="000000" w:themeColor="text1"/>
                <w:sz w:val="20"/>
                <w:szCs w:val="20"/>
                <w:lang w:val="es-US"/>
              </w:rPr>
              <w:t>, Hartmann et al.</w:t>
            </w:r>
            <w:r>
              <w:rPr>
                <w:rFonts w:ascii="Times New Roman" w:eastAsia="Arial" w:hAnsi="Times New Roman" w:cs="Times New Roman"/>
                <w:color w:val="000000" w:themeColor="text1"/>
                <w:sz w:val="20"/>
                <w:szCs w:val="20"/>
                <w:lang w:val="es-US"/>
              </w:rPr>
              <w:t xml:space="preserve"> [</w:t>
            </w:r>
            <w:r w:rsidRPr="004E75E3">
              <w:rPr>
                <w:rFonts w:ascii="Times New Roman" w:eastAsia="Arial" w:hAnsi="Times New Roman" w:cs="Times New Roman"/>
                <w:color w:val="000000" w:themeColor="text1"/>
                <w:sz w:val="20"/>
                <w:szCs w:val="20"/>
                <w:lang w:val="fr-FR"/>
              </w:rPr>
              <w:fldChar w:fldCharType="begin" w:fldLock="1"/>
            </w:r>
            <w:r w:rsidRPr="004E75E3">
              <w:rPr>
                <w:rFonts w:ascii="Times New Roman" w:eastAsia="Arial" w:hAnsi="Times New Roman" w:cs="Times New Roman"/>
                <w:color w:val="000000" w:themeColor="text1"/>
                <w:sz w:val="20"/>
                <w:szCs w:val="20"/>
                <w:lang w:val="es-US"/>
              </w:rPr>
              <w:instrText>ADDIN CSL_CITATION {"citationItems":[{"id":"ITEM-1","itemData":{"DOI":"10.1016/j.gloplacha.2009.07.007","ISSN":"09218181","author":[{"dropping-particle":"","family":"Hartmann","given":"Jens","non-dropping-particle":"","parse-names":false,"suffix":""},{"dropping-particle":"","family":"Jansen","given":"Nils","non-dropping-particle":"","parse-names":false,"suffix":""},{"dropping-particle":"","family":"Dürr","given":"Hans H.","non-dropping-particle":"","parse-names":false,"suffix":""},{"dropping-particle":"","family":"Kempe","given":"Stephan","non-dropping-particle":"","parse-names":false,"suffix":""},{"dropping-particle":"","family":"Köhler","given":"Peter","non-dropping-particle":"","parse-names":false,"suffix":""}],"container-title":"Global and Planetary Change","id":"ITEM-1","issue":"4","issued":{"date-parts":[["2009","12"]]},"page":"185-194","publisher":"Elsevier B.V.","title":"Global CO2-consumption by chemical weathering: What is the contribution of highly active weathering regions?","type":"article-journal","volume":"69"},"uris":["http://www.mendeley.com/documents/?uuid=4a8d7207-51b7-4109-a3fa-6767f56cccc0"]}],"mendeley":{"formattedCitation":"&lt;sup&gt;20&lt;/sup&gt;","plainTextFormattedCitation":"20","previouslyFormattedCitation":"&lt;sup&gt;20&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lang w:val="fr-FR"/>
              </w:rPr>
              <w:fldChar w:fldCharType="separate"/>
            </w:r>
            <w:r w:rsidRPr="004E75E3">
              <w:rPr>
                <w:rFonts w:ascii="Times New Roman" w:eastAsia="Arial" w:hAnsi="Times New Roman" w:cs="Times New Roman"/>
                <w:noProof/>
                <w:color w:val="000000" w:themeColor="text1"/>
                <w:sz w:val="20"/>
                <w:szCs w:val="20"/>
                <w:lang w:val="fr-FR"/>
              </w:rPr>
              <w:t>20</w:t>
            </w:r>
            <w:r w:rsidRPr="004E75E3">
              <w:rPr>
                <w:rFonts w:ascii="Times New Roman" w:eastAsia="Arial" w:hAnsi="Times New Roman" w:cs="Times New Roman"/>
                <w:color w:val="000000" w:themeColor="text1"/>
                <w:sz w:val="20"/>
                <w:szCs w:val="20"/>
                <w:lang w:val="fr-FR"/>
              </w:rPr>
              <w:fldChar w:fldCharType="end"/>
            </w:r>
            <w:r>
              <w:rPr>
                <w:rFonts w:ascii="Times New Roman" w:eastAsia="Arial" w:hAnsi="Times New Roman" w:cs="Times New Roman"/>
                <w:color w:val="000000" w:themeColor="text1"/>
                <w:sz w:val="20"/>
                <w:szCs w:val="20"/>
                <w:lang w:val="fr-FR"/>
              </w:rPr>
              <w:t xml:space="preserve">] </w:t>
            </w:r>
            <w:r w:rsidRPr="00093394">
              <w:rPr>
                <w:rFonts w:ascii="Times New Roman" w:eastAsia="Arial" w:hAnsi="Times New Roman" w:cs="Times New Roman"/>
                <w:color w:val="000000" w:themeColor="text1"/>
                <w:sz w:val="20"/>
                <w:szCs w:val="20"/>
                <w:vertAlign w:val="superscript"/>
                <w:lang w:val="fr-FR"/>
              </w:rPr>
              <w:t>c</w:t>
            </w:r>
          </w:p>
        </w:tc>
        <w:tc>
          <w:tcPr>
            <w:tcW w:w="183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 xml:space="preserve">50% </w:t>
            </w:r>
            <w:r w:rsidRPr="004E75E3">
              <w:rPr>
                <w:rFonts w:ascii="Times New Roman" w:eastAsia="Arial" w:hAnsi="Times New Roman" w:cs="Times New Roman"/>
                <w:color w:val="000000" w:themeColor="text1"/>
                <w:sz w:val="20"/>
                <w:szCs w:val="20"/>
                <w:vertAlign w:val="superscript"/>
              </w:rPr>
              <w:t>d</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NEE</w:t>
            </w:r>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-487</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291</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Equation (1)</w:t>
            </w:r>
          </w:p>
        </w:tc>
        <w:tc>
          <w:tcPr>
            <w:tcW w:w="1830" w:type="dxa"/>
            <w:shd w:val="clear" w:color="auto" w:fill="auto"/>
            <w:tcMar>
              <w:top w:w="100" w:type="dxa"/>
              <w:left w:w="100" w:type="dxa"/>
              <w:bottom w:w="100" w:type="dxa"/>
              <w:right w:w="100" w:type="dxa"/>
            </w:tcMar>
            <w:vAlign w:val="center"/>
          </w:tcPr>
          <w:p w:rsidR="00F6749E" w:rsidRPr="004E75E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vertAlign w:val="superscript"/>
              </w:rPr>
            </w:pPr>
            <w:r w:rsidRPr="004E75E3">
              <w:rPr>
                <w:rFonts w:ascii="Times New Roman" w:eastAsia="Arial" w:hAnsi="Times New Roman" w:cs="Times New Roman"/>
                <w:color w:val="000000" w:themeColor="text1"/>
                <w:sz w:val="20"/>
                <w:szCs w:val="20"/>
                <w:vertAlign w:val="superscript"/>
              </w:rPr>
              <w:t>e</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vertAlign w:val="subscript"/>
              </w:rPr>
            </w:pPr>
            <w:proofErr w:type="spellStart"/>
            <w:r w:rsidRPr="005A63F3">
              <w:rPr>
                <w:rFonts w:ascii="Times New Roman" w:eastAsia="Arial" w:hAnsi="Times New Roman" w:cs="Times New Roman"/>
                <w:color w:val="000000" w:themeColor="text1"/>
                <w:sz w:val="20"/>
                <w:szCs w:val="20"/>
              </w:rPr>
              <w:t>F</w:t>
            </w:r>
            <w:r w:rsidRPr="005A63F3">
              <w:rPr>
                <w:rFonts w:ascii="Times New Roman" w:eastAsia="Arial" w:hAnsi="Times New Roman" w:cs="Times New Roman"/>
                <w:color w:val="000000" w:themeColor="text1"/>
                <w:sz w:val="20"/>
                <w:szCs w:val="20"/>
                <w:vertAlign w:val="subscript"/>
              </w:rPr>
              <w:t>crop</w:t>
            </w:r>
            <w:proofErr w:type="spellEnd"/>
            <w:r w:rsidRPr="005A63F3">
              <w:rPr>
                <w:rFonts w:ascii="Times New Roman" w:eastAsia="Arial" w:hAnsi="Times New Roman" w:cs="Times New Roman"/>
                <w:color w:val="000000" w:themeColor="text1"/>
                <w:sz w:val="20"/>
                <w:szCs w:val="20"/>
                <w:vertAlign w:val="subscript"/>
              </w:rPr>
              <w:t xml:space="preserve"> products</w:t>
            </w:r>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182</w:t>
            </w:r>
            <w:r w:rsidRPr="00093394">
              <w:rPr>
                <w:rFonts w:ascii="Times New Roman" w:eastAsia="Arial" w:hAnsi="Times New Roman" w:cs="Times New Roman"/>
                <w:color w:val="000000" w:themeColor="text1"/>
                <w:sz w:val="20"/>
                <w:szCs w:val="20"/>
                <w:vertAlign w:val="superscript"/>
              </w:rPr>
              <w:t xml:space="preserve"> </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36</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SOCCR report</w:t>
            </w:r>
            <w:r>
              <w:rPr>
                <w:rFonts w:ascii="Times New Roman" w:eastAsia="Arial" w:hAnsi="Times New Roman" w:cs="Times New Roman"/>
                <w:color w:val="000000" w:themeColor="text1"/>
                <w:sz w:val="20"/>
                <w:szCs w:val="20"/>
              </w:rPr>
              <w:t xml:space="preserve"> [</w:t>
            </w:r>
            <w:r w:rsidRPr="004E75E3">
              <w:rPr>
                <w:rFonts w:ascii="Times New Roman" w:eastAsia="Arial" w:hAnsi="Times New Roman" w:cs="Times New Roman"/>
                <w:color w:val="000000" w:themeColor="text1"/>
                <w:sz w:val="20"/>
                <w:szCs w:val="20"/>
              </w:rPr>
              <w:fldChar w:fldCharType="begin" w:fldLock="1"/>
            </w:r>
            <w:r w:rsidRPr="004E75E3">
              <w:rPr>
                <w:rFonts w:ascii="Times New Roman" w:eastAsia="Arial" w:hAnsi="Times New Roman" w:cs="Times New Roman"/>
                <w:color w:val="000000" w:themeColor="text1"/>
                <w:sz w:val="20"/>
                <w:szCs w:val="20"/>
              </w:rPr>
              <w:instrText>ADDIN CSL_CITATION {"citationItems":[{"id":"ITEM-1","itemData":{"author":[{"dropping-particle":"","family":"King","given":"A. W.","non-dropping-particle":"","parse-names":false,"suffix":""},{"dropping-particle":"","family":"Dilling","given":"L.","non-dropping-particle":"","parse-names":false,"suffix":""},{"dropping-particle":"","family":"Zimmerman","given":"G. P.","non-dropping-particle":"","parse-names":false,"suffix":""},{"dropping-particle":"","family":"Fairman","given":"D. M.","non-dropping-particle":"","parse-names":false,"suffix":""},{"dropping-particle":"","family":"Houghton","given":"R. A.","non-dropping-particle":"","parse-names":false,"suffix":""},{"dropping-particle":"","family":"Marland","given":"G.","non-dropping-particle":"","parse-names":false,"suffix":""},{"dropping-particle":"","family":"Rose","given":"A. Z.","non-dropping-particle":"","parse-names":false,"suffix":""},{"dropping-particle":"","family":"Wilbanks","given":"T. J.","non-dropping-particle":"","parse-names":false,"suffix":""}],"id":"ITEM-1","issued":{"date-parts":[["2007"]]},"language":"English","publisher":"U.S. Climate Change Science Program","title":"The first state of the carbon cycle report (SOCCR): The North American carbon budget and implications for the global carbon cycle.","type":"book"},"uris":["http://www.mendeley.com/documents/?uuid=32000a6e-dc3d-4157-85aa-a8e2ef2d91e8"]}],"mendeley":{"formattedCitation":"&lt;sup&gt;56&lt;/sup&gt;","plainTextFormattedCitation":"56","previouslyFormattedCitation":"&lt;sup&gt;56&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rPr>
              <w:fldChar w:fldCharType="separate"/>
            </w:r>
            <w:r w:rsidRPr="004E75E3">
              <w:rPr>
                <w:rFonts w:ascii="Times New Roman" w:eastAsia="Arial" w:hAnsi="Times New Roman" w:cs="Times New Roman"/>
                <w:noProof/>
                <w:color w:val="000000" w:themeColor="text1"/>
                <w:sz w:val="20"/>
                <w:szCs w:val="20"/>
              </w:rPr>
              <w:t>56</w:t>
            </w:r>
            <w:r w:rsidRPr="004E75E3">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 xml:space="preserve">] </w:t>
            </w:r>
            <w:r w:rsidRPr="00093394">
              <w:rPr>
                <w:rFonts w:ascii="Times New Roman" w:eastAsia="Arial" w:hAnsi="Times New Roman" w:cs="Times New Roman"/>
                <w:color w:val="000000" w:themeColor="text1"/>
                <w:sz w:val="20"/>
                <w:szCs w:val="20"/>
                <w:vertAlign w:val="superscript"/>
              </w:rPr>
              <w:t>f</w:t>
            </w:r>
          </w:p>
        </w:tc>
        <w:tc>
          <w:tcPr>
            <w:tcW w:w="183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vertAlign w:val="subscript"/>
              </w:rPr>
            </w:pPr>
            <w:r w:rsidRPr="005A63F3">
              <w:rPr>
                <w:rFonts w:ascii="Times New Roman" w:eastAsia="Arial" w:hAnsi="Times New Roman" w:cs="Times New Roman"/>
                <w:color w:val="000000" w:themeColor="text1"/>
                <w:sz w:val="20"/>
                <w:szCs w:val="20"/>
              </w:rPr>
              <w:t>20%</w:t>
            </w:r>
          </w:p>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vertAlign w:val="subscript"/>
              </w:rPr>
            </w:pPr>
            <w:proofErr w:type="spellStart"/>
            <w:r w:rsidRPr="005A63F3">
              <w:rPr>
                <w:rFonts w:ascii="Times New Roman" w:eastAsia="Arial" w:hAnsi="Times New Roman" w:cs="Times New Roman"/>
                <w:color w:val="000000" w:themeColor="text1"/>
                <w:sz w:val="20"/>
                <w:szCs w:val="20"/>
              </w:rPr>
              <w:t>F</w:t>
            </w:r>
            <w:r w:rsidRPr="005A63F3">
              <w:rPr>
                <w:rFonts w:ascii="Times New Roman" w:eastAsia="Arial" w:hAnsi="Times New Roman" w:cs="Times New Roman"/>
                <w:color w:val="000000" w:themeColor="text1"/>
                <w:sz w:val="20"/>
                <w:szCs w:val="20"/>
                <w:vertAlign w:val="subscript"/>
              </w:rPr>
              <w:t>wood</w:t>
            </w:r>
            <w:proofErr w:type="spellEnd"/>
            <w:r w:rsidRPr="005A63F3">
              <w:rPr>
                <w:rFonts w:ascii="Times New Roman" w:eastAsia="Arial" w:hAnsi="Times New Roman" w:cs="Times New Roman"/>
                <w:color w:val="000000" w:themeColor="text1"/>
                <w:sz w:val="20"/>
                <w:szCs w:val="20"/>
                <w:vertAlign w:val="subscript"/>
              </w:rPr>
              <w:t xml:space="preserve"> products</w:t>
            </w:r>
            <w:r w:rsidRPr="00093394">
              <w:rPr>
                <w:rFonts w:ascii="Times New Roman" w:eastAsia="Arial" w:hAnsi="Times New Roman" w:cs="Times New Roman"/>
                <w:color w:val="000000" w:themeColor="text1"/>
                <w:sz w:val="20"/>
                <w:szCs w:val="20"/>
                <w:vertAlign w:val="superscript"/>
              </w:rPr>
              <w:t xml:space="preserve"> </w:t>
            </w:r>
            <w:r>
              <w:rPr>
                <w:rFonts w:ascii="Times New Roman" w:eastAsia="Arial" w:hAnsi="Times New Roman" w:cs="Times New Roman"/>
                <w:color w:val="000000" w:themeColor="text1"/>
                <w:sz w:val="20"/>
                <w:szCs w:val="20"/>
                <w:vertAlign w:val="superscript"/>
              </w:rPr>
              <w:t xml:space="preserve"> </w:t>
            </w:r>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76</w:t>
            </w:r>
            <w:r>
              <w:rPr>
                <w:rFonts w:ascii="Times New Roman" w:eastAsia="Arial" w:hAnsi="Times New Roman" w:cs="Times New Roman"/>
                <w:color w:val="000000" w:themeColor="text1"/>
                <w:sz w:val="20"/>
                <w:szCs w:val="20"/>
              </w:rPr>
              <w:t xml:space="preserve"> </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7</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SOCCR report</w:t>
            </w:r>
            <w:r>
              <w:rPr>
                <w:rFonts w:ascii="Times New Roman" w:eastAsia="Arial" w:hAnsi="Times New Roman" w:cs="Times New Roman"/>
                <w:color w:val="000000" w:themeColor="text1"/>
                <w:sz w:val="20"/>
                <w:szCs w:val="20"/>
              </w:rPr>
              <w:t xml:space="preserve"> [</w:t>
            </w:r>
            <w:r w:rsidRPr="004E75E3">
              <w:rPr>
                <w:rFonts w:ascii="Times New Roman" w:eastAsia="Arial" w:hAnsi="Times New Roman" w:cs="Times New Roman"/>
                <w:color w:val="000000" w:themeColor="text1"/>
                <w:sz w:val="20"/>
                <w:szCs w:val="20"/>
              </w:rPr>
              <w:fldChar w:fldCharType="begin" w:fldLock="1"/>
            </w:r>
            <w:r w:rsidRPr="004E75E3">
              <w:rPr>
                <w:rFonts w:ascii="Times New Roman" w:eastAsia="Arial" w:hAnsi="Times New Roman" w:cs="Times New Roman"/>
                <w:color w:val="000000" w:themeColor="text1"/>
                <w:sz w:val="20"/>
                <w:szCs w:val="20"/>
              </w:rPr>
              <w:instrText>ADDIN CSL_CITATION {"citationItems":[{"id":"ITEM-1","itemData":{"author":[{"dropping-particle":"","family":"King","given":"A. W.","non-dropping-particle":"","parse-names":false,"suffix":""},{"dropping-particle":"","family":"Dilling","given":"L.","non-dropping-particle":"","parse-names":false,"suffix":""},{"dropping-particle":"","family":"Zimmerman","given":"G. P.","non-dropping-particle":"","parse-names":false,"suffix":""},{"dropping-particle":"","family":"Fairman","given":"D. M.","non-dropping-particle":"","parse-names":false,"suffix":""},{"dropping-particle":"","family":"Houghton","given":"R. A.","non-dropping-particle":"","parse-names":false,"suffix":""},{"dropping-particle":"","family":"Marland","given":"G.","non-dropping-particle":"","parse-names":false,"suffix":""},{"dropping-particle":"","family":"Rose","given":"A. Z.","non-dropping-particle":"","parse-names":false,"suffix":""},{"dropping-particle":"","family":"Wilbanks","given":"T. J.","non-dropping-particle":"","parse-names":false,"suffix":""}],"id":"ITEM-1","issued":{"date-parts":[["2007"]]},"language":"English","publisher":"U.S. Climate Change Science Program","title":"The first state of the carbon cycle report (SOCCR): The North American carbon budget and implications for the global carbon cycle.","type":"book"},"uris":["http://www.mendeley.com/documents/?uuid=32000a6e-dc3d-4157-85aa-a8e2ef2d91e8"]}],"mendeley":{"formattedCitation":"&lt;sup&gt;56&lt;/sup&gt;","plainTextFormattedCitation":"56","previouslyFormattedCitation":"&lt;sup&gt;56&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rPr>
              <w:fldChar w:fldCharType="separate"/>
            </w:r>
            <w:r w:rsidRPr="004E75E3">
              <w:rPr>
                <w:rFonts w:ascii="Times New Roman" w:eastAsia="Arial" w:hAnsi="Times New Roman" w:cs="Times New Roman"/>
                <w:noProof/>
                <w:color w:val="000000" w:themeColor="text1"/>
                <w:sz w:val="20"/>
                <w:szCs w:val="20"/>
              </w:rPr>
              <w:t>56</w:t>
            </w:r>
            <w:r w:rsidRPr="004E75E3">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 xml:space="preserve">] </w:t>
            </w:r>
            <w:r w:rsidRPr="005A63F3">
              <w:rPr>
                <w:rFonts w:ascii="Times New Roman" w:eastAsia="Arial" w:hAnsi="Times New Roman" w:cs="Times New Roman"/>
                <w:color w:val="000000" w:themeColor="text1"/>
                <w:sz w:val="20"/>
                <w:szCs w:val="20"/>
              </w:rPr>
              <w:t>for wood products decay, Wang et al. for wood burned in power plant and industry</w:t>
            </w:r>
            <w:r>
              <w:rPr>
                <w:rFonts w:ascii="Times New Roman" w:eastAsia="Arial" w:hAnsi="Times New Roman" w:cs="Times New Roman"/>
                <w:color w:val="000000" w:themeColor="text1"/>
                <w:sz w:val="20"/>
                <w:szCs w:val="20"/>
              </w:rPr>
              <w:t xml:space="preserve"> [</w:t>
            </w:r>
            <w:r w:rsidRPr="004E75E3">
              <w:rPr>
                <w:rFonts w:ascii="Times New Roman" w:eastAsia="Arial" w:hAnsi="Times New Roman" w:cs="Times New Roman"/>
                <w:color w:val="000000" w:themeColor="text1"/>
                <w:sz w:val="20"/>
                <w:szCs w:val="20"/>
              </w:rPr>
              <w:fldChar w:fldCharType="begin" w:fldLock="1"/>
            </w:r>
            <w:r w:rsidRPr="004E75E3">
              <w:rPr>
                <w:rFonts w:ascii="Times New Roman" w:eastAsia="Arial" w:hAnsi="Times New Roman" w:cs="Times New Roman"/>
                <w:color w:val="000000" w:themeColor="text1"/>
                <w:sz w:val="20"/>
                <w:szCs w:val="20"/>
              </w:rPr>
              <w:instrText>ADDIN CSL_CITATION {"citationItems":[{"id":"ITEM-1","itemData":{"DOI":"10.5194/acp-13-5189-2013","ISSN":"16807316","abstract":"High-resolution mapping of fuel combustion and CO 2 emission provides valuable information for modeling pollutant transport, developing mitigation policy, and for inverse modeling of CO 2 fluxes. Previous global emission maps included only few fuel types, and emissions were estimated on a grid by distributing national fuel data on an equal per capita basis, using population density maps. This process distorts the geographical distribution of emissions within countries. In this study, a sub-national disaggregation method (SDM) of fuel data is applied to establish a global 0.1° × 0.1° geo-referenced inventory of fuel combustion (PKU-FUEL) and corresponding CO 2 emissions (PKU-CO 2 ) based upon 64 fuel sub-types for the year 2007. Uncertainties of the emission maps are evaluated using a Monte Carlo method. It is estimated that CO 2 emission from combustion sources including fossil fuel, biomass, and solid wastes in 2007 was 11.2 Pg C yr -1 (9.1 Pg C yr -1 and 13.3 Pg Cyr -1 as 5th and 95th percentiles). Of this, emission from fossil fuel combustion is 7.83 Pg C yr -1 , which is very close to the estimate of the International Energy Agency (7.87 Pg Cyr -1 ). By replacing national data disaggregation with sub-national data in this study, the average 95th minus 5th percentile ranges of CO 2 emission for all grid points can be reduced from 417 to 68.2 Mg km -2 yr -1 . The spread is reduced because the uneven distribution of per capita fuel consumptions within countries is better taken into account by using sub-national fuel consumption data directly. Significant difference in per capita CO 2 emissions between urban and rural areas was found in developing countries (2.08 vs. 0.598 Mg C/(cap. x yr)), but not in developed countries (3.55 vs. 3.41 Mg C/(cap. x yr)). This implies that rapid urbanization of developing countries is very likely to drive up their emissions in the future. © Author(s) 2013.","author":[{"dropping-particle":"","family":"Wang","given":"R.","non-dropping-particle":"","parse-names":false,"suffix":""},{"dropping-particle":"","family":"Tao","given":"S.","non-dropping-particle":"","parse-names":false,"suffix":""},{"dropping-particle":"","family":"Ciais","given":"P.","non-dropping-particle":"","parse-names":false,"suffix":""},{"dropping-particle":"","family":"Shen","given":"H.Z.","non-dropping-particle":"","parse-names":false,"suffix":""},{"dropping-particle":"","family":"Huang","given":"Y.","non-dropping-particle":"","parse-names":false,"suffix":""},{"dropping-particle":"","family":"Chen","given":"H.","non-dropping-particle":"","parse-names":false,"suffix":""},{"dropping-particle":"","family":"Shen","given":"G.F.","non-dropping-particle":"","parse-names":false,"suffix":""},{"dropping-particle":"","family":"Wang","given":"B.","non-dropping-particle":"","parse-names":false,"suffix":""},{"dropping-particle":"","family":"Li","given":"W.","non-dropping-particle":"","parse-names":false,"suffix":""},{"dropping-particle":"","family":"Zhang","given":"Y.Y.","non-dropping-particle":"","parse-names":false,"suffix":""},{"dropping-particle":"","family":"Lu","given":"Y.","non-dropping-particle":"","parse-names":false,"suffix":""},{"dropping-particle":"","family":"Zhu","given":"D.","non-dropping-particle":"","parse-names":false,"suffix":""},{"dropping-particle":"","family":"Chen","given":"Y.C.","non-dropping-particle":"","parse-names":false,"suffix":""},{"dropping-particle":"","family":"Liu","given":"X.P.","non-dropping-particle":"","parse-names":false,"suffix":""},{"dropping-particle":"","family":"Wang","given":"W.T.","non-dropping-particle":"","parse-names":false,"suffix":""},{"dropping-particle":"","family":"Wang","given":"X.L.","non-dropping-particle":"","parse-names":false,"suffix":""},{"dropping-particle":"","family":"Liu","given":"W.X.","non-dropping-particle":"","parse-names":false,"suffix":""},{"dropping-particle":"","family":"Li","given":"B.G.","non-dropping-particle":"","parse-names":false,"suffix":""},{"dropping-particle":"","family":"Piao","given":"S.L.","non-dropping-particle":"","parse-names":false,"suffix":""}],"container-title":"Atmospheric Chemistry and Physics","id":"ITEM-1","issue":"10","issued":{"date-parts":[["2013"]]},"title":"High-resolution mapping of combustion processes and implications for CO&lt;inf&gt;2&lt;/inf&gt;emissions","type":"article-journal","volume":"13"},"uris":["http://www.mendeley.com/documents/?uuid=b7207bca-adf0-3a09-b72c-f58fe853ff55"]}],"mendeley":{"formattedCitation":"&lt;sup&gt;53&lt;/sup&gt;","plainTextFormattedCitation":"53","previouslyFormattedCitation":"&lt;sup&gt;53&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rPr>
              <w:fldChar w:fldCharType="separate"/>
            </w:r>
            <w:r w:rsidRPr="004E75E3">
              <w:rPr>
                <w:rFonts w:ascii="Times New Roman" w:eastAsia="Arial" w:hAnsi="Times New Roman" w:cs="Times New Roman"/>
                <w:noProof/>
                <w:color w:val="000000" w:themeColor="text1"/>
                <w:sz w:val="20"/>
                <w:szCs w:val="20"/>
              </w:rPr>
              <w:t>53</w:t>
            </w:r>
            <w:r w:rsidRPr="004E75E3">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 xml:space="preserve">] </w:t>
            </w:r>
            <w:r w:rsidRPr="00093394">
              <w:rPr>
                <w:rFonts w:ascii="Times New Roman" w:eastAsia="Arial" w:hAnsi="Times New Roman" w:cs="Times New Roman"/>
                <w:color w:val="000000" w:themeColor="text1"/>
                <w:sz w:val="20"/>
                <w:szCs w:val="20"/>
                <w:vertAlign w:val="superscript"/>
              </w:rPr>
              <w:t>g</w:t>
            </w:r>
          </w:p>
        </w:tc>
        <w:tc>
          <w:tcPr>
            <w:tcW w:w="1830" w:type="dxa"/>
            <w:shd w:val="clear" w:color="auto" w:fill="auto"/>
            <w:tcMar>
              <w:top w:w="100" w:type="dxa"/>
              <w:left w:w="100" w:type="dxa"/>
              <w:bottom w:w="100" w:type="dxa"/>
              <w:right w:w="100" w:type="dxa"/>
            </w:tcMar>
            <w:vAlign w:val="center"/>
          </w:tcPr>
          <w:p w:rsidR="00F6749E" w:rsidRPr="004E75E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vertAlign w:val="superscript"/>
              </w:rPr>
            </w:pPr>
            <w:r w:rsidRPr="004E75E3">
              <w:rPr>
                <w:rFonts w:ascii="Times New Roman" w:eastAsia="Arial" w:hAnsi="Times New Roman" w:cs="Times New Roman"/>
                <w:color w:val="000000" w:themeColor="text1"/>
                <w:sz w:val="20"/>
                <w:szCs w:val="20"/>
                <w:vertAlign w:val="superscript"/>
              </w:rPr>
              <w:t>h</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vertAlign w:val="subscript"/>
              </w:rPr>
            </w:pPr>
            <w:proofErr w:type="spellStart"/>
            <w:r w:rsidRPr="005A63F3">
              <w:rPr>
                <w:rFonts w:ascii="Times New Roman" w:eastAsia="Arial" w:hAnsi="Times New Roman" w:cs="Times New Roman"/>
                <w:color w:val="000000" w:themeColor="text1"/>
                <w:sz w:val="20"/>
                <w:szCs w:val="20"/>
              </w:rPr>
              <w:t>F</w:t>
            </w:r>
            <w:r w:rsidRPr="005A63F3">
              <w:rPr>
                <w:rFonts w:ascii="Times New Roman" w:eastAsia="Arial" w:hAnsi="Times New Roman" w:cs="Times New Roman"/>
                <w:color w:val="000000" w:themeColor="text1"/>
                <w:sz w:val="20"/>
                <w:szCs w:val="20"/>
                <w:vertAlign w:val="subscript"/>
              </w:rPr>
              <w:t>grazing</w:t>
            </w:r>
            <w:proofErr w:type="spellEnd"/>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119</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24</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This study (see Methods)</w:t>
            </w:r>
          </w:p>
        </w:tc>
        <w:tc>
          <w:tcPr>
            <w:tcW w:w="183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20%</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rPr>
            </w:pPr>
            <w:proofErr w:type="spellStart"/>
            <w:r w:rsidRPr="005A63F3">
              <w:rPr>
                <w:rFonts w:ascii="Times New Roman" w:eastAsia="Arial" w:hAnsi="Times New Roman" w:cs="Times New Roman"/>
                <w:color w:val="000000" w:themeColor="text1"/>
                <w:sz w:val="20"/>
                <w:szCs w:val="20"/>
              </w:rPr>
              <w:t>F</w:t>
            </w:r>
            <w:r w:rsidRPr="005A63F3">
              <w:rPr>
                <w:rFonts w:ascii="Times New Roman" w:eastAsia="Arial" w:hAnsi="Times New Roman" w:cs="Times New Roman"/>
                <w:color w:val="000000" w:themeColor="text1"/>
                <w:sz w:val="20"/>
                <w:szCs w:val="20"/>
                <w:vertAlign w:val="subscript"/>
              </w:rPr>
              <w:t>fires</w:t>
            </w:r>
            <w:proofErr w:type="spellEnd"/>
            <w:r w:rsidRPr="005A63F3">
              <w:rPr>
                <w:rFonts w:ascii="Times New Roman" w:eastAsia="Arial" w:hAnsi="Times New Roman" w:cs="Times New Roman"/>
                <w:color w:val="000000" w:themeColor="text1"/>
                <w:sz w:val="20"/>
                <w:szCs w:val="20"/>
                <w:vertAlign w:val="subscript"/>
              </w:rPr>
              <w:t xml:space="preserve"> GFED</w:t>
            </w:r>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88</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33</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 xml:space="preserve">Extended from </w:t>
            </w:r>
            <w:r>
              <w:rPr>
                <w:rFonts w:ascii="Times New Roman" w:eastAsia="Arial" w:hAnsi="Times New Roman" w:cs="Times New Roman"/>
                <w:color w:val="000000" w:themeColor="text1"/>
                <w:sz w:val="20"/>
                <w:szCs w:val="20"/>
              </w:rPr>
              <w:t>[</w:t>
            </w:r>
            <w:r w:rsidRPr="004E75E3">
              <w:rPr>
                <w:rFonts w:ascii="Times New Roman" w:eastAsia="Arial" w:hAnsi="Times New Roman" w:cs="Times New Roman"/>
                <w:color w:val="000000" w:themeColor="text1"/>
                <w:sz w:val="20"/>
                <w:szCs w:val="20"/>
              </w:rPr>
              <w:fldChar w:fldCharType="begin" w:fldLock="1"/>
            </w:r>
            <w:r w:rsidRPr="004E75E3">
              <w:rPr>
                <w:rFonts w:ascii="Times New Roman" w:eastAsia="Arial" w:hAnsi="Times New Roman" w:cs="Times New Roman"/>
                <w:color w:val="000000" w:themeColor="text1"/>
                <w:sz w:val="20"/>
                <w:szCs w:val="20"/>
              </w:rPr>
              <w:instrText>ADDIN CSL_CITATION {"citationItems":[{"id":"ITEM-1","itemData":{"DOI":"10.5194/acp-10-11707-2010","ISSN":"1680-7324","author":[{"dropping-particle":"","family":"Werf","given":"G. R.","non-dropping-particle":"van der","parse-names":false,"suffix":""},{"dropping-particle":"","family":"Randerson","given":"J. T.","non-dropping-particle":"","parse-names":false,"suffix":""},{"dropping-particle":"","family":"Giglio","given":"L.","non-dropping-particle":"","parse-names":false,"suffix":""},{"dropping-particle":"","family":"Collatz","given":"G. J.","non-dropping-particle":"","parse-names":false,"suffix":""},{"dropping-particle":"","family":"Mu","given":"M.","non-dropping-particle":"","parse-names":false,"suffix":""},{"dropping-particle":"","family":"Kasibhatla","given":"P. S.","non-dropping-particle":"","parse-names":false,"suffix":""},{"dropping-particle":"","family":"Morton","given":"D. C.","non-dropping-particle":"","parse-names":false,"suffix":""},{"dropping-particle":"","family":"DeFries","given":"R. S.","non-dropping-particle":"","parse-names":false,"suffix":""},{"dropping-particle":"","family":"Jin","given":"Y.","non-dropping-particle":"","parse-names":false,"suffix":""},{"dropping-particle":"","family":"Leeuwen","given":"T. T.","non-dropping-particle":"van","parse-names":false,"suffix":""}],"container-title":"Atmospheric Chemistry and Physics","id":"ITEM-1","issue":"23","issued":{"date-parts":[["2010","12"]]},"page":"11707-11735","title":"Global fire emissions and the contribution of deforestation, savanna, forest, agricultural, and peat fires (1997–2009)","type":"article-journal","volume":"10"},"uris":["http://www.mendeley.com/documents/?uuid=b18e6b75-b300-4133-a4d3-d63c6c57bd31"]}],"mendeley":{"formattedCitation":"&lt;sup&gt;81&lt;/sup&gt;","plainTextFormattedCitation":"81","previouslyFormattedCitation":"&lt;sup&gt;81&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rPr>
              <w:fldChar w:fldCharType="separate"/>
            </w:r>
            <w:r w:rsidRPr="004E75E3">
              <w:rPr>
                <w:rFonts w:ascii="Times New Roman" w:eastAsia="Arial" w:hAnsi="Times New Roman" w:cs="Times New Roman"/>
                <w:noProof/>
                <w:color w:val="000000" w:themeColor="text1"/>
                <w:sz w:val="20"/>
                <w:szCs w:val="20"/>
              </w:rPr>
              <w:t>81</w:t>
            </w:r>
            <w:r w:rsidRPr="004E75E3">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 xml:space="preserve">] </w:t>
            </w:r>
            <w:proofErr w:type="spellStart"/>
            <w:r w:rsidR="00E8739C" w:rsidRPr="00E8739C">
              <w:rPr>
                <w:rFonts w:ascii="Times New Roman" w:eastAsia="Arial" w:hAnsi="Times New Roman" w:cs="Times New Roman"/>
                <w:color w:val="000000" w:themeColor="text1"/>
                <w:sz w:val="20"/>
                <w:szCs w:val="20"/>
                <w:vertAlign w:val="superscript"/>
              </w:rPr>
              <w:t>i</w:t>
            </w:r>
            <w:proofErr w:type="spellEnd"/>
          </w:p>
        </w:tc>
        <w:tc>
          <w:tcPr>
            <w:tcW w:w="183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see Methods</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rPr>
            </w:pPr>
            <w:proofErr w:type="spellStart"/>
            <w:r w:rsidRPr="005A63F3">
              <w:rPr>
                <w:rFonts w:ascii="Times New Roman" w:eastAsia="Arial" w:hAnsi="Times New Roman" w:cs="Times New Roman"/>
                <w:color w:val="000000" w:themeColor="text1"/>
                <w:sz w:val="20"/>
                <w:szCs w:val="20"/>
              </w:rPr>
              <w:t>F</w:t>
            </w:r>
            <w:r w:rsidRPr="005A63F3">
              <w:rPr>
                <w:rFonts w:ascii="Times New Roman" w:eastAsia="Arial" w:hAnsi="Times New Roman" w:cs="Times New Roman"/>
                <w:color w:val="000000" w:themeColor="text1"/>
                <w:sz w:val="20"/>
                <w:szCs w:val="20"/>
                <w:vertAlign w:val="subscript"/>
              </w:rPr>
              <w:t>fires</w:t>
            </w:r>
            <w:proofErr w:type="spellEnd"/>
            <w:r w:rsidRPr="005A63F3">
              <w:rPr>
                <w:rFonts w:ascii="Times New Roman" w:eastAsia="Arial" w:hAnsi="Times New Roman" w:cs="Times New Roman"/>
                <w:color w:val="000000" w:themeColor="text1"/>
                <w:sz w:val="20"/>
                <w:szCs w:val="20"/>
                <w:vertAlign w:val="subscript"/>
              </w:rPr>
              <w:t xml:space="preserve"> GFAS</w:t>
            </w:r>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78</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23</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Giuseppe et. al.</w:t>
            </w:r>
            <w:r>
              <w:rPr>
                <w:rFonts w:ascii="Times New Roman" w:eastAsia="Arial" w:hAnsi="Times New Roman" w:cs="Times New Roman"/>
                <w:color w:val="000000" w:themeColor="text1"/>
                <w:sz w:val="20"/>
                <w:szCs w:val="20"/>
              </w:rPr>
              <w:t xml:space="preserve"> [</w:t>
            </w:r>
            <w:r w:rsidRPr="004E75E3">
              <w:rPr>
                <w:rFonts w:ascii="Times New Roman" w:eastAsia="Arial" w:hAnsi="Times New Roman" w:cs="Times New Roman"/>
                <w:color w:val="000000" w:themeColor="text1"/>
                <w:sz w:val="20"/>
                <w:szCs w:val="20"/>
              </w:rPr>
              <w:fldChar w:fldCharType="begin" w:fldLock="1"/>
            </w:r>
            <w:r w:rsidRPr="004E75E3">
              <w:rPr>
                <w:rFonts w:ascii="Times New Roman" w:eastAsia="Arial" w:hAnsi="Times New Roman" w:cs="Times New Roman"/>
                <w:color w:val="000000" w:themeColor="text1"/>
                <w:sz w:val="20"/>
                <w:szCs w:val="20"/>
              </w:rPr>
              <w:instrText>ADDIN CSL_CITATION {"citationItems":[{"id":"ITEM-1","itemData":{"DOI":"10.5194/acp-18-5359-2018","ISSN":"16807324","abstract":"&lt;p&gt;&lt;strong&gt;Abstract.&lt;/strong&gt; The atmospheric composition analysis and forecast for the European Copernicus Atmosphere Monitoring Services (CAMS) relies on biomass-burning fire emission estimates from the Global Fire Assimilation System (GFAS). The GFAS is a global system and converts fire radiative power (FRP) observations from MODIS satellites into smoke constituents. Missing observations are filled in using persistence, whereby observed FRP values from the previous day are progressed in time until a new observation is recorded. One of the consequences of this assumption is an increase of fire duration, which in turn translates into an increase of emissions estimated from fires compared to what is available from observations. In this study persistence is replaced by modelled predictions using the Canadian Fire Weather Index (FWI), which describes how atmospheric conditions affect the vegetation moisture content and ultimately fire duration. The skill in predicting emissions from biomass burning is improved with the new technique, which indicates that using an FWI-based model to infer emissions from FRP is better than persistence when observations are not available.&lt;/p&gt;","author":[{"dropping-particle":"","family":"Giuseppe","given":"Francesca","non-dropping-particle":"Di","parse-names":false,"suffix":""},{"dropping-particle":"","family":"Rémy","given":"Samuel","non-dropping-particle":"","parse-names":false,"suffix":""},{"dropping-particle":"","family":"Pappenberger","given":"Florian","non-dropping-particle":"","parse-names":false,"suffix":""},{"dropping-particle":"","family":"Wetterhall","given":"Fredrik","non-dropping-particle":"","parse-names":false,"suffix":""}],"container-title":"Atmospheric Chemistry and Physics","id":"ITEM-1","issued":{"date-parts":[["2018"]]},"title":"Using the Fire Weather Index (FWI) to improve the estimation of fire emissions from fire radiative power (FRP) observations","type":"article-journal"},"uris":["http://www.mendeley.com/documents/?uuid=b1a42bd6-9d56-3f5c-86a5-7ac41386b2b2"]}],"mendeley":{"formattedCitation":"&lt;sup&gt;82&lt;/sup&gt;","plainTextFormattedCitation":"82","previouslyFormattedCitation":"&lt;sup&gt;82&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rPr>
              <w:fldChar w:fldCharType="separate"/>
            </w:r>
            <w:r w:rsidRPr="004E75E3">
              <w:rPr>
                <w:rFonts w:ascii="Times New Roman" w:eastAsia="Arial" w:hAnsi="Times New Roman" w:cs="Times New Roman"/>
                <w:noProof/>
                <w:color w:val="000000" w:themeColor="text1"/>
                <w:sz w:val="20"/>
                <w:szCs w:val="20"/>
              </w:rPr>
              <w:t>82</w:t>
            </w:r>
            <w:r w:rsidRPr="004E75E3">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r w:rsidR="00570D37">
              <w:rPr>
                <w:rFonts w:ascii="Times New Roman" w:eastAsia="Arial" w:hAnsi="Times New Roman" w:cs="Times New Roman"/>
                <w:color w:val="000000" w:themeColor="text1"/>
                <w:sz w:val="20"/>
                <w:szCs w:val="20"/>
              </w:rPr>
              <w:t xml:space="preserve"> </w:t>
            </w:r>
            <w:proofErr w:type="spellStart"/>
            <w:r w:rsidR="00E8739C" w:rsidRPr="00E8739C">
              <w:rPr>
                <w:rFonts w:ascii="Times New Roman" w:eastAsia="Arial" w:hAnsi="Times New Roman" w:cs="Times New Roman"/>
                <w:color w:val="000000" w:themeColor="text1"/>
                <w:sz w:val="20"/>
                <w:szCs w:val="20"/>
                <w:vertAlign w:val="superscript"/>
              </w:rPr>
              <w:t>i</w:t>
            </w:r>
            <w:proofErr w:type="spellEnd"/>
          </w:p>
        </w:tc>
        <w:tc>
          <w:tcPr>
            <w:tcW w:w="183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see Methods</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vertAlign w:val="subscript"/>
              </w:rPr>
            </w:pPr>
            <w:r w:rsidRPr="005A63F3">
              <w:rPr>
                <w:rFonts w:ascii="Times New Roman" w:eastAsia="Arial" w:hAnsi="Times New Roman" w:cs="Times New Roman"/>
                <w:color w:val="000000" w:themeColor="text1"/>
                <w:sz w:val="20"/>
                <w:szCs w:val="20"/>
              </w:rPr>
              <w:t>F</w:t>
            </w:r>
            <w:r w:rsidRPr="005A63F3">
              <w:rPr>
                <w:rFonts w:ascii="Times New Roman" w:eastAsia="Arial" w:hAnsi="Times New Roman" w:cs="Times New Roman"/>
                <w:color w:val="000000" w:themeColor="text1"/>
                <w:sz w:val="20"/>
                <w:szCs w:val="20"/>
                <w:vertAlign w:val="subscript"/>
              </w:rPr>
              <w:t xml:space="preserve">LUC RECCAP  </w:t>
            </w:r>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-130</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60</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SOCCR report</w:t>
            </w:r>
            <w:r>
              <w:rPr>
                <w:rFonts w:ascii="Times New Roman" w:eastAsia="Arial" w:hAnsi="Times New Roman" w:cs="Times New Roman"/>
                <w:color w:val="000000" w:themeColor="text1"/>
                <w:sz w:val="20"/>
                <w:szCs w:val="20"/>
              </w:rPr>
              <w:t xml:space="preserve"> [</w:t>
            </w:r>
            <w:r w:rsidRPr="004E75E3">
              <w:rPr>
                <w:rFonts w:ascii="Times New Roman" w:eastAsia="Arial" w:hAnsi="Times New Roman" w:cs="Times New Roman"/>
                <w:color w:val="000000" w:themeColor="text1"/>
                <w:sz w:val="20"/>
                <w:szCs w:val="20"/>
              </w:rPr>
              <w:fldChar w:fldCharType="begin" w:fldLock="1"/>
            </w:r>
            <w:r w:rsidRPr="004E75E3">
              <w:rPr>
                <w:rFonts w:ascii="Times New Roman" w:eastAsia="Arial" w:hAnsi="Times New Roman" w:cs="Times New Roman"/>
                <w:color w:val="000000" w:themeColor="text1"/>
                <w:sz w:val="20"/>
                <w:szCs w:val="20"/>
              </w:rPr>
              <w:instrText>ADDIN CSL_CITATION {"citationItems":[{"id":"ITEM-1","itemData":{"author":[{"dropping-particle":"","family":"King","given":"A. W.","non-dropping-particle":"","parse-names":false,"suffix":""},{"dropping-particle":"","family":"Dilling","given":"L.","non-dropping-particle":"","parse-names":false,"suffix":""},{"dropping-particle":"","family":"Zimmerman","given":"G. P.","non-dropping-particle":"","parse-names":false,"suffix":""},{"dropping-particle":"","family":"Fairman","given":"D. M.","non-dropping-particle":"","parse-names":false,"suffix":""},{"dropping-particle":"","family":"Houghton","given":"R. A.","non-dropping-particle":"","parse-names":false,"suffix":""},{"dropping-particle":"","family":"Marland","given":"G.","non-dropping-particle":"","parse-names":false,"suffix":""},{"dropping-particle":"","family":"Rose","given":"A. Z.","non-dropping-particle":"","parse-names":false,"suffix":""},{"dropping-particle":"","family":"Wilbanks","given":"T. J.","non-dropping-particle":"","parse-names":false,"suffix":""}],"id":"ITEM-1","issued":{"date-parts":[["2007"]]},"language":"English","publisher":"U.S. Climate Change Science Program","title":"The first state of the carbon cycle report (SOCCR): The North American carbon budget and implications for the global carbon cycle.","type":"book"},"uris":["http://www.mendeley.com/documents/?uuid=32000a6e-dc3d-4157-85aa-a8e2ef2d91e8"]}],"mendeley":{"formattedCitation":"&lt;sup&gt;56&lt;/sup&gt;","plainTextFormattedCitation":"56","previouslyFormattedCitation":"&lt;sup&gt;56&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rPr>
              <w:fldChar w:fldCharType="separate"/>
            </w:r>
            <w:r w:rsidRPr="004E75E3">
              <w:rPr>
                <w:rFonts w:ascii="Times New Roman" w:eastAsia="Arial" w:hAnsi="Times New Roman" w:cs="Times New Roman"/>
                <w:noProof/>
                <w:color w:val="000000" w:themeColor="text1"/>
                <w:sz w:val="20"/>
                <w:szCs w:val="20"/>
              </w:rPr>
              <w:t>56</w:t>
            </w:r>
            <w:r w:rsidRPr="004E75E3">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 xml:space="preserve">] </w:t>
            </w:r>
            <w:r w:rsidR="00E8739C">
              <w:rPr>
                <w:rFonts w:ascii="Times New Roman" w:eastAsia="Arial" w:hAnsi="Times New Roman" w:cs="Times New Roman"/>
                <w:color w:val="000000" w:themeColor="text1"/>
                <w:sz w:val="20"/>
                <w:szCs w:val="20"/>
                <w:vertAlign w:val="superscript"/>
              </w:rPr>
              <w:t>j</w:t>
            </w:r>
          </w:p>
        </w:tc>
        <w:tc>
          <w:tcPr>
            <w:tcW w:w="1830" w:type="dxa"/>
            <w:shd w:val="clear" w:color="auto" w:fill="auto"/>
            <w:tcMar>
              <w:top w:w="100" w:type="dxa"/>
              <w:left w:w="100" w:type="dxa"/>
              <w:bottom w:w="100" w:type="dxa"/>
              <w:right w:w="100" w:type="dxa"/>
            </w:tcMar>
            <w:vAlign w:val="center"/>
          </w:tcPr>
          <w:p w:rsidR="00F6749E" w:rsidRPr="004E75E3" w:rsidRDefault="00E8739C" w:rsidP="00F6749E">
            <w:pPr>
              <w:widowControl w:val="0"/>
              <w:pBdr>
                <w:top w:val="nil"/>
                <w:left w:val="nil"/>
                <w:bottom w:val="nil"/>
                <w:right w:val="nil"/>
                <w:between w:val="nil"/>
              </w:pBdr>
              <w:rPr>
                <w:rFonts w:ascii="Times New Roman" w:eastAsia="Arial" w:hAnsi="Times New Roman" w:cs="Times New Roman"/>
                <w:color w:val="000000" w:themeColor="text1"/>
                <w:sz w:val="20"/>
                <w:szCs w:val="20"/>
                <w:vertAlign w:val="superscript"/>
              </w:rPr>
            </w:pPr>
            <w:r>
              <w:rPr>
                <w:rFonts w:ascii="Times New Roman" w:eastAsia="Arial" w:hAnsi="Times New Roman" w:cs="Times New Roman"/>
                <w:color w:val="000000" w:themeColor="text1"/>
                <w:sz w:val="20"/>
                <w:szCs w:val="20"/>
                <w:vertAlign w:val="superscript"/>
              </w:rPr>
              <w:t>k</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vertAlign w:val="subscript"/>
              </w:rPr>
            </w:pPr>
            <w:r w:rsidRPr="005A63F3">
              <w:rPr>
                <w:rFonts w:ascii="Times New Roman" w:eastAsia="Arial" w:hAnsi="Times New Roman" w:cs="Times New Roman"/>
                <w:color w:val="000000" w:themeColor="text1"/>
                <w:sz w:val="20"/>
                <w:szCs w:val="20"/>
              </w:rPr>
              <w:t>F</w:t>
            </w:r>
            <w:r w:rsidRPr="005A63F3">
              <w:rPr>
                <w:rFonts w:ascii="Times New Roman" w:eastAsia="Arial" w:hAnsi="Times New Roman" w:cs="Times New Roman"/>
                <w:color w:val="000000" w:themeColor="text1"/>
                <w:sz w:val="20"/>
                <w:szCs w:val="20"/>
                <w:vertAlign w:val="subscript"/>
              </w:rPr>
              <w:t>LUC BLUE</w:t>
            </w:r>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67</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14</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highlight w:val="white"/>
              </w:rPr>
            </w:pPr>
            <w:proofErr w:type="spellStart"/>
            <w:r w:rsidRPr="005A63F3">
              <w:rPr>
                <w:rFonts w:ascii="Times New Roman" w:eastAsia="Arial" w:hAnsi="Times New Roman" w:cs="Times New Roman"/>
                <w:color w:val="000000" w:themeColor="text1"/>
                <w:sz w:val="20"/>
                <w:szCs w:val="20"/>
                <w:highlight w:val="white"/>
              </w:rPr>
              <w:t>Hansis</w:t>
            </w:r>
            <w:proofErr w:type="spellEnd"/>
            <w:r w:rsidRPr="005A63F3">
              <w:rPr>
                <w:rFonts w:ascii="Times New Roman" w:eastAsia="Arial" w:hAnsi="Times New Roman" w:cs="Times New Roman"/>
                <w:color w:val="000000" w:themeColor="text1"/>
                <w:sz w:val="20"/>
                <w:szCs w:val="20"/>
                <w:highlight w:val="white"/>
              </w:rPr>
              <w:t xml:space="preserve"> et al. </w:t>
            </w:r>
            <w:r>
              <w:rPr>
                <w:rFonts w:ascii="Times New Roman" w:eastAsia="Arial" w:hAnsi="Times New Roman" w:cs="Times New Roman"/>
                <w:color w:val="000000" w:themeColor="text1"/>
                <w:sz w:val="20"/>
                <w:szCs w:val="20"/>
                <w:highlight w:val="white"/>
              </w:rPr>
              <w:t>[</w:t>
            </w:r>
            <w:r w:rsidRPr="004E75E3">
              <w:rPr>
                <w:rFonts w:ascii="Times New Roman" w:eastAsia="Arial" w:hAnsi="Times New Roman" w:cs="Times New Roman"/>
                <w:color w:val="000000" w:themeColor="text1"/>
                <w:sz w:val="20"/>
                <w:szCs w:val="20"/>
                <w:highlight w:val="white"/>
                <w:lang w:val="fr-FR"/>
              </w:rPr>
              <w:fldChar w:fldCharType="begin" w:fldLock="1"/>
            </w:r>
            <w:r w:rsidRPr="004E75E3">
              <w:rPr>
                <w:rFonts w:ascii="Times New Roman" w:eastAsia="Arial" w:hAnsi="Times New Roman" w:cs="Times New Roman"/>
                <w:color w:val="000000" w:themeColor="text1"/>
                <w:sz w:val="20"/>
                <w:szCs w:val="20"/>
                <w:highlight w:val="white"/>
              </w:rPr>
              <w:instrText>ADDIN CSL_CITATION {"citationItems":[{"id":"ITEM-1","itemData":{"DOI":"10.1002/2014GB004997","ISSN":"0886-6236","abstract":"Abstract Accounting for carbon fluxes from land use and land cover change (LULCC) generally requires choosing from multiple options of how to attribute the fluxes to regions and to LULCC activities. Applying a newly developed and spatially explicit bookkeeping model BLUE (bookkeeping of land use emissions), we quantify LULCC fluxes and attribute them to land use activities and countries by a range of different accounting methods. We present results with respect to a Kyoto Protocol-like ?commitment? accounting period, using land use emissions of 2008?2012 as an example scenario. We assess the effect of accounting methods that vary (1) the temporal evolution of carbon stocks, (2) the state of the carbon stocks at the beginning of the period, (3) the temporal attribution of carbon fluxes during the period, and (4) treatment of LULCC fluxes that occurred prior to the beginning of the period. We show that the methodological choices result in grossly different estimates of carbon fluxes for the different attribution definitions.","author":[{"dropping-particle":"","family":"Hansis","given":"Eberhard","non-dropping-particle":"","parse-names":false,"suffix":""},{"dropping-particle":"","family":"Davis","given":"Steven J","non-dropping-particle":"","parse-names":false,"suffix":""},{"dropping-particle":"","family":"Pongratz","given":"Julia","non-dropping-particle":"","parse-names":false,"suffix":""}],"container-title":"Global Biogeochemical Cycles","id":"ITEM-1","issue":"8","issued":{"date-parts":[["2015","8","1"]]},"note":"doi: 10.1002/2014GB004997","page":"1230-1246","publisher":"John Wiley &amp; Sons, Ltd","title":"Relevance of methodological choices for accounting of land use change carbon fluxes","type":"speech","volume":"29"},"uris":["http://www.mendeley.com/documents/?uuid=554da27d-80b9-47d4-93f9-30dc5af8fd94"]}],"mendeley":{"formattedCitation":"&lt;sup&gt;66&lt;/sup&gt;","plainTextFormattedCitation":"66","previouslyFormattedCitation":"&lt;sup&gt;66&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highlight w:val="white"/>
                <w:lang w:val="fr-FR"/>
              </w:rPr>
              <w:fldChar w:fldCharType="separate"/>
            </w:r>
            <w:r w:rsidRPr="004E75E3">
              <w:rPr>
                <w:rFonts w:ascii="Times New Roman" w:eastAsia="Arial" w:hAnsi="Times New Roman" w:cs="Times New Roman"/>
                <w:noProof/>
                <w:color w:val="000000" w:themeColor="text1"/>
                <w:sz w:val="20"/>
                <w:szCs w:val="20"/>
                <w:highlight w:val="white"/>
              </w:rPr>
              <w:t>66</w:t>
            </w:r>
            <w:r w:rsidRPr="004E75E3">
              <w:rPr>
                <w:rFonts w:ascii="Times New Roman" w:eastAsia="Arial" w:hAnsi="Times New Roman" w:cs="Times New Roman"/>
                <w:color w:val="000000" w:themeColor="text1"/>
                <w:sz w:val="20"/>
                <w:szCs w:val="20"/>
                <w:highlight w:val="white"/>
                <w:lang w:val="fr-FR"/>
              </w:rPr>
              <w:fldChar w:fldCharType="end"/>
            </w:r>
            <w:r w:rsidRPr="00F6749E">
              <w:rPr>
                <w:rFonts w:ascii="Times New Roman" w:eastAsia="Arial" w:hAnsi="Times New Roman" w:cs="Times New Roman"/>
                <w:color w:val="000000" w:themeColor="text1"/>
                <w:sz w:val="20"/>
                <w:szCs w:val="20"/>
                <w:highlight w:val="white"/>
              </w:rPr>
              <w:t>]</w:t>
            </w:r>
            <w:r w:rsidRPr="005A63F3">
              <w:rPr>
                <w:rFonts w:ascii="Times New Roman" w:eastAsia="Arial" w:hAnsi="Times New Roman" w:cs="Times New Roman"/>
                <w:color w:val="000000" w:themeColor="text1"/>
                <w:sz w:val="20"/>
                <w:szCs w:val="20"/>
                <w:highlight w:val="white"/>
              </w:rPr>
              <w:t xml:space="preserve"> updated in ref. </w:t>
            </w:r>
            <w:r>
              <w:rPr>
                <w:rFonts w:ascii="Times New Roman" w:eastAsia="Arial" w:hAnsi="Times New Roman" w:cs="Times New Roman"/>
                <w:color w:val="000000" w:themeColor="text1"/>
                <w:sz w:val="20"/>
                <w:szCs w:val="20"/>
                <w:highlight w:val="white"/>
              </w:rPr>
              <w:t>[</w:t>
            </w:r>
            <w:r w:rsidRPr="004E75E3">
              <w:rPr>
                <w:rFonts w:ascii="Times New Roman" w:eastAsia="Arial" w:hAnsi="Times New Roman" w:cs="Times New Roman"/>
                <w:color w:val="000000" w:themeColor="text1"/>
                <w:sz w:val="20"/>
                <w:szCs w:val="20"/>
                <w:highlight w:val="white"/>
              </w:rPr>
              <w:fldChar w:fldCharType="begin" w:fldLock="1"/>
            </w:r>
            <w:r w:rsidRPr="004E75E3">
              <w:rPr>
                <w:rFonts w:ascii="Times New Roman" w:eastAsia="Arial" w:hAnsi="Times New Roman" w:cs="Times New Roman"/>
                <w:color w:val="000000" w:themeColor="text1"/>
                <w:sz w:val="20"/>
                <w:szCs w:val="20"/>
                <w:highlight w:val="white"/>
              </w:rPr>
              <w:instrText>ADDIN CSL_CITATION {"citationItems":[{"id":"ITEM-1","itemData":{"DOI":"10.5194/essd-10-2141-2018","ISSN":"1866-3516","abstract":"&lt;p&gt;&lt;![CDATA[Abstract. Accurate assessment of anthropogenic carbon dioxide (CO2) emissions and their redistribution among the atmosphere, ocean, and terrestrial biosphere – the “global carbon budget” – is important to better understand the global carbon cycle, support the development of climate policies, and project future climate change. Here we describe data sets and methodology to quantify the five major components of the global carbon budget and their uncertainties. Fossil CO2 emissions (EFF) are based on energy statistics and cement production data, while emissions from land use and land-use change (ELUC), mainly deforestation, are based on land use and land-use change data and bookkeeping models. Atmospheric CO2 concentration is measured directly and its growth rate (GATM) is computed from the annual changes in concentration. The ocean CO2 sink (SOCEAN) and terrestrial CO2 sink (SLAND) are estimated with global process models constrained by observations. The resulting carbon budget imbalance (BIM), the difference between the estimated total emissions and the estimated changes in the atmosphere, ocean, and terrestrial biosphere, is a measure of imperfect data and understanding of the contemporary carbon cycle. All uncertainties are reported as ±1σ. For the last decade available (2008–2017), EFF was 9.4±0.5 GtC yr−1, ELUC 1.5±0.7 GtC yr−1, GATM 4.7±0.02 GtC yr−1, SOCEAN 2.4±0.5 GtC yr−1, and SLAND 3.2±0.8 GtC yr−1, with a budget imbalance BIM of 0.5 GtC yr−1 indicating overestimated emissions and/or underestimated sinks. For the year 2017 alone, the growth in EFF was about 1.6 % and emissions increased to 9.9±0.5 GtC yr−1. Also for 2017, ELUC was 1.4±0.7 GtC yr−1, GATM was 4.6±0.2 GtC yr−1, SOCEAN was 2.5±0.5 GtC yr−1, and SLAND was 3.8±0.8 GtC yr−1, with a BIM of 0.3 GtC. The global atmospheric CO2 concentration reached 405.0±0.1 ppm averaged over 2017. For 2018, preliminary data for the first 6–9 months indicate a renewed growth in EFF of +2.7 % (range of 1.8 % to 3.7 %) based on national emission projections for China, the US, the EU, and India and projections of gross domestic product corrected for recent changes in the carbon intensity of the economy for the rest of the world. The analysis presented here shows that the mean and trend in the five components of the global carbon budget are consistently estimated over the period of 1959–2017, but discrepancies of up to 1 GtC yr−1 persist for the representation of semi-decadal variability in CO2 flu…","author":[{"dropping-particle":"","family":"Quéré","given":"Corinne","non-dropping-particle":"Le","parse-names":false,"suffix":""},{"dropping-particle":"","family":"Andrew","given":"Robbie M.","non-dropping-particle":"","parse-names":false,"suffix":""},{"dropping-particle":"","family":"Friedlingstein","given":"Pierre","non-dropping-particle":"","parse-names":false,"suffix":""},{"dropping-particle":"","family":"Sitch","given":"Stephen","non-dropping-particle":"","parse-names":false,"suffix":""},{"dropping-particle":"","family":"Hauck","given":"Judith","non-dropping-particle":"","parse-names":false,"suffix":""},{"dropping-particle":"","family":"Pongratz","given":"Julia","non-dropping-particle":"","parse-names":false,"suffix":""},{"dropping-particle":"","family":"Pickers","given":"Penelope A.","non-dropping-particle":"","parse-names":false,"suffix":""},{"dropping-particle":"","family":"Korsbakken","given":"Jan Ivar","non-dropping-particle":"","parse-names":false,"suffix":""},{"dropping-particle":"","family":"Peters","given":"Glen P.","non-dropping-particle":"","parse-names":false,"suffix":""},{"dropping-particle":"","family":"Canadell","given":"Josep G.","non-dropping-particle":"","parse-names":false,"suffix":""},{"dropping-particle":"","family":"Arneth","given":"Almut","non-dropping-particle":"","parse-names":false,"suffix":""},{"dropping-particle":"","family":"Arora","given":"Vivek K.","non-dropping-particle":"","parse-names":false,"suffix":""},{"dropping-particle":"","family":"Barbero","given":"Leticia","non-dropping-particle":"","parse-names":false,"suffix":""},{"dropping-particle":"","family":"Bastos","given":"Ana","non-dropping-particle":"","parse-names":false,"suffix":""},{"dropping-particle":"","family":"Bopp","given":"Laurent","non-dropping-particle":"","parse-names":false,"suffix":""},{"dropping-particle":"","family":"Chevallier","given":"Frédéric","non-dropping-particle":"","parse-names":false,"suffix":""},{"dropping-particle":"","family":"Chini","given":"Louise P.","non-dropping-particle":"","parse-names":false,"suffix":""},{"dropping-particle":"","family":"Ciais","given":"Philippe","non-dropping-particle":"","parse-names":false,"suffix":""},{"dropping-particle":"","family":"Doney","given":"Scott C.","non-dropping-particle":"","parse-names":false,"suffix":""},{"dropping-particle":"","family":"Gkritzalis","given":"Thanos","non-dropping-particle":"","parse-names":false,"suffix":""},{"dropping-particle":"","family":"Goll","given":"Daniel S.","non-dropping-particle":"","parse-names":false,"suffix":""},{"dropping-particle":"","family":"Harris","given":"Ian","non-dropping-particle":"","parse-names":false,"suffix":""},{"dropping-particle":"","family":"Haverd","given":"Vanessa","non-dropping-particle":"","parse-names":false,"suffix":""},{"dropping-particle":"","family":"Hoffman","given":"Forrest M.","non-dropping-particle":"","parse-names":false,"suffix":""},{"dropping-particle":"","family":"Hoppema","given":"Mario","non-dropping-particle":"","parse-names":false,"suffix":""},{"dropping-particle":"","family":"Houghton","given":"Richard A.","non-dropping-particle":"","parse-names":false,"suffix":""},{"dropping-particle":"","family":"Hurtt","given":"George","non-dropping-particle":"","parse-names":false,"suffix":""},{"dropping-particle":"","family":"Ilyina","given":"Tatiana","non-dropping-particle":"","parse-names":false,"suffix":""},{"dropping-particle":"","family":"Jain","given":"Atul K.","non-dropping-particle":"","parse-names":false,"suffix":""},{"dropping-particle":"","family":"Johannessen","given":"Truls","non-dropping-particle":"","parse-names":false,"suffix":""},{"dropping-particle":"","family":"Jones","given":"Chris D.","non-dropping-particle":"","parse-names":false,"suffix":""},{"dropping-particle":"","family":"Kato","given":"Etsushi","non-dropping-particle":"","parse-names":false,"suffix":""},{"dropping-particle":"","family":"Keeling","given":"Ralph F.","non-dropping-particle":"","parse-names":false,"suffix":""},{"dropping-particle":"","family":"Goldewijk","given":"Kees Klein","non-dropping-particle":"","parse-names":false,"suffix":""},{"dropping-particle":"","family":"Landschützer","given":"Peter","non-dropping-particle":"","parse-names":false,"suffix":""},{"dropping-particle":"","family":"Lefèvre","given":"Nathalie","non-dropping-particle":"","parse-names":false,"suffix":""},{"dropping-particle":"","family":"Lienert","given":"Sebastian","non-dropping-particle":"","parse-names":false,"suffix":""},{"dropping-particle":"","family":"Liu","given":"Zhu","non-dropping-particle":"","parse-names":false,"suffix":""},{"dropping-particle":"","family":"Lombardozzi","given":"Danica","non-dropping-particle":"","parse-names":false,"suffix":""},{"dropping-particle":"","family":"Metzl","given":"Nicolas","non-dropping-particle":"","parse-names":false,"suffix":""},{"dropping-particle":"","family":"Munro","given":"David R.","non-dropping-particle":"","parse-names":false,"suffix":""},{"dropping-particle":"","family":"Nabel","given":"Julia E. M. S.","non-dropping-particle":"","parse-names":false,"suffix":""},{"dropping-particle":"","family":"Nakaoka","given":"Shin-ichiro","non-dropping-particle":"","parse-names":false,"suffix":""},{"dropping-particle":"","family":"Neill","given":"Craig","non-dropping-particle":"","parse-names":false,"suffix":""},{"dropping-particle":"","family":"Olsen","given":"Are","non-dropping-particle":"","parse-names":false,"suffix":""},{"dropping-particle":"","family":"Ono","given":"Tsueno","non-dropping-particle":"","parse-names":false,"suffix":""},{"dropping-particle":"","family":"Patra","given":"Prabir","non-dropping-particle":"","parse-names":false,"suffix":""},{"dropping-particle":"","family":"Peregon","given":"Anna","non-dropping-particle":"","parse-names":false,"suffix":""},{"dropping-particle":"","family":"Peters","given":"Wouter","non-dropping-particle":"","parse-names":false,"suffix":""},{"dropping-particle":"","family":"Peylin","given":"Philippe","non-dropping-particle":"","parse-names":false,"suffix":""},{"dropping-particle":"","family":"Pfeil","given":"Benjamin","non-dropping-particle":"","parse-names":false,"suffix":""},{"dropping-particle":"","family":"Pierrot","given":"Denis","non-dropping-particle":"","parse-names":false,"suffix":""},{"dropping-particle":"","family":"Poulter","given":"Benjamin","non-dropping-particle":"","parse-names":false,"suffix":""},{"dropping-particle":"","family":"Rehder","given":"Gregor","non-dropping-particle":"","parse-names":false,"suffix":""},{"dropping-particle":"","family":"Resplandy","given":"Laure","non-dropping-particle":"","parse-names":false,"suffix":""},{"dropping-particle":"","family":"Robertson","given":"Eddy","non-dropping-particle":"","parse-names":false,"suffix":""},{"dropping-particle":"","family":"Rocher","given":"Matthias","non-dropping-particle":"","parse-names":false,"suffix":""},{"dropping-particle":"","family":"Rödenbeck","given":"Christian","non-dropping-particle":"","parse-names":false,"suffix":""},{"dropping-particle":"","family":"Schuster","given":"Ute","non-dropping-particle":"","parse-names":false,"suffix":""},{"dropping-particle":"","family":"Schwinger","given":"Jörg","non-dropping-particle":"","parse-names":false,"suffix":""},{"dropping-particle":"","family":"Séférian","given":"Roland","non-dropping-particle":"","parse-names":false,"suffix":""},{"dropping-particle":"","family":"Skjelvan","given":"Ingunn","non-dropping-particle":"","parse-names":false,"suffix":""},{"dropping-particle":"","family":"Steinhoff","given":"Tobias","non-dropping-particle":"","parse-names":false,"suffix":""},{"dropping-particle":"","family":"Sutton","given":"Adrienne","non-dropping-particle":"","parse-names":false,"suffix":""},{"dropping-particle":"","family":"Tans","given":"Pieter P.","non-dropping-particle":"","parse-names":false,"suffix":""},{"dropping-particle":"","family":"Tian","given":"Hanqin","non-dropping-particle":"","parse-names":false,"suffix":""},{"dropping-particle":"","family":"Tilbrook","given":"Bronte","non-dropping-particle":"","parse-names":false,"suffix":""},{"dropping-particle":"","family":"Tubiello","given":"Francesco N.","non-dropping-particle":"","parse-names":false,"suffix":""},{"dropping-particle":"","family":"Laan-Luijkx","given":"Ingrid T.","non-dropping-particle":"van der","parse-names":false,"suffix":""},{"dropping-particle":"","family":"Werf","given":"Guido R.","non-dropping-particle":"van der","parse-names":false,"suffix":""},{"dropping-particle":"","family":"Viovy","given":"Nicolas","non-dropping-particle":"","parse-names":false,"suffix":""},{"dropping-particle":"","family":"Walker","given":"Anthony P.","non-dropping-particle":"","parse-names":false,"suffix":""},{"dropping-particle":"","family":"Wiltshire","given":"Andrew J.","non-dropping-particle":"","parse-names":false,"suffix":""},{"dropping-particle":"","family":"Wright","given":"Rebecca","non-dropping-particle":"","parse-names":false,"suffix":""},{"dropping-particle":"","family":"Zaehle","given":"Sönke","non-dropping-particle":"","parse-names":false,"suffix":""},{"dropping-particle":"","family":"Zheng","given":"Bo","non-dropping-particle":"","parse-names":false,"suffix":""}],"container-title":"Earth System Science Data","id":"ITEM-1","issue":"4","issued":{"date-parts":[["2018","12","5"]]},"page":"2141-2194","title":"Global Carbon Budget 2018","type":"article-journal","volume":"10"},"uris":["http://www.mendeley.com/documents/?uuid=c58027c0-01ff-3934-afe3-9c450c266da6"]}],"mendeley":{"formattedCitation":"&lt;sup&gt;83&lt;/sup&gt;","plainTextFormattedCitation":"83","previouslyFormattedCitation":"&lt;sup&gt;83&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highlight w:val="white"/>
              </w:rPr>
              <w:fldChar w:fldCharType="separate"/>
            </w:r>
            <w:r w:rsidRPr="004E75E3">
              <w:rPr>
                <w:rFonts w:ascii="Times New Roman" w:eastAsia="Arial" w:hAnsi="Times New Roman" w:cs="Times New Roman"/>
                <w:color w:val="000000" w:themeColor="text1"/>
                <w:sz w:val="20"/>
                <w:szCs w:val="20"/>
                <w:highlight w:val="white"/>
              </w:rPr>
              <w:t>83</w:t>
            </w:r>
            <w:r w:rsidRPr="004E75E3">
              <w:rPr>
                <w:rFonts w:ascii="Times New Roman" w:eastAsia="Arial" w:hAnsi="Times New Roman" w:cs="Times New Roman"/>
                <w:color w:val="000000" w:themeColor="text1"/>
                <w:sz w:val="20"/>
                <w:szCs w:val="20"/>
                <w:highlight w:val="white"/>
              </w:rPr>
              <w:fldChar w:fldCharType="end"/>
            </w:r>
            <w:r w:rsidRPr="004E75E3">
              <w:rPr>
                <w:rFonts w:ascii="Times New Roman" w:eastAsia="Arial" w:hAnsi="Times New Roman" w:cs="Times New Roman"/>
                <w:color w:val="000000" w:themeColor="text1"/>
                <w:sz w:val="20"/>
                <w:szCs w:val="20"/>
                <w:highlight w:val="white"/>
              </w:rPr>
              <w:t>]</w:t>
            </w:r>
          </w:p>
        </w:tc>
        <w:tc>
          <w:tcPr>
            <w:tcW w:w="183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see Methods</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vertAlign w:val="subscript"/>
              </w:rPr>
            </w:pPr>
            <w:proofErr w:type="spellStart"/>
            <w:r w:rsidRPr="005A63F3">
              <w:rPr>
                <w:rFonts w:ascii="Times New Roman" w:eastAsia="Arial" w:hAnsi="Times New Roman" w:cs="Times New Roman"/>
                <w:color w:val="000000" w:themeColor="text1"/>
                <w:sz w:val="20"/>
                <w:szCs w:val="20"/>
              </w:rPr>
              <w:t>F</w:t>
            </w:r>
            <w:r w:rsidRPr="005A63F3">
              <w:rPr>
                <w:rFonts w:ascii="Times New Roman" w:eastAsia="Arial" w:hAnsi="Times New Roman" w:cs="Times New Roman"/>
                <w:color w:val="000000" w:themeColor="text1"/>
                <w:sz w:val="20"/>
                <w:szCs w:val="20"/>
                <w:vertAlign w:val="subscript"/>
              </w:rPr>
              <w:t>reduced</w:t>
            </w:r>
            <w:proofErr w:type="spellEnd"/>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71</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13</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This study (see Methods)</w:t>
            </w:r>
          </w:p>
        </w:tc>
        <w:tc>
          <w:tcPr>
            <w:tcW w:w="183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see Methods</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vertAlign w:val="subscript"/>
              </w:rPr>
            </w:pPr>
            <w:proofErr w:type="spellStart"/>
            <w:r w:rsidRPr="005A63F3">
              <w:rPr>
                <w:rFonts w:ascii="Times New Roman" w:eastAsia="Arial" w:hAnsi="Times New Roman" w:cs="Times New Roman"/>
                <w:color w:val="000000" w:themeColor="text1"/>
                <w:sz w:val="20"/>
                <w:szCs w:val="20"/>
              </w:rPr>
              <w:t>F</w:t>
            </w:r>
            <w:r w:rsidRPr="005A63F3">
              <w:rPr>
                <w:rFonts w:ascii="Times New Roman" w:eastAsia="Arial" w:hAnsi="Times New Roman" w:cs="Times New Roman"/>
                <w:color w:val="000000" w:themeColor="text1"/>
                <w:sz w:val="20"/>
                <w:szCs w:val="20"/>
                <w:vertAlign w:val="subscript"/>
              </w:rPr>
              <w:t>outgas</w:t>
            </w:r>
            <w:proofErr w:type="spellEnd"/>
            <w:r w:rsidRPr="005A63F3">
              <w:rPr>
                <w:rFonts w:ascii="Times New Roman" w:eastAsia="Arial" w:hAnsi="Times New Roman" w:cs="Times New Roman"/>
                <w:color w:val="000000" w:themeColor="text1"/>
                <w:sz w:val="20"/>
                <w:szCs w:val="20"/>
                <w:vertAlign w:val="subscript"/>
              </w:rPr>
              <w:t xml:space="preserve"> rivers + lakes RAY</w:t>
            </w:r>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219</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110</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 xml:space="preserve">Raymond et al. </w:t>
            </w:r>
            <w:r>
              <w:rPr>
                <w:rFonts w:ascii="Times New Roman" w:eastAsia="Arial" w:hAnsi="Times New Roman" w:cs="Times New Roman"/>
                <w:color w:val="000000" w:themeColor="text1"/>
                <w:sz w:val="20"/>
                <w:szCs w:val="20"/>
              </w:rPr>
              <w:t>[</w:t>
            </w:r>
            <w:r w:rsidRPr="004E75E3">
              <w:rPr>
                <w:rFonts w:ascii="Times New Roman" w:eastAsia="Arial" w:hAnsi="Times New Roman" w:cs="Times New Roman"/>
                <w:color w:val="000000" w:themeColor="text1"/>
                <w:sz w:val="20"/>
                <w:szCs w:val="20"/>
              </w:rPr>
              <w:fldChar w:fldCharType="begin" w:fldLock="1"/>
            </w:r>
            <w:r w:rsidRPr="004E75E3">
              <w:rPr>
                <w:rFonts w:ascii="Times New Roman" w:eastAsia="Arial" w:hAnsi="Times New Roman" w:cs="Times New Roman"/>
                <w:color w:val="000000" w:themeColor="text1"/>
                <w:sz w:val="20"/>
                <w:szCs w:val="20"/>
              </w:rPr>
              <w:instrText>ADDIN CSL_CITATION {"citationItems":[{"id":"ITEM-1","itemData":{"DOI":"10.1038/nature13142","ISSN":"00280836","author":[{"dropping-particle":"","family":"Raymond","given":"P.A.","non-dropping-particle":"","parse-names":false,"suffix":""},{"dropping-particle":"","family":"Hartmann","given":"J.","non-dropping-particle":"","parse-names":false,"suffix":""},{"dropping-particle":"","family":"Lauerwald","given":"R.","non-dropping-particle":"","parse-names":false,"suffix":""},{"dropping-particle":"","family":"Sobek","given":"S.","non-dropping-particle":"","parse-names":false,"suffix":""},{"dropping-particle":"","family":"McDonald","given":"C.","non-dropping-particle":"","parse-names":false,"suffix":""},{"dropping-particle":"","family":"Hoover","given":"M.","non-dropping-particle":"","parse-names":false,"suffix":""},{"dropping-particle":"","family":"Butman","given":"D.","non-dropping-particle":"","parse-names":false,"suffix":""},{"dropping-particle":"","family":"Striegl","given":"R.","non-dropping-particle":"","parse-names":false,"suffix":""},{"dropping-particle":"","family":"Mayorga","given":"E.","non-dropping-particle":"","parse-names":false,"suffix":""},{"dropping-particle":"","family":"Humborg","given":"C.","non-dropping-particle":"","parse-names":false,"suffix":""},{"dropping-particle":"","family":"Kortelainen","given":"P.","non-dropping-particle":"","parse-names":false,"suffix":""},{"dropping-particle":"","family":"Dürr","given":"H.","non-dropping-particle":"","parse-names":false,"suffix":""},{"dropping-particle":"","family":"Meybeck","given":"M.","non-dropping-particle":"","parse-names":false,"suffix":""},{"dropping-particle":"","family":"Ciais","given":"P.","non-dropping-particle":"","parse-names":false,"suffix":""},{"dropping-particle":"","family":"Guth","given":"P.","non-dropping-particle":"","parse-names":false,"suffix":""}],"container-title":"Nature","id":"ITEM-1","issue":"7492","issued":{"date-parts":[["2014"]]},"title":"Erratum: Global carbon dioxide emissions from inland waters (Nature (2013) 503 (355-359) DOI: 10.1038/nature12760)","type":"article-journal","volume":"507"},"uris":["http://www.mendeley.com/documents/?uuid=9f65d7ab-bd8b-32fa-bb80-0bd0b1543272"]}],"mendeley":{"formattedCitation":"&lt;sup&gt;84&lt;/sup&gt;","plainTextFormattedCitation":"84","previouslyFormattedCitation":"&lt;sup&gt;84&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rPr>
              <w:fldChar w:fldCharType="separate"/>
            </w:r>
            <w:r w:rsidRPr="004E75E3">
              <w:rPr>
                <w:rFonts w:ascii="Times New Roman" w:eastAsia="Arial" w:hAnsi="Times New Roman" w:cs="Times New Roman"/>
                <w:noProof/>
                <w:color w:val="000000" w:themeColor="text1"/>
                <w:sz w:val="20"/>
                <w:szCs w:val="20"/>
              </w:rPr>
              <w:t>84</w:t>
            </w:r>
            <w:r w:rsidRPr="004E75E3">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p>
        </w:tc>
        <w:tc>
          <w:tcPr>
            <w:tcW w:w="183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50%</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rPr>
            </w:pPr>
            <w:proofErr w:type="spellStart"/>
            <w:r w:rsidRPr="005A63F3">
              <w:rPr>
                <w:rFonts w:ascii="Times New Roman" w:eastAsia="Arial" w:hAnsi="Times New Roman" w:cs="Times New Roman"/>
                <w:color w:val="000000" w:themeColor="text1"/>
                <w:sz w:val="20"/>
                <w:szCs w:val="20"/>
              </w:rPr>
              <w:t>F</w:t>
            </w:r>
            <w:r w:rsidRPr="005A63F3">
              <w:rPr>
                <w:rFonts w:ascii="Times New Roman" w:eastAsia="Arial" w:hAnsi="Times New Roman" w:cs="Times New Roman"/>
                <w:color w:val="000000" w:themeColor="text1"/>
                <w:sz w:val="20"/>
                <w:szCs w:val="20"/>
                <w:vertAlign w:val="subscript"/>
              </w:rPr>
              <w:t>outgas</w:t>
            </w:r>
            <w:proofErr w:type="spellEnd"/>
            <w:r w:rsidRPr="005A63F3">
              <w:rPr>
                <w:rFonts w:ascii="Times New Roman" w:eastAsia="Arial" w:hAnsi="Times New Roman" w:cs="Times New Roman"/>
                <w:color w:val="000000" w:themeColor="text1"/>
                <w:sz w:val="20"/>
                <w:szCs w:val="20"/>
                <w:vertAlign w:val="subscript"/>
              </w:rPr>
              <w:t xml:space="preserve"> rivers + lakes LAU</w:t>
            </w:r>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20</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10</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proofErr w:type="spellStart"/>
            <w:r w:rsidRPr="005A63F3">
              <w:rPr>
                <w:rFonts w:ascii="Times New Roman" w:eastAsia="Arial" w:hAnsi="Times New Roman" w:cs="Times New Roman"/>
                <w:color w:val="000000" w:themeColor="text1"/>
                <w:sz w:val="20"/>
                <w:szCs w:val="20"/>
              </w:rPr>
              <w:t>Lauerwald</w:t>
            </w:r>
            <w:proofErr w:type="spellEnd"/>
            <w:r w:rsidRPr="005A63F3">
              <w:rPr>
                <w:rFonts w:ascii="Times New Roman" w:eastAsia="Arial" w:hAnsi="Times New Roman" w:cs="Times New Roman"/>
                <w:color w:val="000000" w:themeColor="text1"/>
                <w:sz w:val="20"/>
                <w:szCs w:val="20"/>
              </w:rPr>
              <w:t xml:space="preserve"> et al. </w:t>
            </w:r>
            <w:r>
              <w:rPr>
                <w:rFonts w:ascii="Times New Roman" w:eastAsia="Arial" w:hAnsi="Times New Roman" w:cs="Times New Roman"/>
                <w:color w:val="000000" w:themeColor="text1"/>
                <w:sz w:val="20"/>
                <w:szCs w:val="20"/>
              </w:rPr>
              <w:t>[</w:t>
            </w:r>
            <w:r w:rsidRPr="004E75E3">
              <w:rPr>
                <w:rFonts w:ascii="Times New Roman" w:eastAsia="Arial" w:hAnsi="Times New Roman" w:cs="Times New Roman"/>
                <w:color w:val="000000" w:themeColor="text1"/>
                <w:sz w:val="20"/>
                <w:szCs w:val="20"/>
              </w:rPr>
              <w:fldChar w:fldCharType="begin" w:fldLock="1"/>
            </w:r>
            <w:r w:rsidRPr="004E75E3">
              <w:rPr>
                <w:rFonts w:ascii="Times New Roman" w:eastAsia="Arial" w:hAnsi="Times New Roman" w:cs="Times New Roman"/>
                <w:color w:val="000000" w:themeColor="text1"/>
                <w:sz w:val="20"/>
                <w:szCs w:val="20"/>
              </w:rPr>
              <w:instrText>ADDIN CSL_CITATION {"citationItems":[{"id":"ITEM-1","itemData":{"DOI":"10.1002/2014GB004941","ISSN":"19449224","abstract":"©2015. American Geophysical Union. All Rights Reserved. CO &lt; inf &gt; 2 &lt; /inf &gt;  evasion from rivers (FCO &lt; inf &gt; 2 &lt; /inf &gt; ) is an important component of the global carbon budget. Here we present the first global maps of CO &lt; inf &gt; 2 &lt; /inf &gt;  partial pressures (pCO &lt; inf &gt; 2 &lt; /inf &gt; ) in rivers of stream orders 3 and higher and the resulting FCO &lt; inf &gt; 2 &lt; /inf &gt;  at 0.5° resolution constructed with a statistical model. A geographic information system based approach is used to derive a pCO &lt; inf &gt; 2 &lt; /inf &gt;  prediction function trained on data from 1182 sampling locations. While data from Asia and Africa are scarce and the training data set is dominated by sampling locations from the Americas, Europe, and Australia, the sampling locations cover the full spectrum from high to low latitudes. The predictors of pCO &lt; inf &gt; 2 &lt; /inf &gt;  are net primary production, population density, and slope gradient within the river catchment as well as mean air temperature at the sampling location (r &lt; sup &gt; 2 &lt; /sup &gt;  = 0.47). The predicted pCO &lt; inf &gt; 2 &lt; /inf &gt;  map was then combined with spatially explicit estimates of stream surface area A &lt; inf &gt; river &lt; /inf &gt;  and gas exchange velocity k calculated from published empirical equations and data sets to derive the FCO &lt; inf &gt; 2 &lt; /inf &gt;  map. Using Monte Carlo simulations, we assessed the uncertainties of our estimates. At the global scale, we estimate an average river pCO &lt; inf &gt; 2 &lt; /inf &gt;  of 2400 (2019-2826) μatm and a FCO &lt; inf &gt; 2 &lt; /inf &gt;  of 650 (483-846) Tg C yr &lt; sup &gt; -1 &lt; /sup &gt;  (5th and 95th percentiles of confidence interval). Our global CO &lt; inf &gt; 2 &lt; /inf &gt;  evasion is substantially lower than the recent estimate of 1800 Tg C yr &lt; sup &gt; -1 &lt; /sup &gt;  although the training set of pCO &lt; inf &gt; 2 &lt; /inf &gt;  is very similar in both studies, mainly due to lower tropical pCO &lt; inf &gt; 2 &lt; /inf &gt;  estimates in the present study. Our maps reveal strong latitudinal gradients in pCO &lt; inf &gt; 2 &lt; /inf &gt; , A &lt; inf &gt; river &lt; /inf &gt; , and FCO &lt; inf &gt; 2 &lt; /inf &gt; . The zone between 10°N and 10°S contributes about half of the global CO &lt; inf &gt; 2 &lt; /inf &gt;  evasion. Collection of pCO &lt; inf &gt; 2 &lt; /inf &gt;  data in this zone, in particular, for African and Southeast Asian rivers is a high priority to reduce uncertainty on FCO &lt; inf &gt; 2 &lt; /inf &gt; .","author":[{"dropping-particle":"","family":"Lauerwald","given":"R.","non-dropping-particle":"","parse-names":false,"suffix":""},{"dropping-particle":"","family":"Laruelle","given":"G.G.","non-dropping-particle":"","parse-names":false,"suffix":""},{"dropping-particle":"","family":"Hartmann","given":"J.","non-dropping-particle":"","parse-names":false,"suffix":""},{"dropping-particle":"","family":"Ciais","given":"P.","non-dropping-particle":"","parse-names":false,"suffix":""},{"dropping-particle":"","family":"Regnier","given":"P.A.G.","non-dropping-particle":"","parse-names":false,"suffix":""}],"container-title":"Global Biogeochemical Cycles","id":"ITEM-1","issue":"5","issued":{"date-parts":[["2015"]]},"title":"Spatial patterns in CO&amp;lt;inf&amp;gt;2&amp;lt;/inf&amp;gt; evasion from the global river network","type":"article-journal","volume":"29"},"uris":["http://www.mendeley.com/documents/?uuid=bcf366e5-e30c-3037-b8f0-fa10ad0b6bd5"]}],"mendeley":{"formattedCitation":"&lt;sup&gt;26&lt;/sup&gt;","plainTextFormattedCitation":"26","previouslyFormattedCitation":"&lt;sup&gt;26&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rPr>
              <w:fldChar w:fldCharType="separate"/>
            </w:r>
            <w:r w:rsidRPr="004E75E3">
              <w:rPr>
                <w:rFonts w:ascii="Times New Roman" w:eastAsia="Arial" w:hAnsi="Times New Roman" w:cs="Times New Roman"/>
                <w:noProof/>
                <w:color w:val="000000" w:themeColor="text1"/>
                <w:sz w:val="20"/>
                <w:szCs w:val="20"/>
              </w:rPr>
              <w:t>26</w:t>
            </w:r>
            <w:r w:rsidRPr="004E75E3">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p>
        </w:tc>
        <w:tc>
          <w:tcPr>
            <w:tcW w:w="183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50%</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vertAlign w:val="subscript"/>
              </w:rPr>
            </w:pPr>
            <w:proofErr w:type="spellStart"/>
            <w:r w:rsidRPr="005A63F3">
              <w:rPr>
                <w:rFonts w:ascii="Times New Roman" w:eastAsia="Arial" w:hAnsi="Times New Roman" w:cs="Times New Roman"/>
                <w:color w:val="000000" w:themeColor="text1"/>
                <w:sz w:val="20"/>
                <w:szCs w:val="20"/>
              </w:rPr>
              <w:t>F</w:t>
            </w:r>
            <w:r w:rsidRPr="005A63F3">
              <w:rPr>
                <w:rFonts w:ascii="Times New Roman" w:eastAsia="Arial" w:hAnsi="Times New Roman" w:cs="Times New Roman"/>
                <w:color w:val="000000" w:themeColor="text1"/>
                <w:sz w:val="20"/>
                <w:szCs w:val="20"/>
                <w:vertAlign w:val="subscript"/>
              </w:rPr>
              <w:t>outgas</w:t>
            </w:r>
            <w:proofErr w:type="spellEnd"/>
            <w:r w:rsidRPr="005A63F3">
              <w:rPr>
                <w:rFonts w:ascii="Times New Roman" w:eastAsia="Arial" w:hAnsi="Times New Roman" w:cs="Times New Roman"/>
                <w:color w:val="000000" w:themeColor="text1"/>
                <w:sz w:val="20"/>
                <w:szCs w:val="20"/>
                <w:vertAlign w:val="subscript"/>
              </w:rPr>
              <w:t xml:space="preserve"> estuaries</w:t>
            </w:r>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33</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16</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proofErr w:type="spellStart"/>
            <w:r w:rsidRPr="005A63F3">
              <w:rPr>
                <w:rFonts w:ascii="Times New Roman" w:eastAsia="Arial" w:hAnsi="Times New Roman" w:cs="Times New Roman"/>
                <w:color w:val="000000" w:themeColor="text1"/>
                <w:sz w:val="20"/>
                <w:szCs w:val="20"/>
                <w:lang w:val="fr-FR"/>
              </w:rPr>
              <w:t>Laruelle</w:t>
            </w:r>
            <w:proofErr w:type="spellEnd"/>
            <w:r w:rsidRPr="005A63F3">
              <w:rPr>
                <w:rFonts w:ascii="Times New Roman" w:eastAsia="Arial" w:hAnsi="Times New Roman" w:cs="Times New Roman"/>
                <w:color w:val="000000" w:themeColor="text1"/>
                <w:sz w:val="20"/>
                <w:szCs w:val="20"/>
                <w:lang w:val="fr-FR"/>
              </w:rPr>
              <w:t xml:space="preserve"> et al. </w:t>
            </w:r>
            <w:r>
              <w:rPr>
                <w:rFonts w:ascii="Times New Roman" w:eastAsia="Arial" w:hAnsi="Times New Roman" w:cs="Times New Roman"/>
                <w:color w:val="000000" w:themeColor="text1"/>
                <w:sz w:val="20"/>
                <w:szCs w:val="20"/>
                <w:lang w:val="fr-FR"/>
              </w:rPr>
              <w:t>[</w:t>
            </w:r>
            <w:r w:rsidRPr="004E75E3">
              <w:rPr>
                <w:rFonts w:ascii="Times New Roman" w:eastAsia="Arial" w:hAnsi="Times New Roman" w:cs="Times New Roman"/>
                <w:color w:val="000000" w:themeColor="text1"/>
                <w:sz w:val="20"/>
                <w:szCs w:val="20"/>
                <w:lang w:val="fr-FR"/>
              </w:rPr>
              <w:fldChar w:fldCharType="begin" w:fldLock="1"/>
            </w:r>
            <w:r w:rsidRPr="004E75E3">
              <w:rPr>
                <w:rFonts w:ascii="Times New Roman" w:eastAsia="Arial" w:hAnsi="Times New Roman" w:cs="Times New Roman"/>
                <w:color w:val="000000" w:themeColor="text1"/>
                <w:sz w:val="20"/>
                <w:szCs w:val="20"/>
                <w:lang w:val="fr-FR"/>
              </w:rPr>
              <w:instrText>ADDIN CSL_CITATION {"citationItems":[{"id":"ITEM-1","itemData":{"DOI":"10.5194/hess-17-2029-2013","ISSN":"1607-7938","author":[{"dropping-particle":"","family":"Laruelle","given":"G. G.","non-dropping-particle":"","parse-names":false,"suffix":""},{"dropping-particle":"","family":"Dürr","given":"H. H.","non-dropping-particle":"","parse-names":false,"suffix":""},{"dropping-particle":"","family":"Lauerwald","given":"R.","non-dropping-particle":"","parse-names":false,"suffix":""},{"dropping-particle":"","family":"Hartmann","given":"J.","non-dropping-particle":"","parse-names":false,"suffix":""},{"dropping-particle":"","family":"Slomp","given":"C. P.","non-dropping-particle":"","parse-names":false,"suffix":""},{"dropping-particle":"","family":"Goossens","given":"N.","non-dropping-particle":"","parse-names":false,"suffix":""},{"dropping-particle":"","family":"Regnier","given":"P. a. G.","non-dropping-particle":"","parse-names":false,"suffix":""}],"container-title":"Hydrology and Earth System Sciences","id":"ITEM-1","issue":"5","issued":{"date-parts":[["2013","5"]]},"page":"2029-2051","title":"Global multi-scale segmentation of continental and coastal waters from the watersheds to the continental margins","type":"article-journal","volume":"17"},"uris":["http://www.mendeley.com/documents/?uuid=f34065a6-b97b-4e8b-a953-1b41ee97ea4b"]}],"mendeley":{"formattedCitation":"&lt;sup&gt;74&lt;/sup&gt;","plainTextFormattedCitation":"74","previouslyFormattedCitation":"&lt;sup&gt;74&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lang w:val="fr-FR"/>
              </w:rPr>
              <w:fldChar w:fldCharType="separate"/>
            </w:r>
            <w:r w:rsidRPr="004E75E3">
              <w:rPr>
                <w:rFonts w:ascii="Times New Roman" w:eastAsia="Arial" w:hAnsi="Times New Roman" w:cs="Times New Roman"/>
                <w:noProof/>
                <w:color w:val="000000" w:themeColor="text1"/>
                <w:sz w:val="20"/>
                <w:szCs w:val="20"/>
                <w:lang w:val="fr-FR"/>
              </w:rPr>
              <w:t>74</w:t>
            </w:r>
            <w:r w:rsidRPr="004E75E3">
              <w:rPr>
                <w:rFonts w:ascii="Times New Roman" w:eastAsia="Arial" w:hAnsi="Times New Roman" w:cs="Times New Roman"/>
                <w:color w:val="000000" w:themeColor="text1"/>
                <w:sz w:val="20"/>
                <w:szCs w:val="20"/>
                <w:lang w:val="fr-FR"/>
              </w:rPr>
              <w:fldChar w:fldCharType="end"/>
            </w:r>
            <w:r>
              <w:rPr>
                <w:rFonts w:ascii="Times New Roman" w:eastAsia="Arial" w:hAnsi="Times New Roman" w:cs="Times New Roman"/>
                <w:color w:val="000000" w:themeColor="text1"/>
                <w:sz w:val="20"/>
                <w:szCs w:val="20"/>
                <w:lang w:val="fr-FR"/>
              </w:rPr>
              <w:t>]</w:t>
            </w:r>
          </w:p>
        </w:tc>
        <w:tc>
          <w:tcPr>
            <w:tcW w:w="183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50%</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vertAlign w:val="subscript"/>
              </w:rPr>
            </w:pPr>
            <w:r w:rsidRPr="005A63F3">
              <w:rPr>
                <w:rFonts w:ascii="Times New Roman" w:eastAsia="Arial" w:hAnsi="Times New Roman" w:cs="Times New Roman"/>
                <w:color w:val="000000" w:themeColor="text1"/>
                <w:sz w:val="20"/>
                <w:szCs w:val="20"/>
              </w:rPr>
              <w:t>NPP</w:t>
            </w:r>
            <w:r w:rsidRPr="005A63F3">
              <w:rPr>
                <w:rFonts w:ascii="Times New Roman" w:eastAsia="Arial" w:hAnsi="Times New Roman" w:cs="Times New Roman"/>
                <w:color w:val="000000" w:themeColor="text1"/>
                <w:sz w:val="20"/>
                <w:szCs w:val="20"/>
                <w:vertAlign w:val="subscript"/>
              </w:rPr>
              <w:t>MODIS</w:t>
            </w:r>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-7513</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1503</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 xml:space="preserve">Zhao et al. </w:t>
            </w:r>
            <w:r>
              <w:rPr>
                <w:rFonts w:ascii="Times New Roman" w:eastAsia="Arial" w:hAnsi="Times New Roman" w:cs="Times New Roman"/>
                <w:color w:val="000000" w:themeColor="text1"/>
                <w:sz w:val="20"/>
                <w:szCs w:val="20"/>
              </w:rPr>
              <w:t>[</w:t>
            </w:r>
            <w:r w:rsidRPr="004E75E3">
              <w:rPr>
                <w:rFonts w:ascii="Times New Roman" w:eastAsia="Arial" w:hAnsi="Times New Roman" w:cs="Times New Roman"/>
                <w:color w:val="000000" w:themeColor="text1"/>
                <w:sz w:val="20"/>
                <w:szCs w:val="20"/>
              </w:rPr>
              <w:fldChar w:fldCharType="begin" w:fldLock="1"/>
            </w:r>
            <w:r w:rsidRPr="004E75E3">
              <w:rPr>
                <w:rFonts w:ascii="Times New Roman" w:eastAsia="Arial" w:hAnsi="Times New Roman" w:cs="Times New Roman"/>
                <w:color w:val="000000" w:themeColor="text1"/>
                <w:sz w:val="20"/>
                <w:szCs w:val="20"/>
              </w:rPr>
              <w:instrText>ADDIN CSL_CITATION {"citationItems":[{"id":"ITEM-1","itemData":{"DOI":"10.1029/2004JG000004","ISBN":"0148-0227","ISSN":"0148-0227","abstract":"The Moderate Resolution Imaging Spectroradiometer (MODIS) on board NASA's satellites, Terra and Aqua, dramatically improves our ability to accurately and continuously monitor the terrestrial biosphere. MODIS information is used to estimate global terrestrial primary production weekly and annually in near-real time at a 1-km resolution. MODIS terrestrial primary production requires daily gridded assimilation meteorological data as inputs, and the accuracy of the existing meteorological reanalysis data sets show marked differences both spatially and temporally. This study compares surface meteorological data sets from three well-documented global reanalyses, NASA Data Assimilation Office (DAO), European Centre for Medium-Range Weather Forecasts (ECMWF) (ERA-40) and National Centers for Environmental Prediction/National Center for Atmospheric Research (NCEP/NCAR) reanalysis 1, with observed weather station data and other gridded data interpolated from the observations, to evaluate the sensitivity of MODIS global terrestrial gross and net primary production (GPP and NPP) to the uncertainties of meteorological inputs both in the United States and the global vegetated areas. NCEP tends to overestimate surface solar radiation, and underestimate both temperature and vapor pressure deficit (VPD). ECMWF has the highest accuracy but its radiation is lower in tropical regions, and the accuracy of DAO lies between NCEP and ECMWF. Biases in temperature are mainly responsible for large VPD biases in reanalyses. MODIS NPP contains more uncertainties than GPP. Global total MODIS GPP and NPP driven by DAO, ECMWF, and NCEP show notable differences (&gt;20 Pg C/yr) with the highest estimates from NCEP and the lowest from ECMWF. Again, the DAO results lie somewhere between NCEP and ECMWF estimates. Spatially, the larger discrepancies among reanalyses and their derived MODIS GPP and NPP occur in the tropics. These results reveal that the biases in meteorological reanalyses can introduce substantial error into GPP and NPP estimations, and emphasize the need to minimize these biases to improve the quality of MODIS GPP and NPP products.","author":[{"dropping-particle":"","family":"Zhao","given":"Maosheng","non-dropping-particle":"","parse-names":false,"suffix":""},{"dropping-particle":"","family":"Running","given":"Steven W.","non-dropping-particle":"","parse-names":false,"suffix":""},{"dropping-particle":"","family":"Nemani","given":"Ramakrishna R.","non-dropping-particle":"","parse-names":false,"suffix":""}],"container-title":"Journal of Geophysical Research","id":"ITEM-1","issue":"G1","issued":{"date-parts":[["2006"]]},"page":"G01002","title":"Sensitivity of Moderate Resolution Imaging Spectroradiometer (MODIS) terrestrial primary production to the accuracy of meteorological reanalyses","type":"article-journal","volume":"111"},"uris":["http://www.mendeley.com/documents/?uuid=de26ed4f-683f-4acf-b548-fd2275a66e2d"]}],"mendeley":{"formattedCitation":"&lt;sup&gt;85&lt;/sup&gt;","plainTextFormattedCitation":"85","previouslyFormattedCitation":"&lt;sup&gt;85&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rPr>
              <w:fldChar w:fldCharType="separate"/>
            </w:r>
            <w:r w:rsidRPr="004E75E3">
              <w:rPr>
                <w:rFonts w:ascii="Times New Roman" w:eastAsia="Arial" w:hAnsi="Times New Roman" w:cs="Times New Roman"/>
                <w:noProof/>
                <w:color w:val="000000" w:themeColor="text1"/>
                <w:sz w:val="20"/>
                <w:szCs w:val="20"/>
              </w:rPr>
              <w:t>85</w:t>
            </w:r>
            <w:r w:rsidRPr="004E75E3">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p>
        </w:tc>
        <w:tc>
          <w:tcPr>
            <w:tcW w:w="183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 xml:space="preserve">20% </w:t>
            </w:r>
            <w:r w:rsidR="00E8739C">
              <w:rPr>
                <w:rFonts w:ascii="Times New Roman" w:eastAsia="Arial" w:hAnsi="Times New Roman" w:cs="Times New Roman"/>
                <w:color w:val="000000" w:themeColor="text1"/>
                <w:sz w:val="20"/>
                <w:szCs w:val="20"/>
                <w:vertAlign w:val="superscript"/>
              </w:rPr>
              <w:t>l</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vertAlign w:val="subscript"/>
              </w:rPr>
            </w:pPr>
            <w:r w:rsidRPr="005A63F3">
              <w:rPr>
                <w:rFonts w:ascii="Times New Roman" w:eastAsia="Arial" w:hAnsi="Times New Roman" w:cs="Times New Roman"/>
                <w:color w:val="000000" w:themeColor="text1"/>
                <w:sz w:val="20"/>
                <w:szCs w:val="20"/>
              </w:rPr>
              <w:lastRenderedPageBreak/>
              <w:t>NPP</w:t>
            </w:r>
            <w:r w:rsidRPr="005A63F3">
              <w:rPr>
                <w:rFonts w:ascii="Times New Roman" w:eastAsia="Arial" w:hAnsi="Times New Roman" w:cs="Times New Roman"/>
                <w:color w:val="000000" w:themeColor="text1"/>
                <w:sz w:val="20"/>
                <w:szCs w:val="20"/>
                <w:vertAlign w:val="subscript"/>
              </w:rPr>
              <w:t>BETHY</w:t>
            </w:r>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-8638</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1728</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Tum et al.</w:t>
            </w:r>
            <w:r>
              <w:rPr>
                <w:rFonts w:ascii="Times New Roman" w:eastAsia="Arial" w:hAnsi="Times New Roman" w:cs="Times New Roman"/>
                <w:color w:val="000000" w:themeColor="text1"/>
                <w:sz w:val="20"/>
                <w:szCs w:val="20"/>
              </w:rPr>
              <w:t xml:space="preserve"> [</w:t>
            </w:r>
            <w:r w:rsidRPr="004E75E3">
              <w:rPr>
                <w:rFonts w:ascii="Times New Roman" w:eastAsia="Arial" w:hAnsi="Times New Roman" w:cs="Times New Roman"/>
                <w:color w:val="000000" w:themeColor="text1"/>
                <w:sz w:val="20"/>
                <w:szCs w:val="20"/>
              </w:rPr>
              <w:fldChar w:fldCharType="begin" w:fldLock="1"/>
            </w:r>
            <w:r w:rsidRPr="004E75E3">
              <w:rPr>
                <w:rFonts w:ascii="Times New Roman" w:eastAsia="Arial" w:hAnsi="Times New Roman" w:cs="Times New Roman"/>
                <w:color w:val="000000" w:themeColor="text1"/>
                <w:sz w:val="20"/>
                <w:szCs w:val="20"/>
              </w:rPr>
              <w:instrText>ADDIN CSL_CITATION {"citationItems":[{"id":"ITEM-1","itemData":{"DOI":"10.5194/gmd-6-1623-2013","ISSN":"1991-9603","abstract":"&lt;p&gt;&lt;p&gt;&lt;strong&gt;Abstract.&lt;/strong&gt; In this study we compare monthly gross primary productivity (GPP) time series (2000–2007), computed for Europe with the Biosphere Energy Transfer Hydrology (BETHY/DLR) model with monthly data from the eddy covariance measurements network FLUXNET. BETHY/DLR with a spatial resolution of 1 km&lt;sup&gt;2&lt;/sup&gt; is designed for regional and continental applications (here Europe) and operated at the German Aerospace Center (DLR). It was adapted from the BETHY scheme to be driven by remote sensing data (leaf area index (LAI) and land cover information) and meteorology. Time series of LAI obtained from the CYCLOPES database are used to control the phenology of vegetation. Meteorological time series from the European Centre for Medium-Range Weather Forecasts (ECMWF) are used as driver. These comprise daily information on temperature, precipitation, wind speed and radiation. Additionally, static maps such as land cover, elevation, and soil type are used. To validate our model results we used eddy covariance measurements from the FLUXNET network of 74 towers across Europe. For forest sites we found that our model predicts between 20 and 40% higher annual GPP sums. In contrast, for cropland sites BETHY/DLR results show about 18% less GPP than eddy covariance measurements. For grassland sites, between 10% more and 16% less GPP was calculated with BETHY/DLR. A mean total carbon uptake of 2.5 PgC a&lt;sup&gt;−1&lt;/sup&gt; (±0.17 PgC a&lt;sup&gt;−1&lt;/sup&gt;) was found for Europe. In addition, this study reports on risks that arise from the comparison of modelled data to FLUXNET measurements and their interpretation width. Furthermore we investigate reasons for uncertainties in model results and focus here on &lt;i&gt;V&lt;/i&gt;&lt;sub&gt;max&lt;/sub&gt; values, and finally embed our results into a broader context of model validation studies published during the last years in order to evaluate differences or similarities in analysed error sources.&lt;/p&gt;&lt;/p&gt;","author":[{"dropping-particle":"","family":"Wißkirchen","given":"K.","non-dropping-particle":"","parse-names":false,"suffix":""},{"dropping-particle":"","family":"Tum","given":"M.","non-dropping-particle":"","parse-names":false,"suffix":""},{"dropping-particle":"","family":"Günther","given":"K. P.","non-dropping-particle":"","parse-names":false,"suffix":""},{"dropping-particle":"","family":"Niklaus","given":"M.","non-dropping-particle":"","parse-names":false,"suffix":""},{"dropping-particle":"","family":"Eisfelder","given":"C.","non-dropping-particle":"","parse-names":false,"suffix":""},{"dropping-particle":"","family":"Knorr","given":"W.","non-dropping-particle":"","parse-names":false,"suffix":""}],"container-title":"Geoscientific Model Development","id":"ITEM-1","issue":"5","issued":{"date-parts":[["2013","10","8"]]},"page":"1623-1640","title":"Quantifying the carbon uptake by vegetation for Europe on a 1 km&amp;amp;lt;sup&amp;amp;gt;2&amp;amp;lt;/sup&amp;amp;gt; resolution using a remote sensing driven vegetation model","type":"article-journal","volume":"6"},"uris":["http://www.mendeley.com/documents/?uuid=2a66f9b9-97fa-3434-9682-3dc7a55bd2e9"]}],"mendeley":{"formattedCitation":"&lt;sup&gt;23&lt;/sup&gt;","plainTextFormattedCitation":"23","previouslyFormattedCitation":"&lt;sup&gt;23&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rPr>
              <w:fldChar w:fldCharType="separate"/>
            </w:r>
            <w:r w:rsidRPr="004E75E3">
              <w:rPr>
                <w:rFonts w:ascii="Times New Roman" w:eastAsia="Arial" w:hAnsi="Times New Roman" w:cs="Times New Roman"/>
                <w:noProof/>
                <w:color w:val="000000" w:themeColor="text1"/>
                <w:sz w:val="20"/>
                <w:szCs w:val="20"/>
              </w:rPr>
              <w:t>23</w:t>
            </w:r>
            <w:r w:rsidRPr="004E75E3">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p>
        </w:tc>
        <w:tc>
          <w:tcPr>
            <w:tcW w:w="183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20%</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vertAlign w:val="subscript"/>
              </w:rPr>
            </w:pPr>
            <w:r w:rsidRPr="005A63F3">
              <w:rPr>
                <w:rFonts w:ascii="Times New Roman" w:eastAsia="Arial" w:hAnsi="Times New Roman" w:cs="Times New Roman"/>
                <w:color w:val="000000" w:themeColor="text1"/>
                <w:sz w:val="20"/>
                <w:szCs w:val="20"/>
              </w:rPr>
              <w:t>NPP</w:t>
            </w:r>
            <w:r w:rsidRPr="005A63F3">
              <w:rPr>
                <w:rFonts w:ascii="Times New Roman" w:eastAsia="Arial" w:hAnsi="Times New Roman" w:cs="Times New Roman"/>
                <w:color w:val="000000" w:themeColor="text1"/>
                <w:sz w:val="20"/>
                <w:szCs w:val="20"/>
                <w:vertAlign w:val="subscript"/>
              </w:rPr>
              <w:t>GIMMS</w:t>
            </w:r>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-6477</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1295</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Kolby Smith et al.</w:t>
            </w:r>
            <w:r>
              <w:rPr>
                <w:rFonts w:ascii="Times New Roman" w:eastAsia="Arial" w:hAnsi="Times New Roman" w:cs="Times New Roman"/>
                <w:color w:val="000000" w:themeColor="text1"/>
                <w:sz w:val="20"/>
                <w:szCs w:val="20"/>
              </w:rPr>
              <w:t xml:space="preserve"> [</w:t>
            </w:r>
            <w:r w:rsidRPr="004E75E3">
              <w:rPr>
                <w:rFonts w:ascii="Times New Roman" w:eastAsia="Arial" w:hAnsi="Times New Roman" w:cs="Times New Roman"/>
                <w:color w:val="000000" w:themeColor="text1"/>
                <w:sz w:val="20"/>
                <w:szCs w:val="20"/>
              </w:rPr>
              <w:fldChar w:fldCharType="begin" w:fldLock="1"/>
            </w:r>
            <w:r w:rsidRPr="004E75E3">
              <w:rPr>
                <w:rFonts w:ascii="Times New Roman" w:eastAsia="Arial" w:hAnsi="Times New Roman" w:cs="Times New Roman"/>
                <w:color w:val="000000" w:themeColor="text1"/>
                <w:sz w:val="20"/>
                <w:szCs w:val="20"/>
              </w:rPr>
              <w:instrText>ADDIN CSL_CITATION {"citationItems":[{"id":"ITEM-1","itemData":{"author":[{"dropping-particle":"","family":"Kolby Smith","given":"W","non-dropping-particle":"","parse-names":false,"suffix":""},{"dropping-particle":"","family":"Reed","given":"Sasha C","non-dropping-particle":"","parse-names":false,"suffix":""},{"dropping-particle":"","family":"Cleveland","given":"Cory C","non-dropping-particle":"","parse-names":false,"suffix":""},{"dropping-particle":"","family":"Ballantyne","given":"Ashley P","non-dropping-particle":"","parse-names":false,"suffix":""},{"dropping-particle":"","family":"Anderegg","given":"William R L","non-dropping-particle":"","parse-names":false,"suffix":""},{"dropping-particle":"","family":"Wieder","given":"William R","non-dropping-particle":"","parse-names":false,"suffix":""},{"dropping-particle":"","family":"Liu","given":"Yi Y","non-dropping-particle":"","parse-names":false,"suffix":""},{"dropping-particle":"","family":"Running","given":"Steven W","non-dropping-particle":"","parse-names":false,"suffix":""}],"container-title":"Nature Climate Change","id":"ITEM-1","issued":{"date-parts":[["2015","12","7"]]},"page":"306","publisher":"Nature Publishing Group","title":"Large divergence of satellite and Earth system model estimates of global terrestrial CO2 fertilization","type":"article-journal","volume":"6"},"uris":["http://www.mendeley.com/documents/?uuid=61d003ae-325e-49c5-adc9-b80e731e237f"]}],"mendeley":{"formattedCitation":"&lt;sup&gt;24&lt;/sup&gt;","plainTextFormattedCitation":"24","previouslyFormattedCitation":"&lt;sup&gt;24&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rPr>
              <w:fldChar w:fldCharType="separate"/>
            </w:r>
            <w:r w:rsidRPr="004E75E3">
              <w:rPr>
                <w:rFonts w:ascii="Times New Roman" w:eastAsia="Arial" w:hAnsi="Times New Roman" w:cs="Times New Roman"/>
                <w:noProof/>
                <w:color w:val="000000" w:themeColor="text1"/>
                <w:sz w:val="20"/>
                <w:szCs w:val="20"/>
              </w:rPr>
              <w:t>24</w:t>
            </w:r>
            <w:r w:rsidRPr="004E75E3">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p>
        </w:tc>
        <w:tc>
          <w:tcPr>
            <w:tcW w:w="183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20%</w:t>
            </w:r>
          </w:p>
        </w:tc>
      </w:tr>
      <w:tr w:rsidR="00F6749E" w:rsidRPr="005A63F3" w:rsidTr="00F6749E">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vertAlign w:val="subscript"/>
              </w:rPr>
            </w:pPr>
            <w:r w:rsidRPr="005A63F3">
              <w:rPr>
                <w:rFonts w:ascii="Times New Roman" w:eastAsia="Arial" w:hAnsi="Times New Roman" w:cs="Times New Roman"/>
                <w:color w:val="000000" w:themeColor="text1"/>
                <w:sz w:val="20"/>
                <w:szCs w:val="20"/>
              </w:rPr>
              <w:t>NPP</w:t>
            </w:r>
            <w:r w:rsidRPr="005A63F3">
              <w:rPr>
                <w:rFonts w:ascii="Times New Roman" w:eastAsia="Arial" w:hAnsi="Times New Roman" w:cs="Times New Roman"/>
                <w:color w:val="000000" w:themeColor="text1"/>
                <w:sz w:val="20"/>
                <w:szCs w:val="20"/>
                <w:vertAlign w:val="subscript"/>
              </w:rPr>
              <w:t>CARDAMOM</w:t>
            </w:r>
          </w:p>
        </w:tc>
        <w:tc>
          <w:tcPr>
            <w:tcW w:w="67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-7579</w:t>
            </w:r>
          </w:p>
        </w:tc>
        <w:tc>
          <w:tcPr>
            <w:tcW w:w="270"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bottom"/>
          </w:tcPr>
          <w:p w:rsidR="00F6749E" w:rsidRPr="005A63F3" w:rsidRDefault="00F6749E" w:rsidP="00F6749E">
            <w:pPr>
              <w:widowControl w:val="0"/>
              <w:spacing w:line="480" w:lineRule="auto"/>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2725</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 xml:space="preserve">Bloom et al. </w:t>
            </w:r>
            <w:r>
              <w:rPr>
                <w:rFonts w:ascii="Times New Roman" w:eastAsia="Arial" w:hAnsi="Times New Roman" w:cs="Times New Roman"/>
                <w:color w:val="000000" w:themeColor="text1"/>
                <w:sz w:val="20"/>
                <w:szCs w:val="20"/>
              </w:rPr>
              <w:t>[</w:t>
            </w:r>
            <w:r w:rsidRPr="004E75E3">
              <w:rPr>
                <w:rFonts w:ascii="Times New Roman" w:eastAsia="Arial" w:hAnsi="Times New Roman" w:cs="Times New Roman"/>
                <w:color w:val="000000" w:themeColor="text1"/>
                <w:sz w:val="20"/>
                <w:szCs w:val="20"/>
              </w:rPr>
              <w:fldChar w:fldCharType="begin" w:fldLock="1"/>
            </w:r>
            <w:r w:rsidRPr="004E75E3">
              <w:rPr>
                <w:rFonts w:ascii="Times New Roman" w:eastAsia="Arial" w:hAnsi="Times New Roman" w:cs="Times New Roman"/>
                <w:color w:val="000000" w:themeColor="text1"/>
                <w:sz w:val="20"/>
                <w:szCs w:val="20"/>
              </w:rPr>
              <w:instrText>ADDIN CSL_CITATION {"citationItems":[{"id":"ITEM-1","itemData":{"DOI":"10.1073/pnas.1515160113","ISSN":"0027-8424","abstract":"Quantitative knowledge of terrestrial carbon pathways and processes is fundamental for understanding the biosphere{\\textquoteright}s response to a changing climate. Carbon allocation, stocks, and residence times together define the dynamic state of the terrestrial carbon cycle. These quantities are difficult to measure and remain poorly quantified on a global scale. Here, we retrieve global 1{\\textdegree} {\\texttimes} 1{\\textdegree} carbon state and process variables by combining a carbon balance model with satellite observations of biomass and leaf area (where and when available) and global soil carbon data. Our results reveal emergent continental-scale patterns and relationships between carbon states and processes. We find that conventional land cover types cannot capture continental-scale variations of retrieved carbon variables; this mismatch has strong implications for terrestrial carbon cycle predictions.The terrestrial carbon cycle is currently the least constrained component of the global carbon budget. Large uncertainties stem from a poor understanding of plant carbon allocation, stocks, residence times, and carbon use efficiency. Imposing observational constraints on the terrestrial carbon cycle and its processes is, therefore, necessary to better understand its current state and predict its future state. We combine a diagnostic ecosystem carbon model with satellite observations of leaf area and biomass (where and when available) and soil carbon data to retrieve the first global estimates, to our knowledge, of carbon cycle state and process variables at a 1{\\textdegree} {\\texttimes} 1{\\textdegree} resolution; retrieved variables are independent from the plant functional type and steady-state paradigms. Our results reveal global emergent relationships in the spatial distribution of key carbon cycle states and processes. Live biomass and dead organic carbon residence times exhibit contrasting spatial features (r = 0.3). Allocation to structural carbon is highest in the wet tropics (85{\\textendash}88%) in contrast to higher latitudes (73{\\textendash}82%), where allocation shifts toward photosynthetic carbon. Carbon use efficiency is lowest (0.42{\\textendash}0.44) in the wet tropics. We find an emergent global correlation between retrievals of leaf mass per leaf area and leaf lifespan (r = 0.64{\\textendash}0.80) that matches independent trait studies. We show that conventional land cover types cannot adequately describe the spatial variability of …","author":[{"dropping-particle":"","family":"Bloom","given":"A Anthony","non-dropping-particle":"","parse-names":false,"suffix":""},{"dropping-particle":"","family":"Exbrayat","given":"Jean-François","non-dropping-particle":"","parse-names":false,"suffix":""},{"dropping-particle":"","family":"Velde","given":"Ivar R","non-dropping-particle":"van der","parse-names":false,"suffix":""},{"dropping-particle":"","family":"Feng","given":"Liang","non-dropping-particle":"","parse-names":false,"suffix":""},{"dropping-particle":"","family":"Williams","given":"Mathew","non-dropping-particle":"","parse-names":false,"suffix":""}],"container-title":"Proceedings of the National Academy of Sciences","id":"ITEM-1","issue":"5","issued":{"date-parts":[["2016"]]},"page":"1285-1290","publisher":"National Academy of Sciences","title":"The decadal state of the terrestrial carbon cycle: Global retrievals of terrestrial carbon allocation, pools, and residence times","type":"article-journal","volume":"113"},"uris":["http://www.mendeley.com/documents/?uuid=6f80c03b-935a-4bff-b909-17256e12378d"]}],"mendeley":{"formattedCitation":"&lt;sup&gt;25&lt;/sup&gt;","plainTextFormattedCitation":"25","previouslyFormattedCitation":"&lt;sup&gt;25&lt;/sup&gt;"},"properties":{"noteIndex":0},"schema":"https://github.com/citation-style-language/schema/raw/master/csl-citation.json"}</w:instrText>
            </w:r>
            <w:r w:rsidRPr="004E75E3">
              <w:rPr>
                <w:rFonts w:ascii="Times New Roman" w:eastAsia="Arial" w:hAnsi="Times New Roman" w:cs="Times New Roman"/>
                <w:color w:val="000000" w:themeColor="text1"/>
                <w:sz w:val="20"/>
                <w:szCs w:val="20"/>
              </w:rPr>
              <w:fldChar w:fldCharType="separate"/>
            </w:r>
            <w:r w:rsidRPr="004E75E3">
              <w:rPr>
                <w:rFonts w:ascii="Times New Roman" w:eastAsia="Arial" w:hAnsi="Times New Roman" w:cs="Times New Roman"/>
                <w:noProof/>
                <w:color w:val="000000" w:themeColor="text1"/>
                <w:sz w:val="20"/>
                <w:szCs w:val="20"/>
              </w:rPr>
              <w:t>25</w:t>
            </w:r>
            <w:r w:rsidRPr="004E75E3">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p>
        </w:tc>
        <w:tc>
          <w:tcPr>
            <w:tcW w:w="183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20%</w:t>
            </w:r>
          </w:p>
        </w:tc>
      </w:tr>
      <w:tr w:rsidR="00F6749E" w:rsidRPr="005A63F3" w:rsidTr="009F5F02">
        <w:trPr>
          <w:trHeight w:val="20"/>
        </w:trPr>
        <w:tc>
          <w:tcPr>
            <w:tcW w:w="177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Soil Het. Resp.</w:t>
            </w:r>
          </w:p>
        </w:tc>
        <w:tc>
          <w:tcPr>
            <w:tcW w:w="675" w:type="dxa"/>
            <w:tcMar>
              <w:top w:w="0" w:type="dxa"/>
              <w:left w:w="0" w:type="dxa"/>
              <w:bottom w:w="0" w:type="dxa"/>
              <w:right w:w="0" w:type="dxa"/>
            </w:tcMar>
            <w:vAlign w:val="center"/>
          </w:tcPr>
          <w:p w:rsidR="00F6749E" w:rsidRPr="005A63F3" w:rsidRDefault="00F6749E" w:rsidP="009F5F02">
            <w:pPr>
              <w:widowControl w:val="0"/>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6315</w:t>
            </w:r>
          </w:p>
        </w:tc>
        <w:tc>
          <w:tcPr>
            <w:tcW w:w="1005" w:type="dxa"/>
            <w:gridSpan w:val="2"/>
            <w:tcMar>
              <w:top w:w="0" w:type="dxa"/>
              <w:left w:w="0" w:type="dxa"/>
              <w:bottom w:w="0" w:type="dxa"/>
              <w:right w:w="0" w:type="dxa"/>
            </w:tcMar>
            <w:vAlign w:val="center"/>
          </w:tcPr>
          <w:p w:rsidR="00F6749E" w:rsidRPr="005A63F3" w:rsidRDefault="00F6749E" w:rsidP="009F5F02">
            <w:pPr>
              <w:widowControl w:val="0"/>
              <w:jc w:val="cente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(5063,7664)</w:t>
            </w:r>
          </w:p>
        </w:tc>
        <w:tc>
          <w:tcPr>
            <w:tcW w:w="3660" w:type="dxa"/>
            <w:shd w:val="clear" w:color="auto" w:fill="auto"/>
            <w:tcMar>
              <w:top w:w="100" w:type="dxa"/>
              <w:left w:w="100" w:type="dxa"/>
              <w:bottom w:w="100" w:type="dxa"/>
              <w:right w:w="100" w:type="dxa"/>
            </w:tcMar>
            <w:vAlign w:val="center"/>
          </w:tcPr>
          <w:p w:rsidR="00F6749E" w:rsidRPr="005A63F3" w:rsidRDefault="00F6749E" w:rsidP="00F6749E">
            <w:pPr>
              <w:widowControl w:val="0"/>
              <w:pBdr>
                <w:top w:val="nil"/>
                <w:left w:val="nil"/>
                <w:bottom w:val="nil"/>
                <w:right w:val="nil"/>
                <w:between w:val="nil"/>
              </w:pBdr>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Equation (2)</w:t>
            </w:r>
          </w:p>
        </w:tc>
        <w:tc>
          <w:tcPr>
            <w:tcW w:w="1830" w:type="dxa"/>
            <w:shd w:val="clear" w:color="auto" w:fill="auto"/>
            <w:tcMar>
              <w:top w:w="100" w:type="dxa"/>
              <w:left w:w="100" w:type="dxa"/>
              <w:bottom w:w="100" w:type="dxa"/>
              <w:right w:w="100" w:type="dxa"/>
            </w:tcMar>
            <w:vAlign w:val="center"/>
          </w:tcPr>
          <w:p w:rsidR="00F6749E" w:rsidRPr="005A63F3" w:rsidRDefault="00F6749E" w:rsidP="00F6749E">
            <w:pPr>
              <w:widowControl w:val="0"/>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Inter-quartile from Monte Carlo (</w:t>
            </w:r>
            <w:r>
              <w:rPr>
                <w:rFonts w:ascii="Times New Roman" w:eastAsia="Arial" w:hAnsi="Times New Roman" w:cs="Times New Roman"/>
                <w:color w:val="000000" w:themeColor="text1"/>
                <w:sz w:val="20"/>
                <w:szCs w:val="20"/>
              </w:rPr>
              <w:t>M</w:t>
            </w:r>
            <w:r w:rsidRPr="005A63F3">
              <w:rPr>
                <w:rFonts w:ascii="Times New Roman" w:eastAsia="Arial" w:hAnsi="Times New Roman" w:cs="Times New Roman"/>
                <w:color w:val="000000" w:themeColor="text1"/>
                <w:sz w:val="20"/>
                <w:szCs w:val="20"/>
              </w:rPr>
              <w:t>ethods)</w:t>
            </w:r>
          </w:p>
        </w:tc>
      </w:tr>
    </w:tbl>
    <w:p w:rsidR="00F6749E" w:rsidRPr="005A63F3" w:rsidRDefault="00F6749E" w:rsidP="00F6749E">
      <w:pPr>
        <w:rPr>
          <w:rFonts w:ascii="Times New Roman" w:eastAsia="Arial" w:hAnsi="Times New Roman" w:cs="Times New Roman"/>
          <w:color w:val="000000" w:themeColor="text1"/>
          <w:sz w:val="20"/>
          <w:szCs w:val="20"/>
        </w:rPr>
      </w:pPr>
    </w:p>
    <w:p w:rsidR="00F6749E" w:rsidRPr="00093394" w:rsidRDefault="00F6749E" w:rsidP="00F6749E">
      <w:pPr>
        <w:ind w:left="567" w:hanging="567"/>
        <w:rPr>
          <w:rFonts w:ascii="Times New Roman" w:eastAsia="Arial" w:hAnsi="Times New Roman" w:cs="Times New Roman"/>
          <w:color w:val="000000" w:themeColor="text1"/>
          <w:sz w:val="20"/>
          <w:szCs w:val="20"/>
        </w:rPr>
      </w:pPr>
      <w:proofErr w:type="spellStart"/>
      <w:r>
        <w:rPr>
          <w:rFonts w:ascii="Times New Roman" w:eastAsia="Arial" w:hAnsi="Times New Roman" w:cs="Times New Roman"/>
          <w:color w:val="000000" w:themeColor="text1"/>
          <w:sz w:val="20"/>
          <w:szCs w:val="20"/>
        </w:rPr>
        <w:t>a</w:t>
      </w:r>
      <w:proofErr w:type="spellEnd"/>
      <w:r w:rsidRPr="005A63F3">
        <w:rPr>
          <w:rFonts w:ascii="Times New Roman" w:eastAsia="Arial" w:hAnsi="Times New Roman" w:cs="Times New Roman"/>
          <w:color w:val="000000" w:themeColor="text1"/>
          <w:sz w:val="20"/>
          <w:szCs w:val="20"/>
        </w:rPr>
        <w:t xml:space="preserve"> </w:t>
      </w:r>
      <w:r w:rsidRPr="005A63F3">
        <w:rPr>
          <w:rFonts w:ascii="Times New Roman" w:eastAsia="Arial" w:hAnsi="Times New Roman" w:cs="Times New Roman"/>
          <w:color w:val="000000" w:themeColor="text1"/>
          <w:sz w:val="20"/>
          <w:szCs w:val="20"/>
        </w:rPr>
        <w:tab/>
        <w:t xml:space="preserve">Changes in territorial C stocks including ecosystem C pool and product pool changes "Atmospheric flow method" in </w:t>
      </w:r>
      <w:r w:rsidRPr="00093394">
        <w:rPr>
          <w:rFonts w:ascii="Times New Roman" w:eastAsia="Arial" w:hAnsi="Times New Roman" w:cs="Times New Roman"/>
          <w:color w:val="000000" w:themeColor="text1"/>
          <w:sz w:val="20"/>
          <w:szCs w:val="20"/>
        </w:rPr>
        <w:t>Table 1 of King et al. plus burial in lakes and reservoirs from SOCCR Report</w:t>
      </w:r>
    </w:p>
    <w:p w:rsidR="00F6749E" w:rsidRPr="00093394" w:rsidRDefault="00F6749E" w:rsidP="00F6749E">
      <w:pPr>
        <w:ind w:left="567" w:hanging="567"/>
        <w:rPr>
          <w:rFonts w:ascii="Times New Roman" w:eastAsia="Arial" w:hAnsi="Times New Roman" w:cs="Times New Roman"/>
          <w:color w:val="000000" w:themeColor="text1"/>
          <w:sz w:val="20"/>
          <w:szCs w:val="20"/>
        </w:rPr>
      </w:pPr>
      <w:r w:rsidRPr="00093394">
        <w:rPr>
          <w:rFonts w:ascii="Times New Roman" w:eastAsia="Arial" w:hAnsi="Times New Roman" w:cs="Times New Roman"/>
          <w:color w:val="000000" w:themeColor="text1"/>
          <w:sz w:val="20"/>
          <w:szCs w:val="20"/>
        </w:rPr>
        <w:t>b</w:t>
      </w:r>
      <w:r w:rsidRPr="00093394">
        <w:rPr>
          <w:rFonts w:ascii="Times New Roman" w:eastAsia="Arial" w:hAnsi="Times New Roman" w:cs="Times New Roman"/>
          <w:color w:val="000000" w:themeColor="text1"/>
          <w:sz w:val="20"/>
          <w:szCs w:val="20"/>
        </w:rPr>
        <w:tab/>
        <w:t>Mean uncertainty of the AIM, TBM and Inventory estimates in King et al.</w:t>
      </w:r>
    </w:p>
    <w:p w:rsidR="00F6749E" w:rsidRPr="00093394" w:rsidRDefault="00F6749E" w:rsidP="00F6749E">
      <w:pPr>
        <w:ind w:left="567" w:hanging="567"/>
        <w:rPr>
          <w:rFonts w:ascii="Times New Roman" w:eastAsia="Arial" w:hAnsi="Times New Roman" w:cs="Times New Roman"/>
          <w:color w:val="000000" w:themeColor="text1"/>
          <w:sz w:val="20"/>
          <w:szCs w:val="20"/>
        </w:rPr>
      </w:pPr>
      <w:r w:rsidRPr="00093394">
        <w:rPr>
          <w:rFonts w:ascii="Times New Roman" w:eastAsia="Arial" w:hAnsi="Times New Roman" w:cs="Times New Roman"/>
          <w:color w:val="000000" w:themeColor="text1"/>
          <w:sz w:val="20"/>
          <w:szCs w:val="20"/>
        </w:rPr>
        <w:t>c</w:t>
      </w:r>
      <w:r w:rsidRPr="00093394">
        <w:rPr>
          <w:rFonts w:ascii="Times New Roman" w:eastAsia="Arial" w:hAnsi="Times New Roman" w:cs="Times New Roman"/>
          <w:color w:val="000000" w:themeColor="text1"/>
          <w:sz w:val="20"/>
          <w:szCs w:val="20"/>
        </w:rPr>
        <w:tab/>
      </w:r>
      <w:proofErr w:type="spellStart"/>
      <w:r w:rsidRPr="00093394">
        <w:rPr>
          <w:rFonts w:ascii="Times New Roman" w:eastAsia="Arial" w:hAnsi="Times New Roman" w:cs="Times New Roman"/>
          <w:color w:val="000000" w:themeColor="text1"/>
          <w:sz w:val="20"/>
          <w:szCs w:val="20"/>
        </w:rPr>
        <w:t>F</w:t>
      </w:r>
      <w:r w:rsidRPr="00093394">
        <w:rPr>
          <w:rFonts w:ascii="Times New Roman" w:eastAsia="Arial" w:hAnsi="Times New Roman" w:cs="Times New Roman"/>
          <w:color w:val="000000" w:themeColor="text1"/>
          <w:sz w:val="20"/>
          <w:szCs w:val="20"/>
          <w:vertAlign w:val="subscript"/>
        </w:rPr>
        <w:t>rivers</w:t>
      </w:r>
      <w:proofErr w:type="spellEnd"/>
      <w:r w:rsidRPr="00093394">
        <w:rPr>
          <w:rFonts w:ascii="Times New Roman" w:eastAsia="Arial" w:hAnsi="Times New Roman" w:cs="Times New Roman"/>
          <w:color w:val="000000" w:themeColor="text1"/>
          <w:sz w:val="20"/>
          <w:szCs w:val="20"/>
          <w:vertAlign w:val="subscript"/>
        </w:rPr>
        <w:t xml:space="preserve"> </w:t>
      </w:r>
      <w:r w:rsidRPr="00093394">
        <w:rPr>
          <w:rFonts w:ascii="Times New Roman" w:eastAsia="Arial" w:hAnsi="Times New Roman" w:cs="Times New Roman"/>
          <w:color w:val="000000" w:themeColor="text1"/>
          <w:sz w:val="20"/>
          <w:szCs w:val="20"/>
        </w:rPr>
        <w:t xml:space="preserve">is the C flux transported from estuaries to ocean, obtained by summing biogenic C transport from rivers into estuaries with estuaries C outgassing from </w:t>
      </w:r>
      <w:proofErr w:type="spellStart"/>
      <w:r w:rsidRPr="00093394">
        <w:rPr>
          <w:rFonts w:ascii="Times New Roman" w:eastAsia="Arial" w:hAnsi="Times New Roman" w:cs="Times New Roman"/>
          <w:color w:val="000000" w:themeColor="text1"/>
          <w:sz w:val="20"/>
          <w:szCs w:val="20"/>
        </w:rPr>
        <w:t>Laruelle</w:t>
      </w:r>
      <w:proofErr w:type="spellEnd"/>
      <w:r w:rsidRPr="00093394">
        <w:rPr>
          <w:rFonts w:ascii="Times New Roman" w:eastAsia="Arial" w:hAnsi="Times New Roman" w:cs="Times New Roman"/>
          <w:color w:val="000000" w:themeColor="text1"/>
          <w:sz w:val="20"/>
          <w:szCs w:val="20"/>
        </w:rPr>
        <w:t xml:space="preserve"> et al. For C transport from rivers into estuaries, we used Mayorga et al. for DOC and POC and Hartmann et al. for DIC, the sum of this flux rescaled so that all northern hemisphere regions have a river C transport equal to that of </w:t>
      </w:r>
      <w:proofErr w:type="spellStart"/>
      <w:r w:rsidRPr="00093394">
        <w:rPr>
          <w:rFonts w:ascii="Times New Roman" w:eastAsia="Arial" w:hAnsi="Times New Roman" w:cs="Times New Roman"/>
          <w:color w:val="000000" w:themeColor="text1"/>
          <w:sz w:val="20"/>
          <w:szCs w:val="20"/>
        </w:rPr>
        <w:t>Resplandy</w:t>
      </w:r>
      <w:proofErr w:type="spellEnd"/>
      <w:r w:rsidRPr="00093394">
        <w:rPr>
          <w:rFonts w:ascii="Times New Roman" w:eastAsia="Arial" w:hAnsi="Times New Roman" w:cs="Times New Roman"/>
          <w:color w:val="000000" w:themeColor="text1"/>
          <w:sz w:val="20"/>
          <w:szCs w:val="20"/>
        </w:rPr>
        <w:t xml:space="preserve"> et al. To separate biogenic river C transport of DIC from total DIC transport, the lithogenic river DIC transport was estimated from </w:t>
      </w:r>
      <w:proofErr w:type="spellStart"/>
      <w:r w:rsidRPr="00093394">
        <w:rPr>
          <w:rFonts w:ascii="Times New Roman" w:eastAsia="Arial" w:hAnsi="Times New Roman" w:cs="Times New Roman"/>
          <w:color w:val="000000" w:themeColor="text1"/>
          <w:sz w:val="20"/>
          <w:szCs w:val="20"/>
        </w:rPr>
        <w:t>Harmann</w:t>
      </w:r>
      <w:proofErr w:type="spellEnd"/>
      <w:r w:rsidRPr="00093394">
        <w:rPr>
          <w:rFonts w:ascii="Times New Roman" w:eastAsia="Arial" w:hAnsi="Times New Roman" w:cs="Times New Roman"/>
          <w:color w:val="000000" w:themeColor="text1"/>
          <w:sz w:val="20"/>
          <w:szCs w:val="20"/>
        </w:rPr>
        <w:t xml:space="preserve"> et al. to be 15 </w:t>
      </w:r>
      <w:proofErr w:type="spellStart"/>
      <w:r w:rsidRPr="00093394">
        <w:rPr>
          <w:rFonts w:ascii="Times New Roman" w:eastAsia="Arial" w:hAnsi="Times New Roman" w:cs="Times New Roman"/>
          <w:color w:val="000000" w:themeColor="text1"/>
          <w:sz w:val="20"/>
          <w:szCs w:val="20"/>
        </w:rPr>
        <w:t>Tg</w:t>
      </w:r>
      <w:proofErr w:type="spellEnd"/>
      <w:r w:rsidRPr="00093394">
        <w:rPr>
          <w:rFonts w:ascii="Times New Roman" w:eastAsia="Arial" w:hAnsi="Times New Roman" w:cs="Times New Roman"/>
          <w:color w:val="000000" w:themeColor="text1"/>
          <w:sz w:val="20"/>
          <w:szCs w:val="20"/>
        </w:rPr>
        <w:t xml:space="preserve"> C yr</w:t>
      </w:r>
      <w:r w:rsidRPr="00093394">
        <w:rPr>
          <w:rFonts w:ascii="Times New Roman" w:eastAsia="Arial" w:hAnsi="Times New Roman" w:cs="Times New Roman"/>
          <w:color w:val="000000" w:themeColor="text1"/>
          <w:sz w:val="20"/>
          <w:szCs w:val="20"/>
          <w:vertAlign w:val="superscript"/>
        </w:rPr>
        <w:t>-1</w:t>
      </w:r>
      <w:r w:rsidRPr="00093394">
        <w:rPr>
          <w:rFonts w:ascii="Times New Roman" w:eastAsia="Arial" w:hAnsi="Times New Roman" w:cs="Times New Roman"/>
          <w:color w:val="000000" w:themeColor="text1"/>
          <w:sz w:val="20"/>
          <w:szCs w:val="20"/>
        </w:rPr>
        <w:t xml:space="preserve"> in this region</w:t>
      </w:r>
    </w:p>
    <w:p w:rsidR="00F6749E" w:rsidRPr="005A63F3" w:rsidRDefault="00F6749E" w:rsidP="00F6749E">
      <w:pPr>
        <w:ind w:left="567" w:hanging="567"/>
        <w:rPr>
          <w:rFonts w:ascii="Times New Roman" w:eastAsia="Arial" w:hAnsi="Times New Roman" w:cs="Times New Roman"/>
          <w:color w:val="000000" w:themeColor="text1"/>
          <w:sz w:val="20"/>
          <w:szCs w:val="20"/>
        </w:rPr>
      </w:pPr>
      <w:r w:rsidRPr="00093394">
        <w:rPr>
          <w:rFonts w:ascii="Times New Roman" w:eastAsia="Arial" w:hAnsi="Times New Roman" w:cs="Times New Roman"/>
          <w:color w:val="000000" w:themeColor="text1"/>
          <w:sz w:val="20"/>
          <w:szCs w:val="20"/>
        </w:rPr>
        <w:t>d</w:t>
      </w:r>
      <w:r w:rsidRPr="00093394">
        <w:rPr>
          <w:rFonts w:ascii="Times New Roman" w:eastAsia="Arial" w:hAnsi="Times New Roman" w:cs="Times New Roman"/>
          <w:color w:val="000000" w:themeColor="text1"/>
          <w:sz w:val="20"/>
          <w:szCs w:val="20"/>
        </w:rPr>
        <w:tab/>
        <w:t xml:space="preserve">River C transport to estuaries and estuaries C outgassing are both assumed a relative uncertainty of 50%. The total error on </w:t>
      </w:r>
      <w:proofErr w:type="spellStart"/>
      <w:r w:rsidRPr="00093394">
        <w:rPr>
          <w:rFonts w:ascii="Times New Roman" w:eastAsia="Arial" w:hAnsi="Times New Roman" w:cs="Times New Roman"/>
          <w:color w:val="000000" w:themeColor="text1"/>
          <w:sz w:val="20"/>
          <w:szCs w:val="20"/>
        </w:rPr>
        <w:t>F</w:t>
      </w:r>
      <w:r w:rsidRPr="00093394">
        <w:rPr>
          <w:rFonts w:ascii="Times New Roman" w:eastAsia="Arial" w:hAnsi="Times New Roman" w:cs="Times New Roman"/>
          <w:color w:val="000000" w:themeColor="text1"/>
          <w:sz w:val="20"/>
          <w:szCs w:val="20"/>
          <w:vertAlign w:val="subscript"/>
        </w:rPr>
        <w:t>rivers</w:t>
      </w:r>
      <w:proofErr w:type="spellEnd"/>
      <w:r w:rsidRPr="00093394">
        <w:rPr>
          <w:rFonts w:ascii="Times New Roman" w:eastAsia="Arial" w:hAnsi="Times New Roman" w:cs="Times New Roman"/>
          <w:color w:val="000000" w:themeColor="text1"/>
          <w:sz w:val="20"/>
          <w:szCs w:val="20"/>
          <w:vertAlign w:val="subscript"/>
        </w:rPr>
        <w:t xml:space="preserve"> </w:t>
      </w:r>
      <w:r w:rsidRPr="00093394">
        <w:rPr>
          <w:rFonts w:ascii="Times New Roman" w:eastAsia="Arial" w:hAnsi="Times New Roman" w:cs="Times New Roman"/>
          <w:color w:val="000000" w:themeColor="text1"/>
          <w:sz w:val="20"/>
          <w:szCs w:val="20"/>
        </w:rPr>
        <w:t>is calculated by assuming these two terms have independent</w:t>
      </w:r>
      <w:r w:rsidRPr="005A63F3">
        <w:rPr>
          <w:rFonts w:ascii="Times New Roman" w:eastAsia="Arial" w:hAnsi="Times New Roman" w:cs="Times New Roman"/>
          <w:color w:val="000000" w:themeColor="text1"/>
          <w:sz w:val="20"/>
          <w:szCs w:val="20"/>
        </w:rPr>
        <w:t xml:space="preserve"> uncertainties</w:t>
      </w:r>
    </w:p>
    <w:p w:rsidR="00F6749E" w:rsidRPr="005A63F3" w:rsidRDefault="00F6749E"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e</w:t>
      </w:r>
      <w:r w:rsidRPr="005A63F3">
        <w:rPr>
          <w:rFonts w:ascii="Times New Roman" w:eastAsia="Arial" w:hAnsi="Times New Roman" w:cs="Times New Roman"/>
          <w:color w:val="000000" w:themeColor="text1"/>
          <w:sz w:val="20"/>
          <w:szCs w:val="20"/>
        </w:rPr>
        <w:tab/>
        <w:t>The total error on NEE</w:t>
      </w:r>
      <w:r w:rsidRPr="005A63F3">
        <w:rPr>
          <w:rFonts w:ascii="Times New Roman" w:eastAsia="Arial" w:hAnsi="Times New Roman" w:cs="Times New Roman"/>
          <w:color w:val="000000" w:themeColor="text1"/>
          <w:sz w:val="20"/>
          <w:szCs w:val="20"/>
          <w:vertAlign w:val="subscript"/>
        </w:rPr>
        <w:t xml:space="preserve"> </w:t>
      </w:r>
      <w:r w:rsidRPr="005A63F3">
        <w:rPr>
          <w:rFonts w:ascii="Times New Roman" w:eastAsia="Arial" w:hAnsi="Times New Roman" w:cs="Times New Roman"/>
          <w:color w:val="000000" w:themeColor="text1"/>
          <w:sz w:val="20"/>
          <w:szCs w:val="20"/>
        </w:rPr>
        <w:t>is calculated by assuming each term of Equation (1) have independent uncertainties</w:t>
      </w:r>
    </w:p>
    <w:p w:rsidR="00F6749E" w:rsidRPr="005A63F3" w:rsidRDefault="00F6749E"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f</w:t>
      </w:r>
      <w:r w:rsidRPr="005A63F3">
        <w:rPr>
          <w:rFonts w:ascii="Times New Roman" w:eastAsia="Arial" w:hAnsi="Times New Roman" w:cs="Times New Roman"/>
          <w:color w:val="000000" w:themeColor="text1"/>
          <w:sz w:val="20"/>
          <w:szCs w:val="20"/>
        </w:rPr>
        <w:tab/>
      </w:r>
      <w:proofErr w:type="spellStart"/>
      <w:r w:rsidRPr="00093394">
        <w:rPr>
          <w:rFonts w:ascii="Times New Roman" w:eastAsia="Arial" w:hAnsi="Times New Roman" w:cs="Times New Roman"/>
          <w:color w:val="000000" w:themeColor="text1"/>
          <w:sz w:val="20"/>
          <w:szCs w:val="20"/>
        </w:rPr>
        <w:t>F</w:t>
      </w:r>
      <w:r w:rsidRPr="00093394">
        <w:rPr>
          <w:rFonts w:ascii="Times New Roman" w:eastAsia="Arial" w:hAnsi="Times New Roman" w:cs="Times New Roman"/>
          <w:color w:val="000000" w:themeColor="text1"/>
          <w:sz w:val="20"/>
          <w:szCs w:val="20"/>
          <w:vertAlign w:val="subscript"/>
        </w:rPr>
        <w:t>crop</w:t>
      </w:r>
      <w:proofErr w:type="spellEnd"/>
      <w:r w:rsidRPr="00093394">
        <w:rPr>
          <w:rFonts w:ascii="Times New Roman" w:eastAsia="Arial" w:hAnsi="Times New Roman" w:cs="Times New Roman"/>
          <w:color w:val="000000" w:themeColor="text1"/>
          <w:sz w:val="20"/>
          <w:szCs w:val="20"/>
          <w:vertAlign w:val="subscript"/>
        </w:rPr>
        <w:t xml:space="preserve"> products </w:t>
      </w:r>
      <w:r w:rsidRPr="00093394">
        <w:rPr>
          <w:rFonts w:ascii="Times New Roman" w:eastAsia="Arial" w:hAnsi="Times New Roman" w:cs="Times New Roman"/>
          <w:color w:val="000000" w:themeColor="text1"/>
          <w:sz w:val="20"/>
          <w:szCs w:val="20"/>
        </w:rPr>
        <w:t xml:space="preserve">is estimated from crop production (217 </w:t>
      </w:r>
      <w:proofErr w:type="spellStart"/>
      <w:r w:rsidRPr="00093394">
        <w:rPr>
          <w:rFonts w:ascii="Times New Roman" w:eastAsia="Arial" w:hAnsi="Times New Roman" w:cs="Times New Roman"/>
          <w:color w:val="000000" w:themeColor="text1"/>
          <w:sz w:val="20"/>
          <w:szCs w:val="20"/>
        </w:rPr>
        <w:t>TgC</w:t>
      </w:r>
      <w:proofErr w:type="spellEnd"/>
      <w:r w:rsidRPr="00093394">
        <w:rPr>
          <w:rFonts w:ascii="Times New Roman" w:eastAsia="Arial" w:hAnsi="Times New Roman" w:cs="Times New Roman"/>
          <w:color w:val="000000" w:themeColor="text1"/>
          <w:sz w:val="20"/>
          <w:szCs w:val="20"/>
        </w:rPr>
        <w:t xml:space="preserve"> y</w:t>
      </w:r>
      <w:r>
        <w:rPr>
          <w:rFonts w:ascii="Times New Roman" w:eastAsia="Arial" w:hAnsi="Times New Roman" w:cs="Times New Roman"/>
          <w:color w:val="000000" w:themeColor="text1"/>
          <w:sz w:val="20"/>
          <w:szCs w:val="20"/>
        </w:rPr>
        <w:t>r</w:t>
      </w:r>
      <w:r w:rsidRPr="0024782A">
        <w:rPr>
          <w:rFonts w:ascii="Times New Roman" w:eastAsia="Arial" w:hAnsi="Times New Roman" w:cs="Times New Roman"/>
          <w:color w:val="000000" w:themeColor="text1"/>
          <w:sz w:val="20"/>
          <w:szCs w:val="20"/>
          <w:vertAlign w:val="superscript"/>
        </w:rPr>
        <w:t>-1</w:t>
      </w:r>
      <w:r w:rsidRPr="00093394">
        <w:rPr>
          <w:rFonts w:ascii="Times New Roman" w:eastAsia="Arial" w:hAnsi="Times New Roman" w:cs="Times New Roman"/>
          <w:color w:val="000000" w:themeColor="text1"/>
          <w:sz w:val="20"/>
          <w:szCs w:val="20"/>
        </w:rPr>
        <w:t xml:space="preserve">) minus crop trade net export (35 </w:t>
      </w:r>
      <w:proofErr w:type="spellStart"/>
      <w:r w:rsidRPr="00093394">
        <w:rPr>
          <w:rFonts w:ascii="Times New Roman" w:eastAsia="Arial" w:hAnsi="Times New Roman" w:cs="Times New Roman"/>
          <w:color w:val="000000" w:themeColor="text1"/>
          <w:sz w:val="20"/>
          <w:szCs w:val="20"/>
        </w:rPr>
        <w:t>TgC</w:t>
      </w:r>
      <w:proofErr w:type="spellEnd"/>
      <w:r w:rsidRPr="00093394">
        <w:rPr>
          <w:rFonts w:ascii="Times New Roman" w:eastAsia="Arial" w:hAnsi="Times New Roman" w:cs="Times New Roman"/>
          <w:color w:val="000000" w:themeColor="text1"/>
          <w:sz w:val="20"/>
          <w:szCs w:val="20"/>
        </w:rPr>
        <w:t xml:space="preserve"> yr</w:t>
      </w:r>
      <w:r w:rsidRPr="0024782A">
        <w:rPr>
          <w:rFonts w:ascii="Times New Roman" w:eastAsia="Arial" w:hAnsi="Times New Roman" w:cs="Times New Roman"/>
          <w:color w:val="000000" w:themeColor="text1"/>
          <w:sz w:val="20"/>
          <w:szCs w:val="20"/>
          <w:vertAlign w:val="superscript"/>
        </w:rPr>
        <w:t>-1</w:t>
      </w:r>
      <w:r w:rsidRPr="00093394">
        <w:rPr>
          <w:rFonts w:ascii="Times New Roman" w:eastAsia="Arial" w:hAnsi="Times New Roman" w:cs="Times New Roman"/>
          <w:color w:val="000000" w:themeColor="text1"/>
          <w:sz w:val="20"/>
          <w:szCs w:val="20"/>
        </w:rPr>
        <w:t>) based on SOCCR Report (p. 88)</w:t>
      </w:r>
      <w:r w:rsidRPr="005A63F3">
        <w:rPr>
          <w:rFonts w:ascii="Times New Roman" w:eastAsia="Arial" w:hAnsi="Times New Roman" w:cs="Times New Roman"/>
          <w:color w:val="000000" w:themeColor="text1"/>
          <w:sz w:val="20"/>
          <w:szCs w:val="20"/>
        </w:rPr>
        <w:t xml:space="preserve"> </w:t>
      </w:r>
    </w:p>
    <w:p w:rsidR="00F6749E" w:rsidRPr="005A63F3" w:rsidRDefault="00F6749E"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g</w:t>
      </w:r>
      <w:r w:rsidRPr="005A63F3">
        <w:rPr>
          <w:rFonts w:ascii="Times New Roman" w:eastAsia="Arial" w:hAnsi="Times New Roman" w:cs="Times New Roman"/>
          <w:color w:val="000000" w:themeColor="text1"/>
          <w:sz w:val="20"/>
          <w:szCs w:val="20"/>
        </w:rPr>
        <w:t xml:space="preserve"> </w:t>
      </w:r>
      <w:r w:rsidRPr="005A63F3">
        <w:rPr>
          <w:rFonts w:ascii="Times New Roman" w:eastAsia="Arial" w:hAnsi="Times New Roman" w:cs="Times New Roman"/>
          <w:color w:val="000000" w:themeColor="text1"/>
          <w:sz w:val="20"/>
          <w:szCs w:val="20"/>
        </w:rPr>
        <w:tab/>
      </w:r>
      <w:proofErr w:type="spellStart"/>
      <w:r w:rsidRPr="00093394">
        <w:rPr>
          <w:rFonts w:ascii="Times New Roman" w:eastAsia="Arial" w:hAnsi="Times New Roman" w:cs="Times New Roman"/>
          <w:color w:val="000000" w:themeColor="text1"/>
          <w:sz w:val="20"/>
          <w:szCs w:val="20"/>
        </w:rPr>
        <w:t>F</w:t>
      </w:r>
      <w:r w:rsidRPr="00093394">
        <w:rPr>
          <w:rFonts w:ascii="Times New Roman" w:eastAsia="Arial" w:hAnsi="Times New Roman" w:cs="Times New Roman"/>
          <w:color w:val="000000" w:themeColor="text1"/>
          <w:sz w:val="20"/>
          <w:szCs w:val="20"/>
          <w:vertAlign w:val="subscript"/>
        </w:rPr>
        <w:t>wood</w:t>
      </w:r>
      <w:proofErr w:type="spellEnd"/>
      <w:r w:rsidRPr="00093394">
        <w:rPr>
          <w:rFonts w:ascii="Times New Roman" w:eastAsia="Arial" w:hAnsi="Times New Roman" w:cs="Times New Roman"/>
          <w:color w:val="000000" w:themeColor="text1"/>
          <w:sz w:val="20"/>
          <w:szCs w:val="20"/>
          <w:vertAlign w:val="subscript"/>
        </w:rPr>
        <w:t xml:space="preserve"> products</w:t>
      </w:r>
      <w:r w:rsidRPr="00093394">
        <w:rPr>
          <w:rFonts w:ascii="Times New Roman" w:eastAsia="Arial" w:hAnsi="Times New Roman" w:cs="Times New Roman"/>
          <w:color w:val="000000" w:themeColor="text1"/>
          <w:sz w:val="20"/>
          <w:szCs w:val="20"/>
        </w:rPr>
        <w:t xml:space="preserve"> is the sum of wood products decay in landfills, biomass burned in industry and biomass burned in power plants</w:t>
      </w:r>
    </w:p>
    <w:p w:rsidR="00F6749E" w:rsidRPr="00570D37" w:rsidRDefault="00F6749E" w:rsidP="00F6749E">
      <w:pPr>
        <w:ind w:left="567" w:hanging="567"/>
        <w:rPr>
          <w:rFonts w:ascii="Times New Roman" w:eastAsia="Arial" w:hAnsi="Times New Roman" w:cs="Times New Roman"/>
          <w:color w:val="000000" w:themeColor="text1"/>
          <w:sz w:val="20"/>
          <w:szCs w:val="20"/>
        </w:rPr>
      </w:pPr>
      <w:r w:rsidRPr="00093394">
        <w:rPr>
          <w:rFonts w:ascii="Times New Roman" w:eastAsia="Arial" w:hAnsi="Times New Roman" w:cs="Times New Roman"/>
          <w:color w:val="000000" w:themeColor="text1"/>
          <w:sz w:val="20"/>
          <w:szCs w:val="20"/>
        </w:rPr>
        <w:t>h</w:t>
      </w:r>
      <w:r w:rsidRPr="00093394">
        <w:rPr>
          <w:rFonts w:ascii="Times New Roman" w:eastAsia="Arial" w:hAnsi="Times New Roman" w:cs="Times New Roman"/>
          <w:color w:val="000000" w:themeColor="text1"/>
          <w:sz w:val="20"/>
          <w:szCs w:val="20"/>
        </w:rPr>
        <w:tab/>
        <w:t xml:space="preserve">Uncertainty assumed to be 50% for landfills wood products and estimated by Monte Carlo approach by Wang et </w:t>
      </w:r>
      <w:r w:rsidRPr="00570D37">
        <w:rPr>
          <w:rFonts w:ascii="Times New Roman" w:eastAsia="Arial" w:hAnsi="Times New Roman" w:cs="Times New Roman"/>
          <w:color w:val="000000" w:themeColor="text1"/>
          <w:sz w:val="20"/>
          <w:szCs w:val="20"/>
        </w:rPr>
        <w:t>al. for biomass burned in industry and power plants</w:t>
      </w:r>
    </w:p>
    <w:p w:rsidR="00E8739C" w:rsidRDefault="00E8739C" w:rsidP="00E8739C">
      <w:pPr>
        <w:ind w:left="567" w:hanging="567"/>
        <w:rPr>
          <w:rFonts w:ascii="Times New Roman" w:eastAsia="Arial" w:hAnsi="Times New Roman" w:cs="Times New Roman"/>
          <w:color w:val="000000" w:themeColor="text1"/>
          <w:sz w:val="20"/>
          <w:szCs w:val="20"/>
        </w:rPr>
      </w:pPr>
      <w:proofErr w:type="spellStart"/>
      <w:r>
        <w:rPr>
          <w:rFonts w:ascii="Times New Roman" w:eastAsia="Arial" w:hAnsi="Times New Roman" w:cs="Times New Roman"/>
          <w:color w:val="000000" w:themeColor="text1"/>
          <w:sz w:val="20"/>
          <w:szCs w:val="20"/>
        </w:rPr>
        <w:t>i</w:t>
      </w:r>
      <w:proofErr w:type="spellEnd"/>
      <w:r>
        <w:rPr>
          <w:rFonts w:ascii="Times New Roman" w:eastAsia="Arial" w:hAnsi="Times New Roman" w:cs="Times New Roman"/>
          <w:color w:val="000000" w:themeColor="text1"/>
          <w:sz w:val="20"/>
          <w:szCs w:val="20"/>
        </w:rPr>
        <w:tab/>
      </w:r>
      <w:proofErr w:type="spellStart"/>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fires</w:t>
      </w:r>
      <w:proofErr w:type="spellEnd"/>
      <w:r w:rsidRPr="00E8739C">
        <w:rPr>
          <w:rFonts w:ascii="Times New Roman" w:eastAsia="Arial" w:hAnsi="Times New Roman" w:cs="Times New Roman"/>
          <w:color w:val="000000" w:themeColor="text1"/>
          <w:sz w:val="20"/>
          <w:szCs w:val="20"/>
          <w:vertAlign w:val="subscript"/>
        </w:rPr>
        <w:t xml:space="preserve"> </w:t>
      </w:r>
      <w:r w:rsidRPr="00E8739C">
        <w:rPr>
          <w:rFonts w:ascii="Times New Roman" w:eastAsia="Arial" w:hAnsi="Times New Roman" w:cs="Times New Roman"/>
          <w:color w:val="000000" w:themeColor="text1"/>
          <w:sz w:val="20"/>
          <w:szCs w:val="20"/>
        </w:rPr>
        <w:t>includes open fires and crop residues burning estimated from Wang et al.</w:t>
      </w:r>
    </w:p>
    <w:p w:rsidR="00F6749E" w:rsidRPr="00570D37" w:rsidRDefault="00E8739C"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j</w:t>
      </w:r>
      <w:r w:rsidR="00F6749E" w:rsidRPr="00570D37">
        <w:rPr>
          <w:rFonts w:ascii="Times New Roman" w:eastAsia="Arial" w:hAnsi="Times New Roman" w:cs="Times New Roman"/>
          <w:color w:val="000000" w:themeColor="text1"/>
          <w:sz w:val="20"/>
          <w:szCs w:val="20"/>
        </w:rPr>
        <w:t xml:space="preserve"> </w:t>
      </w:r>
      <w:r w:rsidR="00F6749E" w:rsidRPr="00570D37">
        <w:rPr>
          <w:rFonts w:ascii="Times New Roman" w:eastAsia="Arial" w:hAnsi="Times New Roman" w:cs="Times New Roman"/>
          <w:color w:val="000000" w:themeColor="text1"/>
          <w:sz w:val="20"/>
          <w:szCs w:val="20"/>
        </w:rPr>
        <w:tab/>
        <w:t>F</w:t>
      </w:r>
      <w:r w:rsidR="00F6749E" w:rsidRPr="00570D37">
        <w:rPr>
          <w:rFonts w:ascii="Times New Roman" w:eastAsia="Arial" w:hAnsi="Times New Roman" w:cs="Times New Roman"/>
          <w:color w:val="000000" w:themeColor="text1"/>
          <w:sz w:val="20"/>
          <w:szCs w:val="20"/>
          <w:vertAlign w:val="subscript"/>
        </w:rPr>
        <w:t xml:space="preserve">LUC RECCAP </w:t>
      </w:r>
      <w:r w:rsidR="00F6749E" w:rsidRPr="00570D37">
        <w:rPr>
          <w:rFonts w:ascii="Times New Roman" w:eastAsia="Arial" w:hAnsi="Times New Roman" w:cs="Times New Roman"/>
          <w:color w:val="000000" w:themeColor="text1"/>
          <w:sz w:val="20"/>
          <w:szCs w:val="20"/>
        </w:rPr>
        <w:t xml:space="preserve">includes agricultural soils C balance and a woody encroachment carbon sink from SOCCR Report (Table ES.I pp. 6). Note that changes in forest land-use are imbedded in the ΔC estimate </w:t>
      </w:r>
    </w:p>
    <w:p w:rsidR="00F6749E" w:rsidRPr="005A63F3" w:rsidRDefault="00E8739C"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k</w:t>
      </w:r>
      <w:r w:rsidR="00F6749E" w:rsidRPr="00570D37">
        <w:rPr>
          <w:rFonts w:ascii="Times New Roman" w:eastAsia="Arial" w:hAnsi="Times New Roman" w:cs="Times New Roman"/>
          <w:color w:val="000000" w:themeColor="text1"/>
          <w:sz w:val="20"/>
          <w:szCs w:val="20"/>
        </w:rPr>
        <w:tab/>
        <w:t>From SOCCR</w:t>
      </w:r>
      <w:r w:rsidR="00F6749E" w:rsidRPr="00093394">
        <w:rPr>
          <w:rFonts w:ascii="Times New Roman" w:eastAsia="Arial" w:hAnsi="Times New Roman" w:cs="Times New Roman"/>
          <w:color w:val="000000" w:themeColor="text1"/>
          <w:sz w:val="20"/>
          <w:szCs w:val="20"/>
        </w:rPr>
        <w:t xml:space="preserve"> uncertainty reported as a 95% CI divided by two to have 1-sigma estimate, assuming</w:t>
      </w:r>
      <w:r w:rsidR="00F6749E" w:rsidRPr="005A63F3">
        <w:rPr>
          <w:rFonts w:ascii="Times New Roman" w:eastAsia="Arial" w:hAnsi="Times New Roman" w:cs="Times New Roman"/>
          <w:color w:val="000000" w:themeColor="text1"/>
          <w:sz w:val="20"/>
          <w:szCs w:val="20"/>
        </w:rPr>
        <w:t xml:space="preserve"> Gaussian error</w:t>
      </w:r>
    </w:p>
    <w:p w:rsidR="00F6749E" w:rsidRPr="005A63F3" w:rsidRDefault="00E8739C"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l</w:t>
      </w:r>
      <w:r w:rsidR="00F6749E" w:rsidRPr="005A63F3">
        <w:rPr>
          <w:rFonts w:ascii="Times New Roman" w:eastAsia="Arial" w:hAnsi="Times New Roman" w:cs="Times New Roman"/>
          <w:color w:val="000000" w:themeColor="text1"/>
          <w:sz w:val="20"/>
          <w:szCs w:val="20"/>
        </w:rPr>
        <w:tab/>
        <w:t>Based on site level evaluation. The same relative NPP uncertainty was used for other NPP products</w:t>
      </w:r>
    </w:p>
    <w:p w:rsidR="00F6749E" w:rsidRPr="00DA354E" w:rsidRDefault="00F6749E" w:rsidP="00F6749E">
      <w:pPr>
        <w:rPr>
          <w:rFonts w:ascii="Times New Roman" w:eastAsia="Arial" w:hAnsi="Times New Roman" w:cs="Times New Roman"/>
          <w:color w:val="000000" w:themeColor="text1"/>
          <w:sz w:val="18"/>
          <w:szCs w:val="18"/>
        </w:rPr>
      </w:pPr>
    </w:p>
    <w:p w:rsidR="00F6749E" w:rsidRPr="00DA354E" w:rsidRDefault="00F6749E" w:rsidP="00F6749E">
      <w:pPr>
        <w:ind w:left="567"/>
        <w:rPr>
          <w:rFonts w:ascii="Times New Roman" w:eastAsia="Arial" w:hAnsi="Times New Roman" w:cs="Times New Roman"/>
          <w:color w:val="000000" w:themeColor="text1"/>
          <w:sz w:val="18"/>
          <w:szCs w:val="18"/>
        </w:rPr>
      </w:pPr>
      <w:r w:rsidRPr="00DA354E">
        <w:rPr>
          <w:rFonts w:ascii="Times New Roman" w:eastAsia="Arial" w:hAnsi="Times New Roman" w:cs="Times New Roman"/>
          <w:color w:val="000000" w:themeColor="text1"/>
          <w:sz w:val="18"/>
          <w:szCs w:val="18"/>
        </w:rPr>
        <w:tab/>
      </w:r>
    </w:p>
    <w:p w:rsidR="00F6749E" w:rsidRPr="00F6749E" w:rsidRDefault="00F6749E" w:rsidP="00F6749E">
      <w:pPr>
        <w:ind w:left="567"/>
        <w:rPr>
          <w:rFonts w:ascii="Times New Roman" w:eastAsia="Arial" w:hAnsi="Times New Roman" w:cs="Times New Roman"/>
          <w:color w:val="000000" w:themeColor="text1"/>
          <w:sz w:val="18"/>
          <w:szCs w:val="18"/>
        </w:rPr>
      </w:pPr>
      <w:r w:rsidRPr="00DA354E">
        <w:rPr>
          <w:rFonts w:ascii="Times New Roman" w:hAnsi="Times New Roman" w:cs="Times New Roman"/>
          <w:color w:val="000000" w:themeColor="text1"/>
        </w:rPr>
        <w:br w:type="page"/>
      </w: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630"/>
        <w:gridCol w:w="270"/>
        <w:gridCol w:w="810"/>
        <w:gridCol w:w="3695"/>
        <w:gridCol w:w="1720"/>
      </w:tblGrid>
      <w:tr w:rsidR="00F6749E" w:rsidRPr="00DA354E" w:rsidTr="00F6749E">
        <w:trPr>
          <w:trHeight w:val="400"/>
        </w:trPr>
        <w:tc>
          <w:tcPr>
            <w:tcW w:w="8940" w:type="dxa"/>
            <w:gridSpan w:val="6"/>
            <w:shd w:val="clear" w:color="auto" w:fill="auto"/>
            <w:tcMar>
              <w:top w:w="100" w:type="dxa"/>
              <w:left w:w="100" w:type="dxa"/>
              <w:bottom w:w="100" w:type="dxa"/>
              <w:right w:w="100" w:type="dxa"/>
            </w:tcMar>
            <w:vAlign w:val="center"/>
          </w:tcPr>
          <w:p w:rsidR="00F6749E" w:rsidRPr="00DA354E" w:rsidRDefault="00F6749E" w:rsidP="00F6749E">
            <w:pPr>
              <w:widowControl w:val="0"/>
              <w:rPr>
                <w:rFonts w:ascii="Times New Roman" w:eastAsia="Arial" w:hAnsi="Times New Roman" w:cs="Times New Roman"/>
                <w:b/>
                <w:color w:val="000000" w:themeColor="text1"/>
              </w:rPr>
            </w:pPr>
            <w:r w:rsidRPr="00DA354E">
              <w:rPr>
                <w:rFonts w:ascii="Times New Roman" w:eastAsia="Arial" w:hAnsi="Times New Roman" w:cs="Times New Roman"/>
                <w:b/>
                <w:color w:val="000000" w:themeColor="text1"/>
              </w:rPr>
              <w:lastRenderedPageBreak/>
              <w:t>Europe</w:t>
            </w:r>
          </w:p>
        </w:tc>
      </w:tr>
      <w:tr w:rsidR="00F6749E" w:rsidRPr="00F6749E" w:rsidTr="00570D37">
        <w:trPr>
          <w:trHeight w:val="400"/>
        </w:trPr>
        <w:tc>
          <w:tcPr>
            <w:tcW w:w="3525" w:type="dxa"/>
            <w:gridSpan w:val="4"/>
            <w:shd w:val="clear" w:color="auto" w:fill="auto"/>
            <w:tcMar>
              <w:top w:w="100" w:type="dxa"/>
              <w:left w:w="100" w:type="dxa"/>
              <w:bottom w:w="100" w:type="dxa"/>
              <w:right w:w="100" w:type="dxa"/>
            </w:tcMar>
            <w:vAlign w:val="center"/>
          </w:tcPr>
          <w:p w:rsidR="00F6749E" w:rsidRPr="00F6749E" w:rsidRDefault="004A6EE9" w:rsidP="00F6749E">
            <w:pPr>
              <w:widowControl w:val="0"/>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roofErr w:type="spellStart"/>
            <w:r w:rsidRPr="005A63F3">
              <w:rPr>
                <w:rFonts w:ascii="Times New Roman" w:eastAsia="Arial" w:hAnsi="Times New Roman" w:cs="Times New Roman"/>
                <w:color w:val="000000" w:themeColor="text1"/>
                <w:sz w:val="20"/>
                <w:szCs w:val="20"/>
              </w:rPr>
              <w:t>TgC</w:t>
            </w:r>
            <w:proofErr w:type="spellEnd"/>
            <w:r w:rsidRPr="005A63F3">
              <w:rPr>
                <w:rFonts w:ascii="Times New Roman" w:eastAsia="Arial" w:hAnsi="Times New Roman" w:cs="Times New Roman"/>
                <w:color w:val="000000" w:themeColor="text1"/>
                <w:sz w:val="20"/>
                <w:szCs w:val="20"/>
              </w:rPr>
              <w:t xml:space="preserve"> yr</w:t>
            </w:r>
            <w:r w:rsidRPr="005A63F3">
              <w:rPr>
                <w:rFonts w:ascii="Times New Roman" w:eastAsia="Arial" w:hAnsi="Times New Roman" w:cs="Times New Roman"/>
                <w:color w:val="000000" w:themeColor="text1"/>
                <w:sz w:val="20"/>
                <w:szCs w:val="20"/>
                <w:vertAlign w:val="superscript"/>
              </w:rPr>
              <w:t>-1</w:t>
            </w:r>
            <w:r w:rsidRPr="005A63F3">
              <w:rPr>
                <w:rFonts w:ascii="Times New Roman" w:eastAsia="Arial" w:hAnsi="Times New Roman" w:cs="Times New Roman"/>
                <w:color w:val="000000" w:themeColor="text1"/>
                <w:sz w:val="20"/>
                <w:szCs w:val="20"/>
              </w:rPr>
              <w:t>)</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Reference</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Uncertainty estimation</w:t>
            </w:r>
          </w:p>
        </w:tc>
      </w:tr>
      <w:tr w:rsidR="00F6749E" w:rsidRPr="001D7FE4" w:rsidTr="00570D37">
        <w:trPr>
          <w:trHeight w:val="600"/>
        </w:trPr>
        <w:tc>
          <w:tcPr>
            <w:tcW w:w="1815" w:type="dxa"/>
            <w:tcBorders>
              <w:top w:val="single" w:sz="8" w:space="0" w:color="000000"/>
              <w:left w:val="single" w:sz="8" w:space="0" w:color="000000"/>
              <w:bottom w:val="single" w:sz="8" w:space="0" w:color="000000"/>
            </w:tcBorders>
            <w:shd w:val="clear" w:color="auto" w:fill="FFFFFF"/>
            <w:vAlign w:val="center"/>
          </w:tcPr>
          <w:p w:rsidR="00F6749E" w:rsidRPr="00F6749E" w:rsidRDefault="00F6749E" w:rsidP="00F6749E">
            <w:pPr>
              <w:rPr>
                <w:rFonts w:ascii="Times New Roman" w:eastAsia="Arial" w:hAnsi="Times New Roman" w:cs="Times New Roman"/>
                <w:color w:val="000000" w:themeColor="text1"/>
                <w:sz w:val="20"/>
                <w:szCs w:val="20"/>
              </w:rPr>
            </w:pPr>
            <w:r w:rsidRPr="00F6749E">
              <w:rPr>
                <w:rFonts w:ascii="Times New Roman" w:eastAsia="Arial Unicode MS" w:hAnsi="Times New Roman" w:cs="Times New Roman"/>
                <w:color w:val="000000" w:themeColor="text1"/>
                <w:sz w:val="20"/>
                <w:szCs w:val="20"/>
              </w:rPr>
              <w:t>∆C</w:t>
            </w:r>
          </w:p>
        </w:tc>
        <w:tc>
          <w:tcPr>
            <w:tcW w:w="630" w:type="dxa"/>
            <w:tcMar>
              <w:top w:w="0" w:type="dxa"/>
              <w:left w:w="0" w:type="dxa"/>
              <w:bottom w:w="0" w:type="dxa"/>
              <w:right w:w="0" w:type="dxa"/>
            </w:tcMar>
            <w:vAlign w:val="center"/>
          </w:tcPr>
          <w:p w:rsidR="00F6749E" w:rsidRPr="00F6749E" w:rsidRDefault="00F6749E" w:rsidP="009F5F02">
            <w:pPr>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-316</w:t>
            </w:r>
          </w:p>
        </w:tc>
        <w:tc>
          <w:tcPr>
            <w:tcW w:w="270" w:type="dxa"/>
            <w:tcMar>
              <w:top w:w="0" w:type="dxa"/>
              <w:left w:w="0" w:type="dxa"/>
              <w:bottom w:w="0" w:type="dxa"/>
              <w:right w:w="0" w:type="dxa"/>
            </w:tcMar>
            <w:vAlign w:val="center"/>
          </w:tcPr>
          <w:p w:rsidR="00F6749E" w:rsidRPr="00F6749E" w:rsidRDefault="00F6749E" w:rsidP="009F5F02">
            <w:pPr>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158</w:t>
            </w:r>
          </w:p>
        </w:tc>
        <w:tc>
          <w:tcPr>
            <w:tcW w:w="3695" w:type="dxa"/>
            <w:tcBorders>
              <w:top w:val="single" w:sz="8" w:space="0" w:color="000000"/>
              <w:bottom w:val="single" w:sz="8" w:space="0" w:color="000000"/>
              <w:right w:val="single" w:sz="8" w:space="0" w:color="000000"/>
            </w:tcBorders>
            <w:shd w:val="clear" w:color="auto" w:fill="FFFFFF"/>
            <w:vAlign w:val="center"/>
          </w:tcPr>
          <w:p w:rsidR="00F6749E" w:rsidRPr="00F6749E" w:rsidRDefault="00F6749E" w:rsidP="00F6749E">
            <w:pPr>
              <w:rPr>
                <w:rFonts w:ascii="Times New Roman" w:eastAsia="Arial" w:hAnsi="Times New Roman" w:cs="Times New Roman"/>
                <w:color w:val="000000" w:themeColor="text1"/>
                <w:sz w:val="20"/>
                <w:szCs w:val="20"/>
                <w:lang w:val="fr-FR"/>
              </w:rPr>
            </w:pPr>
            <w:proofErr w:type="spellStart"/>
            <w:r w:rsidRPr="00F6749E">
              <w:rPr>
                <w:rFonts w:ascii="Times New Roman" w:eastAsia="Arial" w:hAnsi="Times New Roman" w:cs="Times New Roman"/>
                <w:color w:val="000000" w:themeColor="text1"/>
                <w:sz w:val="20"/>
                <w:szCs w:val="20"/>
              </w:rPr>
              <w:t>Luyssaert</w:t>
            </w:r>
            <w:proofErr w:type="spellEnd"/>
            <w:r w:rsidRPr="00F6749E">
              <w:rPr>
                <w:rFonts w:ascii="Times New Roman" w:eastAsia="Arial" w:hAnsi="Times New Roman" w:cs="Times New Roman"/>
                <w:color w:val="000000" w:themeColor="text1"/>
                <w:sz w:val="20"/>
                <w:szCs w:val="20"/>
              </w:rPr>
              <w:t xml:space="preserve"> et al. </w:t>
            </w:r>
            <w:r>
              <w:rPr>
                <w:rFonts w:ascii="Times New Roman" w:eastAsia="Arial" w:hAnsi="Times New Roman" w:cs="Times New Roman"/>
                <w:color w:val="000000" w:themeColor="text1"/>
                <w:sz w:val="20"/>
                <w:szCs w:val="20"/>
              </w:rPr>
              <w:t>[</w:t>
            </w:r>
            <w:r w:rsidRPr="00F6749E">
              <w:rPr>
                <w:rFonts w:ascii="Times New Roman" w:eastAsia="Arial" w:hAnsi="Times New Roman" w:cs="Times New Roman"/>
                <w:color w:val="000000" w:themeColor="text1"/>
                <w:sz w:val="20"/>
                <w:szCs w:val="20"/>
              </w:rPr>
              <w:fldChar w:fldCharType="begin" w:fldLock="1"/>
            </w:r>
            <w:r w:rsidRPr="00F6749E">
              <w:rPr>
                <w:rFonts w:ascii="Times New Roman" w:eastAsia="Arial" w:hAnsi="Times New Roman" w:cs="Times New Roman"/>
                <w:color w:val="000000" w:themeColor="text1"/>
                <w:sz w:val="20"/>
                <w:szCs w:val="20"/>
              </w:rPr>
              <w:instrText>ADDIN CSL_CITATION {"citationItems":[{"id":"ITEM-1","itemData":{"DOI":"10.5194/bg-9-3357-2012","ISSN":"17264170","abstract":"Globally, terrestrial ecosystems have absorbed about 30% of anthropogenic greenhouse gas emissions over the period 2000-2007 and inter-hemispheric gradients indicate that a significant fraction of terrestrial carbon sequestration must be north of the Equator. We present a compilation of the CO 2 , CO, CH 4  and N 2 O balances of Europe following a dual constraint approach in which (1) a land-based balance derived mainly from ecosystem carbon inventories and (2) a land-based balance derived from flux measurements are compared to (3) the atmospheric data-based balance derived from inversions constrained by measurements of atmospheric GHG (greenhouse gas) concentrations. Good agreement between the GHG balances based on fluxes (1294 ± 545 Tg C in CO 2 -eq yr -1 ), inventories (1299 ± 200 Tg C in CO 2 -eq yr -1 ) and inversions (1210 ± 405 Tg C in CO 2 -eq yr -1 ) increases our confidence that the processes underlying the European GHG budget are well understood and reasonably sampled. However, the uncertainty remains large and largely lacks formal estimates. Given that European net land to atmosphere exchanges are determined by a few dominant fluxes, the uncertainty of these key components needs to be formally estimated before efforts could be made to reduce the overall uncertainty. The net land-to-atmosphere flux is a net source for CO 2 , CO, CH 4  and N 2 O, because the anthropogenic emissions by far exceed the biogenic sink strength. The dual-constraint approach confirmed that the European biogenic sink removes as much as 205 ± 72 Tg C yr -1  from fossil fuel burning from the atmosphere. However, This C is being sequestered in both terrestrial and inland aquatic ecosystems. If the C-cost for ecosystem management is taken into account, the net uptake of ecosystems is estimated to decrease by 45% but still indicates substantial C-sequestration. However, when the balance is extended from CO 2  towards the main GHGs, C-uptake by terrestrial and aquatic ecosystems is offset by emissions of non-CO 2  GHGs. As such, the European ecosystems are unlikely to contribute to mitigating the effects of climate change. © 2012 Author(s). CC Attribution 3.0 License.","author":[{"dropping-particle":"","family":"Luyssaert","given":"S.","non-dropping-particle":"","parse-names":false,"suffix":""},{"dropping-particle":"","family":"Abril","given":"G.","non-dropping-particle":"","parse-names":false,"suffix":""},{"dropping-particle":"","family":"Andres","given":"R.","non-dropping-particle":"","parse-names":false,"suffix":""},{"dropping-particle":"","family":"Bastviken","given":"D.","non-dropping-particle":"","parse-names":false,"suffix":""},{"dropping-particle":"","family":"Bellassen","given":"V.","non-dropping-particle":"","parse-names":false,"suffix":""},{"dropping-particle":"","family":"Bergamaschi","given":"P.","non-dropping-particle":"","parse-names":false,"suffix":""},{"dropping-particle":"","family":"Bousquet","given":"P.","non-dropping-particle":"","parse-names":false,"suffix":""},{"dropping-particle":"","family":"Chevallier","given":"F.","non-dropping-particle":"","parse-names":false,"suffix":""},{"dropping-particle":"","family":"Ciais","given":"P.","non-dropping-particle":"","parse-names":false,"suffix":""},{"dropping-particle":"","family":"Corazza","given":"M.","non-dropping-particle":"","parse-names":false,"suffix":""},{"dropping-particle":"","family":"Dechow","given":"R.","non-dropping-particle":"","parse-names":false,"suffix":""},{"dropping-particle":"","family":"Erb","given":"K.-H.","non-dropping-particle":"","parse-names":false,"suffix":""},{"dropping-particle":"","family":"Etiope","given":"G.","non-dropping-particle":"","parse-names":false,"suffix":""},{"dropping-particle":"","family":"Fortems-Cheiney","given":"A.","non-dropping-particle":"","parse-names":false,"suffix":""},{"dropping-particle":"","family":"Grassi","given":"G.","non-dropping-particle":"","parse-names":false,"suffix":""},{"dropping-particle":"","family":"Hartmann","given":"J.","non-dropping-particle":"","parse-names":false,"suffix":""},{"dropping-particle":"","family":"Jung","given":"M.","non-dropping-particle":"","parse-names":false,"suffix":""},{"dropping-particle":"","family":"Lathière","given":"J.","non-dropping-particle":"","parse-names":false,"suffix":""},{"dropping-particle":"","family":"Lohila","given":"A.","non-dropping-particle":"","parse-names":false,"suffix":""},{"dropping-particle":"","family":"Mayorga","given":"E.","non-dropping-particle":"","parse-names":false,"suffix":""},{"dropping-particle":"","family":"Moosdorf","given":"N.","non-dropping-particle":"","parse-names":false,"suffix":""},{"dropping-particle":"","family":"Njakou","given":"D.S.","non-dropping-particle":"","parse-names":false,"suffix":""},{"dropping-particle":"","family":"Otto","given":"J.","non-dropping-particle":"","parse-names":false,"suffix":""},{"dropping-particle":"","family":"Papale","given":"D.","non-dropping-particle":"","parse-names":false,"suffix":""},{"dropping-particle":"","family":"Peters","given":"W.","non-dropping-particle":"","parse-names":false,"suffix":""},{"dropping-particle":"","family":"Peylin","given":"P.","non-dropping-particle":"","parse-names":false,"suffix":""},{"dropping-particle":"","family":"Raymond","given":"P.","non-dropping-particle":"","parse-names":false,"suffix":""},{"dropping-particle":"","family":"Rödenbeck","given":"C.","non-dropping-particle":"","parse-names":false,"suffix":""},{"dropping-particle":"","family":"Saarnio","given":"S.","non-dropping-particle":"","parse-names":false,"suffix":""},{"dropping-particle":"","family":"Sc</w:instrText>
            </w:r>
            <w:r w:rsidRPr="00F6749E">
              <w:rPr>
                <w:rFonts w:ascii="Times New Roman" w:eastAsia="Arial" w:hAnsi="Times New Roman" w:cs="Times New Roman"/>
                <w:color w:val="000000" w:themeColor="text1"/>
                <w:sz w:val="20"/>
                <w:szCs w:val="20"/>
                <w:lang w:val="fr-FR"/>
              </w:rPr>
              <w:instrText>hulze","given":"E.-D.","non-dropping-particle":"","parse-names":false,"suffix":""},{"dropping-particle":"","family":"Szopa","given":"S.","non-dropping-particle":"","parse-names":false,"suffix":""},{"dropping-particle":"","family":"Thompson","given":"R.","non-dropping-particle":"","parse-names":false,"suffix":""},{"dropping-particle":"","family":"Verkerk","given":"P.J.","non-dropping-particle":"","parse-names":false,"suffix":""},{"dropping-particle":"","family":"Vuichard","given":"N.","non-dropping-particle":"","parse-names":false,"suffix":""},{"dropping-particle":"","family":"Wang","given":"R.","non-dropping-particle":"","parse-names":false,"suffix":""},{"dropping-particle":"","family":"Wattenbach","given":"M.","non-dropping-particle":"","parse-names":false,"suffix":""},{"dropping-particle":"","family":"Zaehle","given":"S.","non-dropping-particle":"","parse-names":false,"suffix":""}],"container-title":"Biogeosciences","id":"ITEM-1","issue":"8","issued":{"date-parts":[["2012"]]},"title":"The European land and inland water CO&lt;inf&gt;2&lt;/inf&gt;, CO, CH&lt;inf&gt;4&lt;/inf&gt; and N&lt;inf&gt;2&lt;/inf&gt;O balance between 2001 and 2005","type":"article-journal","volume":"9"},"uris":["http://www.mendeley.com/documents/?uuid=75a03def-246a-312e-9ef2-e9eaaf6559fe"]}],"mendeley":{"formattedCitation":"&lt;sup&gt;86&lt;/sup&gt;","plainTextFormattedCitation":"86","previouslyFormattedCitation":"&lt;sup&gt;86&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rPr>
              <w:fldChar w:fldCharType="separate"/>
            </w:r>
            <w:r w:rsidRPr="00F6749E">
              <w:rPr>
                <w:rFonts w:ascii="Times New Roman" w:eastAsia="Arial" w:hAnsi="Times New Roman" w:cs="Times New Roman"/>
                <w:noProof/>
                <w:color w:val="000000" w:themeColor="text1"/>
                <w:sz w:val="20"/>
                <w:szCs w:val="20"/>
                <w:lang w:val="fr-FR"/>
              </w:rPr>
              <w:t>86</w:t>
            </w:r>
            <w:r w:rsidRPr="00F6749E">
              <w:rPr>
                <w:rFonts w:ascii="Times New Roman" w:eastAsia="Arial" w:hAnsi="Times New Roman" w:cs="Times New Roman"/>
                <w:color w:val="000000" w:themeColor="text1"/>
                <w:sz w:val="20"/>
                <w:szCs w:val="20"/>
              </w:rPr>
              <w:fldChar w:fldCharType="end"/>
            </w:r>
            <w:r w:rsidRPr="00F6749E">
              <w:rPr>
                <w:rFonts w:ascii="Times New Roman" w:eastAsia="Arial" w:hAnsi="Times New Roman" w:cs="Times New Roman"/>
                <w:color w:val="000000" w:themeColor="text1"/>
                <w:sz w:val="20"/>
                <w:szCs w:val="20"/>
                <w:lang w:val="fr-FR"/>
              </w:rPr>
              <w:t>]</w:t>
            </w:r>
            <w:r>
              <w:rPr>
                <w:rFonts w:ascii="Times New Roman" w:eastAsia="Arial" w:hAnsi="Times New Roman" w:cs="Times New Roman"/>
                <w:color w:val="000000" w:themeColor="text1"/>
                <w:sz w:val="20"/>
                <w:szCs w:val="20"/>
                <w:lang w:val="fr-FR"/>
              </w:rPr>
              <w:t xml:space="preserve"> </w:t>
            </w:r>
            <w:r w:rsidRPr="00F6749E">
              <w:rPr>
                <w:rFonts w:ascii="Times New Roman" w:eastAsia="Arial" w:hAnsi="Times New Roman" w:cs="Times New Roman"/>
                <w:color w:val="000000" w:themeColor="text1"/>
                <w:sz w:val="20"/>
                <w:szCs w:val="20"/>
                <w:vertAlign w:val="superscript"/>
                <w:lang w:val="fr-FR"/>
              </w:rPr>
              <w:t>a</w:t>
            </w:r>
          </w:p>
        </w:tc>
        <w:tc>
          <w:tcPr>
            <w:tcW w:w="17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6749E" w:rsidRPr="00F6749E" w:rsidRDefault="00F6749E" w:rsidP="00F6749E">
            <w:pPr>
              <w:rPr>
                <w:rFonts w:ascii="Times New Roman" w:eastAsia="Arial" w:hAnsi="Times New Roman" w:cs="Times New Roman"/>
                <w:color w:val="000000" w:themeColor="text1"/>
                <w:sz w:val="20"/>
                <w:szCs w:val="20"/>
                <w:lang w:val="fr-FR"/>
              </w:rPr>
            </w:pPr>
            <w:proofErr w:type="spellStart"/>
            <w:r w:rsidRPr="00F6749E">
              <w:rPr>
                <w:rFonts w:ascii="Times New Roman" w:eastAsia="Arial" w:hAnsi="Times New Roman" w:cs="Times New Roman"/>
                <w:color w:val="000000" w:themeColor="text1"/>
                <w:sz w:val="20"/>
                <w:szCs w:val="20"/>
                <w:lang w:val="fr-FR"/>
              </w:rPr>
              <w:t>Luyssaert</w:t>
            </w:r>
            <w:proofErr w:type="spellEnd"/>
            <w:r w:rsidRPr="00F6749E">
              <w:rPr>
                <w:rFonts w:ascii="Times New Roman" w:eastAsia="Arial" w:hAnsi="Times New Roman" w:cs="Times New Roman"/>
                <w:color w:val="000000" w:themeColor="text1"/>
                <w:sz w:val="20"/>
                <w:szCs w:val="20"/>
                <w:lang w:val="fr-FR"/>
              </w:rPr>
              <w:t xml:space="preserve"> et al.</w:t>
            </w:r>
          </w:p>
        </w:tc>
      </w:tr>
      <w:tr w:rsidR="00F6749E" w:rsidRPr="001D7FE4"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lang w:val="fr-FR"/>
              </w:rPr>
            </w:pPr>
            <w:proofErr w:type="spellStart"/>
            <w:r w:rsidRPr="00F6749E">
              <w:rPr>
                <w:rFonts w:ascii="Times New Roman" w:eastAsia="Arial" w:hAnsi="Times New Roman" w:cs="Times New Roman"/>
                <w:color w:val="000000" w:themeColor="text1"/>
                <w:sz w:val="20"/>
                <w:szCs w:val="20"/>
                <w:lang w:val="fr-FR"/>
              </w:rPr>
              <w:t>F</w:t>
            </w:r>
            <w:r w:rsidRPr="00F6749E">
              <w:rPr>
                <w:rFonts w:ascii="Times New Roman" w:eastAsia="Arial" w:hAnsi="Times New Roman" w:cs="Times New Roman"/>
                <w:color w:val="000000" w:themeColor="text1"/>
                <w:sz w:val="20"/>
                <w:szCs w:val="20"/>
                <w:vertAlign w:val="subscript"/>
                <w:lang w:val="fr-FR"/>
              </w:rPr>
              <w:t>trade</w:t>
            </w:r>
            <w:proofErr w:type="spellEnd"/>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lang w:val="fr-FR"/>
              </w:rPr>
            </w:pPr>
            <w:r w:rsidRPr="00F6749E">
              <w:rPr>
                <w:rFonts w:ascii="Times New Roman" w:eastAsia="Arial" w:hAnsi="Times New Roman" w:cs="Times New Roman"/>
                <w:color w:val="000000" w:themeColor="text1"/>
                <w:sz w:val="20"/>
                <w:szCs w:val="20"/>
                <w:lang w:val="fr-FR"/>
              </w:rPr>
              <w:t>-97</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lang w:val="fr-FR"/>
              </w:rPr>
            </w:pPr>
            <w:r w:rsidRPr="00F6749E">
              <w:rPr>
                <w:rFonts w:ascii="Times New Roman" w:eastAsia="Arial" w:hAnsi="Times New Roman" w:cs="Times New Roman"/>
                <w:color w:val="000000" w:themeColor="text1"/>
                <w:sz w:val="20"/>
                <w:szCs w:val="20"/>
                <w:lang w:val="fr-FR"/>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lang w:val="fr-FR"/>
              </w:rPr>
            </w:pPr>
            <w:r w:rsidRPr="00F6749E">
              <w:rPr>
                <w:rFonts w:ascii="Times New Roman" w:eastAsia="Arial" w:hAnsi="Times New Roman" w:cs="Times New Roman"/>
                <w:color w:val="000000" w:themeColor="text1"/>
                <w:sz w:val="20"/>
                <w:szCs w:val="20"/>
                <w:lang w:val="fr-FR"/>
              </w:rPr>
              <w:t>17</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rPr>
                <w:rFonts w:ascii="Times New Roman" w:eastAsia="Arial" w:hAnsi="Times New Roman" w:cs="Times New Roman"/>
                <w:color w:val="000000" w:themeColor="text1"/>
                <w:sz w:val="20"/>
                <w:szCs w:val="20"/>
                <w:lang w:val="fr-FR"/>
              </w:rPr>
            </w:pPr>
            <w:r w:rsidRPr="00F6749E">
              <w:rPr>
                <w:rFonts w:ascii="Times New Roman" w:eastAsia="Arial" w:hAnsi="Times New Roman" w:cs="Times New Roman"/>
                <w:color w:val="000000" w:themeColor="text1"/>
                <w:sz w:val="20"/>
                <w:szCs w:val="20"/>
                <w:lang w:val="fr-FR"/>
              </w:rPr>
              <w:t xml:space="preserve">Peters et al. </w:t>
            </w:r>
            <w:r>
              <w:rPr>
                <w:rFonts w:ascii="Times New Roman" w:eastAsia="Arial" w:hAnsi="Times New Roman" w:cs="Times New Roman"/>
                <w:color w:val="000000" w:themeColor="text1"/>
                <w:sz w:val="20"/>
                <w:szCs w:val="20"/>
                <w:lang w:val="fr-FR"/>
              </w:rPr>
              <w:t>[</w:t>
            </w:r>
            <w:r w:rsidRPr="00F6749E">
              <w:rPr>
                <w:rFonts w:ascii="Times New Roman" w:eastAsia="Arial" w:hAnsi="Times New Roman" w:cs="Times New Roman"/>
                <w:color w:val="000000" w:themeColor="text1"/>
                <w:sz w:val="20"/>
                <w:szCs w:val="20"/>
              </w:rPr>
              <w:fldChar w:fldCharType="begin" w:fldLock="1"/>
            </w:r>
            <w:r w:rsidRPr="00F6749E">
              <w:rPr>
                <w:rFonts w:ascii="Times New Roman" w:eastAsia="Arial" w:hAnsi="Times New Roman" w:cs="Times New Roman"/>
                <w:color w:val="000000" w:themeColor="text1"/>
                <w:sz w:val="20"/>
                <w:szCs w:val="20"/>
                <w:lang w:val="fr-FR"/>
              </w:rPr>
              <w:instrText>ADDIN CSL_CITATION {"citationItems":[{"id":"ITEM-1","itemData":{"DOI":"10.5194/bg-9-3247-2012","ISSN":"1726-4189","author":[{"dropping-particle":"","family":"Peters","given":"G. P.","non-dropping-particle":"","parse-names":false,"suffix":""},{"dropping-particle":"","family":"Davis","given":"S. J.","non-dropping-particle":"","parse-names":false,"suffix":""},{"dropping-particle":"","family":"Andrew","given":"R.","non-dropping-particle":"","parse-names":false,"suffix":""}],"container-title":"Biogeosciences","id":"ITEM-1","issue":"8","issued":{"date-parts":[["2012","8"]]},"page":"3247-3276","title":"A synthesis of carbon in international trade","type":"article-journal","volume":"9"},"uris":["http://www.mendeley.com/documents/?uuid=13aaa07d-69fb-4d0c-b60c-c51107b8444a"]}],"mendeley":{"formattedCitation":"&lt;sup&gt;18&lt;/sup&gt;","plainTextFormattedCitation":"18","previouslyFormattedCitation":"&lt;sup&gt;18&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rPr>
              <w:fldChar w:fldCharType="separate"/>
            </w:r>
            <w:r w:rsidRPr="00F6749E">
              <w:rPr>
                <w:rFonts w:ascii="Times New Roman" w:eastAsia="Arial" w:hAnsi="Times New Roman" w:cs="Times New Roman"/>
                <w:noProof/>
                <w:color w:val="000000" w:themeColor="text1"/>
                <w:sz w:val="20"/>
                <w:szCs w:val="20"/>
                <w:lang w:val="fr-FR"/>
              </w:rPr>
              <w:t>18</w:t>
            </w:r>
            <w:r w:rsidRPr="00F6749E">
              <w:rPr>
                <w:rFonts w:ascii="Times New Roman" w:eastAsia="Arial" w:hAnsi="Times New Roman" w:cs="Times New Roman"/>
                <w:color w:val="000000" w:themeColor="text1"/>
                <w:sz w:val="20"/>
                <w:szCs w:val="20"/>
              </w:rPr>
              <w:fldChar w:fldCharType="end"/>
            </w:r>
            <w:r w:rsidRPr="001D7FE4">
              <w:rPr>
                <w:rFonts w:ascii="Times New Roman" w:eastAsia="Arial" w:hAnsi="Times New Roman" w:cs="Times New Roman"/>
                <w:color w:val="000000" w:themeColor="text1"/>
                <w:sz w:val="20"/>
                <w:szCs w:val="20"/>
                <w:lang w:val="fr-FR"/>
              </w:rPr>
              <w:t>]</w:t>
            </w:r>
            <w:r w:rsidRPr="00F6749E">
              <w:rPr>
                <w:rFonts w:ascii="Times New Roman" w:eastAsia="Arial" w:hAnsi="Times New Roman" w:cs="Times New Roman"/>
                <w:color w:val="000000" w:themeColor="text1"/>
                <w:sz w:val="20"/>
                <w:szCs w:val="20"/>
                <w:lang w:val="fr-FR"/>
              </w:rPr>
              <w:t xml:space="preserve"> </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lang w:val="fr-FR"/>
              </w:rPr>
            </w:pPr>
            <w:r w:rsidRPr="00F6749E">
              <w:rPr>
                <w:rFonts w:ascii="Times New Roman" w:eastAsia="Arial" w:hAnsi="Times New Roman" w:cs="Times New Roman"/>
                <w:color w:val="000000" w:themeColor="text1"/>
                <w:sz w:val="20"/>
                <w:szCs w:val="20"/>
                <w:lang w:val="fr-FR"/>
              </w:rPr>
              <w:t>20%</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lang w:val="fr-FR"/>
              </w:rPr>
            </w:pPr>
            <w:proofErr w:type="spellStart"/>
            <w:r w:rsidRPr="00F6749E">
              <w:rPr>
                <w:rFonts w:ascii="Times New Roman" w:eastAsia="Arial" w:hAnsi="Times New Roman" w:cs="Times New Roman"/>
                <w:color w:val="000000" w:themeColor="text1"/>
                <w:sz w:val="20"/>
                <w:szCs w:val="20"/>
                <w:lang w:val="fr-FR"/>
              </w:rPr>
              <w:t>F</w:t>
            </w:r>
            <w:r w:rsidRPr="00F6749E">
              <w:rPr>
                <w:rFonts w:ascii="Times New Roman" w:eastAsia="Arial" w:hAnsi="Times New Roman" w:cs="Times New Roman"/>
                <w:color w:val="000000" w:themeColor="text1"/>
                <w:sz w:val="20"/>
                <w:szCs w:val="20"/>
                <w:vertAlign w:val="subscript"/>
                <w:lang w:val="fr-FR"/>
              </w:rPr>
              <w:t>rivers</w:t>
            </w:r>
            <w:proofErr w:type="spellEnd"/>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lang w:val="fr-FR"/>
              </w:rPr>
            </w:pPr>
            <w:r w:rsidRPr="00F6749E">
              <w:rPr>
                <w:rFonts w:ascii="Times New Roman" w:eastAsia="Arial" w:hAnsi="Times New Roman" w:cs="Times New Roman"/>
                <w:color w:val="000000" w:themeColor="text1"/>
                <w:sz w:val="20"/>
                <w:szCs w:val="20"/>
                <w:lang w:val="fr-FR"/>
              </w:rPr>
              <w:t>24</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lang w:val="fr-FR"/>
              </w:rPr>
            </w:pPr>
            <w:r w:rsidRPr="00F6749E">
              <w:rPr>
                <w:rFonts w:ascii="Times New Roman" w:eastAsia="Arial" w:hAnsi="Times New Roman" w:cs="Times New Roman"/>
                <w:color w:val="000000" w:themeColor="text1"/>
                <w:sz w:val="20"/>
                <w:szCs w:val="20"/>
                <w:lang w:val="fr-FR"/>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lang w:val="fr-FR"/>
              </w:rPr>
            </w:pPr>
            <w:r w:rsidRPr="00F6749E">
              <w:rPr>
                <w:rFonts w:ascii="Times New Roman" w:eastAsia="Arial" w:hAnsi="Times New Roman" w:cs="Times New Roman"/>
                <w:color w:val="000000" w:themeColor="text1"/>
                <w:sz w:val="20"/>
                <w:szCs w:val="20"/>
                <w:lang w:val="fr-FR"/>
              </w:rPr>
              <w:t>26</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proofErr w:type="spellStart"/>
            <w:r w:rsidRPr="00F6749E">
              <w:rPr>
                <w:rFonts w:ascii="Times New Roman" w:eastAsia="Arial" w:hAnsi="Times New Roman" w:cs="Times New Roman"/>
                <w:color w:val="000000" w:themeColor="text1"/>
                <w:sz w:val="20"/>
                <w:szCs w:val="20"/>
                <w:lang w:val="fr-FR"/>
              </w:rPr>
              <w:t>Mayorga</w:t>
            </w:r>
            <w:proofErr w:type="spellEnd"/>
            <w:r w:rsidRPr="00F6749E">
              <w:rPr>
                <w:rFonts w:ascii="Times New Roman" w:eastAsia="Arial" w:hAnsi="Times New Roman" w:cs="Times New Roman"/>
                <w:color w:val="000000" w:themeColor="text1"/>
                <w:sz w:val="20"/>
                <w:szCs w:val="20"/>
                <w:lang w:val="fr-FR"/>
              </w:rPr>
              <w:t xml:space="preserve"> et al.</w:t>
            </w:r>
            <w:r>
              <w:rPr>
                <w:rFonts w:ascii="Times New Roman" w:eastAsia="Arial" w:hAnsi="Times New Roman" w:cs="Times New Roman"/>
                <w:color w:val="000000" w:themeColor="text1"/>
                <w:sz w:val="20"/>
                <w:szCs w:val="20"/>
                <w:lang w:val="fr-FR"/>
              </w:rPr>
              <w:t xml:space="preserve"> [</w:t>
            </w:r>
            <w:r w:rsidRPr="00F6749E">
              <w:rPr>
                <w:rFonts w:ascii="Times New Roman" w:eastAsia="Arial" w:hAnsi="Times New Roman" w:cs="Times New Roman"/>
                <w:color w:val="000000" w:themeColor="text1"/>
                <w:sz w:val="20"/>
                <w:szCs w:val="20"/>
                <w:lang w:val="fr-FR"/>
              </w:rPr>
              <w:fldChar w:fldCharType="begin" w:fldLock="1"/>
            </w:r>
            <w:r w:rsidRPr="00F6749E">
              <w:rPr>
                <w:rFonts w:ascii="Times New Roman" w:eastAsia="Arial" w:hAnsi="Times New Roman" w:cs="Times New Roman"/>
                <w:color w:val="000000" w:themeColor="text1"/>
                <w:sz w:val="20"/>
                <w:szCs w:val="20"/>
                <w:lang w:val="fr-FR"/>
              </w:rPr>
              <w:instrText>ADDIN CSL_CITATION {"citationItems":[{"id":"ITEM-1","itemData":{"DOI":"10.1038/nature12760","ISSN":"1476-4687","PMID":"24256802","abstract":"Carbon dioxide (CO2) transfer from inland waters to the atmosphere, known as CO2 evasion, is a component of the global carbon cycle. Global estimates of CO2 evasion have been hampered, however, by the lack of a framework for estimating the inland water surface area and gas transfer velocity and by the absence of a global CO2 database. Here we report regional variations in global inland water surface area, dissolved CO2 and gas transfer velocity. We obtain global CO2 evasion rates of 1.8(+0.25)(-0.25) petagrams of carbon (Pg C) per year from streams and rivers and 0.32(+0.52)(-0.26) Pg C yr(-1) from lakes and reservoirs, where the upper and lower limits are respectively the 5th and 95th confidence interval percentiles. The resulting global evasion rate of 2.1 Pg C yr(-1) is higher than previous estimates owing to a larger stream and river evasion rate. Our analysis predicts global hotspots in stream and river evasion, with about 70 per cent of the flux occurring over just 20 per cent of the land surface. The source of inland water CO2 is still not known with certainty and new studies are needed to research the mechanisms controlling CO2 evasion globally.","author":[{"dropping-particle":"","family":"Raymond","given":"Peter A","non-dropping-particle":"","parse-names":false,"suffix":""},{"dropping-particle":"","family":"Hartmann","given":"Jens","non-dropping-particle":"","parse-names":false,"suffix":""},{"dropping-particle":"","family":"Lauerwald","given":"Ronny","non-dropping-particle":"","parse-names":false,"suffix":""},{"dropping-particle":"","family":"Sobek","given":"Sebastian","non-dropping-particle":"","parse-names":false,"suffix":""},{"dropping-particle":"","family":"McDonald","given":"Cory","non-dropping-particle":"","parse-names":false,"suffix":""},{"dropping-particle":"","family":"Hoover","given":"Mark","non-dropping-particle":"","parse-names":false,"suffix":""},{"dropping-particle":"","family":"Butman","given":"David","non-dropping-particle":"","parse-names":false,"suffix":""},{"dropping-particle":"","family":"Striegl","given":"Robert","non-dropping-particle":"","parse-names":false,"suffix":""},{"dropping-particle":"","family":"Mayorga","given":"Emilio","non-dropping-particle":"","parse-names":false,"suffix":""},{"dropping-particle":"","family":"Humborg","given":"Christoph","non-dropping-particle":"","parse-names":false,"suffix":""},{"dropping-particle":"","family":"Kortelainen","given":"Pirkko","non-dropping-particle":"","parse-names":false,"suffix":""},{"dropping-particle":"","family":"Dürr","given":"Hans","non-dropping-particle":"","parse-names":false,"suffix":""},{"dropping-particle":"","family":"Meybeck","given":"Michel","non-dropping-particle":"","parse-names":false,"suffix":""},{"dropping-particle":"","family":"Ciais","given":"Philippe","non-dropping-particle":"","parse-names":false,"suffix":""},{"dropping-particle":"","family":"Guth","given":"Peter","non-dropping-particle":"","parse-names":false,"suffix":""}],"container-title":"Nature","id":"ITEM-1","issue":"7476","issued":{"date-parts":[["2013","11"]]},"page":"355-9","title":"Global carbon dioxide emissions from inland waters.","type":"article-journal","volume":"503"},"uris":["http://www.mendeley.com/documents/?uuid=eabd41ca-221a-48b7-bf3e-392e04532f97"]}],"mendeley":{"formattedCitation":"&lt;sup&gt;27&lt;/sup&gt;","plainTextFormattedCitation":"27","previouslyFormattedCitation":"&lt;sup&gt;27&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lang w:val="fr-FR"/>
              </w:rPr>
              <w:fldChar w:fldCharType="separate"/>
            </w:r>
            <w:r w:rsidRPr="00F6749E">
              <w:rPr>
                <w:rFonts w:ascii="Times New Roman" w:eastAsia="Arial" w:hAnsi="Times New Roman" w:cs="Times New Roman"/>
                <w:noProof/>
                <w:color w:val="000000" w:themeColor="text1"/>
                <w:sz w:val="20"/>
                <w:szCs w:val="20"/>
                <w:lang w:val="fr-FR"/>
              </w:rPr>
              <w:t>27</w:t>
            </w:r>
            <w:r w:rsidRPr="00F6749E">
              <w:rPr>
                <w:rFonts w:ascii="Times New Roman" w:eastAsia="Arial" w:hAnsi="Times New Roman" w:cs="Times New Roman"/>
                <w:color w:val="000000" w:themeColor="text1"/>
                <w:sz w:val="20"/>
                <w:szCs w:val="20"/>
                <w:lang w:val="fr-FR"/>
              </w:rPr>
              <w:fldChar w:fldCharType="end"/>
            </w:r>
            <w:r>
              <w:rPr>
                <w:rFonts w:ascii="Times New Roman" w:eastAsia="Arial" w:hAnsi="Times New Roman" w:cs="Times New Roman"/>
                <w:color w:val="000000" w:themeColor="text1"/>
                <w:sz w:val="20"/>
                <w:szCs w:val="20"/>
                <w:lang w:val="fr-FR"/>
              </w:rPr>
              <w:t>]</w:t>
            </w:r>
            <w:r w:rsidRPr="00F6749E">
              <w:rPr>
                <w:rFonts w:ascii="Times New Roman" w:eastAsia="Arial" w:hAnsi="Times New Roman" w:cs="Times New Roman"/>
                <w:color w:val="000000" w:themeColor="text1"/>
                <w:sz w:val="20"/>
                <w:szCs w:val="20"/>
                <w:lang w:val="fr-FR"/>
              </w:rPr>
              <w:t>, Hartmann et al.</w:t>
            </w:r>
            <w:r>
              <w:rPr>
                <w:rFonts w:ascii="Times New Roman" w:eastAsia="Arial" w:hAnsi="Times New Roman" w:cs="Times New Roman"/>
                <w:color w:val="000000" w:themeColor="text1"/>
                <w:sz w:val="20"/>
                <w:szCs w:val="20"/>
                <w:lang w:val="fr-FR"/>
              </w:rPr>
              <w:t xml:space="preserve"> [</w:t>
            </w:r>
            <w:r w:rsidRPr="00F6749E">
              <w:rPr>
                <w:rFonts w:ascii="Times New Roman" w:eastAsia="Arial" w:hAnsi="Times New Roman" w:cs="Times New Roman"/>
                <w:color w:val="000000" w:themeColor="text1"/>
                <w:sz w:val="20"/>
                <w:szCs w:val="20"/>
                <w:lang w:val="fr-FR"/>
              </w:rPr>
              <w:fldChar w:fldCharType="begin" w:fldLock="1"/>
            </w:r>
            <w:r w:rsidRPr="00F6749E">
              <w:rPr>
                <w:rFonts w:ascii="Times New Roman" w:eastAsia="Arial" w:hAnsi="Times New Roman" w:cs="Times New Roman"/>
                <w:color w:val="000000" w:themeColor="text1"/>
                <w:sz w:val="20"/>
                <w:szCs w:val="20"/>
                <w:lang w:val="fr-FR"/>
              </w:rPr>
              <w:instrText>ADDIN CSL_CITATION {"citationItems":[{"id":"ITEM-1","itemData":{"DOI":"10.1016/j.gloplacha.2009.07.007","ISSN":"09218181","author":[{"dropping-particle":"","family":"Hartmann","given":"Jens","non-dropping-particle":"","parse-names":false,"suffix":""},{"dropping-particle":"","family":"Jansen","given":"Nils","non-dropping-particle":"","parse-names":false,"suffix":""},{"dropping-particle":"","family":"Dürr","given":"Hans H.","non-dropping-particle":"","parse-names":false,"suffix":""},{"dropping-particle":"","family":"Kempe","given":"Stephan","non-dropping-particle":"","parse-names":false,"suffix":""},{"dropping-particle":"","family":"Köhler","given":"Peter","non-dropping-particle":"","parse-names":false,"suffix":""}],"container-title":"Global and Planetary Change","id":"ITEM-1","issue":"4","issued":{"date-parts":[["2009","12"]]},"page":"185-194","publisher":"Elsevier B.V.","title":"Global CO2-consumption by chemical weathering: What is the contribution of highly active weathering regions?","type":"article-journal","volume":"69"},"uris":["http://www.mendeley.com/documents/?uuid=4a8d7207-51b7-4109-a3fa-6767f56cccc0"]}],"mendeley":{"formattedCitation":"&lt;sup&gt;20&lt;/sup&gt;","plainTextFormattedCitation":"20","previouslyFormattedCitation":"&lt;sup&gt;20&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lang w:val="fr-FR"/>
              </w:rPr>
              <w:fldChar w:fldCharType="separate"/>
            </w:r>
            <w:r w:rsidRPr="00F6749E">
              <w:rPr>
                <w:rFonts w:ascii="Times New Roman" w:eastAsia="Arial" w:hAnsi="Times New Roman" w:cs="Times New Roman"/>
                <w:noProof/>
                <w:color w:val="000000" w:themeColor="text1"/>
                <w:sz w:val="20"/>
                <w:szCs w:val="20"/>
                <w:lang w:val="fr-FR"/>
              </w:rPr>
              <w:t>20</w:t>
            </w:r>
            <w:r w:rsidRPr="00F6749E">
              <w:rPr>
                <w:rFonts w:ascii="Times New Roman" w:eastAsia="Arial" w:hAnsi="Times New Roman" w:cs="Times New Roman"/>
                <w:color w:val="000000" w:themeColor="text1"/>
                <w:sz w:val="20"/>
                <w:szCs w:val="20"/>
                <w:lang w:val="fr-FR"/>
              </w:rPr>
              <w:fldChar w:fldCharType="end"/>
            </w:r>
            <w:r>
              <w:rPr>
                <w:rFonts w:ascii="Times New Roman" w:eastAsia="Arial" w:hAnsi="Times New Roman" w:cs="Times New Roman"/>
                <w:color w:val="000000" w:themeColor="text1"/>
                <w:sz w:val="20"/>
                <w:szCs w:val="20"/>
                <w:lang w:val="fr-FR"/>
              </w:rPr>
              <w:t>]</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50% </w:t>
            </w:r>
            <w:r w:rsidRPr="00F6749E">
              <w:rPr>
                <w:rFonts w:ascii="Times New Roman" w:eastAsia="Arial" w:hAnsi="Times New Roman" w:cs="Times New Roman"/>
                <w:color w:val="000000" w:themeColor="text1"/>
                <w:sz w:val="20"/>
                <w:szCs w:val="20"/>
                <w:vertAlign w:val="superscript"/>
              </w:rPr>
              <w:t>b</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NEE</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-232</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161</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Equation (1)</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perscript"/>
              </w:rPr>
            </w:pPr>
            <w:r w:rsidRPr="00F6749E">
              <w:rPr>
                <w:rFonts w:ascii="Times New Roman" w:eastAsia="Arial" w:hAnsi="Times New Roman" w:cs="Times New Roman"/>
                <w:color w:val="000000" w:themeColor="text1"/>
                <w:sz w:val="20"/>
                <w:szCs w:val="20"/>
                <w:vertAlign w:val="superscript"/>
              </w:rPr>
              <w:t>c</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crop</w:t>
            </w:r>
            <w:proofErr w:type="spellEnd"/>
            <w:r w:rsidRPr="00F6749E">
              <w:rPr>
                <w:rFonts w:ascii="Times New Roman" w:eastAsia="Arial" w:hAnsi="Times New Roman" w:cs="Times New Roman"/>
                <w:color w:val="000000" w:themeColor="text1"/>
                <w:sz w:val="20"/>
                <w:szCs w:val="20"/>
                <w:vertAlign w:val="subscript"/>
              </w:rPr>
              <w:t xml:space="preserve"> products</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272</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54</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Peters et al. </w:t>
            </w:r>
            <w:r>
              <w:rPr>
                <w:rFonts w:ascii="Times New Roman" w:eastAsia="Arial" w:hAnsi="Times New Roman" w:cs="Times New Roman"/>
                <w:color w:val="000000" w:themeColor="text1"/>
                <w:sz w:val="20"/>
                <w:szCs w:val="20"/>
              </w:rPr>
              <w:t>[</w:t>
            </w:r>
            <w:r w:rsidRPr="00F6749E">
              <w:rPr>
                <w:rFonts w:ascii="Times New Roman" w:eastAsia="Arial" w:hAnsi="Times New Roman" w:cs="Times New Roman"/>
                <w:color w:val="000000" w:themeColor="text1"/>
                <w:sz w:val="20"/>
                <w:szCs w:val="20"/>
              </w:rPr>
              <w:fldChar w:fldCharType="begin" w:fldLock="1"/>
            </w:r>
            <w:r w:rsidRPr="00F6749E">
              <w:rPr>
                <w:rFonts w:ascii="Times New Roman" w:eastAsia="Arial" w:hAnsi="Times New Roman" w:cs="Times New Roman"/>
                <w:color w:val="000000" w:themeColor="text1"/>
                <w:sz w:val="20"/>
                <w:szCs w:val="20"/>
              </w:rPr>
              <w:instrText>ADDIN CSL_CITATION {"citationItems":[{"id":"ITEM-1","itemData":{"DOI":"10.5194/bg-9-3247-2012","ISSN":"1726-4189","author":[{"dropping-particle":"","family":"Peters","given":"G. P.","non-dropping-particle":"","parse-names":false,"suffix":""},{"dropping-particle":"","family":"Davis","given":"S. J.","non-dropping-particle":"","parse-names":false,"suffix":""},{"dropping-particle":"","family":"Andrew","given":"R.","non-dropping-particle":"","parse-names":false,"suffix":""}],"container-title":"Biogeosciences","id":"ITEM-1","issue":"8","issued":{"date-parts":[["2012","8"]]},"page":"3247-3276","title":"A synthesis of carbon in international trade","type":"article-journal","volume":"9"},"uris":["http://www.mendeley.com/documents/?uuid=13aaa07d-69fb-4d0c-b60c-c51107b8444a"]}],"mendeley":{"formattedCitation":"&lt;sup&gt;18&lt;/sup&gt;","plainTextFormattedCitation":"18","previouslyFormattedCitation":"&lt;sup&gt;18&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rPr>
              <w:fldChar w:fldCharType="separate"/>
            </w:r>
            <w:r w:rsidRPr="00F6749E">
              <w:rPr>
                <w:rFonts w:ascii="Times New Roman" w:eastAsia="Arial" w:hAnsi="Times New Roman" w:cs="Times New Roman"/>
                <w:noProof/>
                <w:color w:val="000000" w:themeColor="text1"/>
                <w:sz w:val="20"/>
                <w:szCs w:val="20"/>
              </w:rPr>
              <w:t>18</w:t>
            </w:r>
            <w:r w:rsidRPr="00F6749E">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20%</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wood</w:t>
            </w:r>
            <w:proofErr w:type="spellEnd"/>
            <w:r w:rsidRPr="00F6749E">
              <w:rPr>
                <w:rFonts w:ascii="Times New Roman" w:eastAsia="Arial" w:hAnsi="Times New Roman" w:cs="Times New Roman"/>
                <w:color w:val="000000" w:themeColor="text1"/>
                <w:sz w:val="20"/>
                <w:szCs w:val="20"/>
                <w:vertAlign w:val="subscript"/>
              </w:rPr>
              <w:t xml:space="preserve"> products</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72</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19</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Eggers et al. </w:t>
            </w:r>
            <w:r>
              <w:rPr>
                <w:rFonts w:ascii="Times New Roman" w:eastAsia="Arial" w:hAnsi="Times New Roman" w:cs="Times New Roman"/>
                <w:color w:val="000000" w:themeColor="text1"/>
                <w:sz w:val="20"/>
                <w:szCs w:val="20"/>
              </w:rPr>
              <w:t>[</w:t>
            </w:r>
            <w:r w:rsidRPr="00F6749E">
              <w:rPr>
                <w:rFonts w:ascii="Times New Roman" w:eastAsia="Arial" w:hAnsi="Times New Roman" w:cs="Times New Roman"/>
                <w:color w:val="000000" w:themeColor="text1"/>
                <w:sz w:val="20"/>
                <w:szCs w:val="20"/>
              </w:rPr>
              <w:fldChar w:fldCharType="begin" w:fldLock="1"/>
            </w:r>
            <w:r w:rsidRPr="00F6749E">
              <w:rPr>
                <w:rFonts w:ascii="Times New Roman" w:eastAsia="Arial" w:hAnsi="Times New Roman" w:cs="Times New Roman"/>
                <w:color w:val="000000" w:themeColor="text1"/>
                <w:sz w:val="20"/>
                <w:szCs w:val="20"/>
              </w:rPr>
              <w:instrText>ADDIN CSL_CITATION {"citationItems":[{"id":"ITEM-1","itemData":{"author":[{"dropping-particle":"","family":"Eggers","given":"T","non-dropping-particle":"","parse-names":false,"suffix":""}],"id":"ITEM-1","issued":{"date-parts":[["2002"]]},"title":"The impacts of manufacturing and utilisation of wood products on the European carbon budget","type":"report"},"uris":["http://www.mendeley.com/documents/?uuid=10b49b47-44ee-47f1-9219-dce5c26c61ec"]}],"mendeley":{"formattedCitation":"&lt;sup&gt;87&lt;/sup&gt;","plainTextFormattedCitation":"87","previouslyFormattedCitation":"&lt;sup&gt;87&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rPr>
              <w:fldChar w:fldCharType="separate"/>
            </w:r>
            <w:r w:rsidRPr="00F6749E">
              <w:rPr>
                <w:rFonts w:ascii="Times New Roman" w:eastAsia="Arial" w:hAnsi="Times New Roman" w:cs="Times New Roman"/>
                <w:noProof/>
                <w:color w:val="000000" w:themeColor="text1"/>
                <w:sz w:val="20"/>
                <w:szCs w:val="20"/>
              </w:rPr>
              <w:t>87</w:t>
            </w:r>
            <w:r w:rsidRPr="00F6749E">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r w:rsidRPr="00F6749E">
              <w:rPr>
                <w:rFonts w:ascii="Times New Roman" w:eastAsia="Arial" w:hAnsi="Times New Roman" w:cs="Times New Roman"/>
                <w:color w:val="000000" w:themeColor="text1"/>
                <w:sz w:val="20"/>
                <w:szCs w:val="20"/>
              </w:rPr>
              <w:t xml:space="preserve"> for wood products decay, Wang et al. for wood burned in power plant and industry </w:t>
            </w:r>
            <w:r>
              <w:rPr>
                <w:rFonts w:ascii="Times New Roman" w:eastAsia="Arial" w:hAnsi="Times New Roman" w:cs="Times New Roman"/>
                <w:color w:val="000000" w:themeColor="text1"/>
                <w:sz w:val="20"/>
                <w:szCs w:val="20"/>
              </w:rPr>
              <w:t>[</w:t>
            </w:r>
            <w:r w:rsidRPr="00F6749E">
              <w:rPr>
                <w:rFonts w:ascii="Times New Roman" w:eastAsia="Arial" w:hAnsi="Times New Roman" w:cs="Times New Roman"/>
                <w:color w:val="000000" w:themeColor="text1"/>
                <w:sz w:val="20"/>
                <w:szCs w:val="20"/>
              </w:rPr>
              <w:fldChar w:fldCharType="begin" w:fldLock="1"/>
            </w:r>
            <w:r w:rsidRPr="00F6749E">
              <w:rPr>
                <w:rFonts w:ascii="Times New Roman" w:eastAsia="Arial" w:hAnsi="Times New Roman" w:cs="Times New Roman"/>
                <w:color w:val="000000" w:themeColor="text1"/>
                <w:sz w:val="20"/>
                <w:szCs w:val="20"/>
              </w:rPr>
              <w:instrText>ADDIN CSL_CITATION {"citationItems":[{"id":"ITEM-1","itemData":{"DOI":"10.5194/acp-13-5189-2013","ISSN":"16807316","abstract":"High-resolution mapping of fuel combustion and CO 2 emission provides valuable information for modeling pollutant transport, developing mitigation policy, and for inverse modeling of CO 2 fluxes. Previous global emission maps included only few fuel types, and emissions were estimated on a grid by distributing national fuel data on an equal per capita basis, using population density maps. This process distorts the geographical distribution of emissions within countries. In this study, a sub-national disaggregation method (SDM) of fuel data is applied to establish a global 0.1° × 0.1° geo-referenced inventory of fuel combustion (PKU-FUEL) and corresponding CO 2 emissions (PKU-CO 2 ) based upon 64 fuel sub-types for the year 2007. Uncertainties of the emission maps are evaluated using a Monte Carlo method. It is estimated that CO 2 emission from combustion sources including fossil fuel, biomass, and solid wastes in 2007 was 11.2 Pg C yr -1 (9.1 Pg C yr -1 and 13.3 Pg Cyr -1 as 5th and 95th percentiles). Of this, emission from fossil fuel combustion is 7.83 Pg C yr -1 , which is very close to the estimate of the International Energy Agency (7.87 Pg Cyr -1 ). By replacing national data disaggregation with sub-national data in this study, the average 95th minus 5th percentile ranges of CO 2 emission for all grid points can be reduced from 417 to 68.2 Mg km -2 yr -1 . The spread is reduced because the uneven distribution of per capita fuel consumptions within countries is better taken into account by using sub-national fuel consumption data directly. Significant difference in per capita CO 2 emissions between urban and rural areas was found in developing countries (2.08 vs. 0.598 Mg C/(cap. x yr)), but not in developed countries (3.55 vs. 3.41 Mg C/(cap. x yr)). This implies that rapid urbanization of developing countries is very likely to drive up their emissions in the future. © Author(s) 2013.","author":[{"dropping-particle":"","family":"Wang","given":"R.","non-dropping-particle":"","parse-names":false,"suffix":""},{"dropping-particle":"","family":"Tao","given":"S.","non-dropping-particle":"","parse-names":false,"suffix":""},{"dropping-particle":"","family":"Ciais","given":"P.","non-dropping-particle":"","parse-names":false,"suffix":""},{"dropping-particle":"","family":"Shen","given":"H.Z.","non-dropping-particle":"","parse-names":false,"suffix":""},{"dropping-particle":"","family":"Huang","given":"Y.","non-dropping-particle":"","parse-names":false,"suffix":""},{"dropping-particle":"","family":"Chen","given":"H.","non-dropping-particle":"","parse-names":false,"suffix":""},{"dropping-particle":"","family":"Shen","given":"G.F.","non-dropping-particle":"","parse-names":false,"suffix":""},{"dropping-particle":"","family":"Wang","given":"B.","non-dropping-particle":"","parse-names":false,"suffix":""},{"dropping-particle":"","family":"Li","given":"W.","non-dropping-particle":"","parse-names":false,"suffix":""},{"dropping-particle":"","family":"Zhang","given":"Y.Y.","non-dropping-particle":"","parse-names":false,"suffix":""},{"dropping-particle":"","family":"Lu","given":"Y.","non-dropping-particle":"","parse-names":false,"suffix":""},{"dropping-particle":"","family":"Zhu","given":"D.","non-dropping-particle":"","parse-names":false,"suffix":""},{"dropping-particle":"","family":"Chen","given":"Y.C.","non-dropping-particle":"","parse-names":false,"suffix":""},{"dropping-particle":"","family":"Liu","given":"X.P.","non-dropping-particle":"","parse-names":false,"suffix":""},{"dropping-particle":"","family":"Wang","given":"W.T.","non-dropping-particle":"","parse-names":false,"suffix":""},{"dropping-particle":"","family":"Wang","given":"X.L.","non-dropping-particle":"","parse-names":false,"suffix":""},{"dropping-particle":"","family":"Liu","given":"W.X.","non-dropping-particle":"","parse-names":false,"suffix":""},{"dropping-particle":"","family":"Li","given":"B.G.","non-dropping-particle":"","parse-names":false,"suffix":""},{"dropping-particle":"","family":"Piao","given":"S.L.","non-dropping-particle":"","parse-names":false,"suffix":""}],"container-title":"Atmospheric Chemistry and Physics","id":"ITEM-1","issue":"10","issued":{"date-parts":[["2013"]]},"title":"High-resolution mapping of combustion processes and implications for CO&lt;inf&gt;2&lt;/inf&gt;emissions","type":"article-journal","volume":"13"},"uris":["http://www.mendeley.com/documents/?uuid=b7207bca-adf0-3a09-b72c-f58fe853ff55"]}],"mendeley":{"formattedCitation":"&lt;sup&gt;53&lt;/sup&gt;","plainTextFormattedCitation":"53","previouslyFormattedCitation":"&lt;sup&gt;53&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rPr>
              <w:fldChar w:fldCharType="separate"/>
            </w:r>
            <w:r w:rsidRPr="00F6749E">
              <w:rPr>
                <w:rFonts w:ascii="Times New Roman" w:eastAsia="Arial" w:hAnsi="Times New Roman" w:cs="Times New Roman"/>
                <w:noProof/>
                <w:color w:val="000000" w:themeColor="text1"/>
                <w:sz w:val="20"/>
                <w:szCs w:val="20"/>
              </w:rPr>
              <w:t>53</w:t>
            </w:r>
            <w:r w:rsidRPr="00F6749E">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perscript"/>
              </w:rPr>
            </w:pPr>
            <w:r w:rsidRPr="00F6749E">
              <w:rPr>
                <w:rFonts w:ascii="Times New Roman" w:eastAsia="Arial" w:hAnsi="Times New Roman" w:cs="Times New Roman"/>
                <w:color w:val="000000" w:themeColor="text1"/>
                <w:sz w:val="20"/>
                <w:szCs w:val="20"/>
                <w:vertAlign w:val="superscript"/>
              </w:rPr>
              <w:t>d</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grazing</w:t>
            </w:r>
            <w:proofErr w:type="spellEnd"/>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122</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24</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This study (see Methods)</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20%</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fires</w:t>
            </w:r>
            <w:proofErr w:type="spellEnd"/>
            <w:r w:rsidRPr="00F6749E">
              <w:rPr>
                <w:rFonts w:ascii="Times New Roman" w:eastAsia="Arial" w:hAnsi="Times New Roman" w:cs="Times New Roman"/>
                <w:color w:val="000000" w:themeColor="text1"/>
                <w:sz w:val="20"/>
                <w:szCs w:val="20"/>
                <w:vertAlign w:val="subscript"/>
              </w:rPr>
              <w:t xml:space="preserve"> GFED</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4</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Extended from </w:t>
            </w:r>
            <w:r>
              <w:rPr>
                <w:rFonts w:ascii="Times New Roman" w:eastAsia="Arial" w:hAnsi="Times New Roman" w:cs="Times New Roman"/>
                <w:color w:val="000000" w:themeColor="text1"/>
                <w:sz w:val="20"/>
                <w:szCs w:val="20"/>
              </w:rPr>
              <w:t>[</w:t>
            </w:r>
            <w:r w:rsidRPr="00F6749E">
              <w:rPr>
                <w:rFonts w:ascii="Times New Roman" w:eastAsia="Arial" w:hAnsi="Times New Roman" w:cs="Times New Roman"/>
                <w:color w:val="000000" w:themeColor="text1"/>
                <w:sz w:val="20"/>
                <w:szCs w:val="20"/>
              </w:rPr>
              <w:fldChar w:fldCharType="begin" w:fldLock="1"/>
            </w:r>
            <w:r w:rsidRPr="00F6749E">
              <w:rPr>
                <w:rFonts w:ascii="Times New Roman" w:eastAsia="Arial" w:hAnsi="Times New Roman" w:cs="Times New Roman"/>
                <w:color w:val="000000" w:themeColor="text1"/>
                <w:sz w:val="20"/>
                <w:szCs w:val="20"/>
              </w:rPr>
              <w:instrText>ADDIN CSL_CITATION {"citationItems":[{"id":"ITEM-1","itemData":{"DOI":"10.5194/acp-10-11707-2010","ISSN":"1680-7324","author":[{"dropping-particle":"","family":"Werf","given":"G. R.","non-dropping-particle":"van der","parse-names":false,"suffix":""},{"dropping-particle":"","family":"Randerson","given":"J. T.","non-dropping-particle":"","parse-names":false,"suffix":""},{"dropping-particle":"","family":"Giglio","given":"L.","non-dropping-particle":"","parse-names":false,"suffix":""},{"dropping-particle":"","family":"Collatz","given":"G. J.","non-dropping-particle":"","parse-names":false,"suffix":""},{"dropping-particle":"","family":"Mu","given":"M.","non-dropping-particle":"","parse-names":false,"suffix":""},{"dropping-particle":"","family":"Kasibhatla","given":"P. S.","non-dropping-particle":"","parse-names":false,"suffix":""},{"dropping-particle":"","family":"Morton","given":"D. C.","non-dropping-particle":"","parse-names":false,"suffix":""},{"dropping-particle":"","family":"DeFries","given":"R. S.","non-dropping-particle":"","parse-names":false,"suffix":""},{"dropping-particle":"","family":"Jin","given":"Y.","non-dropping-particle":"","parse-names":false,"suffix":""},{"dropping-particle":"","family":"Leeuwen","given":"T. T.","non-dropping-particle":"van","parse-names":false,"suffix":""}],"container-title":"Atmospheric Chemistry and Physics","id":"ITEM-1","issue":"23","issued":{"date-parts":[["2010","12"]]},"page":"11707-11735","title":"Global fire emissions and the contribution of deforestation, savanna, forest, agricultural, and peat fires (1997–2009)","type":"article-journal","volume":"10"},"uris":["http://www.mendeley.com/documents/?uuid=b18e6b75-b300-4133-a4d3-d63c6c57bd31"]}],"mendeley":{"formattedCitation":"&lt;sup&gt;81&lt;/sup&gt;","plainTextFormattedCitation":"81","previouslyFormattedCitation":"&lt;sup&gt;81&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rPr>
              <w:fldChar w:fldCharType="separate"/>
            </w:r>
            <w:r w:rsidRPr="00F6749E">
              <w:rPr>
                <w:rFonts w:ascii="Times New Roman" w:eastAsia="Arial" w:hAnsi="Times New Roman" w:cs="Times New Roman"/>
                <w:noProof/>
                <w:color w:val="000000" w:themeColor="text1"/>
                <w:sz w:val="20"/>
                <w:szCs w:val="20"/>
              </w:rPr>
              <w:t>81</w:t>
            </w:r>
            <w:r w:rsidRPr="00F6749E">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r w:rsidR="00570D37">
              <w:rPr>
                <w:rFonts w:ascii="Times New Roman" w:eastAsia="Arial" w:hAnsi="Times New Roman" w:cs="Times New Roman"/>
                <w:color w:val="000000" w:themeColor="text1"/>
                <w:sz w:val="20"/>
                <w:szCs w:val="20"/>
              </w:rPr>
              <w:t xml:space="preserve"> </w:t>
            </w:r>
            <w:r w:rsidR="00E8739C" w:rsidRPr="00E8739C">
              <w:rPr>
                <w:rFonts w:ascii="Times New Roman" w:eastAsia="Arial" w:hAnsi="Times New Roman" w:cs="Times New Roman"/>
                <w:color w:val="000000" w:themeColor="text1"/>
                <w:sz w:val="20"/>
                <w:szCs w:val="20"/>
                <w:vertAlign w:val="superscript"/>
              </w:rPr>
              <w:t>e</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see Methods</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fires</w:t>
            </w:r>
            <w:proofErr w:type="spellEnd"/>
            <w:r w:rsidRPr="00F6749E">
              <w:rPr>
                <w:rFonts w:ascii="Times New Roman" w:eastAsia="Arial" w:hAnsi="Times New Roman" w:cs="Times New Roman"/>
                <w:color w:val="000000" w:themeColor="text1"/>
                <w:sz w:val="20"/>
                <w:szCs w:val="20"/>
                <w:vertAlign w:val="subscript"/>
              </w:rPr>
              <w:t xml:space="preserve"> GFAS</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4</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Giuseppe et. al.</w:t>
            </w:r>
            <w:r>
              <w:rPr>
                <w:rFonts w:ascii="Times New Roman" w:eastAsia="Arial" w:hAnsi="Times New Roman" w:cs="Times New Roman"/>
                <w:color w:val="000000" w:themeColor="text1"/>
                <w:sz w:val="20"/>
                <w:szCs w:val="20"/>
              </w:rPr>
              <w:t xml:space="preserve"> [</w:t>
            </w:r>
            <w:r w:rsidRPr="00F6749E">
              <w:rPr>
                <w:rFonts w:ascii="Times New Roman" w:eastAsia="Arial" w:hAnsi="Times New Roman" w:cs="Times New Roman"/>
                <w:color w:val="000000" w:themeColor="text1"/>
                <w:sz w:val="20"/>
                <w:szCs w:val="20"/>
              </w:rPr>
              <w:fldChar w:fldCharType="begin" w:fldLock="1"/>
            </w:r>
            <w:r w:rsidRPr="00F6749E">
              <w:rPr>
                <w:rFonts w:ascii="Times New Roman" w:eastAsia="Arial" w:hAnsi="Times New Roman" w:cs="Times New Roman"/>
                <w:color w:val="000000" w:themeColor="text1"/>
                <w:sz w:val="20"/>
                <w:szCs w:val="20"/>
              </w:rPr>
              <w:instrText>ADDIN CSL_CITATION {"citationItems":[{"id":"ITEM-1","itemData":{"DOI":"10.5194/acp-18-5359-2018","ISSN":"16807324","abstract":"&lt;p&gt;&lt;strong&gt;Abstract.&lt;/strong&gt; The atmospheric composition analysis and forecast for the European Copernicus Atmosphere Monitoring Services (CAMS) relies on biomass-burning fire emission estimates from the Global Fire Assimilation System (GFAS). The GFAS is a global system and converts fire radiative power (FRP) observations from MODIS satellites into smoke constituents. Missing observations are filled in using persistence, whereby observed FRP values from the previous day are progressed in time until a new observation is recorded. One of the consequences of this assumption is an increase of fire duration, which in turn translates into an increase of emissions estimated from fires compared to what is available from observations. In this study persistence is replaced by modelled predictions using the Canadian Fire Weather Index (FWI), which describes how atmospheric conditions affect the vegetation moisture content and ultimately fire duration. The skill in predicting emissions from biomass burning is improved with the new technique, which indicates that using an FWI-based model to infer emissions from FRP is better than persistence when observations are not available.&lt;/p&gt;","author":[{"dropping-particle":"","family":"Giuseppe","given":"Francesca","non-dropping-particle":"Di","parse-names":false,"suffix":""},{"dropping-particle":"","family":"Rémy","given":"Samuel","non-dropping-particle":"","parse-names":false,"suffix":""},{"dropping-particle":"","family":"Pappenberger","given":"Florian","non-dropping-particle":"","parse-names":false,"suffix":""},{"dropping-particle":"","family":"Wetterhall","given":"Fredrik","non-dropping-particle":"","parse-names":false,"suffix":""}],"container-title":"Atmospheric Chemistry and Physics","id":"ITEM-1","issued":{"date-parts":[["2018"]]},"title":"Using the Fire Weather Index (FWI) to improve the estimation of fire emissions from fire radiative power (FRP) observations","type":"article-journal"},"uris":["http://www.mendeley.com/documents/?uuid=b1a42bd6-9d56-3f5c-86a5-7ac41386b2b2"]}],"mendeley":{"formattedCitation":"&lt;sup&gt;82&lt;/sup&gt;","plainTextFormattedCitation":"82","previouslyFormattedCitation":"&lt;sup&gt;82&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rPr>
              <w:fldChar w:fldCharType="separate"/>
            </w:r>
            <w:r w:rsidRPr="00F6749E">
              <w:rPr>
                <w:rFonts w:ascii="Times New Roman" w:eastAsia="Arial" w:hAnsi="Times New Roman" w:cs="Times New Roman"/>
                <w:noProof/>
                <w:color w:val="000000" w:themeColor="text1"/>
                <w:sz w:val="20"/>
                <w:szCs w:val="20"/>
              </w:rPr>
              <w:t>82</w:t>
            </w:r>
            <w:r w:rsidRPr="00F6749E">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r w:rsidR="00570D37">
              <w:rPr>
                <w:rFonts w:ascii="Times New Roman" w:eastAsia="Arial" w:hAnsi="Times New Roman" w:cs="Times New Roman"/>
                <w:color w:val="000000" w:themeColor="text1"/>
                <w:sz w:val="20"/>
                <w:szCs w:val="20"/>
              </w:rPr>
              <w:t xml:space="preserve"> </w:t>
            </w:r>
            <w:r w:rsidR="00E8739C" w:rsidRPr="00E8739C">
              <w:rPr>
                <w:rFonts w:ascii="Times New Roman" w:eastAsia="Arial" w:hAnsi="Times New Roman" w:cs="Times New Roman"/>
                <w:color w:val="000000" w:themeColor="text1"/>
                <w:sz w:val="20"/>
                <w:szCs w:val="20"/>
                <w:vertAlign w:val="superscript"/>
              </w:rPr>
              <w:t>e</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see Methods</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 xml:space="preserve">LUC RECCAP  </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Schulze et al. </w:t>
            </w:r>
            <w:r>
              <w:rPr>
                <w:rFonts w:ascii="Times New Roman" w:eastAsia="Arial" w:hAnsi="Times New Roman" w:cs="Times New Roman"/>
                <w:color w:val="000000" w:themeColor="text1"/>
                <w:sz w:val="20"/>
                <w:szCs w:val="20"/>
              </w:rPr>
              <w:t>[</w:t>
            </w:r>
            <w:r w:rsidRPr="00F6749E">
              <w:rPr>
                <w:rFonts w:ascii="Times New Roman" w:eastAsia="Arial" w:hAnsi="Times New Roman" w:cs="Times New Roman"/>
                <w:color w:val="000000" w:themeColor="text1"/>
                <w:sz w:val="20"/>
                <w:szCs w:val="20"/>
              </w:rPr>
              <w:fldChar w:fldCharType="begin" w:fldLock="1"/>
            </w:r>
            <w:r w:rsidRPr="00F6749E">
              <w:rPr>
                <w:rFonts w:ascii="Times New Roman" w:eastAsia="Arial" w:hAnsi="Times New Roman" w:cs="Times New Roman"/>
                <w:color w:val="000000" w:themeColor="text1"/>
                <w:sz w:val="20"/>
                <w:szCs w:val="20"/>
              </w:rPr>
              <w:instrText>ADDIN CSL_CITATION {"citationItems":[{"id":"ITEM-1","itemData":{"DOI":"10.1111/j.1365-2486.2010.02215.x","ISBN":"1354-1013","ISSN":"13541013","abstract":"Overviewing the European carbon (C), greenhouse gas (GHG), and non-GHG fluxes, gross primary productivity (GPP) is about 9.3 Pg yr−1, and fossil fuel imports are 1.6 Pg yr−1. GPP is about 1.25% of solar radiation, containing about 360 × 1018 J energy – five times the energy content of annual fossil fuel use. Net primary production (NPP) is 50%, terrestrial net biome productivity, NBP, 3%, and the net GHG balance, NGB, 0.3% of GPP. Human harvest uses 20% of NPP or 10% of GPP, or alternatively 1‰ of solar radiation after accounting for the inherent cost of agriculture and forestry, for production of pesticides and fertilizer, the return of organic fertilizer, and for the C equivalent cost of GHG emissions. C equivalents are defined on a global warming potential with a 100-year time horizon. The equivalent of about 2.4% of the mineral fertilizer input is emitted as N2O. Agricultural emissions to the atmosphere are about 40% of total methane, 60% of total NO-N, 70% of total N2O-N, and 95% of total NH3-N emissions of Europe. European soils are a net C sink (114 Tg yr−1), but considering the emissions of GHGs, soils are a source of about 26 Tg CO2 C-equivalent yr−1. Forest, grassland and sediment C sinks are offset by GHG emissions from croplands, peatlands and inland waters. Non-GHGs (NH3, NOx) interact significantly with the GHG and the C cycle through ammonium nitrate aerosols and dry deposition. Wet deposition of nitrogen (N) supports about 50% of forest timber growth. Land use change is regionally important. The absolute flux values total about 50 Tg C yr−1. Nevertheless, for the European trace-gas balance, land-use intensity is more important than land-use change. This study shows that emissions of GHGs and non-GHGs significantly distort the C cycle and eliminate apparent C sinks.","author":[{"dropping-particle":"","family":"Schulze","given":"E. D.","non-dropping-particle":"","parse-names":false,"suffix":""},{"dropping-particle":"","family":"Ciais","given":"P.","non-dropping-particle":"","parse-names":false,"suffix":""},{"dropping-particle":"","family":"Luyssaert","given":"S.","non-dropping-particle":"","parse-names":false,"suffix":""},{"dropping-particle":"","family":"Schrumpf","given":"M.","non-dropping-particle":"","parse-names":false,"suffix":""},{"dropping-particle":"","family":"Janssens","given":"I. a.","non-dropping-particle":"","parse-names":false,"suffix":""},{"dropping-particle":"","family":"Thiruchittampalam","given":"B.","non-dropping-particle":"","parse-names":false,"suffix":""},{"dropping-particle":"","family":"Theloke","given":"J.","non-dropping-particle":"","parse-names":false,"suffix":""},{"dropping-particle":"","family":"Saurat","given":"M.","non-dropping-particle":"","parse-names":false,"suffix":""},{"dropping-particle":"","family":"Bringezu","given":"S.","non-dropping-particle":"","parse-names":false,"suffix":""},{"dropping-particle":"","family":"Lelieveld","given":"J.","non-dropping-particle":"","parse-names":false,"suffix":""},{"dropping-particle":"","family":"Lohila","given":"a.","non-dropping-particle":"","parse-names":false,"suffix":""},{"dropping-particle":"","family":"Rebmann","given":"C.","non-dropping-particle":"","parse-names":false,"suffix":""},{"dropping-particle":"","family":"Jung","given":"M.","non-dropping-particle":"","parse-names":false,"suffix":""},{"dropping-particle":"","family":"Bastviken","given":"D.","non-dropping-particle":"","parse-names":false,"suffix":""},{"dropping-particle":"","family":"Abril","given":"G.","non-dropping-particle":"","parse-names":false,"suffix":""},{"dropping-particle":"","family":"Grassi","given":"G.","non-dropping-particle":"","parse-names":false,"suffix":""},{"dropping-particle":"","family":"Leip","given":"a.","non-dropping-particle":"","parse-names":false,"suffix":""},{"dropping-particle":"","family":"Freibauer","given":"a.","non-dropping-particle":"","parse-names":false,"suffix":""},{"dropping-particle":"","family":"Kutsch","given":"W.","non-dropping-particle":"","parse-names":false,"suffix":""},{"dropping-particle":"","family":"Don","given":"a.","non-dropping-particle":"","parse-names":false,"suffix":""},{"dropping-particle":"","family":"Nieschulze","given":"J.","non-dropping-particle":"","parse-names":false,"suffix":""},{"dropping-particle":"","family":"Börner","given":"a.","non-dropping-particle":"","parse-names":false,"suffix":""},{"dropping-particle":"","family":"Gash","given":"J. H.","non-dropping-particle":"","parse-names":false,"suffix":""},{"dropping-particle":"","family":"Dolman","given":"a. J.","non-dropping-particle":"","parse-names":false,"suffix":""}],"container-title":"Global Change Biology","id":"ITEM-1","issue":"5","issued":{"date-parts":[["2010"]]},"page":"1451-1469","title":"The European carbon balance. Part 4: Integration of carbon and other trace-gas fluxes","type":"article-journal","volume":"16"},"uris":["http://www.mendeley.com/documents/?uuid=cecf909d-b78a-43df-8ba4-935c4fc25319"]}],"mendeley":{"formattedCitation":"&lt;sup&gt;9&lt;/sup&gt;","plainTextFormattedCitation":"9","previouslyFormattedCitation":"&lt;sup&gt;9&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rPr>
              <w:fldChar w:fldCharType="separate"/>
            </w:r>
            <w:r w:rsidRPr="00F6749E">
              <w:rPr>
                <w:rFonts w:ascii="Times New Roman" w:eastAsia="Arial" w:hAnsi="Times New Roman" w:cs="Times New Roman"/>
                <w:noProof/>
                <w:color w:val="000000" w:themeColor="text1"/>
                <w:sz w:val="20"/>
                <w:szCs w:val="20"/>
              </w:rPr>
              <w:t>9</w:t>
            </w:r>
            <w:r w:rsidRPr="00F6749E">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r w:rsidRPr="00F6749E">
              <w:rPr>
                <w:rFonts w:ascii="Times New Roman" w:eastAsia="Arial" w:hAnsi="Times New Roman" w:cs="Times New Roman"/>
                <w:color w:val="000000" w:themeColor="text1"/>
                <w:sz w:val="20"/>
                <w:szCs w:val="20"/>
              </w:rPr>
              <w:t xml:space="preserve"> </w:t>
            </w:r>
            <w:r w:rsidR="00E8739C">
              <w:rPr>
                <w:rFonts w:ascii="Times New Roman" w:eastAsia="Arial" w:hAnsi="Times New Roman" w:cs="Times New Roman"/>
                <w:color w:val="000000" w:themeColor="text1"/>
                <w:sz w:val="20"/>
                <w:szCs w:val="20"/>
                <w:vertAlign w:val="superscript"/>
              </w:rPr>
              <w:t>f</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Schulze et al. </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LUC BLUE</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-67</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9</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highlight w:val="yellow"/>
              </w:rPr>
            </w:pPr>
            <w:proofErr w:type="spellStart"/>
            <w:r w:rsidRPr="00F6749E">
              <w:rPr>
                <w:rFonts w:ascii="Times New Roman" w:eastAsia="Arial" w:hAnsi="Times New Roman" w:cs="Times New Roman"/>
                <w:color w:val="000000" w:themeColor="text1"/>
                <w:sz w:val="20"/>
                <w:szCs w:val="20"/>
                <w:highlight w:val="white"/>
              </w:rPr>
              <w:t>Hansis</w:t>
            </w:r>
            <w:proofErr w:type="spellEnd"/>
            <w:r w:rsidRPr="00F6749E">
              <w:rPr>
                <w:rFonts w:ascii="Times New Roman" w:eastAsia="Arial" w:hAnsi="Times New Roman" w:cs="Times New Roman"/>
                <w:color w:val="000000" w:themeColor="text1"/>
                <w:sz w:val="20"/>
                <w:szCs w:val="20"/>
                <w:highlight w:val="white"/>
              </w:rPr>
              <w:t xml:space="preserve"> et al. </w:t>
            </w:r>
            <w:r>
              <w:rPr>
                <w:rFonts w:ascii="Times New Roman" w:eastAsia="Arial" w:hAnsi="Times New Roman" w:cs="Times New Roman"/>
                <w:color w:val="000000" w:themeColor="text1"/>
                <w:sz w:val="20"/>
                <w:szCs w:val="20"/>
                <w:highlight w:val="white"/>
              </w:rPr>
              <w:t>[</w:t>
            </w:r>
            <w:r w:rsidRPr="00F6749E">
              <w:rPr>
                <w:rFonts w:ascii="Times New Roman" w:eastAsia="Arial" w:hAnsi="Times New Roman" w:cs="Times New Roman"/>
                <w:color w:val="000000" w:themeColor="text1"/>
                <w:sz w:val="20"/>
                <w:szCs w:val="20"/>
                <w:highlight w:val="white"/>
                <w:lang w:val="fr-FR"/>
              </w:rPr>
              <w:fldChar w:fldCharType="begin" w:fldLock="1"/>
            </w:r>
            <w:r w:rsidRPr="00F6749E">
              <w:rPr>
                <w:rFonts w:ascii="Times New Roman" w:eastAsia="Arial" w:hAnsi="Times New Roman" w:cs="Times New Roman"/>
                <w:color w:val="000000" w:themeColor="text1"/>
                <w:sz w:val="20"/>
                <w:szCs w:val="20"/>
                <w:highlight w:val="white"/>
              </w:rPr>
              <w:instrText>ADDIN CSL_CITATION {"citationItems":[{"id":"ITEM-1","itemData":{"DOI":"10.1002/2014GB004997","ISSN":"0886-6236","abstract":"Abstract Accounting for carbon fluxes from land use and land cover change (LULCC) generally requires choosing from multiple options of how to attribute the fluxes to regions and to LULCC activities. Applying a newly developed and spatially explicit bookkeeping model BLUE (bookkeeping of land use emissions), we quantify LULCC fluxes and attribute them to land use activities and countries by a range of different accounting methods. We present results with respect to a Kyoto Protocol-like ?commitment? accounting period, using land use emissions of 2008?2012 as an example scenario. We assess the effect of accounting methods that vary (1) the temporal evolution of carbon stocks, (2) the state of the carbon stocks at the beginning of the period, (3) the temporal attribution of carbon fluxes during the period, and (4) treatment of LULCC fluxes that occurred prior to the beginning of the period. We show that the methodological choices result in grossly different estimates of carbon fluxes for the different attribution definitions.","author":[{"dropping-particle":"","family":"Hansis","given":"Eberhard","non-dropping-particle":"","parse-names":false,"suffix":""},{"dropping-particle":"","family":"Davis","given":"Steven J","non-dropping-particle":"","parse-names":false,"suffix":""},{"dropping-particle":"","family":"Pongratz","given":"Julia","non-dropping-particle":"","parse-names":false,"suffix":""}],"container-title":"Global Biogeochemical Cycles","id":"ITEM-1","issue":"8","issued":{"date-parts":[["2015","8","1"]]},"note":"doi: 10.1002/2014GB004997","page":"1230-1246","publisher":"John Wiley &amp; Sons, Ltd","title":"Relevance of methodological choices for accounting of land use change carbon fluxes","type":"speech","volume":"29"},"uris":["http://www.mendeley.com/documents/?uuid=554da27d-80b9-47d4-93f9-30dc5af8fd94"]}],"mendeley":{"formattedCitation":"&lt;sup&gt;66&lt;/sup&gt;","plainTextFormattedCitation":"66","previouslyFormattedCitation":"&lt;sup&gt;66&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highlight w:val="white"/>
                <w:lang w:val="fr-FR"/>
              </w:rPr>
              <w:fldChar w:fldCharType="separate"/>
            </w:r>
            <w:r w:rsidRPr="00F6749E">
              <w:rPr>
                <w:rFonts w:ascii="Times New Roman" w:eastAsia="Arial" w:hAnsi="Times New Roman" w:cs="Times New Roman"/>
                <w:noProof/>
                <w:color w:val="000000" w:themeColor="text1"/>
                <w:sz w:val="20"/>
                <w:szCs w:val="20"/>
                <w:highlight w:val="white"/>
              </w:rPr>
              <w:t>66</w:t>
            </w:r>
            <w:r w:rsidRPr="00F6749E">
              <w:rPr>
                <w:rFonts w:ascii="Times New Roman" w:eastAsia="Arial" w:hAnsi="Times New Roman" w:cs="Times New Roman"/>
                <w:color w:val="000000" w:themeColor="text1"/>
                <w:sz w:val="20"/>
                <w:szCs w:val="20"/>
                <w:highlight w:val="white"/>
                <w:lang w:val="fr-FR"/>
              </w:rPr>
              <w:fldChar w:fldCharType="end"/>
            </w:r>
            <w:r w:rsidRPr="001D7FE4">
              <w:rPr>
                <w:rFonts w:ascii="Times New Roman" w:eastAsia="Arial" w:hAnsi="Times New Roman" w:cs="Times New Roman"/>
                <w:color w:val="000000" w:themeColor="text1"/>
                <w:sz w:val="20"/>
                <w:szCs w:val="20"/>
                <w:highlight w:val="white"/>
              </w:rPr>
              <w:t>]</w:t>
            </w:r>
            <w:r w:rsidRPr="00F6749E">
              <w:rPr>
                <w:rFonts w:ascii="Times New Roman" w:eastAsia="Arial" w:hAnsi="Times New Roman" w:cs="Times New Roman"/>
                <w:color w:val="000000" w:themeColor="text1"/>
                <w:sz w:val="20"/>
                <w:szCs w:val="20"/>
                <w:highlight w:val="white"/>
              </w:rPr>
              <w:t xml:space="preserve"> updated in ref. </w:t>
            </w:r>
            <w:r>
              <w:rPr>
                <w:rFonts w:ascii="Times New Roman" w:eastAsia="Arial" w:hAnsi="Times New Roman" w:cs="Times New Roman"/>
                <w:color w:val="000000" w:themeColor="text1"/>
                <w:sz w:val="20"/>
                <w:szCs w:val="20"/>
                <w:highlight w:val="white"/>
              </w:rPr>
              <w:t>[</w:t>
            </w:r>
            <w:r w:rsidRPr="00F6749E">
              <w:rPr>
                <w:rFonts w:ascii="Times New Roman" w:eastAsia="Arial" w:hAnsi="Times New Roman" w:cs="Times New Roman"/>
                <w:color w:val="000000" w:themeColor="text1"/>
                <w:sz w:val="20"/>
                <w:szCs w:val="20"/>
                <w:highlight w:val="white"/>
                <w:lang w:val="fr-FR"/>
              </w:rPr>
              <w:fldChar w:fldCharType="begin" w:fldLock="1"/>
            </w:r>
            <w:r w:rsidRPr="00F6749E">
              <w:rPr>
                <w:rFonts w:ascii="Times New Roman" w:eastAsia="Arial" w:hAnsi="Times New Roman" w:cs="Times New Roman"/>
                <w:color w:val="000000" w:themeColor="text1"/>
                <w:sz w:val="20"/>
                <w:szCs w:val="20"/>
                <w:highlight w:val="white"/>
              </w:rPr>
              <w:instrText>ADDIN CSL_CITATION {"citationItems":[{"id":"ITEM-1","itemData":{"DOI":"10.5194/essd-10-2141-2018","ISSN":"1866-3516","abstract":"&lt;p&gt;&lt;![CDATA[Abstract. Accurate assessment of anthropogenic carbon dioxide (CO2) emissions and their redistribution among the atmosphere, ocean, and terrestrial biosphere – the “global carbon budget” – is important to better understand the global carbon cycle, support the development of climate policies, and project future climate change. Here we describe data sets and methodology to quantify the five major components of the global carbon budget and their uncertainties. Fossil CO2 emissions (EFF) are based on energy statistics and cement production data, while emissions from land use and land-use change (ELUC), mainly deforestation, are based on land use and land-use change data and bookkeeping models. Atmospheric CO2 concentration is measured directly and its growth rate (GATM) is computed from the annual changes in concentration. The ocean CO2 sink (SOCEAN) and terrestrial CO2 sink (SLAND) are estimated with global process models constrained by observations. The resulting carbon budget imbalance (BIM), the difference between the estimated total emissions and the estimated changes in the atmosphere, ocean, and terrestrial biosphere, is a measure of imperfect data and understanding of the contemporary carbon cycle. All uncertainties are reported as ±1σ. For the last decade available (2008–2017), EFF was 9.4±0.5 GtC yr−1, ELUC 1.5±0.7 GtC yr−1, GATM 4.7±0.02 GtC yr−1, SOCEAN 2.4±0.5 GtC yr−1, and SLAND 3.2±0.8 GtC yr−1, with a budget imbalance BIM of 0.5 GtC yr−1 indicating overestimated emissions and/or underestimated sinks. For the year 2017 alone, the growth in EFF was about 1.6 % and emissions increased to 9.9±0.5 GtC yr−1. Also for 2017, ELUC was 1.4±0.7 GtC yr−1, GATM was 4.6±0.2 GtC yr−1, SOCEAN was 2.5±0.5 GtC yr−1, and SLAND was 3.8±0.8 GtC yr−1, with a BIM of 0.3 GtC. The global atmospheric CO2 concentration reached 405.0±0.1 ppm averaged over 2017. For 2018, preliminary data for the first 6–9 months indicate a renewed growth in EFF of +2.7 % (range of 1.8 % to 3.7 %) based on national emission projections for China, the US, the EU, and India and projections of gross domestic product corrected for recent changes in the carbon intensity of the economy for the rest of the world. The analysis presented here shows that the mean and trend in the five components of the global carbon budget are consistently estimated over the period of 1959–2017, but discrepancies of up to 1 GtC yr−1 persist for the representation of semi-decadal variability in CO2 flu…","author":[{"dropping-particle":"","family":"Quéré","given":"Corinne","non-dropping-particle":"Le","parse-names":false,"suffix":""},{"dropping-particle":"","family":"Andrew","given":"Robbie M.","non-dropping-particle":"","parse-names":false,"suffix":""},{"dropping-particle":"","family":"Friedlingstein","given":"Pierre","non-dropping-particle":"","parse-names":false,"suffix":""},{"dropping-particle":"","family":"Sitch","given":"Stephen","non-dropping-particle":"","parse-names":false,"suffix":""},{"dropping-particle":"","family":"Hauck","given":"Judith","non-dropping-particle":"","parse-names":false,"suffix":""},{"dropping-particle":"","family":"Pongratz","given":"Julia","non-dropping-particle":"","parse-names":false,"suffix":""},{"dropping-particle":"","family":"Pickers","given":"Penelope A.","non-dropping-particle":"","parse-names":false,"suffix":""},{"dropping-particle":"","family":"Korsbakken","given":"Jan Ivar","non-dropping-particle":"","parse-names":false,"suffix":""},{"dropping-particle":"","family":"Peters","given":"Glen P.","non-dropping-particle":"","parse-names":false,"suffix":""},{"dropping-particle":"","family":"Canadell","given":"Josep G.","non-dropping-particle":"","parse-names":false,"suffix":""},{"dropping-particle":"","family":"Arneth","given":"Almut","non-dropping-particle":"","parse-names":false,"suffix":""},{"dropping-particle":"","family":"Arora","given":"Vivek K.","non-dropping-particle":"","parse-names":false,"suffix":""},{"dropping-particle":"","family":"Barbero","given":"Leticia","non-dropping-particle":"","parse-names":false,"suffix":""},{"dropping-particle":"","family":"Bastos","given":"Ana","non-dropping-particle":"","parse-names":false,"suffix":""},{"dropping-particle":"","family":"Bopp","given":"Laurent","non-dropping-particle":"","parse-names":false,"suffix":""},{"dropping-particle":"","family":"Chevallier","given":"Frédéric","non-dropping-particle":"","parse-names":false,"suffix":""},{"dropping-particle":"","family":"Chini","given":"Louise P.","non-dropping-particle":"","parse-names":false,"suffix":""},{"dropping-particle":"","family":"Ciais","given":"Philippe","non-dropping-particle":"","parse-names":false,"suffix":""},{"dropping-particle":"","family":"Doney","given":"Scott C.","non-dropping-particle":"","parse-names":false,"suffix":""},{"dropping-particle":"","family":"Gkritzalis","given":"Thanos","non-dropping-particle":"","parse-names":false,"suffix":""},{"dropping-particle":"","family":"Goll","given":"Daniel S.","non-dropping-particle":"","parse-names":false,"suffix":""},{"dropping-particle":"","family":"Harris","given":"Ian","non-dropping-particle":"","parse-names":false,"suffix":""},{"dropping-particle":"","family":"Haverd","given":"Vanessa","non-dropping-particle":"","parse-names":false,"suffix":""},{"dropping-particle":"","family":"Hoffman","given":"Forrest M.","non-dropping-particle":"","parse-names":false,"suffix":""},{"dropping-particle":"","family":"Hoppema","given":"Mario","non-dropping-particle":"","parse-names":false,"suffix":""},{"dropping-particle":"","family":"Houghton","given":"Richard A.","non-dropping-particle":"","parse-names":false,"suffix":""},{"dropping-particle":"","family":"Hurtt","given":"George","non-dropping-particle":"","parse-names":false,"suffix":""},{"dropping-particle":"","family":"Ilyina","given":"Tatiana","non-dropping-particle":"","parse-names":false,"suffix":""},{"dropping-particle":"","family":"Jain","given":"Atul K.","non-dropping-particle":"","parse-names":false,"suffix":""},{"dropping-particle":"","family":"Johannessen","given":"Truls","non-dropping-particle":"","parse-names":false,"suffix":""},{"dropping-particle":"","family":"Jones","given":"Chris D.","non-dropping-particle":"","parse-names":false,"suffix":""},{"dropping-particle":"","family":"Kato","given":"Etsushi","non-dropping-particle":"","parse-names":false,"suffix":""},{"dropping-particle":"","family":"Keeling","given":"Ralph F.","non-dropping-particle":"","parse-names":false,"suffix":""},{"dropping-particle":"","family":"Goldewijk","given":"Kees Klein","non-dropping-particle":"","parse-names":false,"suffix":""},{"dropping-particle":"","family":"Landschützer","given":"Peter","non-dropping-particle":"","parse-names":false,"suffix":""},{"dropping-particle":"","family":"Lefèvre","given":"Nathalie","non-dropping-particle":"","parse-names":false,"suffix":""},{"dropping-particle":"","family":"Lienert","given":"Sebastian","non-dropping-particle":"","parse-names":false,"suffix":""},{"dropping-particle":"","family":"Liu","given":"Zhu","non-dropping-particle":"","parse-names":false,"suffix":""},{"dropping-particle":"","family":"Lombardozzi","given":"Danica","non-dropping-particle":"","parse-names":false,"suffix":""},{"dropping-particle":"","family":"Metzl","given":"Nicolas","non-dropping-particle":"","parse-names":false,"suffix":""},{"dropping-particle":"","family":"Munro","given":"David R.","non-dropping-particle":"","parse-names":false,"suffix":""},{"dropping-particle":"","family":"Nabel","given":"Julia E. M. S.","non-dropping-particle":"","parse-names":false,"suffix":""},{"dropping-particle":"","family":"Nakaoka","given":"Shin-ichiro","non-dropping-particle":"","parse-names":false,"suffix":""},{"dropping-particle":"","family":"Neill","given":"Craig","non-dropping-particle":"","parse-names":false,"suffix":""},{"dropping-particle":"","family":"Olsen","given":"Are","non-dropping-particle":"","parse-names":false,"suffix":""},{"dropping-particle":"","family":"Ono","given":"Tsueno","non-dropping-particle":"","parse-names":false,"suffix":""},{"dropping-particle":"","family":"Patra","given":"Prabir","non-dropping-particle":"","parse-names":false,"suffix":""},{"dropping-particle":"","family":"Peregon","given":"Anna","non-dropping-particle":"","parse-names":false,"suffix":""},{"dropping-particle":"","family":"Peters","given":"Wouter","non-dropping-particle":"","parse-names":false,"suffix":""},{"dropping-particle":"","family":"Peylin","given":"Philippe","non-dropping-particle":"","parse-names":false,"suffix":""},{"dropping-particle":"","family":"Pfeil","given":"Benjamin","non-dropping-particle":"","parse-names":false,"suffix":""},{"dropping-particle":"","family":"Pierrot","given":"Denis","non-dropping-particle":"","parse-names":false,"suffix":""},{"dropping-particle":"","family":"Poulter","given":"Benjamin","non-dropping-particle":"","parse-names":false,"suffix":""},{"dropping-particle":"","family":"Rehder","given":"Gregor","non-dropping-particle":"","parse-names":false,"suffix":""},{"dropping-particle":"","family":"Resplandy","given":"Laure","non-dropping-particle":"","parse-names":false,"suffix":""},{"dropping-particle":"","family":"Robertson","given":"Eddy","non-dropping-particle":"","parse-names":false,"suffix":""},{"dropping-particle":"","family":"Rocher","given":"Matthias","non-dropping-particle":"","parse-names":false,"suffix":""},{"dropping-particle":"","family":"Rödenbeck","given":"Christian","non-dropping-particle":"","parse-names":false,"suffix":""},{"dropping-particle":"","family":"Schuster","given":"Ute","non-dropping-particle":"","parse-names":false,"suffix":""},{"dropping-particle":"","family":"Schwinger","given":"Jörg","non-dropping-particle":"","parse-names":false,"suffix":""},{"dropping-particle":"","family":"Séférian","given":"Roland","non-dropping-particle":"","parse-names":false,"suffix":""},{"dropping-particle":"","family":"Skjelvan","given":"Ingunn","non-dropping-particle":"","parse-names":false,"suffix":""},{"dropping-particle":"","family":"Steinhoff","given":"Tobias","non-dropping-particle":"","parse-names":false,"suffix":""},{"dropping-particle":"","family":"Sutton","given":"Adrienne","non-dropping-particle":"","parse-names":false,"suffix":""},{"dropping-particle":"","family":"Tans","given":"Pieter P.","non-dropping-particle":"","parse-names":false,"suffix":""},{"dropping-particle":"","family":"Tian","given":"Hanqin","non-dropping-particle":"","parse-names":false,"suffix":""},{"dropping-particle":"","family":"Tilbrook","given":"Bronte","non-dropping-particle":"","parse-names":false,"suffix":""},{"dropping-particle":"","family":"Tubiello","given":"Francesco N.","non-dropping-particle":"","parse-names":false,"suffix":""},{"dropping-particle":"","family":"Laan-Luijkx","given":"Ingrid T.","non-dropping-particle":"van der","parse-names":false,"suffix":""},{"dropping-particle":"","family":"Werf","given":"Guido R.","non-dropping-particle":"van der","parse-names":false,"suffix":""},{"dropping-particle":"","family":"Viovy","given":"Nicolas","non-dropping-particle":"","parse-names":false,"suffix":""},{"dropping-particle":"","family":"Walker","given":"Anthony P.","non-dropping-particle":"","parse-names":false,"suffix":""},{"dropping-particle":"","family":"Wiltshire","given":"Andrew J.","non-dropping-particle":"","parse-names":false,"suffix":""},{"dropping-particle":"","family":"Wright","given":"Rebecca","non-dropping-particle":"","parse-names":false,"suffix":""},{"dropping-particle":"","family":"Zaehle","given":"Sönke","non-dropping-particle":"","parse-names":false,"suffix":""},{"dropping-particle":"","family":"Zheng","given":"Bo","non-dropping-particle":"","parse-names":false,"suffix":""}],"container-title":"Earth System Science Data","id":"ITEM-1","issue":"4","issued":{"date-parts":[["2018","12","5"]]},"page":"2141-2194","title":"Global Carbon Budget 2018","type":"article-journal","volume":"10"},"uris":["http://www.mendeley.com/documents/?uuid=c58027c0-01ff-3934-afe3-9c450c266da6"]}],"mendeley":{"formattedCitation":"&lt;sup&gt;83&lt;/sup&gt;","plainTextFormattedCitation":"83","previouslyFormattedCitation":"&lt;sup&gt;83&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highlight w:val="white"/>
                <w:lang w:val="fr-FR"/>
              </w:rPr>
              <w:fldChar w:fldCharType="separate"/>
            </w:r>
            <w:r w:rsidRPr="00F6749E">
              <w:rPr>
                <w:rFonts w:ascii="Times New Roman" w:eastAsia="Arial" w:hAnsi="Times New Roman" w:cs="Times New Roman"/>
                <w:noProof/>
                <w:color w:val="000000" w:themeColor="text1"/>
                <w:sz w:val="20"/>
                <w:szCs w:val="20"/>
                <w:highlight w:val="white"/>
              </w:rPr>
              <w:t>83</w:t>
            </w:r>
            <w:r w:rsidRPr="00F6749E">
              <w:rPr>
                <w:rFonts w:ascii="Times New Roman" w:eastAsia="Arial" w:hAnsi="Times New Roman" w:cs="Times New Roman"/>
                <w:color w:val="000000" w:themeColor="text1"/>
                <w:sz w:val="20"/>
                <w:szCs w:val="20"/>
                <w:highlight w:val="white"/>
                <w:lang w:val="fr-FR"/>
              </w:rPr>
              <w:fldChar w:fldCharType="end"/>
            </w:r>
            <w:r w:rsidRPr="00F6749E">
              <w:rPr>
                <w:rFonts w:ascii="Times New Roman" w:eastAsia="Arial" w:hAnsi="Times New Roman" w:cs="Times New Roman"/>
                <w:color w:val="000000" w:themeColor="text1"/>
                <w:sz w:val="20"/>
                <w:szCs w:val="20"/>
                <w:highlight w:val="white"/>
              </w:rPr>
              <w:t>]</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see Methods</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r w:rsidRPr="00F6749E">
              <w:rPr>
                <w:rFonts w:ascii="Times New Roman" w:eastAsia="Arial" w:hAnsi="Times New Roman" w:cs="Times New Roman"/>
                <w:color w:val="000000" w:themeColor="text1"/>
                <w:sz w:val="20"/>
                <w:szCs w:val="20"/>
              </w:rPr>
              <w:t xml:space="preserve">F </w:t>
            </w:r>
            <w:r w:rsidRPr="00F6749E">
              <w:rPr>
                <w:rFonts w:ascii="Times New Roman" w:eastAsia="Arial" w:hAnsi="Times New Roman" w:cs="Times New Roman"/>
                <w:color w:val="000000" w:themeColor="text1"/>
                <w:sz w:val="20"/>
                <w:szCs w:val="20"/>
                <w:vertAlign w:val="subscript"/>
              </w:rPr>
              <w:t>reduced</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14</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4</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This study (see Methods)</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see Methods</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outgas</w:t>
            </w:r>
            <w:proofErr w:type="spellEnd"/>
            <w:r w:rsidRPr="00F6749E">
              <w:rPr>
                <w:rFonts w:ascii="Times New Roman" w:eastAsia="Arial" w:hAnsi="Times New Roman" w:cs="Times New Roman"/>
                <w:color w:val="000000" w:themeColor="text1"/>
                <w:sz w:val="20"/>
                <w:szCs w:val="20"/>
                <w:vertAlign w:val="subscript"/>
              </w:rPr>
              <w:t xml:space="preserve"> rivers + lakes RAY</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166</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83</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lang w:eastAsia="zh-CN"/>
              </w:rPr>
            </w:pPr>
            <w:r w:rsidRPr="00F6749E">
              <w:rPr>
                <w:rFonts w:ascii="Times New Roman" w:eastAsia="Arial" w:hAnsi="Times New Roman" w:cs="Times New Roman"/>
                <w:color w:val="000000" w:themeColor="text1"/>
                <w:sz w:val="20"/>
                <w:szCs w:val="20"/>
              </w:rPr>
              <w:t xml:space="preserve">Raymond et al. </w:t>
            </w:r>
            <w:r>
              <w:rPr>
                <w:rFonts w:ascii="Times New Roman" w:eastAsia="Arial" w:hAnsi="Times New Roman" w:cs="Times New Roman"/>
                <w:color w:val="000000" w:themeColor="text1"/>
                <w:sz w:val="20"/>
                <w:szCs w:val="20"/>
              </w:rPr>
              <w:t>[</w:t>
            </w:r>
            <w:r w:rsidRPr="00F6749E">
              <w:rPr>
                <w:rFonts w:ascii="Times New Roman" w:eastAsia="Arial" w:hAnsi="Times New Roman" w:cs="Times New Roman"/>
                <w:color w:val="000000" w:themeColor="text1"/>
                <w:sz w:val="20"/>
                <w:szCs w:val="20"/>
              </w:rPr>
              <w:fldChar w:fldCharType="begin" w:fldLock="1"/>
            </w:r>
            <w:r w:rsidRPr="00F6749E">
              <w:rPr>
                <w:rFonts w:ascii="Times New Roman" w:eastAsia="Arial" w:hAnsi="Times New Roman" w:cs="Times New Roman"/>
                <w:color w:val="000000" w:themeColor="text1"/>
                <w:sz w:val="20"/>
                <w:szCs w:val="20"/>
              </w:rPr>
              <w:instrText>ADDIN CSL_CITATION {"citationItems":[{"id":"ITEM-1","itemData":{"DOI":"10.1038/nature13142","ISSN":"00280836","author":[{"dropping-particle":"","family":"Raymond","given":"P.A.","non-dropping-particle":"","parse-names":false,"suffix":""},{"dropping-particle":"","family":"Hartmann","given":"J.","non-dropping-particle":"","parse-names":false,"suffix":""},{"dropping-particle":"","family":"Lauerwald","given":"R.","non-dropping-particle":"","parse-names":false,"suffix":""},{"dropping-particle":"","family":"Sobek","given":"S.","non-dropping-particle":"","parse-names":false,"suffix":""},{"dropping-particle":"","family":"McDonald","given":"C.","non-dropping-particle":"","parse-names":false,"suffix":""},{"dropping-particle":"","family":"Hoover","given":"M.","non-dropping-particle":"","parse-names":false,"suffix":""},{"dropping-particle":"","family":"Butman","given":"D.","non-dropping-particle":"","parse-names":false,"suffix":""},{"dropping-particle":"","family":"Striegl","given":"R.","non-dropping-particle":"","parse-names":false,"suffix":""},{"dropping-particle":"","family":"Mayorga","given":"E.","non-dropping-particle":"","parse-names":false,"suffix":""},{"dropping-particle":"","family":"Humborg","given":"C.","non-dropping-particle":"","parse-names":false,"suffix":""},{"dropping-particle":"","family":"Kortelainen","given":"P.","non-dropping-particle":"","parse-names":false,"suffix":""},{"dropping-particle":"","family":"Dürr","given":"H.","non-dropping-particle":"","parse-names":false,"suffix":""},{"dropping-particle":"","family":"Meybeck","given":"M.","non-dropping-particle":"","parse-names":false,"suffix":""},{"dropping-particle":"","family":"Ciais","given":"P.","non-dropping-particle":"","parse-names":false,"suffix":""},{"dropping-particle":"","family":"Guth","given":"P.","non-dropping-particle":"","parse-names":false,"suffix":""}],"container-title":"Nature","id":"ITEM-1","issue":"7492","issued":{"date-parts":[["2014"]]},"title":"Erratum: Global carbon dioxide emissions from inland waters (Nature (2013) 503 (355-359) DOI: 10.1038/nature12760)","type":"article-journal","volume":"507"},"uris":["http://www.mendeley.com/documents/?uuid=9f65d7ab-bd8b-32fa-bb80-0bd0b1543272"]}],"mendeley":{"formattedCitation":"&lt;sup&gt;84&lt;/sup&gt;","plainTextFormattedCitation":"84","previouslyFormattedCitation":"&lt;sup&gt;84&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rPr>
              <w:fldChar w:fldCharType="separate"/>
            </w:r>
            <w:r w:rsidRPr="00F6749E">
              <w:rPr>
                <w:rFonts w:ascii="Times New Roman" w:eastAsia="Arial" w:hAnsi="Times New Roman" w:cs="Times New Roman"/>
                <w:noProof/>
                <w:color w:val="000000" w:themeColor="text1"/>
                <w:sz w:val="20"/>
                <w:szCs w:val="20"/>
              </w:rPr>
              <w:t>84</w:t>
            </w:r>
            <w:r w:rsidRPr="00F6749E">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50%</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outgas</w:t>
            </w:r>
            <w:proofErr w:type="spellEnd"/>
            <w:r w:rsidRPr="00F6749E">
              <w:rPr>
                <w:rFonts w:ascii="Times New Roman" w:eastAsia="Arial" w:hAnsi="Times New Roman" w:cs="Times New Roman"/>
                <w:color w:val="000000" w:themeColor="text1"/>
                <w:sz w:val="20"/>
                <w:szCs w:val="20"/>
                <w:vertAlign w:val="subscript"/>
              </w:rPr>
              <w:t xml:space="preserve"> rivers + lakes LAU</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34</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17</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proofErr w:type="spellStart"/>
            <w:r w:rsidRPr="00F6749E">
              <w:rPr>
                <w:rFonts w:ascii="Times New Roman" w:eastAsia="Arial" w:hAnsi="Times New Roman" w:cs="Times New Roman"/>
                <w:color w:val="000000" w:themeColor="text1"/>
                <w:sz w:val="20"/>
                <w:szCs w:val="20"/>
              </w:rPr>
              <w:t>Lauerwald</w:t>
            </w:r>
            <w:proofErr w:type="spellEnd"/>
            <w:r w:rsidRPr="00F6749E">
              <w:rPr>
                <w:rFonts w:ascii="Times New Roman" w:eastAsia="Arial" w:hAnsi="Times New Roman" w:cs="Times New Roman"/>
                <w:color w:val="000000" w:themeColor="text1"/>
                <w:sz w:val="20"/>
                <w:szCs w:val="20"/>
              </w:rPr>
              <w:t xml:space="preserve"> et al. </w:t>
            </w:r>
            <w:r>
              <w:rPr>
                <w:rFonts w:ascii="Times New Roman" w:eastAsia="Arial" w:hAnsi="Times New Roman" w:cs="Times New Roman"/>
                <w:color w:val="000000" w:themeColor="text1"/>
                <w:sz w:val="20"/>
                <w:szCs w:val="20"/>
              </w:rPr>
              <w:t>[</w:t>
            </w:r>
            <w:r w:rsidRPr="00F6749E">
              <w:rPr>
                <w:rFonts w:ascii="Times New Roman" w:eastAsia="Arial" w:hAnsi="Times New Roman" w:cs="Times New Roman"/>
                <w:color w:val="000000" w:themeColor="text1"/>
                <w:sz w:val="20"/>
                <w:szCs w:val="20"/>
              </w:rPr>
              <w:fldChar w:fldCharType="begin" w:fldLock="1"/>
            </w:r>
            <w:r w:rsidRPr="00F6749E">
              <w:rPr>
                <w:rFonts w:ascii="Times New Roman" w:eastAsia="Arial" w:hAnsi="Times New Roman" w:cs="Times New Roman"/>
                <w:color w:val="000000" w:themeColor="text1"/>
                <w:sz w:val="20"/>
                <w:szCs w:val="20"/>
              </w:rPr>
              <w:instrText>ADDIN CSL_CITATION {"citationItems":[{"id":"ITEM-1","itemData":{"DOI":"10.1002/2014GB004941","ISSN":"19449224","abstract":"©2015. American Geophysical Union. All Rights Reserved. CO &lt; inf &gt; 2 &lt; /inf &gt;  evasion from rivers (FCO &lt; inf &gt; 2 &lt; /inf &gt; ) is an important component of the global carbon budget. Here we present the first global maps of CO &lt; inf &gt; 2 &lt; /inf &gt;  partial pressures (pCO &lt; inf &gt; 2 &lt; /inf &gt; ) in rivers of stream orders 3 and higher and the resulting FCO &lt; inf &gt; 2 &lt; /inf &gt;  at 0.5° resolution constructed with a statistical model. A geographic information system based approach is used to derive a pCO &lt; inf &gt; 2 &lt; /inf &gt;  prediction function trained on data from 1182 sampling locations. While data from Asia and Africa are scarce and the training data set is dominated by sampling locations from the Americas, Europe, and Australia, the sampling locations cover the full spectrum from high to low latitudes. The predictors of pCO &lt; inf &gt; 2 &lt; /inf &gt;  are net primary production, population density, and slope gradient within the river catchment as well as mean air temperature at the sampling location (r &lt; sup &gt; 2 &lt; /sup &gt;  = 0.47). The predicted pCO &lt; inf &gt; 2 &lt; /inf &gt;  map was then combined with spatially explicit estimates of stream surface area A &lt; inf &gt; river &lt; /inf &gt;  and gas exchange velocity k calculated from published empirical equations and data sets to derive the FCO &lt; inf &gt; 2 &lt; /inf &gt;  map. Using Monte Carlo simulations, we assessed the uncertainties of our estimates. At the global scale, we estimate an average river pCO &lt; inf &gt; 2 &lt; /inf &gt;  of 2400 (2019-2826) μatm and a FCO &lt; inf &gt; 2 &lt; /inf &gt;  of 650 (483-846) Tg C yr &lt; sup &gt; -1 &lt; /sup &gt;  (5th and 95th percentiles of confidence interval). Our global CO &lt; inf &gt; 2 &lt; /inf &gt;  evasion is substantially lower than the recent estimate of 1800 Tg C yr &lt; sup &gt; -1 &lt; /sup &gt;  although the training set of pCO &lt; inf &gt; 2 &lt; /inf &gt;  is very similar in both studies, mainly due to lower tropical pCO &lt; inf &gt; 2 &lt; /inf &gt;  estimates in the present study. Our maps reveal strong latitudinal gradients in pCO &lt; inf &gt; 2 &lt; /inf &gt; , A &lt; inf &gt; river &lt; /inf &gt; , and FCO &lt; inf &gt; 2 &lt; /inf &gt; . The zone between 10°N and 10°S contributes about half of the global CO &lt; inf &gt; 2 &lt; /inf &gt;  evasion. Collection of pCO &lt; inf &gt; 2 &lt; /inf &gt;  data in this zone, in particular, for African and Southeast Asian rivers is a high priority to reduce uncertainty on FCO &lt; inf &gt; 2 &lt; /inf &gt; .","author":[{"dropping-particle":"","family":"Lauerwald","given":"R.","non-dropping-particle":"","parse-names":false,"suffix":""},{"dropping-particle":"","family":"Laruelle","given":"G.G.","non-dropping-particle":"","parse-names":false,"suffix":""},{"dropping-particle":"","family":"Hartmann","given":"J.","non-dropping-particle":"","parse-names":false,"suffix":""},{"dropping-particle":"","family":"Ciais","given":"P.","non-dropping-particle":"","parse-names":false,"suffix":""},{"dropping-particle":"","family":"Regnier","given":"P.A.G.","non-dropping-particle":"","parse-names":false,"suffix":""}],"container-title":"Global Biogeochemical Cycles","id":"ITEM-1","issue":"5","issued":{"date-parts":[["2015"]]},"title":"Spatial patterns in CO&amp;lt;inf&amp;gt;2&amp;lt;/inf&amp;gt; evasion from the global river network","type":"article-journal","volume":"29"},"uris":["http://www.mendeley.com/documents/?uuid=bcf366e5-e30c-3037-b8f0-fa10ad0b6bd5"]}],"mendeley":{"formattedCitation":"&lt;sup&gt;26&lt;/sup&gt;","plainTextFormattedCitation":"26","previouslyFormattedCitation":"&lt;sup&gt;26&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rPr>
              <w:fldChar w:fldCharType="separate"/>
            </w:r>
            <w:r w:rsidRPr="00F6749E">
              <w:rPr>
                <w:rFonts w:ascii="Times New Roman" w:eastAsia="Arial" w:hAnsi="Times New Roman" w:cs="Times New Roman"/>
                <w:noProof/>
                <w:color w:val="000000" w:themeColor="text1"/>
                <w:sz w:val="20"/>
                <w:szCs w:val="20"/>
              </w:rPr>
              <w:t>26</w:t>
            </w:r>
            <w:r w:rsidRPr="00F6749E">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50%</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r w:rsidRPr="00F6749E">
              <w:rPr>
                <w:rFonts w:ascii="Times New Roman" w:eastAsia="Arial" w:hAnsi="Times New Roman" w:cs="Times New Roman"/>
                <w:color w:val="000000" w:themeColor="text1"/>
                <w:sz w:val="20"/>
                <w:szCs w:val="20"/>
              </w:rPr>
              <w:t xml:space="preserve">F </w:t>
            </w:r>
            <w:r w:rsidRPr="00F6749E">
              <w:rPr>
                <w:rFonts w:ascii="Times New Roman" w:eastAsia="Arial" w:hAnsi="Times New Roman" w:cs="Times New Roman"/>
                <w:color w:val="000000" w:themeColor="text1"/>
                <w:sz w:val="20"/>
                <w:szCs w:val="20"/>
                <w:vertAlign w:val="subscript"/>
              </w:rPr>
              <w:t>outgas estuaries</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22</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11</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proofErr w:type="spellStart"/>
            <w:r w:rsidRPr="00F6749E">
              <w:rPr>
                <w:rFonts w:ascii="Times New Roman" w:eastAsia="Arial" w:hAnsi="Times New Roman" w:cs="Times New Roman"/>
                <w:color w:val="000000" w:themeColor="text1"/>
                <w:sz w:val="20"/>
                <w:szCs w:val="20"/>
                <w:lang w:val="fr-FR"/>
              </w:rPr>
              <w:t>Laruelle</w:t>
            </w:r>
            <w:proofErr w:type="spellEnd"/>
            <w:r w:rsidRPr="00F6749E">
              <w:rPr>
                <w:rFonts w:ascii="Times New Roman" w:eastAsia="Arial" w:hAnsi="Times New Roman" w:cs="Times New Roman"/>
                <w:color w:val="000000" w:themeColor="text1"/>
                <w:sz w:val="20"/>
                <w:szCs w:val="20"/>
                <w:lang w:val="fr-FR"/>
              </w:rPr>
              <w:t xml:space="preserve"> et al. </w:t>
            </w:r>
            <w:r>
              <w:rPr>
                <w:rFonts w:ascii="Times New Roman" w:eastAsia="Arial" w:hAnsi="Times New Roman" w:cs="Times New Roman"/>
                <w:color w:val="000000" w:themeColor="text1"/>
                <w:sz w:val="20"/>
                <w:szCs w:val="20"/>
                <w:lang w:val="fr-FR"/>
              </w:rPr>
              <w:t>[</w:t>
            </w:r>
            <w:r w:rsidRPr="00F6749E">
              <w:rPr>
                <w:rFonts w:ascii="Times New Roman" w:eastAsia="Arial" w:hAnsi="Times New Roman" w:cs="Times New Roman"/>
                <w:color w:val="000000" w:themeColor="text1"/>
                <w:sz w:val="20"/>
                <w:szCs w:val="20"/>
                <w:lang w:val="fr-FR"/>
              </w:rPr>
              <w:fldChar w:fldCharType="begin" w:fldLock="1"/>
            </w:r>
            <w:r w:rsidRPr="00F6749E">
              <w:rPr>
                <w:rFonts w:ascii="Times New Roman" w:eastAsia="Arial" w:hAnsi="Times New Roman" w:cs="Times New Roman"/>
                <w:color w:val="000000" w:themeColor="text1"/>
                <w:sz w:val="20"/>
                <w:szCs w:val="20"/>
                <w:lang w:val="fr-FR"/>
              </w:rPr>
              <w:instrText>ADDIN CSL_CITATION {"citationItems":[{"id":"ITEM-1","itemData":{"DOI":"10.5194/hess-17-2029-2013","ISSN":"1607-7938","author":[{"dropping-particle":"","family":"Laruelle","given":"G. G.","non-dropping-particle":"","parse-names":false,"suffix":""},{"dropping-particle":"","family":"Dürr","given":"H. H.","non-dropping-particle":"","parse-names":false,"suffix":""},{"dropping-particle":"","family":"Lauerwald","given":"R.","non-dropping-particle":"","parse-names":false,"suffix":""},{"dropping-particle":"","family":"Hartmann","given":"J.","non-dropping-particle":"","parse-names":false,"suffix":""},{"dropping-particle":"","family":"Slomp","given":"C. P.","non-dropping-particle":"","parse-names":false,"suffix":""},{"dropping-particle":"","family":"Goossens","given":"N.","non-dropping-particle":"","parse-names":false,"suffix":""},{"dropping-particle":"","family":"Regnier","given":"P. a. G.","non-dropping-particle":"","parse-names":false,"suffix":""}],"container-title":"Hydrology and Earth System Sciences","id":"ITEM-1","issue":"5","issued":{"date-parts":[["2013","5"]]},"page":"2029-2051","title":"Global multi-scale segmentation of continental and coastal waters from the watersheds to the continental margins","type":"article-journal","volume":"17"},"uris":["http://www.mendeley.com/documents/?uuid=f34065a6-b97b-4e8b-a953-1b41ee97ea4b"]}],"mendeley":{"formattedCitation":"&lt;sup&gt;74&lt;/sup&gt;","plainTextFormattedCitation":"74","previouslyFormattedCitation":"&lt;sup&gt;74&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lang w:val="fr-FR"/>
              </w:rPr>
              <w:fldChar w:fldCharType="separate"/>
            </w:r>
            <w:r w:rsidRPr="00F6749E">
              <w:rPr>
                <w:rFonts w:ascii="Times New Roman" w:eastAsia="Arial" w:hAnsi="Times New Roman" w:cs="Times New Roman"/>
                <w:noProof/>
                <w:color w:val="000000" w:themeColor="text1"/>
                <w:sz w:val="20"/>
                <w:szCs w:val="20"/>
                <w:lang w:val="fr-FR"/>
              </w:rPr>
              <w:t>74</w:t>
            </w:r>
            <w:r w:rsidRPr="00F6749E">
              <w:rPr>
                <w:rFonts w:ascii="Times New Roman" w:eastAsia="Arial" w:hAnsi="Times New Roman" w:cs="Times New Roman"/>
                <w:color w:val="000000" w:themeColor="text1"/>
                <w:sz w:val="20"/>
                <w:szCs w:val="20"/>
                <w:lang w:val="fr-FR"/>
              </w:rPr>
              <w:fldChar w:fldCharType="end"/>
            </w:r>
            <w:r>
              <w:rPr>
                <w:rFonts w:ascii="Times New Roman" w:eastAsia="Arial" w:hAnsi="Times New Roman" w:cs="Times New Roman"/>
                <w:color w:val="000000" w:themeColor="text1"/>
                <w:sz w:val="20"/>
                <w:szCs w:val="20"/>
                <w:lang w:val="fr-FR"/>
              </w:rPr>
              <w:t>]</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50%</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r w:rsidRPr="00F6749E">
              <w:rPr>
                <w:rFonts w:ascii="Times New Roman" w:eastAsia="Arial" w:hAnsi="Times New Roman" w:cs="Times New Roman"/>
                <w:color w:val="000000" w:themeColor="text1"/>
                <w:sz w:val="20"/>
                <w:szCs w:val="20"/>
              </w:rPr>
              <w:lastRenderedPageBreak/>
              <w:t>NPP</w:t>
            </w:r>
            <w:r w:rsidRPr="00F6749E">
              <w:rPr>
                <w:rFonts w:ascii="Times New Roman" w:eastAsia="Arial" w:hAnsi="Times New Roman" w:cs="Times New Roman"/>
                <w:color w:val="000000" w:themeColor="text1"/>
                <w:sz w:val="20"/>
                <w:szCs w:val="20"/>
                <w:vertAlign w:val="subscript"/>
              </w:rPr>
              <w:t>MODIS</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-3029</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606</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Zhao et al. </w:t>
            </w:r>
            <w:r>
              <w:rPr>
                <w:rFonts w:ascii="Times New Roman" w:eastAsia="Arial" w:hAnsi="Times New Roman" w:cs="Times New Roman"/>
                <w:color w:val="000000" w:themeColor="text1"/>
                <w:sz w:val="20"/>
                <w:szCs w:val="20"/>
              </w:rPr>
              <w:t>[</w:t>
            </w:r>
            <w:r w:rsidRPr="00F6749E">
              <w:rPr>
                <w:rFonts w:ascii="Times New Roman" w:eastAsia="Arial" w:hAnsi="Times New Roman" w:cs="Times New Roman"/>
                <w:color w:val="000000" w:themeColor="text1"/>
                <w:sz w:val="20"/>
                <w:szCs w:val="20"/>
              </w:rPr>
              <w:fldChar w:fldCharType="begin" w:fldLock="1"/>
            </w:r>
            <w:r w:rsidRPr="00F6749E">
              <w:rPr>
                <w:rFonts w:ascii="Times New Roman" w:eastAsia="Arial" w:hAnsi="Times New Roman" w:cs="Times New Roman"/>
                <w:color w:val="000000" w:themeColor="text1"/>
                <w:sz w:val="20"/>
                <w:szCs w:val="20"/>
              </w:rPr>
              <w:instrText>ADDIN CSL_CITATION {"citationItems":[{"id":"ITEM-1","itemData":{"DOI":"10.1029/2004JG000004","ISBN":"0148-0227","ISSN":"0148-0227","abstract":"The Moderate Resolution Imaging Spectroradiometer (MODIS) on board NASA's satellites, Terra and Aqua, dramatically improves our ability to accurately and continuously monitor the terrestrial biosphere. MODIS information is used to estimate global terrestrial primary production weekly and annually in near-real time at a 1-km resolution. MODIS terrestrial primary production requires daily gridded assimilation meteorological data as inputs, and the accuracy of the existing meteorological reanalysis data sets show marked differences both spatially and temporally. This study compares surface meteorological data sets from three well-documented global reanalyses, NASA Data Assimilation Office (DAO), European Centre for Medium-Range Weather Forecasts (ECMWF) (ERA-40) and National Centers for Environmental Prediction/National Center for Atmospheric Research (NCEP/NCAR) reanalysis 1, with observed weather station data and other gridded data interpolated from the observations, to evaluate the sensitivity of MODIS global terrestrial gross and net primary production (GPP and NPP) to the uncertainties of meteorological inputs both in the United States and the global vegetated areas. NCEP tends to overestimate surface solar radiation, and underestimate both temperature and vapor pressure deficit (VPD). ECMWF has the highest accuracy but its radiation is lower in tropical regions, and the accuracy of DAO lies between NCEP and ECMWF. Biases in temperature are mainly responsible for large VPD biases in reanalyses. MODIS NPP contains more uncertainties than GPP. Global total MODIS GPP and NPP driven by DAO, ECMWF, and NCEP show notable differences (&gt;20 Pg C/yr) with the highest estimates from NCEP and the lowest from ECMWF. Again, the DAO results lie somewhere between NCEP and ECMWF estimates. Spatially, the larger discrepancies among reanalyses and their derived MODIS GPP and NPP occur in the tropics. These results reveal that the biases in meteorological reanalyses can introduce substantial error into GPP and NPP estimations, and emphasize the need to minimize these biases to improve the quality of MODIS GPP and NPP products.","author":[{"dropping-particle":"","family":"Zhao","given":"Maosheng","non-dropping-particle":"","parse-names":false,"suffix":""},{"dropping-particle":"","family":"Running","given":"Steven W.","non-dropping-particle":"","parse-names":false,"suffix":""},{"dropping-particle":"","family":"Nemani","given":"Ramakrishna R.","non-dropping-particle":"","parse-names":false,"suffix":""}],"container-title":"Journal of Geophysical Research","id":"ITEM-1","issue":"G1","issued":{"date-parts":[["2006"]]},"page":"G01002","title":"Sensitivity of Moderate Resolution Imaging Spectroradiometer (MODIS) terrestrial primary production to the accuracy of meteorological reanalyses","type":"article-journal","volume":"111"},"uris":["http://www.mendeley.com/documents/?uuid=de26ed4f-683f-4acf-b548-fd2275a66e2d"]}],"mendeley":{"formattedCitation":"&lt;sup&gt;85&lt;/sup&gt;","plainTextFormattedCitation":"85","previouslyFormattedCitation":"&lt;sup&gt;85&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rPr>
              <w:fldChar w:fldCharType="separate"/>
            </w:r>
            <w:r w:rsidRPr="00F6749E">
              <w:rPr>
                <w:rFonts w:ascii="Times New Roman" w:eastAsia="Arial" w:hAnsi="Times New Roman" w:cs="Times New Roman"/>
                <w:noProof/>
                <w:color w:val="000000" w:themeColor="text1"/>
                <w:sz w:val="20"/>
                <w:szCs w:val="20"/>
              </w:rPr>
              <w:t>85</w:t>
            </w:r>
            <w:r w:rsidRPr="00F6749E">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20% </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r w:rsidRPr="00F6749E">
              <w:rPr>
                <w:rFonts w:ascii="Times New Roman" w:eastAsia="Arial" w:hAnsi="Times New Roman" w:cs="Times New Roman"/>
                <w:color w:val="000000" w:themeColor="text1"/>
                <w:sz w:val="20"/>
                <w:szCs w:val="20"/>
              </w:rPr>
              <w:t>NPP</w:t>
            </w:r>
            <w:r w:rsidRPr="00F6749E">
              <w:rPr>
                <w:rFonts w:ascii="Times New Roman" w:eastAsia="Arial" w:hAnsi="Times New Roman" w:cs="Times New Roman"/>
                <w:color w:val="000000" w:themeColor="text1"/>
                <w:sz w:val="20"/>
                <w:szCs w:val="20"/>
                <w:vertAlign w:val="subscript"/>
              </w:rPr>
              <w:t>BETHY</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-3649</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730</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Tum et al.</w:t>
            </w:r>
            <w:r>
              <w:rPr>
                <w:rFonts w:ascii="Times New Roman" w:eastAsia="Arial" w:hAnsi="Times New Roman" w:cs="Times New Roman"/>
                <w:color w:val="000000" w:themeColor="text1"/>
                <w:sz w:val="20"/>
                <w:szCs w:val="20"/>
              </w:rPr>
              <w:t xml:space="preserve"> [</w:t>
            </w:r>
            <w:r w:rsidRPr="00F6749E">
              <w:rPr>
                <w:rFonts w:ascii="Times New Roman" w:eastAsia="Arial" w:hAnsi="Times New Roman" w:cs="Times New Roman"/>
                <w:color w:val="000000" w:themeColor="text1"/>
                <w:sz w:val="20"/>
                <w:szCs w:val="20"/>
              </w:rPr>
              <w:fldChar w:fldCharType="begin" w:fldLock="1"/>
            </w:r>
            <w:r w:rsidRPr="00F6749E">
              <w:rPr>
                <w:rFonts w:ascii="Times New Roman" w:eastAsia="Arial" w:hAnsi="Times New Roman" w:cs="Times New Roman"/>
                <w:color w:val="000000" w:themeColor="text1"/>
                <w:sz w:val="20"/>
                <w:szCs w:val="20"/>
              </w:rPr>
              <w:instrText>ADDIN CSL_CITATION {"citationItems":[{"id":"ITEM-1","itemData":{"DOI":"10.5194/gmd-6-1623-2013","ISSN":"1991-9603","abstract":"&lt;p&gt;&lt;p&gt;&lt;strong&gt;Abstract.&lt;/strong&gt; In this study we compare monthly gross primary productivity (GPP) time series (2000–2007), computed for Europe with the Biosphere Energy Transfer Hydrology (BETHY/DLR) model with monthly data from the eddy covariance measurements network FLUXNET. BETHY/DLR with a spatial resolution of 1 km&lt;sup&gt;2&lt;/sup&gt; is designed for regional and continental applications (here Europe) and operated at the German Aerospace Center (DLR). It was adapted from the BETHY scheme to be driven by remote sensing data (leaf area index (LAI) and land cover information) and meteorology. Time series of LAI obtained from the CYCLOPES database are used to control the phenology of vegetation. Meteorological time series from the European Centre for Medium-Range Weather Forecasts (ECMWF) are used as driver. These comprise daily information on temperature, precipitation, wind speed and radiation. Additionally, static maps such as land cover, elevation, and soil type are used. To validate our model results we used eddy covariance measurements from the FLUXNET network of 74 towers across Europe. For forest sites we found that our model predicts between 20 and 40% higher annual GPP sums. In contrast, for cropland sites BETHY/DLR results show about 18% less GPP than eddy covariance measurements. For grassland sites, between 10% more and 16% less GPP was calculated with BETHY/DLR. A mean total carbon uptake of 2.5 PgC a&lt;sup&gt;−1&lt;/sup&gt; (±0.17 PgC a&lt;sup&gt;−1&lt;/sup&gt;) was found for Europe. In addition, this study reports on risks that arise from the comparison of modelled data to FLUXNET measurements and their interpretation width. Furthermore we investigate reasons for uncertainties in model results and focus here on &lt;i&gt;V&lt;/i&gt;&lt;sub&gt;max&lt;/sub&gt; values, and finally embed our results into a broader context of model validation studies published during the last years in order to evaluate differences or similarities in analysed error sources.&lt;/p&gt;&lt;/p&gt;","author":[{"dropping-particle":"","family":"Wißkirchen","given":"K.","non-dropping-particle":"","parse-names":false,"suffix":""},{"dropping-particle":"","family":"Tum","given":"M.","non-dropping-particle":"","parse-names":false,"suffix":""},{"dropping-particle":"","family":"Günther","given":"K. P.","non-dropping-particle":"","parse-names":false,"suffix":""},{"dropping-particle":"","family":"Niklaus","given":"M.","non-dropping-particle":"","parse-names":false,"suffix":""},{"dropping-particle":"","family":"Eisfelder","given":"C.","non-dropping-particle":"","parse-names":false,"suffix":""},{"dropping-particle":"","family":"Knorr","given":"W.","non-dropping-particle":"","parse-names":false,"suffix":""}],"container-title":"Geoscientific Model Development","id":"ITEM-1","issue":"5","issued":{"date-parts":[["2013","10","8"]]},"page":"1623-1640","title":"Quantifying the carbon uptake by vegetation for Europe on a 1 km&amp;amp;lt;sup&amp;amp;gt;2&amp;amp;lt;/sup&amp;amp;gt; resolution using a remote sensing driven vegetation model","type":"article-journal","volume":"6"},"uris":["http://www.mendeley.com/documents/?uuid=2a66f9b9-97fa-3434-9682-3dc7a55bd2e9"]}],"mendeley":{"formattedCitation":"&lt;sup&gt;23&lt;/sup&gt;","plainTextFormattedCitation":"23","previouslyFormattedCitation":"&lt;sup&gt;23&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rPr>
              <w:fldChar w:fldCharType="separate"/>
            </w:r>
            <w:r w:rsidRPr="00F6749E">
              <w:rPr>
                <w:rFonts w:ascii="Times New Roman" w:eastAsia="Arial" w:hAnsi="Times New Roman" w:cs="Times New Roman"/>
                <w:noProof/>
                <w:color w:val="000000" w:themeColor="text1"/>
                <w:sz w:val="20"/>
                <w:szCs w:val="20"/>
              </w:rPr>
              <w:t>23</w:t>
            </w:r>
            <w:r w:rsidRPr="00F6749E">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20%</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r w:rsidRPr="00F6749E">
              <w:rPr>
                <w:rFonts w:ascii="Times New Roman" w:eastAsia="Arial" w:hAnsi="Times New Roman" w:cs="Times New Roman"/>
                <w:color w:val="000000" w:themeColor="text1"/>
                <w:sz w:val="20"/>
                <w:szCs w:val="20"/>
              </w:rPr>
              <w:t>NPP</w:t>
            </w:r>
            <w:r w:rsidRPr="00F6749E">
              <w:rPr>
                <w:rFonts w:ascii="Times New Roman" w:eastAsia="Arial" w:hAnsi="Times New Roman" w:cs="Times New Roman"/>
                <w:color w:val="000000" w:themeColor="text1"/>
                <w:sz w:val="20"/>
                <w:szCs w:val="20"/>
                <w:vertAlign w:val="subscript"/>
              </w:rPr>
              <w:t>GIMMS</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-2361</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472</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Kolby Smith et al.</w:t>
            </w:r>
            <w:r>
              <w:rPr>
                <w:rFonts w:ascii="Times New Roman" w:eastAsia="Arial" w:hAnsi="Times New Roman" w:cs="Times New Roman"/>
                <w:color w:val="000000" w:themeColor="text1"/>
                <w:sz w:val="20"/>
                <w:szCs w:val="20"/>
              </w:rPr>
              <w:t xml:space="preserve"> [</w:t>
            </w:r>
            <w:r w:rsidRPr="00F6749E">
              <w:rPr>
                <w:rFonts w:ascii="Times New Roman" w:eastAsia="Arial" w:hAnsi="Times New Roman" w:cs="Times New Roman"/>
                <w:color w:val="000000" w:themeColor="text1"/>
                <w:sz w:val="20"/>
                <w:szCs w:val="20"/>
              </w:rPr>
              <w:fldChar w:fldCharType="begin" w:fldLock="1"/>
            </w:r>
            <w:r w:rsidRPr="00F6749E">
              <w:rPr>
                <w:rFonts w:ascii="Times New Roman" w:eastAsia="Arial" w:hAnsi="Times New Roman" w:cs="Times New Roman"/>
                <w:color w:val="000000" w:themeColor="text1"/>
                <w:sz w:val="20"/>
                <w:szCs w:val="20"/>
              </w:rPr>
              <w:instrText>ADDIN CSL_CITATION {"citationItems":[{"id":"ITEM-1","itemData":{"author":[{"dropping-particle":"","family":"Kolby Smith","given":"W","non-dropping-particle":"","parse-names":false,"suffix":""},{"dropping-particle":"","family":"Reed","given":"Sasha C","non-dropping-particle":"","parse-names":false,"suffix":""},{"dropping-particle":"","family":"Cleveland","given":"Cory C","non-dropping-particle":"","parse-names":false,"suffix":""},{"dropping-particle":"","family":"Ballantyne","given":"Ashley P","non-dropping-particle":"","parse-names":false,"suffix":""},{"dropping-particle":"","family":"Anderegg","given":"William R L","non-dropping-particle":"","parse-names":false,"suffix":""},{"dropping-particle":"","family":"Wieder","given":"William R","non-dropping-particle":"","parse-names":false,"suffix":""},{"dropping-particle":"","family":"Liu","given":"Yi Y","non-dropping-particle":"","parse-names":false,"suffix":""},{"dropping-particle":"","family":"Running","given":"Steven W","non-dropping-particle":"","parse-names":false,"suffix":""}],"container-title":"Nature Climate Change","id":"ITEM-1","issued":{"date-parts":[["2015","12","7"]]},"page":"306","publisher":"Nature Publishing Group","title":"Large divergence of satellite and Earth system model estimates of global terrestrial CO2 fertilization","type":"article-journal","volume":"6"},"uris":["http://www.mendeley.com/documents/?uuid=61d003ae-325e-49c5-adc9-b80e731e237f"]}],"mendeley":{"formattedCitation":"&lt;sup&gt;24&lt;/sup&gt;","plainTextFormattedCitation":"24","previouslyFormattedCitation":"&lt;sup&gt;24&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rPr>
              <w:fldChar w:fldCharType="separate"/>
            </w:r>
            <w:r w:rsidRPr="00F6749E">
              <w:rPr>
                <w:rFonts w:ascii="Times New Roman" w:eastAsia="Arial" w:hAnsi="Times New Roman" w:cs="Times New Roman"/>
                <w:color w:val="000000" w:themeColor="text1"/>
                <w:sz w:val="20"/>
                <w:szCs w:val="20"/>
              </w:rPr>
              <w:t>24</w:t>
            </w:r>
            <w:r w:rsidRPr="00F6749E">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20%</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r w:rsidRPr="00F6749E">
              <w:rPr>
                <w:rFonts w:ascii="Times New Roman" w:eastAsia="Arial" w:hAnsi="Times New Roman" w:cs="Times New Roman"/>
                <w:color w:val="000000" w:themeColor="text1"/>
                <w:sz w:val="20"/>
                <w:szCs w:val="20"/>
              </w:rPr>
              <w:t>NPP</w:t>
            </w:r>
            <w:r w:rsidRPr="00F6749E">
              <w:rPr>
                <w:rFonts w:ascii="Times New Roman" w:eastAsia="Arial" w:hAnsi="Times New Roman" w:cs="Times New Roman"/>
                <w:color w:val="000000" w:themeColor="text1"/>
                <w:sz w:val="20"/>
                <w:szCs w:val="20"/>
                <w:vertAlign w:val="subscript"/>
              </w:rPr>
              <w:t>CARDAMOM</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-2268</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81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813</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Bloom et al. </w:t>
            </w:r>
            <w:r>
              <w:rPr>
                <w:rFonts w:ascii="Times New Roman" w:eastAsia="Arial" w:hAnsi="Times New Roman" w:cs="Times New Roman"/>
                <w:color w:val="000000" w:themeColor="text1"/>
                <w:sz w:val="20"/>
                <w:szCs w:val="20"/>
              </w:rPr>
              <w:t>[</w:t>
            </w:r>
            <w:r w:rsidRPr="00F6749E">
              <w:rPr>
                <w:rFonts w:ascii="Times New Roman" w:eastAsia="Arial" w:hAnsi="Times New Roman" w:cs="Times New Roman"/>
                <w:color w:val="000000" w:themeColor="text1"/>
                <w:sz w:val="20"/>
                <w:szCs w:val="20"/>
              </w:rPr>
              <w:fldChar w:fldCharType="begin" w:fldLock="1"/>
            </w:r>
            <w:r w:rsidRPr="00F6749E">
              <w:rPr>
                <w:rFonts w:ascii="Times New Roman" w:eastAsia="Arial" w:hAnsi="Times New Roman" w:cs="Times New Roman"/>
                <w:color w:val="000000" w:themeColor="text1"/>
                <w:sz w:val="20"/>
                <w:szCs w:val="20"/>
              </w:rPr>
              <w:instrText>ADDIN CSL_CITATION {"citationItems":[{"id":"ITEM-1","itemData":{"DOI":"10.1073/pnas.1515160113","ISSN":"0027-8424","abstract":"Quantitative knowledge of terrestrial carbon pathways and processes is fundamental for understanding the biosphere{\\textquoteright}s response to a changing climate. Carbon allocation, stocks, and residence times together define the dynamic state of the terrestrial carbon cycle. These quantities are difficult to measure and remain poorly quantified on a global scale. Here, we retrieve global 1{\\textdegree} {\\texttimes} 1{\\textdegree} carbon state and process variables by combining a carbon balance model with satellite observations of biomass and leaf area (where and when available) and global soil carbon data. Our results reveal emergent continental-scale patterns and relationships between carbon states and processes. We find that conventional land cover types cannot capture continental-scale variations of retrieved carbon variables; this mismatch has strong implications for terrestrial carbon cycle predictions.The terrestrial carbon cycle is currently the least constrained component of the global carbon budget. Large uncertainties stem from a poor understanding of plant carbon allocation, stocks, residence times, and carbon use efficiency. Imposing observational constraints on the terrestrial carbon cycle and its processes is, therefore, necessary to better understand its current state and predict its future state. We combine a diagnostic ecosystem carbon model with satellite observations of leaf area and biomass (where and when available) and soil carbon data to retrieve the first global estimates, to our knowledge, of carbon cycle state and process variables at a 1{\\textdegree} {\\texttimes} 1{\\textdegree} resolution; retrieved variables are independent from the plant functional type and steady-state paradigms. Our results reveal global emergent relationships in the spatial distribution of key carbon cycle states and processes. Live biomass and dead organic carbon residence times exhibit contrasting spatial features (r = 0.3). Allocation to structural carbon is highest in the wet tropics (85{\\textendash}88%) in contrast to higher latitudes (73{\\textendash}82%), where allocation shifts toward photosynthetic carbon. Carbon use efficiency is lowest (0.42{\\textendash}0.44) in the wet tropics. We find an emergent global correlation between retrievals of leaf mass per leaf area and leaf lifespan (r = 0.64{\\textendash}0.80) that matches independent trait studies. We show that conventional land cover types cannot adequately describe the spatial variability of …","author":[{"dropping-particle":"","family":"Bloom","given":"A Anthony","non-dropping-particle":"","parse-names":false,"suffix":""},{"dropping-particle":"","family":"Exbrayat","given":"Jean-François","non-dropping-particle":"","parse-names":false,"suffix":""},{"dropping-particle":"","family":"Velde","given":"Ivar R","non-dropping-particle":"van der","parse-names":false,"suffix":""},{"dropping-particle":"","family":"Feng","given":"Liang","non-dropping-particle":"","parse-names":false,"suffix":""},{"dropping-particle":"","family":"Williams","given":"Mathew","non-dropping-particle":"","parse-names":false,"suffix":""}],"container-title":"Proceedings of the National Academy of Sciences","id":"ITEM-1","issue":"5","issued":{"date-parts":[["2016"]]},"page":"1285-1290","publisher":"National Academy of Sciences","title":"The decadal state of the terrestrial carbon cycle: Global retrievals of terrestrial carbon allocation, pools, and residence times","type":"article-journal","volume":"113"},"uris":["http://www.mendeley.com/documents/?uuid=6f80c03b-935a-4bff-b909-17256e12378d"]}],"mendeley":{"formattedCitation":"&lt;sup&gt;25&lt;/sup&gt;","plainTextFormattedCitation":"25","previouslyFormattedCitation":"&lt;sup&gt;25&lt;/sup&gt;"},"properties":{"noteIndex":0},"schema":"https://github.com/citation-style-language/schema/raw/master/csl-citation.json"}</w:instrText>
            </w:r>
            <w:r w:rsidRPr="00F6749E">
              <w:rPr>
                <w:rFonts w:ascii="Times New Roman" w:eastAsia="Arial" w:hAnsi="Times New Roman" w:cs="Times New Roman"/>
                <w:color w:val="000000" w:themeColor="text1"/>
                <w:sz w:val="20"/>
                <w:szCs w:val="20"/>
              </w:rPr>
              <w:fldChar w:fldCharType="separate"/>
            </w:r>
            <w:r w:rsidRPr="00F6749E">
              <w:rPr>
                <w:rFonts w:ascii="Times New Roman" w:eastAsia="Arial" w:hAnsi="Times New Roman" w:cs="Times New Roman"/>
                <w:noProof/>
                <w:color w:val="000000" w:themeColor="text1"/>
                <w:sz w:val="20"/>
                <w:szCs w:val="20"/>
              </w:rPr>
              <w:t>25</w:t>
            </w:r>
            <w:r w:rsidRPr="00F6749E">
              <w:rPr>
                <w:rFonts w:ascii="Times New Roman" w:eastAsia="Arial" w:hAnsi="Times New Roman" w:cs="Times New Roman"/>
                <w:color w:val="000000" w:themeColor="text1"/>
                <w:sz w:val="20"/>
                <w:szCs w:val="20"/>
              </w:rPr>
              <w:fldChar w:fldCharType="end"/>
            </w:r>
            <w:r>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20%</w:t>
            </w:r>
          </w:p>
        </w:tc>
      </w:tr>
      <w:tr w:rsidR="00F6749E" w:rsidRPr="00F6749E" w:rsidTr="00570D37">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Soil Het. Resp.</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1989</w:t>
            </w:r>
          </w:p>
        </w:tc>
        <w:tc>
          <w:tcPr>
            <w:tcW w:w="1080" w:type="dxa"/>
            <w:gridSpan w:val="2"/>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(1435,2614)</w:t>
            </w:r>
          </w:p>
        </w:tc>
        <w:tc>
          <w:tcPr>
            <w:tcW w:w="369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Equation (2)</w:t>
            </w:r>
          </w:p>
        </w:tc>
        <w:tc>
          <w:tcPr>
            <w:tcW w:w="1720"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Inter-quartile from Monte Carlo (</w:t>
            </w:r>
            <w:r w:rsidR="00551F01">
              <w:rPr>
                <w:rFonts w:ascii="Times New Roman" w:eastAsia="Arial" w:hAnsi="Times New Roman" w:cs="Times New Roman"/>
                <w:color w:val="000000" w:themeColor="text1"/>
                <w:sz w:val="20"/>
                <w:szCs w:val="20"/>
              </w:rPr>
              <w:t>M</w:t>
            </w:r>
            <w:r w:rsidRPr="00F6749E">
              <w:rPr>
                <w:rFonts w:ascii="Times New Roman" w:eastAsia="Arial" w:hAnsi="Times New Roman" w:cs="Times New Roman"/>
                <w:color w:val="000000" w:themeColor="text1"/>
                <w:sz w:val="20"/>
                <w:szCs w:val="20"/>
              </w:rPr>
              <w:t>ethods)</w:t>
            </w:r>
          </w:p>
        </w:tc>
      </w:tr>
    </w:tbl>
    <w:p w:rsidR="00F6749E" w:rsidRPr="00F6749E" w:rsidRDefault="00F6749E" w:rsidP="00F6749E">
      <w:pPr>
        <w:rPr>
          <w:rFonts w:ascii="Times New Roman" w:eastAsia="Arial" w:hAnsi="Times New Roman" w:cs="Times New Roman"/>
          <w:color w:val="000000" w:themeColor="text1"/>
          <w:sz w:val="20"/>
          <w:szCs w:val="20"/>
        </w:rPr>
      </w:pPr>
    </w:p>
    <w:p w:rsidR="00F6749E" w:rsidRPr="00F6749E" w:rsidRDefault="00F6749E"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a</w:t>
      </w:r>
      <w:r w:rsidRPr="00F6749E">
        <w:rPr>
          <w:rFonts w:ascii="Times New Roman" w:eastAsia="Arial" w:hAnsi="Times New Roman" w:cs="Times New Roman"/>
          <w:color w:val="000000" w:themeColor="text1"/>
          <w:sz w:val="20"/>
          <w:szCs w:val="20"/>
        </w:rPr>
        <w:t xml:space="preserve"> </w:t>
      </w:r>
      <w:r w:rsidRPr="00F6749E">
        <w:rPr>
          <w:rFonts w:ascii="Times New Roman" w:eastAsia="Arial" w:hAnsi="Times New Roman" w:cs="Times New Roman"/>
          <w:color w:val="000000" w:themeColor="text1"/>
          <w:sz w:val="20"/>
          <w:szCs w:val="20"/>
        </w:rPr>
        <w:tab/>
      </w:r>
      <w:proofErr w:type="spellStart"/>
      <w:r w:rsidRPr="00F6749E">
        <w:rPr>
          <w:rFonts w:ascii="Times New Roman" w:eastAsia="Arial" w:hAnsi="Times New Roman" w:cs="Times New Roman"/>
          <w:color w:val="000000" w:themeColor="text1"/>
          <w:sz w:val="20"/>
          <w:szCs w:val="20"/>
        </w:rPr>
        <w:t>Luyssaert</w:t>
      </w:r>
      <w:proofErr w:type="spellEnd"/>
      <w:r w:rsidRPr="00F6749E">
        <w:rPr>
          <w:rFonts w:ascii="Times New Roman" w:eastAsia="Arial" w:hAnsi="Times New Roman" w:cs="Times New Roman"/>
          <w:color w:val="000000" w:themeColor="text1"/>
          <w:sz w:val="20"/>
          <w:szCs w:val="20"/>
        </w:rPr>
        <w:t xml:space="preserve"> et al.  change in stocks in their Table: 9a to j + 10a,b + 11ab + LUC + burial ; change in forest stocks  for period  2000-2007 ; other periods for other land use types</w:t>
      </w:r>
    </w:p>
    <w:p w:rsidR="00F6749E" w:rsidRPr="00F6749E" w:rsidRDefault="00F6749E"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b</w:t>
      </w:r>
      <w:r w:rsidRPr="00F6749E">
        <w:rPr>
          <w:rFonts w:ascii="Times New Roman" w:eastAsia="Arial" w:hAnsi="Times New Roman" w:cs="Times New Roman"/>
          <w:color w:val="000000" w:themeColor="text1"/>
          <w:sz w:val="20"/>
          <w:szCs w:val="20"/>
        </w:rPr>
        <w:tab/>
        <w:t xml:space="preserve">River C transport to estuaries and estuaries C outgassing are both assumed a relative uncertainty of 50%. The total error on </w:t>
      </w: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rivers</w:t>
      </w:r>
      <w:proofErr w:type="spellEnd"/>
      <w:r w:rsidRPr="00F6749E">
        <w:rPr>
          <w:rFonts w:ascii="Times New Roman" w:eastAsia="Arial" w:hAnsi="Times New Roman" w:cs="Times New Roman"/>
          <w:color w:val="000000" w:themeColor="text1"/>
          <w:sz w:val="20"/>
          <w:szCs w:val="20"/>
          <w:vertAlign w:val="subscript"/>
        </w:rPr>
        <w:t xml:space="preserve"> </w:t>
      </w:r>
      <w:r w:rsidRPr="00F6749E">
        <w:rPr>
          <w:rFonts w:ascii="Times New Roman" w:eastAsia="Arial" w:hAnsi="Times New Roman" w:cs="Times New Roman"/>
          <w:color w:val="000000" w:themeColor="text1"/>
          <w:sz w:val="20"/>
          <w:szCs w:val="20"/>
        </w:rPr>
        <w:t>is calculated by assuming these two terms have independent uncertainties</w:t>
      </w:r>
    </w:p>
    <w:p w:rsidR="00F6749E" w:rsidRPr="00F6749E" w:rsidRDefault="00F6749E"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c</w:t>
      </w:r>
      <w:r w:rsidRPr="00F6749E">
        <w:rPr>
          <w:rFonts w:ascii="Times New Roman" w:eastAsia="Arial" w:hAnsi="Times New Roman" w:cs="Times New Roman"/>
          <w:color w:val="000000" w:themeColor="text1"/>
          <w:sz w:val="20"/>
          <w:szCs w:val="20"/>
        </w:rPr>
        <w:tab/>
        <w:t xml:space="preserve">The total error on NEE is calculated by assuming each term of </w:t>
      </w:r>
      <w:r w:rsidR="00551F01" w:rsidRPr="00F6749E">
        <w:rPr>
          <w:rFonts w:ascii="Times New Roman" w:eastAsia="Arial" w:hAnsi="Times New Roman" w:cs="Times New Roman"/>
          <w:color w:val="000000" w:themeColor="text1"/>
          <w:sz w:val="20"/>
          <w:szCs w:val="20"/>
        </w:rPr>
        <w:t>Equation</w:t>
      </w:r>
      <w:r w:rsidRPr="00F6749E">
        <w:rPr>
          <w:rFonts w:ascii="Times New Roman" w:eastAsia="Arial" w:hAnsi="Times New Roman" w:cs="Times New Roman"/>
          <w:color w:val="000000" w:themeColor="text1"/>
          <w:sz w:val="20"/>
          <w:szCs w:val="20"/>
        </w:rPr>
        <w:t xml:space="preserve"> (1) have independent uncertainties</w:t>
      </w:r>
    </w:p>
    <w:p w:rsidR="00F6749E" w:rsidRPr="00570D37" w:rsidRDefault="00F6749E"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d</w:t>
      </w:r>
      <w:r w:rsidRPr="00F6749E">
        <w:rPr>
          <w:rFonts w:ascii="Times New Roman" w:eastAsia="Arial" w:hAnsi="Times New Roman" w:cs="Times New Roman"/>
          <w:color w:val="000000" w:themeColor="text1"/>
          <w:sz w:val="20"/>
          <w:szCs w:val="20"/>
        </w:rPr>
        <w:tab/>
        <w:t xml:space="preserve">Uncertainty from Eggers et al. for landfills and waste wood products and estimated by Monte Carlo </w:t>
      </w:r>
      <w:r w:rsidRPr="00570D37">
        <w:rPr>
          <w:rFonts w:ascii="Times New Roman" w:eastAsia="Arial" w:hAnsi="Times New Roman" w:cs="Times New Roman"/>
          <w:color w:val="000000" w:themeColor="text1"/>
          <w:sz w:val="20"/>
          <w:szCs w:val="20"/>
        </w:rPr>
        <w:t>approach by Wang et al. for biomass burned in industry and power plants</w:t>
      </w:r>
    </w:p>
    <w:p w:rsidR="00E8739C" w:rsidRDefault="00E8739C" w:rsidP="00E8739C">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e</w:t>
      </w:r>
      <w:r>
        <w:rPr>
          <w:rFonts w:ascii="Times New Roman" w:eastAsia="Arial" w:hAnsi="Times New Roman" w:cs="Times New Roman"/>
          <w:color w:val="000000" w:themeColor="text1"/>
          <w:sz w:val="20"/>
          <w:szCs w:val="20"/>
        </w:rPr>
        <w:tab/>
      </w:r>
      <w:proofErr w:type="spellStart"/>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fires</w:t>
      </w:r>
      <w:proofErr w:type="spellEnd"/>
      <w:r w:rsidRPr="00E8739C">
        <w:rPr>
          <w:rFonts w:ascii="Times New Roman" w:eastAsia="Arial" w:hAnsi="Times New Roman" w:cs="Times New Roman"/>
          <w:color w:val="000000" w:themeColor="text1"/>
          <w:sz w:val="20"/>
          <w:szCs w:val="20"/>
          <w:vertAlign w:val="subscript"/>
        </w:rPr>
        <w:t xml:space="preserve"> </w:t>
      </w:r>
      <w:r w:rsidRPr="00E8739C">
        <w:rPr>
          <w:rFonts w:ascii="Times New Roman" w:eastAsia="Arial" w:hAnsi="Times New Roman" w:cs="Times New Roman"/>
          <w:color w:val="000000" w:themeColor="text1"/>
          <w:sz w:val="20"/>
          <w:szCs w:val="20"/>
        </w:rPr>
        <w:t>includes open fires and crop residues burning estimated from Wang et al.</w:t>
      </w:r>
    </w:p>
    <w:p w:rsidR="00F6749E" w:rsidRPr="00F6749E" w:rsidRDefault="00E8739C"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f</w:t>
      </w:r>
      <w:r w:rsidR="00F6749E" w:rsidRPr="00570D37">
        <w:rPr>
          <w:rFonts w:ascii="Times New Roman" w:eastAsia="Arial" w:hAnsi="Times New Roman" w:cs="Times New Roman"/>
          <w:color w:val="000000" w:themeColor="text1"/>
          <w:sz w:val="20"/>
          <w:szCs w:val="20"/>
        </w:rPr>
        <w:tab/>
        <w:t>See their Fig. 3 (this</w:t>
      </w:r>
      <w:r w:rsidR="00F6749E" w:rsidRPr="00F6749E">
        <w:rPr>
          <w:rFonts w:ascii="Times New Roman" w:eastAsia="Arial" w:hAnsi="Times New Roman" w:cs="Times New Roman"/>
          <w:color w:val="000000" w:themeColor="text1"/>
          <w:sz w:val="20"/>
          <w:szCs w:val="20"/>
        </w:rPr>
        <w:t xml:space="preserve"> flux only for EU countries)</w:t>
      </w:r>
    </w:p>
    <w:p w:rsidR="00F6749E" w:rsidRPr="00F6749E" w:rsidRDefault="00F6749E" w:rsidP="00F6749E">
      <w:pPr>
        <w:ind w:left="567"/>
        <w:rPr>
          <w:rFonts w:ascii="Times New Roman" w:eastAsia="Calibri" w:hAnsi="Times New Roman" w:cs="Times New Roman"/>
          <w:color w:val="000000" w:themeColor="text1"/>
          <w:sz w:val="20"/>
          <w:szCs w:val="20"/>
        </w:rPr>
      </w:pPr>
    </w:p>
    <w:p w:rsidR="00F6749E" w:rsidRPr="00DA354E" w:rsidRDefault="00F6749E" w:rsidP="00F6749E">
      <w:pPr>
        <w:ind w:left="567"/>
        <w:rPr>
          <w:rFonts w:ascii="Times New Roman" w:eastAsia="Calibri" w:hAnsi="Times New Roman" w:cs="Times New Roman"/>
          <w:color w:val="000000" w:themeColor="text1"/>
          <w:sz w:val="16"/>
          <w:szCs w:val="16"/>
        </w:rPr>
      </w:pPr>
    </w:p>
    <w:p w:rsidR="00F6749E" w:rsidRPr="00DA354E" w:rsidRDefault="00F6749E" w:rsidP="0030560F">
      <w:pPr>
        <w:ind w:left="567"/>
        <w:rPr>
          <w:rFonts w:ascii="Times New Roman" w:eastAsia="Calibri" w:hAnsi="Times New Roman" w:cs="Times New Roman"/>
          <w:color w:val="000000" w:themeColor="text1"/>
          <w:sz w:val="16"/>
          <w:szCs w:val="16"/>
        </w:rPr>
      </w:pPr>
      <w:r w:rsidRPr="00DA354E">
        <w:rPr>
          <w:rFonts w:ascii="Times New Roman" w:hAnsi="Times New Roman" w:cs="Times New Roman"/>
          <w:color w:val="000000" w:themeColor="text1"/>
        </w:rPr>
        <w:br w:type="page"/>
      </w: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630"/>
        <w:gridCol w:w="270"/>
        <w:gridCol w:w="795"/>
        <w:gridCol w:w="3568"/>
        <w:gridCol w:w="1862"/>
      </w:tblGrid>
      <w:tr w:rsidR="00F6749E" w:rsidRPr="00DA354E" w:rsidTr="00C26ED2">
        <w:trPr>
          <w:trHeight w:val="400"/>
        </w:trPr>
        <w:tc>
          <w:tcPr>
            <w:tcW w:w="8940" w:type="dxa"/>
            <w:gridSpan w:val="6"/>
            <w:shd w:val="clear" w:color="auto" w:fill="auto"/>
            <w:tcMar>
              <w:top w:w="100" w:type="dxa"/>
              <w:left w:w="100" w:type="dxa"/>
              <w:bottom w:w="100" w:type="dxa"/>
              <w:right w:w="100" w:type="dxa"/>
            </w:tcMar>
          </w:tcPr>
          <w:p w:rsidR="00F6749E" w:rsidRPr="00DA354E" w:rsidRDefault="00F6749E" w:rsidP="00C26ED2">
            <w:pPr>
              <w:widowControl w:val="0"/>
              <w:rPr>
                <w:rFonts w:ascii="Times New Roman" w:eastAsia="Arial" w:hAnsi="Times New Roman" w:cs="Times New Roman"/>
                <w:b/>
                <w:color w:val="000000" w:themeColor="text1"/>
              </w:rPr>
            </w:pPr>
            <w:r w:rsidRPr="00DA354E">
              <w:rPr>
                <w:rFonts w:ascii="Times New Roman" w:eastAsia="Arial" w:hAnsi="Times New Roman" w:cs="Times New Roman"/>
                <w:b/>
                <w:color w:val="000000" w:themeColor="text1"/>
              </w:rPr>
              <w:lastRenderedPageBreak/>
              <w:t>Russia</w:t>
            </w:r>
          </w:p>
        </w:tc>
      </w:tr>
      <w:tr w:rsidR="00F6749E" w:rsidRPr="00DA354E" w:rsidTr="00551F01">
        <w:trPr>
          <w:trHeight w:val="400"/>
        </w:trPr>
        <w:tc>
          <w:tcPr>
            <w:tcW w:w="3510" w:type="dxa"/>
            <w:gridSpan w:val="4"/>
            <w:shd w:val="clear" w:color="auto" w:fill="auto"/>
            <w:tcMar>
              <w:top w:w="100" w:type="dxa"/>
              <w:left w:w="100" w:type="dxa"/>
              <w:bottom w:w="100" w:type="dxa"/>
              <w:right w:w="100" w:type="dxa"/>
            </w:tcMar>
            <w:vAlign w:val="center"/>
          </w:tcPr>
          <w:p w:rsidR="00F6749E" w:rsidRPr="00F6749E" w:rsidRDefault="004A6EE9" w:rsidP="00F6749E">
            <w:pPr>
              <w:widowControl w:val="0"/>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roofErr w:type="spellStart"/>
            <w:r w:rsidRPr="005A63F3">
              <w:rPr>
                <w:rFonts w:ascii="Times New Roman" w:eastAsia="Arial" w:hAnsi="Times New Roman" w:cs="Times New Roman"/>
                <w:color w:val="000000" w:themeColor="text1"/>
                <w:sz w:val="20"/>
                <w:szCs w:val="20"/>
              </w:rPr>
              <w:t>TgC</w:t>
            </w:r>
            <w:proofErr w:type="spellEnd"/>
            <w:r w:rsidRPr="005A63F3">
              <w:rPr>
                <w:rFonts w:ascii="Times New Roman" w:eastAsia="Arial" w:hAnsi="Times New Roman" w:cs="Times New Roman"/>
                <w:color w:val="000000" w:themeColor="text1"/>
                <w:sz w:val="20"/>
                <w:szCs w:val="20"/>
              </w:rPr>
              <w:t xml:space="preserve"> yr</w:t>
            </w:r>
            <w:r w:rsidRPr="005A63F3">
              <w:rPr>
                <w:rFonts w:ascii="Times New Roman" w:eastAsia="Arial" w:hAnsi="Times New Roman" w:cs="Times New Roman"/>
                <w:color w:val="000000" w:themeColor="text1"/>
                <w:sz w:val="20"/>
                <w:szCs w:val="20"/>
                <w:vertAlign w:val="superscript"/>
              </w:rPr>
              <w:t>-1</w:t>
            </w:r>
            <w:r w:rsidRPr="005A63F3">
              <w:rPr>
                <w:rFonts w:ascii="Times New Roman" w:eastAsia="Arial" w:hAnsi="Times New Roman" w:cs="Times New Roman"/>
                <w:color w:val="000000" w:themeColor="text1"/>
                <w:sz w:val="20"/>
                <w:szCs w:val="20"/>
              </w:rPr>
              <w:t>)</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Reference</w:t>
            </w:r>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Uncertainty estimation</w:t>
            </w:r>
          </w:p>
        </w:tc>
      </w:tr>
      <w:tr w:rsidR="00F6749E" w:rsidRPr="001D7FE4" w:rsidTr="00551F01">
        <w:trPr>
          <w:trHeight w:val="600"/>
        </w:trPr>
        <w:tc>
          <w:tcPr>
            <w:tcW w:w="1815" w:type="dxa"/>
            <w:tcBorders>
              <w:top w:val="single" w:sz="8" w:space="0" w:color="000000"/>
              <w:left w:val="single" w:sz="8" w:space="0" w:color="000000"/>
              <w:bottom w:val="single" w:sz="8" w:space="0" w:color="000000"/>
            </w:tcBorders>
            <w:shd w:val="clear" w:color="auto" w:fill="FFFFFF"/>
            <w:vAlign w:val="center"/>
          </w:tcPr>
          <w:p w:rsidR="00F6749E" w:rsidRPr="00F6749E" w:rsidRDefault="00F6749E" w:rsidP="00F6749E">
            <w:pPr>
              <w:rPr>
                <w:rFonts w:ascii="Times New Roman" w:eastAsia="Arial" w:hAnsi="Times New Roman" w:cs="Times New Roman"/>
                <w:color w:val="000000" w:themeColor="text1"/>
                <w:sz w:val="20"/>
                <w:szCs w:val="20"/>
              </w:rPr>
            </w:pPr>
            <w:r w:rsidRPr="00F6749E">
              <w:rPr>
                <w:rFonts w:ascii="Times New Roman" w:eastAsia="Arial Unicode MS" w:hAnsi="Times New Roman" w:cs="Times New Roman"/>
                <w:color w:val="000000" w:themeColor="text1"/>
                <w:sz w:val="20"/>
                <w:szCs w:val="20"/>
              </w:rPr>
              <w:t>∆C</w:t>
            </w:r>
          </w:p>
        </w:tc>
        <w:tc>
          <w:tcPr>
            <w:tcW w:w="630" w:type="dxa"/>
            <w:tcMar>
              <w:top w:w="0" w:type="dxa"/>
              <w:left w:w="0" w:type="dxa"/>
              <w:bottom w:w="0" w:type="dxa"/>
              <w:right w:w="0" w:type="dxa"/>
            </w:tcMar>
            <w:vAlign w:val="center"/>
          </w:tcPr>
          <w:p w:rsidR="00F6749E" w:rsidRPr="00F6749E" w:rsidRDefault="00F6749E" w:rsidP="009F5F02">
            <w:pPr>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-563</w:t>
            </w:r>
          </w:p>
        </w:tc>
        <w:tc>
          <w:tcPr>
            <w:tcW w:w="270" w:type="dxa"/>
            <w:tcMar>
              <w:top w:w="0" w:type="dxa"/>
              <w:left w:w="0" w:type="dxa"/>
              <w:bottom w:w="0" w:type="dxa"/>
              <w:right w:w="0" w:type="dxa"/>
            </w:tcMar>
            <w:vAlign w:val="center"/>
          </w:tcPr>
          <w:p w:rsidR="00F6749E" w:rsidRPr="00F6749E" w:rsidRDefault="00F6749E" w:rsidP="009F5F02">
            <w:pPr>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218</w:t>
            </w:r>
          </w:p>
        </w:tc>
        <w:tc>
          <w:tcPr>
            <w:tcW w:w="3568" w:type="dxa"/>
            <w:tcBorders>
              <w:top w:val="single" w:sz="8" w:space="0" w:color="000000"/>
              <w:bottom w:val="single" w:sz="8" w:space="0" w:color="000000"/>
              <w:right w:val="single" w:sz="8" w:space="0" w:color="000000"/>
            </w:tcBorders>
            <w:shd w:val="clear" w:color="auto" w:fill="FFFFFF"/>
            <w:vAlign w:val="center"/>
          </w:tcPr>
          <w:p w:rsidR="00F6749E" w:rsidRPr="001D7FE4" w:rsidRDefault="00F6749E" w:rsidP="00F6749E">
            <w:pPr>
              <w:rPr>
                <w:rFonts w:ascii="Times New Roman" w:eastAsia="Arial" w:hAnsi="Times New Roman" w:cs="Times New Roman"/>
                <w:color w:val="000000" w:themeColor="text1"/>
                <w:sz w:val="20"/>
                <w:szCs w:val="20"/>
                <w:lang w:val="fr-FR"/>
              </w:rPr>
            </w:pPr>
            <w:r w:rsidRPr="00F6749E">
              <w:rPr>
                <w:rFonts w:ascii="Times New Roman" w:eastAsia="Arial" w:hAnsi="Times New Roman" w:cs="Times New Roman"/>
                <w:color w:val="000000" w:themeColor="text1"/>
                <w:sz w:val="20"/>
                <w:szCs w:val="20"/>
              </w:rPr>
              <w:t xml:space="preserve">Dolman et al. </w:t>
            </w:r>
            <w:r w:rsidR="00551F01">
              <w:rPr>
                <w:rFonts w:ascii="Times New Roman" w:eastAsia="Arial" w:hAnsi="Times New Roman" w:cs="Times New Roman"/>
                <w:color w:val="000000" w:themeColor="text1"/>
                <w:sz w:val="20"/>
                <w:szCs w:val="20"/>
              </w:rPr>
              <w:t>[</w:t>
            </w:r>
            <w:r w:rsidRPr="00551F01">
              <w:rPr>
                <w:rFonts w:ascii="Times New Roman" w:eastAsia="Arial" w:hAnsi="Times New Roman" w:cs="Times New Roman"/>
                <w:color w:val="000000" w:themeColor="text1"/>
                <w:sz w:val="20"/>
                <w:szCs w:val="20"/>
              </w:rPr>
              <w:fldChar w:fldCharType="begin" w:fldLock="1"/>
            </w:r>
            <w:r w:rsidRPr="00551F01">
              <w:rPr>
                <w:rFonts w:ascii="Times New Roman" w:eastAsia="Arial" w:hAnsi="Times New Roman" w:cs="Times New Roman"/>
                <w:color w:val="000000" w:themeColor="text1"/>
                <w:sz w:val="20"/>
                <w:szCs w:val="20"/>
              </w:rPr>
              <w:instrText>ADDIN CSL_CITATION {"citationItems":[{"id":"ITEM-1","itemData":{"DOI":"10.5194/bg-9-5323-2012","ISSN":"17264170","abstract":"We determine the net land to atmosphere flux of carbon in Russia, including Ukraine, Belarus and Kazakhstan, using inventory-based, eddy covariance, and inversion methods. Our high boundary estimate is-342 Tg C yr-1 from the eddy covariance method, and this is close to the upper bounds of the inventory-based Land Ecosystem Assessment and inverse models estimates. A lower boundary estimate is provided at-1350 Tg C yr-1 from the inversion models. The average of the three methods is-613.5 Tg C yr-1. The methane emission is estimated separately at 41.4 Tg C yr-1. These three methods agree well within their respective error bounds. There is thus good consistency between bottom-up and top-down methods. The forests of Russia primarily cause the net atmosphere to land flux (-692 Tg C yr-1 from the LEA. It remains however remarkable that the three methods provide such close estimates (-615,-662,-554 Tg C yr &amp; ndash;1) for net biome production (NBP), given the inherent uncertainties in all of the approaches. The lack of recent forest inventories, the few eddy covariance sites and associated uncertainty with upscaling and undersampling of concentrations for the inversions are among the prime causes of the uncertainty. The dynamic global vegetation models (DGVMs) suggest a much lower uptake at-91 Tg C yr-1, and we argue that this is caused by a high estimate of heterotrophic respiration compared to other methods. © 2013 Author(s).","author":[{"dropping-particle":"","family":"Dolman","given":"A.J.","non-dropping-particle":"","parse-names":false,"suffix":""},{"dropping-particle":"","family":"Shvidenko","given":"A.","non-dropping-particle":"","parse-names":false,"suffix":""},{"dropping-particle":"","family":"Schepaschenko","given":"D.","non-dropping-particle":"","parse-names":false,"suffix":""},{"dropping-particle":"","family":"Ciais","given":"P."</w:instrText>
            </w:r>
            <w:r w:rsidRPr="001D7FE4">
              <w:rPr>
                <w:rFonts w:ascii="Times New Roman" w:eastAsia="Arial" w:hAnsi="Times New Roman" w:cs="Times New Roman"/>
                <w:color w:val="000000" w:themeColor="text1"/>
                <w:sz w:val="20"/>
                <w:szCs w:val="20"/>
                <w:lang w:val="fr-FR"/>
              </w:rPr>
              <w:instrText>,"non-dropping-particle":"","parse-names":false,"suffix":""},{"dropping-particle":"","family":"Tchebakova","given":"N.","non-dropping-particle":"","parse-names":false,"suffix":""},{"dropping-particle":"","family":"Chen","given":"T.","non-dropping-particle":"","parse-names":false,"suffix":""},{"dropping-particle":"","family":"Molen","given":"M.K.","non-dropping-particle":"Van Der","parse-names":false,"suffix":""},{"dropping-particle":"","family":"Belelli Marchesini","given":"L.","non-dropping-particle":"","parse-names":false,"suffix":""},{"dropping-particle":"","family":"Maximov","given":"T.C.","non-dropping-particle":"","parse-names":false,"suffix":""},{"dropping-particle":"","family":"Maksyutov","given":"S.","non-dropping-particle":"","parse-names":false,"suffix":""},{"dropping-particle":"","family":"Schulze","given":"E.-D.","non-dropping-particle":"","parse-names":false,"suffix":""}],"container-title":"Biogeosciences","id":"ITEM-1","issue":"12","issued":{"date-parts":[["2012"]]},"title":"An estimate of the terrestrial carbon budget of Russia using inventory-based, eddy covariance and inversion methods","type":"article-journal","volume":"9"},"uris":["http://www.mendeley.com/documents/?uuid=4e7a930e-af41-3946-9312-ff73bd42ef31"]}],"mendeley":{"formattedCitation":"&lt;sup&gt;10&lt;/sup&gt;","plainTextFormattedCitation":"10","previouslyFormattedCitation":"&lt;sup&gt;10&lt;/sup&gt;"},"properties":{"noteIndex":0},"schema":"https://github.com/citation-style-language/schema/raw/master/csl-citation.json"}</w:instrText>
            </w:r>
            <w:r w:rsidRPr="00551F01">
              <w:rPr>
                <w:rFonts w:ascii="Times New Roman" w:eastAsia="Arial" w:hAnsi="Times New Roman" w:cs="Times New Roman"/>
                <w:color w:val="000000" w:themeColor="text1"/>
                <w:sz w:val="20"/>
                <w:szCs w:val="20"/>
              </w:rPr>
              <w:fldChar w:fldCharType="separate"/>
            </w:r>
            <w:r w:rsidRPr="001D7FE4">
              <w:rPr>
                <w:rFonts w:ascii="Times New Roman" w:eastAsia="Arial" w:hAnsi="Times New Roman" w:cs="Times New Roman"/>
                <w:noProof/>
                <w:color w:val="000000" w:themeColor="text1"/>
                <w:sz w:val="20"/>
                <w:szCs w:val="20"/>
                <w:lang w:val="fr-FR"/>
              </w:rPr>
              <w:t>10</w:t>
            </w:r>
            <w:r w:rsidRPr="00551F01">
              <w:rPr>
                <w:rFonts w:ascii="Times New Roman" w:eastAsia="Arial" w:hAnsi="Times New Roman" w:cs="Times New Roman"/>
                <w:color w:val="000000" w:themeColor="text1"/>
                <w:sz w:val="20"/>
                <w:szCs w:val="20"/>
              </w:rPr>
              <w:fldChar w:fldCharType="end"/>
            </w:r>
            <w:r w:rsidR="00551F01" w:rsidRPr="001D7FE4">
              <w:rPr>
                <w:rFonts w:ascii="Times New Roman" w:eastAsia="Arial" w:hAnsi="Times New Roman" w:cs="Times New Roman"/>
                <w:color w:val="000000" w:themeColor="text1"/>
                <w:sz w:val="20"/>
                <w:szCs w:val="20"/>
                <w:lang w:val="fr-FR"/>
              </w:rPr>
              <w:t>]</w:t>
            </w:r>
            <w:r w:rsidRPr="001D7FE4">
              <w:rPr>
                <w:rFonts w:ascii="Times New Roman" w:eastAsia="Arial" w:hAnsi="Times New Roman" w:cs="Times New Roman"/>
                <w:color w:val="000000" w:themeColor="text1"/>
                <w:sz w:val="20"/>
                <w:szCs w:val="20"/>
                <w:lang w:val="fr-FR"/>
              </w:rPr>
              <w:t xml:space="preserve"> </w:t>
            </w:r>
            <w:r w:rsidR="00551F01" w:rsidRPr="001D7FE4">
              <w:rPr>
                <w:rFonts w:ascii="Times New Roman" w:eastAsia="Arial" w:hAnsi="Times New Roman" w:cs="Times New Roman"/>
                <w:color w:val="000000" w:themeColor="text1"/>
                <w:sz w:val="20"/>
                <w:szCs w:val="20"/>
                <w:vertAlign w:val="superscript"/>
                <w:lang w:val="fr-FR"/>
              </w:rPr>
              <w:t>a</w:t>
            </w:r>
          </w:p>
        </w:tc>
        <w:tc>
          <w:tcPr>
            <w:tcW w:w="18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6749E" w:rsidRPr="001D7FE4" w:rsidRDefault="00551F01" w:rsidP="00F6749E">
            <w:pPr>
              <w:rPr>
                <w:rFonts w:ascii="Times New Roman" w:eastAsia="Arial" w:hAnsi="Times New Roman" w:cs="Times New Roman"/>
                <w:color w:val="000000" w:themeColor="text1"/>
                <w:sz w:val="20"/>
                <w:szCs w:val="20"/>
                <w:vertAlign w:val="superscript"/>
                <w:lang w:val="fr-FR"/>
              </w:rPr>
            </w:pPr>
            <w:r w:rsidRPr="001D7FE4">
              <w:rPr>
                <w:rFonts w:ascii="Times New Roman" w:eastAsia="Arial" w:hAnsi="Times New Roman" w:cs="Times New Roman"/>
                <w:color w:val="000000" w:themeColor="text1"/>
                <w:sz w:val="20"/>
                <w:szCs w:val="20"/>
                <w:vertAlign w:val="superscript"/>
                <w:lang w:val="fr-FR"/>
              </w:rPr>
              <w:t>b</w:t>
            </w:r>
          </w:p>
        </w:tc>
      </w:tr>
      <w:tr w:rsidR="00F6749E" w:rsidRPr="001D7FE4" w:rsidTr="00551F01">
        <w:trPr>
          <w:trHeight w:val="600"/>
        </w:trPr>
        <w:tc>
          <w:tcPr>
            <w:tcW w:w="1815" w:type="dxa"/>
            <w:shd w:val="clear" w:color="auto" w:fill="auto"/>
            <w:tcMar>
              <w:top w:w="100" w:type="dxa"/>
              <w:left w:w="100" w:type="dxa"/>
              <w:bottom w:w="100" w:type="dxa"/>
              <w:right w:w="100" w:type="dxa"/>
            </w:tcMar>
            <w:vAlign w:val="center"/>
          </w:tcPr>
          <w:p w:rsidR="00F6749E" w:rsidRPr="001D7FE4" w:rsidRDefault="00F6749E" w:rsidP="00F6749E">
            <w:pPr>
              <w:widowControl w:val="0"/>
              <w:rPr>
                <w:rFonts w:ascii="Times New Roman" w:eastAsia="Arial" w:hAnsi="Times New Roman" w:cs="Times New Roman"/>
                <w:color w:val="000000" w:themeColor="text1"/>
                <w:sz w:val="20"/>
                <w:szCs w:val="20"/>
                <w:vertAlign w:val="subscript"/>
                <w:lang w:val="fr-FR"/>
              </w:rPr>
            </w:pPr>
            <w:proofErr w:type="spellStart"/>
            <w:r w:rsidRPr="001D7FE4">
              <w:rPr>
                <w:rFonts w:ascii="Times New Roman" w:eastAsia="Arial" w:hAnsi="Times New Roman" w:cs="Times New Roman"/>
                <w:color w:val="000000" w:themeColor="text1"/>
                <w:sz w:val="20"/>
                <w:szCs w:val="20"/>
                <w:lang w:val="fr-FR"/>
              </w:rPr>
              <w:t>F</w:t>
            </w:r>
            <w:r w:rsidRPr="001D7FE4">
              <w:rPr>
                <w:rFonts w:ascii="Times New Roman" w:eastAsia="Arial" w:hAnsi="Times New Roman" w:cs="Times New Roman"/>
                <w:color w:val="000000" w:themeColor="text1"/>
                <w:sz w:val="20"/>
                <w:szCs w:val="20"/>
                <w:vertAlign w:val="subscript"/>
                <w:lang w:val="fr-FR"/>
              </w:rPr>
              <w:t>trade</w:t>
            </w:r>
            <w:proofErr w:type="spellEnd"/>
          </w:p>
        </w:tc>
        <w:tc>
          <w:tcPr>
            <w:tcW w:w="630" w:type="dxa"/>
            <w:tcMar>
              <w:top w:w="0" w:type="dxa"/>
              <w:left w:w="0" w:type="dxa"/>
              <w:bottom w:w="0" w:type="dxa"/>
              <w:right w:w="0" w:type="dxa"/>
            </w:tcMar>
            <w:vAlign w:val="center"/>
          </w:tcPr>
          <w:p w:rsidR="00F6749E" w:rsidRPr="001D7FE4" w:rsidRDefault="00F6749E" w:rsidP="009F5F02">
            <w:pPr>
              <w:widowControl w:val="0"/>
              <w:jc w:val="center"/>
              <w:rPr>
                <w:rFonts w:ascii="Times New Roman" w:eastAsia="Arial" w:hAnsi="Times New Roman" w:cs="Times New Roman"/>
                <w:color w:val="000000" w:themeColor="text1"/>
                <w:sz w:val="20"/>
                <w:szCs w:val="20"/>
                <w:lang w:val="fr-FR"/>
              </w:rPr>
            </w:pPr>
            <w:r w:rsidRPr="001D7FE4">
              <w:rPr>
                <w:rFonts w:ascii="Times New Roman" w:eastAsia="Arial" w:hAnsi="Times New Roman" w:cs="Times New Roman"/>
                <w:color w:val="000000" w:themeColor="text1"/>
                <w:sz w:val="20"/>
                <w:szCs w:val="20"/>
                <w:lang w:val="fr-FR"/>
              </w:rPr>
              <w:t>38</w:t>
            </w:r>
          </w:p>
        </w:tc>
        <w:tc>
          <w:tcPr>
            <w:tcW w:w="270" w:type="dxa"/>
            <w:tcMar>
              <w:top w:w="0" w:type="dxa"/>
              <w:left w:w="0" w:type="dxa"/>
              <w:bottom w:w="0" w:type="dxa"/>
              <w:right w:w="0" w:type="dxa"/>
            </w:tcMar>
            <w:vAlign w:val="center"/>
          </w:tcPr>
          <w:p w:rsidR="00F6749E" w:rsidRPr="001D7FE4" w:rsidRDefault="00F6749E" w:rsidP="009F5F02">
            <w:pPr>
              <w:widowControl w:val="0"/>
              <w:jc w:val="center"/>
              <w:rPr>
                <w:rFonts w:ascii="Times New Roman" w:eastAsia="Arial" w:hAnsi="Times New Roman" w:cs="Times New Roman"/>
                <w:color w:val="000000" w:themeColor="text1"/>
                <w:sz w:val="20"/>
                <w:szCs w:val="20"/>
                <w:lang w:val="fr-FR"/>
              </w:rPr>
            </w:pPr>
            <w:r w:rsidRPr="001D7FE4">
              <w:rPr>
                <w:rFonts w:ascii="Times New Roman" w:eastAsia="Arial" w:hAnsi="Times New Roman" w:cs="Times New Roman"/>
                <w:color w:val="000000" w:themeColor="text1"/>
                <w:sz w:val="20"/>
                <w:szCs w:val="20"/>
                <w:lang w:val="fr-FR"/>
              </w:rPr>
              <w:t>±</w:t>
            </w:r>
          </w:p>
        </w:tc>
        <w:tc>
          <w:tcPr>
            <w:tcW w:w="795" w:type="dxa"/>
            <w:tcMar>
              <w:top w:w="0" w:type="dxa"/>
              <w:left w:w="0" w:type="dxa"/>
              <w:bottom w:w="0" w:type="dxa"/>
              <w:right w:w="0" w:type="dxa"/>
            </w:tcMar>
            <w:vAlign w:val="center"/>
          </w:tcPr>
          <w:p w:rsidR="00F6749E" w:rsidRPr="001D7FE4" w:rsidRDefault="00F6749E" w:rsidP="009F5F02">
            <w:pPr>
              <w:widowControl w:val="0"/>
              <w:jc w:val="center"/>
              <w:rPr>
                <w:rFonts w:ascii="Times New Roman" w:eastAsia="Arial" w:hAnsi="Times New Roman" w:cs="Times New Roman"/>
                <w:color w:val="000000" w:themeColor="text1"/>
                <w:sz w:val="20"/>
                <w:szCs w:val="20"/>
                <w:lang w:val="fr-FR"/>
              </w:rPr>
            </w:pPr>
            <w:r w:rsidRPr="001D7FE4">
              <w:rPr>
                <w:rFonts w:ascii="Times New Roman" w:eastAsia="Arial" w:hAnsi="Times New Roman" w:cs="Times New Roman"/>
                <w:color w:val="000000" w:themeColor="text1"/>
                <w:sz w:val="20"/>
                <w:szCs w:val="20"/>
                <w:lang w:val="fr-FR"/>
              </w:rPr>
              <w:t>11</w:t>
            </w:r>
          </w:p>
        </w:tc>
        <w:tc>
          <w:tcPr>
            <w:tcW w:w="3568" w:type="dxa"/>
            <w:shd w:val="clear" w:color="auto" w:fill="auto"/>
            <w:tcMar>
              <w:top w:w="100" w:type="dxa"/>
              <w:left w:w="100" w:type="dxa"/>
              <w:bottom w:w="100" w:type="dxa"/>
              <w:right w:w="100" w:type="dxa"/>
            </w:tcMar>
            <w:vAlign w:val="center"/>
          </w:tcPr>
          <w:p w:rsidR="00F6749E" w:rsidRPr="001D7FE4" w:rsidRDefault="00F6749E" w:rsidP="00F6749E">
            <w:pPr>
              <w:rPr>
                <w:rFonts w:ascii="Times New Roman" w:eastAsia="Arial" w:hAnsi="Times New Roman" w:cs="Times New Roman"/>
                <w:color w:val="000000" w:themeColor="text1"/>
                <w:sz w:val="20"/>
                <w:szCs w:val="20"/>
                <w:lang w:val="fr-FR"/>
              </w:rPr>
            </w:pPr>
            <w:r w:rsidRPr="001D7FE4">
              <w:rPr>
                <w:rFonts w:ascii="Times New Roman" w:eastAsia="Arial" w:hAnsi="Times New Roman" w:cs="Times New Roman"/>
                <w:color w:val="000000" w:themeColor="text1"/>
                <w:sz w:val="20"/>
                <w:szCs w:val="20"/>
                <w:lang w:val="fr-FR"/>
              </w:rPr>
              <w:t xml:space="preserve">Dolman et al. </w:t>
            </w:r>
            <w:r w:rsidR="00551F01" w:rsidRPr="001D7FE4">
              <w:rPr>
                <w:rFonts w:ascii="Times New Roman" w:eastAsia="Arial" w:hAnsi="Times New Roman" w:cs="Times New Roman"/>
                <w:color w:val="000000" w:themeColor="text1"/>
                <w:sz w:val="20"/>
                <w:szCs w:val="20"/>
                <w:vertAlign w:val="superscript"/>
                <w:lang w:val="fr-FR"/>
              </w:rPr>
              <w:t>c</w:t>
            </w:r>
            <w:r w:rsidRPr="001D7FE4">
              <w:rPr>
                <w:rFonts w:ascii="Times New Roman" w:eastAsia="Arial" w:hAnsi="Times New Roman" w:cs="Times New Roman"/>
                <w:color w:val="000000" w:themeColor="text1"/>
                <w:sz w:val="20"/>
                <w:szCs w:val="20"/>
                <w:lang w:val="fr-FR"/>
              </w:rPr>
              <w:t xml:space="preserve"> </w:t>
            </w:r>
          </w:p>
        </w:tc>
        <w:tc>
          <w:tcPr>
            <w:tcW w:w="1862" w:type="dxa"/>
            <w:shd w:val="clear" w:color="auto" w:fill="auto"/>
            <w:tcMar>
              <w:top w:w="100" w:type="dxa"/>
              <w:left w:w="100" w:type="dxa"/>
              <w:bottom w:w="100" w:type="dxa"/>
              <w:right w:w="100" w:type="dxa"/>
            </w:tcMar>
            <w:vAlign w:val="center"/>
          </w:tcPr>
          <w:p w:rsidR="00F6749E" w:rsidRPr="001D7FE4" w:rsidRDefault="00F6749E" w:rsidP="00F6749E">
            <w:pPr>
              <w:widowControl w:val="0"/>
              <w:rPr>
                <w:rFonts w:ascii="Times New Roman" w:eastAsia="Arial" w:hAnsi="Times New Roman" w:cs="Times New Roman"/>
                <w:color w:val="000000" w:themeColor="text1"/>
                <w:sz w:val="20"/>
                <w:szCs w:val="20"/>
                <w:lang w:val="fr-FR"/>
              </w:rPr>
            </w:pPr>
            <w:r w:rsidRPr="001D7FE4">
              <w:rPr>
                <w:rFonts w:ascii="Times New Roman" w:eastAsia="Arial" w:hAnsi="Times New Roman" w:cs="Times New Roman"/>
                <w:color w:val="000000" w:themeColor="text1"/>
                <w:sz w:val="20"/>
                <w:szCs w:val="20"/>
                <w:lang w:val="fr-FR"/>
              </w:rPr>
              <w:t>20%</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1D7FE4" w:rsidRDefault="00F6749E" w:rsidP="00F6749E">
            <w:pPr>
              <w:widowControl w:val="0"/>
              <w:rPr>
                <w:rFonts w:ascii="Times New Roman" w:eastAsia="Arial" w:hAnsi="Times New Roman" w:cs="Times New Roman"/>
                <w:color w:val="000000" w:themeColor="text1"/>
                <w:sz w:val="20"/>
                <w:szCs w:val="20"/>
                <w:vertAlign w:val="subscript"/>
                <w:lang w:val="fr-FR"/>
              </w:rPr>
            </w:pPr>
            <w:proofErr w:type="spellStart"/>
            <w:r w:rsidRPr="001D7FE4">
              <w:rPr>
                <w:rFonts w:ascii="Times New Roman" w:eastAsia="Arial" w:hAnsi="Times New Roman" w:cs="Times New Roman"/>
                <w:color w:val="000000" w:themeColor="text1"/>
                <w:sz w:val="20"/>
                <w:szCs w:val="20"/>
                <w:lang w:val="fr-FR"/>
              </w:rPr>
              <w:t>F</w:t>
            </w:r>
            <w:r w:rsidRPr="001D7FE4">
              <w:rPr>
                <w:rFonts w:ascii="Times New Roman" w:eastAsia="Arial" w:hAnsi="Times New Roman" w:cs="Times New Roman"/>
                <w:color w:val="000000" w:themeColor="text1"/>
                <w:sz w:val="20"/>
                <w:szCs w:val="20"/>
                <w:vertAlign w:val="subscript"/>
                <w:lang w:val="fr-FR"/>
              </w:rPr>
              <w:t>rivers</w:t>
            </w:r>
            <w:proofErr w:type="spellEnd"/>
          </w:p>
        </w:tc>
        <w:tc>
          <w:tcPr>
            <w:tcW w:w="630" w:type="dxa"/>
            <w:tcMar>
              <w:top w:w="0" w:type="dxa"/>
              <w:left w:w="0" w:type="dxa"/>
              <w:bottom w:w="0" w:type="dxa"/>
              <w:right w:w="0" w:type="dxa"/>
            </w:tcMar>
            <w:vAlign w:val="center"/>
          </w:tcPr>
          <w:p w:rsidR="00F6749E" w:rsidRPr="001D7FE4" w:rsidRDefault="00F6749E" w:rsidP="009F5F02">
            <w:pPr>
              <w:widowControl w:val="0"/>
              <w:jc w:val="center"/>
              <w:rPr>
                <w:rFonts w:ascii="Times New Roman" w:eastAsia="Arial" w:hAnsi="Times New Roman" w:cs="Times New Roman"/>
                <w:color w:val="000000" w:themeColor="text1"/>
                <w:sz w:val="20"/>
                <w:szCs w:val="20"/>
                <w:lang w:val="fr-FR"/>
              </w:rPr>
            </w:pPr>
            <w:r w:rsidRPr="001D7FE4">
              <w:rPr>
                <w:rFonts w:ascii="Times New Roman" w:eastAsia="Arial" w:hAnsi="Times New Roman" w:cs="Times New Roman"/>
                <w:color w:val="000000" w:themeColor="text1"/>
                <w:sz w:val="20"/>
                <w:szCs w:val="20"/>
                <w:lang w:val="fr-FR"/>
              </w:rPr>
              <w:t>139</w:t>
            </w:r>
          </w:p>
        </w:tc>
        <w:tc>
          <w:tcPr>
            <w:tcW w:w="270" w:type="dxa"/>
            <w:tcMar>
              <w:top w:w="0" w:type="dxa"/>
              <w:left w:w="0" w:type="dxa"/>
              <w:bottom w:w="0" w:type="dxa"/>
              <w:right w:w="0" w:type="dxa"/>
            </w:tcMar>
            <w:vAlign w:val="center"/>
          </w:tcPr>
          <w:p w:rsidR="00F6749E" w:rsidRPr="001D7FE4" w:rsidRDefault="00F6749E" w:rsidP="009F5F02">
            <w:pPr>
              <w:widowControl w:val="0"/>
              <w:jc w:val="center"/>
              <w:rPr>
                <w:rFonts w:ascii="Times New Roman" w:eastAsia="Arial" w:hAnsi="Times New Roman" w:cs="Times New Roman"/>
                <w:color w:val="000000" w:themeColor="text1"/>
                <w:sz w:val="20"/>
                <w:szCs w:val="20"/>
                <w:lang w:val="fr-FR"/>
              </w:rPr>
            </w:pPr>
            <w:r w:rsidRPr="001D7FE4">
              <w:rPr>
                <w:rFonts w:ascii="Times New Roman" w:eastAsia="Arial" w:hAnsi="Times New Roman" w:cs="Times New Roman"/>
                <w:color w:val="000000" w:themeColor="text1"/>
                <w:sz w:val="20"/>
                <w:szCs w:val="20"/>
                <w:lang w:val="fr-FR"/>
              </w:rPr>
              <w:t>±</w:t>
            </w:r>
          </w:p>
        </w:tc>
        <w:tc>
          <w:tcPr>
            <w:tcW w:w="795" w:type="dxa"/>
            <w:tcMar>
              <w:top w:w="0" w:type="dxa"/>
              <w:left w:w="0" w:type="dxa"/>
              <w:bottom w:w="0" w:type="dxa"/>
              <w:right w:w="0" w:type="dxa"/>
            </w:tcMar>
            <w:vAlign w:val="center"/>
          </w:tcPr>
          <w:p w:rsidR="00F6749E" w:rsidRPr="001D7FE4" w:rsidRDefault="00F6749E" w:rsidP="009F5F02">
            <w:pPr>
              <w:widowControl w:val="0"/>
              <w:jc w:val="center"/>
              <w:rPr>
                <w:rFonts w:ascii="Times New Roman" w:eastAsia="Arial" w:hAnsi="Times New Roman" w:cs="Times New Roman"/>
                <w:color w:val="000000" w:themeColor="text1"/>
                <w:sz w:val="20"/>
                <w:szCs w:val="20"/>
                <w:lang w:val="fr-FR"/>
              </w:rPr>
            </w:pPr>
            <w:r w:rsidRPr="001D7FE4">
              <w:rPr>
                <w:rFonts w:ascii="Times New Roman" w:eastAsia="Arial" w:hAnsi="Times New Roman" w:cs="Times New Roman"/>
                <w:color w:val="000000" w:themeColor="text1"/>
                <w:sz w:val="20"/>
                <w:szCs w:val="20"/>
                <w:lang w:val="fr-FR"/>
              </w:rPr>
              <w:t>45</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proofErr w:type="spellStart"/>
            <w:r w:rsidRPr="00F6749E">
              <w:rPr>
                <w:rFonts w:ascii="Times New Roman" w:eastAsia="Arial" w:hAnsi="Times New Roman" w:cs="Times New Roman"/>
                <w:color w:val="000000" w:themeColor="text1"/>
                <w:sz w:val="20"/>
                <w:szCs w:val="20"/>
                <w:lang w:val="fr-FR"/>
              </w:rPr>
              <w:t>Mayorga</w:t>
            </w:r>
            <w:proofErr w:type="spellEnd"/>
            <w:r w:rsidRPr="00F6749E">
              <w:rPr>
                <w:rFonts w:ascii="Times New Roman" w:eastAsia="Arial" w:hAnsi="Times New Roman" w:cs="Times New Roman"/>
                <w:color w:val="000000" w:themeColor="text1"/>
                <w:sz w:val="20"/>
                <w:szCs w:val="20"/>
                <w:lang w:val="fr-FR"/>
              </w:rPr>
              <w:t xml:space="preserve"> et al.</w:t>
            </w:r>
            <w:r w:rsidR="00551F01">
              <w:rPr>
                <w:rFonts w:ascii="Times New Roman" w:eastAsia="Arial" w:hAnsi="Times New Roman" w:cs="Times New Roman"/>
                <w:color w:val="000000" w:themeColor="text1"/>
                <w:sz w:val="20"/>
                <w:szCs w:val="20"/>
                <w:lang w:val="fr-FR"/>
              </w:rPr>
              <w:t xml:space="preserve"> [</w:t>
            </w:r>
            <w:r w:rsidRPr="00551F01">
              <w:rPr>
                <w:rFonts w:ascii="Times New Roman" w:eastAsia="Arial" w:hAnsi="Times New Roman" w:cs="Times New Roman"/>
                <w:color w:val="000000" w:themeColor="text1"/>
                <w:sz w:val="20"/>
                <w:szCs w:val="20"/>
                <w:lang w:val="fr-FR"/>
              </w:rPr>
              <w:fldChar w:fldCharType="begin" w:fldLock="1"/>
            </w:r>
            <w:r w:rsidRPr="00551F01">
              <w:rPr>
                <w:rFonts w:ascii="Times New Roman" w:eastAsia="Arial" w:hAnsi="Times New Roman" w:cs="Times New Roman"/>
                <w:color w:val="000000" w:themeColor="text1"/>
                <w:sz w:val="20"/>
                <w:szCs w:val="20"/>
                <w:lang w:val="fr-FR"/>
              </w:rPr>
              <w:instrText>ADDIN CSL_CITATION {"citationItems":[{"id":"ITEM-1","itemData":{"DOI":"10.1038/nature12760","ISSN":"1476-4687","PMID":"24256802","abstract":"Carbon dioxide (CO2) transfer from inland waters to the atmosphere, known as CO2 evasion, is a component of the global carbon cycle. Global estimates of CO2 evasion have been hampered, however, by the lack of a framework for estimating the inland water surface area and gas transfer velocity and by the absence of a global CO2 database. Here we report regional variations in global inland water surface area, dissolved CO2 and gas transfer velocity. We obtain global CO2 evasion rates of 1.8(+0.25)(-0.25) petagrams of carbon (Pg C) per year from streams and rivers and 0.32(+0.52)(-0.26) Pg C yr(-1) from lakes and reservoirs, where the upper and lower limits are respectively the 5th and 95th confidence interval percentiles. The resulting global evasion rate of 2.1 Pg C yr(-1) is higher than previous estimates owing to a larger stream and river evasion rate. Our analysis predicts global hotspots in stream and river evasion, with about 70 per cent of the flux occurring over just 20 per cent of the land surface. The source of inland water CO2 is still not known with certainty and new studies are needed to research the mechanisms controlling CO2 evasion globally.","author":[{"dropping-particle":"","family":"Raymond","given":"Peter A","non-dropping-particle":"","parse-names":false,"suffix":""},{"dropping-particle":"","family":"Hartmann","given":"Jens","non-dropping-particle":"","parse-names":false,"suffix":""},{"dropping-particle":"","family":"Lauerwald","given":"Ronny","non-dropping-particle":"","parse-names":false,"suffix":""},{"dropping-particle":"","family":"Sobek","given":"Sebastian","non-dropping-particle":"","parse-names":false,"suffix":""},{"dropping-particle":"","family":"McDonald","given":"Cory","non-dropping-particle":"","parse-names":false,"suffix":""},{"dropping-particle":"","family":"Hoover","given":"Mark","non-dropping-particle":"","parse-names":false,"suffix":""},{"dropping-particle":"","family":"Butman","given":"David","non-dropping-particle":"","parse-names":false,"suffix":""},{"dropping-particle":"","family":"Striegl","given":"Robert","non-dropping-particle":"","parse-names":false,"suffix":""},{"dropping-particle":"","family":"Mayorga","given":"Emilio","non-dropping-particle":"","parse-names":false,"suffix":""},{"dropping-particle":"","family":"Humborg","given":"Christoph","non-dropping-particle":"","parse-names":false,"suffix":""},{"dropping-particle":"","family":"Kortelainen","given":"Pirkko","non-dropping-particle":"","parse-names":false,"suffix":""},{"dropping-particle":"","family":"Dürr","given":"Hans","non-dropping-particle":"","parse-names":false,"suffix":""},{"dropping-particle":"","family":"Meybeck","given":"Michel","non-dropping-particle":"","parse-names":false,"suffix":""},{"dropping-particle":"","family":"Ciais","given":"Philippe","non-dropping-particle":"","parse-names":false,"suffix":""},{"dropping-particle":"","family":"Guth","given":"Peter","non-dropping-particle":"","parse-names":false,"suffix":""}],"container-title":"Nature","id":"ITEM-1","issue":"7476","issued":{"date-parts":[["2013","11"]]},"page":"355-9","title":"Global carbon dioxide emissions from inland waters.","type":"article-journal","volume":"503"},"uris":["http://www.mendeley.com/documents/?uuid=eabd41ca-221a-48b7-bf3e-392e04532f97"]}],"mendeley":{"formattedCitation":"&lt;sup&gt;27&lt;/sup&gt;","plainTextFormattedCitation":"27","previouslyFormattedCitation":"&lt;sup&gt;27&lt;/sup&gt;"},"properties":{"noteIndex":0},"schema":"https://github.com/citation-style-language/schema/raw/master/csl-citation.json"}</w:instrText>
            </w:r>
            <w:r w:rsidRPr="00551F01">
              <w:rPr>
                <w:rFonts w:ascii="Times New Roman" w:eastAsia="Arial" w:hAnsi="Times New Roman" w:cs="Times New Roman"/>
                <w:color w:val="000000" w:themeColor="text1"/>
                <w:sz w:val="20"/>
                <w:szCs w:val="20"/>
                <w:lang w:val="fr-FR"/>
              </w:rPr>
              <w:fldChar w:fldCharType="separate"/>
            </w:r>
            <w:r w:rsidRPr="00551F01">
              <w:rPr>
                <w:rFonts w:ascii="Times New Roman" w:eastAsia="Arial" w:hAnsi="Times New Roman" w:cs="Times New Roman"/>
                <w:noProof/>
                <w:color w:val="000000" w:themeColor="text1"/>
                <w:sz w:val="20"/>
                <w:szCs w:val="20"/>
                <w:lang w:val="fr-FR"/>
              </w:rPr>
              <w:t>27</w:t>
            </w:r>
            <w:r w:rsidRPr="00551F01">
              <w:rPr>
                <w:rFonts w:ascii="Times New Roman" w:eastAsia="Arial" w:hAnsi="Times New Roman" w:cs="Times New Roman"/>
                <w:color w:val="000000" w:themeColor="text1"/>
                <w:sz w:val="20"/>
                <w:szCs w:val="20"/>
                <w:lang w:val="fr-FR"/>
              </w:rPr>
              <w:fldChar w:fldCharType="end"/>
            </w:r>
            <w:r w:rsidR="00551F01">
              <w:rPr>
                <w:rFonts w:ascii="Times New Roman" w:eastAsia="Arial" w:hAnsi="Times New Roman" w:cs="Times New Roman"/>
                <w:color w:val="000000" w:themeColor="text1"/>
                <w:sz w:val="20"/>
                <w:szCs w:val="20"/>
                <w:lang w:val="fr-FR"/>
              </w:rPr>
              <w:t>]</w:t>
            </w:r>
            <w:r w:rsidRPr="00F6749E">
              <w:rPr>
                <w:rFonts w:ascii="Times New Roman" w:eastAsia="Arial" w:hAnsi="Times New Roman" w:cs="Times New Roman"/>
                <w:color w:val="000000" w:themeColor="text1"/>
                <w:sz w:val="20"/>
                <w:szCs w:val="20"/>
                <w:lang w:val="fr-FR"/>
              </w:rPr>
              <w:t>, Hartmann et al.</w:t>
            </w:r>
            <w:r w:rsidR="00551F01">
              <w:rPr>
                <w:rFonts w:ascii="Times New Roman" w:eastAsia="Arial" w:hAnsi="Times New Roman" w:cs="Times New Roman"/>
                <w:color w:val="000000" w:themeColor="text1"/>
                <w:sz w:val="20"/>
                <w:szCs w:val="20"/>
                <w:lang w:val="fr-FR"/>
              </w:rPr>
              <w:t xml:space="preserve"> [</w:t>
            </w:r>
            <w:r w:rsidRPr="00551F01">
              <w:rPr>
                <w:rFonts w:ascii="Times New Roman" w:eastAsia="Arial" w:hAnsi="Times New Roman" w:cs="Times New Roman"/>
                <w:color w:val="000000" w:themeColor="text1"/>
                <w:sz w:val="20"/>
                <w:szCs w:val="20"/>
                <w:lang w:val="fr-FR"/>
              </w:rPr>
              <w:fldChar w:fldCharType="begin" w:fldLock="1"/>
            </w:r>
            <w:r w:rsidRPr="00551F01">
              <w:rPr>
                <w:rFonts w:ascii="Times New Roman" w:eastAsia="Arial" w:hAnsi="Times New Roman" w:cs="Times New Roman"/>
                <w:color w:val="000000" w:themeColor="text1"/>
                <w:sz w:val="20"/>
                <w:szCs w:val="20"/>
                <w:lang w:val="fr-FR"/>
              </w:rPr>
              <w:instrText>ADDIN CSL_CITATION {"citationItems":[{"id":"ITEM-1","itemData":{"DOI":"10.1016/j.gloplacha.2009.07.007","ISSN":"09218181","author":[{"dropping-particle":"","family":"Hartmann","given":"Jens","non-dropping-particle":"","parse-names":false,"suffix":""},{"dropping-particle":"","family":"Jansen","given":"Nils","non-dropping-particle":"","parse-names":false,"suffix":""},{"dropping-particle":"","family":"Dürr","given":"Hans H.","non-dropping-particle":"","parse-names":false,"suffix":""},{"dropping-particle":"","family":"Kempe","given":"Stephan","non-dropping-particle":"","parse-names":false,"suffix":""},{"dropping-particle":"","family":"Köhler","given":"Peter","non-dropping-particle":"","parse-names":false,"suffix":""}],"container-title":"Global and Planetary Change","id":"ITEM-1","issue":"4","issued":{"date-parts":[["2009","12"]]},"page":"185-194","publisher":"Elsevier B.V.","title":"Global CO2-consumption by chemical weathering: What is the contribution of highly active weathering regions?","type":"article-journal","volume":"69"},"uris":["http://www.mendeley.com/documents/?uuid=4a8d7207-51b7-4109-a3fa-6767f56cccc0"]}],"mendeley":{"formattedCitation":"&lt;sup&gt;20&lt;/sup&gt;","plainTextFormattedCitation":"20","previouslyFormattedCitation":"&lt;sup&gt;20&lt;/sup&gt;"},"properties":{"noteIndex":0},"schema":"https://github.com/citation-style-language/schema/raw/master/csl-citation.json"}</w:instrText>
            </w:r>
            <w:r w:rsidRPr="00551F01">
              <w:rPr>
                <w:rFonts w:ascii="Times New Roman" w:eastAsia="Arial" w:hAnsi="Times New Roman" w:cs="Times New Roman"/>
                <w:color w:val="000000" w:themeColor="text1"/>
                <w:sz w:val="20"/>
                <w:szCs w:val="20"/>
                <w:lang w:val="fr-FR"/>
              </w:rPr>
              <w:fldChar w:fldCharType="separate"/>
            </w:r>
            <w:r w:rsidRPr="00551F01">
              <w:rPr>
                <w:rFonts w:ascii="Times New Roman" w:eastAsia="Arial" w:hAnsi="Times New Roman" w:cs="Times New Roman"/>
                <w:noProof/>
                <w:color w:val="000000" w:themeColor="text1"/>
                <w:sz w:val="20"/>
                <w:szCs w:val="20"/>
                <w:lang w:val="fr-FR"/>
              </w:rPr>
              <w:t>20</w:t>
            </w:r>
            <w:r w:rsidRPr="00551F01">
              <w:rPr>
                <w:rFonts w:ascii="Times New Roman" w:eastAsia="Arial" w:hAnsi="Times New Roman" w:cs="Times New Roman"/>
                <w:color w:val="000000" w:themeColor="text1"/>
                <w:sz w:val="20"/>
                <w:szCs w:val="20"/>
                <w:lang w:val="fr-FR"/>
              </w:rPr>
              <w:fldChar w:fldCharType="end"/>
            </w:r>
            <w:r w:rsidR="00551F01">
              <w:rPr>
                <w:rFonts w:ascii="Times New Roman" w:eastAsia="Arial" w:hAnsi="Times New Roman" w:cs="Times New Roman"/>
                <w:color w:val="000000" w:themeColor="text1"/>
                <w:sz w:val="20"/>
                <w:szCs w:val="20"/>
                <w:lang w:val="fr-FR"/>
              </w:rPr>
              <w:t>]</w:t>
            </w:r>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50% </w:t>
            </w:r>
            <w:r w:rsidR="00551F01" w:rsidRPr="00551F01">
              <w:rPr>
                <w:rFonts w:ascii="Times New Roman" w:eastAsia="Arial" w:hAnsi="Times New Roman" w:cs="Times New Roman"/>
                <w:color w:val="000000" w:themeColor="text1"/>
                <w:sz w:val="20"/>
                <w:szCs w:val="20"/>
                <w:vertAlign w:val="superscript"/>
              </w:rPr>
              <w:t>d</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NEE</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-725</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223</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Equation (1)</w:t>
            </w:r>
          </w:p>
        </w:tc>
        <w:tc>
          <w:tcPr>
            <w:tcW w:w="1862" w:type="dxa"/>
            <w:shd w:val="clear" w:color="auto" w:fill="auto"/>
            <w:tcMar>
              <w:top w:w="100" w:type="dxa"/>
              <w:left w:w="100" w:type="dxa"/>
              <w:bottom w:w="100" w:type="dxa"/>
              <w:right w:w="100" w:type="dxa"/>
            </w:tcMar>
            <w:vAlign w:val="center"/>
          </w:tcPr>
          <w:p w:rsidR="00F6749E" w:rsidRPr="00551F01" w:rsidRDefault="00551F01" w:rsidP="00F6749E">
            <w:pPr>
              <w:widowControl w:val="0"/>
              <w:rPr>
                <w:rFonts w:ascii="Times New Roman" w:eastAsia="Arial" w:hAnsi="Times New Roman" w:cs="Times New Roman"/>
                <w:color w:val="000000" w:themeColor="text1"/>
                <w:sz w:val="20"/>
                <w:szCs w:val="20"/>
                <w:vertAlign w:val="superscript"/>
              </w:rPr>
            </w:pPr>
            <w:r w:rsidRPr="00551F01">
              <w:rPr>
                <w:rFonts w:ascii="Times New Roman" w:eastAsia="Arial" w:hAnsi="Times New Roman" w:cs="Times New Roman"/>
                <w:color w:val="000000" w:themeColor="text1"/>
                <w:sz w:val="20"/>
                <w:szCs w:val="20"/>
                <w:vertAlign w:val="superscript"/>
              </w:rPr>
              <w:t>e</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crop</w:t>
            </w:r>
            <w:proofErr w:type="spellEnd"/>
            <w:r w:rsidRPr="00F6749E">
              <w:rPr>
                <w:rFonts w:ascii="Times New Roman" w:eastAsia="Arial" w:hAnsi="Times New Roman" w:cs="Times New Roman"/>
                <w:color w:val="000000" w:themeColor="text1"/>
                <w:sz w:val="20"/>
                <w:szCs w:val="20"/>
                <w:vertAlign w:val="subscript"/>
              </w:rPr>
              <w:t xml:space="preserve"> products</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60</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12</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Dolman et al. </w:t>
            </w:r>
            <w:r w:rsidR="00551F01" w:rsidRPr="00551F01">
              <w:rPr>
                <w:rFonts w:ascii="Times New Roman" w:eastAsia="Arial" w:hAnsi="Times New Roman" w:cs="Times New Roman"/>
                <w:color w:val="000000" w:themeColor="text1"/>
                <w:sz w:val="20"/>
                <w:szCs w:val="20"/>
                <w:vertAlign w:val="superscript"/>
              </w:rPr>
              <w:t>f</w:t>
            </w:r>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20%</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wood</w:t>
            </w:r>
            <w:proofErr w:type="spellEnd"/>
            <w:r w:rsidRPr="00F6749E">
              <w:rPr>
                <w:rFonts w:ascii="Times New Roman" w:eastAsia="Arial" w:hAnsi="Times New Roman" w:cs="Times New Roman"/>
                <w:color w:val="000000" w:themeColor="text1"/>
                <w:sz w:val="20"/>
                <w:szCs w:val="20"/>
                <w:vertAlign w:val="subscript"/>
              </w:rPr>
              <w:t xml:space="preserve"> products</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43</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14</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Bookkeeping model (see methods) for wood products decay, Wang et al. for wood burned in power plant and industry </w:t>
            </w:r>
            <w:r w:rsidR="00551F01" w:rsidRPr="00551F01">
              <w:rPr>
                <w:rFonts w:ascii="Times New Roman" w:eastAsia="Arial" w:hAnsi="Times New Roman" w:cs="Times New Roman"/>
                <w:color w:val="000000" w:themeColor="text1"/>
                <w:sz w:val="20"/>
                <w:szCs w:val="20"/>
                <w:vertAlign w:val="superscript"/>
              </w:rPr>
              <w:t>g</w:t>
            </w:r>
          </w:p>
        </w:tc>
        <w:tc>
          <w:tcPr>
            <w:tcW w:w="1862" w:type="dxa"/>
            <w:shd w:val="clear" w:color="auto" w:fill="auto"/>
            <w:tcMar>
              <w:top w:w="100" w:type="dxa"/>
              <w:left w:w="100" w:type="dxa"/>
              <w:bottom w:w="100" w:type="dxa"/>
              <w:right w:w="100" w:type="dxa"/>
            </w:tcMar>
            <w:vAlign w:val="center"/>
          </w:tcPr>
          <w:p w:rsidR="00F6749E" w:rsidRPr="00551F01" w:rsidRDefault="00551F01" w:rsidP="00F6749E">
            <w:pPr>
              <w:widowControl w:val="0"/>
              <w:rPr>
                <w:rFonts w:ascii="Times New Roman" w:eastAsia="Arial" w:hAnsi="Times New Roman" w:cs="Times New Roman"/>
                <w:color w:val="000000" w:themeColor="text1"/>
                <w:sz w:val="20"/>
                <w:szCs w:val="20"/>
                <w:vertAlign w:val="superscript"/>
              </w:rPr>
            </w:pPr>
            <w:r w:rsidRPr="00551F01">
              <w:rPr>
                <w:rFonts w:ascii="Times New Roman" w:eastAsia="Arial" w:hAnsi="Times New Roman" w:cs="Times New Roman"/>
                <w:color w:val="000000" w:themeColor="text1"/>
                <w:sz w:val="20"/>
                <w:szCs w:val="20"/>
                <w:vertAlign w:val="superscript"/>
              </w:rPr>
              <w:t>d</w:t>
            </w:r>
          </w:p>
        </w:tc>
      </w:tr>
      <w:tr w:rsidR="00F6749E" w:rsidRPr="00DA354E" w:rsidTr="00551F01">
        <w:trPr>
          <w:trHeight w:val="48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grazing</w:t>
            </w:r>
            <w:proofErr w:type="spellEnd"/>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22</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4</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This study (see Methods)</w:t>
            </w:r>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20%</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fires</w:t>
            </w:r>
            <w:proofErr w:type="spellEnd"/>
            <w:r w:rsidRPr="00F6749E">
              <w:rPr>
                <w:rFonts w:ascii="Times New Roman" w:eastAsia="Arial" w:hAnsi="Times New Roman" w:cs="Times New Roman"/>
                <w:color w:val="000000" w:themeColor="text1"/>
                <w:sz w:val="20"/>
                <w:szCs w:val="20"/>
                <w:vertAlign w:val="subscript"/>
              </w:rPr>
              <w:t xml:space="preserve"> GFED</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114</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75</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Extended from </w:t>
            </w:r>
            <w:r w:rsidR="00551F01">
              <w:rPr>
                <w:rFonts w:ascii="Times New Roman" w:eastAsia="Arial" w:hAnsi="Times New Roman" w:cs="Times New Roman"/>
                <w:color w:val="000000" w:themeColor="text1"/>
                <w:sz w:val="20"/>
                <w:szCs w:val="20"/>
              </w:rPr>
              <w:t>[</w:t>
            </w:r>
            <w:r w:rsidRPr="00551F01">
              <w:rPr>
                <w:rFonts w:ascii="Times New Roman" w:eastAsia="Arial" w:hAnsi="Times New Roman" w:cs="Times New Roman"/>
                <w:color w:val="000000" w:themeColor="text1"/>
                <w:sz w:val="20"/>
                <w:szCs w:val="20"/>
              </w:rPr>
              <w:fldChar w:fldCharType="begin" w:fldLock="1"/>
            </w:r>
            <w:r w:rsidRPr="00551F01">
              <w:rPr>
                <w:rFonts w:ascii="Times New Roman" w:eastAsia="Arial" w:hAnsi="Times New Roman" w:cs="Times New Roman"/>
                <w:color w:val="000000" w:themeColor="text1"/>
                <w:sz w:val="20"/>
                <w:szCs w:val="20"/>
              </w:rPr>
              <w:instrText>ADDIN CSL_CITATION {"citationItems":[{"id":"ITEM-1","itemData":{"DOI":"10.5194/acp-10-11707-2010","ISSN":"1680-7324","author":[{"dropping-particle":"","family":"Werf","given":"G. R.","non-dropping-particle":"van der","parse-names":false,"suffix":""},{"dropping-particle":"","family":"Randerson","given":"J. T.","non-dropping-particle":"","parse-names":false,"suffix":""},{"dropping-particle":"","family":"Giglio","given":"L.","non-dropping-particle":"","parse-names":false,"suffix":""},{"dropping-particle":"","family":"Collatz","given":"G. J.","non-dropping-particle":"","parse-names":false,"suffix":""},{"dropping-particle":"","family":"Mu","given":"M.","non-dropping-particle":"","parse-names":false,"suffix":""},{"dropping-particle":"","family":"Kasibhatla","given":"P. S.","non-dropping-particle":"","parse-names":false,"suffix":""},{"dropping-particle":"","family":"Morton","given":"D. C.","non-dropping-particle":"","parse-names":false,"suffix":""},{"dropping-particle":"","family":"DeFries","given":"R. S.","non-dropping-particle":"","parse-names":false,"suffix":""},{"dropping-particle":"","family":"Jin","given":"Y.","non-dropping-particle":"","parse-names":false,"suffix":""},{"dropping-particle":"","family":"Leeuwen","given":"T. T.","non-dropping-particle":"van","parse-names":false,"suffix":""}],"container-title":"Atmospheric Chemistry and Physics","id":"ITEM-1","issue":"23","issued":{"date-parts":[["2010","12"]]},"page":"11707-11735","title":"Global fire emissions and the contribution of deforestation, savanna, forest, agricultural, and peat fires (1997–2009)","type":"article-journal","volume":"10"},"uris":["http://www.mendeley.com/documents/?uuid=b18e6b75-b300-4133-a4d3-d63c6c57bd31"]}],"mendeley":{"formattedCitation":"&lt;sup&gt;81&lt;/sup&gt;","plainTextFormattedCitation":"81","previouslyFormattedCitation":"&lt;sup&gt;81&lt;/sup&gt;"},"properties":{"noteIndex":0},"schema":"https://github.com/citation-style-language/schema/raw/master/csl-citation.json"}</w:instrText>
            </w:r>
            <w:r w:rsidRPr="00551F01">
              <w:rPr>
                <w:rFonts w:ascii="Times New Roman" w:eastAsia="Arial" w:hAnsi="Times New Roman" w:cs="Times New Roman"/>
                <w:color w:val="000000" w:themeColor="text1"/>
                <w:sz w:val="20"/>
                <w:szCs w:val="20"/>
              </w:rPr>
              <w:fldChar w:fldCharType="separate"/>
            </w:r>
            <w:r w:rsidRPr="00551F01">
              <w:rPr>
                <w:rFonts w:ascii="Times New Roman" w:eastAsia="Arial" w:hAnsi="Times New Roman" w:cs="Times New Roman"/>
                <w:noProof/>
                <w:color w:val="000000" w:themeColor="text1"/>
                <w:sz w:val="20"/>
                <w:szCs w:val="20"/>
              </w:rPr>
              <w:t>81</w:t>
            </w:r>
            <w:r w:rsidRPr="00551F01">
              <w:rPr>
                <w:rFonts w:ascii="Times New Roman" w:eastAsia="Arial" w:hAnsi="Times New Roman" w:cs="Times New Roman"/>
                <w:color w:val="000000" w:themeColor="text1"/>
                <w:sz w:val="20"/>
                <w:szCs w:val="20"/>
              </w:rPr>
              <w:fldChar w:fldCharType="end"/>
            </w:r>
            <w:r w:rsidR="00551F01">
              <w:rPr>
                <w:rFonts w:ascii="Times New Roman" w:eastAsia="Arial" w:hAnsi="Times New Roman" w:cs="Times New Roman"/>
                <w:color w:val="000000" w:themeColor="text1"/>
                <w:sz w:val="20"/>
                <w:szCs w:val="20"/>
              </w:rPr>
              <w:t>]</w:t>
            </w:r>
            <w:r w:rsidR="00570D37">
              <w:rPr>
                <w:rFonts w:ascii="Times New Roman" w:eastAsia="Arial" w:hAnsi="Times New Roman" w:cs="Times New Roman"/>
                <w:color w:val="000000" w:themeColor="text1"/>
                <w:sz w:val="20"/>
                <w:szCs w:val="20"/>
              </w:rPr>
              <w:t xml:space="preserve"> </w:t>
            </w:r>
            <w:r w:rsidR="00E8739C" w:rsidRPr="00E8739C">
              <w:rPr>
                <w:rFonts w:ascii="Times New Roman" w:eastAsia="Arial" w:hAnsi="Times New Roman" w:cs="Times New Roman"/>
                <w:color w:val="000000" w:themeColor="text1"/>
                <w:sz w:val="20"/>
                <w:szCs w:val="20"/>
                <w:vertAlign w:val="superscript"/>
              </w:rPr>
              <w:t>h</w:t>
            </w:r>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see Methods</w:t>
            </w:r>
            <w:r w:rsidR="00570D37">
              <w:rPr>
                <w:rFonts w:ascii="Times New Roman" w:eastAsia="Arial" w:hAnsi="Times New Roman" w:cs="Times New Roman"/>
                <w:color w:val="000000" w:themeColor="text1"/>
                <w:sz w:val="20"/>
                <w:szCs w:val="20"/>
              </w:rPr>
              <w:t xml:space="preserve"> </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fires</w:t>
            </w:r>
            <w:proofErr w:type="spellEnd"/>
            <w:r w:rsidRPr="00F6749E">
              <w:rPr>
                <w:rFonts w:ascii="Times New Roman" w:eastAsia="Arial" w:hAnsi="Times New Roman" w:cs="Times New Roman"/>
                <w:color w:val="000000" w:themeColor="text1"/>
                <w:sz w:val="20"/>
                <w:szCs w:val="20"/>
                <w:vertAlign w:val="subscript"/>
              </w:rPr>
              <w:t xml:space="preserve"> GFAS</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102</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31</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Giuseppe et. al.</w:t>
            </w:r>
            <w:r w:rsidR="00551F01">
              <w:rPr>
                <w:rFonts w:ascii="Times New Roman" w:eastAsia="Arial" w:hAnsi="Times New Roman" w:cs="Times New Roman"/>
                <w:color w:val="000000" w:themeColor="text1"/>
                <w:sz w:val="20"/>
                <w:szCs w:val="20"/>
              </w:rPr>
              <w:t xml:space="preserve"> [</w:t>
            </w:r>
            <w:r w:rsidRPr="00551F01">
              <w:rPr>
                <w:rFonts w:ascii="Times New Roman" w:eastAsia="Arial" w:hAnsi="Times New Roman" w:cs="Times New Roman"/>
                <w:color w:val="000000" w:themeColor="text1"/>
                <w:sz w:val="20"/>
                <w:szCs w:val="20"/>
              </w:rPr>
              <w:fldChar w:fldCharType="begin" w:fldLock="1"/>
            </w:r>
            <w:r w:rsidRPr="00551F01">
              <w:rPr>
                <w:rFonts w:ascii="Times New Roman" w:eastAsia="Arial" w:hAnsi="Times New Roman" w:cs="Times New Roman"/>
                <w:color w:val="000000" w:themeColor="text1"/>
                <w:sz w:val="20"/>
                <w:szCs w:val="20"/>
              </w:rPr>
              <w:instrText>ADDIN CSL_CITATION {"citationItems":[{"id":"ITEM-1","itemData":{"DOI":"10.5194/acp-18-5359-2018","ISSN":"16807324","abstract":"&lt;p&gt;&lt;strong&gt;Abstract.&lt;/strong&gt; The atmospheric composition analysis and forecast for the European Copernicus Atmosphere Monitoring Services (CAMS) relies on biomass-burning fire emission estimates from the Global Fire Assimilation System (GFAS). The GFAS is a global system and converts fire radiative power (FRP) observations from MODIS satellites into smoke constituents. Missing observations are filled in using persistence, whereby observed FRP values from the previous day are progressed in time until a new observation is recorded. One of the consequences of this assumption is an increase of fire duration, which in turn translates into an increase of emissions estimated from fires compared to what is available from observations. In this study persistence is replaced by modelled predictions using the Canadian Fire Weather Index (FWI), which describes how atmospheric conditions affect the vegetation moisture content and ultimately fire duration. The skill in predicting emissions from biomass burning is improved with the new technique, which indicates that using an FWI-based model to infer emissions from FRP is better than persistence when observations are not available.&lt;/p&gt;","author":[{"dropping-particle":"","family":"Giuseppe","given":"Francesca","non-dropping-particle":"Di","parse-names":false,"suffix":""},{"dropping-particle":"","family":"Rémy","given":"Samuel","non-dropping-particle":"","parse-names":false,"suffix":""},{"dropping-particle":"","family":"Pappenberger","given":"Florian","non-dropping-particle":"","parse-names":false,"suffix":""},{"dropping-particle":"","family":"Wetterhall","given":"Fredrik","non-dropping-particle":"","parse-names":false,"suffix":""}],"container-title":"Atmospheric Chemistry and Physics","id":"ITEM-1","issued":{"date-parts":[["2018"]]},"title":"Using the Fire Weather Index (FWI) to improve the estimation of fire emissions from fire radiative power (FRP) observations","type":"article-journal"},"uris":["http://www.mendeley.com/documents/?uuid=b1a42bd6-9d56-3f5c-86a5-7ac41386b2b2"]}],"mendeley":{"formattedCitation":"&lt;sup&gt;82&lt;/sup&gt;","plainTextFormattedCitation":"82","previouslyFormattedCitation":"&lt;sup&gt;82&lt;/sup&gt;"},"properties":{"noteIndex":0},"schema":"https://github.com/citation-style-language/schema/raw/master/csl-citation.json"}</w:instrText>
            </w:r>
            <w:r w:rsidRPr="00551F01">
              <w:rPr>
                <w:rFonts w:ascii="Times New Roman" w:eastAsia="Arial" w:hAnsi="Times New Roman" w:cs="Times New Roman"/>
                <w:color w:val="000000" w:themeColor="text1"/>
                <w:sz w:val="20"/>
                <w:szCs w:val="20"/>
              </w:rPr>
              <w:fldChar w:fldCharType="separate"/>
            </w:r>
            <w:r w:rsidRPr="00551F01">
              <w:rPr>
                <w:rFonts w:ascii="Times New Roman" w:eastAsia="Arial" w:hAnsi="Times New Roman" w:cs="Times New Roman"/>
                <w:noProof/>
                <w:color w:val="000000" w:themeColor="text1"/>
                <w:sz w:val="20"/>
                <w:szCs w:val="20"/>
              </w:rPr>
              <w:t>82</w:t>
            </w:r>
            <w:r w:rsidRPr="00551F01">
              <w:rPr>
                <w:rFonts w:ascii="Times New Roman" w:eastAsia="Arial" w:hAnsi="Times New Roman" w:cs="Times New Roman"/>
                <w:color w:val="000000" w:themeColor="text1"/>
                <w:sz w:val="20"/>
                <w:szCs w:val="20"/>
              </w:rPr>
              <w:fldChar w:fldCharType="end"/>
            </w:r>
            <w:r w:rsidR="00551F01">
              <w:rPr>
                <w:rFonts w:ascii="Times New Roman" w:eastAsia="Arial" w:hAnsi="Times New Roman" w:cs="Times New Roman"/>
                <w:color w:val="000000" w:themeColor="text1"/>
                <w:sz w:val="20"/>
                <w:szCs w:val="20"/>
              </w:rPr>
              <w:t>]</w:t>
            </w:r>
            <w:r w:rsidR="00570D37">
              <w:rPr>
                <w:rFonts w:ascii="Times New Roman" w:eastAsia="Arial" w:hAnsi="Times New Roman" w:cs="Times New Roman"/>
                <w:color w:val="000000" w:themeColor="text1"/>
                <w:sz w:val="20"/>
                <w:szCs w:val="20"/>
              </w:rPr>
              <w:t xml:space="preserve"> </w:t>
            </w:r>
            <w:r w:rsidR="00E8739C" w:rsidRPr="00E8739C">
              <w:rPr>
                <w:rFonts w:ascii="Times New Roman" w:eastAsia="Arial" w:hAnsi="Times New Roman" w:cs="Times New Roman"/>
                <w:color w:val="000000" w:themeColor="text1"/>
                <w:sz w:val="20"/>
                <w:szCs w:val="20"/>
                <w:vertAlign w:val="superscript"/>
              </w:rPr>
              <w:t>h</w:t>
            </w:r>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see Methods</w:t>
            </w:r>
            <w:r w:rsidR="00570D37">
              <w:rPr>
                <w:rFonts w:ascii="Times New Roman" w:eastAsia="Arial" w:hAnsi="Times New Roman" w:cs="Times New Roman"/>
                <w:color w:val="000000" w:themeColor="text1"/>
                <w:sz w:val="20"/>
                <w:szCs w:val="20"/>
              </w:rPr>
              <w:t xml:space="preserve"> </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 xml:space="preserve">LUC RECCAP  </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-34</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Schulze et al. </w:t>
            </w:r>
            <w:r w:rsidR="00551F01">
              <w:rPr>
                <w:rFonts w:ascii="Times New Roman" w:eastAsia="Arial" w:hAnsi="Times New Roman" w:cs="Times New Roman"/>
                <w:color w:val="000000" w:themeColor="text1"/>
                <w:sz w:val="20"/>
                <w:szCs w:val="20"/>
              </w:rPr>
              <w:t>[</w:t>
            </w:r>
            <w:r w:rsidRPr="00551F01">
              <w:rPr>
                <w:rFonts w:ascii="Times New Roman" w:eastAsia="Arial" w:hAnsi="Times New Roman" w:cs="Times New Roman"/>
                <w:color w:val="000000" w:themeColor="text1"/>
                <w:sz w:val="20"/>
                <w:szCs w:val="20"/>
              </w:rPr>
              <w:fldChar w:fldCharType="begin" w:fldLock="1"/>
            </w:r>
            <w:r w:rsidRPr="00551F01">
              <w:rPr>
                <w:rFonts w:ascii="Times New Roman" w:eastAsia="Arial" w:hAnsi="Times New Roman" w:cs="Times New Roman"/>
                <w:color w:val="000000" w:themeColor="text1"/>
                <w:sz w:val="20"/>
                <w:szCs w:val="20"/>
              </w:rPr>
              <w:instrText>ADDIN CSL_CITATION {"citationItems":[{"id":"ITEM-1","itemData":{"DOI":"10.1111/j.1365-2486.2010.02215.x","ISBN":"1354-1013","ISSN":"13541013","abstract":"Overviewing the European carbon (C), greenhouse gas (GHG), and non-GHG fluxes, gross primary productivity (GPP) is about 9.3 Pg yr−1, and fossil fuel imports are 1.6 Pg yr−1. GPP is about 1.25% of solar radiation, containing about 360 × 1018 J energy – five times the energy content of annual fossil fuel use. Net primary production (NPP) is 50%, terrestrial net biome productivity, NBP, 3%, and the net GHG balance, NGB, 0.3% of GPP. Human harvest uses 20% of NPP or 10% of GPP, or alternatively 1‰ of solar radiation after accounting for the inherent cost of agriculture and forestry, for production of pesticides and fertilizer, the return of organic fertilizer, and for the C equivalent cost of GHG emissions. C equivalents are defined on a global warming potential with a 100-year time horizon. The equivalent of about 2.4% of the mineral fertilizer input is emitted as N2O. Agricultural emissions to the atmosphere are about 40% of total methane, 60% of total NO-N, 70% of total N2O-N, and 95% of total NH3-N emissions of Europe. European soils are a net C sink (114 Tg yr−1), but considering the emissions of GHGs, soils are a source of about 26 Tg CO2 C-equivalent yr−1. Forest, grassland and sediment C sinks are offset by GHG emissions from croplands, peatlands and inland waters. Non-GHGs (NH3, NOx) interact significantly with the GHG and the C cycle through ammonium nitrate aerosols and dry deposition. Wet deposition of nitrogen (N) supports about 50% of forest timber growth. Land use change is regionally important. The absolute flux values total about 50 Tg C yr−1. Nevertheless, for the European trace-gas balance, land-use intensity is more important than land-use change. This study shows that emissions of GHGs and non-GHGs significantly distort the C cycle and eliminate apparent C sinks.","author":[{"dropping-particle":"","family":"Schulze","given":"E. D.","non-dropping-particle":"","parse-names":false,"suffix":""},{"dropping-particle":"","family":"Ciais","given":"P.","non-dropping-particle":"","parse-names":false,"suffix":""},{"dropping-particle":"","family":"Luyssaert","given":"S.","non-dropping-particle":"","parse-names":false,"suffix":""},{"dropping-particle":"","family":"Schrumpf","given":"M.","non-dropping-particle":"","parse-names":false,"suffix":""},{"dropping-particle":"","family":"Janssens","given":"I. a.","non-dropping-particle":"","parse-names":false,"suffix":""},{"dropping-particle":"","family":"Thiruchittampalam","given":"B.","non-dropping-particle":"","parse-names":false,"suffix":""},{"dropping-particle":"","family":"Theloke","given":"J.","non-dropping-particle":"","parse-names":false,"suffix":""},{"dropping-particle":"","family":"Saurat","given":"M.","non-dropping-particle":"","parse-names":false,"suffix":""},{"dropping-particle":"","family":"Bringezu","given":"S.","non-dropping-particle":"","parse-names":false,"suffix":""},{"dropping-particle":"","family":"Lelieveld","given":"J.","non-dropping-particle":"","parse-names":false,"suffix":""},{"dropping-particle":"","family":"Lohila","given":"a.","non-dropping-particle":"","parse-names":false,"suffix":""},{"dropping-particle":"","family":"Rebmann","given":"C.","non-dropping-particle":"","parse-names":false,"suffix":""},{"dropping-particle":"","family":"Jung","given":"M.","non-dropping-particle":"","parse-names":false,"suffix":""},{"dropping-particle":"","family":"Bastviken","given":"D.","non-dropping-particle":"","parse-names":false,"suffix":""},{"dropping-particle":"","family":"Abril","given":"G.","non-dropping-particle":"","parse-names":false,"suffix":""},{"dropping-particle":"","family":"Grassi","given":"G.","non-dropping-particle":"","parse-names":false,"suffix":""},{"dropping-particle":"","family":"Leip","given":"a.","non-dropping-particle":"","parse-names":false,"suffix":""},{"dropping-particle":"","family":"Freibauer","given":"a.","non-dropping-particle":"","parse-names":false,"suffix":""},{"dropping-particle":"","family":"Kutsch","given":"W.","non-dropping-particle":"","parse-names":false,"suffix":""},{"dropping-particle":"","family":"Don","given":"a.","non-dropping-particle":"","parse-names":false,"suffix":""},{"dropping-particle":"","family":"Nieschulze","given":"J.","non-dropping-particle":"","parse-names":false,"suffix":""},{"dropping-particle":"","family":"Börner","given":"a.","non-dropping-particle":"","parse-names":false,"suffix":""},{"dropping-particle":"","family":"Gash","given":"J. H.","non-dropping-particle":"","parse-names":false,"suffix":""},{"dropping-particle":"","family":"Dolman","given":"a. J.","non-dropping-particle":"","parse-names":false,"suffix":""}],"container-title":"Global Change Biology","id":"ITEM-1","issue":"5","issued":{"date-parts":[["2010"]]},"page":"1451-1469","title":"The European carbon balance. Part 4: Integration of carbon and other trace-gas fluxes","type":"article-journal","volume":"16"},"uris":["http://www.mendeley.com/documents/?uuid=cecf909d-b78a-43df-8ba4-935c4fc25319"]}],"mendeley":{"formattedCitation":"&lt;sup&gt;9&lt;/sup&gt;","plainTextFormattedCitation":"9","previouslyFormattedCitation":"&lt;sup&gt;9&lt;/sup&gt;"},"properties":{"noteIndex":0},"schema":"https://github.com/citation-style-language/schema/raw/master/csl-citation.json"}</w:instrText>
            </w:r>
            <w:r w:rsidRPr="00551F01">
              <w:rPr>
                <w:rFonts w:ascii="Times New Roman" w:eastAsia="Arial" w:hAnsi="Times New Roman" w:cs="Times New Roman"/>
                <w:color w:val="000000" w:themeColor="text1"/>
                <w:sz w:val="20"/>
                <w:szCs w:val="20"/>
              </w:rPr>
              <w:fldChar w:fldCharType="separate"/>
            </w:r>
            <w:r w:rsidRPr="00551F01">
              <w:rPr>
                <w:rFonts w:ascii="Times New Roman" w:eastAsia="Arial" w:hAnsi="Times New Roman" w:cs="Times New Roman"/>
                <w:noProof/>
                <w:color w:val="000000" w:themeColor="text1"/>
                <w:sz w:val="20"/>
                <w:szCs w:val="20"/>
              </w:rPr>
              <w:t>9</w:t>
            </w:r>
            <w:r w:rsidRPr="00551F01">
              <w:rPr>
                <w:rFonts w:ascii="Times New Roman" w:eastAsia="Arial" w:hAnsi="Times New Roman" w:cs="Times New Roman"/>
                <w:color w:val="000000" w:themeColor="text1"/>
                <w:sz w:val="20"/>
                <w:szCs w:val="20"/>
              </w:rPr>
              <w:fldChar w:fldCharType="end"/>
            </w:r>
            <w:r w:rsidR="00551F01">
              <w:rPr>
                <w:rFonts w:ascii="Times New Roman" w:eastAsia="Arial" w:hAnsi="Times New Roman" w:cs="Times New Roman"/>
                <w:color w:val="000000" w:themeColor="text1"/>
                <w:sz w:val="20"/>
                <w:szCs w:val="20"/>
              </w:rPr>
              <w:t>]</w:t>
            </w:r>
            <w:r w:rsidRPr="00F6749E">
              <w:rPr>
                <w:rFonts w:ascii="Times New Roman" w:eastAsia="Arial" w:hAnsi="Times New Roman" w:cs="Times New Roman"/>
                <w:color w:val="000000" w:themeColor="text1"/>
                <w:sz w:val="20"/>
                <w:szCs w:val="20"/>
              </w:rPr>
              <w:t xml:space="preserve"> </w:t>
            </w:r>
            <w:proofErr w:type="spellStart"/>
            <w:r w:rsidR="00E8739C">
              <w:rPr>
                <w:rFonts w:ascii="Times New Roman" w:eastAsia="Arial" w:hAnsi="Times New Roman" w:cs="Times New Roman"/>
                <w:color w:val="000000" w:themeColor="text1"/>
                <w:sz w:val="20"/>
                <w:szCs w:val="20"/>
                <w:vertAlign w:val="superscript"/>
              </w:rPr>
              <w:t>i</w:t>
            </w:r>
            <w:proofErr w:type="spellEnd"/>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Dolman et al.</w:t>
            </w:r>
            <w:r w:rsidR="00570D37">
              <w:rPr>
                <w:rFonts w:ascii="Times New Roman" w:eastAsia="Arial" w:hAnsi="Times New Roman" w:cs="Times New Roman"/>
                <w:color w:val="000000" w:themeColor="text1"/>
                <w:sz w:val="20"/>
                <w:szCs w:val="20"/>
              </w:rPr>
              <w:t xml:space="preserve"> </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LUC BLUE</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-5</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15</w:t>
            </w:r>
          </w:p>
        </w:tc>
        <w:tc>
          <w:tcPr>
            <w:tcW w:w="3568" w:type="dxa"/>
            <w:shd w:val="clear" w:color="auto" w:fill="auto"/>
            <w:tcMar>
              <w:top w:w="100" w:type="dxa"/>
              <w:left w:w="100" w:type="dxa"/>
              <w:bottom w:w="100" w:type="dxa"/>
              <w:right w:w="100" w:type="dxa"/>
            </w:tcMar>
            <w:vAlign w:val="center"/>
          </w:tcPr>
          <w:p w:rsidR="00F6749E" w:rsidRPr="00551F01" w:rsidRDefault="00F6749E" w:rsidP="00F6749E">
            <w:pPr>
              <w:widowControl w:val="0"/>
              <w:rPr>
                <w:rFonts w:ascii="Times New Roman" w:eastAsia="Arial" w:hAnsi="Times New Roman" w:cs="Times New Roman"/>
                <w:color w:val="000000" w:themeColor="text1"/>
                <w:sz w:val="20"/>
                <w:szCs w:val="20"/>
                <w:highlight w:val="yellow"/>
              </w:rPr>
            </w:pPr>
            <w:proofErr w:type="spellStart"/>
            <w:r w:rsidRPr="00F6749E">
              <w:rPr>
                <w:rFonts w:ascii="Times New Roman" w:eastAsia="Arial" w:hAnsi="Times New Roman" w:cs="Times New Roman"/>
                <w:color w:val="000000" w:themeColor="text1"/>
                <w:sz w:val="20"/>
                <w:szCs w:val="20"/>
                <w:highlight w:val="white"/>
              </w:rPr>
              <w:t>Hansis</w:t>
            </w:r>
            <w:proofErr w:type="spellEnd"/>
            <w:r w:rsidRPr="00F6749E">
              <w:rPr>
                <w:rFonts w:ascii="Times New Roman" w:eastAsia="Arial" w:hAnsi="Times New Roman" w:cs="Times New Roman"/>
                <w:color w:val="000000" w:themeColor="text1"/>
                <w:sz w:val="20"/>
                <w:szCs w:val="20"/>
                <w:highlight w:val="white"/>
              </w:rPr>
              <w:t xml:space="preserve"> et al. </w:t>
            </w:r>
            <w:r w:rsidR="00551F01">
              <w:rPr>
                <w:rFonts w:ascii="Times New Roman" w:eastAsia="Arial" w:hAnsi="Times New Roman" w:cs="Times New Roman"/>
                <w:color w:val="000000" w:themeColor="text1"/>
                <w:sz w:val="20"/>
                <w:szCs w:val="20"/>
                <w:highlight w:val="white"/>
              </w:rPr>
              <w:t>[</w:t>
            </w:r>
            <w:r w:rsidRPr="00551F01">
              <w:rPr>
                <w:rFonts w:ascii="Times New Roman" w:eastAsia="Arial" w:hAnsi="Times New Roman" w:cs="Times New Roman"/>
                <w:color w:val="000000" w:themeColor="text1"/>
                <w:sz w:val="20"/>
                <w:szCs w:val="20"/>
                <w:highlight w:val="white"/>
              </w:rPr>
              <w:fldChar w:fldCharType="begin" w:fldLock="1"/>
            </w:r>
            <w:r w:rsidRPr="00551F01">
              <w:rPr>
                <w:rFonts w:ascii="Times New Roman" w:eastAsia="Arial" w:hAnsi="Times New Roman" w:cs="Times New Roman"/>
                <w:color w:val="000000" w:themeColor="text1"/>
                <w:sz w:val="20"/>
                <w:szCs w:val="20"/>
                <w:highlight w:val="white"/>
              </w:rPr>
              <w:instrText>ADDIN CSL_CITATION {"citationItems":[{"id":"ITEM-1","itemData":{"DOI":"10.1002/2014GB004997","ISSN":"0886-6236","abstract":"Abstract Accounting for carbon fluxes from land use and land cover change (LULCC) generally requires choosing from multiple options of how to attribute the fluxes to regions and to LULCC activities. Applying a newly developed and spatially explicit bookkeeping model BLUE (bookkeeping of land use emissions), we quantify LULCC fluxes and attribute them to land use activities and countries by a range of different accounting methods. We present results with respect to a Kyoto Protocol-like ?commitment? accounting period, using land use emissions of 2008?2012 as an example scenario. We assess the effect of accounting methods that vary (1) the temporal evolution of carbon stocks, (2) the state of the carbon stocks at the beginning of the period, (3) the temporal attribution of carbon fluxes during the period, and (4) treatment of LULCC fluxes that occurred prior to the beginning of the period. We show that the methodological choices result in grossly different estimates of carbon fluxes for the different attribution definitions.","author":[{"dropping-particle":"","family":"Hansis","given":"Eberhard","non-dropping-particle":"","parse-names":false,"suffix":""},{"dropping-particle":"","family":"Davis","given":"Steven J","non-dropping-particle":"","parse-names":false,"suffix":""},{"dropping-particle":"","family":"Pongratz","given":"Julia","non-dropping-particle":"","parse-names":false,"suffix":""}],"container-title":"Global Biogeochemical Cycles","id":"ITEM-1","issue":"8","issued":{"date-parts":[["2015","8","1"]]},"note":"doi: 10.1002/2014GB004997","page":"1230-1246","publisher":"John Wiley &amp; Sons, Ltd","title":"Relevance of methodological choices for accounting of land use change carbon fluxes","type":"speech","volume":"29"},"uris":["http://www.mendeley.com/documents/?uuid=554da27d-80b9-47d4-93f9-30dc5af8fd94"]}],"mendeley":{"formattedCitation":"&lt;sup&gt;66&lt;/sup&gt;","plainTextFormattedCitation":"66","previouslyFormattedCitation":"&lt;sup&gt;66&lt;/sup&gt;"},"properties":{"noteIndex":0},"schema":"https://github.com/citation-style-language/schema/raw/master/csl-citation.json"}</w:instrText>
            </w:r>
            <w:r w:rsidRPr="00551F01">
              <w:rPr>
                <w:rFonts w:ascii="Times New Roman" w:eastAsia="Arial" w:hAnsi="Times New Roman" w:cs="Times New Roman"/>
                <w:color w:val="000000" w:themeColor="text1"/>
                <w:sz w:val="20"/>
                <w:szCs w:val="20"/>
                <w:highlight w:val="white"/>
              </w:rPr>
              <w:fldChar w:fldCharType="separate"/>
            </w:r>
            <w:r w:rsidRPr="00551F01">
              <w:rPr>
                <w:rFonts w:ascii="Times New Roman" w:eastAsia="Arial" w:hAnsi="Times New Roman" w:cs="Times New Roman"/>
                <w:color w:val="000000" w:themeColor="text1"/>
                <w:sz w:val="20"/>
                <w:szCs w:val="20"/>
                <w:highlight w:val="white"/>
              </w:rPr>
              <w:t>66</w:t>
            </w:r>
            <w:r w:rsidRPr="00551F01">
              <w:rPr>
                <w:rFonts w:ascii="Times New Roman" w:eastAsia="Arial" w:hAnsi="Times New Roman" w:cs="Times New Roman"/>
                <w:color w:val="000000" w:themeColor="text1"/>
                <w:sz w:val="20"/>
                <w:szCs w:val="20"/>
                <w:highlight w:val="white"/>
              </w:rPr>
              <w:fldChar w:fldCharType="end"/>
            </w:r>
            <w:r w:rsidR="00551F01" w:rsidRPr="00551F01">
              <w:rPr>
                <w:rFonts w:ascii="Times New Roman" w:eastAsia="Arial" w:hAnsi="Times New Roman" w:cs="Times New Roman"/>
                <w:color w:val="000000" w:themeColor="text1"/>
                <w:sz w:val="20"/>
                <w:szCs w:val="20"/>
                <w:highlight w:val="white"/>
              </w:rPr>
              <w:t>]</w:t>
            </w:r>
            <w:r w:rsidRPr="00F6749E">
              <w:rPr>
                <w:rFonts w:ascii="Times New Roman" w:eastAsia="Arial" w:hAnsi="Times New Roman" w:cs="Times New Roman"/>
                <w:color w:val="000000" w:themeColor="text1"/>
                <w:sz w:val="20"/>
                <w:szCs w:val="20"/>
                <w:highlight w:val="white"/>
              </w:rPr>
              <w:t xml:space="preserve"> updated in ref. </w:t>
            </w:r>
            <w:r w:rsidR="00551F01">
              <w:rPr>
                <w:rFonts w:ascii="Times New Roman" w:eastAsia="Arial" w:hAnsi="Times New Roman" w:cs="Times New Roman"/>
                <w:color w:val="000000" w:themeColor="text1"/>
                <w:sz w:val="20"/>
                <w:szCs w:val="20"/>
                <w:highlight w:val="white"/>
              </w:rPr>
              <w:t>[</w:t>
            </w:r>
            <w:r w:rsidRPr="00551F01">
              <w:rPr>
                <w:rFonts w:ascii="Times New Roman" w:eastAsia="Arial" w:hAnsi="Times New Roman" w:cs="Times New Roman"/>
                <w:color w:val="000000" w:themeColor="text1"/>
                <w:sz w:val="20"/>
                <w:szCs w:val="20"/>
                <w:highlight w:val="white"/>
                <w:lang w:val="fr-FR"/>
              </w:rPr>
              <w:fldChar w:fldCharType="begin" w:fldLock="1"/>
            </w:r>
            <w:r w:rsidRPr="00551F01">
              <w:rPr>
                <w:rFonts w:ascii="Times New Roman" w:eastAsia="Arial" w:hAnsi="Times New Roman" w:cs="Times New Roman"/>
                <w:color w:val="000000" w:themeColor="text1"/>
                <w:sz w:val="20"/>
                <w:szCs w:val="20"/>
                <w:highlight w:val="white"/>
              </w:rPr>
              <w:instrText>ADDIN CSL_CITATION {"citationItems":[{"id":"ITEM-1","itemData":{"DOI":"10.5194/essd-10-2141-2018","ISSN":"1866-3516","abstract":"&lt;p&gt;&lt;![CDATA[Abstract. Accurate assessment of anthropogenic carbon dioxide (CO2) emissions and their redistribution among the atmosphere, ocean, and terrestrial biosphere – the “global carbon budget” – is important to better understand the global carbon cycle, support the development of climate policies, and project future climate change. Here we describe data sets and methodology to quantify the five major components of the global carbon budget and their uncertainties. Fossil CO2 emissions (EFF) are based on energy statistics and cement production data, while emissions from land use and land-use change (ELUC), mainly deforestation, are based on land use and land-use change data and bookkeeping models. Atmospheric CO2 concentration is measured directly and its growth rate (GATM) is computed from the annual changes in concentration. The ocean CO2 sink (SOCEAN) and terrestrial CO2 sink (SLAND) are estimated with global process models constrained by observations. The resulting carbon budget imbalance (BIM), the difference between the estimated total emissions and the estimated changes in the atmosphere, ocean, and terrestrial biosphere, is a measure of imperfect data and understanding of the contemporary carbon cycle. All uncertainties are reported as ±1σ. For the last decade available (2008–2017), EFF was 9.4±0.5 GtC yr−1, ELUC 1.5±0.7 GtC yr−1, GATM 4.7±0.02 GtC yr−1, SOCEAN 2.4±0.5 GtC yr−1, and SLAND 3.2±0.8 GtC yr−1, with a budget imbalance BIM of 0.5 GtC yr−1 indicating overestimated emissions and/or underestimated sinks. For the year 2017 alone, the growth in EFF was about 1.6 % and emissions increased to 9.9±0.5 GtC yr−1. Also for 2017, ELUC was 1.4±0.7 GtC yr−1, GATM was 4.6±0.2 GtC yr−1, SOCEAN was 2.5±0.5 GtC yr−1, and SLAND was 3.8±0.8 GtC yr−1, with a BIM of 0.3 GtC. The global atmospheric CO2 concentration reached 405.0±0.1 ppm averaged over 2017. For 2018, preliminary data for the first 6–9 months indicate a renewed growth in EFF of +2.7 % (range of 1.8 % to 3.7 %) based on national emission projections for China, the US, the EU, and India and projections of gross domestic product corrected for recent changes in the carbon intensity of the economy for the rest of the world. The analysis presented here shows that the mean and trend in the five components of the global carbon budget are consistently estimated over the period of 1959–2017, but discrepancies of up to 1 GtC yr−1 persist for the representation of semi-decadal variability in CO2 flu…","author":[{"dropping-particle":"","family":"Quéré","given":"Corinne","non-dropping-particle":"Le","parse-names":false,"suffix":""},{"dropping-particle":"","family":"Andrew","given":"Robbie M.","non-dropping-particle":"","parse-names":false,"suffix":""},{"dropping-particle":"","family":"Friedlingstein","given":"Pierre","non-dropping-particle":"","parse-names":false,"suffix":""},{"dropping-particle":"","family":"Sitch","given":"Stephen","non-dropping-particle":"","parse-names":false,"suffix":""},{"dropping-particle":"","family":"Hauck","given":"Judith","non-dropping-particle":"","parse-names":false,"suffix":""},{"dropping-particle":"","family":"Pongratz","given":"Julia","non-dropping-particle":"","parse-names":false,"suffix":""},{"dropping-particle":"","family":"Pickers","given":"Penelope A.","non-dropping-particle":"","parse-names":false,"suffix":""},{"dropping-particle":"","family":"Korsbakken","given":"Jan Ivar","non-dropping-particle":"","parse-names":false,"suffix":""},{"dropping-particle":"","family":"Peters","given":"Glen P.","non-dropping-particle":"","parse-names":false,"suffix":""},{"dropping-particle":"","family":"Canadell","given":"Josep G.","non-dropping-particle":"","parse-names":false,"suffix":""},{"dropping-particle":"","family":"Arneth","given":"Almut","non-dropping-particle":"","parse-names":false,"suffix":""},{"dropping-particle":"","family":"Arora","given":"Vivek K.","non-dropping-particle":"","parse-names":false,"suffix":""},{"dropping-particle":"","family":"Barbero","given":"Leticia","non-dropping-particle":"","parse-names":false,"suffix":""},{"dropping-particle":"","family":"Bastos","given":"Ana","non-dropping-particle":"","parse-names":false,"suffix":""},{"dropping-particle":"","family":"Bopp","given":"Laurent","non-dropping-particle":"","parse-names":false,"suffix":""},{"dropping-particle":"","family":"Chevallier","given":"Frédéric","non-dropping-particle":"","parse-names":false,"suffix":""},{"dropping-particle":"","family":"Chini","given":"Louise P.","non-dropping-particle":"","parse-names":false,"suffix":""},{"dropping-particle":"","family":"Ciais","given":"Philippe","non-dropping-particle":"","parse-names":false,"suffix":""},{"dropping-particle":"","family":"Doney","given":"Scott C.","non-dropping-particle":"","parse-names":false,"suffix":""},{"dropping-particle":"","family":"Gkritzalis","given":"Thanos","non-dropping-particle":"","parse-names":false,"suffix":""},{"dropping-particle":"","family":"Goll","given":"Daniel S.","non-dropping-particle":"","parse-names":false,"suffix":""},{"dropping-particle":"","family":"Harris","given":"Ian","non-dropping-particle":"","parse-names":false,"suffix":""},{"dropping-particle":"","family":"Haverd","given":"Vanessa","non-dropping-particle":"","parse-names":false,"suffix":""},{"dropping-particle":"","family":"Hoffman","given":"Forrest M.","non-dropping-particle":"","parse-names":false,"suffix":""},{"dropping-particle":"","family":"Hoppema","given":"Mario","non-dropping-particle":"","parse-names":false,"suffix":""},{"dropping-particle":"","family":"Houghton","given":"Richard A.","non-dropping-particle":"","parse-names":false,"suffix":""},{"dropping-particle":"","family":"Hurtt","given":"George","non-dropping-particle":"","parse-names":false,"suffix":""},{"dropping-particle":"","family":"Ilyina","given":"Tatiana","non-dropping-particle":"","parse-names":false,"suffix":""},{"dropping-particle":"","family":"Jain","given":"Atul K.","non-dropping-particle":"","parse-names":false,"suffix":""},{"dropping-particle":"","family":"Johannessen","given":"Truls","non-dropping-particle":"","parse-names":false,"suffix":""},{"dropping-particle":"","family":"Jones","given":"Chris D.","non-dropping-particle":"","parse-names":false,"suffix":""},{"dropping-particle":"","family":"Kato","given":"Etsushi","non-dropping-particle":"","parse-names":false,"suffix":""},{"dropping-particle":"","family":"Keeling","given":"Ralph F.","non-dropping-particle":"","parse-names":false,"suffix":""},{"dropping-particle":"","family":"Goldewijk","given":"Kees Klein","non-dropping-particle":"","parse-names":false,"suffix":""},{"dropping-particle":"","family":"Landschützer","given":"Peter","non-dropping-particle":"","parse-names":false,"suffix":""},{"dropping-particle":"","family":"Lefèvre","given":"Nathalie","non-dropping-particle":"","parse-names":false,"suffix":""},{"dropping-particle":"","family":"Lienert","given":"Sebastian","non-dropping-particle":"","parse-names":false,"suffix":""},{"dropping-particle":"","family":"Liu","given":"Zhu","non-dropping-particle":"","parse-names":false,"suffix":""},{"dropping-particle":"","family":"Lombardozzi","given":"Danica","non-dropping-particle":"","parse-names":false,"suffix":""},{"dropping-particle":"","family":"Metzl","given":"Nicolas","non-dropping-particle":"","parse-names":false,"suffix":""},{"dropping-particle":"","family":"Munro","given":"David R.","non-dropping-particle":"","parse-names":false,"suffix":""},{"dropping-particle":"","family":"Nabel","given":"Julia E. M. S.","non-dropping-particle":"","parse-names":false,"suffix":""},{"dropping-particle":"","family":"Nakaoka","given":"Shin-ichiro","non-dropping-particle":"","parse-names":false,"suffix":""},{"dropping-particle":"","family":"Neill","given":"Craig","non-dropping-particle":"","parse-names":false,"suffix":""},{"dropping-particle":"","family":"Olsen","given":"Are","non-dropping-particle":"","parse-names":false,"suffix":""},{"dropping-particle":"","family":"Ono","given":"Tsueno","non-dropping-particle":"","parse-names":false,"suffix":""},{"dropping-particle":"","family":"Patra","given":"Prabir","non-dropping-particle":"","parse-names":false,"suffix":""},{"dropping-particle":"","family":"Peregon","given":"Anna","non-dropping-particle":"","parse-names":false,"suffix":""},{"dropping-particle":"","family":"Peters","given":"Wouter","non-dropping-particle":"","parse-names":false,"suffix":""},{"dropping-particle":"","family":"Peylin","given":"Philippe","non-dropping-particle":"","parse-names":false,"suffix":""},{"dropping-particle":"","family":"Pfeil","given":"Benjamin","non-dropping-particle":"","parse-names":false,"suffix":""},{"dropping-particle":"","family":"Pierrot","given":"Denis","non-dropping-particle":"","parse-names":false,"suffix":""},{"dropping-particle":"","family":"Poulter","given":"Benjamin","non-dropping-particle":"","parse-names":false,"suffix":""},{"dropping-particle":"","family":"Rehder","given":"Gregor","non-dropping-particle":"","parse-names":false,"suffix":""},{"dropping-particle":"","family":"Resplandy","given":"Laure","non-dropping-particle":"","parse-names":false,"suffix":""},{"dropping-particle":"","family":"Robertson","given":"Eddy","non-dropping-particle":"","parse-names":false,"suffix":""},{"dropping-particle":"","family":"Rocher","given":"Matthias","non-dropping-particle":"","parse-names":false,"suffix":""},{"dropping-particle":"","family":"Rödenbeck","given":"Christian","non-dropping-particle":"","parse-names":false,"suffix":""},{"dropping-particle":"","family":"Schuster","given":"Ute","non-dropping-particle":"","parse-names":false,"suffix":""},{"dropping-particle":"","family":"Schwinger","given":"Jörg","non-dropping-particle":"","parse-names":false,"suffix":""},{"dropping-particle":"","family":"Séférian","given":"Roland","non-dropping-particle":"","parse-names":false,"suffix":""},{"dropping-particle":"","family":"Skjelvan","given":"Ingunn","non-dropping-particle":"","parse-names":false,"suffix":""},{"dropping-particle":"","family":"Steinhoff","given":"Tobias","non-dropping-particle":"","parse-names":false,"suffix":""},{"dropping-particle":"","family":"Sutton","given":"Adrienne","non-dropping-particle":"","parse-names":false,"suffix":""},{"dropping-particle":"","family":"Tans","given":"Pieter P.","non-dropping-particle":"","parse-names":false,"suffix":""},{"dropping-particle":"","family":"Tian","given":"Hanqin","non-dropping-particle":"","parse-names":false,"suffix":""},{"dropping-particle":"","family":"Tilbrook","given":"Bronte","non-dropping-particle":"","parse-names":false,"suffix":""},{"dropping-particle":"","family":"Tubiello","given":"Francesco N.","non-dropping-particle":"","parse-names":false,"suffix":""},{"dropping-particle":"","family":"Laan-Luijkx","given":"Ingrid T.","non-dropping-particle":"van der","parse-names":false,"suffix":""},{"dropping-particle":"","family":"Werf","given":"Guido R.","non-dropping-particle":"van der","parse-names":false,"suffix":""},{"dropping-particle":"","family":"Viovy","given":"Nicolas","non-dropping-particle":"","parse-names":false,"suffix":""},{"dropping-particle":"","family":"Walker","given":"Anthony P.","non-dropping-particle":"","parse-names":false,"suffix":""},{"dropping-particle":"","family":"Wiltshire","given":"Andrew J.","non-dropping-particle":"","parse-names":false,"suffix":""},{"dropping-particle":"","family":"Wright","given":"Rebecca","non-dropping-particle":"","parse-names":false,"suffix":""},{"dropping-particle":"","family":"Zaehle","given":"Sönke","non-dropping-particle":"","parse-names":false,"suffix":""},{"dropping-particle":"","family":"Zheng","given":"Bo","non-dropping-particle":"","parse-names":false,"suffix":""}],"container-title":"Earth System Science Data","id":"ITEM-1","issue":"4","issued":{"date-parts":[["2018","12","5"]]},"page":"2141-2194","title":"Global Carbon Budget 2018","type":"article-journal","volume":"10"},"uris":["http://www.mendeley.com/documents/?uuid=c58027c0-01ff-3934-afe3-9c450c266da6"]}],"mendeley":{"formattedCitation":"&lt;sup&gt;83&lt;/sup&gt;","plainTextFormattedCitation":"83","previouslyFormattedCitation":"&lt;sup&gt;83&lt;/sup&gt;"},"properties":{"noteIndex":0},"schema":"https://github.com/citation-style-language/schema/raw/master/csl-citation.json"}</w:instrText>
            </w:r>
            <w:r w:rsidRPr="00551F01">
              <w:rPr>
                <w:rFonts w:ascii="Times New Roman" w:eastAsia="Arial" w:hAnsi="Times New Roman" w:cs="Times New Roman"/>
                <w:color w:val="000000" w:themeColor="text1"/>
                <w:sz w:val="20"/>
                <w:szCs w:val="20"/>
                <w:highlight w:val="white"/>
                <w:lang w:val="fr-FR"/>
              </w:rPr>
              <w:fldChar w:fldCharType="separate"/>
            </w:r>
            <w:r w:rsidRPr="00551F01">
              <w:rPr>
                <w:rFonts w:ascii="Times New Roman" w:eastAsia="Arial" w:hAnsi="Times New Roman" w:cs="Times New Roman"/>
                <w:noProof/>
                <w:color w:val="000000" w:themeColor="text1"/>
                <w:sz w:val="20"/>
                <w:szCs w:val="20"/>
                <w:highlight w:val="white"/>
              </w:rPr>
              <w:t>83</w:t>
            </w:r>
            <w:r w:rsidRPr="00551F01">
              <w:rPr>
                <w:rFonts w:ascii="Times New Roman" w:eastAsia="Arial" w:hAnsi="Times New Roman" w:cs="Times New Roman"/>
                <w:color w:val="000000" w:themeColor="text1"/>
                <w:sz w:val="20"/>
                <w:szCs w:val="20"/>
                <w:highlight w:val="white"/>
                <w:lang w:val="fr-FR"/>
              </w:rPr>
              <w:fldChar w:fldCharType="end"/>
            </w:r>
            <w:r w:rsidR="00551F01" w:rsidRPr="00551F01">
              <w:rPr>
                <w:rFonts w:ascii="Times New Roman" w:eastAsia="Arial" w:hAnsi="Times New Roman" w:cs="Times New Roman"/>
                <w:color w:val="000000" w:themeColor="text1"/>
                <w:sz w:val="20"/>
                <w:szCs w:val="20"/>
                <w:highlight w:val="white"/>
              </w:rPr>
              <w:t>]</w:t>
            </w:r>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see Methods</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reduced</w:t>
            </w:r>
            <w:proofErr w:type="spellEnd"/>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28</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7</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This study (see Methods)</w:t>
            </w:r>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see Methods</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outgas</w:t>
            </w:r>
            <w:proofErr w:type="spellEnd"/>
            <w:r w:rsidRPr="00F6749E">
              <w:rPr>
                <w:rFonts w:ascii="Times New Roman" w:eastAsia="Arial" w:hAnsi="Times New Roman" w:cs="Times New Roman"/>
                <w:color w:val="000000" w:themeColor="text1"/>
                <w:sz w:val="20"/>
                <w:szCs w:val="20"/>
                <w:vertAlign w:val="subscript"/>
              </w:rPr>
              <w:t xml:space="preserve"> rivers + lakes RAY</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134</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67</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Raymond et al. </w:t>
            </w:r>
            <w:r w:rsidR="00551F01">
              <w:rPr>
                <w:rFonts w:ascii="Times New Roman" w:eastAsia="Arial" w:hAnsi="Times New Roman" w:cs="Times New Roman"/>
                <w:color w:val="000000" w:themeColor="text1"/>
                <w:sz w:val="20"/>
                <w:szCs w:val="20"/>
              </w:rPr>
              <w:t>[</w:t>
            </w:r>
            <w:r w:rsidRPr="00551F01">
              <w:rPr>
                <w:rFonts w:ascii="Times New Roman" w:eastAsia="Arial" w:hAnsi="Times New Roman" w:cs="Times New Roman"/>
                <w:color w:val="000000" w:themeColor="text1"/>
                <w:sz w:val="20"/>
                <w:szCs w:val="20"/>
              </w:rPr>
              <w:fldChar w:fldCharType="begin" w:fldLock="1"/>
            </w:r>
            <w:r w:rsidRPr="00551F01">
              <w:rPr>
                <w:rFonts w:ascii="Times New Roman" w:eastAsia="Arial" w:hAnsi="Times New Roman" w:cs="Times New Roman"/>
                <w:color w:val="000000" w:themeColor="text1"/>
                <w:sz w:val="20"/>
                <w:szCs w:val="20"/>
              </w:rPr>
              <w:instrText>ADDIN CSL_CITATION {"citationItems":[{"id":"ITEM-1","itemData":{"DOI":"10.1038/nature13142","ISSN":"00280836","author":[{"dropping-particle":"","family":"Raymond","given":"P.A.","non-dropping-particle":"","parse-names":false,"suffix":""},{"dropping-particle":"","family":"Hartmann","given":"J.","non-dropping-particle":"","parse-names":false,"suffix":""},{"dropping-particle":"","family":"Lauerwald","given":"R.","non-dropping-particle":"","parse-names":false,"suffix":""},{"dropping-particle":"","family":"Sobek","given":"S.","non-dropping-particle":"","parse-names":false,"suffix":""},{"dropping-particle":"","family":"McDonald","given":"C.","non-dropping-particle":"","parse-names":false,"suffix":""},{"dropping-particle":"","family":"Hoover","given":"M.","non-dropping-particle":"","parse-names":false,"suffix":""},{"dropping-particle":"","family":"Butman","given":"D.","non-dropping-particle":"","parse-names":false,"suffix":""},{"dropping-particle":"","family":"Striegl","given":"R.","non-dropping-particle":"","parse-names":false,"suffix":""},{"dropping-particle":"","family":"Mayorga","given":"E.","non-dropping-particle":"","parse-names":false,"suffix":""},{"dropping-particle":"","family":"Humborg","given":"C.","non-dropping-particle":"","parse-names":false,"suffix":""},{"dropping-particle":"","family":"Kortelainen","given":"P.","non-dropping-particle":"","parse-names":false,"suffix":""},{"dropping-particle":"","family":"Dürr","given":"H.","non-dropping-particle":"","parse-names":false,"suffix":""},{"dropping-particle":"","family":"Meybeck","given":"M.","non-dropping-particle":"","parse-names":false,"suffix":""},{"dropping-particle":"","family":"Ciais","given":"P.","non-dropping-particle":"","parse-names":false,"suffix":""},{"dropping-particle":"","family":"Guth","given":"P.","non-dropping-particle":"","parse-names":false,"suffix":""}],"container-title":"Nature","id":"ITEM-1","issue":"7492","issued":{"date-parts":[["2014"]]},"title":"Erratum: Global carbon dioxide emissions from inland waters (Nature (2013) 503 (355-359) DOI: 10.1038/nature12760)","type":"article-journal","volume":"507"},"uris":["http://www.mendeley.com/documents/?uuid=9f65d7ab-bd8b-32fa-bb80-0bd0b1543272"]}],"mendeley":{"formattedCitation":"&lt;sup&gt;84&lt;/sup&gt;","plainTextFormattedCitation":"84","previouslyFormattedCitation":"&lt;sup&gt;84&lt;/sup&gt;"},"properties":{"noteIndex":0},"schema":"https://github.com/citation-style-language/schema/raw/master/csl-citation.json"}</w:instrText>
            </w:r>
            <w:r w:rsidRPr="00551F01">
              <w:rPr>
                <w:rFonts w:ascii="Times New Roman" w:eastAsia="Arial" w:hAnsi="Times New Roman" w:cs="Times New Roman"/>
                <w:color w:val="000000" w:themeColor="text1"/>
                <w:sz w:val="20"/>
                <w:szCs w:val="20"/>
              </w:rPr>
              <w:fldChar w:fldCharType="separate"/>
            </w:r>
            <w:r w:rsidRPr="00551F01">
              <w:rPr>
                <w:rFonts w:ascii="Times New Roman" w:eastAsia="Arial" w:hAnsi="Times New Roman" w:cs="Times New Roman"/>
                <w:noProof/>
                <w:color w:val="000000" w:themeColor="text1"/>
                <w:sz w:val="20"/>
                <w:szCs w:val="20"/>
              </w:rPr>
              <w:t>84</w:t>
            </w:r>
            <w:r w:rsidRPr="00551F01">
              <w:rPr>
                <w:rFonts w:ascii="Times New Roman" w:eastAsia="Arial" w:hAnsi="Times New Roman" w:cs="Times New Roman"/>
                <w:color w:val="000000" w:themeColor="text1"/>
                <w:sz w:val="20"/>
                <w:szCs w:val="20"/>
              </w:rPr>
              <w:fldChar w:fldCharType="end"/>
            </w:r>
            <w:r w:rsidR="00551F01">
              <w:rPr>
                <w:rFonts w:ascii="Times New Roman" w:eastAsia="Arial" w:hAnsi="Times New Roman" w:cs="Times New Roman"/>
                <w:color w:val="000000" w:themeColor="text1"/>
                <w:sz w:val="20"/>
                <w:szCs w:val="20"/>
              </w:rPr>
              <w:t>]</w:t>
            </w:r>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50%</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outgas</w:t>
            </w:r>
            <w:proofErr w:type="spellEnd"/>
            <w:r w:rsidRPr="00F6749E">
              <w:rPr>
                <w:rFonts w:ascii="Times New Roman" w:eastAsia="Arial" w:hAnsi="Times New Roman" w:cs="Times New Roman"/>
                <w:color w:val="000000" w:themeColor="text1"/>
                <w:sz w:val="20"/>
                <w:szCs w:val="20"/>
                <w:vertAlign w:val="subscript"/>
              </w:rPr>
              <w:t xml:space="preserve"> rivers + lakes LAU</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17</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9</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lang w:eastAsia="zh-CN"/>
              </w:rPr>
            </w:pPr>
            <w:proofErr w:type="spellStart"/>
            <w:r w:rsidRPr="00F6749E">
              <w:rPr>
                <w:rFonts w:ascii="Times New Roman" w:eastAsia="Arial" w:hAnsi="Times New Roman" w:cs="Times New Roman"/>
                <w:color w:val="000000" w:themeColor="text1"/>
                <w:sz w:val="20"/>
                <w:szCs w:val="20"/>
              </w:rPr>
              <w:t>Lauerwald</w:t>
            </w:r>
            <w:proofErr w:type="spellEnd"/>
            <w:r w:rsidRPr="00F6749E">
              <w:rPr>
                <w:rFonts w:ascii="Times New Roman" w:eastAsia="Arial" w:hAnsi="Times New Roman" w:cs="Times New Roman"/>
                <w:color w:val="000000" w:themeColor="text1"/>
                <w:sz w:val="20"/>
                <w:szCs w:val="20"/>
              </w:rPr>
              <w:t xml:space="preserve"> et al.</w:t>
            </w:r>
            <w:r w:rsidR="00551F01">
              <w:rPr>
                <w:rFonts w:ascii="Times New Roman" w:eastAsia="Arial" w:hAnsi="Times New Roman" w:cs="Times New Roman"/>
                <w:color w:val="000000" w:themeColor="text1"/>
                <w:sz w:val="20"/>
                <w:szCs w:val="20"/>
              </w:rPr>
              <w:t xml:space="preserve"> [</w:t>
            </w:r>
            <w:r w:rsidRPr="00551F01">
              <w:rPr>
                <w:rFonts w:ascii="Times New Roman" w:eastAsia="Arial" w:hAnsi="Times New Roman" w:cs="Times New Roman"/>
                <w:color w:val="000000" w:themeColor="text1"/>
                <w:sz w:val="20"/>
                <w:szCs w:val="20"/>
              </w:rPr>
              <w:fldChar w:fldCharType="begin" w:fldLock="1"/>
            </w:r>
            <w:r w:rsidRPr="00551F01">
              <w:rPr>
                <w:rFonts w:ascii="Times New Roman" w:eastAsia="Arial" w:hAnsi="Times New Roman" w:cs="Times New Roman"/>
                <w:color w:val="000000" w:themeColor="text1"/>
                <w:sz w:val="20"/>
                <w:szCs w:val="20"/>
              </w:rPr>
              <w:instrText>ADDIN CSL_CITATION {"citationItems":[{"id":"ITEM-1","itemData":{"DOI":"10.1002/2014GB004941","ISSN":"19449224","abstract":"©2015. American Geophysical Union. All Rights Reserved. CO &lt; inf &gt; 2 &lt; /inf &gt;  evasion from rivers (FCO &lt; inf &gt; 2 &lt; /inf &gt; ) is an important component of the global carbon budget. Here we present the first global maps of CO &lt; inf &gt; 2 &lt; /inf &gt;  partial pressures (pCO &lt; inf &gt; 2 &lt; /inf &gt; ) in rivers of stream orders 3 and higher and the resulting FCO &lt; inf &gt; 2 &lt; /inf &gt;  at 0.5° resolution constructed with a statistical model. A geographic information system based approach is used to derive a pCO &lt; inf &gt; 2 &lt; /inf &gt;  prediction function trained on data from 1182 sampling locations. While data from Asia and Africa are scarce and the training data set is dominated by sampling locations from the Americas, Europe, and Australia, the sampling locations cover the full spectrum from high to low latitudes. The predictors of pCO &lt; inf &gt; 2 &lt; /inf &gt;  are net primary production, population density, and slope gradient within the river catchment as well as mean air temperature at the sampling location (r &lt; sup &gt; 2 &lt; /sup &gt;  = 0.47). The predicted pCO &lt; inf &gt; 2 &lt; /inf &gt;  map was then combined with spatially explicit estimates of stream surface area A &lt; inf &gt; river &lt; /inf &gt;  and gas exchange velocity k calculated from published empirical equations and data sets to derive the FCO &lt; inf &gt; 2 &lt; /inf &gt;  map. Using Monte Carlo simulations, we assessed the uncertainties of our estimates. At the global scale, we estimate an average river pCO &lt; inf &gt; 2 &lt; /inf &gt;  of 2400 (2019-2826) μatm and a FCO &lt; inf &gt; 2 &lt; /inf &gt;  of 650 (483-846) Tg C yr &lt; sup &gt; -1 &lt; /sup &gt;  (5th and 95th percentiles of confidence interval). Our global CO &lt; inf &gt; 2 &lt; /inf &gt;  evasion is substantially lower than the recent estimate of 1800 Tg C yr &lt; sup &gt; -1 &lt; /sup &gt;  although the training set of pCO &lt; inf &gt; 2 &lt; /inf &gt;  is very similar in both studies, mainly due to lower tropical pCO &lt; inf &gt; 2 &lt; /inf &gt;  estimates in the present study. Our maps reveal strong latitudinal gradients in pCO &lt; inf &gt; 2 &lt; /inf &gt; , A &lt; inf &gt; river &lt; /inf &gt; , and FCO &lt; inf &gt; 2 &lt; /inf &gt; . The zone between 10°N and 10°S contributes about half of the global CO &lt; inf &gt; 2 &lt; /inf &gt;  evasion. Collection of pCO &lt; inf &gt; 2 &lt; /inf &gt;  data in this zone, in particular, for African and Southeast Asian rivers is a high priority to reduce uncertainty on FCO &lt; inf &gt; 2 &lt; /inf &gt; .","author":[{"dropping-particle":"","family":"Lauerwald","given":"R.","non-dropping-particle":"","parse-names":false,"suffix":""},{"dropping-particle":"","family":"Laruelle","given":"G.G.","non-dropping-particle":"","parse-names":false,"suffix":""},{"dropping-particle":"","family":"Hartmann","given":"J.","non-dropping-particle":"","parse-names":false,"suffix":""},{"dropping-particle":"","family":"Ciais","given":"P.","non-dropping-particle":"","parse-names":false,"suffix":""},{"dropping-particle":"","family":"Regnier","given":"P.A.G.","non-dropping-particle":"","parse-names":false,"suffix":""}],"container-title":"Global Biogeochemical Cycles","id":"ITEM-1","issue":"5","issued":{"date-parts":[["2015"]]},"title":"Spatial patterns in CO&amp;lt;inf&amp;gt;2&amp;lt;/inf&amp;gt; evasion from the global river network","type":"article-journal","volume":"29"},"uris":["http://www.mendeley.com/documents/?uuid=bcf366e5-e30c-3037-b8f0-fa10ad0b6bd5"]}],"mendeley":{"formattedCitation":"&lt;sup&gt;26&lt;/sup&gt;","plainTextFormattedCitation":"26","previouslyFormattedCitation":"&lt;sup&gt;26&lt;/sup&gt;"},"properties":{"noteIndex":0},"schema":"https://github.com/citation-style-language/schema/raw/master/csl-citation.json"}</w:instrText>
            </w:r>
            <w:r w:rsidRPr="00551F01">
              <w:rPr>
                <w:rFonts w:ascii="Times New Roman" w:eastAsia="Arial" w:hAnsi="Times New Roman" w:cs="Times New Roman"/>
                <w:color w:val="000000" w:themeColor="text1"/>
                <w:sz w:val="20"/>
                <w:szCs w:val="20"/>
              </w:rPr>
              <w:fldChar w:fldCharType="separate"/>
            </w:r>
            <w:r w:rsidRPr="00551F01">
              <w:rPr>
                <w:rFonts w:ascii="Times New Roman" w:eastAsia="Arial" w:hAnsi="Times New Roman" w:cs="Times New Roman"/>
                <w:noProof/>
                <w:color w:val="000000" w:themeColor="text1"/>
                <w:sz w:val="20"/>
                <w:szCs w:val="20"/>
              </w:rPr>
              <w:t>26</w:t>
            </w:r>
            <w:r w:rsidRPr="00551F01">
              <w:rPr>
                <w:rFonts w:ascii="Times New Roman" w:eastAsia="Arial" w:hAnsi="Times New Roman" w:cs="Times New Roman"/>
                <w:color w:val="000000" w:themeColor="text1"/>
                <w:sz w:val="20"/>
                <w:szCs w:val="20"/>
              </w:rPr>
              <w:fldChar w:fldCharType="end"/>
            </w:r>
            <w:r w:rsidR="00551F01">
              <w:rPr>
                <w:rFonts w:ascii="Times New Roman" w:eastAsia="Arial" w:hAnsi="Times New Roman" w:cs="Times New Roman"/>
                <w:color w:val="000000" w:themeColor="text1"/>
                <w:sz w:val="20"/>
                <w:szCs w:val="20"/>
              </w:rPr>
              <w:t>]</w:t>
            </w:r>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50%</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proofErr w:type="spellStart"/>
            <w:r w:rsidRPr="00F6749E">
              <w:rPr>
                <w:rFonts w:ascii="Times New Roman" w:eastAsia="Arial" w:hAnsi="Times New Roman" w:cs="Times New Roman"/>
                <w:color w:val="000000" w:themeColor="text1"/>
                <w:sz w:val="20"/>
                <w:szCs w:val="20"/>
              </w:rPr>
              <w:t>F</w:t>
            </w:r>
            <w:r w:rsidRPr="00F6749E">
              <w:rPr>
                <w:rFonts w:ascii="Times New Roman" w:eastAsia="Arial" w:hAnsi="Times New Roman" w:cs="Times New Roman"/>
                <w:color w:val="000000" w:themeColor="text1"/>
                <w:sz w:val="20"/>
                <w:szCs w:val="20"/>
                <w:vertAlign w:val="subscript"/>
              </w:rPr>
              <w:t>outgas</w:t>
            </w:r>
            <w:proofErr w:type="spellEnd"/>
            <w:r w:rsidRPr="00F6749E">
              <w:rPr>
                <w:rFonts w:ascii="Times New Roman" w:eastAsia="Arial" w:hAnsi="Times New Roman" w:cs="Times New Roman"/>
                <w:color w:val="000000" w:themeColor="text1"/>
                <w:sz w:val="20"/>
                <w:szCs w:val="20"/>
                <w:vertAlign w:val="subscript"/>
              </w:rPr>
              <w:t xml:space="preserve"> estuaries</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18</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9</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proofErr w:type="spellStart"/>
            <w:r w:rsidRPr="00F6749E">
              <w:rPr>
                <w:rFonts w:ascii="Times New Roman" w:eastAsia="Arial" w:hAnsi="Times New Roman" w:cs="Times New Roman"/>
                <w:color w:val="000000" w:themeColor="text1"/>
                <w:sz w:val="20"/>
                <w:szCs w:val="20"/>
                <w:lang w:val="fr-FR"/>
              </w:rPr>
              <w:t>Laruelle</w:t>
            </w:r>
            <w:proofErr w:type="spellEnd"/>
            <w:r w:rsidRPr="00F6749E">
              <w:rPr>
                <w:rFonts w:ascii="Times New Roman" w:eastAsia="Arial" w:hAnsi="Times New Roman" w:cs="Times New Roman"/>
                <w:color w:val="000000" w:themeColor="text1"/>
                <w:sz w:val="20"/>
                <w:szCs w:val="20"/>
                <w:lang w:val="fr-FR"/>
              </w:rPr>
              <w:t xml:space="preserve"> et al. </w:t>
            </w:r>
            <w:r w:rsidR="00551F01">
              <w:rPr>
                <w:rFonts w:ascii="Times New Roman" w:eastAsia="Arial" w:hAnsi="Times New Roman" w:cs="Times New Roman"/>
                <w:color w:val="000000" w:themeColor="text1"/>
                <w:sz w:val="20"/>
                <w:szCs w:val="20"/>
                <w:lang w:val="fr-FR"/>
              </w:rPr>
              <w:t>[</w:t>
            </w:r>
            <w:r w:rsidRPr="00551F01">
              <w:rPr>
                <w:rFonts w:ascii="Times New Roman" w:eastAsia="Arial" w:hAnsi="Times New Roman" w:cs="Times New Roman"/>
                <w:color w:val="000000" w:themeColor="text1"/>
                <w:sz w:val="20"/>
                <w:szCs w:val="20"/>
                <w:lang w:val="fr-FR"/>
              </w:rPr>
              <w:fldChar w:fldCharType="begin" w:fldLock="1"/>
            </w:r>
            <w:r w:rsidRPr="00551F01">
              <w:rPr>
                <w:rFonts w:ascii="Times New Roman" w:eastAsia="Arial" w:hAnsi="Times New Roman" w:cs="Times New Roman"/>
                <w:color w:val="000000" w:themeColor="text1"/>
                <w:sz w:val="20"/>
                <w:szCs w:val="20"/>
                <w:lang w:val="fr-FR"/>
              </w:rPr>
              <w:instrText>ADDIN CSL_CITATION {"citationItems":[{"id":"ITEM-1","itemData":{"DOI":"10.5194/hess-17-2029-2013","ISSN":"1607-7938","author":[{"dropping-particle":"","family":"Laruelle","given":"G. G.","non-dropping-particle":"","parse-names":false,"suffix":""},{"dropping-particle":"","family":"Dürr","given":"H. H.","non-dropping-particle":"","parse-names":false,"suffix":""},{"dropping-particle":"","family":"Lauerwald","given":"R.","non-dropping-particle":"","parse-names":false,"suffix":""},{"dropping-particle":"","family":"Hartmann","given":"J.","non-dropping-particle":"","parse-names":false,"suffix":""},{"dropping-particle":"","family":"Slomp","given":"C. P.","non-dropping-particle":"","parse-names":false,"suffix":""},{"dropping-particle":"","family":"Goossens","given":"N.","non-dropping-particle":"","parse-names":false,"suffix":""},{"dropping-particle":"","family":"Regnier","given":"P. a. G.","non-dropping-particle":"","parse-names":false,"suffix":""}],"container-title":"Hydrology and Earth System Sciences","id":"ITEM-1","issue":"5","issued":{"date-parts":[["2013","5"]]},"page":"2029-2051","title":"Global multi-scale segmentation of continental and coastal waters from the watersheds to the continental margins","type":"article-journal","volume":"17"},"uris":["http://www.mendeley.com/documents/?uuid=f34065a6-b97b-4e8b-a953-1b41ee97ea4b"]}],"mendeley":{"formattedCitation":"&lt;sup&gt;74&lt;/sup&gt;","plainTextFormattedCitation":"74","previouslyFormattedCitation":"&lt;sup&gt;74&lt;/sup&gt;"},"properties":{"noteIndex":0},"schema":"https://github.com/citation-style-language/schema/raw/master/csl-citation.json"}</w:instrText>
            </w:r>
            <w:r w:rsidRPr="00551F01">
              <w:rPr>
                <w:rFonts w:ascii="Times New Roman" w:eastAsia="Arial" w:hAnsi="Times New Roman" w:cs="Times New Roman"/>
                <w:color w:val="000000" w:themeColor="text1"/>
                <w:sz w:val="20"/>
                <w:szCs w:val="20"/>
                <w:lang w:val="fr-FR"/>
              </w:rPr>
              <w:fldChar w:fldCharType="separate"/>
            </w:r>
            <w:r w:rsidRPr="00551F01">
              <w:rPr>
                <w:rFonts w:ascii="Times New Roman" w:eastAsia="Arial" w:hAnsi="Times New Roman" w:cs="Times New Roman"/>
                <w:noProof/>
                <w:color w:val="000000" w:themeColor="text1"/>
                <w:sz w:val="20"/>
                <w:szCs w:val="20"/>
                <w:lang w:val="fr-FR"/>
              </w:rPr>
              <w:t>74</w:t>
            </w:r>
            <w:r w:rsidRPr="00551F01">
              <w:rPr>
                <w:rFonts w:ascii="Times New Roman" w:eastAsia="Arial" w:hAnsi="Times New Roman" w:cs="Times New Roman"/>
                <w:color w:val="000000" w:themeColor="text1"/>
                <w:sz w:val="20"/>
                <w:szCs w:val="20"/>
                <w:lang w:val="fr-FR"/>
              </w:rPr>
              <w:fldChar w:fldCharType="end"/>
            </w:r>
            <w:r w:rsidR="00551F01">
              <w:rPr>
                <w:rFonts w:ascii="Times New Roman" w:eastAsia="Arial" w:hAnsi="Times New Roman" w:cs="Times New Roman"/>
                <w:color w:val="000000" w:themeColor="text1"/>
                <w:sz w:val="20"/>
                <w:szCs w:val="20"/>
                <w:lang w:val="fr-FR"/>
              </w:rPr>
              <w:t>]</w:t>
            </w:r>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50%</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r w:rsidRPr="00F6749E">
              <w:rPr>
                <w:rFonts w:ascii="Times New Roman" w:eastAsia="Arial" w:hAnsi="Times New Roman" w:cs="Times New Roman"/>
                <w:color w:val="000000" w:themeColor="text1"/>
                <w:sz w:val="20"/>
                <w:szCs w:val="20"/>
              </w:rPr>
              <w:lastRenderedPageBreak/>
              <w:t>NPP</w:t>
            </w:r>
            <w:r w:rsidRPr="00F6749E">
              <w:rPr>
                <w:rFonts w:ascii="Times New Roman" w:eastAsia="Arial" w:hAnsi="Times New Roman" w:cs="Times New Roman"/>
                <w:color w:val="000000" w:themeColor="text1"/>
                <w:sz w:val="20"/>
                <w:szCs w:val="20"/>
                <w:vertAlign w:val="subscript"/>
              </w:rPr>
              <w:t>MODIS</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-5109</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1022</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Zhao et al. </w:t>
            </w:r>
            <w:r w:rsidR="00551F01">
              <w:rPr>
                <w:rFonts w:ascii="Times New Roman" w:eastAsia="Arial" w:hAnsi="Times New Roman" w:cs="Times New Roman"/>
                <w:color w:val="000000" w:themeColor="text1"/>
                <w:sz w:val="20"/>
                <w:szCs w:val="20"/>
              </w:rPr>
              <w:t>[</w:t>
            </w:r>
            <w:r w:rsidRPr="00551F01">
              <w:rPr>
                <w:rFonts w:ascii="Times New Roman" w:eastAsia="Arial" w:hAnsi="Times New Roman" w:cs="Times New Roman"/>
                <w:color w:val="000000" w:themeColor="text1"/>
                <w:sz w:val="20"/>
                <w:szCs w:val="20"/>
              </w:rPr>
              <w:fldChar w:fldCharType="begin" w:fldLock="1"/>
            </w:r>
            <w:r w:rsidRPr="00551F01">
              <w:rPr>
                <w:rFonts w:ascii="Times New Roman" w:eastAsia="Arial" w:hAnsi="Times New Roman" w:cs="Times New Roman"/>
                <w:color w:val="000000" w:themeColor="text1"/>
                <w:sz w:val="20"/>
                <w:szCs w:val="20"/>
              </w:rPr>
              <w:instrText>ADDIN CSL_CITATION {"citationItems":[{"id":"ITEM-1","itemData":{"DOI":"10.1029/2004JG000004","ISBN":"0148-0227","ISSN":"0148-0227","abstract":"The Moderate Resolution Imaging Spectroradiometer (MODIS) on board NASA's satellites, Terra and Aqua, dramatically improves our ability to accurately and continuously monitor the terrestrial biosphere. MODIS information is used to estimate global terrestrial primary production weekly and annually in near-real time at a 1-km resolution. MODIS terrestrial primary production requires daily gridded assimilation meteorological data as inputs, and the accuracy of the existing meteorological reanalysis data sets show marked differences both spatially and temporally. This study compares surface meteorological data sets from three well-documented global reanalyses, NASA Data Assimilation Office (DAO), European Centre for Medium-Range Weather Forecasts (ECMWF) (ERA-40) and National Centers for Environmental Prediction/National Center for Atmospheric Research (NCEP/NCAR) reanalysis 1, with observed weather station data and other gridded data interpolated from the observations, to evaluate the sensitivity of MODIS global terrestrial gross and net primary production (GPP and NPP) to the uncertainties of meteorological inputs both in the United States and the global vegetated areas. NCEP tends to overestimate surface solar radiation, and underestimate both temperature and vapor pressure deficit (VPD). ECMWF has the highest accuracy but its radiation is lower in tropical regions, and the accuracy of DAO lies between NCEP and ECMWF. Biases in temperature are mainly responsible for large VPD biases in reanalyses. MODIS NPP contains more uncertainties than GPP. Global total MODIS GPP and NPP driven by DAO, ECMWF, and NCEP show notable differences (&gt;20 Pg C/yr) with the highest estimates from NCEP and the lowest from ECMWF. Again, the DAO results lie somewhere between NCEP and ECMWF estimates. Spatially, the larger discrepancies among reanalyses and their derived MODIS GPP and NPP occur in the tropics. These results reveal that the biases in meteorological reanalyses can introduce substantial error into GPP and NPP estimations, and emphasize the need to minimize these biases to improve the quality of MODIS GPP and NPP products.","author":[{"dropping-particle":"","family":"Zhao","given":"Maosheng","non-dropping-particle":"","parse-names":false,"suffix":""},{"dropping-particle":"","family":"Running","given":"Steven W.","non-dropping-particle":"","parse-names":false,"suffix":""},{"dropping-particle":"","family":"Nemani","given":"Ramakrishna R.","non-dropping-particle":"","parse-names":false,"suffix":""}],"container-title":"Journal of Geophysical Research","id":"ITEM-1","issue":"G1","issued":{"date-parts":[["2006"]]},"page":"G01002","title":"Sensitivity of Moderate Resolution Imaging Spectroradiometer (MODIS) terrestrial primary production to the accuracy of meteorological reanalyses","type":"article-journal","volume":"111"},"uris":["http://www.mendeley.com/documents/?uuid=de26ed4f-683f-4acf-b548-fd2275a66e2d"]}],"mendeley":{"formattedCitation":"&lt;sup&gt;85&lt;/sup&gt;","plainTextFormattedCitation":"85","previouslyFormattedCitation":"&lt;sup&gt;85&lt;/sup&gt;"},"properties":{"noteIndex":0},"schema":"https://github.com/citation-style-language/schema/raw/master/csl-citation.json"}</w:instrText>
            </w:r>
            <w:r w:rsidRPr="00551F01">
              <w:rPr>
                <w:rFonts w:ascii="Times New Roman" w:eastAsia="Arial" w:hAnsi="Times New Roman" w:cs="Times New Roman"/>
                <w:color w:val="000000" w:themeColor="text1"/>
                <w:sz w:val="20"/>
                <w:szCs w:val="20"/>
              </w:rPr>
              <w:fldChar w:fldCharType="separate"/>
            </w:r>
            <w:r w:rsidRPr="00551F01">
              <w:rPr>
                <w:rFonts w:ascii="Times New Roman" w:eastAsia="Arial" w:hAnsi="Times New Roman" w:cs="Times New Roman"/>
                <w:noProof/>
                <w:color w:val="000000" w:themeColor="text1"/>
                <w:sz w:val="20"/>
                <w:szCs w:val="20"/>
              </w:rPr>
              <w:t>85</w:t>
            </w:r>
            <w:r w:rsidRPr="00551F01">
              <w:rPr>
                <w:rFonts w:ascii="Times New Roman" w:eastAsia="Arial" w:hAnsi="Times New Roman" w:cs="Times New Roman"/>
                <w:color w:val="000000" w:themeColor="text1"/>
                <w:sz w:val="20"/>
                <w:szCs w:val="20"/>
              </w:rPr>
              <w:fldChar w:fldCharType="end"/>
            </w:r>
            <w:r w:rsidR="00551F01">
              <w:rPr>
                <w:rFonts w:ascii="Times New Roman" w:eastAsia="Arial" w:hAnsi="Times New Roman" w:cs="Times New Roman"/>
                <w:color w:val="000000" w:themeColor="text1"/>
                <w:sz w:val="20"/>
                <w:szCs w:val="20"/>
              </w:rPr>
              <w:t>]</w:t>
            </w:r>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20% </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r w:rsidRPr="00F6749E">
              <w:rPr>
                <w:rFonts w:ascii="Times New Roman" w:eastAsia="Arial" w:hAnsi="Times New Roman" w:cs="Times New Roman"/>
                <w:color w:val="000000" w:themeColor="text1"/>
                <w:sz w:val="20"/>
                <w:szCs w:val="20"/>
              </w:rPr>
              <w:t>NPP</w:t>
            </w:r>
            <w:r w:rsidRPr="00F6749E">
              <w:rPr>
                <w:rFonts w:ascii="Times New Roman" w:eastAsia="Arial" w:hAnsi="Times New Roman" w:cs="Times New Roman"/>
                <w:color w:val="000000" w:themeColor="text1"/>
                <w:sz w:val="20"/>
                <w:szCs w:val="20"/>
                <w:vertAlign w:val="subscript"/>
              </w:rPr>
              <w:t>BETHY</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-6633</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1327</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Tum et al.</w:t>
            </w:r>
            <w:r w:rsidR="00551F01">
              <w:rPr>
                <w:rFonts w:ascii="Times New Roman" w:eastAsia="Arial" w:hAnsi="Times New Roman" w:cs="Times New Roman"/>
                <w:color w:val="000000" w:themeColor="text1"/>
                <w:sz w:val="20"/>
                <w:szCs w:val="20"/>
              </w:rPr>
              <w:t xml:space="preserve"> [</w:t>
            </w:r>
            <w:r w:rsidRPr="00551F01">
              <w:rPr>
                <w:rFonts w:ascii="Times New Roman" w:eastAsia="Arial" w:hAnsi="Times New Roman" w:cs="Times New Roman"/>
                <w:color w:val="000000" w:themeColor="text1"/>
                <w:sz w:val="20"/>
                <w:szCs w:val="20"/>
              </w:rPr>
              <w:fldChar w:fldCharType="begin" w:fldLock="1"/>
            </w:r>
            <w:r w:rsidRPr="00551F01">
              <w:rPr>
                <w:rFonts w:ascii="Times New Roman" w:eastAsia="Arial" w:hAnsi="Times New Roman" w:cs="Times New Roman"/>
                <w:color w:val="000000" w:themeColor="text1"/>
                <w:sz w:val="20"/>
                <w:szCs w:val="20"/>
              </w:rPr>
              <w:instrText>ADDIN CSL_CITATION {"citationItems":[{"id":"ITEM-1","itemData":{"DOI":"10.5194/gmd-6-1623-2013","ISSN":"1991-9603","abstract":"&lt;p&gt;&lt;p&gt;&lt;strong&gt;Abstract.&lt;/strong&gt; In this study we compare monthly gross primary productivity (GPP) time series (2000–2007), computed for Europe with the Biosphere Energy Transfer Hydrology (BETHY/DLR) model with monthly data from the eddy covariance measurements network FLUXNET. BETHY/DLR with a spatial resolution of 1 km&lt;sup&gt;2&lt;/sup&gt; is designed for regional and continental applications (here Europe) and operated at the German Aerospace Center (DLR). It was adapted from the BETHY scheme to be driven by remote sensing data (leaf area index (LAI) and land cover information) and meteorology. Time series of LAI obtained from the CYCLOPES database are used to control the phenology of vegetation. Meteorological time series from the European Centre for Medium-Range Weather Forecasts (ECMWF) are used as driver. These comprise daily information on temperature, precipitation, wind speed and radiation. Additionally, static maps such as land cover, elevation, and soil type are used. To validate our model results we used eddy covariance measurements from the FLUXNET network of 74 towers across Europe. For forest sites we found that our model predicts between 20 and 40% higher annual GPP sums. In contrast, for cropland sites BETHY/DLR results show about 18% less GPP than eddy covariance measurements. For grassland sites, between 10% more and 16% less GPP was calculated with BETHY/DLR. A mean total carbon uptake of 2.5 PgC a&lt;sup&gt;−1&lt;/sup&gt; (±0.17 PgC a&lt;sup&gt;−1&lt;/sup&gt;) was found for Europe. In addition, this study reports on risks that arise from the comparison of modelled data to FLUXNET measurements and their interpretation width. Furthermore we investigate reasons for uncertainties in model results and focus here on &lt;i&gt;V&lt;/i&gt;&lt;sub&gt;max&lt;/sub&gt; values, and finally embed our results into a broader context of model validation studies published during the last years in order to evaluate differences or similarities in analysed error sources.&lt;/p&gt;&lt;/p&gt;","author":[{"dropping-particle":"","family":"Wißkirchen","given":"K.","non-dropping-particle":"","parse-names":false,"suffix":""},{"dropping-particle":"","family":"Tum","given":"M.","non-dropping-particle":"","parse-names":false,"suffix":""},{"dropping-particle":"","family":"Günther","given":"K. P.","non-dropping-particle":"","parse-names":false,"suffix":""},{"dropping-particle":"","family":"Niklaus","given":"M.","non-dropping-particle":"","parse-names":false,"suffix":""},{"dropping-particle":"","family":"Eisfelder","given":"C.","non-dropping-particle":"","parse-names":false,"suffix":""},{"dropping-particle":"","family":"Knorr","given":"W.","non-dropping-particle":"","parse-names":false,"suffix":""}],"container-title":"Geoscientific Model Development","id":"ITEM-1","issue":"5","issued":{"date-parts":[["2013","10","8"]]},"page":"1623-1640","title":"Quantifying the carbon uptake by vegetation for Europe on a 1 km&amp;amp;lt;sup&amp;amp;gt;2&amp;amp;lt;/sup&amp;amp;gt; resolution using a remote sensing driven vegetation model","type":"article-journal","volume":"6"},"uris":["http://www.mendeley.com/documents/?uuid=2a66f9b9-97fa-3434-9682-3dc7a55bd2e9"]}],"mendeley":{"formattedCitation":"&lt;sup&gt;23&lt;/sup&gt;","plainTextFormattedCitation":"23","previouslyFormattedCitation":"&lt;sup&gt;23&lt;/sup&gt;"},"properties":{"noteIndex":0},"schema":"https://github.com/citation-style-language/schema/raw/master/csl-citation.json"}</w:instrText>
            </w:r>
            <w:r w:rsidRPr="00551F01">
              <w:rPr>
                <w:rFonts w:ascii="Times New Roman" w:eastAsia="Arial" w:hAnsi="Times New Roman" w:cs="Times New Roman"/>
                <w:color w:val="000000" w:themeColor="text1"/>
                <w:sz w:val="20"/>
                <w:szCs w:val="20"/>
              </w:rPr>
              <w:fldChar w:fldCharType="separate"/>
            </w:r>
            <w:r w:rsidRPr="00551F01">
              <w:rPr>
                <w:rFonts w:ascii="Times New Roman" w:eastAsia="Arial" w:hAnsi="Times New Roman" w:cs="Times New Roman"/>
                <w:noProof/>
                <w:color w:val="000000" w:themeColor="text1"/>
                <w:sz w:val="20"/>
                <w:szCs w:val="20"/>
              </w:rPr>
              <w:t>23</w:t>
            </w:r>
            <w:r w:rsidRPr="00551F01">
              <w:rPr>
                <w:rFonts w:ascii="Times New Roman" w:eastAsia="Arial" w:hAnsi="Times New Roman" w:cs="Times New Roman"/>
                <w:color w:val="000000" w:themeColor="text1"/>
                <w:sz w:val="20"/>
                <w:szCs w:val="20"/>
              </w:rPr>
              <w:fldChar w:fldCharType="end"/>
            </w:r>
            <w:r w:rsidR="00551F01">
              <w:rPr>
                <w:rFonts w:ascii="Times New Roman" w:eastAsia="Arial" w:hAnsi="Times New Roman" w:cs="Times New Roman"/>
                <w:color w:val="000000" w:themeColor="text1"/>
                <w:sz w:val="20"/>
                <w:szCs w:val="20"/>
              </w:rPr>
              <w:t>]</w:t>
            </w:r>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20%</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r w:rsidRPr="00F6749E">
              <w:rPr>
                <w:rFonts w:ascii="Times New Roman" w:eastAsia="Arial" w:hAnsi="Times New Roman" w:cs="Times New Roman"/>
                <w:color w:val="000000" w:themeColor="text1"/>
                <w:sz w:val="20"/>
                <w:szCs w:val="20"/>
              </w:rPr>
              <w:t>NPP</w:t>
            </w:r>
            <w:r w:rsidRPr="00F6749E">
              <w:rPr>
                <w:rFonts w:ascii="Times New Roman" w:eastAsia="Arial" w:hAnsi="Times New Roman" w:cs="Times New Roman"/>
                <w:color w:val="000000" w:themeColor="text1"/>
                <w:sz w:val="20"/>
                <w:szCs w:val="20"/>
                <w:vertAlign w:val="subscript"/>
              </w:rPr>
              <w:t>GIMMS</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-4291</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858</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Kolby Smith et al.</w:t>
            </w:r>
            <w:r w:rsidR="00551F01">
              <w:rPr>
                <w:rFonts w:ascii="Times New Roman" w:eastAsia="Arial" w:hAnsi="Times New Roman" w:cs="Times New Roman"/>
                <w:color w:val="000000" w:themeColor="text1"/>
                <w:sz w:val="20"/>
                <w:szCs w:val="20"/>
              </w:rPr>
              <w:t xml:space="preserve"> [</w:t>
            </w:r>
            <w:r w:rsidRPr="00551F01">
              <w:rPr>
                <w:rFonts w:ascii="Times New Roman" w:eastAsia="Arial" w:hAnsi="Times New Roman" w:cs="Times New Roman"/>
                <w:color w:val="000000" w:themeColor="text1"/>
                <w:sz w:val="20"/>
                <w:szCs w:val="20"/>
              </w:rPr>
              <w:fldChar w:fldCharType="begin" w:fldLock="1"/>
            </w:r>
            <w:r w:rsidRPr="00551F01">
              <w:rPr>
                <w:rFonts w:ascii="Times New Roman" w:eastAsia="Arial" w:hAnsi="Times New Roman" w:cs="Times New Roman"/>
                <w:color w:val="000000" w:themeColor="text1"/>
                <w:sz w:val="20"/>
                <w:szCs w:val="20"/>
              </w:rPr>
              <w:instrText>ADDIN CSL_CITATION {"citationItems":[{"id":"ITEM-1","itemData":{"author":[{"dropping-particle":"","family":"Kolby Smith","given":"W","non-dropping-particle":"","parse-names":false,"suffix":""},{"dropping-particle":"","family":"Reed","given":"Sasha C","non-dropping-particle":"","parse-names":false,"suffix":""},{"dropping-particle":"","family":"Cleveland","given":"Cory C","non-dropping-particle":"","parse-names":false,"suffix":""},{"dropping-particle":"","family":"Ballantyne","given":"Ashley P","non-dropping-particle":"","parse-names":false,"suffix":""},{"dropping-particle":"","family":"Anderegg","given":"William R L","non-dropping-particle":"","parse-names":false,"suffix":""},{"dropping-particle":"","family":"Wieder","given":"William R","non-dropping-particle":"","parse-names":false,"suffix":""},{"dropping-particle":"","family":"Liu","given":"Yi Y","non-dropping-particle":"","parse-names":false,"suffix":""},{"dropping-particle":"","family":"Running","given":"Steven W","non-dropping-particle":"","parse-names":false,"suffix":""}],"container-title":"Nature Climate Change","id":"ITEM-1","issued":{"date-parts":[["2015","12","7"]]},"page":"306","publisher":"Nature Publishing Group","title":"Large divergence of satellite and Earth system model estimates of global terrestrial CO2 fertilization","type":"article-journal","volume":"6"},"uris":["http://www.mendeley.com/documents/?uuid=61d003ae-325e-49c5-adc9-b80e731e237f"]}],"mendeley":{"formattedCitation":"&lt;sup&gt;24&lt;/sup&gt;","plainTextFormattedCitation":"24","previouslyFormattedCitation":"&lt;sup&gt;24&lt;/sup&gt;"},"properties":{"noteIndex":0},"schema":"https://github.com/citation-style-language/schema/raw/master/csl-citation.json"}</w:instrText>
            </w:r>
            <w:r w:rsidRPr="00551F01">
              <w:rPr>
                <w:rFonts w:ascii="Times New Roman" w:eastAsia="Arial" w:hAnsi="Times New Roman" w:cs="Times New Roman"/>
                <w:color w:val="000000" w:themeColor="text1"/>
                <w:sz w:val="20"/>
                <w:szCs w:val="20"/>
              </w:rPr>
              <w:fldChar w:fldCharType="separate"/>
            </w:r>
            <w:r w:rsidRPr="00551F01">
              <w:rPr>
                <w:rFonts w:ascii="Times New Roman" w:eastAsia="Arial" w:hAnsi="Times New Roman" w:cs="Times New Roman"/>
                <w:noProof/>
                <w:color w:val="000000" w:themeColor="text1"/>
                <w:sz w:val="20"/>
                <w:szCs w:val="20"/>
              </w:rPr>
              <w:t>24</w:t>
            </w:r>
            <w:r w:rsidRPr="00551F01">
              <w:rPr>
                <w:rFonts w:ascii="Times New Roman" w:eastAsia="Arial" w:hAnsi="Times New Roman" w:cs="Times New Roman"/>
                <w:color w:val="000000" w:themeColor="text1"/>
                <w:sz w:val="20"/>
                <w:szCs w:val="20"/>
              </w:rPr>
              <w:fldChar w:fldCharType="end"/>
            </w:r>
            <w:r w:rsidR="00551F01">
              <w:rPr>
                <w:rFonts w:ascii="Times New Roman" w:eastAsia="Arial" w:hAnsi="Times New Roman" w:cs="Times New Roman"/>
                <w:color w:val="000000" w:themeColor="text1"/>
                <w:sz w:val="20"/>
                <w:szCs w:val="20"/>
              </w:rPr>
              <w:t>]</w:t>
            </w:r>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20%</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vertAlign w:val="subscript"/>
              </w:rPr>
            </w:pPr>
            <w:r w:rsidRPr="00F6749E">
              <w:rPr>
                <w:rFonts w:ascii="Times New Roman" w:eastAsia="Arial" w:hAnsi="Times New Roman" w:cs="Times New Roman"/>
                <w:color w:val="000000" w:themeColor="text1"/>
                <w:sz w:val="20"/>
                <w:szCs w:val="20"/>
              </w:rPr>
              <w:t>NPP</w:t>
            </w:r>
            <w:r w:rsidRPr="00F6749E">
              <w:rPr>
                <w:rFonts w:ascii="Times New Roman" w:eastAsia="Arial" w:hAnsi="Times New Roman" w:cs="Times New Roman"/>
                <w:color w:val="000000" w:themeColor="text1"/>
                <w:sz w:val="20"/>
                <w:szCs w:val="20"/>
                <w:vertAlign w:val="subscript"/>
              </w:rPr>
              <w:t>CARDAMOM</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-5475</w:t>
            </w:r>
          </w:p>
        </w:tc>
        <w:tc>
          <w:tcPr>
            <w:tcW w:w="27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w:t>
            </w:r>
          </w:p>
        </w:tc>
        <w:tc>
          <w:tcPr>
            <w:tcW w:w="795"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1989</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 xml:space="preserve">Bloom et al. </w:t>
            </w:r>
            <w:r w:rsidR="00551F01">
              <w:rPr>
                <w:rFonts w:ascii="Times New Roman" w:eastAsia="Arial" w:hAnsi="Times New Roman" w:cs="Times New Roman"/>
                <w:color w:val="000000" w:themeColor="text1"/>
                <w:sz w:val="20"/>
                <w:szCs w:val="20"/>
              </w:rPr>
              <w:t>[</w:t>
            </w:r>
            <w:r w:rsidRPr="00551F01">
              <w:rPr>
                <w:rFonts w:ascii="Times New Roman" w:eastAsia="Arial" w:hAnsi="Times New Roman" w:cs="Times New Roman"/>
                <w:color w:val="000000" w:themeColor="text1"/>
                <w:sz w:val="20"/>
                <w:szCs w:val="20"/>
              </w:rPr>
              <w:fldChar w:fldCharType="begin" w:fldLock="1"/>
            </w:r>
            <w:r w:rsidRPr="00551F01">
              <w:rPr>
                <w:rFonts w:ascii="Times New Roman" w:eastAsia="Arial" w:hAnsi="Times New Roman" w:cs="Times New Roman"/>
                <w:color w:val="000000" w:themeColor="text1"/>
                <w:sz w:val="20"/>
                <w:szCs w:val="20"/>
              </w:rPr>
              <w:instrText>ADDIN CSL_CITATION {"citationItems":[{"id":"ITEM-1","itemData":{"DOI":"10.1073/pnas.1515160113","ISSN":"0027-8424","abstract":"Quantitative knowledge of terrestrial carbon pathways and processes is fundamental for understanding the biosphere{\\textquoteright}s response to a changing climate. Carbon allocation, stocks, and residence times together define the dynamic state of the terrestrial carbon cycle. These quantities are difficult to measure and remain poorly quantified on a global scale. Here, we retrieve global 1{\\textdegree} {\\texttimes} 1{\\textdegree} carbon state and process variables by combining a carbon balance model with satellite observations of biomass and leaf area (where and when available) and global soil carbon data. Our results reveal emergent continental-scale patterns and relationships between carbon states and processes. We find that conventional land cover types cannot capture continental-scale variations of retrieved carbon variables; this mismatch has strong implications for terrestrial carbon cycle predictions.The terrestrial carbon cycle is currently the least constrained component of the global carbon budget. Large uncertainties stem from a poor understanding of plant carbon allocation, stocks, residence times, and carbon use efficiency. Imposing observational constraints on the terrestrial carbon cycle and its processes is, therefore, necessary to better understand its current state and predict its future state. We combine a diagnostic ecosystem carbon model with satellite observations of leaf area and biomass (where and when available) and soil carbon data to retrieve the first global estimates, to our knowledge, of carbon cycle state and process variables at a 1{\\textdegree} {\\texttimes} 1{\\textdegree} resolution; retrieved variables are independent from the plant functional type and steady-state paradigms. Our results reveal global emergent relationships in the spatial distribution of key carbon cycle states and processes. Live biomass and dead organic carbon residence times exhibit contrasting spatial features (r = 0.3). Allocation to structural carbon is highest in the wet tropics (85{\\textendash}88%) in contrast to higher latitudes (73{\\textendash}82%), where allocation shifts toward photosynthetic carbon. Carbon use efficiency is lowest (0.42{\\textendash}0.44) in the wet tropics. We find an emergent global correlation between retrievals of leaf mass per leaf area and leaf lifespan (r = 0.64{\\textendash}0.80) that matches independent trait studies. We show that conventional land cover types cannot adequately describe the spatial variability of …","author":[{"dropping-particle":"","family":"Bloom","given":"A Anthony","non-dropping-particle":"","parse-names":false,"suffix":""},{"dropping-particle":"","family":"Exbrayat","given":"Jean-François","non-dropping-particle":"","parse-names":false,"suffix":""},{"dropping-particle":"","family":"Velde","given":"Ivar R","non-dropping-particle":"van der","parse-names":false,"suffix":""},{"dropping-particle":"","family":"Feng","given":"Liang","non-dropping-particle":"","parse-names":false,"suffix":""},{"dropping-particle":"","family":"Williams","given":"Mathew","non-dropping-particle":"","parse-names":false,"suffix":""}],"container-title":"Proceedings of the National Academy of Sciences","id":"ITEM-1","issue":"5","issued":{"date-parts":[["2016"]]},"page":"1285-1290","publisher":"National Academy of Sciences","title":"The decadal state of the terrestrial carbon cycle: Global retrievals of terrestrial carbon allocation, pools, and residence times","type":"article-journal","volume":"113"},"uris":["http://www.mendeley.com/documents/?uuid=6f80c03b-935a-4bff-b909-17256e12378d"]}],"mendeley":{"formattedCitation":"&lt;sup&gt;25&lt;/sup&gt;","plainTextFormattedCitation":"25","previouslyFormattedCitation":"&lt;sup&gt;25&lt;/sup&gt;"},"properties":{"noteIndex":0},"schema":"https://github.com/citation-style-language/schema/raw/master/csl-citation.json"}</w:instrText>
            </w:r>
            <w:r w:rsidRPr="00551F01">
              <w:rPr>
                <w:rFonts w:ascii="Times New Roman" w:eastAsia="Arial" w:hAnsi="Times New Roman" w:cs="Times New Roman"/>
                <w:color w:val="000000" w:themeColor="text1"/>
                <w:sz w:val="20"/>
                <w:szCs w:val="20"/>
              </w:rPr>
              <w:fldChar w:fldCharType="separate"/>
            </w:r>
            <w:r w:rsidRPr="00551F01">
              <w:rPr>
                <w:rFonts w:ascii="Times New Roman" w:eastAsia="Arial" w:hAnsi="Times New Roman" w:cs="Times New Roman"/>
                <w:noProof/>
                <w:color w:val="000000" w:themeColor="text1"/>
                <w:sz w:val="20"/>
                <w:szCs w:val="20"/>
              </w:rPr>
              <w:t>25</w:t>
            </w:r>
            <w:r w:rsidRPr="00551F01">
              <w:rPr>
                <w:rFonts w:ascii="Times New Roman" w:eastAsia="Arial" w:hAnsi="Times New Roman" w:cs="Times New Roman"/>
                <w:color w:val="000000" w:themeColor="text1"/>
                <w:sz w:val="20"/>
                <w:szCs w:val="20"/>
              </w:rPr>
              <w:fldChar w:fldCharType="end"/>
            </w:r>
            <w:r w:rsidR="00551F01">
              <w:rPr>
                <w:rFonts w:ascii="Times New Roman" w:eastAsia="Arial" w:hAnsi="Times New Roman" w:cs="Times New Roman"/>
                <w:color w:val="000000" w:themeColor="text1"/>
                <w:sz w:val="20"/>
                <w:szCs w:val="20"/>
              </w:rPr>
              <w:t>]</w:t>
            </w:r>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20%</w:t>
            </w:r>
          </w:p>
        </w:tc>
      </w:tr>
      <w:tr w:rsidR="00F6749E" w:rsidRPr="00DA354E" w:rsidTr="00551F01">
        <w:trPr>
          <w:trHeight w:val="600"/>
        </w:trPr>
        <w:tc>
          <w:tcPr>
            <w:tcW w:w="1815"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Soil Het. Resp.</w:t>
            </w:r>
          </w:p>
        </w:tc>
        <w:tc>
          <w:tcPr>
            <w:tcW w:w="630" w:type="dxa"/>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4163</w:t>
            </w:r>
          </w:p>
        </w:tc>
        <w:tc>
          <w:tcPr>
            <w:tcW w:w="1065" w:type="dxa"/>
            <w:gridSpan w:val="2"/>
            <w:tcMar>
              <w:top w:w="0" w:type="dxa"/>
              <w:left w:w="0" w:type="dxa"/>
              <w:bottom w:w="0" w:type="dxa"/>
              <w:right w:w="0" w:type="dxa"/>
            </w:tcMar>
            <w:vAlign w:val="center"/>
          </w:tcPr>
          <w:p w:rsidR="00F6749E" w:rsidRPr="00F6749E" w:rsidRDefault="00F6749E" w:rsidP="009F5F02">
            <w:pPr>
              <w:widowControl w:val="0"/>
              <w:jc w:val="center"/>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(3180,5314)</w:t>
            </w:r>
          </w:p>
        </w:tc>
        <w:tc>
          <w:tcPr>
            <w:tcW w:w="3568"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Equation (2)</w:t>
            </w:r>
          </w:p>
        </w:tc>
        <w:tc>
          <w:tcPr>
            <w:tcW w:w="1862" w:type="dxa"/>
            <w:shd w:val="clear" w:color="auto" w:fill="auto"/>
            <w:tcMar>
              <w:top w:w="100" w:type="dxa"/>
              <w:left w:w="100" w:type="dxa"/>
              <w:bottom w:w="100" w:type="dxa"/>
              <w:right w:w="100" w:type="dxa"/>
            </w:tcMar>
            <w:vAlign w:val="center"/>
          </w:tcPr>
          <w:p w:rsidR="00F6749E" w:rsidRPr="00F6749E" w:rsidRDefault="00F6749E" w:rsidP="00F6749E">
            <w:pPr>
              <w:widowControl w:val="0"/>
              <w:rPr>
                <w:rFonts w:ascii="Times New Roman" w:eastAsia="Arial" w:hAnsi="Times New Roman" w:cs="Times New Roman"/>
                <w:color w:val="000000" w:themeColor="text1"/>
                <w:sz w:val="20"/>
                <w:szCs w:val="20"/>
              </w:rPr>
            </w:pPr>
            <w:r w:rsidRPr="00F6749E">
              <w:rPr>
                <w:rFonts w:ascii="Times New Roman" w:eastAsia="Arial" w:hAnsi="Times New Roman" w:cs="Times New Roman"/>
                <w:color w:val="000000" w:themeColor="text1"/>
                <w:sz w:val="20"/>
                <w:szCs w:val="20"/>
              </w:rPr>
              <w:t>Inter-quartile from Monte Carlo (</w:t>
            </w:r>
            <w:r w:rsidR="00551F01">
              <w:rPr>
                <w:rFonts w:ascii="Times New Roman" w:eastAsia="Arial" w:hAnsi="Times New Roman" w:cs="Times New Roman"/>
                <w:color w:val="000000" w:themeColor="text1"/>
                <w:sz w:val="20"/>
                <w:szCs w:val="20"/>
              </w:rPr>
              <w:t>M</w:t>
            </w:r>
            <w:r w:rsidRPr="00F6749E">
              <w:rPr>
                <w:rFonts w:ascii="Times New Roman" w:eastAsia="Arial" w:hAnsi="Times New Roman" w:cs="Times New Roman"/>
                <w:color w:val="000000" w:themeColor="text1"/>
                <w:sz w:val="20"/>
                <w:szCs w:val="20"/>
              </w:rPr>
              <w:t>ethods)</w:t>
            </w:r>
          </w:p>
        </w:tc>
      </w:tr>
    </w:tbl>
    <w:p w:rsidR="00F6749E" w:rsidRPr="00551F01" w:rsidRDefault="00F6749E" w:rsidP="00F6749E">
      <w:pPr>
        <w:rPr>
          <w:rFonts w:ascii="Times New Roman" w:eastAsia="Arial" w:hAnsi="Times New Roman" w:cs="Times New Roman"/>
          <w:color w:val="000000" w:themeColor="text1"/>
          <w:sz w:val="20"/>
          <w:szCs w:val="20"/>
        </w:rPr>
      </w:pPr>
    </w:p>
    <w:p w:rsidR="00F6749E" w:rsidRPr="00551F01" w:rsidRDefault="00570D37" w:rsidP="00B75738">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a</w:t>
      </w:r>
      <w:r w:rsidR="00F6749E" w:rsidRPr="00551F01">
        <w:rPr>
          <w:rFonts w:ascii="Times New Roman" w:eastAsia="Arial" w:hAnsi="Times New Roman" w:cs="Times New Roman"/>
          <w:color w:val="000000" w:themeColor="text1"/>
          <w:sz w:val="20"/>
          <w:szCs w:val="20"/>
        </w:rPr>
        <w:tab/>
        <w:t xml:space="preserve">Dolman et al. their Table 5 estimate for year 2009 corrected to period 2007-2009 using same IIASA LEA C accounting system (A. </w:t>
      </w:r>
      <w:proofErr w:type="spellStart"/>
      <w:r w:rsidR="00F6749E" w:rsidRPr="00551F01">
        <w:rPr>
          <w:rFonts w:ascii="Times New Roman" w:eastAsia="Arial" w:hAnsi="Times New Roman" w:cs="Times New Roman"/>
          <w:color w:val="000000" w:themeColor="text1"/>
          <w:sz w:val="20"/>
          <w:szCs w:val="20"/>
        </w:rPr>
        <w:t>Shvidenko</w:t>
      </w:r>
      <w:proofErr w:type="spellEnd"/>
      <w:r w:rsidR="00F6749E" w:rsidRPr="00551F01">
        <w:rPr>
          <w:rFonts w:ascii="Times New Roman" w:eastAsia="Arial" w:hAnsi="Times New Roman" w:cs="Times New Roman"/>
          <w:color w:val="000000" w:themeColor="text1"/>
          <w:sz w:val="20"/>
          <w:szCs w:val="20"/>
        </w:rPr>
        <w:t xml:space="preserve"> pers. Com.) </w:t>
      </w:r>
    </w:p>
    <w:p w:rsidR="00F6749E" w:rsidRPr="00551F01" w:rsidRDefault="00570D37" w:rsidP="00B75738">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b</w:t>
      </w:r>
      <w:r w:rsidR="00F6749E" w:rsidRPr="00551F01">
        <w:rPr>
          <w:rFonts w:ascii="Times New Roman" w:eastAsia="Arial" w:hAnsi="Times New Roman" w:cs="Times New Roman"/>
          <w:color w:val="000000" w:themeColor="text1"/>
          <w:sz w:val="20"/>
          <w:szCs w:val="20"/>
        </w:rPr>
        <w:tab/>
        <w:t xml:space="preserve">Dolman et al.  pp.5335 196 </w:t>
      </w:r>
      <w:proofErr w:type="spellStart"/>
      <w:r w:rsidR="00F6749E" w:rsidRPr="00551F01">
        <w:rPr>
          <w:rFonts w:ascii="Times New Roman" w:eastAsia="Arial" w:hAnsi="Times New Roman" w:cs="Times New Roman"/>
          <w:color w:val="000000" w:themeColor="text1"/>
          <w:sz w:val="20"/>
          <w:szCs w:val="20"/>
        </w:rPr>
        <w:t>TgC</w:t>
      </w:r>
      <w:proofErr w:type="spellEnd"/>
      <w:r w:rsidR="00F6749E" w:rsidRPr="00551F01">
        <w:rPr>
          <w:rFonts w:ascii="Times New Roman" w:eastAsia="Arial" w:hAnsi="Times New Roman" w:cs="Times New Roman"/>
          <w:color w:val="000000" w:themeColor="text1"/>
          <w:sz w:val="20"/>
          <w:szCs w:val="20"/>
        </w:rPr>
        <w:t xml:space="preserve"> yr</w:t>
      </w:r>
      <w:r w:rsidR="00F6749E" w:rsidRPr="00551F01">
        <w:rPr>
          <w:rFonts w:ascii="Times New Roman" w:eastAsia="Arial" w:hAnsi="Times New Roman" w:cs="Times New Roman"/>
          <w:color w:val="000000" w:themeColor="text1"/>
          <w:sz w:val="20"/>
          <w:szCs w:val="20"/>
          <w:vertAlign w:val="superscript"/>
        </w:rPr>
        <w:t>-1</w:t>
      </w:r>
      <w:r w:rsidR="00F6749E" w:rsidRPr="00551F01">
        <w:rPr>
          <w:rFonts w:ascii="Times New Roman" w:eastAsia="Arial" w:hAnsi="Times New Roman" w:cs="Times New Roman"/>
          <w:color w:val="000000" w:themeColor="text1"/>
          <w:sz w:val="20"/>
          <w:szCs w:val="20"/>
        </w:rPr>
        <w:t xml:space="preserve"> uncertainty 90% CI plus 120 </w:t>
      </w:r>
      <w:proofErr w:type="spellStart"/>
      <w:r w:rsidR="00F6749E" w:rsidRPr="00551F01">
        <w:rPr>
          <w:rFonts w:ascii="Times New Roman" w:eastAsia="Arial" w:hAnsi="Times New Roman" w:cs="Times New Roman"/>
          <w:color w:val="000000" w:themeColor="text1"/>
          <w:sz w:val="20"/>
          <w:szCs w:val="20"/>
        </w:rPr>
        <w:t>TgC</w:t>
      </w:r>
      <w:proofErr w:type="spellEnd"/>
      <w:r w:rsidR="00F6749E" w:rsidRPr="00551F01">
        <w:rPr>
          <w:rFonts w:ascii="Times New Roman" w:eastAsia="Arial" w:hAnsi="Times New Roman" w:cs="Times New Roman"/>
          <w:color w:val="000000" w:themeColor="text1"/>
          <w:sz w:val="20"/>
          <w:szCs w:val="20"/>
        </w:rPr>
        <w:t xml:space="preserve"> yr</w:t>
      </w:r>
      <w:r w:rsidR="00F6749E" w:rsidRPr="00570D37">
        <w:rPr>
          <w:rFonts w:ascii="Times New Roman" w:eastAsia="Arial" w:hAnsi="Times New Roman" w:cs="Times New Roman"/>
          <w:color w:val="000000" w:themeColor="text1"/>
          <w:sz w:val="20"/>
          <w:szCs w:val="20"/>
          <w:vertAlign w:val="superscript"/>
        </w:rPr>
        <w:t>-1</w:t>
      </w:r>
      <w:r w:rsidR="00F6749E" w:rsidRPr="00551F01">
        <w:rPr>
          <w:rFonts w:ascii="Times New Roman" w:eastAsia="Arial" w:hAnsi="Times New Roman" w:cs="Times New Roman"/>
          <w:color w:val="000000" w:themeColor="text1"/>
          <w:sz w:val="20"/>
          <w:szCs w:val="20"/>
        </w:rPr>
        <w:t xml:space="preserve"> additional uncertainty added to account for the fact that only 2007-09 is estimated</w:t>
      </w:r>
    </w:p>
    <w:p w:rsidR="00F6749E" w:rsidRPr="00551F01" w:rsidRDefault="00570D37" w:rsidP="00B75738">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c</w:t>
      </w:r>
      <w:r w:rsidR="00F6749E" w:rsidRPr="00551F01">
        <w:rPr>
          <w:rFonts w:ascii="Times New Roman" w:eastAsia="Arial" w:hAnsi="Times New Roman" w:cs="Times New Roman"/>
          <w:color w:val="000000" w:themeColor="text1"/>
          <w:sz w:val="20"/>
          <w:szCs w:val="20"/>
        </w:rPr>
        <w:t xml:space="preserve">       </w:t>
      </w:r>
      <w:r w:rsidR="004A6EE9">
        <w:rPr>
          <w:rFonts w:ascii="Times New Roman" w:eastAsia="Arial" w:hAnsi="Times New Roman" w:cs="Times New Roman"/>
          <w:color w:val="000000" w:themeColor="text1"/>
          <w:sz w:val="20"/>
          <w:szCs w:val="20"/>
        </w:rPr>
        <w:t xml:space="preserve">   </w:t>
      </w:r>
      <w:r w:rsidR="00F6749E" w:rsidRPr="00551F01">
        <w:rPr>
          <w:rFonts w:ascii="Times New Roman" w:eastAsia="Arial" w:hAnsi="Times New Roman" w:cs="Times New Roman"/>
          <w:color w:val="000000" w:themeColor="text1"/>
          <w:sz w:val="20"/>
          <w:szCs w:val="20"/>
        </w:rPr>
        <w:t>Dolman et al. BG 2012 et al. pp. 5332 for wood products and table 5 for crop products</w:t>
      </w:r>
    </w:p>
    <w:p w:rsidR="00F6749E" w:rsidRPr="00551F01" w:rsidRDefault="00570D37" w:rsidP="00B75738">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d</w:t>
      </w:r>
      <w:r w:rsidR="00F6749E" w:rsidRPr="00551F01">
        <w:rPr>
          <w:rFonts w:ascii="Times New Roman" w:eastAsia="Arial" w:hAnsi="Times New Roman" w:cs="Times New Roman"/>
          <w:color w:val="000000" w:themeColor="text1"/>
          <w:sz w:val="20"/>
          <w:szCs w:val="20"/>
        </w:rPr>
        <w:tab/>
        <w:t xml:space="preserve">River C transport to estuaries and estuaries C outgassing are both assumed a relative uncertainty of 50%. The total error on </w:t>
      </w:r>
      <w:proofErr w:type="spellStart"/>
      <w:r w:rsidR="00F6749E" w:rsidRPr="00551F01">
        <w:rPr>
          <w:rFonts w:ascii="Times New Roman" w:eastAsia="Arial" w:hAnsi="Times New Roman" w:cs="Times New Roman"/>
          <w:color w:val="000000" w:themeColor="text1"/>
          <w:sz w:val="20"/>
          <w:szCs w:val="20"/>
        </w:rPr>
        <w:t>F</w:t>
      </w:r>
      <w:r w:rsidR="00F6749E" w:rsidRPr="00551F01">
        <w:rPr>
          <w:rFonts w:ascii="Times New Roman" w:eastAsia="Arial" w:hAnsi="Times New Roman" w:cs="Times New Roman"/>
          <w:color w:val="000000" w:themeColor="text1"/>
          <w:sz w:val="20"/>
          <w:szCs w:val="20"/>
          <w:vertAlign w:val="subscript"/>
        </w:rPr>
        <w:t>rivers</w:t>
      </w:r>
      <w:proofErr w:type="spellEnd"/>
      <w:r w:rsidR="00F6749E" w:rsidRPr="00551F01">
        <w:rPr>
          <w:rFonts w:ascii="Times New Roman" w:eastAsia="Arial" w:hAnsi="Times New Roman" w:cs="Times New Roman"/>
          <w:color w:val="000000" w:themeColor="text1"/>
          <w:sz w:val="20"/>
          <w:szCs w:val="20"/>
          <w:vertAlign w:val="subscript"/>
        </w:rPr>
        <w:t xml:space="preserve"> </w:t>
      </w:r>
      <w:r w:rsidR="00F6749E" w:rsidRPr="00551F01">
        <w:rPr>
          <w:rFonts w:ascii="Times New Roman" w:eastAsia="Arial" w:hAnsi="Times New Roman" w:cs="Times New Roman"/>
          <w:color w:val="000000" w:themeColor="text1"/>
          <w:sz w:val="20"/>
          <w:szCs w:val="20"/>
        </w:rPr>
        <w:t>is calculated by assuming these two terms have independent uncertainties</w:t>
      </w:r>
    </w:p>
    <w:p w:rsidR="00F6749E" w:rsidRPr="00551F01" w:rsidRDefault="00570D37" w:rsidP="00B75738">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e</w:t>
      </w:r>
      <w:r w:rsidR="00F6749E" w:rsidRPr="00551F01">
        <w:rPr>
          <w:rFonts w:ascii="Times New Roman" w:eastAsia="Arial" w:hAnsi="Times New Roman" w:cs="Times New Roman"/>
          <w:color w:val="000000" w:themeColor="text1"/>
          <w:sz w:val="20"/>
          <w:szCs w:val="20"/>
        </w:rPr>
        <w:tab/>
        <w:t>The total error on NEE</w:t>
      </w:r>
      <w:r w:rsidR="00F6749E" w:rsidRPr="00551F01">
        <w:rPr>
          <w:rFonts w:ascii="Times New Roman" w:eastAsia="Arial" w:hAnsi="Times New Roman" w:cs="Times New Roman"/>
          <w:color w:val="000000" w:themeColor="text1"/>
          <w:sz w:val="20"/>
          <w:szCs w:val="20"/>
          <w:vertAlign w:val="subscript"/>
        </w:rPr>
        <w:t xml:space="preserve"> </w:t>
      </w:r>
      <w:r w:rsidR="00F6749E" w:rsidRPr="00551F01">
        <w:rPr>
          <w:rFonts w:ascii="Times New Roman" w:eastAsia="Arial" w:hAnsi="Times New Roman" w:cs="Times New Roman"/>
          <w:color w:val="000000" w:themeColor="text1"/>
          <w:sz w:val="20"/>
          <w:szCs w:val="20"/>
        </w:rPr>
        <w:t xml:space="preserve">is calculated by assuming each term of </w:t>
      </w:r>
      <w:r w:rsidR="00B75738" w:rsidRPr="00F6749E">
        <w:rPr>
          <w:rFonts w:ascii="Times New Roman" w:eastAsia="Arial" w:hAnsi="Times New Roman" w:cs="Times New Roman"/>
          <w:color w:val="000000" w:themeColor="text1"/>
          <w:sz w:val="20"/>
          <w:szCs w:val="20"/>
        </w:rPr>
        <w:t>Equation</w:t>
      </w:r>
      <w:r w:rsidR="00F6749E" w:rsidRPr="00551F01">
        <w:rPr>
          <w:rFonts w:ascii="Times New Roman" w:eastAsia="Arial" w:hAnsi="Times New Roman" w:cs="Times New Roman"/>
          <w:color w:val="000000" w:themeColor="text1"/>
          <w:sz w:val="20"/>
          <w:szCs w:val="20"/>
        </w:rPr>
        <w:t xml:space="preserve"> (1) have independent uncertainties</w:t>
      </w:r>
    </w:p>
    <w:p w:rsidR="00F6749E" w:rsidRPr="00551F01" w:rsidRDefault="00570D37" w:rsidP="00B75738">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f</w:t>
      </w:r>
      <w:r w:rsidR="00F6749E" w:rsidRPr="00551F01">
        <w:rPr>
          <w:rFonts w:ascii="Times New Roman" w:eastAsia="Arial" w:hAnsi="Times New Roman" w:cs="Times New Roman"/>
          <w:color w:val="000000" w:themeColor="text1"/>
          <w:sz w:val="20"/>
          <w:szCs w:val="20"/>
        </w:rPr>
        <w:tab/>
        <w:t>Dolman et al. BG 2012 Table 2 minus "net export" in Table 5</w:t>
      </w:r>
    </w:p>
    <w:p w:rsidR="00F6749E" w:rsidRDefault="00570D37" w:rsidP="00B75738">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g</w:t>
      </w:r>
      <w:r w:rsidR="00F6749E" w:rsidRPr="00551F01">
        <w:rPr>
          <w:rFonts w:ascii="Times New Roman" w:eastAsia="Arial" w:hAnsi="Times New Roman" w:cs="Times New Roman"/>
          <w:color w:val="000000" w:themeColor="text1"/>
          <w:sz w:val="20"/>
          <w:szCs w:val="20"/>
        </w:rPr>
        <w:tab/>
        <w:t xml:space="preserve">Uncertainty of 20% for wood products decay and estimated by Monte Carlo approach by Wang et al. for biomass burned </w:t>
      </w:r>
      <w:r w:rsidR="00F6749E" w:rsidRPr="00570D37">
        <w:rPr>
          <w:rFonts w:ascii="Times New Roman" w:eastAsia="Arial" w:hAnsi="Times New Roman" w:cs="Times New Roman"/>
          <w:color w:val="000000" w:themeColor="text1"/>
          <w:sz w:val="20"/>
          <w:szCs w:val="20"/>
        </w:rPr>
        <w:t>in industry and power plants</w:t>
      </w:r>
    </w:p>
    <w:p w:rsidR="00E8739C" w:rsidRDefault="00E8739C" w:rsidP="00B75738">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h</w:t>
      </w:r>
      <w:r>
        <w:rPr>
          <w:rFonts w:ascii="Times New Roman" w:eastAsia="Arial" w:hAnsi="Times New Roman" w:cs="Times New Roman"/>
          <w:color w:val="000000" w:themeColor="text1"/>
          <w:sz w:val="20"/>
          <w:szCs w:val="20"/>
        </w:rPr>
        <w:tab/>
      </w:r>
      <w:proofErr w:type="spellStart"/>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fires</w:t>
      </w:r>
      <w:proofErr w:type="spellEnd"/>
      <w:r w:rsidRPr="00E8739C">
        <w:rPr>
          <w:rFonts w:ascii="Times New Roman" w:eastAsia="Arial" w:hAnsi="Times New Roman" w:cs="Times New Roman"/>
          <w:color w:val="000000" w:themeColor="text1"/>
          <w:sz w:val="20"/>
          <w:szCs w:val="20"/>
          <w:vertAlign w:val="subscript"/>
        </w:rPr>
        <w:t xml:space="preserve"> </w:t>
      </w:r>
      <w:r w:rsidRPr="00E8739C">
        <w:rPr>
          <w:rFonts w:ascii="Times New Roman" w:eastAsia="Arial" w:hAnsi="Times New Roman" w:cs="Times New Roman"/>
          <w:color w:val="000000" w:themeColor="text1"/>
          <w:sz w:val="20"/>
          <w:szCs w:val="20"/>
        </w:rPr>
        <w:t>includes open fires and crop residues burning estimated from Wang et al.</w:t>
      </w:r>
    </w:p>
    <w:p w:rsidR="00E8739C" w:rsidRPr="00F6749E" w:rsidRDefault="00E8739C" w:rsidP="00E8739C">
      <w:pPr>
        <w:ind w:left="567" w:hanging="567"/>
        <w:rPr>
          <w:rFonts w:ascii="Times New Roman" w:eastAsia="Arial" w:hAnsi="Times New Roman" w:cs="Times New Roman"/>
          <w:color w:val="000000" w:themeColor="text1"/>
          <w:sz w:val="20"/>
          <w:szCs w:val="20"/>
        </w:rPr>
      </w:pPr>
      <w:proofErr w:type="spellStart"/>
      <w:r>
        <w:rPr>
          <w:rFonts w:ascii="Times New Roman" w:eastAsia="Arial" w:hAnsi="Times New Roman" w:cs="Times New Roman"/>
          <w:color w:val="000000" w:themeColor="text1"/>
          <w:sz w:val="20"/>
          <w:szCs w:val="20"/>
        </w:rPr>
        <w:t>i</w:t>
      </w:r>
      <w:proofErr w:type="spellEnd"/>
      <w:r w:rsidRPr="00570D37">
        <w:rPr>
          <w:rFonts w:ascii="Times New Roman" w:eastAsia="Arial" w:hAnsi="Times New Roman" w:cs="Times New Roman"/>
          <w:color w:val="000000" w:themeColor="text1"/>
          <w:sz w:val="20"/>
          <w:szCs w:val="20"/>
        </w:rPr>
        <w:tab/>
        <w:t xml:space="preserve">See their Fig. 3 </w:t>
      </w:r>
    </w:p>
    <w:p w:rsidR="00E8739C" w:rsidRPr="00570D37" w:rsidRDefault="00E8739C" w:rsidP="00B75738">
      <w:pPr>
        <w:ind w:left="567" w:hanging="567"/>
        <w:rPr>
          <w:rFonts w:ascii="Times New Roman" w:eastAsia="Arial" w:hAnsi="Times New Roman" w:cs="Times New Roman"/>
          <w:color w:val="000000" w:themeColor="text1"/>
          <w:sz w:val="20"/>
          <w:szCs w:val="20"/>
        </w:rPr>
      </w:pPr>
    </w:p>
    <w:p w:rsidR="00F6749E" w:rsidRPr="00551F01" w:rsidRDefault="00F6749E" w:rsidP="00B75738">
      <w:pPr>
        <w:rPr>
          <w:rFonts w:ascii="Times New Roman" w:eastAsia="Arial" w:hAnsi="Times New Roman" w:cs="Times New Roman"/>
          <w:color w:val="000000" w:themeColor="text1"/>
          <w:sz w:val="20"/>
          <w:szCs w:val="20"/>
        </w:rPr>
      </w:pPr>
    </w:p>
    <w:p w:rsidR="00F6749E" w:rsidRPr="00570D37" w:rsidRDefault="00F6749E" w:rsidP="00F6749E">
      <w:pPr>
        <w:rPr>
          <w:rFonts w:ascii="Times New Roman" w:eastAsia="Calibri" w:hAnsi="Times New Roman" w:cs="Times New Roman"/>
          <w:color w:val="000000" w:themeColor="text1"/>
          <w:sz w:val="20"/>
          <w:szCs w:val="20"/>
        </w:rPr>
      </w:pPr>
      <w:r w:rsidRPr="00551F01">
        <w:rPr>
          <w:rFonts w:ascii="Times New Roman" w:hAnsi="Times New Roman" w:cs="Times New Roman"/>
          <w:color w:val="000000" w:themeColor="text1"/>
          <w:sz w:val="20"/>
          <w:szCs w:val="20"/>
        </w:rPr>
        <w:br w:type="page"/>
      </w: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630"/>
        <w:gridCol w:w="270"/>
        <w:gridCol w:w="735"/>
        <w:gridCol w:w="3570"/>
        <w:gridCol w:w="1920"/>
      </w:tblGrid>
      <w:tr w:rsidR="00F6749E" w:rsidRPr="00DA354E" w:rsidTr="00C26ED2">
        <w:trPr>
          <w:trHeight w:val="400"/>
        </w:trPr>
        <w:tc>
          <w:tcPr>
            <w:tcW w:w="8940" w:type="dxa"/>
            <w:gridSpan w:val="6"/>
            <w:shd w:val="clear" w:color="auto" w:fill="auto"/>
            <w:tcMar>
              <w:top w:w="100" w:type="dxa"/>
              <w:left w:w="100" w:type="dxa"/>
              <w:bottom w:w="100" w:type="dxa"/>
              <w:right w:w="100" w:type="dxa"/>
            </w:tcMar>
          </w:tcPr>
          <w:p w:rsidR="00F6749E" w:rsidRPr="00DA354E" w:rsidRDefault="00F6749E" w:rsidP="00C26ED2">
            <w:pPr>
              <w:widowControl w:val="0"/>
              <w:rPr>
                <w:rFonts w:ascii="Times New Roman" w:eastAsia="Arial" w:hAnsi="Times New Roman" w:cs="Times New Roman"/>
                <w:b/>
                <w:color w:val="000000" w:themeColor="text1"/>
              </w:rPr>
            </w:pPr>
            <w:r w:rsidRPr="00DA354E">
              <w:rPr>
                <w:rFonts w:ascii="Times New Roman" w:eastAsia="Arial" w:hAnsi="Times New Roman" w:cs="Times New Roman"/>
                <w:b/>
                <w:color w:val="000000" w:themeColor="text1"/>
              </w:rPr>
              <w:lastRenderedPageBreak/>
              <w:t>East Asia</w:t>
            </w:r>
          </w:p>
        </w:tc>
      </w:tr>
      <w:tr w:rsidR="00F6749E" w:rsidRPr="004A6EE9" w:rsidTr="004A6EE9">
        <w:trPr>
          <w:trHeight w:val="400"/>
        </w:trPr>
        <w:tc>
          <w:tcPr>
            <w:tcW w:w="3450" w:type="dxa"/>
            <w:gridSpan w:val="4"/>
            <w:shd w:val="clear" w:color="auto" w:fill="auto"/>
            <w:tcMar>
              <w:top w:w="100" w:type="dxa"/>
              <w:left w:w="100" w:type="dxa"/>
              <w:bottom w:w="100" w:type="dxa"/>
              <w:right w:w="100" w:type="dxa"/>
            </w:tcMar>
            <w:vAlign w:val="center"/>
          </w:tcPr>
          <w:p w:rsidR="00F6749E" w:rsidRPr="004A6EE9" w:rsidRDefault="004A6EE9" w:rsidP="004A6EE9">
            <w:pPr>
              <w:widowControl w:val="0"/>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roofErr w:type="spellStart"/>
            <w:r w:rsidRPr="005A63F3">
              <w:rPr>
                <w:rFonts w:ascii="Times New Roman" w:eastAsia="Arial" w:hAnsi="Times New Roman" w:cs="Times New Roman"/>
                <w:color w:val="000000" w:themeColor="text1"/>
                <w:sz w:val="20"/>
                <w:szCs w:val="20"/>
              </w:rPr>
              <w:t>TgC</w:t>
            </w:r>
            <w:proofErr w:type="spellEnd"/>
            <w:r w:rsidRPr="005A63F3">
              <w:rPr>
                <w:rFonts w:ascii="Times New Roman" w:eastAsia="Arial" w:hAnsi="Times New Roman" w:cs="Times New Roman"/>
                <w:color w:val="000000" w:themeColor="text1"/>
                <w:sz w:val="20"/>
                <w:szCs w:val="20"/>
              </w:rPr>
              <w:t xml:space="preserve"> yr</w:t>
            </w:r>
            <w:r w:rsidRPr="005A63F3">
              <w:rPr>
                <w:rFonts w:ascii="Times New Roman" w:eastAsia="Arial" w:hAnsi="Times New Roman" w:cs="Times New Roman"/>
                <w:color w:val="000000" w:themeColor="text1"/>
                <w:sz w:val="20"/>
                <w:szCs w:val="20"/>
                <w:vertAlign w:val="superscript"/>
              </w:rPr>
              <w:t>-1</w:t>
            </w:r>
            <w:r w:rsidRPr="005A63F3">
              <w:rPr>
                <w:rFonts w:ascii="Times New Roman" w:eastAsia="Arial" w:hAnsi="Times New Roman" w:cs="Times New Roman"/>
                <w:color w:val="000000" w:themeColor="text1"/>
                <w:sz w:val="20"/>
                <w:szCs w:val="20"/>
              </w:rPr>
              <w:t>)</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Reference</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Uncertainty estimation</w:t>
            </w:r>
          </w:p>
        </w:tc>
      </w:tr>
      <w:tr w:rsidR="00F6749E" w:rsidRPr="001D7FE4" w:rsidTr="004A6EE9">
        <w:trPr>
          <w:trHeight w:val="600"/>
        </w:trPr>
        <w:tc>
          <w:tcPr>
            <w:tcW w:w="1815" w:type="dxa"/>
            <w:tcBorders>
              <w:top w:val="single" w:sz="8" w:space="0" w:color="000000"/>
              <w:left w:val="single" w:sz="8" w:space="0" w:color="000000"/>
              <w:bottom w:val="single" w:sz="8" w:space="0" w:color="000000"/>
            </w:tcBorders>
            <w:shd w:val="clear" w:color="auto" w:fill="FFFFFF"/>
            <w:vAlign w:val="center"/>
          </w:tcPr>
          <w:p w:rsidR="00F6749E" w:rsidRPr="004A6EE9" w:rsidRDefault="00F6749E" w:rsidP="004A6EE9">
            <w:pPr>
              <w:rPr>
                <w:rFonts w:ascii="Times New Roman" w:eastAsia="Arial" w:hAnsi="Times New Roman" w:cs="Times New Roman"/>
                <w:color w:val="000000" w:themeColor="text1"/>
                <w:sz w:val="20"/>
                <w:szCs w:val="20"/>
              </w:rPr>
            </w:pPr>
            <w:r w:rsidRPr="004A6EE9">
              <w:rPr>
                <w:rFonts w:ascii="Times New Roman" w:eastAsia="Arial Unicode MS" w:hAnsi="Times New Roman" w:cs="Times New Roman"/>
                <w:color w:val="000000" w:themeColor="text1"/>
                <w:sz w:val="20"/>
                <w:szCs w:val="20"/>
              </w:rPr>
              <w:t>∆C</w:t>
            </w:r>
          </w:p>
        </w:tc>
        <w:tc>
          <w:tcPr>
            <w:tcW w:w="630" w:type="dxa"/>
            <w:tcMar>
              <w:top w:w="0" w:type="dxa"/>
              <w:left w:w="0" w:type="dxa"/>
              <w:bottom w:w="0" w:type="dxa"/>
              <w:right w:w="0" w:type="dxa"/>
            </w:tcMar>
            <w:vAlign w:val="center"/>
          </w:tcPr>
          <w:p w:rsidR="00F6749E" w:rsidRPr="004A6EE9" w:rsidRDefault="00F6749E" w:rsidP="009F5F02">
            <w:pPr>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-300</w:t>
            </w:r>
          </w:p>
        </w:tc>
        <w:tc>
          <w:tcPr>
            <w:tcW w:w="270" w:type="dxa"/>
            <w:tcMar>
              <w:top w:w="0" w:type="dxa"/>
              <w:left w:w="0" w:type="dxa"/>
              <w:bottom w:w="0" w:type="dxa"/>
              <w:right w:w="0" w:type="dxa"/>
            </w:tcMar>
            <w:vAlign w:val="center"/>
          </w:tcPr>
          <w:p w:rsidR="00F6749E" w:rsidRPr="004A6EE9" w:rsidRDefault="00F6749E" w:rsidP="009F5F02">
            <w:pPr>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100</w:t>
            </w:r>
          </w:p>
        </w:tc>
        <w:tc>
          <w:tcPr>
            <w:tcW w:w="3570" w:type="dxa"/>
            <w:tcBorders>
              <w:top w:val="single" w:sz="8" w:space="0" w:color="000000"/>
              <w:bottom w:val="single" w:sz="8" w:space="0" w:color="000000"/>
              <w:right w:val="single" w:sz="8" w:space="0" w:color="000000"/>
            </w:tcBorders>
            <w:shd w:val="clear" w:color="auto" w:fill="FFFFFF"/>
            <w:vAlign w:val="center"/>
          </w:tcPr>
          <w:p w:rsidR="00F6749E" w:rsidRPr="004A6EE9" w:rsidRDefault="00F6749E" w:rsidP="004A6EE9">
            <w:pPr>
              <w:rPr>
                <w:rFonts w:ascii="Times New Roman" w:eastAsia="Arial" w:hAnsi="Times New Roman" w:cs="Times New Roman"/>
                <w:color w:val="000000" w:themeColor="text1"/>
                <w:sz w:val="20"/>
                <w:szCs w:val="20"/>
                <w:lang w:val="fr-FR"/>
              </w:rPr>
            </w:pPr>
            <w:r w:rsidRPr="004A6EE9">
              <w:rPr>
                <w:rFonts w:ascii="Times New Roman" w:eastAsia="Arial" w:hAnsi="Times New Roman" w:cs="Times New Roman"/>
                <w:color w:val="000000" w:themeColor="text1"/>
                <w:sz w:val="20"/>
                <w:szCs w:val="20"/>
              </w:rPr>
              <w:t xml:space="preserve">Piao et al. </w:t>
            </w:r>
            <w:r w:rsidR="00B75738">
              <w:rPr>
                <w:rFonts w:ascii="Times New Roman" w:eastAsia="Arial" w:hAnsi="Times New Roman" w:cs="Times New Roman"/>
                <w:color w:val="000000" w:themeColor="text1"/>
                <w:sz w:val="20"/>
                <w:szCs w:val="20"/>
              </w:rPr>
              <w:t>[</w:t>
            </w:r>
            <w:r w:rsidRPr="00B75738">
              <w:rPr>
                <w:rFonts w:ascii="Times New Roman" w:eastAsia="Arial" w:hAnsi="Times New Roman" w:cs="Times New Roman"/>
                <w:color w:val="000000" w:themeColor="text1"/>
                <w:sz w:val="20"/>
                <w:szCs w:val="20"/>
              </w:rPr>
              <w:fldChar w:fldCharType="begin" w:fldLock="1"/>
            </w:r>
            <w:r w:rsidRPr="00B75738">
              <w:rPr>
                <w:rFonts w:ascii="Times New Roman" w:eastAsia="Arial" w:hAnsi="Times New Roman" w:cs="Times New Roman"/>
                <w:color w:val="000000" w:themeColor="text1"/>
                <w:sz w:val="20"/>
                <w:szCs w:val="20"/>
              </w:rPr>
              <w:instrText>ADDIN CSL_CITATION {"citationItems":[{"id":"ITEM-1","itemData":{"DOI":"10.5194/bg-9-3571-2012","ISSN":"17264170","abstract":"This REgional Carbon Cycle Assessment and Processes regional study provides a synthesis of the carbon balance of terrestrial ecosystems in East Asia, a region comprised of China, Japan, North and South Korea, and Mongolia. We estimate the current terrestrial carbon balance of East Asia and its driving mechanisms during 1990-2009 using three different approaches: inventories combined with satellite greenness measurements, terrestrial ecosystem carbon cycle models and atmospheric inversion models. The magnitudes of East Asia's terrestrial carbon sink from these three approaches are comparable:-0. 293±0.033 PgC yr -1 from inventory-remote sensing model-data fusion approach,-0.413±0.141 PgC yr -1 (not considering biofuel emissions) or-0.224±0.141 PgC yr -1 (considering biofuel emissions) for carbon cycle models, and-0.270±0.507 PgC yr -1 for atmospheric inverse models. Here and in the following, the numbers behind ± signs are standard deviations. The ensemble of ecosystem modeling based analyses further suggests that at the regional scale, climate change and rising atmospheric CO 2 together resulted in a carbon sink of-0.289±0.135 PgC yr -1 , while land-use change and nitrogen deposition had a contribution of-0.013±0.029 PgC yr -1 and-0.107±0.025 PgC yr -1 , respectively. Although the magnitude of climate change effects on the carbon balance varies among different models, all models agree that in response to climate change alone, southern China experienced an increase in carbon storage from 1990 to 2009, while northern East Asia including Mongolia and north China showed a decrease in carbon storage. Overall, our results suggest that about 13-27% of East Asia's CO 2 emissions from fossil fuel burning have been offset by carbon accumulation in its terrestrial territory over the period from 1990 to 2009. The underlying mechanisms of carbon sink over East Asia still remain largely uncertain, given the diversity and intensity of land management processes, and the regional conjunction of many drivers such as nutrient deposition, climate, atmospheric pollution and CO 2 changes, which cannot be considered as independent for their effects on carbon storage. © 2012 Author(s).","author":[{"dropping-particle":"","family":"Piao","given":"S.L.","non-dropping-particle":"","parse-names":false,"suffix":""},{"dropping-particle":"","family":"Ito","given":"A.","non-dropping-particle":"","parse-names":false,"suffix":""},{"dropping-particle":"","family":"Li","given":"S.G.","non-dropping-particle":"","parse-names":false,"suffix":""},{"dropping-particle":"","family":"Huang","given":"Y.","non-dropping-particle":"","parse-names":false,"suffix":""},{"dropping-particle":"","family":"Ciais","given":"P.","non-dropping-particle":"","parse-names":false,"suffix":""},{"dropping-particle":"","family":"Wang","given":"X.H.","non-dropping-particle":"","parse-names":false,"suffix":""},{"dropping-particle":"","family":"Peng","given":"S.S.","non-dropping-particle":"","parse-names":false,"suffix":""},{"dropping-particle":"","family":"Nan","given":"H.J.","non-dropping-particle":"","parse-names":false,"suffix":""},{"dropping-particle":"","family":"Zhao","given":"C.","non-dropping-particle":"","parse-names":false,"suffix":""},{"dropping-particle":"","family":"Ahlström","given":"A.","non-dropping-particle":"","parse-names":false,"suffix":""},{"dropping-particle":"","family":"Andres","given":"R.J.","non-dropping-particle":"","parse-names":false,"suffix":""},{"dropping-particle":"","family":"Chevallier","given":"F.","non-dropping-particle":"","parse-names":false,"suffix":""},{"dropping-particle":"","family":"Fang","given":"J.Y.","non-dropping-particle":"","parse-names":false,"suffix":""},{"dropping-particle":"","family":"Hartmann","given":"J.","non-dropping-particle":"","parse-names":false,"suffix":""},{"dropping-particle":"","family":"Huntingford","given":"C.","non-dropping-particle":"","parse-names":false,"suffix":""},{"dropping-particle":"","family":"Jeong","given":"S.","non-dropping-particle":"","parse-names":false,"suffix":""},{"dropping-particle":"","family":"Levis","given":"S.","non-dropping-particle":"","parse-names":false,"suffix":""},{"dropping-particle":"","family":"Levy","given":"P.E.","non-dropping-particle":"","parse-names":false,"suffix":""},{"dropping-particle":"","family":"Li","given":"J.S.","non-dropping-particle":"","parse-names":false,"suffix":""},{"dropping-particle":"","family":"Lomas","given":"M.R.","non-dropping-particle":"","parse-names":false,"suffix":""},{"dropping-particle":"","family":"Mao","given":"J.F.","non-dropping-particle":"","parse-names":false,"suffix":""},{"dropping-particle":"","family":"Mayorga","given":"E.","non-dropping-particle":"","parse-names":false,"suffix":""},{"dropping-particle":"","family":"Mohammat","given":"A.","non-dropping-particle":"","parse-names":false,"suffix":""},{"dropping-particle":"","family":"Muraoka","given":"H.","non-dropping-particle":"","parse-names":false,"suffix":""},{"dropping-particle":"","family":"Peng","given":"C.H.","non-dropping-particle":"","parse-names":false,"suffix":""},{"dropping-particle":"","family":"Peylin","given":"P.","non-dropping-particle":"","parse-names":false,"suffix":""},{"dropping-particle":"","family":"Poulter","given":"B.","non-dropping-particle":"","parse-names":false,"suffix":""},{"dropping-particle":"","family":"Shen","given":"Z.H.","non-dropping-particle":"","parse-names":false,"suffix":""},{"dropping-particle":"","family":"Shi","given":"X.","non-dropping-particle":"","parse-names":false,"suffix":""},{"dropping-particle":"","family":"Sitch","given":"S.","non-dropping-particle":"","parse-names":false,"suffix":""},{"dropping-particle":"","family":"Tao","given":"S.","non-dropping-particle":"","parse-</w:instrText>
            </w:r>
            <w:r w:rsidRPr="00B75738">
              <w:rPr>
                <w:rFonts w:ascii="Times New Roman" w:eastAsia="Arial" w:hAnsi="Times New Roman" w:cs="Times New Roman"/>
                <w:color w:val="000000" w:themeColor="text1"/>
                <w:sz w:val="20"/>
                <w:szCs w:val="20"/>
                <w:lang w:val="fr-FR"/>
              </w:rPr>
              <w:instrText>names":false,"suffix":""},{"dropping-particle":"","family":"Tian","given":"H.Q.","non-dropping-particle":"","parse-names":false,"suffix":""},{"dropping-particle":"","family":"Wu","given":"X.P.","non-dropping-particle":"","parse-names":false,"suffix":""},{"dropping-particle":"","family":"Xu","given":"M.","non-dropping-particle":"","parse-names":false,"suffix":""},{"dropping-particle":"","family":"Yu","given":"G.R.","non-dropping-particle":"","parse-names":false,"suffix":""},{"dropping-particle":"","family":"Viovy","given":"N.","non-dropping-particle":"","parse-names":false,"suffix":""},{"dropping-particle":"","family":"Zaehle","given":"S.","non-dropping-particle":"","parse-names":false,"suffix":""},{"dropping-particle":"","family":"Zeng","given":"N.","non-dropping-particle":"","parse-names":false,"suffix":""},{"dropping-particle":"","family":"Zhu","given":"B.","non-dropping-particle":"","parse-names":false,"suffix":""}],"container-title":"Biogeosciences","id":"ITEM-1","issue":"9","issued":{"date-parts":[["2012"]]},"title":"The carbon budget of terrestrial ecosystems in East Asia over the last two decades","type":"article-journal","volume":"9"},"uris":["http://www.mendeley.com/documents/?uuid=725112b6-d2b9-3254-a96f-161d2fbdb939"]}],"mendeley":{"formattedCitation":"&lt;sup&gt;13&lt;/sup&gt;","plainTextFormattedCitation":"13","previouslyFormattedCitation":"&lt;sup&gt;13&lt;/sup&gt;"},"properties":{"noteIndex":0},"schema":"https://github.com/citation-style-language/schema/raw/master/csl-citation.json"}</w:instrText>
            </w:r>
            <w:r w:rsidRPr="00B75738">
              <w:rPr>
                <w:rFonts w:ascii="Times New Roman" w:eastAsia="Arial" w:hAnsi="Times New Roman" w:cs="Times New Roman"/>
                <w:color w:val="000000" w:themeColor="text1"/>
                <w:sz w:val="20"/>
                <w:szCs w:val="20"/>
              </w:rPr>
              <w:fldChar w:fldCharType="separate"/>
            </w:r>
            <w:r w:rsidRPr="00B75738">
              <w:rPr>
                <w:rFonts w:ascii="Times New Roman" w:eastAsia="Arial" w:hAnsi="Times New Roman" w:cs="Times New Roman"/>
                <w:noProof/>
                <w:color w:val="000000" w:themeColor="text1"/>
                <w:sz w:val="20"/>
                <w:szCs w:val="20"/>
                <w:lang w:val="fr-FR"/>
              </w:rPr>
              <w:t>13</w:t>
            </w:r>
            <w:r w:rsidRPr="00B75738">
              <w:rPr>
                <w:rFonts w:ascii="Times New Roman" w:eastAsia="Arial" w:hAnsi="Times New Roman" w:cs="Times New Roman"/>
                <w:color w:val="000000" w:themeColor="text1"/>
                <w:sz w:val="20"/>
                <w:szCs w:val="20"/>
              </w:rPr>
              <w:fldChar w:fldCharType="end"/>
            </w:r>
            <w:r w:rsidR="00B75738" w:rsidRPr="00B75738">
              <w:rPr>
                <w:rFonts w:ascii="Times New Roman" w:eastAsia="Arial" w:hAnsi="Times New Roman" w:cs="Times New Roman"/>
                <w:color w:val="000000" w:themeColor="text1"/>
                <w:sz w:val="20"/>
                <w:szCs w:val="20"/>
                <w:lang w:val="fr-FR"/>
              </w:rPr>
              <w:t>]</w:t>
            </w:r>
          </w:p>
        </w:tc>
        <w:tc>
          <w:tcPr>
            <w:tcW w:w="19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6749E" w:rsidRPr="004A6EE9" w:rsidRDefault="00F6749E" w:rsidP="004A6EE9">
            <w:pPr>
              <w:rPr>
                <w:rFonts w:ascii="Times New Roman" w:eastAsia="Arial" w:hAnsi="Times New Roman" w:cs="Times New Roman"/>
                <w:color w:val="000000" w:themeColor="text1"/>
                <w:sz w:val="20"/>
                <w:szCs w:val="20"/>
                <w:lang w:val="fr-FR"/>
              </w:rPr>
            </w:pPr>
            <w:proofErr w:type="spellStart"/>
            <w:r w:rsidRPr="004A6EE9">
              <w:rPr>
                <w:rFonts w:ascii="Times New Roman" w:eastAsia="Arial" w:hAnsi="Times New Roman" w:cs="Times New Roman"/>
                <w:color w:val="000000" w:themeColor="text1"/>
                <w:sz w:val="20"/>
                <w:szCs w:val="20"/>
                <w:lang w:val="fr-FR"/>
              </w:rPr>
              <w:t>Piao</w:t>
            </w:r>
            <w:proofErr w:type="spellEnd"/>
            <w:r w:rsidRPr="004A6EE9">
              <w:rPr>
                <w:rFonts w:ascii="Times New Roman" w:eastAsia="Arial" w:hAnsi="Times New Roman" w:cs="Times New Roman"/>
                <w:color w:val="000000" w:themeColor="text1"/>
                <w:sz w:val="20"/>
                <w:szCs w:val="20"/>
                <w:lang w:val="fr-FR"/>
              </w:rPr>
              <w:t xml:space="preserve"> et al.</w:t>
            </w:r>
            <w:r w:rsidR="00B75738">
              <w:rPr>
                <w:rFonts w:ascii="Times New Roman" w:eastAsia="Arial" w:hAnsi="Times New Roman" w:cs="Times New Roman"/>
                <w:color w:val="000000" w:themeColor="text1"/>
                <w:sz w:val="20"/>
                <w:szCs w:val="20"/>
                <w:lang w:val="fr-FR"/>
              </w:rPr>
              <w:t xml:space="preserve"> </w:t>
            </w:r>
          </w:p>
        </w:tc>
      </w:tr>
      <w:tr w:rsidR="00F6749E" w:rsidRPr="001D7FE4" w:rsidTr="004A6EE9">
        <w:trPr>
          <w:trHeight w:val="60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vertAlign w:val="subscript"/>
                <w:lang w:val="fr-FR"/>
              </w:rPr>
            </w:pPr>
            <w:proofErr w:type="spellStart"/>
            <w:r w:rsidRPr="004A6EE9">
              <w:rPr>
                <w:rFonts w:ascii="Times New Roman" w:eastAsia="Arial" w:hAnsi="Times New Roman" w:cs="Times New Roman"/>
                <w:color w:val="000000" w:themeColor="text1"/>
                <w:sz w:val="20"/>
                <w:szCs w:val="20"/>
                <w:lang w:val="fr-FR"/>
              </w:rPr>
              <w:t>F</w:t>
            </w:r>
            <w:r w:rsidRPr="004A6EE9">
              <w:rPr>
                <w:rFonts w:ascii="Times New Roman" w:eastAsia="Arial" w:hAnsi="Times New Roman" w:cs="Times New Roman"/>
                <w:color w:val="000000" w:themeColor="text1"/>
                <w:sz w:val="20"/>
                <w:szCs w:val="20"/>
                <w:vertAlign w:val="subscript"/>
                <w:lang w:val="fr-FR"/>
              </w:rPr>
              <w:t>trade</w:t>
            </w:r>
            <w:proofErr w:type="spellEnd"/>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lang w:val="fr-FR"/>
              </w:rPr>
            </w:pPr>
            <w:r w:rsidRPr="004A6EE9">
              <w:rPr>
                <w:rFonts w:ascii="Times New Roman" w:eastAsia="Arial" w:hAnsi="Times New Roman" w:cs="Times New Roman"/>
                <w:color w:val="000000" w:themeColor="text1"/>
                <w:sz w:val="20"/>
                <w:szCs w:val="20"/>
                <w:lang w:val="fr-FR"/>
              </w:rPr>
              <w:t>-62</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lang w:val="fr-FR"/>
              </w:rPr>
            </w:pPr>
            <w:r w:rsidRPr="004A6EE9">
              <w:rPr>
                <w:rFonts w:ascii="Times New Roman" w:eastAsia="Arial" w:hAnsi="Times New Roman" w:cs="Times New Roman"/>
                <w:color w:val="000000" w:themeColor="text1"/>
                <w:sz w:val="20"/>
                <w:szCs w:val="20"/>
                <w:lang w:val="fr-FR"/>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lang w:val="fr-FR"/>
              </w:rPr>
            </w:pPr>
            <w:r w:rsidRPr="004A6EE9">
              <w:rPr>
                <w:rFonts w:ascii="Times New Roman" w:eastAsia="Arial" w:hAnsi="Times New Roman" w:cs="Times New Roman"/>
                <w:color w:val="000000" w:themeColor="text1"/>
                <w:sz w:val="20"/>
                <w:szCs w:val="20"/>
                <w:lang w:val="fr-FR"/>
              </w:rPr>
              <w:t>10</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rPr>
                <w:rFonts w:ascii="Times New Roman" w:eastAsia="Arial" w:hAnsi="Times New Roman" w:cs="Times New Roman"/>
                <w:color w:val="000000" w:themeColor="text1"/>
                <w:sz w:val="20"/>
                <w:szCs w:val="20"/>
                <w:lang w:val="fr-FR"/>
              </w:rPr>
            </w:pPr>
            <w:r w:rsidRPr="004A6EE9">
              <w:rPr>
                <w:rFonts w:ascii="Times New Roman" w:eastAsia="Arial" w:hAnsi="Times New Roman" w:cs="Times New Roman"/>
                <w:color w:val="000000" w:themeColor="text1"/>
                <w:sz w:val="20"/>
                <w:szCs w:val="20"/>
                <w:lang w:val="fr-FR"/>
              </w:rPr>
              <w:t xml:space="preserve">Peters et al. </w:t>
            </w:r>
            <w:r w:rsidR="00B75738">
              <w:rPr>
                <w:rFonts w:ascii="Times New Roman" w:eastAsia="Arial" w:hAnsi="Times New Roman" w:cs="Times New Roman"/>
                <w:color w:val="000000" w:themeColor="text1"/>
                <w:sz w:val="20"/>
                <w:szCs w:val="20"/>
                <w:lang w:val="fr-FR"/>
              </w:rPr>
              <w:t>[</w:t>
            </w:r>
            <w:r w:rsidRPr="00B75738">
              <w:rPr>
                <w:rFonts w:ascii="Times New Roman" w:eastAsia="Arial" w:hAnsi="Times New Roman" w:cs="Times New Roman"/>
                <w:color w:val="000000" w:themeColor="text1"/>
                <w:sz w:val="20"/>
                <w:szCs w:val="20"/>
              </w:rPr>
              <w:fldChar w:fldCharType="begin" w:fldLock="1"/>
            </w:r>
            <w:r w:rsidRPr="00B75738">
              <w:rPr>
                <w:rFonts w:ascii="Times New Roman" w:eastAsia="Arial" w:hAnsi="Times New Roman" w:cs="Times New Roman"/>
                <w:color w:val="000000" w:themeColor="text1"/>
                <w:sz w:val="20"/>
                <w:szCs w:val="20"/>
                <w:lang w:val="fr-FR"/>
              </w:rPr>
              <w:instrText>ADDIN CSL_CITATION {"citationItems":[{"id":"ITEM-1","itemData":{"DOI":"10.5194/bg-9-3247-2012","ISSN":"1726-4189","author":[{"dropping-particle":"","family":"Peters","given":"G. P.","non-dropping-particle":"","parse-names":false,"suffix":""},{"dropping-particle":"","family":"Davis","given":"S. J.","non-dropping-particle":"","parse-names":false,"suffix":""},{"dropping-particle":"","family":"Andrew","given":"R.","non-dropping-particle":"","parse-names":false,"suffix":""}],"container-title":"Biogeosciences","id":"ITEM-1","issue":"8","issued":{"date-parts":[["2012","8"]]},"page":"3247-3276","title":"A synthesis of carbon in international trade","type":"article-journal","volume":"9"},"uris":["http://www.mendeley.com/documents/?uuid=13aaa07d-69fb-4d0c-b60c-c51107b8444a"]}],"mendeley":{"formattedCitation":"&lt;sup&gt;18&lt;/sup&gt;","plainTextFormattedCitation":"18","previouslyFormattedCitation":"&lt;sup&gt;18&lt;/sup&gt;"},"properties":{"noteIndex":0},"schema":"https://github.com/citation-style-language/schema/raw/master/csl-citation.json"}</w:instrText>
            </w:r>
            <w:r w:rsidRPr="00B75738">
              <w:rPr>
                <w:rFonts w:ascii="Times New Roman" w:eastAsia="Arial" w:hAnsi="Times New Roman" w:cs="Times New Roman"/>
                <w:color w:val="000000" w:themeColor="text1"/>
                <w:sz w:val="20"/>
                <w:szCs w:val="20"/>
              </w:rPr>
              <w:fldChar w:fldCharType="separate"/>
            </w:r>
            <w:r w:rsidRPr="00B75738">
              <w:rPr>
                <w:rFonts w:ascii="Times New Roman" w:eastAsia="Arial" w:hAnsi="Times New Roman" w:cs="Times New Roman"/>
                <w:noProof/>
                <w:color w:val="000000" w:themeColor="text1"/>
                <w:sz w:val="20"/>
                <w:szCs w:val="20"/>
                <w:lang w:val="fr-FR"/>
              </w:rPr>
              <w:t>18</w:t>
            </w:r>
            <w:r w:rsidRPr="00B75738">
              <w:rPr>
                <w:rFonts w:ascii="Times New Roman" w:eastAsia="Arial" w:hAnsi="Times New Roman" w:cs="Times New Roman"/>
                <w:color w:val="000000" w:themeColor="text1"/>
                <w:sz w:val="20"/>
                <w:szCs w:val="20"/>
              </w:rPr>
              <w:fldChar w:fldCharType="end"/>
            </w:r>
            <w:r w:rsidR="00B75738" w:rsidRPr="001D7FE4">
              <w:rPr>
                <w:rFonts w:ascii="Times New Roman" w:eastAsia="Arial" w:hAnsi="Times New Roman" w:cs="Times New Roman"/>
                <w:color w:val="000000" w:themeColor="text1"/>
                <w:sz w:val="20"/>
                <w:szCs w:val="20"/>
                <w:lang w:val="fr-FR"/>
              </w:rPr>
              <w:t>]</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lang w:val="fr-FR"/>
              </w:rPr>
            </w:pPr>
            <w:r w:rsidRPr="004A6EE9">
              <w:rPr>
                <w:rFonts w:ascii="Times New Roman" w:eastAsia="Arial" w:hAnsi="Times New Roman" w:cs="Times New Roman"/>
                <w:color w:val="000000" w:themeColor="text1"/>
                <w:sz w:val="20"/>
                <w:szCs w:val="20"/>
                <w:lang w:val="fr-FR"/>
              </w:rPr>
              <w:t>20%</w:t>
            </w:r>
          </w:p>
        </w:tc>
      </w:tr>
      <w:tr w:rsidR="00F6749E" w:rsidRPr="004A6EE9" w:rsidTr="004A6EE9">
        <w:trPr>
          <w:trHeight w:val="60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vertAlign w:val="subscript"/>
                <w:lang w:val="fr-FR"/>
              </w:rPr>
            </w:pPr>
            <w:proofErr w:type="spellStart"/>
            <w:r w:rsidRPr="004A6EE9">
              <w:rPr>
                <w:rFonts w:ascii="Times New Roman" w:eastAsia="Arial" w:hAnsi="Times New Roman" w:cs="Times New Roman"/>
                <w:color w:val="000000" w:themeColor="text1"/>
                <w:sz w:val="20"/>
                <w:szCs w:val="20"/>
                <w:lang w:val="fr-FR"/>
              </w:rPr>
              <w:t>F</w:t>
            </w:r>
            <w:r w:rsidRPr="004A6EE9">
              <w:rPr>
                <w:rFonts w:ascii="Times New Roman" w:eastAsia="Arial" w:hAnsi="Times New Roman" w:cs="Times New Roman"/>
                <w:color w:val="000000" w:themeColor="text1"/>
                <w:sz w:val="20"/>
                <w:szCs w:val="20"/>
                <w:vertAlign w:val="subscript"/>
                <w:lang w:val="fr-FR"/>
              </w:rPr>
              <w:t>rivers</w:t>
            </w:r>
            <w:proofErr w:type="spellEnd"/>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lang w:val="fr-FR"/>
              </w:rPr>
            </w:pPr>
            <w:r w:rsidRPr="004A6EE9">
              <w:rPr>
                <w:rFonts w:ascii="Times New Roman" w:eastAsia="Arial" w:hAnsi="Times New Roman" w:cs="Times New Roman"/>
                <w:color w:val="000000" w:themeColor="text1"/>
                <w:sz w:val="20"/>
                <w:szCs w:val="20"/>
                <w:lang w:val="fr-FR"/>
              </w:rPr>
              <w:t>88</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lang w:val="fr-FR"/>
              </w:rPr>
            </w:pPr>
            <w:r w:rsidRPr="004A6EE9">
              <w:rPr>
                <w:rFonts w:ascii="Times New Roman" w:eastAsia="Arial" w:hAnsi="Times New Roman" w:cs="Times New Roman"/>
                <w:color w:val="000000" w:themeColor="text1"/>
                <w:sz w:val="20"/>
                <w:szCs w:val="20"/>
                <w:lang w:val="fr-FR"/>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lang w:val="fr-FR"/>
              </w:rPr>
            </w:pPr>
            <w:r w:rsidRPr="004A6EE9">
              <w:rPr>
                <w:rFonts w:ascii="Times New Roman" w:eastAsia="Arial" w:hAnsi="Times New Roman" w:cs="Times New Roman"/>
                <w:color w:val="000000" w:themeColor="text1"/>
                <w:sz w:val="20"/>
                <w:szCs w:val="20"/>
                <w:lang w:val="fr-FR"/>
              </w:rPr>
              <w:t>19</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proofErr w:type="spellStart"/>
            <w:r w:rsidRPr="004A6EE9">
              <w:rPr>
                <w:rFonts w:ascii="Times New Roman" w:eastAsia="Arial" w:hAnsi="Times New Roman" w:cs="Times New Roman"/>
                <w:color w:val="000000" w:themeColor="text1"/>
                <w:sz w:val="20"/>
                <w:szCs w:val="20"/>
                <w:lang w:val="fr-FR"/>
              </w:rPr>
              <w:t>Mayorga</w:t>
            </w:r>
            <w:proofErr w:type="spellEnd"/>
            <w:r w:rsidRPr="004A6EE9">
              <w:rPr>
                <w:rFonts w:ascii="Times New Roman" w:eastAsia="Arial" w:hAnsi="Times New Roman" w:cs="Times New Roman"/>
                <w:color w:val="000000" w:themeColor="text1"/>
                <w:sz w:val="20"/>
                <w:szCs w:val="20"/>
                <w:lang w:val="fr-FR"/>
              </w:rPr>
              <w:t xml:space="preserve"> et al.</w:t>
            </w:r>
            <w:r w:rsidR="009F5F02">
              <w:rPr>
                <w:rFonts w:ascii="Times New Roman" w:eastAsia="Arial" w:hAnsi="Times New Roman" w:cs="Times New Roman"/>
                <w:color w:val="000000" w:themeColor="text1"/>
                <w:sz w:val="20"/>
                <w:szCs w:val="20"/>
                <w:lang w:val="fr-FR"/>
              </w:rPr>
              <w:t xml:space="preserve"> [</w:t>
            </w:r>
            <w:r w:rsidRPr="009F5F02">
              <w:rPr>
                <w:rFonts w:ascii="Times New Roman" w:eastAsia="Arial" w:hAnsi="Times New Roman" w:cs="Times New Roman"/>
                <w:color w:val="000000" w:themeColor="text1"/>
                <w:sz w:val="20"/>
                <w:szCs w:val="20"/>
                <w:lang w:val="fr-FR"/>
              </w:rPr>
              <w:fldChar w:fldCharType="begin" w:fldLock="1"/>
            </w:r>
            <w:r w:rsidRPr="009F5F02">
              <w:rPr>
                <w:rFonts w:ascii="Times New Roman" w:eastAsia="Arial" w:hAnsi="Times New Roman" w:cs="Times New Roman"/>
                <w:color w:val="000000" w:themeColor="text1"/>
                <w:sz w:val="20"/>
                <w:szCs w:val="20"/>
                <w:lang w:val="fr-FR"/>
              </w:rPr>
              <w:instrText>ADDIN CSL_CITATION {"citationItems":[{"id":"ITEM-1","itemData":{"DOI":"10.1038/nature12760","ISSN":"1476-4687","PMID":"24256802","abstract":"Carbon dioxide (CO2) transfer from inland waters to the atmosphere, known as CO2 evasion, is a component of the global carbon cycle. Global estimates of CO2 evasion have been hampered, however, by the lack of a framework for estimating the inland water surface area and gas transfer velocity and by the absence of a global CO2 database. Here we report regional variations in global inland water surface area, dissolved CO2 and gas transfer velocity. We obtain global CO2 evasion rates of 1.8(+0.25)(-0.25) petagrams of carbon (Pg C) per year from streams and rivers and 0.32(+0.52)(-0.26) Pg C yr(-1) from lakes and reservoirs, where the upper and lower limits are respectively the 5th and 95th confidence interval percentiles. The resulting global evasion rate of 2.1 Pg C yr(-1) is higher than previous estimates owing to a larger stream and river evasion rate. Our analysis predicts global hotspots in stream and river evasion, with about 70 per cent of the flux occurring over just 20 per cent of the land surface. The source of inland water CO2 is still not known with certainty and new studies are needed to research the mechanisms controlling CO2 evasion globally.","author":[{"dropping-particle":"","family":"Raymond","given":"Peter A","non-dropping-particle":"","parse-names":false,"suffix":""},{"dropping-particle":"","family":"Hartmann","given":"Jens","non-dropping-particle":"","parse-names":false,"suffix":""},{"dropping-particle":"","family":"Lauerwald","given":"Ronny","non-dropping-particle":"","parse-names":false,"suffix":""},{"dropping-particle":"","family":"Sobek","given":"Sebastian","non-dropping-particle":"","parse-names":false,"suffix":""},{"dropping-particle":"","family":"McDonald","given":"Cory","non-dropping-particle":"","parse-names":false,"suffix":""},{"dropping-particle":"","family":"Hoover","given":"Mark","non-dropping-particle":"","parse-names":false,"suffix":""},{"dropping-particle":"","family":"Butman","given":"David","non-dropping-particle":"","parse-names":false,"suffix":""},{"dropping-particle":"","family":"Striegl","given":"Robert","non-dropping-particle":"","parse-names":false,"suffix":""},{"dropping-particle":"","family":"Mayorga","given":"Emilio","non-dropping-particle":"","parse-names":false,"suffix":""},{"dropping-particle":"","family":"Humborg","given":"Christoph","non-dropping-particle":"","parse-names":false,"suffix":""},{"dropping-particle":"","family":"Kortelainen","given":"Pirkko","non-dropping-particle":"","parse-names":false,"suffix":""},{"dropping-particle":"","family":"Dürr","given":"Hans","non-dropping-particle":"","parse-names":false,"suffix":""},{"dropping-particle":"","family":"Meybeck","given":"Michel","non-dropping-particle":"","parse-names":false,"suffix":""},{"dropping-particle":"","family":"Ciais","given":"Philippe","non-dropping-particle":"","parse-names":false,"suffix":""},{"dropping-particle":"","family":"Guth","given":"Peter","non-dropping-particle":"","parse-names":false,"suffix":""}],"container-title":"Nature","id":"ITEM-1","issue":"7476","issued":{"date-parts":[["2013","11"]]},"page":"355-9","title":"Global carbon dioxide emissions from inland waters.","type":"article-journal","volume":"503"},"uris":["http://www.mendeley.com/documents/?uuid=eabd41ca-221a-48b7-bf3e-392e04532f97"]}],"mendeley":{"formattedCitation":"&lt;sup&gt;27&lt;/sup&gt;","plainTextFormattedCitation":"27","previouslyFormattedCitation":"&lt;sup&gt;27&lt;/sup&gt;"},"properties":{"noteIndex":0},"schema":"https://github.com/citation-style-language/schema/raw/master/csl-citation.json"}</w:instrText>
            </w:r>
            <w:r w:rsidRPr="009F5F02">
              <w:rPr>
                <w:rFonts w:ascii="Times New Roman" w:eastAsia="Arial" w:hAnsi="Times New Roman" w:cs="Times New Roman"/>
                <w:color w:val="000000" w:themeColor="text1"/>
                <w:sz w:val="20"/>
                <w:szCs w:val="20"/>
                <w:lang w:val="fr-FR"/>
              </w:rPr>
              <w:fldChar w:fldCharType="separate"/>
            </w:r>
            <w:r w:rsidRPr="009F5F02">
              <w:rPr>
                <w:rFonts w:ascii="Times New Roman" w:eastAsia="Arial" w:hAnsi="Times New Roman" w:cs="Times New Roman"/>
                <w:noProof/>
                <w:color w:val="000000" w:themeColor="text1"/>
                <w:sz w:val="20"/>
                <w:szCs w:val="20"/>
                <w:lang w:val="fr-FR"/>
              </w:rPr>
              <w:t>27</w:t>
            </w:r>
            <w:r w:rsidRPr="009F5F02">
              <w:rPr>
                <w:rFonts w:ascii="Times New Roman" w:eastAsia="Arial" w:hAnsi="Times New Roman" w:cs="Times New Roman"/>
                <w:color w:val="000000" w:themeColor="text1"/>
                <w:sz w:val="20"/>
                <w:szCs w:val="20"/>
                <w:lang w:val="fr-FR"/>
              </w:rPr>
              <w:fldChar w:fldCharType="end"/>
            </w:r>
            <w:r w:rsidR="009F5F02">
              <w:rPr>
                <w:rFonts w:ascii="Times New Roman" w:eastAsia="Arial" w:hAnsi="Times New Roman" w:cs="Times New Roman"/>
                <w:color w:val="000000" w:themeColor="text1"/>
                <w:sz w:val="20"/>
                <w:szCs w:val="20"/>
                <w:lang w:val="fr-FR"/>
              </w:rPr>
              <w:t>]</w:t>
            </w:r>
            <w:r w:rsidRPr="004A6EE9">
              <w:rPr>
                <w:rFonts w:ascii="Times New Roman" w:eastAsia="Arial" w:hAnsi="Times New Roman" w:cs="Times New Roman"/>
                <w:color w:val="000000" w:themeColor="text1"/>
                <w:sz w:val="20"/>
                <w:szCs w:val="20"/>
                <w:lang w:val="fr-FR"/>
              </w:rPr>
              <w:t>, Hartmann et al.</w:t>
            </w:r>
            <w:r w:rsidR="009F5F02">
              <w:rPr>
                <w:rFonts w:ascii="Times New Roman" w:eastAsia="Arial" w:hAnsi="Times New Roman" w:cs="Times New Roman"/>
                <w:color w:val="000000" w:themeColor="text1"/>
                <w:sz w:val="20"/>
                <w:szCs w:val="20"/>
                <w:lang w:val="fr-FR"/>
              </w:rPr>
              <w:t xml:space="preserve"> [</w:t>
            </w:r>
            <w:r w:rsidRPr="009F5F02">
              <w:rPr>
                <w:rFonts w:ascii="Times New Roman" w:eastAsia="Arial" w:hAnsi="Times New Roman" w:cs="Times New Roman"/>
                <w:color w:val="000000" w:themeColor="text1"/>
                <w:sz w:val="20"/>
                <w:szCs w:val="20"/>
                <w:lang w:val="fr-FR"/>
              </w:rPr>
              <w:fldChar w:fldCharType="begin" w:fldLock="1"/>
            </w:r>
            <w:r w:rsidRPr="009F5F02">
              <w:rPr>
                <w:rFonts w:ascii="Times New Roman" w:eastAsia="Arial" w:hAnsi="Times New Roman" w:cs="Times New Roman"/>
                <w:color w:val="000000" w:themeColor="text1"/>
                <w:sz w:val="20"/>
                <w:szCs w:val="20"/>
                <w:lang w:val="fr-FR"/>
              </w:rPr>
              <w:instrText>ADDIN CSL_CITATION {"citationItems":[{"id":"ITEM-1","itemData":{"DOI":"10.1016/j.gloplacha.2009.07.007","ISSN":"09218181","author":[{"dropping-particle":"","family":"Hartmann","given":"Jens","non-dropping-particle":"","parse-names":false,"suffix":""},{"dropping-particle":"","family":"Jansen","given":"Nils","non-dropping-particle":"","parse-names":false,"suffix":""},{"dropping-particle":"","family":"Dürr","given":"Hans H.","non-dropping-particle":"","parse-names":false,"suffix":""},{"dropping-particle":"","family":"Kempe","given":"Stephan","non-dropping-particle":"","parse-names":false,"suffix":""},{"dropping-particle":"","family":"Köhler","given":"Peter","non-dropping-particle":"","parse-names":false,"suffix":""}],"container-title":"Global and Planetary Change","id":"ITEM-1","issue":"4","issued":{"date-parts":[["2009","12"]]},"page":"185-194","publisher":"Elsevier B.V.","title":"Global CO2-consumption by chemical weathering: What is the contribution of highly active weathering regions?","type":"article-journal","volume":"69"},"uris":["http://www.mendeley.com/documents/?uuid=4a8d7207-51b7-4109-a3fa-6767f56cccc0"]}],"mendeley":{"formattedCitation":"&lt;sup&gt;20&lt;/sup&gt;","plainTextFormattedCitation":"20","previouslyFormattedCitation":"&lt;sup&gt;20&lt;/sup&gt;"},"properties":{"noteIndex":0},"schema":"https://github.com/citation-style-language/schema/raw/master/csl-citation.json"}</w:instrText>
            </w:r>
            <w:r w:rsidRPr="009F5F02">
              <w:rPr>
                <w:rFonts w:ascii="Times New Roman" w:eastAsia="Arial" w:hAnsi="Times New Roman" w:cs="Times New Roman"/>
                <w:color w:val="000000" w:themeColor="text1"/>
                <w:sz w:val="20"/>
                <w:szCs w:val="20"/>
                <w:lang w:val="fr-FR"/>
              </w:rPr>
              <w:fldChar w:fldCharType="separate"/>
            </w:r>
            <w:r w:rsidRPr="009F5F02">
              <w:rPr>
                <w:rFonts w:ascii="Times New Roman" w:eastAsia="Arial" w:hAnsi="Times New Roman" w:cs="Times New Roman"/>
                <w:noProof/>
                <w:color w:val="000000" w:themeColor="text1"/>
                <w:sz w:val="20"/>
                <w:szCs w:val="20"/>
                <w:lang w:val="fr-FR"/>
              </w:rPr>
              <w:t>20</w:t>
            </w:r>
            <w:r w:rsidRPr="009F5F02">
              <w:rPr>
                <w:rFonts w:ascii="Times New Roman" w:eastAsia="Arial" w:hAnsi="Times New Roman" w:cs="Times New Roman"/>
                <w:color w:val="000000" w:themeColor="text1"/>
                <w:sz w:val="20"/>
                <w:szCs w:val="20"/>
                <w:lang w:val="fr-FR"/>
              </w:rPr>
              <w:fldChar w:fldCharType="end"/>
            </w:r>
            <w:r w:rsidR="009F5F02">
              <w:rPr>
                <w:rFonts w:ascii="Times New Roman" w:eastAsia="Arial" w:hAnsi="Times New Roman" w:cs="Times New Roman"/>
                <w:color w:val="000000" w:themeColor="text1"/>
                <w:sz w:val="20"/>
                <w:szCs w:val="20"/>
                <w:lang w:val="fr-FR"/>
              </w:rPr>
              <w:t>]</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 xml:space="preserve">50% </w:t>
            </w:r>
            <w:r w:rsidR="00B75738" w:rsidRPr="00B75738">
              <w:rPr>
                <w:rFonts w:ascii="Times New Roman" w:eastAsia="Arial" w:hAnsi="Times New Roman" w:cs="Times New Roman"/>
                <w:color w:val="000000" w:themeColor="text1"/>
                <w:sz w:val="20"/>
                <w:szCs w:val="20"/>
                <w:vertAlign w:val="superscript"/>
              </w:rPr>
              <w:t>a</w:t>
            </w:r>
          </w:p>
        </w:tc>
      </w:tr>
      <w:tr w:rsidR="00F6749E" w:rsidRPr="004A6EE9" w:rsidTr="004A6EE9">
        <w:trPr>
          <w:trHeight w:val="60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NEE</w:t>
            </w:r>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-321</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102</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Equation (1)</w:t>
            </w:r>
          </w:p>
        </w:tc>
        <w:tc>
          <w:tcPr>
            <w:tcW w:w="1920" w:type="dxa"/>
            <w:shd w:val="clear" w:color="auto" w:fill="auto"/>
            <w:tcMar>
              <w:top w:w="100" w:type="dxa"/>
              <w:left w:w="100" w:type="dxa"/>
              <w:bottom w:w="100" w:type="dxa"/>
              <w:right w:w="100" w:type="dxa"/>
            </w:tcMar>
            <w:vAlign w:val="center"/>
          </w:tcPr>
          <w:p w:rsidR="00F6749E" w:rsidRPr="00B75738" w:rsidRDefault="00B75738" w:rsidP="004A6EE9">
            <w:pPr>
              <w:widowControl w:val="0"/>
              <w:rPr>
                <w:rFonts w:ascii="Times New Roman" w:eastAsia="Arial" w:hAnsi="Times New Roman" w:cs="Times New Roman"/>
                <w:color w:val="000000" w:themeColor="text1"/>
                <w:sz w:val="20"/>
                <w:szCs w:val="20"/>
                <w:vertAlign w:val="superscript"/>
              </w:rPr>
            </w:pPr>
            <w:r w:rsidRPr="00B75738">
              <w:rPr>
                <w:rFonts w:ascii="Times New Roman" w:eastAsia="Arial" w:hAnsi="Times New Roman" w:cs="Times New Roman"/>
                <w:color w:val="000000" w:themeColor="text1"/>
                <w:sz w:val="20"/>
                <w:szCs w:val="20"/>
                <w:vertAlign w:val="superscript"/>
              </w:rPr>
              <w:t>b</w:t>
            </w:r>
          </w:p>
        </w:tc>
      </w:tr>
      <w:tr w:rsidR="00F6749E" w:rsidRPr="004A6EE9" w:rsidTr="004A6EE9">
        <w:trPr>
          <w:trHeight w:val="60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vertAlign w:val="subscript"/>
              </w:rPr>
            </w:pPr>
            <w:proofErr w:type="spellStart"/>
            <w:r w:rsidRPr="004A6EE9">
              <w:rPr>
                <w:rFonts w:ascii="Times New Roman" w:eastAsia="Arial" w:hAnsi="Times New Roman" w:cs="Times New Roman"/>
                <w:color w:val="000000" w:themeColor="text1"/>
                <w:sz w:val="20"/>
                <w:szCs w:val="20"/>
              </w:rPr>
              <w:t>F</w:t>
            </w:r>
            <w:r w:rsidRPr="004A6EE9">
              <w:rPr>
                <w:rFonts w:ascii="Times New Roman" w:eastAsia="Arial" w:hAnsi="Times New Roman" w:cs="Times New Roman"/>
                <w:color w:val="000000" w:themeColor="text1"/>
                <w:sz w:val="20"/>
                <w:szCs w:val="20"/>
                <w:vertAlign w:val="subscript"/>
              </w:rPr>
              <w:t>crop</w:t>
            </w:r>
            <w:proofErr w:type="spellEnd"/>
            <w:r w:rsidRPr="004A6EE9">
              <w:rPr>
                <w:rFonts w:ascii="Times New Roman" w:eastAsia="Arial" w:hAnsi="Times New Roman" w:cs="Times New Roman"/>
                <w:color w:val="000000" w:themeColor="text1"/>
                <w:sz w:val="20"/>
                <w:szCs w:val="20"/>
                <w:vertAlign w:val="subscript"/>
              </w:rPr>
              <w:t xml:space="preserve"> products</w:t>
            </w:r>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375</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75</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 xml:space="preserve">Peters et al. </w:t>
            </w:r>
            <w:r w:rsidR="00B75738">
              <w:rPr>
                <w:rFonts w:ascii="Times New Roman" w:eastAsia="Arial" w:hAnsi="Times New Roman" w:cs="Times New Roman"/>
                <w:color w:val="000000" w:themeColor="text1"/>
                <w:sz w:val="20"/>
                <w:szCs w:val="20"/>
              </w:rPr>
              <w:t>[</w:t>
            </w:r>
            <w:r w:rsidRPr="00B75738">
              <w:rPr>
                <w:rFonts w:ascii="Times New Roman" w:eastAsia="Arial" w:hAnsi="Times New Roman" w:cs="Times New Roman"/>
                <w:color w:val="000000" w:themeColor="text1"/>
                <w:sz w:val="20"/>
                <w:szCs w:val="20"/>
              </w:rPr>
              <w:fldChar w:fldCharType="begin" w:fldLock="1"/>
            </w:r>
            <w:r w:rsidRPr="00B75738">
              <w:rPr>
                <w:rFonts w:ascii="Times New Roman" w:eastAsia="Arial" w:hAnsi="Times New Roman" w:cs="Times New Roman"/>
                <w:color w:val="000000" w:themeColor="text1"/>
                <w:sz w:val="20"/>
                <w:szCs w:val="20"/>
              </w:rPr>
              <w:instrText>ADDIN CSL_CITATION {"citationItems":[{"id":"ITEM-1","itemData":{"DOI":"10.5194/bg-9-3247-2012","ISSN":"1726-4189","author":[{"dropping-particle":"","family":"Peters","given":"G. P.","non-dropping-particle":"","parse-names":false,"suffix":""},{"dropping-particle":"","family":"Davis","given":"S. J.","non-dropping-particle":"","parse-names":false,"suffix":""},{"dropping-particle":"","family":"Andrew","given":"R.","non-dropping-particle":"","parse-names":false,"suffix":""}],"container-title":"Biogeosciences","id":"ITEM-1","issue":"8","issued":{"date-parts":[["2012","8"]]},"page":"3247-3276","title":"A synthesis of carbon in international trade","type":"article-journal","volume":"9"},"uris":["http://www.mendeley.com/documents/?uuid=13aaa07d-69fb-4d0c-b60c-c51107b8444a"]}],"mendeley":{"formattedCitation":"&lt;sup&gt;18&lt;/sup&gt;","plainTextFormattedCitation":"18","previouslyFormattedCitation":"&lt;sup&gt;18&lt;/sup&gt;"},"properties":{"noteIndex":0},"schema":"https://github.com/citation-style-language/schema/raw/master/csl-citation.json"}</w:instrText>
            </w:r>
            <w:r w:rsidRPr="00B75738">
              <w:rPr>
                <w:rFonts w:ascii="Times New Roman" w:eastAsia="Arial" w:hAnsi="Times New Roman" w:cs="Times New Roman"/>
                <w:color w:val="000000" w:themeColor="text1"/>
                <w:sz w:val="20"/>
                <w:szCs w:val="20"/>
              </w:rPr>
              <w:fldChar w:fldCharType="separate"/>
            </w:r>
            <w:r w:rsidRPr="00B75738">
              <w:rPr>
                <w:rFonts w:ascii="Times New Roman" w:eastAsia="Arial" w:hAnsi="Times New Roman" w:cs="Times New Roman"/>
                <w:noProof/>
                <w:color w:val="000000" w:themeColor="text1"/>
                <w:sz w:val="20"/>
                <w:szCs w:val="20"/>
              </w:rPr>
              <w:t>18</w:t>
            </w:r>
            <w:r w:rsidRPr="00B75738">
              <w:rPr>
                <w:rFonts w:ascii="Times New Roman" w:eastAsia="Arial" w:hAnsi="Times New Roman" w:cs="Times New Roman"/>
                <w:color w:val="000000" w:themeColor="text1"/>
                <w:sz w:val="20"/>
                <w:szCs w:val="20"/>
              </w:rPr>
              <w:fldChar w:fldCharType="end"/>
            </w:r>
            <w:r w:rsidR="00B75738">
              <w:rPr>
                <w:rFonts w:ascii="Times New Roman" w:eastAsia="Arial" w:hAnsi="Times New Roman" w:cs="Times New Roman"/>
                <w:color w:val="000000" w:themeColor="text1"/>
                <w:sz w:val="20"/>
                <w:szCs w:val="20"/>
              </w:rPr>
              <w:t>]</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20%</w:t>
            </w:r>
          </w:p>
        </w:tc>
      </w:tr>
      <w:tr w:rsidR="00F6749E" w:rsidRPr="004A6EE9" w:rsidTr="004A6EE9">
        <w:trPr>
          <w:trHeight w:val="60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vertAlign w:val="subscript"/>
              </w:rPr>
            </w:pPr>
            <w:proofErr w:type="spellStart"/>
            <w:r w:rsidRPr="004A6EE9">
              <w:rPr>
                <w:rFonts w:ascii="Times New Roman" w:eastAsia="Arial" w:hAnsi="Times New Roman" w:cs="Times New Roman"/>
                <w:color w:val="000000" w:themeColor="text1"/>
                <w:sz w:val="20"/>
                <w:szCs w:val="20"/>
              </w:rPr>
              <w:t>F</w:t>
            </w:r>
            <w:r w:rsidRPr="004A6EE9">
              <w:rPr>
                <w:rFonts w:ascii="Times New Roman" w:eastAsia="Arial" w:hAnsi="Times New Roman" w:cs="Times New Roman"/>
                <w:color w:val="000000" w:themeColor="text1"/>
                <w:sz w:val="20"/>
                <w:szCs w:val="20"/>
                <w:vertAlign w:val="subscript"/>
              </w:rPr>
              <w:t>wood</w:t>
            </w:r>
            <w:proofErr w:type="spellEnd"/>
            <w:r w:rsidRPr="004A6EE9">
              <w:rPr>
                <w:rFonts w:ascii="Times New Roman" w:eastAsia="Arial" w:hAnsi="Times New Roman" w:cs="Times New Roman"/>
                <w:color w:val="000000" w:themeColor="text1"/>
                <w:sz w:val="20"/>
                <w:szCs w:val="20"/>
                <w:vertAlign w:val="subscript"/>
              </w:rPr>
              <w:t xml:space="preserve"> products</w:t>
            </w:r>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135</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64</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 xml:space="preserve">Bookkeeping model (see </w:t>
            </w:r>
            <w:r w:rsidR="00B75738">
              <w:rPr>
                <w:rFonts w:ascii="Times New Roman" w:eastAsia="Arial" w:hAnsi="Times New Roman" w:cs="Times New Roman"/>
                <w:color w:val="000000" w:themeColor="text1"/>
                <w:sz w:val="20"/>
                <w:szCs w:val="20"/>
              </w:rPr>
              <w:t>M</w:t>
            </w:r>
            <w:r w:rsidRPr="004A6EE9">
              <w:rPr>
                <w:rFonts w:ascii="Times New Roman" w:eastAsia="Arial" w:hAnsi="Times New Roman" w:cs="Times New Roman"/>
                <w:color w:val="000000" w:themeColor="text1"/>
                <w:sz w:val="20"/>
                <w:szCs w:val="20"/>
              </w:rPr>
              <w:t xml:space="preserve">ethods) for wood products decay, Wang et al. for wood burned in power plant and industry </w:t>
            </w:r>
          </w:p>
        </w:tc>
        <w:tc>
          <w:tcPr>
            <w:tcW w:w="1920" w:type="dxa"/>
            <w:shd w:val="clear" w:color="auto" w:fill="auto"/>
            <w:tcMar>
              <w:top w:w="100" w:type="dxa"/>
              <w:left w:w="100" w:type="dxa"/>
              <w:bottom w:w="100" w:type="dxa"/>
              <w:right w:w="100" w:type="dxa"/>
            </w:tcMar>
            <w:vAlign w:val="center"/>
          </w:tcPr>
          <w:p w:rsidR="00F6749E" w:rsidRPr="00B75738" w:rsidRDefault="00B75738" w:rsidP="004A6EE9">
            <w:pPr>
              <w:widowControl w:val="0"/>
              <w:rPr>
                <w:rFonts w:ascii="Times New Roman" w:eastAsia="Arial" w:hAnsi="Times New Roman" w:cs="Times New Roman"/>
                <w:color w:val="000000" w:themeColor="text1"/>
                <w:sz w:val="20"/>
                <w:szCs w:val="20"/>
                <w:vertAlign w:val="superscript"/>
              </w:rPr>
            </w:pPr>
            <w:r w:rsidRPr="00B75738">
              <w:rPr>
                <w:rFonts w:ascii="Times New Roman" w:eastAsia="Arial" w:hAnsi="Times New Roman" w:cs="Times New Roman"/>
                <w:color w:val="000000" w:themeColor="text1"/>
                <w:sz w:val="20"/>
                <w:szCs w:val="20"/>
                <w:vertAlign w:val="superscript"/>
              </w:rPr>
              <w:t>c</w:t>
            </w:r>
          </w:p>
        </w:tc>
      </w:tr>
      <w:tr w:rsidR="00F6749E" w:rsidRPr="004A6EE9" w:rsidTr="004A6EE9">
        <w:trPr>
          <w:trHeight w:val="48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vertAlign w:val="subscript"/>
              </w:rPr>
            </w:pPr>
            <w:proofErr w:type="spellStart"/>
            <w:r w:rsidRPr="004A6EE9">
              <w:rPr>
                <w:rFonts w:ascii="Times New Roman" w:eastAsia="Arial" w:hAnsi="Times New Roman" w:cs="Times New Roman"/>
                <w:color w:val="000000" w:themeColor="text1"/>
                <w:sz w:val="20"/>
                <w:szCs w:val="20"/>
              </w:rPr>
              <w:t>F</w:t>
            </w:r>
            <w:r w:rsidRPr="004A6EE9">
              <w:rPr>
                <w:rFonts w:ascii="Times New Roman" w:eastAsia="Arial" w:hAnsi="Times New Roman" w:cs="Times New Roman"/>
                <w:color w:val="000000" w:themeColor="text1"/>
                <w:sz w:val="20"/>
                <w:szCs w:val="20"/>
                <w:vertAlign w:val="subscript"/>
              </w:rPr>
              <w:t>grazing</w:t>
            </w:r>
            <w:proofErr w:type="spellEnd"/>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118</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24</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This study (see Methods)</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20%</w:t>
            </w:r>
          </w:p>
        </w:tc>
      </w:tr>
      <w:tr w:rsidR="00F6749E" w:rsidRPr="004A6EE9" w:rsidTr="004A6EE9">
        <w:trPr>
          <w:trHeight w:val="60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proofErr w:type="spellStart"/>
            <w:r w:rsidRPr="004A6EE9">
              <w:rPr>
                <w:rFonts w:ascii="Times New Roman" w:eastAsia="Arial" w:hAnsi="Times New Roman" w:cs="Times New Roman"/>
                <w:color w:val="000000" w:themeColor="text1"/>
                <w:sz w:val="20"/>
                <w:szCs w:val="20"/>
              </w:rPr>
              <w:t>F</w:t>
            </w:r>
            <w:r w:rsidRPr="004A6EE9">
              <w:rPr>
                <w:rFonts w:ascii="Times New Roman" w:eastAsia="Arial" w:hAnsi="Times New Roman" w:cs="Times New Roman"/>
                <w:color w:val="000000" w:themeColor="text1"/>
                <w:sz w:val="20"/>
                <w:szCs w:val="20"/>
                <w:vertAlign w:val="subscript"/>
              </w:rPr>
              <w:t>fires</w:t>
            </w:r>
            <w:proofErr w:type="spellEnd"/>
            <w:r w:rsidRPr="004A6EE9">
              <w:rPr>
                <w:rFonts w:ascii="Times New Roman" w:eastAsia="Arial" w:hAnsi="Times New Roman" w:cs="Times New Roman"/>
                <w:color w:val="000000" w:themeColor="text1"/>
                <w:sz w:val="20"/>
                <w:szCs w:val="20"/>
                <w:vertAlign w:val="subscript"/>
              </w:rPr>
              <w:t xml:space="preserve"> GFED</w:t>
            </w:r>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20</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5</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 xml:space="preserve">Extended from </w:t>
            </w:r>
            <w:r w:rsidR="00B75738">
              <w:rPr>
                <w:rFonts w:ascii="Times New Roman" w:eastAsia="Arial" w:hAnsi="Times New Roman" w:cs="Times New Roman"/>
                <w:color w:val="000000" w:themeColor="text1"/>
                <w:sz w:val="20"/>
                <w:szCs w:val="20"/>
              </w:rPr>
              <w:t>[</w:t>
            </w:r>
            <w:r w:rsidRPr="00B75738">
              <w:rPr>
                <w:rFonts w:ascii="Times New Roman" w:eastAsia="Arial" w:hAnsi="Times New Roman" w:cs="Times New Roman"/>
                <w:color w:val="000000" w:themeColor="text1"/>
                <w:sz w:val="20"/>
                <w:szCs w:val="20"/>
              </w:rPr>
              <w:fldChar w:fldCharType="begin" w:fldLock="1"/>
            </w:r>
            <w:r w:rsidRPr="00B75738">
              <w:rPr>
                <w:rFonts w:ascii="Times New Roman" w:eastAsia="Arial" w:hAnsi="Times New Roman" w:cs="Times New Roman"/>
                <w:color w:val="000000" w:themeColor="text1"/>
                <w:sz w:val="20"/>
                <w:szCs w:val="20"/>
              </w:rPr>
              <w:instrText>ADDIN CSL_CITATION {"citationItems":[{"id":"ITEM-1","itemData":{"DOI":"10.5194/acp-10-11707-2010","ISSN":"1680-7324","author":[{"dropping-particle":"","family":"Werf","given":"G. R.","non-dropping-particle":"van der","parse-names":false,"suffix":""},{"dropping-particle":"","family":"Randerson","given":"J. T.","non-dropping-particle":"","parse-names":false,"suffix":""},{"dropping-particle":"","family":"Giglio","given":"L.","non-dropping-particle":"","parse-names":false,"suffix":""},{"dropping-particle":"","family":"Collatz","given":"G. J.","non-dropping-particle":"","parse-names":false,"suffix":""},{"dropping-particle":"","family":"Mu","given":"M.","non-dropping-particle":"","parse-names":false,"suffix":""},{"dropping-particle":"","family":"Kasibhatla","given":"P. S.","non-dropping-particle":"","parse-names":false,"suffix":""},{"dropping-particle":"","family":"Morton","given":"D. C.","non-dropping-particle":"","parse-names":false,"suffix":""},{"dropping-particle":"","family":"DeFries","given":"R. S.","non-dropping-particle":"","parse-names":false,"suffix":""},{"dropping-particle":"","family":"Jin","given":"Y.","non-dropping-particle":"","parse-names":false,"suffix":""},{"dropping-particle":"","family":"Leeuwen","given":"T. T.","non-dropping-particle":"van","parse-names":false,"suffix":""}],"container-title":"Atmospheric Chemistry and Physics","id":"ITEM-1","issue":"23","issued":{"date-parts":[["2010","12"]]},"page":"11707-11735","title":"Global fire emissions and the contribution of deforestation, savanna, forest, agricultural, and peat fires (1997–2009)","type":"article-journal","volume":"10"},"uris":["http://www.mendeley.com/documents/?uuid=b18e6b75-b300-4133-a4d3-d63c6c57bd31"]}],"mendeley":{"formattedCitation":"&lt;sup&gt;81&lt;/sup&gt;","plainTextFormattedCitation":"81","previouslyFormattedCitation":"&lt;sup&gt;81&lt;/sup&gt;"},"properties":{"noteIndex":0},"schema":"https://github.com/citation-style-language/schema/raw/master/csl-citation.json"}</w:instrText>
            </w:r>
            <w:r w:rsidRPr="00B75738">
              <w:rPr>
                <w:rFonts w:ascii="Times New Roman" w:eastAsia="Arial" w:hAnsi="Times New Roman" w:cs="Times New Roman"/>
                <w:color w:val="000000" w:themeColor="text1"/>
                <w:sz w:val="20"/>
                <w:szCs w:val="20"/>
              </w:rPr>
              <w:fldChar w:fldCharType="separate"/>
            </w:r>
            <w:r w:rsidRPr="00B75738">
              <w:rPr>
                <w:rFonts w:ascii="Times New Roman" w:eastAsia="Arial" w:hAnsi="Times New Roman" w:cs="Times New Roman"/>
                <w:noProof/>
                <w:color w:val="000000" w:themeColor="text1"/>
                <w:sz w:val="20"/>
                <w:szCs w:val="20"/>
              </w:rPr>
              <w:t>81</w:t>
            </w:r>
            <w:r w:rsidRPr="00B75738">
              <w:rPr>
                <w:rFonts w:ascii="Times New Roman" w:eastAsia="Arial" w:hAnsi="Times New Roman" w:cs="Times New Roman"/>
                <w:color w:val="000000" w:themeColor="text1"/>
                <w:sz w:val="20"/>
                <w:szCs w:val="20"/>
              </w:rPr>
              <w:fldChar w:fldCharType="end"/>
            </w:r>
            <w:r w:rsidR="00B75738">
              <w:rPr>
                <w:rFonts w:ascii="Times New Roman" w:eastAsia="Arial" w:hAnsi="Times New Roman" w:cs="Times New Roman"/>
                <w:color w:val="000000" w:themeColor="text1"/>
                <w:sz w:val="20"/>
                <w:szCs w:val="20"/>
              </w:rPr>
              <w:t>]</w:t>
            </w:r>
            <w:r w:rsidR="00E8739C">
              <w:rPr>
                <w:rFonts w:ascii="Times New Roman" w:eastAsia="Arial" w:hAnsi="Times New Roman" w:cs="Times New Roman"/>
                <w:color w:val="000000" w:themeColor="text1"/>
                <w:sz w:val="20"/>
                <w:szCs w:val="20"/>
              </w:rPr>
              <w:t xml:space="preserve"> </w:t>
            </w:r>
            <w:r w:rsidR="00E8739C" w:rsidRPr="00E8739C">
              <w:rPr>
                <w:rFonts w:ascii="Times New Roman" w:eastAsia="Arial" w:hAnsi="Times New Roman" w:cs="Times New Roman"/>
                <w:color w:val="000000" w:themeColor="text1"/>
                <w:sz w:val="20"/>
                <w:szCs w:val="20"/>
                <w:vertAlign w:val="superscript"/>
              </w:rPr>
              <w:t>d</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see Methods</w:t>
            </w:r>
          </w:p>
        </w:tc>
      </w:tr>
      <w:tr w:rsidR="00F6749E" w:rsidRPr="004A6EE9" w:rsidTr="004A6EE9">
        <w:trPr>
          <w:trHeight w:val="60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proofErr w:type="spellStart"/>
            <w:r w:rsidRPr="004A6EE9">
              <w:rPr>
                <w:rFonts w:ascii="Times New Roman" w:eastAsia="Arial" w:hAnsi="Times New Roman" w:cs="Times New Roman"/>
                <w:color w:val="000000" w:themeColor="text1"/>
                <w:sz w:val="20"/>
                <w:szCs w:val="20"/>
              </w:rPr>
              <w:t>F</w:t>
            </w:r>
            <w:r w:rsidRPr="004A6EE9">
              <w:rPr>
                <w:rFonts w:ascii="Times New Roman" w:eastAsia="Arial" w:hAnsi="Times New Roman" w:cs="Times New Roman"/>
                <w:color w:val="000000" w:themeColor="text1"/>
                <w:sz w:val="20"/>
                <w:szCs w:val="20"/>
                <w:vertAlign w:val="subscript"/>
              </w:rPr>
              <w:t>fires</w:t>
            </w:r>
            <w:proofErr w:type="spellEnd"/>
            <w:r w:rsidRPr="004A6EE9">
              <w:rPr>
                <w:rFonts w:ascii="Times New Roman" w:eastAsia="Arial" w:hAnsi="Times New Roman" w:cs="Times New Roman"/>
                <w:color w:val="000000" w:themeColor="text1"/>
                <w:sz w:val="20"/>
                <w:szCs w:val="20"/>
                <w:vertAlign w:val="subscript"/>
              </w:rPr>
              <w:t xml:space="preserve"> GFAS</w:t>
            </w:r>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19</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6</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Giuseppe et. al.</w:t>
            </w:r>
            <w:r w:rsidR="00B75738">
              <w:rPr>
                <w:rFonts w:ascii="Times New Roman" w:eastAsia="Arial" w:hAnsi="Times New Roman" w:cs="Times New Roman"/>
                <w:color w:val="000000" w:themeColor="text1"/>
                <w:sz w:val="20"/>
                <w:szCs w:val="20"/>
              </w:rPr>
              <w:t xml:space="preserve"> [</w:t>
            </w:r>
            <w:r w:rsidRPr="00B75738">
              <w:rPr>
                <w:rFonts w:ascii="Times New Roman" w:eastAsia="Arial" w:hAnsi="Times New Roman" w:cs="Times New Roman"/>
                <w:color w:val="000000" w:themeColor="text1"/>
                <w:sz w:val="20"/>
                <w:szCs w:val="20"/>
              </w:rPr>
              <w:fldChar w:fldCharType="begin" w:fldLock="1"/>
            </w:r>
            <w:r w:rsidRPr="00B75738">
              <w:rPr>
                <w:rFonts w:ascii="Times New Roman" w:eastAsia="Arial" w:hAnsi="Times New Roman" w:cs="Times New Roman"/>
                <w:color w:val="000000" w:themeColor="text1"/>
                <w:sz w:val="20"/>
                <w:szCs w:val="20"/>
              </w:rPr>
              <w:instrText>ADDIN CSL_CITATION {"citationItems":[{"id":"ITEM-1","itemData":{"DOI":"10.5194/acp-18-5359-2018","ISSN":"16807324","abstract":"&lt;p&gt;&lt;strong&gt;Abstract.&lt;/strong&gt; The atmospheric composition analysis and forecast for the European Copernicus Atmosphere Monitoring Services (CAMS) relies on biomass-burning fire emission estimates from the Global Fire Assimilation System (GFAS). The GFAS is a global system and converts fire radiative power (FRP) observations from MODIS satellites into smoke constituents. Missing observations are filled in using persistence, whereby observed FRP values from the previous day are progressed in time until a new observation is recorded. One of the consequences of this assumption is an increase of fire duration, which in turn translates into an increase of emissions estimated from fires compared to what is available from observations. In this study persistence is replaced by modelled predictions using the Canadian Fire Weather Index (FWI), which describes how atmospheric conditions affect the vegetation moisture content and ultimately fire duration. The skill in predicting emissions from biomass burning is improved with the new technique, which indicates that using an FWI-based model to infer emissions from FRP is better than persistence when observations are not available.&lt;/p&gt;","author":[{"dropping-particle":"","family":"Giuseppe","given":"Francesca","non-dropping-particle":"Di","parse-names":false,"suffix":""},{"dropping-particle":"","family":"Rémy","given":"Samuel","non-dropping-particle":"","parse-names":false,"suffix":""},{"dropping-particle":"","family":"Pappenberger","given":"Florian","non-dropping-particle":"","parse-names":false,"suffix":""},{"dropping-particle":"","family":"Wetterhall","given":"Fredrik","non-dropping-particle":"","parse-names":false,"suffix":""}],"container-title":"Atmospheric Chemistry and Physics","id":"ITEM-1","issued":{"date-parts":[["2018"]]},"title":"Using the Fire Weather Index (FWI) to improve the estimation of fire emissions from fire radiative power (FRP) observations","type":"article-journal"},"uris":["http://www.mendeley.com/documents/?uuid=b1a42bd6-9d56-3f5c-86a5-7ac41386b2b2"]}],"mendeley":{"formattedCitation":"&lt;sup&gt;82&lt;/sup&gt;","plainTextFormattedCitation":"82","previouslyFormattedCitation":"&lt;sup&gt;82&lt;/sup&gt;"},"properties":{"noteIndex":0},"schema":"https://github.com/citation-style-language/schema/raw/master/csl-citation.json"}</w:instrText>
            </w:r>
            <w:r w:rsidRPr="00B75738">
              <w:rPr>
                <w:rFonts w:ascii="Times New Roman" w:eastAsia="Arial" w:hAnsi="Times New Roman" w:cs="Times New Roman"/>
                <w:color w:val="000000" w:themeColor="text1"/>
                <w:sz w:val="20"/>
                <w:szCs w:val="20"/>
              </w:rPr>
              <w:fldChar w:fldCharType="separate"/>
            </w:r>
            <w:r w:rsidRPr="00B75738">
              <w:rPr>
                <w:rFonts w:ascii="Times New Roman" w:eastAsia="Arial" w:hAnsi="Times New Roman" w:cs="Times New Roman"/>
                <w:noProof/>
                <w:color w:val="000000" w:themeColor="text1"/>
                <w:sz w:val="20"/>
                <w:szCs w:val="20"/>
              </w:rPr>
              <w:t>82</w:t>
            </w:r>
            <w:r w:rsidRPr="00B75738">
              <w:rPr>
                <w:rFonts w:ascii="Times New Roman" w:eastAsia="Arial" w:hAnsi="Times New Roman" w:cs="Times New Roman"/>
                <w:color w:val="000000" w:themeColor="text1"/>
                <w:sz w:val="20"/>
                <w:szCs w:val="20"/>
              </w:rPr>
              <w:fldChar w:fldCharType="end"/>
            </w:r>
            <w:r w:rsidR="00B75738">
              <w:rPr>
                <w:rFonts w:ascii="Times New Roman" w:eastAsia="Arial" w:hAnsi="Times New Roman" w:cs="Times New Roman"/>
                <w:color w:val="000000" w:themeColor="text1"/>
                <w:sz w:val="20"/>
                <w:szCs w:val="20"/>
              </w:rPr>
              <w:t>]</w:t>
            </w:r>
            <w:r w:rsidR="00E8739C">
              <w:rPr>
                <w:rFonts w:ascii="Times New Roman" w:eastAsia="Arial" w:hAnsi="Times New Roman" w:cs="Times New Roman"/>
                <w:color w:val="000000" w:themeColor="text1"/>
                <w:sz w:val="20"/>
                <w:szCs w:val="20"/>
              </w:rPr>
              <w:t xml:space="preserve"> </w:t>
            </w:r>
            <w:r w:rsidR="00E8739C" w:rsidRPr="00E8739C">
              <w:rPr>
                <w:rFonts w:ascii="Times New Roman" w:eastAsia="Arial" w:hAnsi="Times New Roman" w:cs="Times New Roman"/>
                <w:color w:val="000000" w:themeColor="text1"/>
                <w:sz w:val="20"/>
                <w:szCs w:val="20"/>
                <w:vertAlign w:val="superscript"/>
              </w:rPr>
              <w:t>d</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see Methods</w:t>
            </w:r>
          </w:p>
        </w:tc>
      </w:tr>
      <w:tr w:rsidR="00F6749E" w:rsidRPr="004A6EE9" w:rsidTr="004A6EE9">
        <w:trPr>
          <w:trHeight w:val="60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vertAlign w:val="subscript"/>
              </w:rPr>
            </w:pPr>
            <w:r w:rsidRPr="004A6EE9">
              <w:rPr>
                <w:rFonts w:ascii="Times New Roman" w:eastAsia="Arial" w:hAnsi="Times New Roman" w:cs="Times New Roman"/>
                <w:color w:val="000000" w:themeColor="text1"/>
                <w:sz w:val="20"/>
                <w:szCs w:val="20"/>
              </w:rPr>
              <w:t>F</w:t>
            </w:r>
            <w:r w:rsidRPr="004A6EE9">
              <w:rPr>
                <w:rFonts w:ascii="Times New Roman" w:eastAsia="Arial" w:hAnsi="Times New Roman" w:cs="Times New Roman"/>
                <w:color w:val="000000" w:themeColor="text1"/>
                <w:sz w:val="20"/>
                <w:szCs w:val="20"/>
                <w:vertAlign w:val="subscript"/>
              </w:rPr>
              <w:t xml:space="preserve">LUC RECCAP  </w:t>
            </w:r>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-13</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29</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highlight w:val="yellow"/>
              </w:rPr>
            </w:pPr>
            <w:r w:rsidRPr="004A6EE9">
              <w:rPr>
                <w:rFonts w:ascii="Times New Roman" w:eastAsia="Arial" w:hAnsi="Times New Roman" w:cs="Times New Roman"/>
                <w:color w:val="000000" w:themeColor="text1"/>
                <w:sz w:val="20"/>
                <w:szCs w:val="20"/>
              </w:rPr>
              <w:t xml:space="preserve">Piao et al. </w:t>
            </w:r>
            <w:r w:rsidR="00B75738">
              <w:rPr>
                <w:rFonts w:ascii="Times New Roman" w:eastAsia="Arial" w:hAnsi="Times New Roman" w:cs="Times New Roman"/>
                <w:color w:val="000000" w:themeColor="text1"/>
                <w:sz w:val="20"/>
                <w:szCs w:val="20"/>
              </w:rPr>
              <w:t>[</w:t>
            </w:r>
            <w:r w:rsidRPr="00B75738">
              <w:rPr>
                <w:rFonts w:ascii="Times New Roman" w:eastAsia="Arial" w:hAnsi="Times New Roman" w:cs="Times New Roman"/>
                <w:color w:val="000000" w:themeColor="text1"/>
                <w:sz w:val="20"/>
                <w:szCs w:val="20"/>
              </w:rPr>
              <w:fldChar w:fldCharType="begin" w:fldLock="1"/>
            </w:r>
            <w:r w:rsidRPr="00B75738">
              <w:rPr>
                <w:rFonts w:ascii="Times New Roman" w:eastAsia="Arial" w:hAnsi="Times New Roman" w:cs="Times New Roman"/>
                <w:color w:val="000000" w:themeColor="text1"/>
                <w:sz w:val="20"/>
                <w:szCs w:val="20"/>
              </w:rPr>
              <w:instrText>ADDIN CSL_CITATION {"citationItems":[{"id":"ITEM-1","itemData":{"DOI":"10.5194/bg-9-3571-2012","ISSN":"17264170","abstract":"This REgional Carbon Cycle Assessment and Processes regional study provides a synthesis of the carbon balance of terrestrial ecosystems in East Asia, a region comprised of China, Japan, North and South Korea, and Mongolia. We estimate the current terrestrial carbon balance of East Asia and its driving mechanisms during 1990-2009 using three different approaches: inventories combined with satellite greenness measurements, terrestrial ecosystem carbon cycle models and atmospheric inversion models. The magnitudes of East Asia's terrestrial carbon sink from these three approaches are comparable:-0. 293±0.033 PgC yr -1 from inventory-remote sensing model-data fusion approach,-0.413±0.141 PgC yr -1 (not considering biofuel emissions) or-0.224±0.141 PgC yr -1 (considering biofuel emissions) for carbon cycle models, and-0.270±0.507 PgC yr -1 for atmospheric inverse models. Here and in the following, the numbers behind ± signs are standard deviations. The ensemble of ecosystem modeling based analyses further suggests that at the regional scale, climate change and rising atmospheric CO 2 together resulted in a carbon sink of-0.289±0.135 PgC yr -1 , while land-use change and nitrogen deposition had a contribution of-0.013±0.029 PgC yr -1 and-0.107±0.025 PgC yr -1 , respectively. Although the magnitude of climate change effects on the carbon balance varies among different models, all models agree that in response to climate change alone, southern China experienced an increase in carbon storage from 1990 to 2009, while northern East Asia including Mongolia and north China showed a decrease in carbon storage. Overall, our results suggest that about 13-27% of East Asia's CO 2 emissions from fossil fuel burning have been offset by carbon accumulation in its terrestrial territory over the period from 1990 to 2009. The underlying mechanisms of carbon sink over East Asia still remain largely uncertain, given the diversity and intensity of land management processes, and the regional conjunction of many drivers such as nutrient deposition, climate, atmospheric pollution and CO 2 changes, which cannot be considered as independent for their effects on carbon storage. © 2012 Author(s).","author":[{"dropping-particle":"","family":"Piao","given":"S.L.","non-dropping-particle":"","parse-names":false,"suffix":""},{"dropping-particle":"","family":"Ito","given":"A.","non-dropping-particle":"","parse-names":false,"suffix":""},{"dropping-particle":"","family":"Li","given":"S.G.","non-dropping-particle":"","parse-names":false,"suffix":""},{"dropping-particle":"","family":"Huang","given":"Y.","non-dropping-particle":"","parse-names":false,"suffix":""},{"dropping-particle":"","family":"Ciais","given":"P.","non-dropping-particle":"","parse-names":false,"suffix":""},{"dropping-particle":"","family":"Wang","given":"X.H.","non-dropping-particle":"","parse-names":false,"suffix":""},{"dropping-particle":"","family":"Peng","given":"S.S.","non-dropping-particle":"","parse-names":false,"suffix":""},{"dropping-particle":"","family":"Nan","given":"H.J.","non-dropping-particle":"","parse-names":false,"suffix":""},{"dropping-particle":"","family":"Zhao","given":"C.","non-dropping-particle":"","parse-names":false,"suffix":""},{"dropping-particle":"","family":"Ahlström","given":"A.","non-dropping-particle":"","parse-names":false,"suffix":""},{"dropping-particle":"","family":"Andres","given":"R.J.","non-dropping-particle":"","parse-names":false,"suffix":""},{"dropping-particle":"","family":"Chevallier","given":"F.","non-dropping-particle":"","parse-names":false,"suffix":""},{"dropping-particle":"","family":"Fang","given":"J.Y.","non-dropping-particle":"","parse-names":false,"suffix":""},{"dropping-particle":"","family":"Hartmann","given":"J.","non-dropping-particle":"","parse-names":false,"suffix":""},{"dropping-particle":"","family":"Huntingford","given":"C.","non-dropping-particle":"","parse-names":false,"suffix":""},{"dropping-particle":"","family":"Jeong","given":"S.","non-dropping-particle":"","parse-names":false,"suffix":""},{"dropping-particle":"","family":"Levis","given":"S.","non-dropping-particle":"","parse-names":false,"suffix":""},{"dropping-particle":"","family":"Levy","given":"P.E.","non-dropping-particle":"","parse-names":false,"suffix":""},{"dropping-particle":"","family":"Li","given":"J.S.","non-dropping-particle":"","parse-names":false,"suffix":""},{"dropping-particle":"","family":"Lomas","given":"M.R.","non-dropping-particle":"","parse-names":false,"suffix":""},{"dropping-particle":"","family":"Mao","given":"J.F.","non-dropping-particle":"","parse-names":false,"suffix":""},{"dropping-particle":"","family":"Mayorga","given":"E.","non-dropping-particle":"","parse-names":false,"suffix":""},{"dropping-particle":"","family":"Mohammat","given":"A.","non-dropping-particle":"","parse-names":false,"suffix":""},{"dropping-particle":"","family":"Muraoka","given":"H.","non-dropping-particle":"","parse-names":false,"suffix":""},{"dropping-particle":"","family":"Peng","given":"C.H.","non-dropping-particle":"","parse-names":false,"suffix":""},{"dropping-particle":"","family":"Peylin","given":"P.","non-dropping-particle":"","parse-names":false,"suffix":""},{"dropping-particle":"","family":"Poulter","given":"B.","non-dropping-particle":"","parse-names":false,"suffix":""},{"dropping-particle":"","family":"Shen","given":"Z.H.","non-dropping-particle":"","parse-names":false,"suffix":""},{"dropping-particle":"","family":"Shi","given":"X.","non-dropping-particle":"","parse-names":false,"suffix":""},{"dropping-particle":"","family":"Sitch","given":"S.","non-dropping-particle":"","parse-names":false,"suffix":""},{"dropping-particle":"","family":"Tao","given":"S.","non-dropping-particle":"","parse-names":false,"suffix":""},{"dropping-particle":"","family":"Tian","given":"H.Q.","non-dropping-particle":"","parse-names":false,"suffix":""},{"dropping-particle":"","family":"Wu","given":"X.P.","non-dropping-particle":"","parse-names":false,"suffix":""},{"dropping-particle":"","family":"Xu","given":"M.","non-dropping-particle":"","parse-names":false,"suffix":""},{"dropping-particle":"","family":"Yu","given":"G.R.","non-dropping-particle":"","parse-names":false,"suffix":""},{"dropping-particle":"","family":"Viovy","given":"N.","non-dropping-particle":"","parse-names":false,"suffix":""},{"dropping-particle":"","family":"Zaehle","given":"S.","non-dropping-particle":"","parse-names":false,"suffix":""},{"dropping-particle":"","family":"Zeng","given":"N.","non-dropping-particle":"","parse-names":false,"suffix":""},{"dropping-particle":"","family":"Zhu","given":"B.","non-dropping-particle":"","parse-names":false,"suffix":""}],"container-title":"Biogeosciences","id":"ITEM-1","issue":"9","issued":{"date-parts":[["2012"]]},"title":"The carbon budget of terrestrial ecosystems in East Asia over the last two decades","type":"article-journal","volume":"9"},"uris":["http://www.mendeley.com/documents/?uuid=725112b6-d2b9-3254-a96f-161d2fbdb939"]}],"mendeley":{"formattedCitation":"&lt;sup&gt;13&lt;/sup&gt;","plainTextFormattedCitation":"13","previouslyFormattedCitation":"&lt;sup&gt;13&lt;/sup&gt;"},"properties":{"noteIndex":0},"schema":"https://github.com/citation-style-language/schema/raw/master/csl-citation.json"}</w:instrText>
            </w:r>
            <w:r w:rsidRPr="00B75738">
              <w:rPr>
                <w:rFonts w:ascii="Times New Roman" w:eastAsia="Arial" w:hAnsi="Times New Roman" w:cs="Times New Roman"/>
                <w:color w:val="000000" w:themeColor="text1"/>
                <w:sz w:val="20"/>
                <w:szCs w:val="20"/>
              </w:rPr>
              <w:fldChar w:fldCharType="separate"/>
            </w:r>
            <w:r w:rsidRPr="00B75738">
              <w:rPr>
                <w:rFonts w:ascii="Times New Roman" w:eastAsia="Arial" w:hAnsi="Times New Roman" w:cs="Times New Roman"/>
                <w:noProof/>
                <w:color w:val="000000" w:themeColor="text1"/>
                <w:sz w:val="20"/>
                <w:szCs w:val="20"/>
              </w:rPr>
              <w:t>13</w:t>
            </w:r>
            <w:r w:rsidRPr="00B75738">
              <w:rPr>
                <w:rFonts w:ascii="Times New Roman" w:eastAsia="Arial" w:hAnsi="Times New Roman" w:cs="Times New Roman"/>
                <w:color w:val="000000" w:themeColor="text1"/>
                <w:sz w:val="20"/>
                <w:szCs w:val="20"/>
              </w:rPr>
              <w:fldChar w:fldCharType="end"/>
            </w:r>
            <w:r w:rsidR="00B75738">
              <w:rPr>
                <w:rFonts w:ascii="Times New Roman" w:eastAsia="Arial" w:hAnsi="Times New Roman" w:cs="Times New Roman"/>
                <w:color w:val="000000" w:themeColor="text1"/>
                <w:sz w:val="20"/>
                <w:szCs w:val="20"/>
              </w:rPr>
              <w:t>]</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Piao et al.</w:t>
            </w:r>
            <w:r w:rsidR="00B75738">
              <w:rPr>
                <w:rFonts w:ascii="Times New Roman" w:eastAsia="Arial" w:hAnsi="Times New Roman" w:cs="Times New Roman"/>
                <w:color w:val="000000" w:themeColor="text1"/>
                <w:sz w:val="20"/>
                <w:szCs w:val="20"/>
              </w:rPr>
              <w:t xml:space="preserve"> </w:t>
            </w:r>
          </w:p>
        </w:tc>
      </w:tr>
      <w:tr w:rsidR="00F6749E" w:rsidRPr="004A6EE9" w:rsidTr="004A6EE9">
        <w:trPr>
          <w:trHeight w:val="60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vertAlign w:val="subscript"/>
              </w:rPr>
            </w:pPr>
            <w:r w:rsidRPr="004A6EE9">
              <w:rPr>
                <w:rFonts w:ascii="Times New Roman" w:eastAsia="Arial" w:hAnsi="Times New Roman" w:cs="Times New Roman"/>
                <w:color w:val="000000" w:themeColor="text1"/>
                <w:sz w:val="20"/>
                <w:szCs w:val="20"/>
              </w:rPr>
              <w:t>F</w:t>
            </w:r>
            <w:r w:rsidRPr="004A6EE9">
              <w:rPr>
                <w:rFonts w:ascii="Times New Roman" w:eastAsia="Arial" w:hAnsi="Times New Roman" w:cs="Times New Roman"/>
                <w:color w:val="000000" w:themeColor="text1"/>
                <w:sz w:val="20"/>
                <w:szCs w:val="20"/>
                <w:vertAlign w:val="subscript"/>
              </w:rPr>
              <w:t>LUC BLUE</w:t>
            </w:r>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98</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48</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highlight w:val="yellow"/>
              </w:rPr>
            </w:pPr>
            <w:proofErr w:type="spellStart"/>
            <w:r w:rsidRPr="004A6EE9">
              <w:rPr>
                <w:rFonts w:ascii="Times New Roman" w:eastAsia="Arial" w:hAnsi="Times New Roman" w:cs="Times New Roman"/>
                <w:color w:val="000000" w:themeColor="text1"/>
                <w:sz w:val="20"/>
                <w:szCs w:val="20"/>
                <w:highlight w:val="white"/>
              </w:rPr>
              <w:t>Hansis</w:t>
            </w:r>
            <w:proofErr w:type="spellEnd"/>
            <w:r w:rsidRPr="004A6EE9">
              <w:rPr>
                <w:rFonts w:ascii="Times New Roman" w:eastAsia="Arial" w:hAnsi="Times New Roman" w:cs="Times New Roman"/>
                <w:color w:val="000000" w:themeColor="text1"/>
                <w:sz w:val="20"/>
                <w:szCs w:val="20"/>
                <w:highlight w:val="white"/>
              </w:rPr>
              <w:t xml:space="preserve"> et al. </w:t>
            </w:r>
            <w:r w:rsidR="00B75738">
              <w:rPr>
                <w:rFonts w:ascii="Times New Roman" w:eastAsia="Arial" w:hAnsi="Times New Roman" w:cs="Times New Roman"/>
                <w:color w:val="000000" w:themeColor="text1"/>
                <w:sz w:val="20"/>
                <w:szCs w:val="20"/>
                <w:highlight w:val="white"/>
              </w:rPr>
              <w:t>[</w:t>
            </w:r>
            <w:r w:rsidRPr="00B75738">
              <w:rPr>
                <w:rFonts w:ascii="Times New Roman" w:eastAsia="Arial" w:hAnsi="Times New Roman" w:cs="Times New Roman"/>
                <w:color w:val="000000" w:themeColor="text1"/>
                <w:sz w:val="20"/>
                <w:szCs w:val="20"/>
                <w:highlight w:val="white"/>
                <w:lang w:val="fr-FR"/>
              </w:rPr>
              <w:fldChar w:fldCharType="begin" w:fldLock="1"/>
            </w:r>
            <w:r w:rsidRPr="00B75738">
              <w:rPr>
                <w:rFonts w:ascii="Times New Roman" w:eastAsia="Arial" w:hAnsi="Times New Roman" w:cs="Times New Roman"/>
                <w:color w:val="000000" w:themeColor="text1"/>
                <w:sz w:val="20"/>
                <w:szCs w:val="20"/>
                <w:highlight w:val="white"/>
              </w:rPr>
              <w:instrText>ADDIN CSL_CITATION {"citationItems":[{"id":"ITEM-1","itemData":{"DOI":"10.1002/2014GB004997","ISSN":"0886-6236","abstract":"Abstract Accounting for carbon fluxes from land use and land cover change (LULCC) generally requires choosing from multiple options of how to attribute the fluxes to regions and to LULCC activities. Applying a newly developed and spatially explicit bookkeeping model BLUE (bookkeeping of land use emissions), we quantify LULCC fluxes and attribute them to land use activities and countries by a range of different accounting methods. We present results with respect to a Kyoto Protocol-like ?commitment? accounting period, using land use emissions of 2008?2012 as an example scenario. We assess the effect of accounting methods that vary (1) the temporal evolution of carbon stocks, (2) the state of the carbon stocks at the beginning of the period, (3) the temporal attribution of carbon fluxes during the period, and (4) treatment of LULCC fluxes that occurred prior to the beginning of the period. We show that the methodological choices result in grossly different estimates of carbon fluxes for the different attribution definitions.","author":[{"dropping-particle":"","family":"Hansis","given":"Eberhard","non-dropping-particle":"","parse-names":false,"suffix":""},{"dropping-particle":"","family":"Davis","given":"Steven J","non-dropping-particle":"","parse-names":false,"suffix":""},{"dropping-particle":"","family":"Pongratz","given":"Julia","non-dropping-particle":"","parse-names":false,"suffix":""}],"container-title":"Global Biogeochemical Cycles","id":"ITEM-1","issue":"8","issued":{"date-parts":[["2015","8","1"]]},"note":"doi: 10.1002/2014GB004997","page":"1230-1246","publisher":"John Wiley &amp; Sons, Ltd","title":"Relevance of methodological choices for accounting of land use change carbon fluxes","type":"speech","volume":"29"},"uris":["http://www.mendeley.com/documents/?uuid=554da27d-80b9-47d4-93f9-30dc5af8fd94"]}],"mendeley":{"formattedCitation":"&lt;sup&gt;66&lt;/sup&gt;","plainTextFormattedCitation":"66","previouslyFormattedCitation":"&lt;sup&gt;66&lt;/sup&gt;"},"properties":{"noteIndex":0},"schema":"https://github.com/citation-style-language/schema/raw/master/csl-citation.json"}</w:instrText>
            </w:r>
            <w:r w:rsidRPr="00B75738">
              <w:rPr>
                <w:rFonts w:ascii="Times New Roman" w:eastAsia="Arial" w:hAnsi="Times New Roman" w:cs="Times New Roman"/>
                <w:color w:val="000000" w:themeColor="text1"/>
                <w:sz w:val="20"/>
                <w:szCs w:val="20"/>
                <w:highlight w:val="white"/>
                <w:lang w:val="fr-FR"/>
              </w:rPr>
              <w:fldChar w:fldCharType="separate"/>
            </w:r>
            <w:r w:rsidRPr="00B75738">
              <w:rPr>
                <w:rFonts w:ascii="Times New Roman" w:eastAsia="Arial" w:hAnsi="Times New Roman" w:cs="Times New Roman"/>
                <w:noProof/>
                <w:color w:val="000000" w:themeColor="text1"/>
                <w:sz w:val="20"/>
                <w:szCs w:val="20"/>
                <w:highlight w:val="white"/>
              </w:rPr>
              <w:t>66</w:t>
            </w:r>
            <w:r w:rsidRPr="00B75738">
              <w:rPr>
                <w:rFonts w:ascii="Times New Roman" w:eastAsia="Arial" w:hAnsi="Times New Roman" w:cs="Times New Roman"/>
                <w:color w:val="000000" w:themeColor="text1"/>
                <w:sz w:val="20"/>
                <w:szCs w:val="20"/>
                <w:highlight w:val="white"/>
                <w:lang w:val="fr-FR"/>
              </w:rPr>
              <w:fldChar w:fldCharType="end"/>
            </w:r>
            <w:r w:rsidR="00B75738" w:rsidRPr="001D7FE4">
              <w:rPr>
                <w:rFonts w:ascii="Times New Roman" w:eastAsia="Arial" w:hAnsi="Times New Roman" w:cs="Times New Roman"/>
                <w:color w:val="000000" w:themeColor="text1"/>
                <w:sz w:val="20"/>
                <w:szCs w:val="20"/>
                <w:highlight w:val="white"/>
              </w:rPr>
              <w:t>]</w:t>
            </w:r>
            <w:r w:rsidRPr="004A6EE9">
              <w:rPr>
                <w:rFonts w:ascii="Times New Roman" w:eastAsia="Arial" w:hAnsi="Times New Roman" w:cs="Times New Roman"/>
                <w:color w:val="000000" w:themeColor="text1"/>
                <w:sz w:val="20"/>
                <w:szCs w:val="20"/>
                <w:highlight w:val="white"/>
              </w:rPr>
              <w:t xml:space="preserve"> updated in ref. </w:t>
            </w:r>
            <w:r w:rsidR="00B75738">
              <w:rPr>
                <w:rFonts w:ascii="Times New Roman" w:eastAsia="Arial" w:hAnsi="Times New Roman" w:cs="Times New Roman"/>
                <w:color w:val="000000" w:themeColor="text1"/>
                <w:sz w:val="20"/>
                <w:szCs w:val="20"/>
                <w:highlight w:val="white"/>
              </w:rPr>
              <w:t>[</w:t>
            </w:r>
            <w:r w:rsidRPr="00B75738">
              <w:rPr>
                <w:rFonts w:ascii="Times New Roman" w:eastAsia="Arial" w:hAnsi="Times New Roman" w:cs="Times New Roman"/>
                <w:color w:val="000000" w:themeColor="text1"/>
                <w:sz w:val="20"/>
                <w:szCs w:val="20"/>
                <w:highlight w:val="white"/>
                <w:lang w:val="fr-FR"/>
              </w:rPr>
              <w:fldChar w:fldCharType="begin" w:fldLock="1"/>
            </w:r>
            <w:r w:rsidRPr="00B75738">
              <w:rPr>
                <w:rFonts w:ascii="Times New Roman" w:eastAsia="Arial" w:hAnsi="Times New Roman" w:cs="Times New Roman"/>
                <w:color w:val="000000" w:themeColor="text1"/>
                <w:sz w:val="20"/>
                <w:szCs w:val="20"/>
                <w:highlight w:val="white"/>
              </w:rPr>
              <w:instrText>ADDIN CSL_CITATION {"citationItems":[{"id":"ITEM-1","itemData":{"DOI":"10.5194/essd-10-2141-2018","ISSN":"1866-3516","abstract":"&lt;p&gt;&lt;![CDATA[Abstract. Accurate assessment of anthropogenic carbon dioxide (CO2) emissions and their redistribution among the atmosphere, ocean, and terrestrial biosphere – the “global carbon budget” – is important to better understand the global carbon cycle, support the development of climate policies, and project future climate change. Here we describe data sets and methodology to quantify the five major components of the global carbon budget and their uncertainties. Fossil CO2 emissions (EFF) are based on energy statistics and cement production data, while emissions from land use and land-use change (ELUC), mainly deforestation, are based on land use and land-use change data and bookkeeping models. Atmospheric CO2 concentration is measured directly and its growth rate (GATM) is computed from the annual changes in concentration. The ocean CO2 sink (SOCEAN) and terrestrial CO2 sink (SLAND) are estimated with global process models constrained by observations. The resulting carbon budget imbalance (BIM), the difference between the estimated total emissions and the estimated changes in the atmosphere, ocean, and terrestrial biosphere, is a measure of imperfect data and understanding of the contemporary carbon cycle. All uncertainties are reported as ±1σ. For the last decade available (2008–2017), EFF was 9.4±0.5 GtC yr−1, ELUC 1.5±0.7 GtC yr−1, GATM 4.7±0.02 GtC yr−1, SOCEAN 2.4±0.5 GtC yr−1, and SLAND 3.2±0.8 GtC yr−1, with a budget imbalance BIM of 0.5 GtC yr−1 indicating overestimated emissions and/or underestimated sinks. For the year 2017 alone, the growth in EFF was about 1.6 % and emissions increased to 9.9±0.5 GtC yr−1. Also for 2017, ELUC was 1.4±0.7 GtC yr−1, GATM was 4.6±0.2 GtC yr−1, SOCEAN was 2.5±0.5 GtC yr−1, and SLAND was 3.8±0.8 GtC yr−1, with a BIM of 0.3 GtC. The global atmospheric CO2 concentration reached 405.0±0.1 ppm averaged over 2017. For 2018, preliminary data for the first 6–9 months indicate a renewed growth in EFF of +2.7 % (range of 1.8 % to 3.7 %) based on national emission projections for China, the US, the EU, and India and projections of gross domestic product corrected for recent changes in the carbon intensity of the economy for the rest of the world. The analysis presented here shows that the mean and trend in the five components of the global carbon budget are consistently estimated over the period of 1959–2017, but discrepancies of up to 1 GtC yr−1 persist for the representation of semi-decadal variability in CO2 flu…","author":[{"dropping-particle":"","family":"Quéré","given":"Corinne","non-dropping-particle":"Le","parse-names":false,"suffix":""},{"dropping-particle":"","family":"Andrew","given":"Robbie M.","non-dropping-particle":"","parse-names":false,"suffix":""},{"dropping-particle":"","family":"Friedlingstein","given":"Pierre","non-dropping-particle":"","parse-names":false,"suffix":""},{"dropping-particle":"","family":"Sitch","given":"Stephen","non-dropping-particle":"","parse-names":false,"suffix":""},{"dropping-particle":"","family":"Hauck","given":"Judith","non-dropping-particle":"","parse-names":false,"suffix":""},{"dropping-particle":"","family":"Pongratz","given":"Julia","non-dropping-particle":"","parse-names":false,"suffix":""},{"dropping-particle":"","family":"Pickers","given":"Penelope A.","non-dropping-particle":"","parse-names":false,"suffix":""},{"dropping-particle":"","family":"Korsbakken","given":"Jan Ivar","non-dropping-particle":"","parse-names":false,"suffix":""},{"dropping-particle":"","family":"Peters","given":"Glen P.","non-dropping-particle":"","parse-names":false,"suffix":""},{"dropping-particle":"","family":"Canadell","given":"Josep G.","non-dropping-particle":"","parse-names":false,"suffix":""},{"dropping-particle":"","family":"Arneth","given":"Almut","non-dropping-particle":"","parse-names":false,"suffix":""},{"dropping-particle":"","family":"Arora","given":"Vivek K.","non-dropping-particle":"","parse-names":false,"suffix":""},{"dropping-particle":"","family":"Barbero","given":"Leticia","non-dropping-particle":"","parse-names":false,"suffix":""},{"dropping-particle":"","family":"Bastos","given":"Ana","non-dropping-particle":"","parse-names":false,"suffix":""},{"dropping-particle":"","family":"Bopp","given":"Laurent","non-dropping-particle":"","parse-names":false,"suffix":""},{"dropping-particle":"","family":"Chevallier","given":"Frédéric","non-dropping-particle":"","parse-names":false,"suffix":""},{"dropping-particle":"","family":"Chini","given":"Louise P.","non-dropping-particle":"","parse-names":false,"suffix":""},{"dropping-particle":"","family":"Ciais","given":"Philippe","non-dropping-particle":"","parse-names":false,"suffix":""},{"dropping-particle":"","family":"Doney","given":"Scott C.","non-dropping-particle":"","parse-names":false,"suffix":""},{"dropping-particle":"","family":"Gkritzalis","given":"Thanos","non-dropping-particle":"","parse-names":false,"suffix":""},{"dropping-particle":"","family":"Goll","given":"Daniel S.","non-dropping-particle":"","parse-names":false,"suffix":""},{"dropping-particle":"","family":"Harris","given":"Ian","non-dropping-particle":"","parse-names":false,"suffix":""},{"dropping-particle":"","family":"Haverd","given":"Vanessa","non-dropping-particle":"","parse-names":false,"suffix":""},{"dropping-particle":"","family":"Hoffman","given":"Forrest M.","non-dropping-particle":"","parse-names":false,"suffix":""},{"dropping-particle":"","family":"Hoppema","given":"Mario","non-dropping-particle":"","parse-names":false,"suffix":""},{"dropping-particle":"","family":"Houghton","given":"Richard A.","non-dropping-particle":"","parse-names":false,"suffix":""},{"dropping-particle":"","family":"Hurtt","given":"George","non-dropping-particle":"","parse-names":false,"suffix":""},{"dropping-particle":"","family":"Ilyina","given":"Tatiana","non-dropping-particle":"","parse-names":false,"suffix":""},{"dropping-particle":"","family":"Jain","given":"Atul K.","non-dropping-particle":"","parse-names":false,"suffix":""},{"dropping-particle":"","family":"Johannessen","given":"Truls","non-dropping-particle":"","parse-names":false,"suffix":""},{"dropping-particle":"","family":"Jones","given":"Chris D.","non-dropping-particle":"","parse-names":false,"suffix":""},{"dropping-particle":"","family":"Kato","given":"Etsushi","non-dropping-particle":"","parse-names":false,"suffix":""},{"dropping-particle":"","family":"Keeling","given":"Ralph F.","non-dropping-particle":"","parse-names":false,"suffix":""},{"dropping-particle":"","family":"Goldewijk","given":"Kees Klein","non-dropping-particle":"","parse-names":false,"suffix":""},{"dropping-particle":"","family":"Landschützer","given":"Peter","non-dropping-particle":"","parse-names":false,"suffix":""},{"dropping-particle":"","family":"Lefèvre","given":"Nathalie","non-dropping-particle":"","parse-names":false,"suffix":""},{"dropping-particle":"","family":"Lienert","given":"Sebastian","non-dropping-particle":"","parse-names":false,"suffix":""},{"dropping-particle":"","family":"Liu","given":"Zhu","non-dropping-particle":"","parse-names":false,"suffix":""},{"dropping-particle":"","family":"Lombardozzi","given":"Danica","non-dropping-particle":"","parse-names":false,"suffix":""},{"dropping-particle":"","family":"Metzl","given":"Nicolas","non-dropping-particle":"","parse-names":false,"suffix":""},{"dropping-particle":"","family":"Munro","given":"David R.","non-dropping-particle":"","parse-names":false,"suffix":""},{"dropping-particle":"","family":"Nabel","given":"Julia E. M. S.","non-dropping-particle":"","parse-names":false,"suffix":""},{"dropping-particle":"","family":"Nakaoka","given":"Shin-ichiro","non-dropping-particle":"","parse-names":false,"suffix":""},{"dropping-particle":"","family":"Neill","given":"Craig","non-dropping-particle":"","parse-names":false,"suffix":""},{"dropping-particle":"","family":"Olsen","given":"Are","non-dropping-particle":"","parse-names":false,"suffix":""},{"dropping-particle":"","family":"Ono","given":"Tsueno","non-dropping-particle":"","parse-names":false,"suffix":""},{"dropping-particle":"","family":"Patra","given":"Prabir","non-dropping-particle":"","parse-names":false,"suffix":""},{"dropping-particle":"","family":"Peregon","given":"Anna","non-dropping-particle":"","parse-names":false,"suffix":""},{"dropping-particle":"","family":"Peters","given":"Wouter","non-dropping-particle":"","parse-names":false,"suffix":""},{"dropping-particle":"","family":"Peylin","given":"Philippe","non-dropping-particle":"","parse-names":false,"suffix":""},{"dropping-particle":"","family":"Pfeil","given":"Benjamin","non-dropping-particle":"","parse-names":false,"suffix":""},{"dropping-particle":"","family":"Pierrot","given":"Denis","non-dropping-particle":"","parse-names":false,"suffix":""},{"dropping-particle":"","family":"Poulter","given":"Benjamin","non-dropping-particle":"","parse-names":false,"suffix":""},{"dropping-particle":"","family":"Rehder","given":"Gregor","non-dropping-particle":"","parse-names":false,"suffix":""},{"dropping-particle":"","family":"Resplandy","given":"Laure","non-dropping-particle":"","parse-names":false,"suffix":""},{"dropping-particle":"","family":"Robertson","given":"Eddy","non-dropping-particle":"","parse-names":false,"suffix":""},{"dropping-particle":"","family":"Rocher","given":"Matthias","non-dropping-particle":"","parse-names":false,"suffix":""},{"dropping-particle":"","family":"Rödenbeck","given":"Christian","non-dropping-particle":"","parse-names":false,"suffix":""},{"dropping-particle":"","family":"Schuster","given":"Ute","non-dropping-particle":"","parse-names":false,"suffix":""},{"dropping-particle":"","family":"Schwinger","given":"Jörg","non-dropping-particle":"","parse-names":false,"suffix":""},{"dropping-particle":"","family":"Séférian","given":"Roland","non-dropping-particle":"","parse-names":false,"suffix":""},{"dropping-particle":"","family":"Skjelvan","given":"Ingunn","non-dropping-particle":"","parse-names":false,"suffix":""},{"dropping-particle":"","family":"Steinhoff","given":"Tobias","non-dropping-particle":"","parse-names":false,"suffix":""},{"dropping-particle":"","family":"Sutton","given":"Adrienne","non-dropping-particle":"","parse-names":false,"suffix":""},{"dropping-particle":"","family":"Tans","given":"Pieter P.","non-dropping-particle":"","parse-names":false,"suffix":""},{"dropping-particle":"","family":"Tian","given":"Hanqin","non-dropping-particle":"","parse-names":false,"suffix":""},{"dropping-particle":"","family":"Tilbrook","given":"Bronte","non-dropping-particle":"","parse-names":false,"suffix":""},{"dropping-particle":"","family":"Tubiello","given":"Francesco N.","non-dropping-particle":"","parse-names":false,"suffix":""},{"dropping-particle":"","family":"Laan-Luijkx","given":"Ingrid T.","non-dropping-particle":"van der","parse-names":false,"suffix":""},{"dropping-particle":"","family":"Werf","given":"Guido R.","non-dropping-particle":"van der","parse-names":false,"suffix":""},{"dropping-particle":"","family":"Viovy","given":"Nicolas","non-dropping-particle":"","parse-names":false,"suffix":""},{"dropping-particle":"","family":"Walker","given":"Anthony P.","non-dropping-particle":"","parse-names":false,"suffix":""},{"dropping-particle":"","family":"Wiltshire","given":"Andrew J.","non-dropping-particle":"","parse-names":false,"suffix":""},{"dropping-particle":"","family":"Wright","given":"Rebecca","non-dropping-particle":"","parse-names":false,"suffix":""},{"dropping-particle":"","family":"Zaehle","given":"Sönke","non-dropping-particle":"","parse-names":false,"suffix":""},{"dropping-particle":"","family":"Zheng","given":"Bo","non-dropping-particle":"","parse-names":false,"suffix":""}],"container-title":"Earth System Science Data","id":"ITEM-1","issue":"4","issued":{"date-parts":[["2018","12","5"]]},"page":"2141-2194","title":"Global Carbon Budget 2018","type":"article-journal","volume":"10"},"uris":["http://www.mendeley.com/documents/?uuid=c58027c0-01ff-3934-afe3-9c450c266da6"]}],"mendeley":{"formattedCitation":"&lt;sup&gt;83&lt;/sup&gt;","plainTextFormattedCitation":"83","previouslyFormattedCitation":"&lt;sup&gt;83&lt;/sup&gt;"},"properties":{"noteIndex":0},"schema":"https://github.com/citation-style-language/schema/raw/master/csl-citation.json"}</w:instrText>
            </w:r>
            <w:r w:rsidRPr="00B75738">
              <w:rPr>
                <w:rFonts w:ascii="Times New Roman" w:eastAsia="Arial" w:hAnsi="Times New Roman" w:cs="Times New Roman"/>
                <w:color w:val="000000" w:themeColor="text1"/>
                <w:sz w:val="20"/>
                <w:szCs w:val="20"/>
                <w:highlight w:val="white"/>
                <w:lang w:val="fr-FR"/>
              </w:rPr>
              <w:fldChar w:fldCharType="separate"/>
            </w:r>
            <w:r w:rsidRPr="00B75738">
              <w:rPr>
                <w:rFonts w:ascii="Times New Roman" w:eastAsia="Arial" w:hAnsi="Times New Roman" w:cs="Times New Roman"/>
                <w:noProof/>
                <w:color w:val="000000" w:themeColor="text1"/>
                <w:sz w:val="20"/>
                <w:szCs w:val="20"/>
                <w:highlight w:val="white"/>
              </w:rPr>
              <w:t>83</w:t>
            </w:r>
            <w:r w:rsidRPr="00B75738">
              <w:rPr>
                <w:rFonts w:ascii="Times New Roman" w:eastAsia="Arial" w:hAnsi="Times New Roman" w:cs="Times New Roman"/>
                <w:color w:val="000000" w:themeColor="text1"/>
                <w:sz w:val="20"/>
                <w:szCs w:val="20"/>
                <w:highlight w:val="white"/>
                <w:lang w:val="fr-FR"/>
              </w:rPr>
              <w:fldChar w:fldCharType="end"/>
            </w:r>
            <w:r w:rsidR="00B75738" w:rsidRPr="00B75738">
              <w:rPr>
                <w:rFonts w:ascii="Times New Roman" w:eastAsia="Arial" w:hAnsi="Times New Roman" w:cs="Times New Roman"/>
                <w:color w:val="000000" w:themeColor="text1"/>
                <w:sz w:val="20"/>
                <w:szCs w:val="20"/>
                <w:highlight w:val="white"/>
              </w:rPr>
              <w:t>]</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see Methods</w:t>
            </w:r>
          </w:p>
        </w:tc>
      </w:tr>
      <w:tr w:rsidR="00F6749E" w:rsidRPr="004A6EE9" w:rsidTr="004A6EE9">
        <w:trPr>
          <w:trHeight w:val="60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vertAlign w:val="subscript"/>
              </w:rPr>
            </w:pPr>
            <w:proofErr w:type="spellStart"/>
            <w:r w:rsidRPr="004A6EE9">
              <w:rPr>
                <w:rFonts w:ascii="Times New Roman" w:eastAsia="Arial" w:hAnsi="Times New Roman" w:cs="Times New Roman"/>
                <w:color w:val="000000" w:themeColor="text1"/>
                <w:sz w:val="20"/>
                <w:szCs w:val="20"/>
              </w:rPr>
              <w:t>F</w:t>
            </w:r>
            <w:r w:rsidRPr="004A6EE9">
              <w:rPr>
                <w:rFonts w:ascii="Times New Roman" w:eastAsia="Arial" w:hAnsi="Times New Roman" w:cs="Times New Roman"/>
                <w:color w:val="000000" w:themeColor="text1"/>
                <w:sz w:val="20"/>
                <w:szCs w:val="20"/>
                <w:vertAlign w:val="subscript"/>
              </w:rPr>
              <w:t>reduced</w:t>
            </w:r>
            <w:proofErr w:type="spellEnd"/>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25</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6</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This study (see Methods)</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see Methods</w:t>
            </w:r>
          </w:p>
        </w:tc>
      </w:tr>
      <w:tr w:rsidR="00F6749E" w:rsidRPr="004A6EE9" w:rsidTr="004A6EE9">
        <w:trPr>
          <w:trHeight w:val="60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vertAlign w:val="subscript"/>
              </w:rPr>
            </w:pPr>
            <w:proofErr w:type="spellStart"/>
            <w:r w:rsidRPr="004A6EE9">
              <w:rPr>
                <w:rFonts w:ascii="Times New Roman" w:eastAsia="Arial" w:hAnsi="Times New Roman" w:cs="Times New Roman"/>
                <w:color w:val="000000" w:themeColor="text1"/>
                <w:sz w:val="20"/>
                <w:szCs w:val="20"/>
              </w:rPr>
              <w:t>F</w:t>
            </w:r>
            <w:r w:rsidRPr="004A6EE9">
              <w:rPr>
                <w:rFonts w:ascii="Times New Roman" w:eastAsia="Arial" w:hAnsi="Times New Roman" w:cs="Times New Roman"/>
                <w:color w:val="000000" w:themeColor="text1"/>
                <w:sz w:val="20"/>
                <w:szCs w:val="20"/>
                <w:vertAlign w:val="subscript"/>
              </w:rPr>
              <w:t>outgas</w:t>
            </w:r>
            <w:proofErr w:type="spellEnd"/>
            <w:r w:rsidRPr="004A6EE9">
              <w:rPr>
                <w:rFonts w:ascii="Times New Roman" w:eastAsia="Arial" w:hAnsi="Times New Roman" w:cs="Times New Roman"/>
                <w:color w:val="000000" w:themeColor="text1"/>
                <w:sz w:val="20"/>
                <w:szCs w:val="20"/>
                <w:vertAlign w:val="subscript"/>
              </w:rPr>
              <w:t xml:space="preserve"> rivers + lakes RAY</w:t>
            </w:r>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164</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82</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 xml:space="preserve">Raymond et al. </w:t>
            </w:r>
            <w:r w:rsidR="00B75738">
              <w:rPr>
                <w:rFonts w:ascii="Times New Roman" w:eastAsia="Arial" w:hAnsi="Times New Roman" w:cs="Times New Roman"/>
                <w:color w:val="000000" w:themeColor="text1"/>
                <w:sz w:val="20"/>
                <w:szCs w:val="20"/>
              </w:rPr>
              <w:t>[</w:t>
            </w:r>
            <w:r w:rsidRPr="00B75738">
              <w:rPr>
                <w:rFonts w:ascii="Times New Roman" w:eastAsia="Arial" w:hAnsi="Times New Roman" w:cs="Times New Roman"/>
                <w:color w:val="000000" w:themeColor="text1"/>
                <w:sz w:val="20"/>
                <w:szCs w:val="20"/>
              </w:rPr>
              <w:fldChar w:fldCharType="begin" w:fldLock="1"/>
            </w:r>
            <w:r w:rsidRPr="00B75738">
              <w:rPr>
                <w:rFonts w:ascii="Times New Roman" w:eastAsia="Arial" w:hAnsi="Times New Roman" w:cs="Times New Roman"/>
                <w:color w:val="000000" w:themeColor="text1"/>
                <w:sz w:val="20"/>
                <w:szCs w:val="20"/>
              </w:rPr>
              <w:instrText>ADDIN CSL_CITATION {"citationItems":[{"id":"ITEM-1","itemData":{"DOI":"10.1038/nature13142","ISSN":"00280836","author":[{"dropping-particle":"","family":"Raymond","given":"P.A.","non-dropping-particle":"","parse-names":false,"suffix":""},{"dropping-particle":"","family":"Hartmann","given":"J.","non-dropping-particle":"","parse-names":false,"suffix":""},{"dropping-particle":"","family":"Lauerwald","given":"R.","non-dropping-particle":"","parse-names":false,"suffix":""},{"dropping-particle":"","family":"Sobek","given":"S.","non-dropping-particle":"","parse-names":false,"suffix":""},{"dropping-particle":"","family":"McDonald","given":"C.","non-dropping-particle":"","parse-names":false,"suffix":""},{"dropping-particle":"","family":"Hoover","given":"M.","non-dropping-particle":"","parse-names":false,"suffix":""},{"dropping-particle":"","family":"Butman","given":"D.","non-dropping-particle":"","parse-names":false,"suffix":""},{"dropping-particle":"","family":"Striegl","given":"R.","non-dropping-particle":"","parse-names":false,"suffix":""},{"dropping-particle":"","family":"Mayorga","given":"E.","non-dropping-particle":"","parse-names":false,"suffix":""},{"dropping-particle":"","family":"Humborg","given":"C.","non-dropping-particle":"","parse-names":false,"suffix":""},{"dropping-particle":"","family":"Kortelainen","given":"P.","non-dropping-particle":"","parse-names":false,"suffix":""},{"dropping-particle":"","family":"Dürr","given":"H.","non-dropping-particle":"","parse-names":false,"suffix":""},{"dropping-particle":"","family":"Meybeck","given":"M.","non-dropping-particle":"","parse-names":false,"suffix":""},{"dropping-particle":"","family":"Ciais","given":"P.","non-dropping-particle":"","parse-names":false,"suffix":""},{"dropping-particle":"","family":"Guth","given":"P.","non-dropping-particle":"","parse-names":false,"suffix":""}],"container-title":"Nature","id":"ITEM-1","issue":"7492","issued":{"date-parts":[["2014"]]},"title":"Erratum: Global carbon dioxide emissions from inland waters (Nature (2013) 503 (355-359) DOI: 10.1038/nature12760)","type":"article-journal","volume":"507"},"uris":["http://www.mendeley.com/documents/?uuid=9f65d7ab-bd8b-32fa-bb80-0bd0b1543272"]}],"mendeley":{"formattedCitation":"&lt;sup&gt;84&lt;/sup&gt;","plainTextFormattedCitation":"84","previouslyFormattedCitation":"&lt;sup&gt;84&lt;/sup&gt;"},"properties":{"noteIndex":0},"schema":"https://github.com/citation-style-language/schema/raw/master/csl-citation.json"}</w:instrText>
            </w:r>
            <w:r w:rsidRPr="00B75738">
              <w:rPr>
                <w:rFonts w:ascii="Times New Roman" w:eastAsia="Arial" w:hAnsi="Times New Roman" w:cs="Times New Roman"/>
                <w:color w:val="000000" w:themeColor="text1"/>
                <w:sz w:val="20"/>
                <w:szCs w:val="20"/>
              </w:rPr>
              <w:fldChar w:fldCharType="separate"/>
            </w:r>
            <w:r w:rsidRPr="00B75738">
              <w:rPr>
                <w:rFonts w:ascii="Times New Roman" w:eastAsia="Arial" w:hAnsi="Times New Roman" w:cs="Times New Roman"/>
                <w:noProof/>
                <w:color w:val="000000" w:themeColor="text1"/>
                <w:sz w:val="20"/>
                <w:szCs w:val="20"/>
              </w:rPr>
              <w:t>84</w:t>
            </w:r>
            <w:r w:rsidRPr="00B75738">
              <w:rPr>
                <w:rFonts w:ascii="Times New Roman" w:eastAsia="Arial" w:hAnsi="Times New Roman" w:cs="Times New Roman"/>
                <w:color w:val="000000" w:themeColor="text1"/>
                <w:sz w:val="20"/>
                <w:szCs w:val="20"/>
              </w:rPr>
              <w:fldChar w:fldCharType="end"/>
            </w:r>
            <w:r w:rsidR="00B75738">
              <w:rPr>
                <w:rFonts w:ascii="Times New Roman" w:eastAsia="Arial" w:hAnsi="Times New Roman" w:cs="Times New Roman"/>
                <w:color w:val="000000" w:themeColor="text1"/>
                <w:sz w:val="20"/>
                <w:szCs w:val="20"/>
              </w:rPr>
              <w:t>]</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50%</w:t>
            </w:r>
          </w:p>
        </w:tc>
      </w:tr>
      <w:tr w:rsidR="00F6749E" w:rsidRPr="004A6EE9" w:rsidTr="004A6EE9">
        <w:trPr>
          <w:trHeight w:val="60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proofErr w:type="spellStart"/>
            <w:r w:rsidRPr="004A6EE9">
              <w:rPr>
                <w:rFonts w:ascii="Times New Roman" w:eastAsia="Arial" w:hAnsi="Times New Roman" w:cs="Times New Roman"/>
                <w:color w:val="000000" w:themeColor="text1"/>
                <w:sz w:val="20"/>
                <w:szCs w:val="20"/>
              </w:rPr>
              <w:t>F</w:t>
            </w:r>
            <w:r w:rsidRPr="004A6EE9">
              <w:rPr>
                <w:rFonts w:ascii="Times New Roman" w:eastAsia="Arial" w:hAnsi="Times New Roman" w:cs="Times New Roman"/>
                <w:color w:val="000000" w:themeColor="text1"/>
                <w:sz w:val="20"/>
                <w:szCs w:val="20"/>
                <w:vertAlign w:val="subscript"/>
              </w:rPr>
              <w:t>outgas</w:t>
            </w:r>
            <w:proofErr w:type="spellEnd"/>
            <w:r w:rsidRPr="004A6EE9">
              <w:rPr>
                <w:rFonts w:ascii="Times New Roman" w:eastAsia="Arial" w:hAnsi="Times New Roman" w:cs="Times New Roman"/>
                <w:color w:val="000000" w:themeColor="text1"/>
                <w:sz w:val="20"/>
                <w:szCs w:val="20"/>
                <w:vertAlign w:val="subscript"/>
              </w:rPr>
              <w:t xml:space="preserve"> rivers + lakes LAU</w:t>
            </w:r>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29</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14</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proofErr w:type="spellStart"/>
            <w:r w:rsidRPr="004A6EE9">
              <w:rPr>
                <w:rFonts w:ascii="Times New Roman" w:eastAsia="Arial" w:hAnsi="Times New Roman" w:cs="Times New Roman"/>
                <w:color w:val="000000" w:themeColor="text1"/>
                <w:sz w:val="20"/>
                <w:szCs w:val="20"/>
              </w:rPr>
              <w:t>Lauerwald</w:t>
            </w:r>
            <w:proofErr w:type="spellEnd"/>
            <w:r w:rsidRPr="004A6EE9">
              <w:rPr>
                <w:rFonts w:ascii="Times New Roman" w:eastAsia="Arial" w:hAnsi="Times New Roman" w:cs="Times New Roman"/>
                <w:color w:val="000000" w:themeColor="text1"/>
                <w:sz w:val="20"/>
                <w:szCs w:val="20"/>
              </w:rPr>
              <w:t xml:space="preserve"> et al. </w:t>
            </w:r>
            <w:r w:rsidR="00B75738">
              <w:rPr>
                <w:rFonts w:ascii="Times New Roman" w:eastAsia="Arial" w:hAnsi="Times New Roman" w:cs="Times New Roman"/>
                <w:color w:val="000000" w:themeColor="text1"/>
                <w:sz w:val="20"/>
                <w:szCs w:val="20"/>
              </w:rPr>
              <w:t>[</w:t>
            </w:r>
            <w:r w:rsidRPr="00B75738">
              <w:rPr>
                <w:rFonts w:ascii="Times New Roman" w:eastAsia="Arial" w:hAnsi="Times New Roman" w:cs="Times New Roman"/>
                <w:color w:val="000000" w:themeColor="text1"/>
                <w:sz w:val="20"/>
                <w:szCs w:val="20"/>
              </w:rPr>
              <w:fldChar w:fldCharType="begin" w:fldLock="1"/>
            </w:r>
            <w:r w:rsidRPr="00B75738">
              <w:rPr>
                <w:rFonts w:ascii="Times New Roman" w:eastAsia="Arial" w:hAnsi="Times New Roman" w:cs="Times New Roman"/>
                <w:color w:val="000000" w:themeColor="text1"/>
                <w:sz w:val="20"/>
                <w:szCs w:val="20"/>
              </w:rPr>
              <w:instrText>ADDIN CSL_CITATION {"citationItems":[{"id":"ITEM-1","itemData":{"DOI":"10.1002/2014GB004941","ISSN":"19449224","abstract":"©2015. American Geophysical Union. All Rights Reserved. CO &lt; inf &gt; 2 &lt; /inf &gt;  evasion from rivers (FCO &lt; inf &gt; 2 &lt; /inf &gt; ) is an important component of the global carbon budget. Here we present the first global maps of CO &lt; inf &gt; 2 &lt; /inf &gt;  partial pressures (pCO &lt; inf &gt; 2 &lt; /inf &gt; ) in rivers of stream orders 3 and higher and the resulting FCO &lt; inf &gt; 2 &lt; /inf &gt;  at 0.5° resolution constructed with a statistical model. A geographic information system based approach is used to derive a pCO &lt; inf &gt; 2 &lt; /inf &gt;  prediction function trained on data from 1182 sampling locations. While data from Asia and Africa are scarce and the training data set is dominated by sampling locations from the Americas, Europe, and Australia, the sampling locations cover the full spectrum from high to low latitudes. The predictors of pCO &lt; inf &gt; 2 &lt; /inf &gt;  are net primary production, population density, and slope gradient within the river catchment as well as mean air temperature at the sampling location (r &lt; sup &gt; 2 &lt; /sup &gt;  = 0.47). The predicted pCO &lt; inf &gt; 2 &lt; /inf &gt;  map was then combined with spatially explicit estimates of stream surface area A &lt; inf &gt; river &lt; /inf &gt;  and gas exchange velocity k calculated from published empirical equations and data sets to derive the FCO &lt; inf &gt; 2 &lt; /inf &gt;  map. Using Monte Carlo simulations, we assessed the uncertainties of our estimates. At the global scale, we estimate an average river pCO &lt; inf &gt; 2 &lt; /inf &gt;  of 2400 (2019-2826) μatm and a FCO &lt; inf &gt; 2 &lt; /inf &gt;  of 650 (483-846) Tg C yr &lt; sup &gt; -1 &lt; /sup &gt;  (5th and 95th percentiles of confidence interval). Our global CO &lt; inf &gt; 2 &lt; /inf &gt;  evasion is substantially lower than the recent estimate of 1800 Tg C yr &lt; sup &gt; -1 &lt; /sup &gt;  although the training set of pCO &lt; inf &gt; 2 &lt; /inf &gt;  is very similar in both studies, mainly due to lower tropical pCO &lt; inf &gt; 2 &lt; /inf &gt;  estimates in the present study. Our maps reveal strong latitudinal gradients in pCO &lt; inf &gt; 2 &lt; /inf &gt; , A &lt; inf &gt; river &lt; /inf &gt; , and FCO &lt; inf &gt; 2 &lt; /inf &gt; . The zone between 10°N and 10°S contributes about half of the global CO &lt; inf &gt; 2 &lt; /inf &gt;  evasion. Collection of pCO &lt; inf &gt; 2 &lt; /inf &gt;  data in this zone, in particular, for African and Southeast Asian rivers is a high priority to reduce uncertainty on FCO &lt; inf &gt; 2 &lt; /inf &gt; .","author":[{"dropping-particle":"","family":"Lauerwald","given":"R.","non-dropping-particle":"","parse-names":false,"suffix":""},{"dropping-particle":"","family":"Laruelle","given":"G.G.","non-dropping-particle":"","parse-names":false,"suffix":""},{"dropping-particle":"","family":"Hartmann","given":"J.","non-dropping-particle":"","parse-names":false,"suffix":""},{"dropping-particle":"","family":"Ciais","given":"P.","non-dropping-particle":"","parse-names":false,"suffix":""},{"dropping-particle":"","family":"Regnier","given":"P.A.G.","non-dropping-particle":"","parse-names":false,"suffix":""}],"container-title":"Global Biogeochemical Cycles","id":"ITEM-1","issue":"5","issued":{"date-parts":[["2015"]]},"title":"Spatial patterns in CO&amp;lt;inf&amp;gt;2&amp;lt;/inf&amp;gt; evasion from the global river network","type":"article-journal","volume":"29"},"uris":["http://www.mendeley.com/documents/?uuid=bcf366e5-e30c-3037-b8f0-fa10ad0b6bd5"]}],"mendeley":{"formattedCitation":"&lt;sup&gt;26&lt;/sup&gt;","plainTextFormattedCitation":"26","previouslyFormattedCitation":"&lt;sup&gt;26&lt;/sup&gt;"},"properties":{"noteIndex":0},"schema":"https://github.com/citation-style-language/schema/raw/master/csl-citation.json"}</w:instrText>
            </w:r>
            <w:r w:rsidRPr="00B75738">
              <w:rPr>
                <w:rFonts w:ascii="Times New Roman" w:eastAsia="Arial" w:hAnsi="Times New Roman" w:cs="Times New Roman"/>
                <w:color w:val="000000" w:themeColor="text1"/>
                <w:sz w:val="20"/>
                <w:szCs w:val="20"/>
              </w:rPr>
              <w:fldChar w:fldCharType="separate"/>
            </w:r>
            <w:r w:rsidRPr="00B75738">
              <w:rPr>
                <w:rFonts w:ascii="Times New Roman" w:eastAsia="Arial" w:hAnsi="Times New Roman" w:cs="Times New Roman"/>
                <w:noProof/>
                <w:color w:val="000000" w:themeColor="text1"/>
                <w:sz w:val="20"/>
                <w:szCs w:val="20"/>
              </w:rPr>
              <w:t>26</w:t>
            </w:r>
            <w:r w:rsidRPr="00B75738">
              <w:rPr>
                <w:rFonts w:ascii="Times New Roman" w:eastAsia="Arial" w:hAnsi="Times New Roman" w:cs="Times New Roman"/>
                <w:color w:val="000000" w:themeColor="text1"/>
                <w:sz w:val="20"/>
                <w:szCs w:val="20"/>
              </w:rPr>
              <w:fldChar w:fldCharType="end"/>
            </w:r>
            <w:r w:rsidR="00B75738">
              <w:rPr>
                <w:rFonts w:ascii="Times New Roman" w:eastAsia="Arial" w:hAnsi="Times New Roman" w:cs="Times New Roman"/>
                <w:color w:val="000000" w:themeColor="text1"/>
                <w:sz w:val="20"/>
                <w:szCs w:val="20"/>
              </w:rPr>
              <w:t>]</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50%</w:t>
            </w:r>
          </w:p>
        </w:tc>
      </w:tr>
      <w:tr w:rsidR="00F6749E" w:rsidRPr="004A6EE9" w:rsidTr="004A6EE9">
        <w:trPr>
          <w:trHeight w:val="60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vertAlign w:val="subscript"/>
              </w:rPr>
            </w:pPr>
            <w:proofErr w:type="spellStart"/>
            <w:r w:rsidRPr="004A6EE9">
              <w:rPr>
                <w:rFonts w:ascii="Times New Roman" w:eastAsia="Arial" w:hAnsi="Times New Roman" w:cs="Times New Roman"/>
                <w:color w:val="000000" w:themeColor="text1"/>
                <w:sz w:val="20"/>
                <w:szCs w:val="20"/>
              </w:rPr>
              <w:t>F</w:t>
            </w:r>
            <w:r w:rsidRPr="004A6EE9">
              <w:rPr>
                <w:rFonts w:ascii="Times New Roman" w:eastAsia="Arial" w:hAnsi="Times New Roman" w:cs="Times New Roman"/>
                <w:color w:val="000000" w:themeColor="text1"/>
                <w:sz w:val="20"/>
                <w:szCs w:val="20"/>
                <w:vertAlign w:val="subscript"/>
              </w:rPr>
              <w:t>outgas</w:t>
            </w:r>
            <w:proofErr w:type="spellEnd"/>
            <w:r w:rsidRPr="004A6EE9">
              <w:rPr>
                <w:rFonts w:ascii="Times New Roman" w:eastAsia="Arial" w:hAnsi="Times New Roman" w:cs="Times New Roman"/>
                <w:color w:val="000000" w:themeColor="text1"/>
                <w:sz w:val="20"/>
                <w:szCs w:val="20"/>
                <w:vertAlign w:val="subscript"/>
              </w:rPr>
              <w:t xml:space="preserve"> estuaries</w:t>
            </w:r>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8</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4</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proofErr w:type="spellStart"/>
            <w:r w:rsidRPr="004A6EE9">
              <w:rPr>
                <w:rFonts w:ascii="Times New Roman" w:eastAsia="Arial" w:hAnsi="Times New Roman" w:cs="Times New Roman"/>
                <w:color w:val="000000" w:themeColor="text1"/>
                <w:sz w:val="20"/>
                <w:szCs w:val="20"/>
                <w:lang w:val="fr-FR"/>
              </w:rPr>
              <w:t>Laruelle</w:t>
            </w:r>
            <w:proofErr w:type="spellEnd"/>
            <w:r w:rsidRPr="004A6EE9">
              <w:rPr>
                <w:rFonts w:ascii="Times New Roman" w:eastAsia="Arial" w:hAnsi="Times New Roman" w:cs="Times New Roman"/>
                <w:color w:val="000000" w:themeColor="text1"/>
                <w:sz w:val="20"/>
                <w:szCs w:val="20"/>
                <w:lang w:val="fr-FR"/>
              </w:rPr>
              <w:t xml:space="preserve"> et al. </w:t>
            </w:r>
            <w:r w:rsidR="00B75738">
              <w:rPr>
                <w:rFonts w:ascii="Times New Roman" w:eastAsia="Arial" w:hAnsi="Times New Roman" w:cs="Times New Roman"/>
                <w:color w:val="000000" w:themeColor="text1"/>
                <w:sz w:val="20"/>
                <w:szCs w:val="20"/>
                <w:lang w:val="fr-FR"/>
              </w:rPr>
              <w:t>[</w:t>
            </w:r>
            <w:r w:rsidRPr="00B75738">
              <w:rPr>
                <w:rFonts w:ascii="Times New Roman" w:eastAsia="Arial" w:hAnsi="Times New Roman" w:cs="Times New Roman"/>
                <w:color w:val="000000" w:themeColor="text1"/>
                <w:sz w:val="20"/>
                <w:szCs w:val="20"/>
                <w:lang w:val="fr-FR"/>
              </w:rPr>
              <w:fldChar w:fldCharType="begin" w:fldLock="1"/>
            </w:r>
            <w:r w:rsidRPr="00B75738">
              <w:rPr>
                <w:rFonts w:ascii="Times New Roman" w:eastAsia="Arial" w:hAnsi="Times New Roman" w:cs="Times New Roman"/>
                <w:color w:val="000000" w:themeColor="text1"/>
                <w:sz w:val="20"/>
                <w:szCs w:val="20"/>
                <w:lang w:val="fr-FR"/>
              </w:rPr>
              <w:instrText>ADDIN CSL_CITATION {"citationItems":[{"id":"ITEM-1","itemData":{"DOI":"10.5194/hess-17-2029-2013","ISSN":"1607-7938","author":[{"dropping-particle":"","family":"Laruelle","given":"G. G.","non-dropping-particle":"","parse-names":false,"suffix":""},{"dropping-particle":"","family":"Dürr","given":"H. H.","non-dropping-particle":"","parse-names":false,"suffix":""},{"dropping-particle":"","family":"Lauerwald","given":"R.","non-dropping-particle":"","parse-names":false,"suffix":""},{"dropping-particle":"","family":"Hartmann","given":"J.","non-dropping-particle":"","parse-names":false,"suffix":""},{"dropping-particle":"","family":"Slomp","given":"C. P.","non-dropping-particle":"","parse-names":false,"suffix":""},{"dropping-particle":"","family":"Goossens","given":"N.","non-dropping-particle":"","parse-names":false,"suffix":""},{"dropping-particle":"","family":"Regnier","given":"P. a. G.","non-dropping-particle":"","parse-names":false,"suffix":""}],"container-title":"Hydrology and Earth System Sciences","id":"ITEM-1","issue":"5","issued":{"date-parts":[["2013","5"]]},"page":"2029-2051","title":"Global multi-scale segmentation of continental and coastal waters from the watersheds to the continental margins","type":"article-journal","volume":"17"},"uris":["http://www.mendeley.com/documents/?uuid=f34065a6-b97b-4e8b-a953-1b41ee97ea4b"]}],"mendeley":{"formattedCitation":"&lt;sup&gt;74&lt;/sup&gt;","plainTextFormattedCitation":"74","previouslyFormattedCitation":"&lt;sup&gt;74&lt;/sup&gt;"},"properties":{"noteIndex":0},"schema":"https://github.com/citation-style-language/schema/raw/master/csl-citation.json"}</w:instrText>
            </w:r>
            <w:r w:rsidRPr="00B75738">
              <w:rPr>
                <w:rFonts w:ascii="Times New Roman" w:eastAsia="Arial" w:hAnsi="Times New Roman" w:cs="Times New Roman"/>
                <w:color w:val="000000" w:themeColor="text1"/>
                <w:sz w:val="20"/>
                <w:szCs w:val="20"/>
                <w:lang w:val="fr-FR"/>
              </w:rPr>
              <w:fldChar w:fldCharType="separate"/>
            </w:r>
            <w:r w:rsidRPr="00B75738">
              <w:rPr>
                <w:rFonts w:ascii="Times New Roman" w:eastAsia="Arial" w:hAnsi="Times New Roman" w:cs="Times New Roman"/>
                <w:noProof/>
                <w:color w:val="000000" w:themeColor="text1"/>
                <w:sz w:val="20"/>
                <w:szCs w:val="20"/>
                <w:lang w:val="fr-FR"/>
              </w:rPr>
              <w:t>74</w:t>
            </w:r>
            <w:r w:rsidRPr="00B75738">
              <w:rPr>
                <w:rFonts w:ascii="Times New Roman" w:eastAsia="Arial" w:hAnsi="Times New Roman" w:cs="Times New Roman"/>
                <w:color w:val="000000" w:themeColor="text1"/>
                <w:sz w:val="20"/>
                <w:szCs w:val="20"/>
                <w:lang w:val="fr-FR"/>
              </w:rPr>
              <w:fldChar w:fldCharType="end"/>
            </w:r>
            <w:r w:rsidR="00B75738">
              <w:rPr>
                <w:rFonts w:ascii="Times New Roman" w:eastAsia="Arial" w:hAnsi="Times New Roman" w:cs="Times New Roman"/>
                <w:color w:val="000000" w:themeColor="text1"/>
                <w:sz w:val="20"/>
                <w:szCs w:val="20"/>
                <w:lang w:val="fr-FR"/>
              </w:rPr>
              <w:t>]</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50%</w:t>
            </w:r>
          </w:p>
        </w:tc>
      </w:tr>
      <w:tr w:rsidR="00F6749E" w:rsidRPr="004A6EE9" w:rsidTr="004A6EE9">
        <w:trPr>
          <w:trHeight w:val="60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vertAlign w:val="subscript"/>
              </w:rPr>
            </w:pPr>
            <w:r w:rsidRPr="004A6EE9">
              <w:rPr>
                <w:rFonts w:ascii="Times New Roman" w:eastAsia="Arial" w:hAnsi="Times New Roman" w:cs="Times New Roman"/>
                <w:color w:val="000000" w:themeColor="text1"/>
                <w:sz w:val="20"/>
                <w:szCs w:val="20"/>
              </w:rPr>
              <w:lastRenderedPageBreak/>
              <w:t>NPP</w:t>
            </w:r>
            <w:r w:rsidRPr="004A6EE9">
              <w:rPr>
                <w:rFonts w:ascii="Times New Roman" w:eastAsia="Arial" w:hAnsi="Times New Roman" w:cs="Times New Roman"/>
                <w:color w:val="000000" w:themeColor="text1"/>
                <w:sz w:val="20"/>
                <w:szCs w:val="20"/>
                <w:vertAlign w:val="subscript"/>
              </w:rPr>
              <w:t>MODIS</w:t>
            </w:r>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-3017</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603</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 xml:space="preserve">Zhao et al. </w:t>
            </w:r>
            <w:r w:rsidR="00B75738">
              <w:rPr>
                <w:rFonts w:ascii="Times New Roman" w:eastAsia="Arial" w:hAnsi="Times New Roman" w:cs="Times New Roman"/>
                <w:color w:val="000000" w:themeColor="text1"/>
                <w:sz w:val="20"/>
                <w:szCs w:val="20"/>
              </w:rPr>
              <w:t>[</w:t>
            </w:r>
            <w:r w:rsidRPr="00B75738">
              <w:rPr>
                <w:rFonts w:ascii="Times New Roman" w:eastAsia="Arial" w:hAnsi="Times New Roman" w:cs="Times New Roman"/>
                <w:color w:val="000000" w:themeColor="text1"/>
                <w:sz w:val="20"/>
                <w:szCs w:val="20"/>
              </w:rPr>
              <w:fldChar w:fldCharType="begin" w:fldLock="1"/>
            </w:r>
            <w:r w:rsidRPr="00B75738">
              <w:rPr>
                <w:rFonts w:ascii="Times New Roman" w:eastAsia="Arial" w:hAnsi="Times New Roman" w:cs="Times New Roman"/>
                <w:color w:val="000000" w:themeColor="text1"/>
                <w:sz w:val="20"/>
                <w:szCs w:val="20"/>
              </w:rPr>
              <w:instrText>ADDIN CSL_CITATION {"citationItems":[{"id":"ITEM-1","itemData":{"DOI":"10.1029/2004JG000004","ISBN":"0148-0227","ISSN":"0148-0227","abstract":"The Moderate Resolution Imaging Spectroradiometer (MODIS) on board NASA's satellites, Terra and Aqua, dramatically improves our ability to accurately and continuously monitor the terrestrial biosphere. MODIS information is used to estimate global terrestrial primary production weekly and annually in near-real time at a 1-km resolution. MODIS terrestrial primary production requires daily gridded assimilation meteorological data as inputs, and the accuracy of the existing meteorological reanalysis data sets show marked differences both spatially and temporally. This study compares surface meteorological data sets from three well-documented global reanalyses, NASA Data Assimilation Office (DAO), European Centre for Medium-Range Weather Forecasts (ECMWF) (ERA-40) and National Centers for Environmental Prediction/National Center for Atmospheric Research (NCEP/NCAR) reanalysis 1, with observed weather station data and other gridded data interpolated from the observations, to evaluate the sensitivity of MODIS global terrestrial gross and net primary production (GPP and NPP) to the uncertainties of meteorological inputs both in the United States and the global vegetated areas. NCEP tends to overestimate surface solar radiation, and underestimate both temperature and vapor pressure deficit (VPD). ECMWF has the highest accuracy but its radiation is lower in tropical regions, and the accuracy of DAO lies between NCEP and ECMWF. Biases in temperature are mainly responsible for large VPD biases in reanalyses. MODIS NPP contains more uncertainties than GPP. Global total MODIS GPP and NPP driven by DAO, ECMWF, and NCEP show notable differences (&gt;20 Pg C/yr) with the highest estimates from NCEP and the lowest from ECMWF. Again, the DAO results lie somewhere between NCEP and ECMWF estimates. Spatially, the larger discrepancies among reanalyses and their derived MODIS GPP and NPP occur in the tropics. These results reveal that the biases in meteorological reanalyses can introduce substantial error into GPP and NPP estimations, and emphasize the need to minimize these biases to improve the quality of MODIS GPP and NPP products.","author":[{"dropping-particle":"","family":"Zhao","given":"Maosheng","non-dropping-particle":"","parse-names":false,"suffix":""},{"dropping-particle":"","family":"Running","given":"Steven W.","non-dropping-particle":"","parse-names":false,"suffix":""},{"dropping-particle":"","family":"Nemani","given":"Ramakrishna R.","non-dropping-particle":"","parse-names":false,"suffix":""}],"container-title":"Journal of Geophysical Research","id":"ITEM-1","issue":"G1","issued":{"date-parts":[["2006"]]},"page":"G01002","title":"Sensitivity of Moderate Resolution Imaging Spectroradiometer (MODIS) terrestrial primary production to the accuracy of meteorological reanalyses","type":"article-journal","volume":"111"},"uris":["http://www.mendeley.com/documents/?uuid=de26ed4f-683f-4acf-b548-fd2275a66e2d"]}],"mendeley":{"formattedCitation":"&lt;sup&gt;85&lt;/sup&gt;","plainTextFormattedCitation":"85","previouslyFormattedCitation":"&lt;sup&gt;85&lt;/sup&gt;"},"properties":{"noteIndex":0},"schema":"https://github.com/citation-style-language/schema/raw/master/csl-citation.json"}</w:instrText>
            </w:r>
            <w:r w:rsidRPr="00B75738">
              <w:rPr>
                <w:rFonts w:ascii="Times New Roman" w:eastAsia="Arial" w:hAnsi="Times New Roman" w:cs="Times New Roman"/>
                <w:color w:val="000000" w:themeColor="text1"/>
                <w:sz w:val="20"/>
                <w:szCs w:val="20"/>
              </w:rPr>
              <w:fldChar w:fldCharType="separate"/>
            </w:r>
            <w:r w:rsidRPr="00B75738">
              <w:rPr>
                <w:rFonts w:ascii="Times New Roman" w:eastAsia="Arial" w:hAnsi="Times New Roman" w:cs="Times New Roman"/>
                <w:noProof/>
                <w:color w:val="000000" w:themeColor="text1"/>
                <w:sz w:val="20"/>
                <w:szCs w:val="20"/>
              </w:rPr>
              <w:t>85</w:t>
            </w:r>
            <w:r w:rsidRPr="00B75738">
              <w:rPr>
                <w:rFonts w:ascii="Times New Roman" w:eastAsia="Arial" w:hAnsi="Times New Roman" w:cs="Times New Roman"/>
                <w:color w:val="000000" w:themeColor="text1"/>
                <w:sz w:val="20"/>
                <w:szCs w:val="20"/>
              </w:rPr>
              <w:fldChar w:fldCharType="end"/>
            </w:r>
            <w:r w:rsidR="00B75738">
              <w:rPr>
                <w:rFonts w:ascii="Times New Roman" w:eastAsia="Arial" w:hAnsi="Times New Roman" w:cs="Times New Roman"/>
                <w:color w:val="000000" w:themeColor="text1"/>
                <w:sz w:val="20"/>
                <w:szCs w:val="20"/>
              </w:rPr>
              <w:t>]</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 xml:space="preserve">20% </w:t>
            </w:r>
          </w:p>
        </w:tc>
      </w:tr>
      <w:tr w:rsidR="00F6749E" w:rsidRPr="004A6EE9" w:rsidTr="004A6EE9">
        <w:trPr>
          <w:trHeight w:val="60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vertAlign w:val="subscript"/>
              </w:rPr>
            </w:pPr>
            <w:r w:rsidRPr="004A6EE9">
              <w:rPr>
                <w:rFonts w:ascii="Times New Roman" w:eastAsia="Arial" w:hAnsi="Times New Roman" w:cs="Times New Roman"/>
                <w:color w:val="000000" w:themeColor="text1"/>
                <w:sz w:val="20"/>
                <w:szCs w:val="20"/>
              </w:rPr>
              <w:t>NPP</w:t>
            </w:r>
            <w:r w:rsidRPr="004A6EE9">
              <w:rPr>
                <w:rFonts w:ascii="Times New Roman" w:eastAsia="Arial" w:hAnsi="Times New Roman" w:cs="Times New Roman"/>
                <w:color w:val="000000" w:themeColor="text1"/>
                <w:sz w:val="20"/>
                <w:szCs w:val="20"/>
                <w:vertAlign w:val="subscript"/>
              </w:rPr>
              <w:t>BETHY</w:t>
            </w:r>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-3654</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731</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Tum et al.</w:t>
            </w:r>
            <w:r w:rsidR="00B75738">
              <w:rPr>
                <w:rFonts w:ascii="Times New Roman" w:eastAsia="Arial" w:hAnsi="Times New Roman" w:cs="Times New Roman"/>
                <w:color w:val="000000" w:themeColor="text1"/>
                <w:sz w:val="20"/>
                <w:szCs w:val="20"/>
              </w:rPr>
              <w:t xml:space="preserve"> [</w:t>
            </w:r>
            <w:r w:rsidRPr="00B75738">
              <w:rPr>
                <w:rFonts w:ascii="Times New Roman" w:eastAsia="Arial" w:hAnsi="Times New Roman" w:cs="Times New Roman"/>
                <w:color w:val="000000" w:themeColor="text1"/>
                <w:sz w:val="20"/>
                <w:szCs w:val="20"/>
              </w:rPr>
              <w:fldChar w:fldCharType="begin" w:fldLock="1"/>
            </w:r>
            <w:r w:rsidRPr="00B75738">
              <w:rPr>
                <w:rFonts w:ascii="Times New Roman" w:eastAsia="Arial" w:hAnsi="Times New Roman" w:cs="Times New Roman"/>
                <w:color w:val="000000" w:themeColor="text1"/>
                <w:sz w:val="20"/>
                <w:szCs w:val="20"/>
              </w:rPr>
              <w:instrText>ADDIN CSL_CITATION {"citationItems":[{"id":"ITEM-1","itemData":{"DOI":"10.5194/gmd-6-1623-2013","ISSN":"1991-9603","abstract":"&lt;p&gt;&lt;p&gt;&lt;strong&gt;Abstract.&lt;/strong&gt; In this study we compare monthly gross primary productivity (GPP) time series (2000–2007), computed for Europe with the Biosphere Energy Transfer Hydrology (BETHY/DLR) model with monthly data from the eddy covariance measurements network FLUXNET. BETHY/DLR with a spatial resolution of 1 km&lt;sup&gt;2&lt;/sup&gt; is designed for regional and continental applications (here Europe) and operated at the German Aerospace Center (DLR). It was adapted from the BETHY scheme to be driven by remote sensing data (leaf area index (LAI) and land cover information) and meteorology. Time series of LAI obtained from the CYCLOPES database are used to control the phenology of vegetation. Meteorological time series from the European Centre for Medium-Range Weather Forecasts (ECMWF) are used as driver. These comprise daily information on temperature, precipitation, wind speed and radiation. Additionally, static maps such as land cover, elevation, and soil type are used. To validate our model results we used eddy covariance measurements from the FLUXNET network of 74 towers across Europe. For forest sites we found that our model predicts between 20 and 40% higher annual GPP sums. In contrast, for cropland sites BETHY/DLR results show about 18% less GPP than eddy covariance measurements. For grassland sites, between 10% more and 16% less GPP was calculated with BETHY/DLR. A mean total carbon uptake of 2.5 PgC a&lt;sup&gt;−1&lt;/sup&gt; (±0.17 PgC a&lt;sup&gt;−1&lt;/sup&gt;) was found for Europe. In addition, this study reports on risks that arise from the comparison of modelled data to FLUXNET measurements and their interpretation width. Furthermore we investigate reasons for uncertainties in model results and focus here on &lt;i&gt;V&lt;/i&gt;&lt;sub&gt;max&lt;/sub&gt; values, and finally embed our results into a broader context of model validation studies published during the last years in order to evaluate differences or similarities in analysed error sources.&lt;/p&gt;&lt;/p&gt;","author":[{"dropping-particle":"","family":"Wißkirchen","given":"K.","non-dropping-particle":"","parse-names":false,"suffix":""},{"dropping-particle":"","family":"Tum","given":"M.","non-dropping-particle":"","parse-names":false,"suffix":""},{"dropping-particle":"","family":"Günther","given":"K. P.","non-dropping-particle":"","parse-names":false,"suffix":""},{"dropping-particle":"","family":"Niklaus","given":"M.","non-dropping-particle":"","parse-names":false,"suffix":""},{"dropping-particle":"","family":"Eisfelder","given":"C.","non-dropping-particle":"","parse-names":false,"suffix":""},{"dropping-particle":"","family":"Knorr","given":"W.","non-dropping-particle":"","parse-names":false,"suffix":""}],"container-title":"Geoscientific Model Development","id":"ITEM-1","issue":"5","issued":{"date-parts":[["2013","10","8"]]},"page":"1623-1640","title":"Quantifying the carbon uptake by vegetation for Europe on a 1 km&amp;amp;lt;sup&amp;amp;gt;2&amp;amp;lt;/sup&amp;amp;gt; resolution using a remote sensing driven vegetation model","type":"article-journal","volume":"6"},"uris":["http://www.mendeley.com/documents/?uuid=2a66f9b9-97fa-3434-9682-3dc7a55bd2e9"]}],"mendeley":{"formattedCitation":"&lt;sup&gt;23&lt;/sup&gt;","plainTextFormattedCitation":"23","previouslyFormattedCitation":"&lt;sup&gt;23&lt;/sup&gt;"},"properties":{"noteIndex":0},"schema":"https://github.com/citation-style-language/schema/raw/master/csl-citation.json"}</w:instrText>
            </w:r>
            <w:r w:rsidRPr="00B75738">
              <w:rPr>
                <w:rFonts w:ascii="Times New Roman" w:eastAsia="Arial" w:hAnsi="Times New Roman" w:cs="Times New Roman"/>
                <w:color w:val="000000" w:themeColor="text1"/>
                <w:sz w:val="20"/>
                <w:szCs w:val="20"/>
              </w:rPr>
              <w:fldChar w:fldCharType="separate"/>
            </w:r>
            <w:r w:rsidRPr="00B75738">
              <w:rPr>
                <w:rFonts w:ascii="Times New Roman" w:eastAsia="Arial" w:hAnsi="Times New Roman" w:cs="Times New Roman"/>
                <w:noProof/>
                <w:color w:val="000000" w:themeColor="text1"/>
                <w:sz w:val="20"/>
                <w:szCs w:val="20"/>
              </w:rPr>
              <w:t>23</w:t>
            </w:r>
            <w:r w:rsidRPr="00B75738">
              <w:rPr>
                <w:rFonts w:ascii="Times New Roman" w:eastAsia="Arial" w:hAnsi="Times New Roman" w:cs="Times New Roman"/>
                <w:color w:val="000000" w:themeColor="text1"/>
                <w:sz w:val="20"/>
                <w:szCs w:val="20"/>
              </w:rPr>
              <w:fldChar w:fldCharType="end"/>
            </w:r>
            <w:r w:rsidR="00B75738">
              <w:rPr>
                <w:rFonts w:ascii="Times New Roman" w:eastAsia="Arial" w:hAnsi="Times New Roman" w:cs="Times New Roman"/>
                <w:color w:val="000000" w:themeColor="text1"/>
                <w:sz w:val="20"/>
                <w:szCs w:val="20"/>
              </w:rPr>
              <w:t>]</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20%</w:t>
            </w:r>
          </w:p>
        </w:tc>
      </w:tr>
      <w:tr w:rsidR="00F6749E" w:rsidRPr="004A6EE9" w:rsidTr="004A6EE9">
        <w:trPr>
          <w:trHeight w:val="54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vertAlign w:val="subscript"/>
              </w:rPr>
            </w:pPr>
            <w:r w:rsidRPr="004A6EE9">
              <w:rPr>
                <w:rFonts w:ascii="Times New Roman" w:eastAsia="Arial" w:hAnsi="Times New Roman" w:cs="Times New Roman"/>
                <w:color w:val="000000" w:themeColor="text1"/>
                <w:sz w:val="20"/>
                <w:szCs w:val="20"/>
              </w:rPr>
              <w:t>NPP</w:t>
            </w:r>
            <w:r w:rsidRPr="004A6EE9">
              <w:rPr>
                <w:rFonts w:ascii="Times New Roman" w:eastAsia="Arial" w:hAnsi="Times New Roman" w:cs="Times New Roman"/>
                <w:color w:val="000000" w:themeColor="text1"/>
                <w:sz w:val="20"/>
                <w:szCs w:val="20"/>
                <w:vertAlign w:val="subscript"/>
              </w:rPr>
              <w:t>GIMMS</w:t>
            </w:r>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-2811</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562</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Kolby Smith et al.</w:t>
            </w:r>
            <w:r w:rsidR="00B75738">
              <w:rPr>
                <w:rFonts w:ascii="Times New Roman" w:eastAsia="Arial" w:hAnsi="Times New Roman" w:cs="Times New Roman"/>
                <w:color w:val="000000" w:themeColor="text1"/>
                <w:sz w:val="20"/>
                <w:szCs w:val="20"/>
              </w:rPr>
              <w:t xml:space="preserve"> [</w:t>
            </w:r>
            <w:r w:rsidRPr="00B75738">
              <w:rPr>
                <w:rFonts w:ascii="Times New Roman" w:eastAsia="Arial" w:hAnsi="Times New Roman" w:cs="Times New Roman"/>
                <w:color w:val="000000" w:themeColor="text1"/>
                <w:sz w:val="20"/>
                <w:szCs w:val="20"/>
              </w:rPr>
              <w:fldChar w:fldCharType="begin" w:fldLock="1"/>
            </w:r>
            <w:r w:rsidRPr="00B75738">
              <w:rPr>
                <w:rFonts w:ascii="Times New Roman" w:eastAsia="Arial" w:hAnsi="Times New Roman" w:cs="Times New Roman"/>
                <w:color w:val="000000" w:themeColor="text1"/>
                <w:sz w:val="20"/>
                <w:szCs w:val="20"/>
              </w:rPr>
              <w:instrText>ADDIN CSL_CITATION {"citationItems":[{"id":"ITEM-1","itemData":{"author":[{"dropping-particle":"","family":"Kolby Smith","given":"W","non-dropping-particle":"","parse-names":false,"suffix":""},{"dropping-particle":"","family":"Reed","given":"Sasha C","non-dropping-particle":"","parse-names":false,"suffix":""},{"dropping-particle":"","family":"Cleveland","given":"Cory C","non-dropping-particle":"","parse-names":false,"suffix":""},{"dropping-particle":"","family":"Ballantyne","given":"Ashley P","non-dropping-particle":"","parse-names":false,"suffix":""},{"dropping-particle":"","family":"Anderegg","given":"William R L","non-dropping-particle":"","parse-names":false,"suffix":""},{"dropping-particle":"","family":"Wieder","given":"William R","non-dropping-particle":"","parse-names":false,"suffix":""},{"dropping-particle":"","family":"Liu","given":"Yi Y","non-dropping-particle":"","parse-names":false,"suffix":""},{"dropping-particle":"","family":"Running","given":"Steven W","non-dropping-particle":"","parse-names":false,"suffix":""}],"container-title":"Nature Climate Change","id":"ITEM-1","issued":{"date-parts":[["2015","12","7"]]},"page":"306","publisher":"Nature Publishing Group","title":"Large divergence of satellite and Earth system model estimates of global terrestrial CO2 fertilization","type":"article-journal","volume":"6"},"uris":["http://www.mendeley.com/documents/?uuid=61d003ae-325e-49c5-adc9-b80e731e237f"]}],"mendeley":{"formattedCitation":"&lt;sup&gt;24&lt;/sup&gt;","plainTextFormattedCitation":"24","previouslyFormattedCitation":"&lt;sup&gt;24&lt;/sup&gt;"},"properties":{"noteIndex":0},"schema":"https://github.com/citation-style-language/schema/raw/master/csl-citation.json"}</w:instrText>
            </w:r>
            <w:r w:rsidRPr="00B75738">
              <w:rPr>
                <w:rFonts w:ascii="Times New Roman" w:eastAsia="Arial" w:hAnsi="Times New Roman" w:cs="Times New Roman"/>
                <w:color w:val="000000" w:themeColor="text1"/>
                <w:sz w:val="20"/>
                <w:szCs w:val="20"/>
              </w:rPr>
              <w:fldChar w:fldCharType="separate"/>
            </w:r>
            <w:r w:rsidRPr="00B75738">
              <w:rPr>
                <w:rFonts w:ascii="Times New Roman" w:eastAsia="Arial" w:hAnsi="Times New Roman" w:cs="Times New Roman"/>
                <w:noProof/>
                <w:color w:val="000000" w:themeColor="text1"/>
                <w:sz w:val="20"/>
                <w:szCs w:val="20"/>
              </w:rPr>
              <w:t>24</w:t>
            </w:r>
            <w:r w:rsidRPr="00B75738">
              <w:rPr>
                <w:rFonts w:ascii="Times New Roman" w:eastAsia="Arial" w:hAnsi="Times New Roman" w:cs="Times New Roman"/>
                <w:color w:val="000000" w:themeColor="text1"/>
                <w:sz w:val="20"/>
                <w:szCs w:val="20"/>
              </w:rPr>
              <w:fldChar w:fldCharType="end"/>
            </w:r>
            <w:r w:rsidR="00B75738">
              <w:rPr>
                <w:rFonts w:ascii="Times New Roman" w:eastAsia="Arial" w:hAnsi="Times New Roman" w:cs="Times New Roman"/>
                <w:color w:val="000000" w:themeColor="text1"/>
                <w:sz w:val="20"/>
                <w:szCs w:val="20"/>
              </w:rPr>
              <w:t>]</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20%</w:t>
            </w:r>
          </w:p>
        </w:tc>
      </w:tr>
      <w:tr w:rsidR="00F6749E" w:rsidRPr="004A6EE9" w:rsidTr="004A6EE9">
        <w:trPr>
          <w:trHeight w:val="54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vertAlign w:val="subscript"/>
              </w:rPr>
            </w:pPr>
            <w:r w:rsidRPr="004A6EE9">
              <w:rPr>
                <w:rFonts w:ascii="Times New Roman" w:eastAsia="Arial" w:hAnsi="Times New Roman" w:cs="Times New Roman"/>
                <w:color w:val="000000" w:themeColor="text1"/>
                <w:sz w:val="20"/>
                <w:szCs w:val="20"/>
              </w:rPr>
              <w:t>NPP</w:t>
            </w:r>
            <w:r w:rsidRPr="004A6EE9">
              <w:rPr>
                <w:rFonts w:ascii="Times New Roman" w:eastAsia="Arial" w:hAnsi="Times New Roman" w:cs="Times New Roman"/>
                <w:color w:val="000000" w:themeColor="text1"/>
                <w:sz w:val="20"/>
                <w:szCs w:val="20"/>
                <w:vertAlign w:val="subscript"/>
              </w:rPr>
              <w:t>CARDAMOM</w:t>
            </w:r>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-3059</w:t>
            </w:r>
          </w:p>
        </w:tc>
        <w:tc>
          <w:tcPr>
            <w:tcW w:w="27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w:t>
            </w:r>
          </w:p>
        </w:tc>
        <w:tc>
          <w:tcPr>
            <w:tcW w:w="735"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1080</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 xml:space="preserve">Bloom et al. </w:t>
            </w:r>
            <w:r w:rsidR="00B75738">
              <w:rPr>
                <w:rFonts w:ascii="Times New Roman" w:eastAsia="Arial" w:hAnsi="Times New Roman" w:cs="Times New Roman"/>
                <w:color w:val="000000" w:themeColor="text1"/>
                <w:sz w:val="20"/>
                <w:szCs w:val="20"/>
              </w:rPr>
              <w:t>[</w:t>
            </w:r>
            <w:r w:rsidRPr="00B75738">
              <w:rPr>
                <w:rFonts w:ascii="Times New Roman" w:eastAsia="Arial" w:hAnsi="Times New Roman" w:cs="Times New Roman"/>
                <w:color w:val="000000" w:themeColor="text1"/>
                <w:sz w:val="20"/>
                <w:szCs w:val="20"/>
              </w:rPr>
              <w:fldChar w:fldCharType="begin" w:fldLock="1"/>
            </w:r>
            <w:r w:rsidRPr="00B75738">
              <w:rPr>
                <w:rFonts w:ascii="Times New Roman" w:eastAsia="Arial" w:hAnsi="Times New Roman" w:cs="Times New Roman"/>
                <w:color w:val="000000" w:themeColor="text1"/>
                <w:sz w:val="20"/>
                <w:szCs w:val="20"/>
              </w:rPr>
              <w:instrText>ADDIN CSL_CITATION {"citationItems":[{"id":"ITEM-1","itemData":{"DOI":"10.1073/pnas.1515160113","ISSN":"0027-8424","abstract":"Quantitative knowledge of terrestrial carbon pathways and processes is fundamental for understanding the biosphere{\\textquoteright}s response to a changing climate. Carbon allocation, stocks, and residence times together define the dynamic state of the terrestrial carbon cycle. These quantities are difficult to measure and remain poorly quantified on a global scale. Here, we retrieve global 1{\\textdegree} {\\texttimes} 1{\\textdegree} carbon state and process variables by combining a carbon balance model with satellite observations of biomass and leaf area (where and when available) and global soil carbon data. Our results reveal emergent continental-scale patterns and relationships between carbon states and processes. We find that conventional land cover types cannot capture continental-scale variations of retrieved carbon variables; this mismatch has strong implications for terrestrial carbon cycle predictions.The terrestrial carbon cycle is currently the least constrained component of the global carbon budget. Large uncertainties stem from a poor understanding of plant carbon allocation, stocks, residence times, and carbon use efficiency. Imposing observational constraints on the terrestrial carbon cycle and its processes is, therefore, necessary to better understand its current state and predict its future state. We combine a diagnostic ecosystem carbon model with satellite observations of leaf area and biomass (where and when available) and soil carbon data to retrieve the first global estimates, to our knowledge, of carbon cycle state and process variables at a 1{\\textdegree} {\\texttimes} 1{\\textdegree} resolution; retrieved variables are independent from the plant functional type and steady-state paradigms. Our results reveal global emergent relationships in the spatial distribution of key carbon cycle states and processes. Live biomass and dead organic carbon residence times exhibit contrasting spatial features (r = 0.3). Allocation to structural carbon is highest in the wet tropics (85{\\textendash}88%) in contrast to higher latitudes (73{\\textendash}82%), where allocation shifts toward photosynthetic carbon. Carbon use efficiency is lowest (0.42{\\textendash}0.44) in the wet tropics. We find an emergent global correlation between retrievals of leaf mass per leaf area and leaf lifespan (r = 0.64{\\textendash}0.80) that matches independent trait studies. We show that conventional land cover types cannot adequately describe the spatial variability of …","author":[{"dropping-particle":"","family":"Bloom","given":"A Anthony","non-dropping-particle":"","parse-names":false,"suffix":""},{"dropping-particle":"","family":"Exbrayat","given":"Jean-François","non-dropping-particle":"","parse-names":false,"suffix":""},{"dropping-particle":"","family":"Velde","given":"Ivar R","non-dropping-particle":"van der","parse-names":false,"suffix":""},{"dropping-particle":"","family":"Feng","given":"Liang","non-dropping-particle":"","parse-names":false,"suffix":""},{"dropping-particle":"","family":"Williams","given":"Mathew","non-dropping-particle":"","parse-names":false,"suffix":""}],"container-title":"Proceedings of the National Academy of Sciences","id":"ITEM-1","issue":"5","issued":{"date-parts":[["2016"]]},"page":"1285-1290","publisher":"National Academy of Sciences","title":"The decadal state of the terrestrial carbon cycle: Global retrievals of terrestrial carbon allocation, pools, and residence times","type":"article-journal","volume":"113"},"uris":["http://www.mendeley.com/documents/?uuid=6f80c03b-935a-4bff-b909-17256e12378d"]}],"mendeley":{"formattedCitation":"&lt;sup&gt;25&lt;/sup&gt;","plainTextFormattedCitation":"25","previouslyFormattedCitation":"&lt;sup&gt;25&lt;/sup&gt;"},"properties":{"noteIndex":0},"schema":"https://github.com/citation-style-language/schema/raw/master/csl-citation.json"}</w:instrText>
            </w:r>
            <w:r w:rsidRPr="00B75738">
              <w:rPr>
                <w:rFonts w:ascii="Times New Roman" w:eastAsia="Arial" w:hAnsi="Times New Roman" w:cs="Times New Roman"/>
                <w:color w:val="000000" w:themeColor="text1"/>
                <w:sz w:val="20"/>
                <w:szCs w:val="20"/>
              </w:rPr>
              <w:fldChar w:fldCharType="separate"/>
            </w:r>
            <w:r w:rsidRPr="00B75738">
              <w:rPr>
                <w:rFonts w:ascii="Times New Roman" w:eastAsia="Arial" w:hAnsi="Times New Roman" w:cs="Times New Roman"/>
                <w:noProof/>
                <w:color w:val="000000" w:themeColor="text1"/>
                <w:sz w:val="20"/>
                <w:szCs w:val="20"/>
              </w:rPr>
              <w:t>25</w:t>
            </w:r>
            <w:r w:rsidRPr="00B75738">
              <w:rPr>
                <w:rFonts w:ascii="Times New Roman" w:eastAsia="Arial" w:hAnsi="Times New Roman" w:cs="Times New Roman"/>
                <w:color w:val="000000" w:themeColor="text1"/>
                <w:sz w:val="20"/>
                <w:szCs w:val="20"/>
              </w:rPr>
              <w:fldChar w:fldCharType="end"/>
            </w:r>
            <w:r w:rsidR="00B75738">
              <w:rPr>
                <w:rFonts w:ascii="Times New Roman" w:eastAsia="Arial" w:hAnsi="Times New Roman" w:cs="Times New Roman"/>
                <w:color w:val="000000" w:themeColor="text1"/>
                <w:sz w:val="20"/>
                <w:szCs w:val="20"/>
              </w:rPr>
              <w:t>]</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20%</w:t>
            </w:r>
          </w:p>
        </w:tc>
      </w:tr>
      <w:tr w:rsidR="00F6749E" w:rsidRPr="004A6EE9" w:rsidTr="004A6EE9">
        <w:trPr>
          <w:trHeight w:val="600"/>
        </w:trPr>
        <w:tc>
          <w:tcPr>
            <w:tcW w:w="1815"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Soil Het. Resp.</w:t>
            </w:r>
          </w:p>
        </w:tc>
        <w:tc>
          <w:tcPr>
            <w:tcW w:w="630" w:type="dxa"/>
            <w:tcMar>
              <w:top w:w="0" w:type="dxa"/>
              <w:left w:w="0" w:type="dxa"/>
              <w:bottom w:w="0" w:type="dxa"/>
              <w:right w:w="0" w:type="dxa"/>
            </w:tcMar>
            <w:vAlign w:val="center"/>
          </w:tcPr>
          <w:p w:rsidR="00F6749E" w:rsidRPr="004A6EE9" w:rsidRDefault="00F6749E" w:rsidP="009F5F02">
            <w:pPr>
              <w:widowControl w:val="0"/>
              <w:jc w:val="center"/>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1821</w:t>
            </w:r>
          </w:p>
        </w:tc>
        <w:tc>
          <w:tcPr>
            <w:tcW w:w="1005" w:type="dxa"/>
            <w:gridSpan w:val="2"/>
            <w:tcMar>
              <w:top w:w="0" w:type="dxa"/>
              <w:left w:w="0" w:type="dxa"/>
              <w:bottom w:w="0" w:type="dxa"/>
              <w:right w:w="0" w:type="dxa"/>
            </w:tcMar>
            <w:vAlign w:val="center"/>
          </w:tcPr>
          <w:p w:rsidR="00F6749E" w:rsidRPr="004A6EE9" w:rsidRDefault="00F6749E" w:rsidP="009F5F02">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(1307,2384)</w:t>
            </w:r>
          </w:p>
        </w:tc>
        <w:tc>
          <w:tcPr>
            <w:tcW w:w="357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Equation (2)</w:t>
            </w:r>
          </w:p>
        </w:tc>
        <w:tc>
          <w:tcPr>
            <w:tcW w:w="1920" w:type="dxa"/>
            <w:shd w:val="clear" w:color="auto" w:fill="auto"/>
            <w:tcMar>
              <w:top w:w="100" w:type="dxa"/>
              <w:left w:w="100" w:type="dxa"/>
              <w:bottom w:w="100" w:type="dxa"/>
              <w:right w:w="100" w:type="dxa"/>
            </w:tcMar>
            <w:vAlign w:val="center"/>
          </w:tcPr>
          <w:p w:rsidR="00F6749E" w:rsidRPr="004A6EE9" w:rsidRDefault="00F6749E" w:rsidP="004A6EE9">
            <w:pPr>
              <w:widowControl w:val="0"/>
              <w:rPr>
                <w:rFonts w:ascii="Times New Roman" w:eastAsia="Arial" w:hAnsi="Times New Roman" w:cs="Times New Roman"/>
                <w:color w:val="000000" w:themeColor="text1"/>
                <w:sz w:val="20"/>
                <w:szCs w:val="20"/>
              </w:rPr>
            </w:pPr>
            <w:r w:rsidRPr="004A6EE9">
              <w:rPr>
                <w:rFonts w:ascii="Times New Roman" w:eastAsia="Arial" w:hAnsi="Times New Roman" w:cs="Times New Roman"/>
                <w:color w:val="000000" w:themeColor="text1"/>
                <w:sz w:val="20"/>
                <w:szCs w:val="20"/>
              </w:rPr>
              <w:t>Inter-quartile from Monte Carlo (</w:t>
            </w:r>
            <w:r w:rsidR="009F5F02">
              <w:rPr>
                <w:rFonts w:ascii="Times New Roman" w:eastAsia="Arial" w:hAnsi="Times New Roman" w:cs="Times New Roman"/>
                <w:color w:val="000000" w:themeColor="text1"/>
                <w:sz w:val="20"/>
                <w:szCs w:val="20"/>
              </w:rPr>
              <w:t>M</w:t>
            </w:r>
            <w:r w:rsidRPr="004A6EE9">
              <w:rPr>
                <w:rFonts w:ascii="Times New Roman" w:eastAsia="Arial" w:hAnsi="Times New Roman" w:cs="Times New Roman"/>
                <w:color w:val="000000" w:themeColor="text1"/>
                <w:sz w:val="20"/>
                <w:szCs w:val="20"/>
              </w:rPr>
              <w:t>ethods)</w:t>
            </w:r>
          </w:p>
        </w:tc>
      </w:tr>
    </w:tbl>
    <w:p w:rsidR="004A6EE9" w:rsidRDefault="004A6EE9" w:rsidP="00F6749E">
      <w:pPr>
        <w:ind w:left="567" w:hanging="567"/>
        <w:rPr>
          <w:rFonts w:ascii="Times New Roman" w:eastAsia="Arial" w:hAnsi="Times New Roman" w:cs="Times New Roman"/>
          <w:color w:val="000000" w:themeColor="text1"/>
          <w:sz w:val="20"/>
          <w:szCs w:val="20"/>
        </w:rPr>
      </w:pPr>
    </w:p>
    <w:p w:rsidR="00F6749E" w:rsidRPr="004A6EE9" w:rsidRDefault="00B75738"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a</w:t>
      </w:r>
      <w:r w:rsidR="00F6749E" w:rsidRPr="004A6EE9">
        <w:rPr>
          <w:rFonts w:ascii="Times New Roman" w:eastAsia="Arial" w:hAnsi="Times New Roman" w:cs="Times New Roman"/>
          <w:color w:val="000000" w:themeColor="text1"/>
          <w:sz w:val="20"/>
          <w:szCs w:val="20"/>
        </w:rPr>
        <w:tab/>
        <w:t xml:space="preserve">River C transport to estuaries and estuaries C outgassing are both assumed a relative uncertainty of 50%. The total error on </w:t>
      </w:r>
      <w:proofErr w:type="spellStart"/>
      <w:r w:rsidR="00F6749E" w:rsidRPr="004A6EE9">
        <w:rPr>
          <w:rFonts w:ascii="Times New Roman" w:eastAsia="Arial" w:hAnsi="Times New Roman" w:cs="Times New Roman"/>
          <w:color w:val="000000" w:themeColor="text1"/>
          <w:sz w:val="20"/>
          <w:szCs w:val="20"/>
        </w:rPr>
        <w:t>F</w:t>
      </w:r>
      <w:r w:rsidR="00F6749E" w:rsidRPr="004A6EE9">
        <w:rPr>
          <w:rFonts w:ascii="Times New Roman" w:eastAsia="Arial" w:hAnsi="Times New Roman" w:cs="Times New Roman"/>
          <w:color w:val="000000" w:themeColor="text1"/>
          <w:sz w:val="20"/>
          <w:szCs w:val="20"/>
          <w:vertAlign w:val="subscript"/>
        </w:rPr>
        <w:t>rivers</w:t>
      </w:r>
      <w:proofErr w:type="spellEnd"/>
      <w:r w:rsidR="00F6749E" w:rsidRPr="004A6EE9">
        <w:rPr>
          <w:rFonts w:ascii="Times New Roman" w:eastAsia="Arial" w:hAnsi="Times New Roman" w:cs="Times New Roman"/>
          <w:color w:val="000000" w:themeColor="text1"/>
          <w:sz w:val="20"/>
          <w:szCs w:val="20"/>
          <w:vertAlign w:val="subscript"/>
        </w:rPr>
        <w:t xml:space="preserve"> </w:t>
      </w:r>
      <w:r w:rsidR="00F6749E" w:rsidRPr="004A6EE9">
        <w:rPr>
          <w:rFonts w:ascii="Times New Roman" w:eastAsia="Arial" w:hAnsi="Times New Roman" w:cs="Times New Roman"/>
          <w:color w:val="000000" w:themeColor="text1"/>
          <w:sz w:val="20"/>
          <w:szCs w:val="20"/>
        </w:rPr>
        <w:t>is calculated by assuming these two terms have independent uncertainties</w:t>
      </w:r>
    </w:p>
    <w:p w:rsidR="00F6749E" w:rsidRPr="004A6EE9" w:rsidRDefault="00B75738"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b</w:t>
      </w:r>
      <w:r w:rsidR="00F6749E" w:rsidRPr="004A6EE9">
        <w:rPr>
          <w:rFonts w:ascii="Times New Roman" w:eastAsia="Arial" w:hAnsi="Times New Roman" w:cs="Times New Roman"/>
          <w:color w:val="000000" w:themeColor="text1"/>
          <w:sz w:val="20"/>
          <w:szCs w:val="20"/>
        </w:rPr>
        <w:tab/>
        <w:t>The total error on NEE</w:t>
      </w:r>
      <w:r w:rsidR="00F6749E" w:rsidRPr="004A6EE9">
        <w:rPr>
          <w:rFonts w:ascii="Times New Roman" w:eastAsia="Arial" w:hAnsi="Times New Roman" w:cs="Times New Roman"/>
          <w:color w:val="000000" w:themeColor="text1"/>
          <w:sz w:val="20"/>
          <w:szCs w:val="20"/>
          <w:vertAlign w:val="subscript"/>
        </w:rPr>
        <w:t xml:space="preserve"> </w:t>
      </w:r>
      <w:r w:rsidR="00F6749E" w:rsidRPr="004A6EE9">
        <w:rPr>
          <w:rFonts w:ascii="Times New Roman" w:eastAsia="Arial" w:hAnsi="Times New Roman" w:cs="Times New Roman"/>
          <w:color w:val="000000" w:themeColor="text1"/>
          <w:sz w:val="20"/>
          <w:szCs w:val="20"/>
        </w:rPr>
        <w:t xml:space="preserve">is calculated by assuming each  term of </w:t>
      </w:r>
      <w:r w:rsidRPr="004A6EE9">
        <w:rPr>
          <w:rFonts w:ascii="Times New Roman" w:eastAsia="Arial" w:hAnsi="Times New Roman" w:cs="Times New Roman"/>
          <w:color w:val="000000" w:themeColor="text1"/>
          <w:sz w:val="20"/>
          <w:szCs w:val="20"/>
        </w:rPr>
        <w:t>Equation</w:t>
      </w:r>
      <w:r w:rsidR="00F6749E" w:rsidRPr="004A6EE9">
        <w:rPr>
          <w:rFonts w:ascii="Times New Roman" w:eastAsia="Arial" w:hAnsi="Times New Roman" w:cs="Times New Roman"/>
          <w:color w:val="000000" w:themeColor="text1"/>
          <w:sz w:val="20"/>
          <w:szCs w:val="20"/>
        </w:rPr>
        <w:t xml:space="preserve"> (1)  have independent uncertainties</w:t>
      </w:r>
    </w:p>
    <w:p w:rsidR="00F6749E" w:rsidRDefault="00B75738"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c</w:t>
      </w:r>
      <w:r w:rsidR="00F6749E" w:rsidRPr="004A6EE9">
        <w:rPr>
          <w:rFonts w:ascii="Times New Roman" w:eastAsia="Arial" w:hAnsi="Times New Roman" w:cs="Times New Roman"/>
          <w:color w:val="000000" w:themeColor="text1"/>
          <w:sz w:val="20"/>
          <w:szCs w:val="20"/>
        </w:rPr>
        <w:tab/>
        <w:t>Uncertainty of 20% for wood products decay and estimated by Monte Carlo approach by Wang et al. for biomass burned in industry and power plants</w:t>
      </w:r>
    </w:p>
    <w:p w:rsidR="00E8739C" w:rsidRPr="004A6EE9" w:rsidRDefault="00E8739C"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d</w:t>
      </w:r>
      <w:r>
        <w:rPr>
          <w:rFonts w:ascii="Times New Roman" w:eastAsia="Arial" w:hAnsi="Times New Roman" w:cs="Times New Roman"/>
          <w:color w:val="000000" w:themeColor="text1"/>
          <w:sz w:val="20"/>
          <w:szCs w:val="20"/>
        </w:rPr>
        <w:tab/>
      </w:r>
      <w:proofErr w:type="spellStart"/>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fires</w:t>
      </w:r>
      <w:proofErr w:type="spellEnd"/>
      <w:r w:rsidRPr="00E8739C">
        <w:rPr>
          <w:rFonts w:ascii="Times New Roman" w:eastAsia="Arial" w:hAnsi="Times New Roman" w:cs="Times New Roman"/>
          <w:color w:val="000000" w:themeColor="text1"/>
          <w:sz w:val="20"/>
          <w:szCs w:val="20"/>
          <w:vertAlign w:val="subscript"/>
        </w:rPr>
        <w:t xml:space="preserve"> </w:t>
      </w:r>
      <w:r w:rsidRPr="00E8739C">
        <w:rPr>
          <w:rFonts w:ascii="Times New Roman" w:eastAsia="Arial" w:hAnsi="Times New Roman" w:cs="Times New Roman"/>
          <w:color w:val="000000" w:themeColor="text1"/>
          <w:sz w:val="20"/>
          <w:szCs w:val="20"/>
        </w:rPr>
        <w:t>includes open fires and crop residues burning estimated from Wang et al.</w:t>
      </w:r>
    </w:p>
    <w:p w:rsidR="00F6749E" w:rsidRPr="00DA354E" w:rsidRDefault="00F6749E" w:rsidP="00F6749E">
      <w:pPr>
        <w:rPr>
          <w:rFonts w:ascii="Times New Roman" w:eastAsia="Calibri" w:hAnsi="Times New Roman" w:cs="Times New Roman"/>
          <w:color w:val="000000" w:themeColor="text1"/>
          <w:sz w:val="16"/>
          <w:szCs w:val="16"/>
        </w:rPr>
      </w:pPr>
    </w:p>
    <w:p w:rsidR="00F6749E" w:rsidRPr="00DA354E" w:rsidRDefault="00F6749E" w:rsidP="00F6749E">
      <w:pPr>
        <w:rPr>
          <w:rFonts w:ascii="Times New Roman" w:eastAsia="Calibri" w:hAnsi="Times New Roman" w:cs="Times New Roman"/>
          <w:color w:val="000000" w:themeColor="text1"/>
          <w:sz w:val="16"/>
          <w:szCs w:val="16"/>
        </w:rPr>
      </w:pPr>
      <w:r w:rsidRPr="00DA354E">
        <w:rPr>
          <w:rFonts w:ascii="Times New Roman" w:hAnsi="Times New Roman" w:cs="Times New Roman"/>
          <w:color w:val="000000" w:themeColor="text1"/>
        </w:rPr>
        <w:br w:type="page"/>
      </w: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630"/>
        <w:gridCol w:w="270"/>
        <w:gridCol w:w="615"/>
        <w:gridCol w:w="3525"/>
        <w:gridCol w:w="2085"/>
      </w:tblGrid>
      <w:tr w:rsidR="00F6749E" w:rsidRPr="00DA354E" w:rsidTr="00C26ED2">
        <w:trPr>
          <w:trHeight w:val="400"/>
        </w:trPr>
        <w:tc>
          <w:tcPr>
            <w:tcW w:w="8940" w:type="dxa"/>
            <w:gridSpan w:val="6"/>
            <w:shd w:val="clear" w:color="auto" w:fill="auto"/>
            <w:tcMar>
              <w:top w:w="100" w:type="dxa"/>
              <w:left w:w="100" w:type="dxa"/>
              <w:bottom w:w="100" w:type="dxa"/>
              <w:right w:w="100" w:type="dxa"/>
            </w:tcMar>
          </w:tcPr>
          <w:p w:rsidR="00F6749E" w:rsidRPr="00DA354E" w:rsidRDefault="00F6749E" w:rsidP="00C26ED2">
            <w:pPr>
              <w:widowControl w:val="0"/>
              <w:rPr>
                <w:rFonts w:ascii="Times New Roman" w:eastAsia="Arial" w:hAnsi="Times New Roman" w:cs="Times New Roman"/>
                <w:b/>
                <w:color w:val="000000" w:themeColor="text1"/>
              </w:rPr>
            </w:pPr>
            <w:r w:rsidRPr="00DA354E">
              <w:rPr>
                <w:rFonts w:ascii="Times New Roman" w:eastAsia="Arial" w:hAnsi="Times New Roman" w:cs="Times New Roman"/>
                <w:b/>
                <w:color w:val="000000" w:themeColor="text1"/>
              </w:rPr>
              <w:lastRenderedPageBreak/>
              <w:t>South Asia</w:t>
            </w:r>
          </w:p>
        </w:tc>
      </w:tr>
      <w:tr w:rsidR="00F6749E" w:rsidRPr="00C26ED2" w:rsidTr="00C26ED2">
        <w:trPr>
          <w:trHeight w:val="400"/>
        </w:trPr>
        <w:tc>
          <w:tcPr>
            <w:tcW w:w="3330" w:type="dxa"/>
            <w:gridSpan w:val="4"/>
            <w:shd w:val="clear" w:color="auto" w:fill="auto"/>
            <w:tcMar>
              <w:top w:w="100" w:type="dxa"/>
              <w:left w:w="100" w:type="dxa"/>
              <w:bottom w:w="100" w:type="dxa"/>
              <w:right w:w="100" w:type="dxa"/>
            </w:tcMar>
            <w:vAlign w:val="center"/>
          </w:tcPr>
          <w:p w:rsidR="00F6749E" w:rsidRPr="00C26ED2" w:rsidRDefault="004A6EE9" w:rsidP="00C26ED2">
            <w:pPr>
              <w:widowControl w:val="0"/>
              <w:rPr>
                <w:rFonts w:ascii="Times New Roman" w:eastAsia="Arial" w:hAnsi="Times New Roman" w:cs="Times New Roman"/>
                <w:color w:val="000000" w:themeColor="text1"/>
                <w:sz w:val="20"/>
                <w:szCs w:val="20"/>
              </w:rPr>
            </w:pPr>
            <w:r w:rsidRPr="005A63F3">
              <w:rPr>
                <w:rFonts w:ascii="Times New Roman" w:eastAsia="Arial" w:hAnsi="Times New Roman" w:cs="Times New Roman"/>
                <w:color w:val="000000" w:themeColor="text1"/>
                <w:sz w:val="20"/>
                <w:szCs w:val="20"/>
              </w:rPr>
              <w:t>(</w:t>
            </w:r>
            <w:proofErr w:type="spellStart"/>
            <w:r w:rsidRPr="005A63F3">
              <w:rPr>
                <w:rFonts w:ascii="Times New Roman" w:eastAsia="Arial" w:hAnsi="Times New Roman" w:cs="Times New Roman"/>
                <w:color w:val="000000" w:themeColor="text1"/>
                <w:sz w:val="20"/>
                <w:szCs w:val="20"/>
              </w:rPr>
              <w:t>TgC</w:t>
            </w:r>
            <w:proofErr w:type="spellEnd"/>
            <w:r w:rsidRPr="005A63F3">
              <w:rPr>
                <w:rFonts w:ascii="Times New Roman" w:eastAsia="Arial" w:hAnsi="Times New Roman" w:cs="Times New Roman"/>
                <w:color w:val="000000" w:themeColor="text1"/>
                <w:sz w:val="20"/>
                <w:szCs w:val="20"/>
              </w:rPr>
              <w:t xml:space="preserve"> yr</w:t>
            </w:r>
            <w:r w:rsidRPr="005A63F3">
              <w:rPr>
                <w:rFonts w:ascii="Times New Roman" w:eastAsia="Arial" w:hAnsi="Times New Roman" w:cs="Times New Roman"/>
                <w:color w:val="000000" w:themeColor="text1"/>
                <w:sz w:val="20"/>
                <w:szCs w:val="20"/>
                <w:vertAlign w:val="superscript"/>
              </w:rPr>
              <w:t>-1</w:t>
            </w:r>
            <w:r w:rsidRPr="005A63F3">
              <w:rPr>
                <w:rFonts w:ascii="Times New Roman" w:eastAsia="Arial" w:hAnsi="Times New Roman" w:cs="Times New Roman"/>
                <w:color w:val="000000" w:themeColor="text1"/>
                <w:sz w:val="20"/>
                <w:szCs w:val="20"/>
              </w:rPr>
              <w:t>)</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Reference</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Uncertainty estimation</w:t>
            </w:r>
          </w:p>
        </w:tc>
      </w:tr>
      <w:tr w:rsidR="00F6749E" w:rsidRPr="00C26ED2" w:rsidTr="00C26ED2">
        <w:trPr>
          <w:trHeight w:val="600"/>
        </w:trPr>
        <w:tc>
          <w:tcPr>
            <w:tcW w:w="1815" w:type="dxa"/>
            <w:tcBorders>
              <w:top w:val="single" w:sz="8" w:space="0" w:color="000000"/>
              <w:left w:val="single" w:sz="8" w:space="0" w:color="000000"/>
              <w:bottom w:val="single" w:sz="8" w:space="0" w:color="000000"/>
            </w:tcBorders>
            <w:shd w:val="clear" w:color="auto" w:fill="FFFFFF"/>
            <w:vAlign w:val="center"/>
          </w:tcPr>
          <w:p w:rsidR="00F6749E" w:rsidRPr="00C26ED2" w:rsidRDefault="00F6749E" w:rsidP="00C26ED2">
            <w:pPr>
              <w:rPr>
                <w:rFonts w:ascii="Times New Roman" w:eastAsia="Arial" w:hAnsi="Times New Roman" w:cs="Times New Roman"/>
                <w:color w:val="000000" w:themeColor="text1"/>
                <w:sz w:val="20"/>
                <w:szCs w:val="20"/>
              </w:rPr>
            </w:pPr>
            <w:r w:rsidRPr="00C26ED2">
              <w:rPr>
                <w:rFonts w:ascii="Times New Roman" w:eastAsia="Arial Unicode MS" w:hAnsi="Times New Roman" w:cs="Times New Roman"/>
                <w:color w:val="000000" w:themeColor="text1"/>
                <w:sz w:val="20"/>
                <w:szCs w:val="20"/>
              </w:rPr>
              <w:t>∆C</w:t>
            </w:r>
          </w:p>
        </w:tc>
        <w:tc>
          <w:tcPr>
            <w:tcW w:w="630" w:type="dxa"/>
            <w:tcMar>
              <w:top w:w="0" w:type="dxa"/>
              <w:left w:w="0" w:type="dxa"/>
              <w:bottom w:w="0" w:type="dxa"/>
              <w:right w:w="0" w:type="dxa"/>
            </w:tcMar>
            <w:vAlign w:val="center"/>
          </w:tcPr>
          <w:p w:rsidR="00F6749E" w:rsidRPr="00C26ED2" w:rsidRDefault="00F6749E" w:rsidP="009F5F02">
            <w:pPr>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-124</w:t>
            </w:r>
          </w:p>
        </w:tc>
        <w:tc>
          <w:tcPr>
            <w:tcW w:w="270" w:type="dxa"/>
            <w:tcMar>
              <w:top w:w="0" w:type="dxa"/>
              <w:left w:w="0" w:type="dxa"/>
              <w:bottom w:w="0" w:type="dxa"/>
              <w:right w:w="0" w:type="dxa"/>
            </w:tcMar>
            <w:vAlign w:val="center"/>
          </w:tcPr>
          <w:p w:rsidR="00F6749E" w:rsidRPr="00C26ED2" w:rsidRDefault="00F6749E" w:rsidP="009F5F02">
            <w:pPr>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25</w:t>
            </w:r>
          </w:p>
        </w:tc>
        <w:tc>
          <w:tcPr>
            <w:tcW w:w="3525" w:type="dxa"/>
            <w:tcBorders>
              <w:top w:val="single" w:sz="8" w:space="0" w:color="000000"/>
              <w:bottom w:val="single" w:sz="8" w:space="0" w:color="000000"/>
              <w:right w:val="single" w:sz="8" w:space="0" w:color="000000"/>
            </w:tcBorders>
            <w:shd w:val="clear" w:color="auto" w:fill="FFFFFF"/>
            <w:vAlign w:val="center"/>
          </w:tcPr>
          <w:p w:rsidR="00F6749E" w:rsidRPr="00C26ED2" w:rsidRDefault="00F6749E" w:rsidP="00C26ED2">
            <w:pPr>
              <w:rPr>
                <w:rFonts w:ascii="Times New Roman" w:eastAsia="Arial" w:hAnsi="Times New Roman" w:cs="Times New Roman"/>
                <w:color w:val="000000" w:themeColor="text1"/>
                <w:sz w:val="20"/>
                <w:szCs w:val="20"/>
              </w:rPr>
            </w:pPr>
            <w:proofErr w:type="spellStart"/>
            <w:r w:rsidRPr="00C26ED2">
              <w:rPr>
                <w:rFonts w:ascii="Times New Roman" w:eastAsia="Arial" w:hAnsi="Times New Roman" w:cs="Times New Roman"/>
                <w:color w:val="000000" w:themeColor="text1"/>
                <w:sz w:val="20"/>
                <w:szCs w:val="20"/>
              </w:rPr>
              <w:t>Baccini</w:t>
            </w:r>
            <w:proofErr w:type="spellEnd"/>
            <w:r w:rsidRPr="00C26ED2">
              <w:rPr>
                <w:rFonts w:ascii="Times New Roman" w:eastAsia="Arial" w:hAnsi="Times New Roman" w:cs="Times New Roman"/>
                <w:color w:val="000000" w:themeColor="text1"/>
                <w:sz w:val="20"/>
                <w:szCs w:val="20"/>
              </w:rPr>
              <w:t xml:space="preserve"> et al. </w:t>
            </w:r>
            <w:r w:rsidR="00C26ED2">
              <w:rPr>
                <w:rFonts w:ascii="Times New Roman" w:eastAsia="Arial" w:hAnsi="Times New Roman" w:cs="Times New Roman"/>
                <w:color w:val="000000" w:themeColor="text1"/>
                <w:sz w:val="20"/>
                <w:szCs w:val="20"/>
              </w:rPr>
              <w:t>[</w:t>
            </w:r>
            <w:r w:rsidRPr="00C26ED2">
              <w:rPr>
                <w:rFonts w:ascii="Times New Roman" w:eastAsia="Arial" w:hAnsi="Times New Roman" w:cs="Times New Roman"/>
                <w:color w:val="000000" w:themeColor="text1"/>
                <w:sz w:val="20"/>
                <w:szCs w:val="20"/>
              </w:rPr>
              <w:fldChar w:fldCharType="begin" w:fldLock="1"/>
            </w:r>
            <w:r w:rsidRPr="00C26ED2">
              <w:rPr>
                <w:rFonts w:ascii="Times New Roman" w:eastAsia="Arial" w:hAnsi="Times New Roman" w:cs="Times New Roman"/>
                <w:color w:val="000000" w:themeColor="text1"/>
                <w:sz w:val="20"/>
                <w:szCs w:val="20"/>
              </w:rPr>
              <w:instrText>ADDIN CSL_CITATION {"citationItems":[{"id":"ITEM-1","itemData":{"DOI":"10.1126/science.aam5962","ISSN":"0036-8075","abstract":"Are tropical forests a net source or net sink of atmospheric carbon dioxide? As fundamental a question as that is, there still is no agreement about the answer, with different studies suggesting that it is anything from a sizable sink to a modest source. Baccini et al. used 12 years of MODIS satellite data to determine how the aboveground carbon density of woody, live vegetation has changed throughout the entire tropics on an annual basis. They find that the tropics are a net carbon source, with losses owing to deforestation and reductions in carbon density within standing forests being double that of gains resulting from forest growth.Science, this issue p. 230The carbon balance of tropical ecosystems remains uncertain, with top-down atmospheric studies suggesting an overall sink and bottom-up ecological approaches indicating a modest net source. Here we use 12 years (2003 to 2014) of MODIS pantropical satellite data to quantify net annual changes in the aboveground carbon density of tropical woody live vegetation, providing direct, measurement-based evidence that the world{\\textquoteright}s tropical forests are a net carbon source of 425.2 {\\textpm} 92.0 teragrams of carbon per year (Tg C year{\\textendash}1). This net release of carbon consists of losses of 861.7 {\\textpm} 80.2 Tg C year{\\textendash}1 and gains of 436.5 {\\textpm} 31.0 Tg C year{\\textendash}1. Gains result from forest growth; losses result from deforestation and from reductions in carbon density within standing forests (degradation or disturbance), with the latter accounting for 68.9% of overall losses.","author":[{"dropping-particle":"","family":"Baccini","given":"A","non-dropping-particle":"","parse-names":false,"suffix":""},{"dropping-particle":"","family":"Walker","given":"W","non-dropping-particle":"","parse-names":false,"suffix":""},{"dropping-particle":"","family":"Carvalho","given":"L","non-dropping-particle":"","parse-names":false,"suffix":""},{"dropping-particle":"","family":"Farina","given":"M","non-dropping-particle":"","parse-names":false,"suffix":""},{"dropping-particle":"","family":"Sulla-Menashe","given":"D","non-dropping-particle":"","parse-names":false,"suffix":""},{"dropping-particle":"","family":"Houghton","given":"R A","non-dropping-particle":"","parse-names":false,"suffix":""}],"container-title":"Science","id":"ITEM-1","issue":"6360","issued":{"date-parts":[["2017"]]},"page":"230-234","publisher":"American Association for the Advancement of Science","title":"Tropical forests are a net carbon source based on aboveground measurements of gain and loss","type":"article-journal","volume":"358"},"uris":["http://www.mendeley.com/documents/?uuid=0ec15a8b-7de7-466a-bad0-2e91b8a2f76e"]}],"mendeley":{"formattedCitation":"&lt;sup&gt;17&lt;/sup&gt;","plainTextFormattedCitation":"17","previouslyFormattedCitation":"&lt;sup&gt;17&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rPr>
              <w:fldChar w:fldCharType="separate"/>
            </w:r>
            <w:r w:rsidRPr="00C26ED2">
              <w:rPr>
                <w:rFonts w:ascii="Times New Roman" w:eastAsia="Arial" w:hAnsi="Times New Roman" w:cs="Times New Roman"/>
                <w:noProof/>
                <w:color w:val="000000" w:themeColor="text1"/>
                <w:sz w:val="20"/>
                <w:szCs w:val="20"/>
              </w:rPr>
              <w:t>17</w:t>
            </w:r>
            <w:r w:rsidRPr="00C26ED2">
              <w:rPr>
                <w:rFonts w:ascii="Times New Roman" w:eastAsia="Arial" w:hAnsi="Times New Roman" w:cs="Times New Roman"/>
                <w:color w:val="000000" w:themeColor="text1"/>
                <w:sz w:val="20"/>
                <w:szCs w:val="20"/>
              </w:rPr>
              <w:fldChar w:fldCharType="end"/>
            </w:r>
            <w:r w:rsidR="00C26ED2">
              <w:rPr>
                <w:rFonts w:ascii="Times New Roman" w:eastAsia="Arial" w:hAnsi="Times New Roman" w:cs="Times New Roman"/>
                <w:color w:val="000000" w:themeColor="text1"/>
                <w:sz w:val="20"/>
                <w:szCs w:val="20"/>
              </w:rPr>
              <w:t>]</w:t>
            </w:r>
          </w:p>
        </w:tc>
        <w:tc>
          <w:tcPr>
            <w:tcW w:w="20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see Methods</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vertAlign w:val="subscript"/>
              </w:rPr>
            </w:pPr>
            <w:proofErr w:type="spellStart"/>
            <w:r w:rsidRPr="00C26ED2">
              <w:rPr>
                <w:rFonts w:ascii="Times New Roman" w:eastAsia="Arial" w:hAnsi="Times New Roman" w:cs="Times New Roman"/>
                <w:color w:val="000000" w:themeColor="text1"/>
                <w:sz w:val="20"/>
                <w:szCs w:val="20"/>
              </w:rPr>
              <w:t>F</w:t>
            </w:r>
            <w:r w:rsidRPr="00C26ED2">
              <w:rPr>
                <w:rFonts w:ascii="Times New Roman" w:eastAsia="Arial" w:hAnsi="Times New Roman" w:cs="Times New Roman"/>
                <w:color w:val="000000" w:themeColor="text1"/>
                <w:sz w:val="20"/>
                <w:szCs w:val="20"/>
                <w:vertAlign w:val="subscript"/>
              </w:rPr>
              <w:t>trade</w:t>
            </w:r>
            <w:proofErr w:type="spellEnd"/>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-7</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1</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 xml:space="preserve">Peters et al. </w:t>
            </w:r>
            <w:r w:rsidR="00C26ED2">
              <w:rPr>
                <w:rFonts w:ascii="Times New Roman" w:eastAsia="Arial" w:hAnsi="Times New Roman" w:cs="Times New Roman"/>
                <w:color w:val="000000" w:themeColor="text1"/>
                <w:sz w:val="20"/>
                <w:szCs w:val="20"/>
              </w:rPr>
              <w:t>[</w:t>
            </w:r>
            <w:r w:rsidRPr="00C26ED2">
              <w:rPr>
                <w:rFonts w:ascii="Times New Roman" w:eastAsia="Arial" w:hAnsi="Times New Roman" w:cs="Times New Roman"/>
                <w:color w:val="000000" w:themeColor="text1"/>
                <w:sz w:val="20"/>
                <w:szCs w:val="20"/>
              </w:rPr>
              <w:fldChar w:fldCharType="begin" w:fldLock="1"/>
            </w:r>
            <w:r w:rsidRPr="00C26ED2">
              <w:rPr>
                <w:rFonts w:ascii="Times New Roman" w:eastAsia="Arial" w:hAnsi="Times New Roman" w:cs="Times New Roman"/>
                <w:color w:val="000000" w:themeColor="text1"/>
                <w:sz w:val="20"/>
                <w:szCs w:val="20"/>
              </w:rPr>
              <w:instrText>ADDIN CSL_CITATION {"citationItems":[{"id":"ITEM-1","itemData":{"DOI":"10.5194/bg-9-3247-2012","ISSN":"1726-4189","author":[{"dropping-particle":"","family":"Peters","given":"G. P.","non-dropping-particle":"","parse-names":false,"suffix":""},{"dropping-particle":"","family":"Davis","given":"S. J.","non-dropping-particle":"","parse-names":false,"suffix":""},{"dropping-particle":"","family":"Andrew","given":"R.","non-dropping-particle":"","parse-names":false,"suffix":""}],"container-title":"Biogeosciences","id":"ITEM-1","issue":"8","issued":{"date-parts":[["2012","8"]]},"page":"3247-3276","title":"A synthesis of carbon in international trade","type":"article-journal","volume":"9"},"uris":["http://www.mendeley.com/documents/?uuid=13aaa07d-69fb-4d0c-b60c-c51107b8444a"]}],"mendeley":{"formattedCitation":"&lt;sup&gt;18&lt;/sup&gt;","plainTextFormattedCitation":"18","previouslyFormattedCitation":"&lt;sup&gt;18&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rPr>
              <w:fldChar w:fldCharType="separate"/>
            </w:r>
            <w:r w:rsidRPr="00C26ED2">
              <w:rPr>
                <w:rFonts w:ascii="Times New Roman" w:eastAsia="Arial" w:hAnsi="Times New Roman" w:cs="Times New Roman"/>
                <w:noProof/>
                <w:color w:val="000000" w:themeColor="text1"/>
                <w:sz w:val="20"/>
                <w:szCs w:val="20"/>
              </w:rPr>
              <w:t>18</w:t>
            </w:r>
            <w:r w:rsidRPr="00C26ED2">
              <w:rPr>
                <w:rFonts w:ascii="Times New Roman" w:eastAsia="Arial" w:hAnsi="Times New Roman" w:cs="Times New Roman"/>
                <w:color w:val="000000" w:themeColor="text1"/>
                <w:sz w:val="20"/>
                <w:szCs w:val="20"/>
              </w:rPr>
              <w:fldChar w:fldCharType="end"/>
            </w:r>
            <w:r w:rsidR="00C26ED2">
              <w:rPr>
                <w:rFonts w:ascii="Times New Roman" w:eastAsia="Arial" w:hAnsi="Times New Roman" w:cs="Times New Roman"/>
                <w:color w:val="000000" w:themeColor="text1"/>
                <w:sz w:val="20"/>
                <w:szCs w:val="20"/>
              </w:rPr>
              <w:t>]</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20%</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vertAlign w:val="subscript"/>
              </w:rPr>
            </w:pPr>
            <w:proofErr w:type="spellStart"/>
            <w:r w:rsidRPr="00C26ED2">
              <w:rPr>
                <w:rFonts w:ascii="Times New Roman" w:eastAsia="Arial" w:hAnsi="Times New Roman" w:cs="Times New Roman"/>
                <w:color w:val="000000" w:themeColor="text1"/>
                <w:sz w:val="20"/>
                <w:szCs w:val="20"/>
              </w:rPr>
              <w:t>F</w:t>
            </w:r>
            <w:r w:rsidRPr="00C26ED2">
              <w:rPr>
                <w:rFonts w:ascii="Times New Roman" w:eastAsia="Arial" w:hAnsi="Times New Roman" w:cs="Times New Roman"/>
                <w:color w:val="000000" w:themeColor="text1"/>
                <w:sz w:val="20"/>
                <w:szCs w:val="20"/>
                <w:vertAlign w:val="subscript"/>
              </w:rPr>
              <w:t>rivers</w:t>
            </w:r>
            <w:proofErr w:type="spellEnd"/>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151</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44</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proofErr w:type="spellStart"/>
            <w:r w:rsidRPr="00C26ED2">
              <w:rPr>
                <w:rFonts w:ascii="Times New Roman" w:eastAsia="Arial" w:hAnsi="Times New Roman" w:cs="Times New Roman"/>
                <w:color w:val="000000" w:themeColor="text1"/>
                <w:sz w:val="20"/>
                <w:szCs w:val="20"/>
                <w:lang w:val="fr-FR"/>
              </w:rPr>
              <w:t>Mayorga</w:t>
            </w:r>
            <w:proofErr w:type="spellEnd"/>
            <w:r w:rsidRPr="00C26ED2">
              <w:rPr>
                <w:rFonts w:ascii="Times New Roman" w:eastAsia="Arial" w:hAnsi="Times New Roman" w:cs="Times New Roman"/>
                <w:color w:val="000000" w:themeColor="text1"/>
                <w:sz w:val="20"/>
                <w:szCs w:val="20"/>
                <w:lang w:val="fr-FR"/>
              </w:rPr>
              <w:t xml:space="preserve"> et al.</w:t>
            </w:r>
            <w:r w:rsidR="00C26ED2" w:rsidRPr="00C26ED2">
              <w:rPr>
                <w:rFonts w:ascii="Times New Roman" w:eastAsia="Arial" w:hAnsi="Times New Roman" w:cs="Times New Roman"/>
                <w:color w:val="000000" w:themeColor="text1"/>
                <w:sz w:val="20"/>
                <w:szCs w:val="20"/>
                <w:lang w:val="fr-FR"/>
              </w:rPr>
              <w:t xml:space="preserve"> </w:t>
            </w:r>
            <w:r w:rsidR="00C26ED2">
              <w:rPr>
                <w:rFonts w:ascii="Times New Roman" w:eastAsia="Arial" w:hAnsi="Times New Roman" w:cs="Times New Roman"/>
                <w:color w:val="000000" w:themeColor="text1"/>
                <w:sz w:val="20"/>
                <w:szCs w:val="20"/>
                <w:lang w:val="fr-FR"/>
              </w:rPr>
              <w:t>[</w:t>
            </w:r>
            <w:r w:rsidRPr="00C26ED2">
              <w:rPr>
                <w:rFonts w:ascii="Times New Roman" w:eastAsia="Arial" w:hAnsi="Times New Roman" w:cs="Times New Roman"/>
                <w:color w:val="000000" w:themeColor="text1"/>
                <w:sz w:val="20"/>
                <w:szCs w:val="20"/>
                <w:lang w:val="fr-FR"/>
              </w:rPr>
              <w:fldChar w:fldCharType="begin" w:fldLock="1"/>
            </w:r>
            <w:r w:rsidRPr="00C26ED2">
              <w:rPr>
                <w:rFonts w:ascii="Times New Roman" w:eastAsia="Arial" w:hAnsi="Times New Roman" w:cs="Times New Roman"/>
                <w:color w:val="000000" w:themeColor="text1"/>
                <w:sz w:val="20"/>
                <w:szCs w:val="20"/>
                <w:lang w:val="fr-FR"/>
              </w:rPr>
              <w:instrText>ADDIN CSL_CITATION {"citationItems":[{"id":"ITEM-1","itemData":{"DOI":"10.1038/nature12760","ISSN":"1476-4687","PMID":"24256802","abstract":"Carbon dioxide (CO2) transfer from inland waters to the atmosphere, known as CO2 evasion, is a component of the global carbon cycle. Global estimates of CO2 evasion have been hampered, however, by the lack of a framework for estimating the inland water surface area and gas transfer velocity and by the absence of a global CO2 database. Here we report regional variations in global inland water surface area, dissolved CO2 and gas transfer velocity. We obtain global CO2 evasion rates of 1.8(+0.25)(-0.25) petagrams of carbon (Pg C) per year from streams and rivers and 0.32(+0.52)(-0.26) Pg C yr(-1) from lakes and reservoirs, where the upper and lower limits are respectively the 5th and 95th confidence interval percentiles. The resulting global evasion rate of 2.1 Pg C yr(-1) is higher than previous estimates owing to a larger stream and river evasion rate. Our analysis predicts global hotspots in stream and river evasion, with about 70 per cent of the flux occurring over just 20 per cent of the land surface. The source of inland water CO2 is still not known with certainty and new studies are needed to research the mechanisms controlling CO2 evasion globally.","author":[{"dropping-particle":"","family":"Raymond","given":"Peter A","non-dropping-particle":"","parse-names":false,"suffix":""},{"dropping-particle":"","family":"Hartmann","given":"Jens","non-dropping-particle":"","parse-names":false,"suffix":""},{"dropping-particle":"","family":"Lauerwald","given":"Ronny","non-dropping-particle":"","parse-names":false,"suffix":""},{"dropping-particle":"","family":"Sobek","given":"Sebastian","non-dropping-particle":"","parse-names":false,"suffix":""},{"dropping-particle":"","family":"McDonald","given":"Cory","non-dropping-particle":"","parse-names":false,"suffix":""},{"dropping-particle":"","family":"Hoover","given":"Mark","non-dropping-particle":"","parse-names":false,"suffix":""},{"dropping-particle":"","family":"Butman","given":"David","non-dropping-particle":"","parse-names":false,"suffix":""},{"dropping-particle":"","family":"Striegl","given":"Robert","non-dropping-particle":"","parse-names":false,"suffix":""},{"dropping-particle":"","family":"Mayorga","given":"Emilio","non-dropping-particle":"","parse-names":false,"suffix":""},{"dropping-particle":"","family":"Humborg","given":"Christoph","non-dropping-particle":"","parse-names":false,"suffix":""},{"dropping-particle":"","family":"Kortelainen","given":"Pirkko","non-dropping-particle":"","parse-names":false,"suffix":""},{"dropping-particle":"","family":"Dürr","given":"Hans","non-dropping-particle":"","parse-names":false,"suffix":""},{"dropping-particle":"","family":"Meybeck","given":"Michel","non-dropping-particle":"","parse-names":false,"suffix":""},{"dropping-particle":"","family":"Ciais","given":"Philippe","non-dropping-particle":"","parse-names":false,"suffix":""},{"dropping-particle":"","family":"Guth","given":"Peter","non-dropping-particle":"","parse-names":false,"suffix":""}],"container-title":"Nature","id":"ITEM-1","issue":"7476","issued":{"date-parts":[["2013","11"]]},"page":"355-9","title":"Global carbon dioxide emissions from inland waters.","type":"article-journal","volume":"503"},"uris":["http://www.mendeley.com/documents/?uuid=eabd41ca-221a-48b7-bf3e-392e04532f97"]}],"mendeley":{"formattedCitation":"&lt;sup&gt;27&lt;/sup&gt;","plainTextFormattedCitation":"27","previouslyFormattedCitation":"&lt;sup&gt;27&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lang w:val="fr-FR"/>
              </w:rPr>
              <w:fldChar w:fldCharType="separate"/>
            </w:r>
            <w:r w:rsidRPr="00C26ED2">
              <w:rPr>
                <w:rFonts w:ascii="Times New Roman" w:eastAsia="Arial" w:hAnsi="Times New Roman" w:cs="Times New Roman"/>
                <w:noProof/>
                <w:color w:val="000000" w:themeColor="text1"/>
                <w:sz w:val="20"/>
                <w:szCs w:val="20"/>
                <w:lang w:val="fr-FR"/>
              </w:rPr>
              <w:t>27</w:t>
            </w:r>
            <w:r w:rsidRPr="00C26ED2">
              <w:rPr>
                <w:rFonts w:ascii="Times New Roman" w:eastAsia="Arial" w:hAnsi="Times New Roman" w:cs="Times New Roman"/>
                <w:color w:val="000000" w:themeColor="text1"/>
                <w:sz w:val="20"/>
                <w:szCs w:val="20"/>
                <w:lang w:val="fr-FR"/>
              </w:rPr>
              <w:fldChar w:fldCharType="end"/>
            </w:r>
            <w:r w:rsidR="00C26ED2">
              <w:rPr>
                <w:rFonts w:ascii="Times New Roman" w:eastAsia="Arial" w:hAnsi="Times New Roman" w:cs="Times New Roman"/>
                <w:color w:val="000000" w:themeColor="text1"/>
                <w:sz w:val="20"/>
                <w:szCs w:val="20"/>
                <w:lang w:val="fr-FR"/>
              </w:rPr>
              <w:t>]</w:t>
            </w:r>
            <w:r w:rsidRPr="00C26ED2">
              <w:rPr>
                <w:rFonts w:ascii="Times New Roman" w:eastAsia="Arial" w:hAnsi="Times New Roman" w:cs="Times New Roman"/>
                <w:color w:val="000000" w:themeColor="text1"/>
                <w:sz w:val="20"/>
                <w:szCs w:val="20"/>
                <w:lang w:val="fr-FR"/>
              </w:rPr>
              <w:t>, Hartmann et al.</w:t>
            </w:r>
            <w:r w:rsidR="00C26ED2">
              <w:rPr>
                <w:rFonts w:ascii="Times New Roman" w:eastAsia="Arial" w:hAnsi="Times New Roman" w:cs="Times New Roman"/>
                <w:color w:val="000000" w:themeColor="text1"/>
                <w:sz w:val="20"/>
                <w:szCs w:val="20"/>
                <w:lang w:val="fr-FR"/>
              </w:rPr>
              <w:t xml:space="preserve"> [</w:t>
            </w:r>
            <w:r w:rsidRPr="00C26ED2">
              <w:rPr>
                <w:rFonts w:ascii="Times New Roman" w:eastAsia="Arial" w:hAnsi="Times New Roman" w:cs="Times New Roman"/>
                <w:color w:val="000000" w:themeColor="text1"/>
                <w:sz w:val="20"/>
                <w:szCs w:val="20"/>
                <w:lang w:val="fr-FR"/>
              </w:rPr>
              <w:fldChar w:fldCharType="begin" w:fldLock="1"/>
            </w:r>
            <w:r w:rsidRPr="00C26ED2">
              <w:rPr>
                <w:rFonts w:ascii="Times New Roman" w:eastAsia="Arial" w:hAnsi="Times New Roman" w:cs="Times New Roman"/>
                <w:color w:val="000000" w:themeColor="text1"/>
                <w:sz w:val="20"/>
                <w:szCs w:val="20"/>
                <w:lang w:val="fr-FR"/>
              </w:rPr>
              <w:instrText>ADDIN CSL_CITATION {"citationItems":[{"id":"ITEM-1","itemData":{"DOI":"10.1016/j.gloplacha.2009.07.007","ISSN":"09218181","author":[{"dropping-particle":"","family":"Hartmann","given":"Jens","non-dropping-particle":"","parse-names":false,"suffix":""},{"dropping-particle":"","family":"Jansen","given":"Nils","non-dropping-particle":"","parse-names":false,"suffix":""},{"dropping-particle":"","family":"Dürr","given":"Hans H.","non-dropping-particle":"","parse-names":false,"suffix":""},{"dropping-particle":"","family":"Kempe","given":"Stephan","non-dropping-particle":"","parse-names":false,"suffix":""},{"dropping-particle":"","family":"Köhler","given":"Peter","non-dropping-particle":"","parse-names":false,"suffix":""}],"container-title":"Global and Planetary Change","id":"ITEM-1","issue":"4","issued":{"date-parts":[["2009","12"]]},"page":"185-194","publisher":"Elsevier B.V.","title":"Global CO2-consumption by chemical weathering: What is the contribution of highly active weathering regions?","type":"article-journal","volume":"69"},"uris":["http://www.mendeley.com/documents/?uuid=4a8d7207-51b7-4109-a3fa-6767f56cccc0"]}],"mendeley":{"formattedCitation":"&lt;sup&gt;20&lt;/sup&gt;","plainTextFormattedCitation":"20","previouslyFormattedCitation":"&lt;sup&gt;20&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lang w:val="fr-FR"/>
              </w:rPr>
              <w:fldChar w:fldCharType="separate"/>
            </w:r>
            <w:r w:rsidRPr="00C26ED2">
              <w:rPr>
                <w:rFonts w:ascii="Times New Roman" w:eastAsia="Arial" w:hAnsi="Times New Roman" w:cs="Times New Roman"/>
                <w:noProof/>
                <w:color w:val="000000" w:themeColor="text1"/>
                <w:sz w:val="20"/>
                <w:szCs w:val="20"/>
                <w:lang w:val="fr-FR"/>
              </w:rPr>
              <w:t>20</w:t>
            </w:r>
            <w:r w:rsidRPr="00C26ED2">
              <w:rPr>
                <w:rFonts w:ascii="Times New Roman" w:eastAsia="Arial" w:hAnsi="Times New Roman" w:cs="Times New Roman"/>
                <w:color w:val="000000" w:themeColor="text1"/>
                <w:sz w:val="20"/>
                <w:szCs w:val="20"/>
                <w:lang w:val="fr-FR"/>
              </w:rPr>
              <w:fldChar w:fldCharType="end"/>
            </w:r>
            <w:r w:rsidR="00C26ED2">
              <w:rPr>
                <w:rFonts w:ascii="Times New Roman" w:eastAsia="Arial" w:hAnsi="Times New Roman" w:cs="Times New Roman"/>
                <w:color w:val="000000" w:themeColor="text1"/>
                <w:sz w:val="20"/>
                <w:szCs w:val="20"/>
                <w:lang w:val="fr-FR"/>
              </w:rPr>
              <w:t>]</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 xml:space="preserve">50% </w:t>
            </w:r>
            <w:r w:rsidR="00C26ED2" w:rsidRPr="00C26ED2">
              <w:rPr>
                <w:rFonts w:ascii="Times New Roman" w:eastAsia="Arial" w:hAnsi="Times New Roman" w:cs="Times New Roman"/>
                <w:color w:val="000000" w:themeColor="text1"/>
                <w:sz w:val="20"/>
                <w:szCs w:val="20"/>
                <w:vertAlign w:val="superscript"/>
              </w:rPr>
              <w:t>a</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NEE</w:t>
            </w:r>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-253</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108</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Equation (1)</w:t>
            </w:r>
          </w:p>
        </w:tc>
        <w:tc>
          <w:tcPr>
            <w:tcW w:w="2085" w:type="dxa"/>
            <w:shd w:val="clear" w:color="auto" w:fill="auto"/>
            <w:tcMar>
              <w:top w:w="100" w:type="dxa"/>
              <w:left w:w="100" w:type="dxa"/>
              <w:bottom w:w="100" w:type="dxa"/>
              <w:right w:w="100" w:type="dxa"/>
            </w:tcMar>
            <w:vAlign w:val="center"/>
          </w:tcPr>
          <w:p w:rsidR="00F6749E" w:rsidRPr="00C26ED2" w:rsidRDefault="00C26ED2" w:rsidP="00C26ED2">
            <w:pPr>
              <w:widowControl w:val="0"/>
              <w:rPr>
                <w:rFonts w:ascii="Times New Roman" w:eastAsia="Arial" w:hAnsi="Times New Roman" w:cs="Times New Roman"/>
                <w:color w:val="000000" w:themeColor="text1"/>
                <w:sz w:val="20"/>
                <w:szCs w:val="20"/>
                <w:vertAlign w:val="superscript"/>
              </w:rPr>
            </w:pPr>
            <w:r w:rsidRPr="00C26ED2">
              <w:rPr>
                <w:rFonts w:ascii="Times New Roman" w:eastAsia="Arial" w:hAnsi="Times New Roman" w:cs="Times New Roman"/>
                <w:color w:val="000000" w:themeColor="text1"/>
                <w:sz w:val="20"/>
                <w:szCs w:val="20"/>
                <w:vertAlign w:val="superscript"/>
              </w:rPr>
              <w:t>b</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vertAlign w:val="subscript"/>
              </w:rPr>
            </w:pPr>
            <w:proofErr w:type="spellStart"/>
            <w:r w:rsidRPr="00C26ED2">
              <w:rPr>
                <w:rFonts w:ascii="Times New Roman" w:eastAsia="Arial" w:hAnsi="Times New Roman" w:cs="Times New Roman"/>
                <w:color w:val="000000" w:themeColor="text1"/>
                <w:sz w:val="20"/>
                <w:szCs w:val="20"/>
              </w:rPr>
              <w:t>F</w:t>
            </w:r>
            <w:r w:rsidRPr="00C26ED2">
              <w:rPr>
                <w:rFonts w:ascii="Times New Roman" w:eastAsia="Arial" w:hAnsi="Times New Roman" w:cs="Times New Roman"/>
                <w:color w:val="000000" w:themeColor="text1"/>
                <w:sz w:val="20"/>
                <w:szCs w:val="20"/>
                <w:vertAlign w:val="subscript"/>
              </w:rPr>
              <w:t>crop</w:t>
            </w:r>
            <w:proofErr w:type="spellEnd"/>
            <w:r w:rsidRPr="00C26ED2">
              <w:rPr>
                <w:rFonts w:ascii="Times New Roman" w:eastAsia="Arial" w:hAnsi="Times New Roman" w:cs="Times New Roman"/>
                <w:color w:val="000000" w:themeColor="text1"/>
                <w:sz w:val="20"/>
                <w:szCs w:val="20"/>
                <w:vertAlign w:val="subscript"/>
              </w:rPr>
              <w:t xml:space="preserve"> products</w:t>
            </w:r>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213</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43</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 xml:space="preserve">Peters et al. </w:t>
            </w:r>
            <w:r w:rsidR="00C26ED2">
              <w:rPr>
                <w:rFonts w:ascii="Times New Roman" w:eastAsia="Arial" w:hAnsi="Times New Roman" w:cs="Times New Roman"/>
                <w:color w:val="000000" w:themeColor="text1"/>
                <w:sz w:val="20"/>
                <w:szCs w:val="20"/>
              </w:rPr>
              <w:t>[</w:t>
            </w:r>
            <w:r w:rsidRPr="00C26ED2">
              <w:rPr>
                <w:rFonts w:ascii="Times New Roman" w:eastAsia="Arial" w:hAnsi="Times New Roman" w:cs="Times New Roman"/>
                <w:color w:val="000000" w:themeColor="text1"/>
                <w:sz w:val="20"/>
                <w:szCs w:val="20"/>
              </w:rPr>
              <w:fldChar w:fldCharType="begin" w:fldLock="1"/>
            </w:r>
            <w:r w:rsidRPr="00C26ED2">
              <w:rPr>
                <w:rFonts w:ascii="Times New Roman" w:eastAsia="Arial" w:hAnsi="Times New Roman" w:cs="Times New Roman"/>
                <w:color w:val="000000" w:themeColor="text1"/>
                <w:sz w:val="20"/>
                <w:szCs w:val="20"/>
              </w:rPr>
              <w:instrText>ADDIN CSL_CITATION {"citationItems":[{"id":"ITEM-1","itemData":{"DOI":"10.5194/bg-9-3247-2012","ISSN":"1726-4189","author":[{"dropping-particle":"","family":"Peters","given":"G. P.","non-dropping-particle":"","parse-names":false,"suffix":""},{"dropping-particle":"","family":"Davis","given":"S. J.","non-dropping-particle":"","parse-names":false,"suffix":""},{"dropping-particle":"","family":"Andrew","given":"R.","non-dropping-particle":"","parse-names":false,"suffix":""}],"container-title":"Biogeosciences","id":"ITEM-1","issue":"8","issued":{"date-parts":[["2012","8"]]},"page":"3247-3276","title":"A synthesis of carbon in international trade","type":"article-journal","volume":"9"},"uris":["http://www.mendeley.com/documents/?uuid=13aaa07d-69fb-4d0c-b60c-c51107b8444a"]}],"mendeley":{"formattedCitation":"&lt;sup&gt;18&lt;/sup&gt;","plainTextFormattedCitation":"18","previouslyFormattedCitation":"&lt;sup&gt;18&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rPr>
              <w:fldChar w:fldCharType="separate"/>
            </w:r>
            <w:r w:rsidRPr="00C26ED2">
              <w:rPr>
                <w:rFonts w:ascii="Times New Roman" w:eastAsia="Arial" w:hAnsi="Times New Roman" w:cs="Times New Roman"/>
                <w:noProof/>
                <w:color w:val="000000" w:themeColor="text1"/>
                <w:sz w:val="20"/>
                <w:szCs w:val="20"/>
              </w:rPr>
              <w:t>18</w:t>
            </w:r>
            <w:r w:rsidRPr="00C26ED2">
              <w:rPr>
                <w:rFonts w:ascii="Times New Roman" w:eastAsia="Arial" w:hAnsi="Times New Roman" w:cs="Times New Roman"/>
                <w:color w:val="000000" w:themeColor="text1"/>
                <w:sz w:val="20"/>
                <w:szCs w:val="20"/>
              </w:rPr>
              <w:fldChar w:fldCharType="end"/>
            </w:r>
            <w:r w:rsidR="00C26ED2">
              <w:rPr>
                <w:rFonts w:ascii="Times New Roman" w:eastAsia="Arial" w:hAnsi="Times New Roman" w:cs="Times New Roman"/>
                <w:color w:val="000000" w:themeColor="text1"/>
                <w:sz w:val="20"/>
                <w:szCs w:val="20"/>
              </w:rPr>
              <w:t>]</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20%</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vertAlign w:val="subscript"/>
              </w:rPr>
            </w:pPr>
            <w:proofErr w:type="spellStart"/>
            <w:r w:rsidRPr="00C26ED2">
              <w:rPr>
                <w:rFonts w:ascii="Times New Roman" w:eastAsia="Arial" w:hAnsi="Times New Roman" w:cs="Times New Roman"/>
                <w:color w:val="000000" w:themeColor="text1"/>
                <w:sz w:val="20"/>
                <w:szCs w:val="20"/>
              </w:rPr>
              <w:t>F</w:t>
            </w:r>
            <w:r w:rsidRPr="00C26ED2">
              <w:rPr>
                <w:rFonts w:ascii="Times New Roman" w:eastAsia="Arial" w:hAnsi="Times New Roman" w:cs="Times New Roman"/>
                <w:color w:val="000000" w:themeColor="text1"/>
                <w:sz w:val="20"/>
                <w:szCs w:val="20"/>
                <w:vertAlign w:val="subscript"/>
              </w:rPr>
              <w:t>wood</w:t>
            </w:r>
            <w:proofErr w:type="spellEnd"/>
            <w:r w:rsidRPr="00C26ED2">
              <w:rPr>
                <w:rFonts w:ascii="Times New Roman" w:eastAsia="Arial" w:hAnsi="Times New Roman" w:cs="Times New Roman"/>
                <w:color w:val="000000" w:themeColor="text1"/>
                <w:sz w:val="20"/>
                <w:szCs w:val="20"/>
                <w:vertAlign w:val="subscript"/>
              </w:rPr>
              <w:t xml:space="preserve"> products</w:t>
            </w:r>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65</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16</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Bookkeeping model (see methods) for wood products decay, Wang et al. for wood burned in power plant and industry</w:t>
            </w:r>
          </w:p>
        </w:tc>
        <w:tc>
          <w:tcPr>
            <w:tcW w:w="2085" w:type="dxa"/>
            <w:shd w:val="clear" w:color="auto" w:fill="auto"/>
            <w:tcMar>
              <w:top w:w="100" w:type="dxa"/>
              <w:left w:w="100" w:type="dxa"/>
              <w:bottom w:w="100" w:type="dxa"/>
              <w:right w:w="100" w:type="dxa"/>
            </w:tcMar>
            <w:vAlign w:val="center"/>
          </w:tcPr>
          <w:p w:rsidR="00F6749E" w:rsidRPr="00C26ED2" w:rsidRDefault="00C26ED2" w:rsidP="00C26ED2">
            <w:pPr>
              <w:widowControl w:val="0"/>
              <w:rPr>
                <w:rFonts w:ascii="Times New Roman" w:eastAsia="Arial" w:hAnsi="Times New Roman" w:cs="Times New Roman"/>
                <w:color w:val="000000" w:themeColor="text1"/>
                <w:sz w:val="20"/>
                <w:szCs w:val="20"/>
                <w:vertAlign w:val="superscript"/>
              </w:rPr>
            </w:pPr>
            <w:r w:rsidRPr="00C26ED2">
              <w:rPr>
                <w:rFonts w:ascii="Times New Roman" w:eastAsia="Arial" w:hAnsi="Times New Roman" w:cs="Times New Roman"/>
                <w:color w:val="000000" w:themeColor="text1"/>
                <w:sz w:val="20"/>
                <w:szCs w:val="20"/>
                <w:vertAlign w:val="superscript"/>
              </w:rPr>
              <w:t>c</w:t>
            </w:r>
          </w:p>
        </w:tc>
      </w:tr>
      <w:tr w:rsidR="00F6749E" w:rsidRPr="00C26ED2" w:rsidTr="00C26ED2">
        <w:trPr>
          <w:trHeight w:val="48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vertAlign w:val="subscript"/>
              </w:rPr>
            </w:pPr>
            <w:proofErr w:type="spellStart"/>
            <w:r w:rsidRPr="00C26ED2">
              <w:rPr>
                <w:rFonts w:ascii="Times New Roman" w:eastAsia="Arial" w:hAnsi="Times New Roman" w:cs="Times New Roman"/>
                <w:color w:val="000000" w:themeColor="text1"/>
                <w:sz w:val="20"/>
                <w:szCs w:val="20"/>
              </w:rPr>
              <w:t>F</w:t>
            </w:r>
            <w:r w:rsidRPr="00C26ED2">
              <w:rPr>
                <w:rFonts w:ascii="Times New Roman" w:eastAsia="Arial" w:hAnsi="Times New Roman" w:cs="Times New Roman"/>
                <w:color w:val="000000" w:themeColor="text1"/>
                <w:sz w:val="20"/>
                <w:szCs w:val="20"/>
                <w:vertAlign w:val="subscript"/>
              </w:rPr>
              <w:t>grazing</w:t>
            </w:r>
            <w:proofErr w:type="spellEnd"/>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121</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24</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This study (see Methods)</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20%</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proofErr w:type="spellStart"/>
            <w:r w:rsidRPr="00C26ED2">
              <w:rPr>
                <w:rFonts w:ascii="Times New Roman" w:eastAsia="Arial" w:hAnsi="Times New Roman" w:cs="Times New Roman"/>
                <w:color w:val="000000" w:themeColor="text1"/>
                <w:sz w:val="20"/>
                <w:szCs w:val="20"/>
              </w:rPr>
              <w:t>F</w:t>
            </w:r>
            <w:r w:rsidRPr="00C26ED2">
              <w:rPr>
                <w:rFonts w:ascii="Times New Roman" w:eastAsia="Arial" w:hAnsi="Times New Roman" w:cs="Times New Roman"/>
                <w:color w:val="000000" w:themeColor="text1"/>
                <w:sz w:val="20"/>
                <w:szCs w:val="20"/>
                <w:vertAlign w:val="subscript"/>
              </w:rPr>
              <w:t>fires</w:t>
            </w:r>
            <w:proofErr w:type="spellEnd"/>
            <w:r w:rsidRPr="00C26ED2">
              <w:rPr>
                <w:rFonts w:ascii="Times New Roman" w:eastAsia="Arial" w:hAnsi="Times New Roman" w:cs="Times New Roman"/>
                <w:color w:val="000000" w:themeColor="text1"/>
                <w:sz w:val="20"/>
                <w:szCs w:val="20"/>
                <w:vertAlign w:val="subscript"/>
              </w:rPr>
              <w:t xml:space="preserve"> GFED</w:t>
            </w:r>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9</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3</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 xml:space="preserve">Extended from </w:t>
            </w:r>
            <w:r w:rsidR="00C26ED2">
              <w:rPr>
                <w:rFonts w:ascii="Times New Roman" w:eastAsia="Arial" w:hAnsi="Times New Roman" w:cs="Times New Roman"/>
                <w:color w:val="000000" w:themeColor="text1"/>
                <w:sz w:val="20"/>
                <w:szCs w:val="20"/>
              </w:rPr>
              <w:t>[</w:t>
            </w:r>
            <w:r w:rsidRPr="00C26ED2">
              <w:rPr>
                <w:rFonts w:ascii="Times New Roman" w:eastAsia="Arial" w:hAnsi="Times New Roman" w:cs="Times New Roman"/>
                <w:color w:val="000000" w:themeColor="text1"/>
                <w:sz w:val="20"/>
                <w:szCs w:val="20"/>
              </w:rPr>
              <w:fldChar w:fldCharType="begin" w:fldLock="1"/>
            </w:r>
            <w:r w:rsidRPr="00C26ED2">
              <w:rPr>
                <w:rFonts w:ascii="Times New Roman" w:eastAsia="Arial" w:hAnsi="Times New Roman" w:cs="Times New Roman"/>
                <w:color w:val="000000" w:themeColor="text1"/>
                <w:sz w:val="20"/>
                <w:szCs w:val="20"/>
              </w:rPr>
              <w:instrText>ADDIN CSL_CITATION {"citationItems":[{"id":"ITEM-1","itemData":{"DOI":"10.5194/acp-10-11707-2010","ISSN":"1680-7324","author":[{"dropping-particle":"","family":"Werf","given":"G. R.","non-dropping-particle":"van der","parse-names":false,"suffix":""},{"dropping-particle":"","family":"Randerson","given":"J. T.","non-dropping-particle":"","parse-names":false,"suffix":""},{"dropping-particle":"","family":"Giglio","given":"L.","non-dropping-particle":"","parse-names":false,"suffix":""},{"dropping-particle":"","family":"Collatz","given":"G. J.","non-dropping-particle":"","parse-names":false,"suffix":""},{"dropping-particle":"","family":"Mu","given":"M.","non-dropping-particle":"","parse-names":false,"suffix":""},{"dropping-particle":"","family":"Kasibhatla","given":"P. S.","non-dropping-particle":"","parse-names":false,"suffix":""},{"dropping-particle":"","family":"Morton","given":"D. C.","non-dropping-particle":"","parse-names":false,"suffix":""},{"dropping-particle":"","family":"DeFries","given":"R. S.","non-dropping-particle":"","parse-names":false,"suffix":""},{"dropping-particle":"","family":"Jin","given":"Y.","non-dropping-particle":"","parse-names":false,"suffix":""},{"dropping-particle":"","family":"Leeuwen","given":"T. T.","non-dropping-particle":"van","parse-names":false,"suffix":""}],"container-title":"Atmospheric Chemistry and Physics","id":"ITEM-1","issue":"23","issued":{"date-parts":[["2010","12"]]},"page":"11707-11735","title":"Global fire emissions and the contribution of deforestation, savanna, forest, agricultural, and peat fires (1997–2009)","type":"article-journal","volume":"10"},"uris":["http://www.mendeley.com/documents/?uuid=b18e6b75-b300-4133-a4d3-d63c6c57bd31"]}],"mendeley":{"formattedCitation":"&lt;sup&gt;81&lt;/sup&gt;","plainTextFormattedCitation":"81","previouslyFormattedCitation":"&lt;sup&gt;81&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rPr>
              <w:fldChar w:fldCharType="separate"/>
            </w:r>
            <w:r w:rsidRPr="00C26ED2">
              <w:rPr>
                <w:rFonts w:ascii="Times New Roman" w:eastAsia="Arial" w:hAnsi="Times New Roman" w:cs="Times New Roman"/>
                <w:noProof/>
                <w:color w:val="000000" w:themeColor="text1"/>
                <w:sz w:val="20"/>
                <w:szCs w:val="20"/>
              </w:rPr>
              <w:t>81</w:t>
            </w:r>
            <w:r w:rsidRPr="00C26ED2">
              <w:rPr>
                <w:rFonts w:ascii="Times New Roman" w:eastAsia="Arial" w:hAnsi="Times New Roman" w:cs="Times New Roman"/>
                <w:color w:val="000000" w:themeColor="text1"/>
                <w:sz w:val="20"/>
                <w:szCs w:val="20"/>
              </w:rPr>
              <w:fldChar w:fldCharType="end"/>
            </w:r>
            <w:r w:rsidR="00C26ED2">
              <w:rPr>
                <w:rFonts w:ascii="Times New Roman" w:eastAsia="Arial" w:hAnsi="Times New Roman" w:cs="Times New Roman"/>
                <w:color w:val="000000" w:themeColor="text1"/>
                <w:sz w:val="20"/>
                <w:szCs w:val="20"/>
              </w:rPr>
              <w:t>]</w:t>
            </w:r>
            <w:r w:rsidR="004A6EE9">
              <w:rPr>
                <w:rFonts w:ascii="Times New Roman" w:eastAsia="Arial" w:hAnsi="Times New Roman" w:cs="Times New Roman"/>
                <w:color w:val="000000" w:themeColor="text1"/>
                <w:sz w:val="20"/>
                <w:szCs w:val="20"/>
              </w:rPr>
              <w:t xml:space="preserve"> </w:t>
            </w:r>
            <w:r w:rsidR="00E8739C" w:rsidRPr="00E8739C">
              <w:rPr>
                <w:rFonts w:ascii="Times New Roman" w:eastAsia="Arial" w:hAnsi="Times New Roman" w:cs="Times New Roman"/>
                <w:color w:val="000000" w:themeColor="text1"/>
                <w:sz w:val="20"/>
                <w:szCs w:val="20"/>
                <w:vertAlign w:val="superscript"/>
              </w:rPr>
              <w:t>d</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see Methods</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proofErr w:type="spellStart"/>
            <w:r w:rsidRPr="00C26ED2">
              <w:rPr>
                <w:rFonts w:ascii="Times New Roman" w:eastAsia="Arial" w:hAnsi="Times New Roman" w:cs="Times New Roman"/>
                <w:color w:val="000000" w:themeColor="text1"/>
                <w:sz w:val="20"/>
                <w:szCs w:val="20"/>
              </w:rPr>
              <w:t>F</w:t>
            </w:r>
            <w:r w:rsidRPr="00C26ED2">
              <w:rPr>
                <w:rFonts w:ascii="Times New Roman" w:eastAsia="Arial" w:hAnsi="Times New Roman" w:cs="Times New Roman"/>
                <w:color w:val="000000" w:themeColor="text1"/>
                <w:sz w:val="20"/>
                <w:szCs w:val="20"/>
                <w:vertAlign w:val="subscript"/>
              </w:rPr>
              <w:t>fires</w:t>
            </w:r>
            <w:proofErr w:type="spellEnd"/>
            <w:r w:rsidRPr="00C26ED2">
              <w:rPr>
                <w:rFonts w:ascii="Times New Roman" w:eastAsia="Arial" w:hAnsi="Times New Roman" w:cs="Times New Roman"/>
                <w:color w:val="000000" w:themeColor="text1"/>
                <w:sz w:val="20"/>
                <w:szCs w:val="20"/>
                <w:vertAlign w:val="subscript"/>
              </w:rPr>
              <w:t xml:space="preserve"> GFAS</w:t>
            </w:r>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10</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3</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Giuseppe et. al.</w:t>
            </w:r>
            <w:r w:rsidR="00C26ED2">
              <w:rPr>
                <w:rFonts w:ascii="Times New Roman" w:eastAsia="Arial" w:hAnsi="Times New Roman" w:cs="Times New Roman"/>
                <w:color w:val="000000" w:themeColor="text1"/>
                <w:sz w:val="20"/>
                <w:szCs w:val="20"/>
              </w:rPr>
              <w:t xml:space="preserve"> [</w:t>
            </w:r>
            <w:r w:rsidRPr="00C26ED2">
              <w:rPr>
                <w:rFonts w:ascii="Times New Roman" w:eastAsia="Arial" w:hAnsi="Times New Roman" w:cs="Times New Roman"/>
                <w:color w:val="000000" w:themeColor="text1"/>
                <w:sz w:val="20"/>
                <w:szCs w:val="20"/>
              </w:rPr>
              <w:fldChar w:fldCharType="begin" w:fldLock="1"/>
            </w:r>
            <w:r w:rsidRPr="00C26ED2">
              <w:rPr>
                <w:rFonts w:ascii="Times New Roman" w:eastAsia="Arial" w:hAnsi="Times New Roman" w:cs="Times New Roman"/>
                <w:color w:val="000000" w:themeColor="text1"/>
                <w:sz w:val="20"/>
                <w:szCs w:val="20"/>
              </w:rPr>
              <w:instrText>ADDIN CSL_CITATION {"citationItems":[{"id":"ITEM-1","itemData":{"DOI":"10.5194/acp-18-5359-2018","ISSN":"16807324","abstract":"&lt;p&gt;&lt;strong&gt;Abstract.&lt;/strong&gt; The atmospheric composition analysis and forecast for the European Copernicus Atmosphere Monitoring Services (CAMS) relies on biomass-burning fire emission estimates from the Global Fire Assimilation System (GFAS). The GFAS is a global system and converts fire radiative power (FRP) observations from MODIS satellites into smoke constituents. Missing observations are filled in using persistence, whereby observed FRP values from the previous day are progressed in time until a new observation is recorded. One of the consequences of this assumption is an increase of fire duration, which in turn translates into an increase of emissions estimated from fires compared to what is available from observations. In this study persistence is replaced by modelled predictions using the Canadian Fire Weather Index (FWI), which describes how atmospheric conditions affect the vegetation moisture content and ultimately fire duration. The skill in predicting emissions from biomass burning is improved with the new technique, which indicates that using an FWI-based model to infer emissions from FRP is better than persistence when observations are not available.&lt;/p&gt;","author":[{"dropping-particle":"","family":"Giuseppe","given":"Francesca","non-dropping-particle":"Di","parse-names":false,"suffix":""},{"dropping-particle":"","family":"Rémy","given":"Samuel","non-dropping-particle":"","parse-names":false,"suffix":""},{"dropping-particle":"","family":"Pappenberger","given":"Florian","non-dropping-particle":"","parse-names":false,"suffix":""},{"dropping-particle":"","family":"Wetterhall","given":"Fredrik","non-dropping-particle":"","parse-names":false,"suffix":""}],"container-title":"Atmospheric Chemistry and Physics","id":"ITEM-1","issued":{"date-parts":[["2018"]]},"title":"Using the Fire Weather Index (FWI) to improve the estimation of fire emissions from fire radiative power (FRP) observations","type":"article-journal"},"uris":["http://www.mendeley.com/documents/?uuid=b1a42bd6-9d56-3f5c-86a5-7ac41386b2b2"]}],"mendeley":{"formattedCitation":"&lt;sup&gt;82&lt;/sup&gt;","plainTextFormattedCitation":"82","previouslyFormattedCitation":"&lt;sup&gt;82&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rPr>
              <w:fldChar w:fldCharType="separate"/>
            </w:r>
            <w:r w:rsidRPr="00C26ED2">
              <w:rPr>
                <w:rFonts w:ascii="Times New Roman" w:eastAsia="Arial" w:hAnsi="Times New Roman" w:cs="Times New Roman"/>
                <w:noProof/>
                <w:color w:val="000000" w:themeColor="text1"/>
                <w:sz w:val="20"/>
                <w:szCs w:val="20"/>
              </w:rPr>
              <w:t>82</w:t>
            </w:r>
            <w:r w:rsidRPr="00C26ED2">
              <w:rPr>
                <w:rFonts w:ascii="Times New Roman" w:eastAsia="Arial" w:hAnsi="Times New Roman" w:cs="Times New Roman"/>
                <w:color w:val="000000" w:themeColor="text1"/>
                <w:sz w:val="20"/>
                <w:szCs w:val="20"/>
              </w:rPr>
              <w:fldChar w:fldCharType="end"/>
            </w:r>
            <w:r w:rsidR="00C26ED2">
              <w:rPr>
                <w:rFonts w:ascii="Times New Roman" w:eastAsia="Arial" w:hAnsi="Times New Roman" w:cs="Times New Roman"/>
                <w:color w:val="000000" w:themeColor="text1"/>
                <w:sz w:val="20"/>
                <w:szCs w:val="20"/>
              </w:rPr>
              <w:t>]</w:t>
            </w:r>
            <w:r w:rsidR="004A6EE9">
              <w:rPr>
                <w:rFonts w:ascii="Times New Roman" w:eastAsia="Arial" w:hAnsi="Times New Roman" w:cs="Times New Roman"/>
                <w:color w:val="000000" w:themeColor="text1"/>
                <w:sz w:val="20"/>
                <w:szCs w:val="20"/>
              </w:rPr>
              <w:t xml:space="preserve"> </w:t>
            </w:r>
            <w:r w:rsidR="00E8739C" w:rsidRPr="00E8739C">
              <w:rPr>
                <w:rFonts w:ascii="Times New Roman" w:eastAsia="Arial" w:hAnsi="Times New Roman" w:cs="Times New Roman"/>
                <w:color w:val="000000" w:themeColor="text1"/>
                <w:sz w:val="20"/>
                <w:szCs w:val="20"/>
                <w:vertAlign w:val="superscript"/>
              </w:rPr>
              <w:t>d</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see Methods</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vertAlign w:val="subscript"/>
              </w:rPr>
            </w:pPr>
            <w:r w:rsidRPr="00C26ED2">
              <w:rPr>
                <w:rFonts w:ascii="Times New Roman" w:eastAsia="Arial" w:hAnsi="Times New Roman" w:cs="Times New Roman"/>
                <w:color w:val="000000" w:themeColor="text1"/>
                <w:sz w:val="20"/>
                <w:szCs w:val="20"/>
              </w:rPr>
              <w:t>F</w:t>
            </w:r>
            <w:r w:rsidRPr="00C26ED2">
              <w:rPr>
                <w:rFonts w:ascii="Times New Roman" w:eastAsia="Arial" w:hAnsi="Times New Roman" w:cs="Times New Roman"/>
                <w:color w:val="000000" w:themeColor="text1"/>
                <w:sz w:val="20"/>
                <w:szCs w:val="20"/>
                <w:vertAlign w:val="subscript"/>
              </w:rPr>
              <w:t>LUC RECCAP</w:t>
            </w:r>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-14</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50</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highlight w:val="yellow"/>
              </w:rPr>
            </w:pPr>
            <w:r w:rsidRPr="00C26ED2">
              <w:rPr>
                <w:rFonts w:ascii="Times New Roman" w:eastAsia="Arial" w:hAnsi="Times New Roman" w:cs="Times New Roman"/>
                <w:color w:val="000000" w:themeColor="text1"/>
                <w:sz w:val="20"/>
                <w:szCs w:val="20"/>
              </w:rPr>
              <w:t xml:space="preserve">Patra et al. </w:t>
            </w:r>
            <w:r w:rsidR="00C26ED2">
              <w:rPr>
                <w:rFonts w:ascii="Times New Roman" w:eastAsia="Arial" w:hAnsi="Times New Roman" w:cs="Times New Roman"/>
                <w:color w:val="000000" w:themeColor="text1"/>
                <w:sz w:val="20"/>
                <w:szCs w:val="20"/>
              </w:rPr>
              <w:t>[</w:t>
            </w:r>
            <w:r w:rsidRPr="00C26ED2">
              <w:rPr>
                <w:rFonts w:ascii="Times New Roman" w:eastAsia="Arial" w:hAnsi="Times New Roman" w:cs="Times New Roman"/>
                <w:color w:val="000000" w:themeColor="text1"/>
                <w:sz w:val="20"/>
                <w:szCs w:val="20"/>
              </w:rPr>
              <w:fldChar w:fldCharType="begin" w:fldLock="1"/>
            </w:r>
            <w:r w:rsidRPr="00C26ED2">
              <w:rPr>
                <w:rFonts w:ascii="Times New Roman" w:eastAsia="Arial" w:hAnsi="Times New Roman" w:cs="Times New Roman"/>
                <w:color w:val="000000" w:themeColor="text1"/>
                <w:sz w:val="20"/>
                <w:szCs w:val="20"/>
              </w:rPr>
              <w:instrText>ADDIN CSL_CITATION {"citationItems":[{"id":"ITEM-1","itemData":{"DOI":"10.5194/bg-10-513-2013","ISSN":"17264170","abstract":"The source and sinks of carbon dioxide (CO2) and methane (CH4) due to anthropogenic and natural biospheric activities were estimated for the South Asian region (Bangladesh, Bhutan, India, Nepal, Pakistan and Sri Lanka). Flux estimates were based on top-down methods that use inversions of atmospheric data, and bottom-up methods that use field observations, satellite data, and terrestrial ecosystem models. Based on atmospheric CO2 inversions, the net biospheric CO2 flux in South Asia (equivalent to the Net Biome Productivity, NBP) was a sink, estimated at -104 ± 150 Tg C yr &amp; minus;1 during 2007-2008. Based on the bottom-up approach, the net biospheric CO2 flux is estimated to be -191 ± 193 Tg C yr &amp; minus;1 during the period of 2000-2009. This last net flux results from the following flux components: (1) the Net Ecosystem Productivity, NEP (net primary production minus heterotrophic respiration) of -220 ± 186 Tg C yr &amp; minus;1 (2) the annual net carbon flux from land-use change of -14 ± 50 Tg C yr &amp; minus;1, which resulted from a sink of -16 Tg C yr &amp; minus;1 due to the establishment of tree plantations and wood harvest, and a source of 2 Tg C yr &amp; minus;1 due to the expansion of croplands; (3) the riverine export flux from terrestrial ecosystems to the coastal oceans of +42.9 Tg C yr &amp; minus;1; and (4) the net CO2 emission due to biomass burning of +44.1 ± 13.7 Tg C yr &amp; minus;1. Including the emissions from the combustion of fossil fuels of 444 Tg C yr &amp; minus;1 for the 2000s, we estimate a net CO2 land-atmosphere flux of 297 Tg C yr &amp; minus;1. In addition to CO2, a fraction of the sequestered carbon in terrestrial ecosystems is released to the atmosphere as CH4. Based on bottom-up and top-down estimates, and chemistry-transport modeling, we estimate that 37 ± 3.7 Tg C yr &amp; minus;1 were released to atmosphere from South Asia during the 2000s. Taking all CO2 and CH4 fluxes together, our best estimate of the net land-atmosphere CO2-equivalent flux is a net source of 334 Tg C yr &amp; minus;1 for the South Asian region during the 2000s. If CH4 emissions are weighted by radiative forcing of molecular CH4, the total CO2-equivalent flux increases to 1148 Tg C yr &amp; minus;1 suggesting there is great potential of reducing CH4 emissions for stabilizing greenhouse gases concentrations. © Author(s) 2013.","author":[{"dropping-particle":"","family":"Patra","given":"P.K.","non-dropping-particle":"","parse-names":false,"suffix":""},{"dropping-particle":"","family":"Canadell","given":"J.G.","non-dropping-particle":"","parse-names":false,"suffix":""},{"dropping-particle":"","family":"Houghton","given":"R.A.","non-dropping-particle":"","parse-names":false,"suffix":""},{"dropping-particle":"","family":"Piao","given":"S.L.","non-dropping-particle":"","parse-names":false,"suffix":""},{"dropping-particle":"","family":"Oh","given":"N.-H.","non-dropping-particle":"","parse-names":false,"suffix":""},{"dropping-particle":"","family":"Ciais","given":"P.","non-dropping-particle":"","parse-names":false,"suffix":""},{"dropping-particle":"","family":"Manjunath","given":"K.R.","non-dropping-particle":"","parse-names":false,"suffix":""},{"dropping-particle":"","family":"Chhabra","given":"A.","non-dropping-particle":"","parse-names":false,"suffix":""},{"dropping-particle":"","family":"Wang","given":"T.","non-dropping-particle":"","parse-names":false,"suffix":""},{"dropping-particle":"","family":"Bhattacharya","given":"T.","non-dropping-particle":"","parse-names":false,"suffix":""},{"dropping-particle":"","family":"Bousquet","given":"P.","non-dropping-particle":"","parse-names":false,"suffix":""},{"dropping-particle":"","family":"Hartman","given":"J.","non-dropping-particle":"","parse-names":false,"suffix":""},{"dropping-particle":"","family":"Ito","given":"A.","non-dropping-particle":"","parse-names":false,"suffix":""},{"dropping-particle":"","family":"Mayorga","given":"E.","non-dropping-particle":"","parse-names":false,"suffix":""},{"dropping-particle":"","family":"Niwa","given":"Y.","non-dropping-particle":"","parse-names":false,"suffix":""},{"dropping-particle":"","family":"Raymond","given":"P.A.","non-dropping-particle":"","parse-names":false,"suffix":""},{"dropping-particle":"","family":"S. Sarma","given":"V.V.S.","non-dropping-particle":"","parse-names":false,"suffix":""},{"dropping-particle":"","family":"Lasco","given":"R.","non-dropping-particle":"","parse-names":false,"suffix":""}],"container-title":"Biogeosciences","id":"ITEM-1","issue":"1","issued":{"date-parts":[["2013"]]},"title":"The carbon budget of South Asia","type":"article-journal","volume":"10"},"uris":["http://www.mendeley.com/documents/?uuid=95eba415-9d1a-3c58-ad8c-71867391f7ba"]}],"mendeley":{"formattedCitation":"&lt;sup&gt;11&lt;/sup&gt;","plainTextFormattedCitation":"11","previouslyFormattedCitation":"&lt;sup&gt;11&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rPr>
              <w:fldChar w:fldCharType="separate"/>
            </w:r>
            <w:r w:rsidRPr="00C26ED2">
              <w:rPr>
                <w:rFonts w:ascii="Times New Roman" w:eastAsia="Arial" w:hAnsi="Times New Roman" w:cs="Times New Roman"/>
                <w:noProof/>
                <w:color w:val="000000" w:themeColor="text1"/>
                <w:sz w:val="20"/>
                <w:szCs w:val="20"/>
              </w:rPr>
              <w:t>11</w:t>
            </w:r>
            <w:r w:rsidRPr="00C26ED2">
              <w:rPr>
                <w:rFonts w:ascii="Times New Roman" w:eastAsia="Arial" w:hAnsi="Times New Roman" w:cs="Times New Roman"/>
                <w:color w:val="000000" w:themeColor="text1"/>
                <w:sz w:val="20"/>
                <w:szCs w:val="20"/>
              </w:rPr>
              <w:fldChar w:fldCharType="end"/>
            </w:r>
            <w:r w:rsidR="00C26ED2">
              <w:rPr>
                <w:rFonts w:ascii="Times New Roman" w:eastAsia="Arial" w:hAnsi="Times New Roman" w:cs="Times New Roman"/>
                <w:color w:val="000000" w:themeColor="text1"/>
                <w:sz w:val="20"/>
                <w:szCs w:val="20"/>
              </w:rPr>
              <w:t>]</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Patra et al.</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vertAlign w:val="subscript"/>
              </w:rPr>
            </w:pPr>
            <w:r w:rsidRPr="00C26ED2">
              <w:rPr>
                <w:rFonts w:ascii="Times New Roman" w:eastAsia="Arial" w:hAnsi="Times New Roman" w:cs="Times New Roman"/>
                <w:color w:val="000000" w:themeColor="text1"/>
                <w:sz w:val="20"/>
                <w:szCs w:val="20"/>
              </w:rPr>
              <w:t>F</w:t>
            </w:r>
            <w:r w:rsidRPr="00C26ED2">
              <w:rPr>
                <w:rFonts w:ascii="Times New Roman" w:eastAsia="Arial" w:hAnsi="Times New Roman" w:cs="Times New Roman"/>
                <w:color w:val="000000" w:themeColor="text1"/>
                <w:sz w:val="20"/>
                <w:szCs w:val="20"/>
                <w:vertAlign w:val="subscript"/>
              </w:rPr>
              <w:t>LUC BLUE</w:t>
            </w:r>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77</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6</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highlight w:val="yellow"/>
              </w:rPr>
            </w:pPr>
            <w:proofErr w:type="spellStart"/>
            <w:r w:rsidRPr="00C26ED2">
              <w:rPr>
                <w:rFonts w:ascii="Times New Roman" w:eastAsia="Arial" w:hAnsi="Times New Roman" w:cs="Times New Roman"/>
                <w:color w:val="000000" w:themeColor="text1"/>
                <w:sz w:val="20"/>
                <w:szCs w:val="20"/>
                <w:highlight w:val="white"/>
              </w:rPr>
              <w:t>Hansis</w:t>
            </w:r>
            <w:proofErr w:type="spellEnd"/>
            <w:r w:rsidRPr="00C26ED2">
              <w:rPr>
                <w:rFonts w:ascii="Times New Roman" w:eastAsia="Arial" w:hAnsi="Times New Roman" w:cs="Times New Roman"/>
                <w:color w:val="000000" w:themeColor="text1"/>
                <w:sz w:val="20"/>
                <w:szCs w:val="20"/>
                <w:highlight w:val="white"/>
              </w:rPr>
              <w:t xml:space="preserve"> et al. </w:t>
            </w:r>
            <w:r w:rsidR="00C26ED2">
              <w:rPr>
                <w:rFonts w:ascii="Times New Roman" w:eastAsia="Arial" w:hAnsi="Times New Roman" w:cs="Times New Roman"/>
                <w:color w:val="000000" w:themeColor="text1"/>
                <w:sz w:val="20"/>
                <w:szCs w:val="20"/>
                <w:highlight w:val="white"/>
              </w:rPr>
              <w:t>[</w:t>
            </w:r>
            <w:r w:rsidRPr="00C26ED2">
              <w:rPr>
                <w:rFonts w:ascii="Times New Roman" w:eastAsia="Arial" w:hAnsi="Times New Roman" w:cs="Times New Roman"/>
                <w:color w:val="000000" w:themeColor="text1"/>
                <w:sz w:val="20"/>
                <w:szCs w:val="20"/>
                <w:highlight w:val="white"/>
                <w:lang w:val="fr-FR"/>
              </w:rPr>
              <w:fldChar w:fldCharType="begin" w:fldLock="1"/>
            </w:r>
            <w:r w:rsidRPr="00C26ED2">
              <w:rPr>
                <w:rFonts w:ascii="Times New Roman" w:eastAsia="Arial" w:hAnsi="Times New Roman" w:cs="Times New Roman"/>
                <w:color w:val="000000" w:themeColor="text1"/>
                <w:sz w:val="20"/>
                <w:szCs w:val="20"/>
                <w:highlight w:val="white"/>
              </w:rPr>
              <w:instrText>ADDIN CSL_CITATION {"citationItems":[{"id":"ITEM-1","itemData":{"DOI":"10.1002/2014GB004997","ISSN":"0886-6236","abstract":"Abstract Accounting for carbon fluxes from land use and land cover change (LULCC) generally requires choosing from multiple options of how to attribute the fluxes to regions and to LULCC activities. Applying a newly developed and spatially explicit bookkeeping model BLUE (bookkeeping of land use emissions), we quantify LULCC fluxes and attribute them to land use activities and countries by a range of different accounting methods. We present results with respect to a Kyoto Protocol-like ?commitment? accounting period, using land use emissions of 2008?2012 as an example scenario. We assess the effect of accounting methods that vary (1) the temporal evolution of carbon stocks, (2) the state of the carbon stocks at the beginning of the period, (3) the temporal attribution of carbon fluxes during the period, and (4) treatment of LULCC fluxes that occurred prior to the beginning of the period. We show that the methodological choices result in grossly different estimates of carbon fluxes for the different attribution definitions.","author":[{"dropping-particle":"","family":"Hansis","given":"Eberhard","non-dropping-particle":"","parse-names":false,"suffix":""},{"dropping-particle":"","family":"Davis","given":"Steven J","non-dropping-particle":"","parse-names":false,"suffix":""},{"dropping-particle":"","family":"Pongratz","given":"Julia","non-dropping-particle":"","parse-names":false,"suffix":""}],"container-title":"Global Biogeochemical Cycles","id":"ITEM-1","issue":"8","issued":{"date-parts":[["2015","8","1"]]},"note":"doi: 10.1002/2014GB004997","page":"1230-1246","publisher":"John Wiley &amp; Sons, Ltd","title":"Relevance of methodological choices for accounting of land use change carbon fluxes","type":"speech","volume":"29"},"uris":["http://www.mendeley.com/documents/?uuid=554da27d-80b9-47d4-93f9-30dc5af8fd94"]}],"mendeley":{"formattedCitation":"&lt;sup&gt;66&lt;/sup&gt;","plainTextFormattedCitation":"66","previouslyFormattedCitation":"&lt;sup&gt;66&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highlight w:val="white"/>
                <w:lang w:val="fr-FR"/>
              </w:rPr>
              <w:fldChar w:fldCharType="separate"/>
            </w:r>
            <w:r w:rsidRPr="00C26ED2">
              <w:rPr>
                <w:rFonts w:ascii="Times New Roman" w:eastAsia="Arial" w:hAnsi="Times New Roman" w:cs="Times New Roman"/>
                <w:noProof/>
                <w:color w:val="000000" w:themeColor="text1"/>
                <w:sz w:val="20"/>
                <w:szCs w:val="20"/>
                <w:highlight w:val="white"/>
              </w:rPr>
              <w:t>66</w:t>
            </w:r>
            <w:r w:rsidRPr="00C26ED2">
              <w:rPr>
                <w:rFonts w:ascii="Times New Roman" w:eastAsia="Arial" w:hAnsi="Times New Roman" w:cs="Times New Roman"/>
                <w:color w:val="000000" w:themeColor="text1"/>
                <w:sz w:val="20"/>
                <w:szCs w:val="20"/>
                <w:highlight w:val="white"/>
                <w:lang w:val="fr-FR"/>
              </w:rPr>
              <w:fldChar w:fldCharType="end"/>
            </w:r>
            <w:r w:rsidR="00C26ED2" w:rsidRPr="001D7FE4">
              <w:rPr>
                <w:rFonts w:ascii="Times New Roman" w:eastAsia="Arial" w:hAnsi="Times New Roman" w:cs="Times New Roman"/>
                <w:color w:val="000000" w:themeColor="text1"/>
                <w:sz w:val="20"/>
                <w:szCs w:val="20"/>
                <w:highlight w:val="white"/>
              </w:rPr>
              <w:t>]</w:t>
            </w:r>
            <w:r w:rsidRPr="00C26ED2">
              <w:rPr>
                <w:rFonts w:ascii="Times New Roman" w:eastAsia="Arial" w:hAnsi="Times New Roman" w:cs="Times New Roman"/>
                <w:color w:val="000000" w:themeColor="text1"/>
                <w:sz w:val="20"/>
                <w:szCs w:val="20"/>
                <w:highlight w:val="white"/>
              </w:rPr>
              <w:t xml:space="preserve"> updated in ref. </w:t>
            </w:r>
            <w:r w:rsidR="00C26ED2">
              <w:rPr>
                <w:rFonts w:ascii="Times New Roman" w:eastAsia="Arial" w:hAnsi="Times New Roman" w:cs="Times New Roman"/>
                <w:color w:val="000000" w:themeColor="text1"/>
                <w:sz w:val="20"/>
                <w:szCs w:val="20"/>
                <w:highlight w:val="white"/>
              </w:rPr>
              <w:t>[</w:t>
            </w:r>
            <w:r w:rsidRPr="00C26ED2">
              <w:rPr>
                <w:rFonts w:ascii="Times New Roman" w:eastAsia="Arial" w:hAnsi="Times New Roman" w:cs="Times New Roman"/>
                <w:color w:val="000000" w:themeColor="text1"/>
                <w:sz w:val="20"/>
                <w:szCs w:val="20"/>
                <w:highlight w:val="white"/>
                <w:lang w:val="fr-FR"/>
              </w:rPr>
              <w:fldChar w:fldCharType="begin" w:fldLock="1"/>
            </w:r>
            <w:r w:rsidRPr="00C26ED2">
              <w:rPr>
                <w:rFonts w:ascii="Times New Roman" w:eastAsia="Arial" w:hAnsi="Times New Roman" w:cs="Times New Roman"/>
                <w:color w:val="000000" w:themeColor="text1"/>
                <w:sz w:val="20"/>
                <w:szCs w:val="20"/>
                <w:highlight w:val="white"/>
              </w:rPr>
              <w:instrText>ADDIN CSL_CITATION {"citationItems":[{"id":"ITEM-1","itemData":{"DOI":"10.5194/essd-10-2141-2018","ISSN":"1866-3516","abstract":"&lt;p&gt;&lt;![CDATA[Abstract. Accurate assessment of anthropogenic carbon dioxide (CO2) emissions and their redistribution among the atmosphere, ocean, and terrestrial biosphere – the “global carbon budget” – is important to better understand the global carbon cycle, support the development of climate policies, and project future climate change. Here we describe data sets and methodology to quantify the five major components of the global carbon budget and their uncertainties. Fossil CO2 emissions (EFF) are based on energy statistics and cement production data, while emissions from land use and land-use change (ELUC), mainly deforestation, are based on land use and land-use change data and bookkeeping models. Atmospheric CO2 concentration is measured directly and its growth rate (GATM) is computed from the annual changes in concentration. The ocean CO2 sink (SOCEAN) and terrestrial CO2 sink (SLAND) are estimated with global process models constrained by observations. The resulting carbon budget imbalance (BIM), the difference between the estimated total emissions and the estimated changes in the atmosphere, ocean, and terrestrial biosphere, is a measure of imperfect data and understanding of the contemporary carbon cycle. All uncertainties are reported as ±1σ. For the last decade available (2008–2017), EFF was 9.4±0.5 GtC yr−1, ELUC 1.5±0.7 GtC yr−1, GATM 4.7±0.02 GtC yr−1, SOCEAN 2.4±0.5 GtC yr−1, and SLAND 3.2±0.8 GtC yr−1, with a budget imbalance BIM of 0.5 GtC yr−1 indicating overestimated emissions and/or underestimated sinks. For the year 2017 alone, the growth in EFF was about 1.6 % and emissions increased to 9.9±0.5 GtC yr−1. Also for 2017, ELUC was 1.4±0.7 GtC yr−1, GATM was 4.6±0.2 GtC yr−1, SOCEAN was 2.5±0.5 GtC yr−1, and SLAND was 3.8±0.8 GtC yr−1, with a BIM of 0.3 GtC. The global atmospheric CO2 concentration reached 405.0±0.1 ppm averaged over 2017. For 2018, preliminary data for the first 6–9 months indicate a renewed growth in EFF of +2.7 % (range of 1.8 % to 3.7 %) based on national emission projections for China, the US, the EU, and India and projections of gross domestic product corrected for recent changes in the carbon intensity of the economy for the rest of the world. The analysis presented here shows that the mean and trend in the five components of the global carbon budget are consistently estimated over the period of 1959–2017, but discrepancies of up to 1 GtC yr−1 persist for the representation of semi-decadal variability in CO2 flu…","author":[{"dropping-particle":"","family":"Quéré","given":"Corinne","non-dropping-particle":"Le","parse-names":false,"suffix":""},{"dropping-particle":"","family":"Andrew","given":"Robbie M.","non-dropping-particle":"","parse-names":false,"suffix":""},{"dropping-particle":"","family":"Friedlingstein","given":"Pierre","non-dropping-particle":"","parse-names":false,"suffix":""},{"dropping-particle":"","family":"Sitch","given":"Stephen","non-dropping-particle":"","parse-names":false,"suffix":""},{"dropping-particle":"","family":"Hauck","given":"Judith","non-dropping-particle":"","parse-names":false,"suffix":""},{"dropping-particle":"","family":"Pongratz","given":"Julia","non-dropping-particle":"","parse-names":false,"suffix":""},{"dropping-particle":"","family":"Pickers","given":"Penelope A.","non-dropping-particle":"","parse-names":false,"suffix":""},{"dropping-particle":"","family":"Korsbakken","given":"Jan Ivar","non-dropping-particle":"","parse-names":false,"suffix":""},{"dropping-particle":"","family":"Peters","given":"Glen P.","non-dropping-particle":"","parse-names":false,"suffix":""},{"dropping-particle":"","family":"Canadell","given":"Josep G.","non-dropping-particle":"","parse-names":false,"suffix":""},{"dropping-particle":"","family":"Arneth","given":"Almut","non-dropping-particle":"","parse-names":false,"suffix":""},{"dropping-particle":"","family":"Arora","given":"Vivek K.","non-dropping-particle":"","parse-names":false,"suffix":""},{"dropping-particle":"","family":"Barbero","given":"Leticia","non-dropping-particle":"","parse-names":false,"suffix":""},{"dropping-particle":"","family":"Bastos","given":"Ana","non-dropping-particle":"","parse-names":false,"suffix":""},{"dropping-particle":"","family":"Bopp","given":"Laurent","non-dropping-particle":"","parse-names":false,"suffix":""},{"dropping-particle":"","family":"Chevallier","given":"Frédéric","non-dropping-particle":"","parse-names":false,"suffix":""},{"dropping-particle":"","family":"Chini","given":"Louise P.","non-dropping-particle":"","parse-names":false,"suffix":""},{"dropping-particle":"","family":"Ciais","given":"Philippe","non-dropping-particle":"","parse-names":false,"suffix":""},{"dropping-particle":"","family":"Doney","given":"Scott C.","non-dropping-particle":"","parse-names":false,"suffix":""},{"dropping-particle":"","family":"Gkritzalis","given":"Thanos","non-dropping-particle":"","parse-names":false,"suffix":""},{"dropping-particle":"","family":"Goll","given":"Daniel S.","non-dropping-particle":"","parse-names":false,"suffix":""},{"dropping-particle":"","family":"Harris","given":"Ian","non-dropping-particle":"","parse-names":false,"suffix":""},{"dropping-particle":"","family":"Haverd","given":"Vanessa","non-dropping-particle":"","parse-names":false,"suffix":""},{"dropping-particle":"","family":"Hoffman","given":"Forrest M.","non-dropping-particle":"","parse-names":false,"suffix":""},{"dropping-particle":"","family":"Hoppema","given":"Mario","non-dropping-particle":"","parse-names":false,"suffix":""},{"dropping-particle":"","family":"Houghton","given":"Richard A.","non-dropping-particle":"","parse-names":false,"suffix":""},{"dropping-particle":"","family":"Hurtt","given":"George","non-dropping-particle":"","parse-names":false,"suffix":""},{"dropping-particle":"","family":"Ilyina","given":"Tatiana","non-dropping-particle":"","parse-names":false,"suffix":""},{"dropping-particle":"","family":"Jain","given":"Atul K.","non-dropping-particle":"","parse-names":false,"suffix":""},{"dropping-particle":"","family":"Johannessen","given":"Truls","non-dropping-particle":"","parse-names":false,"suffix":""},{"dropping-particle":"","family":"Jones","given":"Chris D.","non-dropping-particle":"","parse-names":false,"suffix":""},{"dropping-particle":"","family":"Kato","given":"Etsushi","non-dropping-particle":"","parse-names":false,"suffix":""},{"dropping-particle":"","family":"Keeling","given":"Ralph F.","non-dropping-particle":"","parse-names":false,"suffix":""},{"dropping-particle":"","family":"Goldewijk","given":"Kees Klein","non-dropping-particle":"","parse-names":false,"suffix":""},{"dropping-particle":"","family":"Landschützer","given":"Peter","non-dropping-particle":"","parse-names":false,"suffix":""},{"dropping-particle":"","family":"Lefèvre","given":"Nathalie","non-dropping-particle":"","parse-names":false,"suffix":""},{"dropping-particle":"","family":"Lienert","given":"Sebastian","non-dropping-particle":"","parse-names":false,"suffix":""},{"dropping-particle":"","family":"Liu","given":"Zhu","non-dropping-particle":"","parse-names":false,"suffix":""},{"dropping-particle":"","family":"Lombardozzi","given":"Danica","non-dropping-particle":"","parse-names":false,"suffix":""},{"dropping-particle":"","family":"Metzl","given":"Nicolas","non-dropping-particle":"","parse-names":false,"suffix":""},{"dropping-particle":"","family":"Munro","given":"David R.","non-dropping-particle":"","parse-names":false,"suffix":""},{"dropping-particle":"","family":"Nabel","given":"Julia E. M. S.","non-dropping-particle":"","parse-names":false,"suffix":""},{"dropping-particle":"","family":"Nakaoka","given":"Shin-ichiro","non-dropping-particle":"","parse-names":false,"suffix":""},{"dropping-particle":"","family":"Neill","given":"Craig","non-dropping-particle":"","parse-names":false,"suffix":""},{"dropping-particle":"","family":"Olsen","given":"Are","non-dropping-particle":"","parse-names":false,"suffix":""},{"dropping-particle":"","family":"Ono","given":"Tsueno","non-dropping-particle":"","parse-names":false,"suffix":""},{"dropping-particle":"","family":"Patra","given":"Prabir","non-dropping-particle":"","parse-names":false,"suffix":""},{"dropping-particle":"","family":"Peregon","given":"Anna","non-dropping-particle":"","parse-names":false,"suffix":""},{"dropping-particle":"","family":"Peters","given":"Wouter","non-dropping-particle":"","parse-names":false,"suffix":""},{"dropping-particle":"","family":"Peylin","given":"Philippe","non-dropping-particle":"","parse-names":false,"suffix":""},{"dropping-particle":"","family":"Pfeil","given":"Benjamin","non-dropping-particle":"","parse-names":false,"suffix":""},{"dropping-particle":"","family":"Pierrot","given":"Denis","non-dropping-particle":"","parse-names":false,"suffix":""},{"dropping-particle":"","family":"Poulter","given":"Benjamin","non-dropping-particle":"","parse-names":false,"suffix":""},{"dropping-particle":"","family":"Rehder","given":"Gregor","non-dropping-particle":"","parse-names":false,"suffix":""},{"dropping-particle":"","family":"Resplandy","given":"Laure","non-dropping-particle":"","parse-names":false,"suffix":""},{"dropping-particle":"","family":"Robertson","given":"Eddy","non-dropping-particle":"","parse-names":false,"suffix":""},{"dropping-particle":"","family":"Rocher","given":"Matthias","non-dropping-particle":"","parse-names":false,"suffix":""},{"dropping-particle":"","family":"Rödenbeck","given":"Christian","non-dropping-particle":"","parse-names":false,"suffix":""},{"dropping-particle":"","family":"Schuster","given":"Ute","non-dropping-particle":"","parse-names":false,"suffix":""},{"dropping-particle":"","family":"Schwinger","given":"Jörg","non-dropping-particle":"","parse-names":false,"suffix":""},{"dropping-particle":"","family":"Séférian","given":"Roland","non-dropping-particle":"","parse-names":false,"suffix":""},{"dropping-particle":"","family":"Skjelvan","given":"Ingunn","non-dropping-particle":"","parse-names":false,"suffix":""},{"dropping-particle":"","family":"Steinhoff","given":"Tobias","non-dropping-particle":"","parse-names":false,"suffix":""},{"dropping-particle":"","family":"Sutton","given":"Adrienne","non-dropping-particle":"","parse-names":false,"suffix":""},{"dropping-particle":"","family":"Tans","given":"Pieter P.","non-dropping-particle":"","parse-names":false,"suffix":""},{"dropping-particle":"","family":"Tian","given":"Hanqin","non-dropping-particle":"","parse-names":false,"suffix":""},{"dropping-particle":"","family":"Tilbrook","given":"Bronte","non-dropping-particle":"","parse-names":false,"suffix":""},{"dropping-particle":"","family":"Tubiello","given":"Francesco N.","non-dropping-particle":"","parse-names":false,"suffix":""},{"dropping-particle":"","family":"Laan-Luijkx","given":"Ingrid T.","non-dropping-particle":"van der","parse-names":false,"suffix":""},{"dropping-particle":"","family":"Werf","given":"Guido R.","non-dropping-particle":"van der","parse-names":false,"suffix":""},{"dropping-particle":"","family":"Viovy","given":"Nicolas","non-dropping-particle":"","parse-names":false,"suffix":""},{"dropping-particle":"","family":"Walker","given":"Anthony P.","non-dropping-particle":"","parse-names":false,"suffix":""},{"dropping-particle":"","family":"Wiltshire","given":"Andrew J.","non-dropping-particle":"","parse-names":false,"suffix":""},{"dropping-particle":"","family":"Wright","given":"Rebecca","non-dropping-particle":"","parse-names":false,"suffix":""},{"dropping-particle":"","family":"Zaehle","given":"Sönke","non-dropping-particle":"","parse-names":false,"suffix":""},{"dropping-particle":"","family":"Zheng","given":"Bo","non-dropping-particle":"","parse-names":false,"suffix":""}],"container-title":"Earth System Science Data","id":"ITEM-1","issue":"4","issued":{"date-parts":[["2018","12","5"]]},"page":"2141-2194","title":"Global Carbon Budget 2018","type":"article-journal","volume":"10"},"uris":["http://www.mendeley.com/documents/?uuid=c58027c0-01ff-3934-afe3-9c450c266da6"]}],"mendeley":{"formattedCitation":"&lt;sup&gt;83&lt;/sup&gt;","plainTextFormattedCitation":"83","previouslyFormattedCitation":"&lt;sup&gt;83&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highlight w:val="white"/>
                <w:lang w:val="fr-FR"/>
              </w:rPr>
              <w:fldChar w:fldCharType="separate"/>
            </w:r>
            <w:r w:rsidRPr="00C26ED2">
              <w:rPr>
                <w:rFonts w:ascii="Times New Roman" w:eastAsia="Arial" w:hAnsi="Times New Roman" w:cs="Times New Roman"/>
                <w:noProof/>
                <w:color w:val="000000" w:themeColor="text1"/>
                <w:sz w:val="20"/>
                <w:szCs w:val="20"/>
                <w:highlight w:val="white"/>
              </w:rPr>
              <w:t>83</w:t>
            </w:r>
            <w:r w:rsidRPr="00C26ED2">
              <w:rPr>
                <w:rFonts w:ascii="Times New Roman" w:eastAsia="Arial" w:hAnsi="Times New Roman" w:cs="Times New Roman"/>
                <w:color w:val="000000" w:themeColor="text1"/>
                <w:sz w:val="20"/>
                <w:szCs w:val="20"/>
                <w:highlight w:val="white"/>
                <w:lang w:val="fr-FR"/>
              </w:rPr>
              <w:fldChar w:fldCharType="end"/>
            </w:r>
            <w:r w:rsidR="00C26ED2" w:rsidRPr="00C26ED2">
              <w:rPr>
                <w:rFonts w:ascii="Times New Roman" w:eastAsia="Arial" w:hAnsi="Times New Roman" w:cs="Times New Roman"/>
                <w:color w:val="000000" w:themeColor="text1"/>
                <w:sz w:val="20"/>
                <w:szCs w:val="20"/>
                <w:highlight w:val="white"/>
              </w:rPr>
              <w:t>]</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see Methods</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vertAlign w:val="subscript"/>
              </w:rPr>
            </w:pPr>
            <w:proofErr w:type="spellStart"/>
            <w:r w:rsidRPr="00C26ED2">
              <w:rPr>
                <w:rFonts w:ascii="Times New Roman" w:eastAsia="Arial" w:hAnsi="Times New Roman" w:cs="Times New Roman"/>
                <w:color w:val="000000" w:themeColor="text1"/>
                <w:sz w:val="20"/>
                <w:szCs w:val="20"/>
              </w:rPr>
              <w:t>F</w:t>
            </w:r>
            <w:r w:rsidRPr="00C26ED2">
              <w:rPr>
                <w:rFonts w:ascii="Times New Roman" w:eastAsia="Arial" w:hAnsi="Times New Roman" w:cs="Times New Roman"/>
                <w:color w:val="000000" w:themeColor="text1"/>
                <w:sz w:val="20"/>
                <w:szCs w:val="20"/>
                <w:vertAlign w:val="subscript"/>
              </w:rPr>
              <w:t>reduced</w:t>
            </w:r>
            <w:proofErr w:type="spellEnd"/>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25</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6</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This study (see Methods)</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see Methods</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vertAlign w:val="subscript"/>
              </w:rPr>
            </w:pPr>
            <w:proofErr w:type="spellStart"/>
            <w:r w:rsidRPr="00C26ED2">
              <w:rPr>
                <w:rFonts w:ascii="Times New Roman" w:eastAsia="Arial" w:hAnsi="Times New Roman" w:cs="Times New Roman"/>
                <w:color w:val="000000" w:themeColor="text1"/>
                <w:sz w:val="20"/>
                <w:szCs w:val="20"/>
              </w:rPr>
              <w:t>F</w:t>
            </w:r>
            <w:r w:rsidRPr="00C26ED2">
              <w:rPr>
                <w:rFonts w:ascii="Times New Roman" w:eastAsia="Arial" w:hAnsi="Times New Roman" w:cs="Times New Roman"/>
                <w:color w:val="000000" w:themeColor="text1"/>
                <w:sz w:val="20"/>
                <w:szCs w:val="20"/>
                <w:vertAlign w:val="subscript"/>
              </w:rPr>
              <w:t>outgas</w:t>
            </w:r>
            <w:proofErr w:type="spellEnd"/>
            <w:r w:rsidRPr="00C26ED2">
              <w:rPr>
                <w:rFonts w:ascii="Times New Roman" w:eastAsia="Arial" w:hAnsi="Times New Roman" w:cs="Times New Roman"/>
                <w:color w:val="000000" w:themeColor="text1"/>
                <w:sz w:val="20"/>
                <w:szCs w:val="20"/>
                <w:vertAlign w:val="subscript"/>
              </w:rPr>
              <w:t xml:space="preserve"> rivers + lakes RAY</w:t>
            </w:r>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40</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20</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 xml:space="preserve">Raymond et al. </w:t>
            </w:r>
            <w:r w:rsidR="00C26ED2">
              <w:rPr>
                <w:rFonts w:ascii="Times New Roman" w:eastAsia="Arial" w:hAnsi="Times New Roman" w:cs="Times New Roman"/>
                <w:color w:val="000000" w:themeColor="text1"/>
                <w:sz w:val="20"/>
                <w:szCs w:val="20"/>
              </w:rPr>
              <w:t>[</w:t>
            </w:r>
            <w:r w:rsidRPr="00C26ED2">
              <w:rPr>
                <w:rFonts w:ascii="Times New Roman" w:eastAsia="Arial" w:hAnsi="Times New Roman" w:cs="Times New Roman"/>
                <w:color w:val="000000" w:themeColor="text1"/>
                <w:sz w:val="20"/>
                <w:szCs w:val="20"/>
              </w:rPr>
              <w:fldChar w:fldCharType="begin" w:fldLock="1"/>
            </w:r>
            <w:r w:rsidRPr="00C26ED2">
              <w:rPr>
                <w:rFonts w:ascii="Times New Roman" w:eastAsia="Arial" w:hAnsi="Times New Roman" w:cs="Times New Roman"/>
                <w:color w:val="000000" w:themeColor="text1"/>
                <w:sz w:val="20"/>
                <w:szCs w:val="20"/>
              </w:rPr>
              <w:instrText>ADDIN CSL_CITATION {"citationItems":[{"id":"ITEM-1","itemData":{"DOI":"10.1038/nature13142","ISSN":"00280836","author":[{"dropping-particle":"","family":"Raymond","given":"P.A.","non-dropping-particle":"","parse-names":false,"suffix":""},{"dropping-particle":"","family":"Hartmann","given":"J.","non-dropping-particle":"","parse-names":false,"suffix":""},{"dropping-particle":"","family":"Lauerwald","given":"R.","non-dropping-particle":"","parse-names":false,"suffix":""},{"dropping-particle":"","family":"Sobek","given":"S.","non-dropping-particle":"","parse-names":false,"suffix":""},{"dropping-particle":"","family":"McDonald","given":"C.","non-dropping-particle":"","parse-names":false,"suffix":""},{"dropping-particle":"","family":"Hoover","given":"M.","non-dropping-particle":"","parse-names":false,"suffix":""},{"dropping-particle":"","family":"Butman","given":"D.","non-dropping-particle":"","parse-names":false,"suffix":""},{"dropping-particle":"","family":"Striegl","given":"R.","non-dropping-particle":"","parse-names":false,"suffix":""},{"dropping-particle":"","family":"Mayorga","given":"E.","non-dropping-particle":"","parse-names":false,"suffix":""},{"dropping-particle":"","family":"Humborg","given":"C.","non-dropping-particle":"","parse-names":false,"suffix":""},{"dropping-particle":"","family":"Kortelainen","given":"P.","non-dropping-particle":"","parse-names":false,"suffix":""},{"dropping-particle":"","family":"Dürr","given":"H.","non-dropping-particle":"","parse-names":false,"suffix":""},{"dropping-particle":"","family":"Meybeck","given":"M.","non-dropping-particle":"","parse-names":false,"suffix":""},{"dropping-particle":"","family":"Ciais","given":"P.","non-dropping-particle":"","parse-names":false,"suffix":""},{"dropping-particle":"","family":"Guth","given":"P.","non-dropping-particle":"","parse-names":false,"suffix":""}],"container-title":"Nature","id":"ITEM-1","issue":"7492","issued":{"date-parts":[["2014"]]},"title":"Erratum: Global carbon dioxide emissions from inland waters (Nature (2013) 503 (355-359) DOI: 10.1038/nature12760)","type":"article-journal","volume":"507"},"uris":["http://www.mendeley.com/documents/?uuid=9f65d7ab-bd8b-32fa-bb80-0bd0b1543272"]}],"mendeley":{"formattedCitation":"&lt;sup&gt;84&lt;/sup&gt;","plainTextFormattedCitation":"84","previouslyFormattedCitation":"&lt;sup&gt;84&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rPr>
              <w:fldChar w:fldCharType="separate"/>
            </w:r>
            <w:r w:rsidRPr="00C26ED2">
              <w:rPr>
                <w:rFonts w:ascii="Times New Roman" w:eastAsia="Arial" w:hAnsi="Times New Roman" w:cs="Times New Roman"/>
                <w:noProof/>
                <w:color w:val="000000" w:themeColor="text1"/>
                <w:sz w:val="20"/>
                <w:szCs w:val="20"/>
              </w:rPr>
              <w:t>84</w:t>
            </w:r>
            <w:r w:rsidRPr="00C26ED2">
              <w:rPr>
                <w:rFonts w:ascii="Times New Roman" w:eastAsia="Arial" w:hAnsi="Times New Roman" w:cs="Times New Roman"/>
                <w:color w:val="000000" w:themeColor="text1"/>
                <w:sz w:val="20"/>
                <w:szCs w:val="20"/>
              </w:rPr>
              <w:fldChar w:fldCharType="end"/>
            </w:r>
            <w:r w:rsidR="00C26ED2">
              <w:rPr>
                <w:rFonts w:ascii="Times New Roman" w:eastAsia="Arial" w:hAnsi="Times New Roman" w:cs="Times New Roman"/>
                <w:color w:val="000000" w:themeColor="text1"/>
                <w:sz w:val="20"/>
                <w:szCs w:val="20"/>
              </w:rPr>
              <w:t>]</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50%</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proofErr w:type="spellStart"/>
            <w:r w:rsidRPr="00C26ED2">
              <w:rPr>
                <w:rFonts w:ascii="Times New Roman" w:eastAsia="Arial" w:hAnsi="Times New Roman" w:cs="Times New Roman"/>
                <w:color w:val="000000" w:themeColor="text1"/>
                <w:sz w:val="20"/>
                <w:szCs w:val="20"/>
              </w:rPr>
              <w:t>F</w:t>
            </w:r>
            <w:r w:rsidRPr="00C26ED2">
              <w:rPr>
                <w:rFonts w:ascii="Times New Roman" w:eastAsia="Arial" w:hAnsi="Times New Roman" w:cs="Times New Roman"/>
                <w:color w:val="000000" w:themeColor="text1"/>
                <w:sz w:val="20"/>
                <w:szCs w:val="20"/>
                <w:vertAlign w:val="subscript"/>
              </w:rPr>
              <w:t>outgas</w:t>
            </w:r>
            <w:proofErr w:type="spellEnd"/>
            <w:r w:rsidRPr="00C26ED2">
              <w:rPr>
                <w:rFonts w:ascii="Times New Roman" w:eastAsia="Arial" w:hAnsi="Times New Roman" w:cs="Times New Roman"/>
                <w:color w:val="000000" w:themeColor="text1"/>
                <w:sz w:val="20"/>
                <w:szCs w:val="20"/>
                <w:vertAlign w:val="subscript"/>
              </w:rPr>
              <w:t xml:space="preserve"> rivers + lakes LAU</w:t>
            </w:r>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35</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18</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proofErr w:type="spellStart"/>
            <w:r w:rsidRPr="00C26ED2">
              <w:rPr>
                <w:rFonts w:ascii="Times New Roman" w:eastAsia="Arial" w:hAnsi="Times New Roman" w:cs="Times New Roman"/>
                <w:color w:val="000000" w:themeColor="text1"/>
                <w:sz w:val="20"/>
                <w:szCs w:val="20"/>
              </w:rPr>
              <w:t>Lauerwald</w:t>
            </w:r>
            <w:proofErr w:type="spellEnd"/>
            <w:r w:rsidRPr="00C26ED2">
              <w:rPr>
                <w:rFonts w:ascii="Times New Roman" w:eastAsia="Arial" w:hAnsi="Times New Roman" w:cs="Times New Roman"/>
                <w:color w:val="000000" w:themeColor="text1"/>
                <w:sz w:val="20"/>
                <w:szCs w:val="20"/>
              </w:rPr>
              <w:t xml:space="preserve"> et al. </w:t>
            </w:r>
            <w:r w:rsidR="00C26ED2">
              <w:rPr>
                <w:rFonts w:ascii="Times New Roman" w:eastAsia="Arial" w:hAnsi="Times New Roman" w:cs="Times New Roman"/>
                <w:color w:val="000000" w:themeColor="text1"/>
                <w:sz w:val="20"/>
                <w:szCs w:val="20"/>
              </w:rPr>
              <w:t>[</w:t>
            </w:r>
            <w:r w:rsidRPr="00C26ED2">
              <w:rPr>
                <w:rFonts w:ascii="Times New Roman" w:eastAsia="Arial" w:hAnsi="Times New Roman" w:cs="Times New Roman"/>
                <w:color w:val="000000" w:themeColor="text1"/>
                <w:sz w:val="20"/>
                <w:szCs w:val="20"/>
              </w:rPr>
              <w:fldChar w:fldCharType="begin" w:fldLock="1"/>
            </w:r>
            <w:r w:rsidRPr="00C26ED2">
              <w:rPr>
                <w:rFonts w:ascii="Times New Roman" w:eastAsia="Arial" w:hAnsi="Times New Roman" w:cs="Times New Roman"/>
                <w:color w:val="000000" w:themeColor="text1"/>
                <w:sz w:val="20"/>
                <w:szCs w:val="20"/>
              </w:rPr>
              <w:instrText>ADDIN CSL_CITATION {"citationItems":[{"id":"ITEM-1","itemData":{"DOI":"10.1002/2014GB004941","ISSN":"19449224","abstract":"©2015. American Geophysical Union. All Rights Reserved. CO &lt; inf &gt; 2 &lt; /inf &gt;  evasion from rivers (FCO &lt; inf &gt; 2 &lt; /inf &gt; ) is an important component of the global carbon budget. Here we present the first global maps of CO &lt; inf &gt; 2 &lt; /inf &gt;  partial pressures (pCO &lt; inf &gt; 2 &lt; /inf &gt; ) in rivers of stream orders 3 and higher and the resulting FCO &lt; inf &gt; 2 &lt; /inf &gt;  at 0.5° resolution constructed with a statistical model. A geographic information system based approach is used to derive a pCO &lt; inf &gt; 2 &lt; /inf &gt;  prediction function trained on data from 1182 sampling locations. While data from Asia and Africa are scarce and the training data set is dominated by sampling locations from the Americas, Europe, and Australia, the sampling locations cover the full spectrum from high to low latitudes. The predictors of pCO &lt; inf &gt; 2 &lt; /inf &gt;  are net primary production, population density, and slope gradient within the river catchment as well as mean air temperature at the sampling location (r &lt; sup &gt; 2 &lt; /sup &gt;  = 0.47). The predicted pCO &lt; inf &gt; 2 &lt; /inf &gt;  map was then combined with spatially explicit estimates of stream surface area A &lt; inf &gt; river &lt; /inf &gt;  and gas exchange velocity k calculated from published empirical equations and data sets to derive the FCO &lt; inf &gt; 2 &lt; /inf &gt;  map. Using Monte Carlo simulations, we assessed the uncertainties of our estimates. At the global scale, we estimate an average river pCO &lt; inf &gt; 2 &lt; /inf &gt;  of 2400 (2019-2826) μatm and a FCO &lt; inf &gt; 2 &lt; /inf &gt;  of 650 (483-846) Tg C yr &lt; sup &gt; -1 &lt; /sup &gt;  (5th and 95th percentiles of confidence interval). Our global CO &lt; inf &gt; 2 &lt; /inf &gt;  evasion is substantially lower than the recent estimate of 1800 Tg C yr &lt; sup &gt; -1 &lt; /sup &gt;  although the training set of pCO &lt; inf &gt; 2 &lt; /inf &gt;  is very similar in both studies, mainly due to lower tropical pCO &lt; inf &gt; 2 &lt; /inf &gt;  estimates in the present study. Our maps reveal strong latitudinal gradients in pCO &lt; inf &gt; 2 &lt; /inf &gt; , A &lt; inf &gt; river &lt; /inf &gt; , and FCO &lt; inf &gt; 2 &lt; /inf &gt; . The zone between 10°N and 10°S contributes about half of the global CO &lt; inf &gt; 2 &lt; /inf &gt;  evasion. Collection of pCO &lt; inf &gt; 2 &lt; /inf &gt;  data in this zone, in particular, for African and Southeast Asian rivers is a high priority to reduce uncertainty on FCO &lt; inf &gt; 2 &lt; /inf &gt; .","author":[{"dropping-particle":"","family":"Lauerwald","given":"R.","non-dropping-particle":"","parse-names":false,"suffix":""},{"dropping-particle":"","family":"Laruelle","given":"G.G.","non-dropping-particle":"","parse-names":false,"suffix":""},{"dropping-particle":"","family":"Hartmann","given":"J.","non-dropping-particle":"","parse-names":false,"suffix":""},{"dropping-particle":"","family":"Ciais","given":"P.","non-dropping-particle":"","parse-names":false,"suffix":""},{"dropping-particle":"","family":"Regnier","given":"P.A.G.","non-dropping-particle":"","parse-names":false,"suffix":""}],"container-title":"Global Biogeochemical Cycles","id":"ITEM-1","issue":"5","issued":{"date-parts":[["2015"]]},"title":"Spatial patterns in CO&amp;lt;inf&amp;gt;2&amp;lt;/inf&amp;gt; evasion from the global river network","type":"article-journal","volume":"29"},"uris":["http://www.mendeley.com/documents/?uuid=bcf366e5-e30c-3037-b8f0-fa10ad0b6bd5"]}],"mendeley":{"formattedCitation":"&lt;sup&gt;26&lt;/sup&gt;","plainTextFormattedCitation":"26","previouslyFormattedCitation":"&lt;sup&gt;26&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rPr>
              <w:fldChar w:fldCharType="separate"/>
            </w:r>
            <w:r w:rsidRPr="00C26ED2">
              <w:rPr>
                <w:rFonts w:ascii="Times New Roman" w:eastAsia="Arial" w:hAnsi="Times New Roman" w:cs="Times New Roman"/>
                <w:noProof/>
                <w:color w:val="000000" w:themeColor="text1"/>
                <w:sz w:val="20"/>
                <w:szCs w:val="20"/>
              </w:rPr>
              <w:t>26</w:t>
            </w:r>
            <w:r w:rsidRPr="00C26ED2">
              <w:rPr>
                <w:rFonts w:ascii="Times New Roman" w:eastAsia="Arial" w:hAnsi="Times New Roman" w:cs="Times New Roman"/>
                <w:color w:val="000000" w:themeColor="text1"/>
                <w:sz w:val="20"/>
                <w:szCs w:val="20"/>
              </w:rPr>
              <w:fldChar w:fldCharType="end"/>
            </w:r>
            <w:r w:rsidR="00C26ED2">
              <w:rPr>
                <w:rFonts w:ascii="Times New Roman" w:eastAsia="Arial" w:hAnsi="Times New Roman" w:cs="Times New Roman"/>
                <w:color w:val="000000" w:themeColor="text1"/>
                <w:sz w:val="20"/>
                <w:szCs w:val="20"/>
              </w:rPr>
              <w:t>]</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50%</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vertAlign w:val="subscript"/>
              </w:rPr>
            </w:pPr>
            <w:proofErr w:type="spellStart"/>
            <w:r w:rsidRPr="00C26ED2">
              <w:rPr>
                <w:rFonts w:ascii="Times New Roman" w:eastAsia="Arial" w:hAnsi="Times New Roman" w:cs="Times New Roman"/>
                <w:color w:val="000000" w:themeColor="text1"/>
                <w:sz w:val="20"/>
                <w:szCs w:val="20"/>
              </w:rPr>
              <w:t>F</w:t>
            </w:r>
            <w:r w:rsidRPr="00C26ED2">
              <w:rPr>
                <w:rFonts w:ascii="Times New Roman" w:eastAsia="Arial" w:hAnsi="Times New Roman" w:cs="Times New Roman"/>
                <w:color w:val="000000" w:themeColor="text1"/>
                <w:sz w:val="20"/>
                <w:szCs w:val="20"/>
                <w:vertAlign w:val="subscript"/>
              </w:rPr>
              <w:t>outgas</w:t>
            </w:r>
            <w:proofErr w:type="spellEnd"/>
            <w:r w:rsidRPr="00C26ED2">
              <w:rPr>
                <w:rFonts w:ascii="Times New Roman" w:eastAsia="Arial" w:hAnsi="Times New Roman" w:cs="Times New Roman"/>
                <w:color w:val="000000" w:themeColor="text1"/>
                <w:sz w:val="20"/>
                <w:szCs w:val="20"/>
                <w:vertAlign w:val="subscript"/>
              </w:rPr>
              <w:t xml:space="preserve"> estuaries</w:t>
            </w:r>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6</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3</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proofErr w:type="spellStart"/>
            <w:r w:rsidRPr="00C26ED2">
              <w:rPr>
                <w:rFonts w:ascii="Times New Roman" w:eastAsia="Arial" w:hAnsi="Times New Roman" w:cs="Times New Roman"/>
                <w:color w:val="000000" w:themeColor="text1"/>
                <w:sz w:val="20"/>
                <w:szCs w:val="20"/>
                <w:lang w:val="fr-FR"/>
              </w:rPr>
              <w:t>Laruelle</w:t>
            </w:r>
            <w:proofErr w:type="spellEnd"/>
            <w:r w:rsidRPr="00C26ED2">
              <w:rPr>
                <w:rFonts w:ascii="Times New Roman" w:eastAsia="Arial" w:hAnsi="Times New Roman" w:cs="Times New Roman"/>
                <w:color w:val="000000" w:themeColor="text1"/>
                <w:sz w:val="20"/>
                <w:szCs w:val="20"/>
                <w:lang w:val="fr-FR"/>
              </w:rPr>
              <w:t xml:space="preserve"> et al. </w:t>
            </w:r>
            <w:r w:rsidR="00C26ED2">
              <w:rPr>
                <w:rFonts w:ascii="Times New Roman" w:eastAsia="Arial" w:hAnsi="Times New Roman" w:cs="Times New Roman"/>
                <w:color w:val="000000" w:themeColor="text1"/>
                <w:sz w:val="20"/>
                <w:szCs w:val="20"/>
                <w:lang w:val="fr-FR"/>
              </w:rPr>
              <w:t>[</w:t>
            </w:r>
            <w:r w:rsidRPr="00C26ED2">
              <w:rPr>
                <w:rFonts w:ascii="Times New Roman" w:eastAsia="Arial" w:hAnsi="Times New Roman" w:cs="Times New Roman"/>
                <w:color w:val="000000" w:themeColor="text1"/>
                <w:sz w:val="20"/>
                <w:szCs w:val="20"/>
                <w:lang w:val="fr-FR"/>
              </w:rPr>
              <w:fldChar w:fldCharType="begin" w:fldLock="1"/>
            </w:r>
            <w:r w:rsidRPr="00C26ED2">
              <w:rPr>
                <w:rFonts w:ascii="Times New Roman" w:eastAsia="Arial" w:hAnsi="Times New Roman" w:cs="Times New Roman"/>
                <w:color w:val="000000" w:themeColor="text1"/>
                <w:sz w:val="20"/>
                <w:szCs w:val="20"/>
                <w:lang w:val="fr-FR"/>
              </w:rPr>
              <w:instrText>ADDIN CSL_CITATION {"citationItems":[{"id":"ITEM-1","itemData":{"DOI":"10.5194/hess-17-2029-2013","ISSN":"1607-7938","author":[{"dropping-particle":"","family":"Laruelle","given":"G. G.","non-dropping-particle":"","parse-names":false,"suffix":""},{"dropping-particle":"","family":"Dürr","given":"H. H.","non-dropping-particle":"","parse-names":false,"suffix":""},{"dropping-particle":"","family":"Lauerwald","given":"R.","non-dropping-particle":"","parse-names":false,"suffix":""},{"dropping-particle":"","family":"Hartmann","given":"J.","non-dropping-particle":"","parse-names":false,"suffix":""},{"dropping-particle":"","family":"Slomp","given":"C. P.","non-dropping-particle":"","parse-names":false,"suffix":""},{"dropping-particle":"","family":"Goossens","given":"N.","non-dropping-particle":"","parse-names":false,"suffix":""},{"dropping-particle":"","family":"Regnier","given":"P. a. G.","non-dropping-particle":"","parse-names":false,"suffix":""}],"container-title":"Hydrology and Earth System Sciences","id":"ITEM-1","issue":"5","issued":{"date-parts":[["2013","5"]]},"page":"2029-2051","title":"Global multi-scale segmentation of continental and coastal waters from the watersheds to the continental margins","type":"article-journal","volume":"17"},"uris":["http://www.mendeley.com/documents/?uuid=f34065a6-b97b-4e8b-a953-1b41ee97ea4b"]}],"mendeley":{"formattedCitation":"&lt;sup&gt;74&lt;/sup&gt;","plainTextFormattedCitation":"74","previouslyFormattedCitation":"&lt;sup&gt;74&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lang w:val="fr-FR"/>
              </w:rPr>
              <w:fldChar w:fldCharType="separate"/>
            </w:r>
            <w:r w:rsidRPr="00C26ED2">
              <w:rPr>
                <w:rFonts w:ascii="Times New Roman" w:eastAsia="Arial" w:hAnsi="Times New Roman" w:cs="Times New Roman"/>
                <w:noProof/>
                <w:color w:val="000000" w:themeColor="text1"/>
                <w:sz w:val="20"/>
                <w:szCs w:val="20"/>
                <w:lang w:val="fr-FR"/>
              </w:rPr>
              <w:t>74</w:t>
            </w:r>
            <w:r w:rsidRPr="00C26ED2">
              <w:rPr>
                <w:rFonts w:ascii="Times New Roman" w:eastAsia="Arial" w:hAnsi="Times New Roman" w:cs="Times New Roman"/>
                <w:color w:val="000000" w:themeColor="text1"/>
                <w:sz w:val="20"/>
                <w:szCs w:val="20"/>
                <w:lang w:val="fr-FR"/>
              </w:rPr>
              <w:fldChar w:fldCharType="end"/>
            </w:r>
            <w:r w:rsidR="00C26ED2">
              <w:rPr>
                <w:rFonts w:ascii="Times New Roman" w:eastAsia="Arial" w:hAnsi="Times New Roman" w:cs="Times New Roman"/>
                <w:color w:val="000000" w:themeColor="text1"/>
                <w:sz w:val="20"/>
                <w:szCs w:val="20"/>
                <w:lang w:val="fr-FR"/>
              </w:rPr>
              <w:t>]</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50%</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vertAlign w:val="subscript"/>
              </w:rPr>
            </w:pPr>
            <w:r w:rsidRPr="00C26ED2">
              <w:rPr>
                <w:rFonts w:ascii="Times New Roman" w:eastAsia="Arial" w:hAnsi="Times New Roman" w:cs="Times New Roman"/>
                <w:color w:val="000000" w:themeColor="text1"/>
                <w:sz w:val="20"/>
                <w:szCs w:val="20"/>
              </w:rPr>
              <w:lastRenderedPageBreak/>
              <w:t>NPP</w:t>
            </w:r>
            <w:r w:rsidRPr="00C26ED2">
              <w:rPr>
                <w:rFonts w:ascii="Times New Roman" w:eastAsia="Arial" w:hAnsi="Times New Roman" w:cs="Times New Roman"/>
                <w:color w:val="000000" w:themeColor="text1"/>
                <w:sz w:val="20"/>
                <w:szCs w:val="20"/>
                <w:vertAlign w:val="subscript"/>
              </w:rPr>
              <w:t>MODIS</w:t>
            </w:r>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-1291</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258</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 xml:space="preserve">Zhao et al. </w:t>
            </w:r>
            <w:r w:rsidR="00C26ED2">
              <w:rPr>
                <w:rFonts w:ascii="Times New Roman" w:eastAsia="Arial" w:hAnsi="Times New Roman" w:cs="Times New Roman"/>
                <w:color w:val="000000" w:themeColor="text1"/>
                <w:sz w:val="20"/>
                <w:szCs w:val="20"/>
              </w:rPr>
              <w:t>[</w:t>
            </w:r>
            <w:r w:rsidRPr="00C26ED2">
              <w:rPr>
                <w:rFonts w:ascii="Times New Roman" w:eastAsia="Arial" w:hAnsi="Times New Roman" w:cs="Times New Roman"/>
                <w:color w:val="000000" w:themeColor="text1"/>
                <w:sz w:val="20"/>
                <w:szCs w:val="20"/>
              </w:rPr>
              <w:fldChar w:fldCharType="begin" w:fldLock="1"/>
            </w:r>
            <w:r w:rsidRPr="00C26ED2">
              <w:rPr>
                <w:rFonts w:ascii="Times New Roman" w:eastAsia="Arial" w:hAnsi="Times New Roman" w:cs="Times New Roman"/>
                <w:color w:val="000000" w:themeColor="text1"/>
                <w:sz w:val="20"/>
                <w:szCs w:val="20"/>
              </w:rPr>
              <w:instrText>ADDIN CSL_CITATION {"citationItems":[{"id":"ITEM-1","itemData":{"DOI":"10.1029/2004JG000004","ISBN":"0148-0227","ISSN":"0148-0227","abstract":"The Moderate Resolution Imaging Spectroradiometer (MODIS) on board NASA's satellites, Terra and Aqua, dramatically improves our ability to accurately and continuously monitor the terrestrial biosphere. MODIS information is used to estimate global terrestrial primary production weekly and annually in near-real time at a 1-km resolution. MODIS terrestrial primary production requires daily gridded assimilation meteorological data as inputs, and the accuracy of the existing meteorological reanalysis data sets show marked differences both spatially and temporally. This study compares surface meteorological data sets from three well-documented global reanalyses, NASA Data Assimilation Office (DAO), European Centre for Medium-Range Weather Forecasts (ECMWF) (ERA-40) and National Centers for Environmental Prediction/National Center for Atmospheric Research (NCEP/NCAR) reanalysis 1, with observed weather station data and other gridded data interpolated from the observations, to evaluate the sensitivity of MODIS global terrestrial gross and net primary production (GPP and NPP) to the uncertainties of meteorological inputs both in the United States and the global vegetated areas. NCEP tends to overestimate surface solar radiation, and underestimate both temperature and vapor pressure deficit (VPD). ECMWF has the highest accuracy but its radiation is lower in tropical regions, and the accuracy of DAO lies between NCEP and ECMWF. Biases in temperature are mainly responsible for large VPD biases in reanalyses. MODIS NPP contains more uncertainties than GPP. Global total MODIS GPP and NPP driven by DAO, ECMWF, and NCEP show notable differences (&gt;20 Pg C/yr) with the highest estimates from NCEP and the lowest from ECMWF. Again, the DAO results lie somewhere between NCEP and ECMWF estimates. Spatially, the larger discrepancies among reanalyses and their derived MODIS GPP and NPP occur in the tropics. These results reveal that the biases in meteorological reanalyses can introduce substantial error into GPP and NPP estimations, and emphasize the need to minimize these biases to improve the quality of MODIS GPP and NPP products.","author":[{"dropping-particle":"","family":"Zhao","given":"Maosheng","non-dropping-particle":"","parse-names":false,"suffix":""},{"dropping-particle":"","family":"Running","given":"Steven W.","non-dropping-particle":"","parse-names":false,"suffix":""},{"dropping-particle":"","family":"Nemani","given":"Ramakrishna R.","non-dropping-particle":"","parse-names":false,"suffix":""}],"container-title":"Journal of Geophysical Research","id":"ITEM-1","issue":"G1","issued":{"date-parts":[["2006"]]},"page":"G01002","title":"Sensitivity of Moderate Resolution Imaging Spectroradiometer (MODIS) terrestrial primary production to the accuracy of meteorological reanalyses","type":"article-journal","volume":"111"},"uris":["http://www.mendeley.com/documents/?uuid=de26ed4f-683f-4acf-b548-fd2275a66e2d"]}],"mendeley":{"formattedCitation":"&lt;sup&gt;85&lt;/sup&gt;","plainTextFormattedCitation":"85","previouslyFormattedCitation":"&lt;sup&gt;85&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rPr>
              <w:fldChar w:fldCharType="separate"/>
            </w:r>
            <w:r w:rsidRPr="00C26ED2">
              <w:rPr>
                <w:rFonts w:ascii="Times New Roman" w:eastAsia="Arial" w:hAnsi="Times New Roman" w:cs="Times New Roman"/>
                <w:noProof/>
                <w:color w:val="000000" w:themeColor="text1"/>
                <w:sz w:val="20"/>
                <w:szCs w:val="20"/>
              </w:rPr>
              <w:t>85</w:t>
            </w:r>
            <w:r w:rsidRPr="00C26ED2">
              <w:rPr>
                <w:rFonts w:ascii="Times New Roman" w:eastAsia="Arial" w:hAnsi="Times New Roman" w:cs="Times New Roman"/>
                <w:color w:val="000000" w:themeColor="text1"/>
                <w:sz w:val="20"/>
                <w:szCs w:val="20"/>
              </w:rPr>
              <w:fldChar w:fldCharType="end"/>
            </w:r>
            <w:r w:rsidR="00C26ED2">
              <w:rPr>
                <w:rFonts w:ascii="Times New Roman" w:eastAsia="Arial" w:hAnsi="Times New Roman" w:cs="Times New Roman"/>
                <w:color w:val="000000" w:themeColor="text1"/>
                <w:sz w:val="20"/>
                <w:szCs w:val="20"/>
              </w:rPr>
              <w:t>]</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20%</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vertAlign w:val="subscript"/>
              </w:rPr>
            </w:pPr>
            <w:r w:rsidRPr="00C26ED2">
              <w:rPr>
                <w:rFonts w:ascii="Times New Roman" w:eastAsia="Arial" w:hAnsi="Times New Roman" w:cs="Times New Roman"/>
                <w:color w:val="000000" w:themeColor="text1"/>
                <w:sz w:val="20"/>
                <w:szCs w:val="20"/>
              </w:rPr>
              <w:t>NPP</w:t>
            </w:r>
            <w:r w:rsidRPr="00C26ED2">
              <w:rPr>
                <w:rFonts w:ascii="Times New Roman" w:eastAsia="Arial" w:hAnsi="Times New Roman" w:cs="Times New Roman"/>
                <w:color w:val="000000" w:themeColor="text1"/>
                <w:sz w:val="20"/>
                <w:szCs w:val="20"/>
                <w:vertAlign w:val="subscript"/>
              </w:rPr>
              <w:t>BETHY</w:t>
            </w:r>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-1418</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284</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Tum et al.</w:t>
            </w:r>
            <w:r w:rsidR="00C26ED2">
              <w:rPr>
                <w:rFonts w:ascii="Times New Roman" w:eastAsia="Arial" w:hAnsi="Times New Roman" w:cs="Times New Roman"/>
                <w:color w:val="000000" w:themeColor="text1"/>
                <w:sz w:val="20"/>
                <w:szCs w:val="20"/>
              </w:rPr>
              <w:t xml:space="preserve"> [</w:t>
            </w:r>
            <w:r w:rsidRPr="00C26ED2">
              <w:rPr>
                <w:rFonts w:ascii="Times New Roman" w:eastAsia="Arial" w:hAnsi="Times New Roman" w:cs="Times New Roman"/>
                <w:color w:val="000000" w:themeColor="text1"/>
                <w:sz w:val="20"/>
                <w:szCs w:val="20"/>
              </w:rPr>
              <w:fldChar w:fldCharType="begin" w:fldLock="1"/>
            </w:r>
            <w:r w:rsidRPr="00C26ED2">
              <w:rPr>
                <w:rFonts w:ascii="Times New Roman" w:eastAsia="Arial" w:hAnsi="Times New Roman" w:cs="Times New Roman"/>
                <w:color w:val="000000" w:themeColor="text1"/>
                <w:sz w:val="20"/>
                <w:szCs w:val="20"/>
              </w:rPr>
              <w:instrText>ADDIN CSL_CITATION {"citationItems":[{"id":"ITEM-1","itemData":{"DOI":"10.5194/gmd-6-1623-2013","ISSN":"1991-9603","abstract":"&lt;p&gt;&lt;p&gt;&lt;strong&gt;Abstract.&lt;/strong&gt; In this study we compare monthly gross primary productivity (GPP) time series (2000–2007), computed for Europe with the Biosphere Energy Transfer Hydrology (BETHY/DLR) model with monthly data from the eddy covariance measurements network FLUXNET. BETHY/DLR with a spatial resolution of 1 km&lt;sup&gt;2&lt;/sup&gt; is designed for regional and continental applications (here Europe) and operated at the German Aerospace Center (DLR). It was adapted from the BETHY scheme to be driven by remote sensing data (leaf area index (LAI) and land cover information) and meteorology. Time series of LAI obtained from the CYCLOPES database are used to control the phenology of vegetation. Meteorological time series from the European Centre for Medium-Range Weather Forecasts (ECMWF) are used as driver. These comprise daily information on temperature, precipitation, wind speed and radiation. Additionally, static maps such as land cover, elevation, and soil type are used. To validate our model results we used eddy covariance measurements from the FLUXNET network of 74 towers across Europe. For forest sites we found that our model predicts between 20 and 40% higher annual GPP sums. In contrast, for cropland sites BETHY/DLR results show about 18% less GPP than eddy covariance measurements. For grassland sites, between 10% more and 16% less GPP was calculated with BETHY/DLR. A mean total carbon uptake of 2.5 PgC a&lt;sup&gt;−1&lt;/sup&gt; (±0.17 PgC a&lt;sup&gt;−1&lt;/sup&gt;) was found for Europe. In addition, this study reports on risks that arise from the comparison of modelled data to FLUXNET measurements and their interpretation width. Furthermore we investigate reasons for uncertainties in model results and focus here on &lt;i&gt;V&lt;/i&gt;&lt;sub&gt;max&lt;/sub&gt; values, and finally embed our results into a broader context of model validation studies published during the last years in order to evaluate differences or similarities in analysed error sources.&lt;/p&gt;&lt;/p&gt;","author":[{"dropping-particle":"","family":"Wißkirchen","given":"K.","non-dropping-particle":"","parse-names":false,"suffix":""},{"dropping-particle":"","family":"Tum","given":"M.","non-dropping-particle":"","parse-names":false,"suffix":""},{"dropping-particle":"","family":"Günther","given":"K. P.","non-dropping-particle":"","parse-names":false,"suffix":""},{"dropping-particle":"","family":"Niklaus","given":"M.","non-dropping-particle":"","parse-names":false,"suffix":""},{"dropping-particle":"","family":"Eisfelder","given":"C.","non-dropping-particle":"","parse-names":false,"suffix":""},{"dropping-particle":"","family":"Knorr","given":"W.","non-dropping-particle":"","parse-names":false,"suffix":""}],"container-title":"Geoscientific Model Development","id":"ITEM-1","issue":"5","issued":{"date-parts":[["2013","10","8"]]},"page":"1623-1640","title":"Quantifying the carbon uptake by vegetation for Europe on a 1 km&amp;amp;lt;sup&amp;amp;gt;2&amp;amp;lt;/sup&amp;amp;gt; resolution using a remote sensing driven vegetation model","type":"article-journal","volume":"6"},"uris":["http://www.mendeley.com/documents/?uuid=2a66f9b9-97fa-3434-9682-3dc7a55bd2e9"]}],"mendeley":{"formattedCitation":"&lt;sup&gt;23&lt;/sup&gt;","plainTextFormattedCitation":"23","previouslyFormattedCitation":"&lt;sup&gt;23&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rPr>
              <w:fldChar w:fldCharType="separate"/>
            </w:r>
            <w:r w:rsidRPr="00C26ED2">
              <w:rPr>
                <w:rFonts w:ascii="Times New Roman" w:eastAsia="Arial" w:hAnsi="Times New Roman" w:cs="Times New Roman"/>
                <w:noProof/>
                <w:color w:val="000000" w:themeColor="text1"/>
                <w:sz w:val="20"/>
                <w:szCs w:val="20"/>
              </w:rPr>
              <w:t>23</w:t>
            </w:r>
            <w:r w:rsidRPr="00C26ED2">
              <w:rPr>
                <w:rFonts w:ascii="Times New Roman" w:eastAsia="Arial" w:hAnsi="Times New Roman" w:cs="Times New Roman"/>
                <w:color w:val="000000" w:themeColor="text1"/>
                <w:sz w:val="20"/>
                <w:szCs w:val="20"/>
              </w:rPr>
              <w:fldChar w:fldCharType="end"/>
            </w:r>
            <w:r w:rsidR="00C26ED2">
              <w:rPr>
                <w:rFonts w:ascii="Times New Roman" w:eastAsia="Arial" w:hAnsi="Times New Roman" w:cs="Times New Roman"/>
                <w:color w:val="000000" w:themeColor="text1"/>
                <w:sz w:val="20"/>
                <w:szCs w:val="20"/>
              </w:rPr>
              <w:t>]</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20%</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vertAlign w:val="subscript"/>
              </w:rPr>
            </w:pPr>
            <w:r w:rsidRPr="00C26ED2">
              <w:rPr>
                <w:rFonts w:ascii="Times New Roman" w:eastAsia="Arial" w:hAnsi="Times New Roman" w:cs="Times New Roman"/>
                <w:color w:val="000000" w:themeColor="text1"/>
                <w:sz w:val="20"/>
                <w:szCs w:val="20"/>
              </w:rPr>
              <w:t>NPP</w:t>
            </w:r>
            <w:r w:rsidRPr="00C26ED2">
              <w:rPr>
                <w:rFonts w:ascii="Times New Roman" w:eastAsia="Arial" w:hAnsi="Times New Roman" w:cs="Times New Roman"/>
                <w:color w:val="000000" w:themeColor="text1"/>
                <w:sz w:val="20"/>
                <w:szCs w:val="20"/>
                <w:vertAlign w:val="subscript"/>
              </w:rPr>
              <w:t>GIMMS</w:t>
            </w:r>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-1586</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317</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Kolby Smith et al.</w:t>
            </w:r>
            <w:r w:rsidR="00C26ED2">
              <w:rPr>
                <w:rFonts w:ascii="Times New Roman" w:eastAsia="Arial" w:hAnsi="Times New Roman" w:cs="Times New Roman"/>
                <w:color w:val="000000" w:themeColor="text1"/>
                <w:sz w:val="20"/>
                <w:szCs w:val="20"/>
              </w:rPr>
              <w:t xml:space="preserve"> [</w:t>
            </w:r>
            <w:r w:rsidRPr="00C26ED2">
              <w:rPr>
                <w:rFonts w:ascii="Times New Roman" w:eastAsia="Arial" w:hAnsi="Times New Roman" w:cs="Times New Roman"/>
                <w:color w:val="000000" w:themeColor="text1"/>
                <w:sz w:val="20"/>
                <w:szCs w:val="20"/>
              </w:rPr>
              <w:fldChar w:fldCharType="begin" w:fldLock="1"/>
            </w:r>
            <w:r w:rsidRPr="00C26ED2">
              <w:rPr>
                <w:rFonts w:ascii="Times New Roman" w:eastAsia="Arial" w:hAnsi="Times New Roman" w:cs="Times New Roman"/>
                <w:color w:val="000000" w:themeColor="text1"/>
                <w:sz w:val="20"/>
                <w:szCs w:val="20"/>
              </w:rPr>
              <w:instrText>ADDIN CSL_CITATION {"citationItems":[{"id":"ITEM-1","itemData":{"author":[{"dropping-particle":"","family":"Kolby Smith","given":"W","non-dropping-particle":"","parse-names":false,"suffix":""},{"dropping-particle":"","family":"Reed","given":"Sasha C","non-dropping-particle":"","parse-names":false,"suffix":""},{"dropping-particle":"","family":"Cleveland","given":"Cory C","non-dropping-particle":"","parse-names":false,"suffix":""},{"dropping-particle":"","family":"Ballantyne","given":"Ashley P","non-dropping-particle":"","parse-names":false,"suffix":""},{"dropping-particle":"","family":"Anderegg","given":"William R L","non-dropping-particle":"","parse-names":false,"suffix":""},{"dropping-particle":"","family":"Wieder","given":"William R","non-dropping-particle":"","parse-names":false,"suffix":""},{"dropping-particle":"","family":"Liu","given":"Yi Y","non-dropping-particle":"","parse-names":false,"suffix":""},{"dropping-particle":"","family":"Running","given":"Steven W","non-dropping-particle":"","parse-names":false,"suffix":""}],"container-title":"Nature Climate Change","id":"ITEM-1","issued":{"date-parts":[["2015","12","7"]]},"page":"306","publisher":"Nature Publishing Group","title":"Large divergence of satellite and Earth system model estimates of global terrestrial CO2 fertilization","type":"article-journal","volume":"6"},"uris":["http://www.mendeley.com/documents/?uuid=61d003ae-325e-49c5-adc9-b80e731e237f"]}],"mendeley":{"formattedCitation":"&lt;sup&gt;24&lt;/sup&gt;","plainTextFormattedCitation":"24","previouslyFormattedCitation":"&lt;sup&gt;24&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rPr>
              <w:fldChar w:fldCharType="separate"/>
            </w:r>
            <w:r w:rsidRPr="00C26ED2">
              <w:rPr>
                <w:rFonts w:ascii="Times New Roman" w:eastAsia="Arial" w:hAnsi="Times New Roman" w:cs="Times New Roman"/>
                <w:noProof/>
                <w:color w:val="000000" w:themeColor="text1"/>
                <w:sz w:val="20"/>
                <w:szCs w:val="20"/>
              </w:rPr>
              <w:t>24</w:t>
            </w:r>
            <w:r w:rsidRPr="00C26ED2">
              <w:rPr>
                <w:rFonts w:ascii="Times New Roman" w:eastAsia="Arial" w:hAnsi="Times New Roman" w:cs="Times New Roman"/>
                <w:color w:val="000000" w:themeColor="text1"/>
                <w:sz w:val="20"/>
                <w:szCs w:val="20"/>
              </w:rPr>
              <w:fldChar w:fldCharType="end"/>
            </w:r>
            <w:r w:rsidR="00C26ED2">
              <w:rPr>
                <w:rFonts w:ascii="Times New Roman" w:eastAsia="Arial" w:hAnsi="Times New Roman" w:cs="Times New Roman"/>
                <w:color w:val="000000" w:themeColor="text1"/>
                <w:sz w:val="20"/>
                <w:szCs w:val="20"/>
              </w:rPr>
              <w:t>]</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20%</w:t>
            </w:r>
          </w:p>
        </w:tc>
      </w:tr>
      <w:tr w:rsidR="00F6749E" w:rsidRPr="00C26ED2" w:rsidTr="00C26ED2">
        <w:trPr>
          <w:trHeight w:val="600"/>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vertAlign w:val="subscript"/>
              </w:rPr>
            </w:pPr>
            <w:r w:rsidRPr="00C26ED2">
              <w:rPr>
                <w:rFonts w:ascii="Times New Roman" w:eastAsia="Arial" w:hAnsi="Times New Roman" w:cs="Times New Roman"/>
                <w:color w:val="000000" w:themeColor="text1"/>
                <w:sz w:val="20"/>
                <w:szCs w:val="20"/>
              </w:rPr>
              <w:t>NPP</w:t>
            </w:r>
            <w:r w:rsidRPr="00C26ED2">
              <w:rPr>
                <w:rFonts w:ascii="Times New Roman" w:eastAsia="Arial" w:hAnsi="Times New Roman" w:cs="Times New Roman"/>
                <w:color w:val="000000" w:themeColor="text1"/>
                <w:sz w:val="20"/>
                <w:szCs w:val="20"/>
                <w:vertAlign w:val="subscript"/>
              </w:rPr>
              <w:t>CARDAMOM</w:t>
            </w:r>
          </w:p>
        </w:tc>
        <w:tc>
          <w:tcPr>
            <w:tcW w:w="63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-1443</w:t>
            </w:r>
          </w:p>
        </w:tc>
        <w:tc>
          <w:tcPr>
            <w:tcW w:w="270"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w:t>
            </w:r>
          </w:p>
        </w:tc>
        <w:tc>
          <w:tcPr>
            <w:tcW w:w="615" w:type="dxa"/>
            <w:tcMar>
              <w:top w:w="0" w:type="dxa"/>
              <w:left w:w="0" w:type="dxa"/>
              <w:bottom w:w="0" w:type="dxa"/>
              <w:right w:w="0" w:type="dxa"/>
            </w:tcMar>
            <w:vAlign w:val="center"/>
          </w:tcPr>
          <w:p w:rsidR="00F6749E" w:rsidRPr="00C26ED2" w:rsidRDefault="00F6749E" w:rsidP="009F5F02">
            <w:pPr>
              <w:widowControl w:val="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517</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 xml:space="preserve">Bloom et al. </w:t>
            </w:r>
            <w:r w:rsidR="00C26ED2">
              <w:rPr>
                <w:rFonts w:ascii="Times New Roman" w:eastAsia="Arial" w:hAnsi="Times New Roman" w:cs="Times New Roman"/>
                <w:color w:val="000000" w:themeColor="text1"/>
                <w:sz w:val="20"/>
                <w:szCs w:val="20"/>
              </w:rPr>
              <w:t>[</w:t>
            </w:r>
            <w:r w:rsidRPr="00C26ED2">
              <w:rPr>
                <w:rFonts w:ascii="Times New Roman" w:eastAsia="Arial" w:hAnsi="Times New Roman" w:cs="Times New Roman"/>
                <w:color w:val="000000" w:themeColor="text1"/>
                <w:sz w:val="20"/>
                <w:szCs w:val="20"/>
              </w:rPr>
              <w:fldChar w:fldCharType="begin" w:fldLock="1"/>
            </w:r>
            <w:r w:rsidRPr="00C26ED2">
              <w:rPr>
                <w:rFonts w:ascii="Times New Roman" w:eastAsia="Arial" w:hAnsi="Times New Roman" w:cs="Times New Roman"/>
                <w:color w:val="000000" w:themeColor="text1"/>
                <w:sz w:val="20"/>
                <w:szCs w:val="20"/>
              </w:rPr>
              <w:instrText>ADDIN CSL_CITATION {"citationItems":[{"id":"ITEM-1","itemData":{"DOI":"10.1073/pnas.1515160113","ISSN":"0027-8424","abstract":"Quantitative knowledge of terrestrial carbon pathways and processes is fundamental for understanding the biosphere{\\textquoteright}s response to a changing climate. Carbon allocation, stocks, and residence times together define the dynamic state of the terrestrial carbon cycle. These quantities are difficult to measure and remain poorly quantified on a global scale. Here, we retrieve global 1{\\textdegree} {\\texttimes} 1{\\textdegree} carbon state and process variables by combining a carbon balance model with satellite observations of biomass and leaf area (where and when available) and global soil carbon data. Our results reveal emergent continental-scale patterns and relationships between carbon states and processes. We find that conventional land cover types cannot capture continental-scale variations of retrieved carbon variables; this mismatch has strong implications for terrestrial carbon cycle predictions.The terrestrial carbon cycle is currently the least constrained component of the global carbon budget. Large uncertainties stem from a poor understanding of plant carbon allocation, stocks, residence times, and carbon use efficiency. Imposing observational constraints on the terrestrial carbon cycle and its processes is, therefore, necessary to better understand its current state and predict its future state. We combine a diagnostic ecosystem carbon model with satellite observations of leaf area and biomass (where and when available) and soil carbon data to retrieve the first global estimates, to our knowledge, of carbon cycle state and process variables at a 1{\\textdegree} {\\texttimes} 1{\\textdegree} resolution; retrieved variables are independent from the plant functional type and steady-state paradigms. Our results reveal global emergent relationships in the spatial distribution of key carbon cycle states and processes. Live biomass and dead organic carbon residence times exhibit contrasting spatial features (r = 0.3). Allocation to structural carbon is highest in the wet tropics (85{\\textendash}88%) in contrast to higher latitudes (73{\\textendash}82%), where allocation shifts toward photosynthetic carbon. Carbon use efficiency is lowest (0.42{\\textendash}0.44) in the wet tropics. We find an emergent global correlation between retrievals of leaf mass per leaf area and leaf lifespan (r = 0.64{\\textendash}0.80) that matches independent trait studies. We show that conventional land cover types cannot adequately describe the spatial variability of …","author":[{"dropping-particle":"","family":"Bloom","given":"A Anthony","non-dropping-particle":"","parse-names":false,"suffix":""},{"dropping-particle":"","family":"Exbrayat","given":"Jean-François","non-dropping-particle":"","parse-names":false,"suffix":""},{"dropping-particle":"","family":"Velde","given":"Ivar R","non-dropping-particle":"van der","parse-names":false,"suffix":""},{"dropping-particle":"","family":"Feng","given":"Liang","non-dropping-particle":"","parse-names":false,"suffix":""},{"dropping-particle":"","family":"Williams","given":"Mathew","non-dropping-particle":"","parse-names":false,"suffix":""}],"container-title":"Proceedings of the National Academy of Sciences","id":"ITEM-1","issue":"5","issued":{"date-parts":[["2016"]]},"page":"1285-1290","publisher":"National Academy of Sciences","title":"The decadal state of the terrestrial carbon cycle: Global retrievals of terrestrial carbon allocation, pools, and residence times","type":"article-journal","volume":"113"},"uris":["http://www.mendeley.com/documents/?uuid=6f80c03b-935a-4bff-b909-17256e12378d"]}],"mendeley":{"formattedCitation":"&lt;sup&gt;25&lt;/sup&gt;","plainTextFormattedCitation":"25","previouslyFormattedCitation":"&lt;sup&gt;25&lt;/sup&gt;"},"properties":{"noteIndex":0},"schema":"https://github.com/citation-style-language/schema/raw/master/csl-citation.json"}</w:instrText>
            </w:r>
            <w:r w:rsidRPr="00C26ED2">
              <w:rPr>
                <w:rFonts w:ascii="Times New Roman" w:eastAsia="Arial" w:hAnsi="Times New Roman" w:cs="Times New Roman"/>
                <w:color w:val="000000" w:themeColor="text1"/>
                <w:sz w:val="20"/>
                <w:szCs w:val="20"/>
              </w:rPr>
              <w:fldChar w:fldCharType="separate"/>
            </w:r>
            <w:r w:rsidRPr="00C26ED2">
              <w:rPr>
                <w:rFonts w:ascii="Times New Roman" w:eastAsia="Arial" w:hAnsi="Times New Roman" w:cs="Times New Roman"/>
                <w:noProof/>
                <w:color w:val="000000" w:themeColor="text1"/>
                <w:sz w:val="20"/>
                <w:szCs w:val="20"/>
              </w:rPr>
              <w:t>25</w:t>
            </w:r>
            <w:r w:rsidRPr="00C26ED2">
              <w:rPr>
                <w:rFonts w:ascii="Times New Roman" w:eastAsia="Arial" w:hAnsi="Times New Roman" w:cs="Times New Roman"/>
                <w:color w:val="000000" w:themeColor="text1"/>
                <w:sz w:val="20"/>
                <w:szCs w:val="20"/>
              </w:rPr>
              <w:fldChar w:fldCharType="end"/>
            </w:r>
            <w:r w:rsidR="00C26ED2">
              <w:rPr>
                <w:rFonts w:ascii="Times New Roman" w:eastAsia="Arial" w:hAnsi="Times New Roman" w:cs="Times New Roman"/>
                <w:color w:val="000000" w:themeColor="text1"/>
                <w:sz w:val="20"/>
                <w:szCs w:val="20"/>
              </w:rPr>
              <w:t>]</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20%</w:t>
            </w:r>
          </w:p>
        </w:tc>
      </w:tr>
      <w:tr w:rsidR="00F6749E" w:rsidRPr="00C26ED2" w:rsidTr="009F5F02">
        <w:trPr>
          <w:trHeight w:val="573"/>
        </w:trPr>
        <w:tc>
          <w:tcPr>
            <w:tcW w:w="1815" w:type="dxa"/>
            <w:shd w:val="clear" w:color="auto" w:fill="auto"/>
            <w:tcMar>
              <w:top w:w="100" w:type="dxa"/>
              <w:left w:w="100" w:type="dxa"/>
              <w:bottom w:w="100" w:type="dxa"/>
              <w:right w:w="100" w:type="dxa"/>
            </w:tcMar>
            <w:vAlign w:val="center"/>
          </w:tcPr>
          <w:p w:rsidR="00F6749E" w:rsidRPr="00C26ED2" w:rsidRDefault="00F6749E" w:rsidP="00C26ED2">
            <w:pPr>
              <w:widowControl w:val="0"/>
              <w:spacing w:before="200" w:line="276" w:lineRule="auto"/>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Soil Het. Resp.</w:t>
            </w:r>
          </w:p>
        </w:tc>
        <w:tc>
          <w:tcPr>
            <w:tcW w:w="630" w:type="dxa"/>
            <w:tcMar>
              <w:top w:w="0" w:type="dxa"/>
              <w:left w:w="0" w:type="dxa"/>
              <w:bottom w:w="0" w:type="dxa"/>
              <w:right w:w="0" w:type="dxa"/>
            </w:tcMar>
            <w:vAlign w:val="center"/>
          </w:tcPr>
          <w:p w:rsidR="00F6749E" w:rsidRPr="00C26ED2" w:rsidRDefault="00F6749E" w:rsidP="009F5F02">
            <w:pPr>
              <w:widowControl w:val="0"/>
              <w:spacing w:before="20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577</w:t>
            </w:r>
          </w:p>
        </w:tc>
        <w:tc>
          <w:tcPr>
            <w:tcW w:w="885" w:type="dxa"/>
            <w:gridSpan w:val="2"/>
            <w:tcMar>
              <w:top w:w="0" w:type="dxa"/>
              <w:left w:w="0" w:type="dxa"/>
              <w:bottom w:w="0" w:type="dxa"/>
              <w:right w:w="0" w:type="dxa"/>
            </w:tcMar>
            <w:vAlign w:val="center"/>
          </w:tcPr>
          <w:p w:rsidR="00F6749E" w:rsidRPr="00C26ED2" w:rsidRDefault="00F6749E" w:rsidP="009F5F02">
            <w:pPr>
              <w:widowControl w:val="0"/>
              <w:spacing w:before="200"/>
              <w:jc w:val="center"/>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(355,826)</w:t>
            </w:r>
          </w:p>
        </w:tc>
        <w:tc>
          <w:tcPr>
            <w:tcW w:w="3525" w:type="dxa"/>
            <w:shd w:val="clear" w:color="auto" w:fill="auto"/>
            <w:tcMar>
              <w:top w:w="100" w:type="dxa"/>
              <w:left w:w="100" w:type="dxa"/>
              <w:bottom w:w="100" w:type="dxa"/>
              <w:right w:w="100" w:type="dxa"/>
            </w:tcMar>
            <w:vAlign w:val="center"/>
          </w:tcPr>
          <w:p w:rsidR="00F6749E" w:rsidRPr="00C26ED2" w:rsidRDefault="00F6749E" w:rsidP="00C26ED2">
            <w:pPr>
              <w:widowControl w:val="0"/>
              <w:spacing w:before="200" w:line="276" w:lineRule="auto"/>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Equation (2)</w:t>
            </w:r>
          </w:p>
        </w:tc>
        <w:tc>
          <w:tcPr>
            <w:tcW w:w="2085" w:type="dxa"/>
            <w:shd w:val="clear" w:color="auto" w:fill="auto"/>
            <w:tcMar>
              <w:top w:w="100" w:type="dxa"/>
              <w:left w:w="100" w:type="dxa"/>
              <w:bottom w:w="100" w:type="dxa"/>
              <w:right w:w="100" w:type="dxa"/>
            </w:tcMar>
            <w:vAlign w:val="center"/>
          </w:tcPr>
          <w:p w:rsidR="00F6749E" w:rsidRPr="00C26ED2" w:rsidRDefault="00F6749E" w:rsidP="00C26ED2">
            <w:pPr>
              <w:widowControl w:val="0"/>
              <w:rPr>
                <w:rFonts w:ascii="Times New Roman" w:eastAsia="Arial" w:hAnsi="Times New Roman" w:cs="Times New Roman"/>
                <w:color w:val="000000" w:themeColor="text1"/>
                <w:sz w:val="20"/>
                <w:szCs w:val="20"/>
              </w:rPr>
            </w:pPr>
            <w:r w:rsidRPr="00C26ED2">
              <w:rPr>
                <w:rFonts w:ascii="Times New Roman" w:eastAsia="Arial" w:hAnsi="Times New Roman" w:cs="Times New Roman"/>
                <w:color w:val="000000" w:themeColor="text1"/>
                <w:sz w:val="20"/>
                <w:szCs w:val="20"/>
              </w:rPr>
              <w:t>Inter-quartile from Monte Carlo (</w:t>
            </w:r>
            <w:r w:rsidR="00C26ED2">
              <w:rPr>
                <w:rFonts w:ascii="Times New Roman" w:eastAsia="Arial" w:hAnsi="Times New Roman" w:cs="Times New Roman"/>
                <w:color w:val="000000" w:themeColor="text1"/>
                <w:sz w:val="20"/>
                <w:szCs w:val="20"/>
              </w:rPr>
              <w:t>M</w:t>
            </w:r>
            <w:r w:rsidRPr="00C26ED2">
              <w:rPr>
                <w:rFonts w:ascii="Times New Roman" w:eastAsia="Arial" w:hAnsi="Times New Roman" w:cs="Times New Roman"/>
                <w:color w:val="000000" w:themeColor="text1"/>
                <w:sz w:val="20"/>
                <w:szCs w:val="20"/>
              </w:rPr>
              <w:t>ethods)</w:t>
            </w:r>
          </w:p>
        </w:tc>
      </w:tr>
    </w:tbl>
    <w:p w:rsidR="004A6EE9" w:rsidRDefault="004A6EE9" w:rsidP="00F6749E">
      <w:pPr>
        <w:ind w:left="567" w:hanging="567"/>
        <w:rPr>
          <w:rFonts w:ascii="Times New Roman" w:eastAsia="Arial" w:hAnsi="Times New Roman" w:cs="Times New Roman"/>
          <w:color w:val="000000" w:themeColor="text1"/>
          <w:sz w:val="20"/>
          <w:szCs w:val="20"/>
        </w:rPr>
      </w:pPr>
    </w:p>
    <w:p w:rsidR="00F6749E" w:rsidRPr="00C26ED2" w:rsidRDefault="004A6EE9"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a</w:t>
      </w:r>
      <w:r w:rsidR="00F6749E" w:rsidRPr="00C26ED2">
        <w:rPr>
          <w:rFonts w:ascii="Times New Roman" w:eastAsia="Arial" w:hAnsi="Times New Roman" w:cs="Times New Roman"/>
          <w:color w:val="000000" w:themeColor="text1"/>
          <w:sz w:val="20"/>
          <w:szCs w:val="20"/>
        </w:rPr>
        <w:tab/>
        <w:t xml:space="preserve">River C transport to estuaries and estuaries C outgassing are both assumed a relative uncertainty of 50%. The total error on </w:t>
      </w:r>
      <w:proofErr w:type="spellStart"/>
      <w:r w:rsidR="00F6749E" w:rsidRPr="00C26ED2">
        <w:rPr>
          <w:rFonts w:ascii="Times New Roman" w:eastAsia="Arial" w:hAnsi="Times New Roman" w:cs="Times New Roman"/>
          <w:color w:val="000000" w:themeColor="text1"/>
          <w:sz w:val="20"/>
          <w:szCs w:val="20"/>
        </w:rPr>
        <w:t>F</w:t>
      </w:r>
      <w:r w:rsidR="00F6749E" w:rsidRPr="00C26ED2">
        <w:rPr>
          <w:rFonts w:ascii="Times New Roman" w:eastAsia="Arial" w:hAnsi="Times New Roman" w:cs="Times New Roman"/>
          <w:color w:val="000000" w:themeColor="text1"/>
          <w:sz w:val="20"/>
          <w:szCs w:val="20"/>
          <w:vertAlign w:val="subscript"/>
        </w:rPr>
        <w:t>rivers</w:t>
      </w:r>
      <w:proofErr w:type="spellEnd"/>
      <w:r w:rsidR="00F6749E" w:rsidRPr="00C26ED2">
        <w:rPr>
          <w:rFonts w:ascii="Times New Roman" w:eastAsia="Arial" w:hAnsi="Times New Roman" w:cs="Times New Roman"/>
          <w:color w:val="000000" w:themeColor="text1"/>
          <w:sz w:val="20"/>
          <w:szCs w:val="20"/>
          <w:vertAlign w:val="subscript"/>
        </w:rPr>
        <w:t xml:space="preserve"> </w:t>
      </w:r>
      <w:r w:rsidR="00F6749E" w:rsidRPr="00C26ED2">
        <w:rPr>
          <w:rFonts w:ascii="Times New Roman" w:eastAsia="Arial" w:hAnsi="Times New Roman" w:cs="Times New Roman"/>
          <w:color w:val="000000" w:themeColor="text1"/>
          <w:sz w:val="20"/>
          <w:szCs w:val="20"/>
        </w:rPr>
        <w:t>is calculated by assuming these two terms have independent uncertainties</w:t>
      </w:r>
    </w:p>
    <w:p w:rsidR="00F6749E" w:rsidRPr="00C26ED2" w:rsidRDefault="004A6EE9"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b</w:t>
      </w:r>
      <w:r w:rsidR="00F6749E" w:rsidRPr="00C26ED2">
        <w:rPr>
          <w:rFonts w:ascii="Times New Roman" w:eastAsia="Arial" w:hAnsi="Times New Roman" w:cs="Times New Roman"/>
          <w:color w:val="000000" w:themeColor="text1"/>
          <w:sz w:val="20"/>
          <w:szCs w:val="20"/>
        </w:rPr>
        <w:tab/>
        <w:t>The total error on NEE</w:t>
      </w:r>
      <w:r w:rsidR="00F6749E" w:rsidRPr="00C26ED2">
        <w:rPr>
          <w:rFonts w:ascii="Times New Roman" w:eastAsia="Arial" w:hAnsi="Times New Roman" w:cs="Times New Roman"/>
          <w:color w:val="000000" w:themeColor="text1"/>
          <w:sz w:val="20"/>
          <w:szCs w:val="20"/>
          <w:vertAlign w:val="subscript"/>
        </w:rPr>
        <w:t xml:space="preserve"> </w:t>
      </w:r>
      <w:r w:rsidR="00F6749E" w:rsidRPr="00C26ED2">
        <w:rPr>
          <w:rFonts w:ascii="Times New Roman" w:eastAsia="Arial" w:hAnsi="Times New Roman" w:cs="Times New Roman"/>
          <w:color w:val="000000" w:themeColor="text1"/>
          <w:sz w:val="20"/>
          <w:szCs w:val="20"/>
        </w:rPr>
        <w:t xml:space="preserve">is calculated by assuming each term of </w:t>
      </w:r>
      <w:r w:rsidRPr="00C26ED2">
        <w:rPr>
          <w:rFonts w:ascii="Times New Roman" w:eastAsia="Arial" w:hAnsi="Times New Roman" w:cs="Times New Roman"/>
          <w:color w:val="000000" w:themeColor="text1"/>
          <w:sz w:val="20"/>
          <w:szCs w:val="20"/>
        </w:rPr>
        <w:t>Equation</w:t>
      </w:r>
      <w:r w:rsidR="00F6749E" w:rsidRPr="00C26ED2">
        <w:rPr>
          <w:rFonts w:ascii="Times New Roman" w:eastAsia="Arial" w:hAnsi="Times New Roman" w:cs="Times New Roman"/>
          <w:color w:val="000000" w:themeColor="text1"/>
          <w:sz w:val="20"/>
          <w:szCs w:val="20"/>
        </w:rPr>
        <w:t xml:space="preserve"> (1)  have independent uncertainties</w:t>
      </w:r>
    </w:p>
    <w:p w:rsidR="00F6749E" w:rsidRDefault="004A6EE9"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c</w:t>
      </w:r>
      <w:r w:rsidR="00F6749E" w:rsidRPr="00C26ED2">
        <w:rPr>
          <w:rFonts w:ascii="Times New Roman" w:eastAsia="Arial" w:hAnsi="Times New Roman" w:cs="Times New Roman"/>
          <w:color w:val="000000" w:themeColor="text1"/>
          <w:sz w:val="20"/>
          <w:szCs w:val="20"/>
        </w:rPr>
        <w:tab/>
        <w:t>Uncertainty of 20% for wood products decay and estimated by Monte Carlo approach by Wang et al. for biomass burned in industry and power plants</w:t>
      </w:r>
    </w:p>
    <w:p w:rsidR="00E8739C" w:rsidRPr="00C26ED2" w:rsidRDefault="00E8739C"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d</w:t>
      </w:r>
      <w:r>
        <w:rPr>
          <w:rFonts w:ascii="Times New Roman" w:eastAsia="Arial" w:hAnsi="Times New Roman" w:cs="Times New Roman"/>
          <w:color w:val="000000" w:themeColor="text1"/>
          <w:sz w:val="20"/>
          <w:szCs w:val="20"/>
        </w:rPr>
        <w:tab/>
      </w:r>
      <w:proofErr w:type="spellStart"/>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fires</w:t>
      </w:r>
      <w:proofErr w:type="spellEnd"/>
      <w:r w:rsidRPr="00E8739C">
        <w:rPr>
          <w:rFonts w:ascii="Times New Roman" w:eastAsia="Arial" w:hAnsi="Times New Roman" w:cs="Times New Roman"/>
          <w:color w:val="000000" w:themeColor="text1"/>
          <w:sz w:val="20"/>
          <w:szCs w:val="20"/>
          <w:vertAlign w:val="subscript"/>
        </w:rPr>
        <w:t xml:space="preserve"> </w:t>
      </w:r>
      <w:r w:rsidRPr="00E8739C">
        <w:rPr>
          <w:rFonts w:ascii="Times New Roman" w:eastAsia="Arial" w:hAnsi="Times New Roman" w:cs="Times New Roman"/>
          <w:color w:val="000000" w:themeColor="text1"/>
          <w:sz w:val="20"/>
          <w:szCs w:val="20"/>
        </w:rPr>
        <w:t>includes open fires and crop residues burning estimated from Wang et al.</w:t>
      </w:r>
    </w:p>
    <w:p w:rsidR="00F6749E" w:rsidRPr="00C26ED2" w:rsidRDefault="00F6749E" w:rsidP="00F6749E">
      <w:pPr>
        <w:ind w:left="567"/>
        <w:rPr>
          <w:rFonts w:ascii="Times New Roman" w:eastAsia="Arial" w:hAnsi="Times New Roman" w:cs="Times New Roman"/>
          <w:color w:val="000000" w:themeColor="text1"/>
          <w:sz w:val="20"/>
          <w:szCs w:val="20"/>
        </w:rPr>
      </w:pPr>
    </w:p>
    <w:p w:rsidR="00F6749E" w:rsidRPr="00B75738" w:rsidRDefault="00F6749E" w:rsidP="00F6749E">
      <w:pPr>
        <w:rPr>
          <w:rFonts w:ascii="Times New Roman" w:eastAsia="Arial" w:hAnsi="Times New Roman" w:cs="Times New Roman"/>
          <w:color w:val="000000" w:themeColor="text1"/>
          <w:sz w:val="20"/>
          <w:szCs w:val="20"/>
        </w:rPr>
      </w:pPr>
      <w:r w:rsidRPr="00C26ED2">
        <w:rPr>
          <w:rFonts w:ascii="Times New Roman" w:hAnsi="Times New Roman" w:cs="Times New Roman"/>
          <w:color w:val="000000" w:themeColor="text1"/>
          <w:sz w:val="20"/>
          <w:szCs w:val="20"/>
        </w:rPr>
        <w:br w:type="page"/>
      </w: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630"/>
        <w:gridCol w:w="270"/>
        <w:gridCol w:w="750"/>
        <w:gridCol w:w="3471"/>
        <w:gridCol w:w="2004"/>
      </w:tblGrid>
      <w:tr w:rsidR="00F6749E" w:rsidRPr="00DA354E" w:rsidTr="00C26ED2">
        <w:trPr>
          <w:trHeight w:val="400"/>
        </w:trPr>
        <w:tc>
          <w:tcPr>
            <w:tcW w:w="8940" w:type="dxa"/>
            <w:gridSpan w:val="6"/>
            <w:shd w:val="clear" w:color="auto" w:fill="auto"/>
            <w:tcMar>
              <w:top w:w="100" w:type="dxa"/>
              <w:left w:w="100" w:type="dxa"/>
              <w:bottom w:w="100" w:type="dxa"/>
              <w:right w:w="100" w:type="dxa"/>
            </w:tcMar>
          </w:tcPr>
          <w:p w:rsidR="00F6749E" w:rsidRPr="00DA354E" w:rsidRDefault="00F6749E" w:rsidP="00C26ED2">
            <w:pPr>
              <w:widowControl w:val="0"/>
              <w:rPr>
                <w:rFonts w:ascii="Times New Roman" w:eastAsia="Arial" w:hAnsi="Times New Roman" w:cs="Times New Roman"/>
                <w:b/>
                <w:color w:val="000000" w:themeColor="text1"/>
              </w:rPr>
            </w:pPr>
            <w:r w:rsidRPr="00DA354E">
              <w:rPr>
                <w:rFonts w:ascii="Times New Roman" w:eastAsia="Arial" w:hAnsi="Times New Roman" w:cs="Times New Roman"/>
                <w:b/>
                <w:color w:val="000000" w:themeColor="text1"/>
              </w:rPr>
              <w:lastRenderedPageBreak/>
              <w:t>South East Asia</w:t>
            </w:r>
          </w:p>
        </w:tc>
      </w:tr>
      <w:tr w:rsidR="00F6749E" w:rsidRPr="00E8739C" w:rsidTr="00E8739C">
        <w:trPr>
          <w:trHeight w:val="400"/>
        </w:trPr>
        <w:tc>
          <w:tcPr>
            <w:tcW w:w="3465" w:type="dxa"/>
            <w:gridSpan w:val="4"/>
            <w:shd w:val="clear" w:color="auto" w:fill="auto"/>
            <w:tcMar>
              <w:top w:w="100" w:type="dxa"/>
              <w:left w:w="100" w:type="dxa"/>
              <w:bottom w:w="100" w:type="dxa"/>
              <w:right w:w="100" w:type="dxa"/>
            </w:tcMar>
            <w:vAlign w:val="center"/>
          </w:tcPr>
          <w:p w:rsidR="00F6749E" w:rsidRPr="00E8739C" w:rsidRDefault="004A6EE9"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roofErr w:type="spellStart"/>
            <w:r w:rsidRPr="00E8739C">
              <w:rPr>
                <w:rFonts w:ascii="Times New Roman" w:eastAsia="Arial" w:hAnsi="Times New Roman" w:cs="Times New Roman"/>
                <w:color w:val="000000" w:themeColor="text1"/>
                <w:sz w:val="20"/>
                <w:szCs w:val="20"/>
              </w:rPr>
              <w:t>TgC</w:t>
            </w:r>
            <w:proofErr w:type="spellEnd"/>
            <w:r w:rsidRPr="00E8739C">
              <w:rPr>
                <w:rFonts w:ascii="Times New Roman" w:eastAsia="Arial" w:hAnsi="Times New Roman" w:cs="Times New Roman"/>
                <w:color w:val="000000" w:themeColor="text1"/>
                <w:sz w:val="20"/>
                <w:szCs w:val="20"/>
              </w:rPr>
              <w:t xml:space="preserve"> yr</w:t>
            </w:r>
            <w:r w:rsidRPr="00E8739C">
              <w:rPr>
                <w:rFonts w:ascii="Times New Roman" w:eastAsia="Arial" w:hAnsi="Times New Roman" w:cs="Times New Roman"/>
                <w:color w:val="000000" w:themeColor="text1"/>
                <w:sz w:val="20"/>
                <w:szCs w:val="20"/>
                <w:vertAlign w:val="superscript"/>
              </w:rPr>
              <w:t>-1</w:t>
            </w:r>
            <w:r w:rsidRPr="00E8739C">
              <w:rPr>
                <w:rFonts w:ascii="Times New Roman" w:eastAsia="Arial" w:hAnsi="Times New Roman" w:cs="Times New Roman"/>
                <w:color w:val="000000" w:themeColor="text1"/>
                <w:sz w:val="20"/>
                <w:szCs w:val="20"/>
              </w:rPr>
              <w:t>)</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Reference</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Uncertainty estimation</w:t>
            </w:r>
          </w:p>
        </w:tc>
      </w:tr>
      <w:tr w:rsidR="00F6749E" w:rsidRPr="00E8739C" w:rsidTr="00E8739C">
        <w:trPr>
          <w:trHeight w:val="600"/>
        </w:trPr>
        <w:tc>
          <w:tcPr>
            <w:tcW w:w="1815" w:type="dxa"/>
            <w:tcBorders>
              <w:top w:val="single" w:sz="8" w:space="0" w:color="000000"/>
              <w:left w:val="single" w:sz="8" w:space="0" w:color="000000"/>
              <w:bottom w:val="single" w:sz="8" w:space="0" w:color="000000"/>
            </w:tcBorders>
            <w:shd w:val="clear" w:color="auto" w:fill="FFFFFF"/>
            <w:vAlign w:val="center"/>
          </w:tcPr>
          <w:p w:rsidR="00F6749E" w:rsidRPr="00E8739C" w:rsidRDefault="00F6749E" w:rsidP="00E8739C">
            <w:pPr>
              <w:rPr>
                <w:rFonts w:ascii="Times New Roman" w:eastAsia="Arial" w:hAnsi="Times New Roman" w:cs="Times New Roman"/>
                <w:color w:val="000000" w:themeColor="text1"/>
                <w:sz w:val="20"/>
                <w:szCs w:val="20"/>
              </w:rPr>
            </w:pPr>
            <w:r w:rsidRPr="00E8739C">
              <w:rPr>
                <w:rFonts w:ascii="Times New Roman" w:eastAsia="Arial Unicode MS" w:hAnsi="Times New Roman" w:cs="Times New Roman"/>
                <w:color w:val="000000" w:themeColor="text1"/>
                <w:sz w:val="20"/>
                <w:szCs w:val="20"/>
              </w:rPr>
              <w:t>∆C</w:t>
            </w:r>
          </w:p>
        </w:tc>
        <w:tc>
          <w:tcPr>
            <w:tcW w:w="630" w:type="dxa"/>
            <w:tcMar>
              <w:top w:w="0" w:type="dxa"/>
              <w:left w:w="0" w:type="dxa"/>
              <w:bottom w:w="0" w:type="dxa"/>
              <w:right w:w="0" w:type="dxa"/>
            </w:tcMar>
            <w:vAlign w:val="center"/>
          </w:tcPr>
          <w:p w:rsidR="00F6749E" w:rsidRPr="00E8739C" w:rsidRDefault="00F6749E" w:rsidP="009F5F02">
            <w:pPr>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8</w:t>
            </w:r>
          </w:p>
        </w:tc>
        <w:tc>
          <w:tcPr>
            <w:tcW w:w="270" w:type="dxa"/>
            <w:tcMar>
              <w:top w:w="0" w:type="dxa"/>
              <w:left w:w="0" w:type="dxa"/>
              <w:bottom w:w="0" w:type="dxa"/>
              <w:right w:w="0" w:type="dxa"/>
            </w:tcMar>
            <w:vAlign w:val="center"/>
          </w:tcPr>
          <w:p w:rsidR="00F6749E" w:rsidRPr="00E8739C" w:rsidRDefault="00F6749E" w:rsidP="009F5F02">
            <w:pPr>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76</w:t>
            </w:r>
          </w:p>
        </w:tc>
        <w:tc>
          <w:tcPr>
            <w:tcW w:w="3471" w:type="dxa"/>
            <w:tcBorders>
              <w:top w:val="single" w:sz="8" w:space="0" w:color="000000"/>
              <w:bottom w:val="single" w:sz="8" w:space="0" w:color="000000"/>
              <w:right w:val="single" w:sz="8" w:space="0" w:color="000000"/>
            </w:tcBorders>
            <w:shd w:val="clear" w:color="auto" w:fill="FFFFFF"/>
            <w:vAlign w:val="center"/>
          </w:tcPr>
          <w:p w:rsidR="00F6749E" w:rsidRPr="00E8739C" w:rsidRDefault="00F6749E" w:rsidP="00E8739C">
            <w:pPr>
              <w:rPr>
                <w:rFonts w:ascii="Times New Roman" w:eastAsia="Arial" w:hAnsi="Times New Roman" w:cs="Times New Roman"/>
                <w:color w:val="000000" w:themeColor="text1"/>
                <w:sz w:val="20"/>
                <w:szCs w:val="20"/>
              </w:rPr>
            </w:pPr>
            <w:proofErr w:type="spellStart"/>
            <w:r w:rsidRPr="00E8739C">
              <w:rPr>
                <w:rFonts w:ascii="Times New Roman" w:eastAsia="Arial" w:hAnsi="Times New Roman" w:cs="Times New Roman"/>
                <w:color w:val="000000" w:themeColor="text1"/>
                <w:sz w:val="20"/>
                <w:szCs w:val="20"/>
              </w:rPr>
              <w:t>Baccini</w:t>
            </w:r>
            <w:proofErr w:type="spellEnd"/>
            <w:r w:rsidRPr="00E8739C">
              <w:rPr>
                <w:rFonts w:ascii="Times New Roman" w:eastAsia="Arial" w:hAnsi="Times New Roman" w:cs="Times New Roman"/>
                <w:color w:val="000000" w:themeColor="text1"/>
                <w:sz w:val="20"/>
                <w:szCs w:val="20"/>
              </w:rPr>
              <w:t xml:space="preserve"> et al. </w:t>
            </w:r>
            <w:r w:rsidR="00E8739C">
              <w:rPr>
                <w:rFonts w:ascii="Times New Roman" w:eastAsia="Arial" w:hAnsi="Times New Roman" w:cs="Times New Roman"/>
                <w:color w:val="000000" w:themeColor="text1"/>
                <w:sz w:val="20"/>
                <w:szCs w:val="20"/>
              </w:rPr>
              <w:t>[</w:t>
            </w:r>
            <w:r w:rsidRPr="00E8739C">
              <w:rPr>
                <w:rFonts w:ascii="Times New Roman" w:eastAsia="Arial" w:hAnsi="Times New Roman" w:cs="Times New Roman"/>
                <w:color w:val="000000" w:themeColor="text1"/>
                <w:sz w:val="20"/>
                <w:szCs w:val="20"/>
              </w:rPr>
              <w:fldChar w:fldCharType="begin" w:fldLock="1"/>
            </w:r>
            <w:r w:rsidRPr="00E8739C">
              <w:rPr>
                <w:rFonts w:ascii="Times New Roman" w:eastAsia="Arial" w:hAnsi="Times New Roman" w:cs="Times New Roman"/>
                <w:color w:val="000000" w:themeColor="text1"/>
                <w:sz w:val="20"/>
                <w:szCs w:val="20"/>
              </w:rPr>
              <w:instrText>ADDIN CSL_CITATION {"citationItems":[{"id":"ITEM-1","itemData":{"DOI":"10.1126/science.aam5962","ISSN":"0036-8075","abstract":"Are tropical forests a net source or net sink of atmospheric carbon dioxide? As fundamental a question as that is, there still is no agreement about the answer, with different studies suggesting that it is anything from a sizable sink to a modest source. Baccini et al. used 12 years of MODIS satellite data to determine how the aboveground carbon density of woody, live vegetation has changed throughout the entire tropics on an annual basis. They find that the tropics are a net carbon source, with losses owing to deforestation and reductions in carbon density within standing forests being double that of gains resulting from forest growth.Science, this issue p. 230The carbon balance of tropical ecosystems remains uncertain, with top-down atmospheric studies suggesting an overall sink and bottom-up ecological approaches indicating a modest net source. Here we use 12 years (2003 to 2014) of MODIS pantropical satellite data to quantify net annual changes in the aboveground carbon density of tropical woody live vegetation, providing direct, measurement-based evidence that the world{\\textquoteright}s tropical forests are a net carbon source of 425.2 {\\textpm} 92.0 teragrams of carbon per year (Tg C year{\\textendash}1). This net release of carbon consists of losses of 861.7 {\\textpm} 80.2 Tg C year{\\textendash}1 and gains of 436.5 {\\textpm} 31.0 Tg C year{\\textendash}1. Gains result from forest growth; losses result from deforestation and from reductions in carbon density within standing forests (degradation or disturbance), with the latter accounting for 68.9% of overall losses.","author":[{"dropping-particle":"","family":"Baccini","given":"A","non-dropping-particle":"","parse-names":false,"suffix":""},{"dropping-particle":"","family":"Walker","given":"W","non-dropping-particle":"","parse-names":false,"suffix":""},{"dropping-particle":"","family":"Carvalho","given":"L","non-dropping-particle":"","parse-names":false,"suffix":""},{"dropping-particle":"","family":"Farina","given":"M","non-dropping-particle":"","parse-names":false,"suffix":""},{"dropping-particle":"","family":"Sulla-Menashe","given":"D","non-dropping-particle":"","parse-names":false,"suffix":""},{"dropping-particle":"","family":"Houghton","given":"R A","non-dropping-particle":"","parse-names":false,"suffix":""}],"container-title":"Science","id":"ITEM-1","issue":"6360","issued":{"date-parts":[["2017"]]},"page":"230-234","publisher":"American Association for the Advancement of Science","title":"Tropical forests are a net carbon source based on aboveground measurements of gain and loss","type":"article-journal","volume":"358"},"uris":["http://www.mendeley.com/documents/?uuid=0ec15a8b-7de7-466a-bad0-2e91b8a2f76e"]}],"mendeley":{"formattedCitation":"&lt;sup&gt;17&lt;/sup&gt;","plainTextFormattedCitation":"17","previouslyFormattedCitation":"&lt;sup&gt;17&lt;/sup&gt;"},"properties":{"noteIndex":0},"schema":"https://github.com/citation-style-language/schema/raw/master/csl-citation.json"}</w:instrText>
            </w:r>
            <w:r w:rsidRPr="00E8739C">
              <w:rPr>
                <w:rFonts w:ascii="Times New Roman" w:eastAsia="Arial" w:hAnsi="Times New Roman" w:cs="Times New Roman"/>
                <w:color w:val="000000" w:themeColor="text1"/>
                <w:sz w:val="20"/>
                <w:szCs w:val="20"/>
              </w:rPr>
              <w:fldChar w:fldCharType="separate"/>
            </w:r>
            <w:r w:rsidRPr="00E8739C">
              <w:rPr>
                <w:rFonts w:ascii="Times New Roman" w:eastAsia="Arial" w:hAnsi="Times New Roman" w:cs="Times New Roman"/>
                <w:noProof/>
                <w:color w:val="000000" w:themeColor="text1"/>
                <w:sz w:val="20"/>
                <w:szCs w:val="20"/>
              </w:rPr>
              <w:t>17</w:t>
            </w:r>
            <w:r w:rsidRPr="00E8739C">
              <w:rPr>
                <w:rFonts w:ascii="Times New Roman" w:eastAsia="Arial" w:hAnsi="Times New Roman" w:cs="Times New Roman"/>
                <w:color w:val="000000" w:themeColor="text1"/>
                <w:sz w:val="20"/>
                <w:szCs w:val="20"/>
              </w:rPr>
              <w:fldChar w:fldCharType="end"/>
            </w:r>
            <w:r w:rsidR="00E8739C">
              <w:rPr>
                <w:rFonts w:ascii="Times New Roman" w:eastAsia="Arial" w:hAnsi="Times New Roman" w:cs="Times New Roman"/>
                <w:color w:val="000000" w:themeColor="text1"/>
                <w:sz w:val="20"/>
                <w:szCs w:val="20"/>
              </w:rPr>
              <w:t xml:space="preserve">] </w:t>
            </w:r>
            <w:r w:rsidR="00E8739C" w:rsidRPr="00E8739C">
              <w:rPr>
                <w:rFonts w:ascii="Times New Roman" w:eastAsia="Arial" w:hAnsi="Times New Roman" w:cs="Times New Roman"/>
                <w:color w:val="000000" w:themeColor="text1"/>
                <w:sz w:val="20"/>
                <w:szCs w:val="20"/>
                <w:vertAlign w:val="superscript"/>
              </w:rPr>
              <w:t>a</w:t>
            </w:r>
          </w:p>
        </w:tc>
        <w:tc>
          <w:tcPr>
            <w:tcW w:w="200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see Methods</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vertAlign w:val="subscript"/>
              </w:rPr>
            </w:pPr>
            <w:proofErr w:type="spellStart"/>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trade</w:t>
            </w:r>
            <w:proofErr w:type="spellEnd"/>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81</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14</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 xml:space="preserve">Peters et al. </w:t>
            </w:r>
            <w:r w:rsidR="00E8739C">
              <w:rPr>
                <w:rFonts w:ascii="Times New Roman" w:eastAsia="Arial" w:hAnsi="Times New Roman" w:cs="Times New Roman"/>
                <w:color w:val="000000" w:themeColor="text1"/>
                <w:sz w:val="20"/>
                <w:szCs w:val="20"/>
              </w:rPr>
              <w:t>[</w:t>
            </w:r>
            <w:r w:rsidRPr="00E8739C">
              <w:rPr>
                <w:rFonts w:ascii="Times New Roman" w:eastAsia="Arial" w:hAnsi="Times New Roman" w:cs="Times New Roman"/>
                <w:color w:val="000000" w:themeColor="text1"/>
                <w:sz w:val="20"/>
                <w:szCs w:val="20"/>
              </w:rPr>
              <w:fldChar w:fldCharType="begin" w:fldLock="1"/>
            </w:r>
            <w:r w:rsidRPr="00E8739C">
              <w:rPr>
                <w:rFonts w:ascii="Times New Roman" w:eastAsia="Arial" w:hAnsi="Times New Roman" w:cs="Times New Roman"/>
                <w:color w:val="000000" w:themeColor="text1"/>
                <w:sz w:val="20"/>
                <w:szCs w:val="20"/>
              </w:rPr>
              <w:instrText>ADDIN CSL_CITATION {"citationItems":[{"id":"ITEM-1","itemData":{"DOI":"10.5194/bg-9-3247-2012","ISSN":"1726-4189","author":[{"dropping-particle":"","family":"Peters","given":"G. P.","non-dropping-particle":"","parse-names":false,"suffix":""},{"dropping-particle":"","family":"Davis","given":"S. J.","non-dropping-particle":"","parse-names":false,"suffix":""},{"dropping-particle":"","family":"Andrew","given":"R.","non-dropping-particle":"","parse-names":false,"suffix":""}],"container-title":"Biogeosciences","id":"ITEM-1","issue":"8","issued":{"date-parts":[["2012","8"]]},"page":"3247-3276","title":"A synthesis of carbon in international trade","type":"article-journal","volume":"9"},"uris":["http://www.mendeley.com/documents/?uuid=13aaa07d-69fb-4d0c-b60c-c51107b8444a"]}],"mendeley":{"formattedCitation":"&lt;sup&gt;18&lt;/sup&gt;","plainTextFormattedCitation":"18","previouslyFormattedCitation":"&lt;sup&gt;18&lt;/sup&gt;"},"properties":{"noteIndex":0},"schema":"https://github.com/citation-style-language/schema/raw/master/csl-citation.json"}</w:instrText>
            </w:r>
            <w:r w:rsidRPr="00E8739C">
              <w:rPr>
                <w:rFonts w:ascii="Times New Roman" w:eastAsia="Arial" w:hAnsi="Times New Roman" w:cs="Times New Roman"/>
                <w:color w:val="000000" w:themeColor="text1"/>
                <w:sz w:val="20"/>
                <w:szCs w:val="20"/>
              </w:rPr>
              <w:fldChar w:fldCharType="separate"/>
            </w:r>
            <w:r w:rsidRPr="00E8739C">
              <w:rPr>
                <w:rFonts w:ascii="Times New Roman" w:eastAsia="Arial" w:hAnsi="Times New Roman" w:cs="Times New Roman"/>
                <w:noProof/>
                <w:color w:val="000000" w:themeColor="text1"/>
                <w:sz w:val="20"/>
                <w:szCs w:val="20"/>
              </w:rPr>
              <w:t>18</w:t>
            </w:r>
            <w:r w:rsidRPr="00E8739C">
              <w:rPr>
                <w:rFonts w:ascii="Times New Roman" w:eastAsia="Arial" w:hAnsi="Times New Roman" w:cs="Times New Roman"/>
                <w:color w:val="000000" w:themeColor="text1"/>
                <w:sz w:val="20"/>
                <w:szCs w:val="20"/>
              </w:rPr>
              <w:fldChar w:fldCharType="end"/>
            </w:r>
            <w:r w:rsidR="00E8739C">
              <w:rPr>
                <w:rFonts w:ascii="Times New Roman" w:eastAsia="Arial" w:hAnsi="Times New Roman" w:cs="Times New Roman"/>
                <w:color w:val="000000" w:themeColor="text1"/>
                <w:sz w:val="20"/>
                <w:szCs w:val="20"/>
              </w:rPr>
              <w:t>]</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20%</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vertAlign w:val="subscript"/>
              </w:rPr>
            </w:pPr>
            <w:proofErr w:type="spellStart"/>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rivers</w:t>
            </w:r>
            <w:proofErr w:type="spellEnd"/>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109</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62</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proofErr w:type="spellStart"/>
            <w:r w:rsidRPr="00E8739C">
              <w:rPr>
                <w:rFonts w:ascii="Times New Roman" w:eastAsia="Arial" w:hAnsi="Times New Roman" w:cs="Times New Roman"/>
                <w:color w:val="000000" w:themeColor="text1"/>
                <w:sz w:val="20"/>
                <w:szCs w:val="20"/>
                <w:lang w:val="fr-FR"/>
              </w:rPr>
              <w:t>Mayorga</w:t>
            </w:r>
            <w:proofErr w:type="spellEnd"/>
            <w:r w:rsidRPr="00E8739C">
              <w:rPr>
                <w:rFonts w:ascii="Times New Roman" w:eastAsia="Arial" w:hAnsi="Times New Roman" w:cs="Times New Roman"/>
                <w:color w:val="000000" w:themeColor="text1"/>
                <w:sz w:val="20"/>
                <w:szCs w:val="20"/>
                <w:lang w:val="fr-FR"/>
              </w:rPr>
              <w:t xml:space="preserve"> et al.</w:t>
            </w:r>
            <w:r w:rsidR="00E8739C" w:rsidRPr="00E8739C">
              <w:rPr>
                <w:rFonts w:ascii="Times New Roman" w:eastAsia="Arial" w:hAnsi="Times New Roman" w:cs="Times New Roman"/>
                <w:color w:val="000000" w:themeColor="text1"/>
                <w:sz w:val="20"/>
                <w:szCs w:val="20"/>
                <w:lang w:val="fr-FR"/>
              </w:rPr>
              <w:t xml:space="preserve"> [</w:t>
            </w:r>
            <w:r w:rsidRPr="00E8739C">
              <w:rPr>
                <w:rFonts w:ascii="Times New Roman" w:eastAsia="Arial" w:hAnsi="Times New Roman" w:cs="Times New Roman"/>
                <w:color w:val="000000" w:themeColor="text1"/>
                <w:sz w:val="20"/>
                <w:szCs w:val="20"/>
                <w:lang w:val="fr-FR"/>
              </w:rPr>
              <w:fldChar w:fldCharType="begin" w:fldLock="1"/>
            </w:r>
            <w:r w:rsidRPr="00E8739C">
              <w:rPr>
                <w:rFonts w:ascii="Times New Roman" w:eastAsia="Arial" w:hAnsi="Times New Roman" w:cs="Times New Roman"/>
                <w:color w:val="000000" w:themeColor="text1"/>
                <w:sz w:val="20"/>
                <w:szCs w:val="20"/>
                <w:lang w:val="fr-FR"/>
              </w:rPr>
              <w:instrText>ADDIN CSL_CITATION {"citationItems":[{"id":"ITEM-1","itemData":{"DOI":"10.1038/nature12760","ISSN":"1476-4687","PMID":"24256802","abstract":"Carbon dioxide (CO2) transfer from inland waters to the atmosphere, known as CO2 evasion, is a component of the global carbon cycle. Global estimates of CO2 evasion have been hampered, however, by the lack of a framework for estimating the inland water surface area and gas transfer velocity and by the absence of a global CO2 database. Here we report regional variations in global inland water surface area, dissolved CO2 and gas transfer velocity. We obtain global CO2 evasion rates of 1.8(+0.25)(-0.25) petagrams of carbon (Pg C) per year from streams and rivers and 0.32(+0.52)(-0.26) Pg C yr(-1) from lakes and reservoirs, where the upper and lower limits are respectively the 5th and 95th confidence interval percentiles. The resulting global evasion rate of 2.1 Pg C yr(-1) is higher than previous estimates owing to a larger stream and river evasion rate. Our analysis predicts global hotspots in stream and river evasion, with about 70 per cent of the flux occurring over just 20 per cent of the land surface. The source of inland water CO2 is still not known with certainty and new studies are needed to research the mechanisms controlling CO2 evasion globally.","author":[{"dropping-particle":"","family":"Raymond","given":"Peter A","non-dropping-particle":"","parse-names":false,"suffix":""},{"dropping-particle":"","family":"Hartmann","given":"Jens","non-dropping-particle":"","parse-names":false,"suffix":""},{"dropping-particle":"","family":"Lauerwald","given":"Ronny","non-dropping-particle":"","parse-names":false,"suffix":""},{"dropping-particle":"","family":"Sobek","given":"Sebastian","non-dropping-particle":"","parse-names":false,"suffix":""},{"dropping-particle":"","family":"McDonald","given":"Cory","non-dropping-particle":"","parse-names":false,"suffix":""},{"dropping-particle":"","family":"Hoover","given":"Mark","non-dropping-particle":"","parse-names":false,"suffix":""},{"dropping-particle":"","family":"Butman","given":"David","non-dropping-particle":"","parse-names":false,"suffix":""},{"dropping-particle":"","family":"Striegl","given":"Robert","non-dropping-particle":"","parse-names":false,"suffix":""},{"dropping-particle":"","family":"Mayorga","given":"Emilio","non-dropping-particle":"","parse-names":false,"suffix":""},{"dropping-particle":"","family":"Humborg","given":"Christoph","non-dropping-particle":"","parse-names":false,"suffix":""},{"dropping-particle":"","family":"Kortelainen","given":"Pirkko","non-dropping-particle":"","parse-names":false,"suffix":""},{"dropping-particle":"","family":"Dürr","given":"Hans","non-dropping-particle":"","parse-names":false,"suffix":""},{"dropping-particle":"","family":"Meybeck","given":"Michel","non-dropping-particle":"","parse-names":false,"suffix":""},{"dropping-particle":"","family":"Ciais","given":"Philippe","non-dropping-particle":"","parse-names":false,"suffix":""},{"dropping-particle":"","family":"Guth","given":"Peter","non-dropping-particle":"","parse-names":false,"suffix":""}],"container-title":"Nature","id":"ITEM-1","issue":"7476","issued":{"date-parts":[["2013","11"]]},"page":"355-9","title":"Global carbon dioxide emissions from inland waters.","type":"article-journal","volume":"503"},"uris":["http://www.mendeley.com/documents/?uuid=eabd41ca-221a-48b7-bf3e-392e04532f97"]}],"mendeley":{"formattedCitation":"&lt;sup&gt;27&lt;/sup&gt;","plainTextFormattedCitation":"27","previouslyFormattedCitation":"&lt;sup&gt;27&lt;/sup&gt;"},"properties":{"noteIndex":0},"schema":"https://github.com/citation-style-language/schema/raw/master/csl-citation.json"}</w:instrText>
            </w:r>
            <w:r w:rsidRPr="00E8739C">
              <w:rPr>
                <w:rFonts w:ascii="Times New Roman" w:eastAsia="Arial" w:hAnsi="Times New Roman" w:cs="Times New Roman"/>
                <w:color w:val="000000" w:themeColor="text1"/>
                <w:sz w:val="20"/>
                <w:szCs w:val="20"/>
                <w:lang w:val="fr-FR"/>
              </w:rPr>
              <w:fldChar w:fldCharType="separate"/>
            </w:r>
            <w:r w:rsidRPr="00E8739C">
              <w:rPr>
                <w:rFonts w:ascii="Times New Roman" w:eastAsia="Arial" w:hAnsi="Times New Roman" w:cs="Times New Roman"/>
                <w:noProof/>
                <w:color w:val="000000" w:themeColor="text1"/>
                <w:sz w:val="20"/>
                <w:szCs w:val="20"/>
                <w:lang w:val="fr-FR"/>
              </w:rPr>
              <w:t>27</w:t>
            </w:r>
            <w:r w:rsidRPr="00E8739C">
              <w:rPr>
                <w:rFonts w:ascii="Times New Roman" w:eastAsia="Arial" w:hAnsi="Times New Roman" w:cs="Times New Roman"/>
                <w:color w:val="000000" w:themeColor="text1"/>
                <w:sz w:val="20"/>
                <w:szCs w:val="20"/>
                <w:lang w:val="fr-FR"/>
              </w:rPr>
              <w:fldChar w:fldCharType="end"/>
            </w:r>
            <w:r w:rsidR="00E8739C">
              <w:rPr>
                <w:rFonts w:ascii="Times New Roman" w:eastAsia="Arial" w:hAnsi="Times New Roman" w:cs="Times New Roman"/>
                <w:color w:val="000000" w:themeColor="text1"/>
                <w:sz w:val="20"/>
                <w:szCs w:val="20"/>
                <w:lang w:val="fr-FR"/>
              </w:rPr>
              <w:t>]</w:t>
            </w:r>
            <w:r w:rsidRPr="00E8739C">
              <w:rPr>
                <w:rFonts w:ascii="Times New Roman" w:eastAsia="Arial" w:hAnsi="Times New Roman" w:cs="Times New Roman"/>
                <w:color w:val="000000" w:themeColor="text1"/>
                <w:sz w:val="20"/>
                <w:szCs w:val="20"/>
                <w:lang w:val="fr-FR"/>
              </w:rPr>
              <w:t>, Hartmann et al.</w:t>
            </w:r>
            <w:r w:rsidR="00E8739C">
              <w:rPr>
                <w:rFonts w:ascii="Times New Roman" w:eastAsia="Arial" w:hAnsi="Times New Roman" w:cs="Times New Roman"/>
                <w:color w:val="000000" w:themeColor="text1"/>
                <w:sz w:val="20"/>
                <w:szCs w:val="20"/>
                <w:lang w:val="fr-FR"/>
              </w:rPr>
              <w:t xml:space="preserve"> [</w:t>
            </w:r>
            <w:r w:rsidRPr="00E8739C">
              <w:rPr>
                <w:rFonts w:ascii="Times New Roman" w:eastAsia="Arial" w:hAnsi="Times New Roman" w:cs="Times New Roman"/>
                <w:color w:val="000000" w:themeColor="text1"/>
                <w:sz w:val="20"/>
                <w:szCs w:val="20"/>
                <w:lang w:val="fr-FR"/>
              </w:rPr>
              <w:fldChar w:fldCharType="begin" w:fldLock="1"/>
            </w:r>
            <w:r w:rsidRPr="00E8739C">
              <w:rPr>
                <w:rFonts w:ascii="Times New Roman" w:eastAsia="Arial" w:hAnsi="Times New Roman" w:cs="Times New Roman"/>
                <w:color w:val="000000" w:themeColor="text1"/>
                <w:sz w:val="20"/>
                <w:szCs w:val="20"/>
                <w:lang w:val="fr-FR"/>
              </w:rPr>
              <w:instrText>ADDIN CSL_CITATION {"citationItems":[{"id":"ITEM-1","itemData":{"DOI":"10.1016/j.gloplacha.2009.07.007","ISSN":"09218181","author":[{"dropping-particle":"","family":"Hartmann","given":"Jens","non-dropping-particle":"","parse-names":false,"suffix":""},{"dropping-particle":"","family":"Jansen","given":"Nils","non-dropping-particle":"","parse-names":false,"suffix":""},{"dropping-particle":"","family":"Dürr","given":"Hans H.","non-dropping-particle":"","parse-names":false,"suffix":""},{"dropping-particle":"","family":"Kempe","given":"Stephan","non-dropping-particle":"","parse-names":false,"suffix":""},{"dropping-particle":"","family":"Köhler","given":"Peter","non-dropping-particle":"","parse-names":false,"suffix":""}],"container-title":"Global and Planetary Change","id":"ITEM-1","issue":"4","issued":{"date-parts":[["2009","12"]]},"page":"185-194","publisher":"Elsevier B.V.","title":"Global CO2-consumption by chemical weathering: What is the contribution of highly active weathering regions?","type":"article-journal","volume":"69"},"uris":["http://www.mendeley.com/documents/?uuid=4a8d7207-51b7-4109-a3fa-6767f56cccc0"]}],"mendeley":{"formattedCitation":"&lt;sup&gt;20&lt;/sup&gt;","plainTextFormattedCitation":"20","previouslyFormattedCitation":"&lt;sup&gt;20&lt;/sup&gt;"},"properties":{"noteIndex":0},"schema":"https://github.com/citation-style-language/schema/raw/master/csl-citation.json"}</w:instrText>
            </w:r>
            <w:r w:rsidRPr="00E8739C">
              <w:rPr>
                <w:rFonts w:ascii="Times New Roman" w:eastAsia="Arial" w:hAnsi="Times New Roman" w:cs="Times New Roman"/>
                <w:color w:val="000000" w:themeColor="text1"/>
                <w:sz w:val="20"/>
                <w:szCs w:val="20"/>
                <w:lang w:val="fr-FR"/>
              </w:rPr>
              <w:fldChar w:fldCharType="separate"/>
            </w:r>
            <w:r w:rsidRPr="00E8739C">
              <w:rPr>
                <w:rFonts w:ascii="Times New Roman" w:eastAsia="Arial" w:hAnsi="Times New Roman" w:cs="Times New Roman"/>
                <w:noProof/>
                <w:color w:val="000000" w:themeColor="text1"/>
                <w:sz w:val="20"/>
                <w:szCs w:val="20"/>
                <w:lang w:val="fr-FR"/>
              </w:rPr>
              <w:t>20</w:t>
            </w:r>
            <w:r w:rsidRPr="00E8739C">
              <w:rPr>
                <w:rFonts w:ascii="Times New Roman" w:eastAsia="Arial" w:hAnsi="Times New Roman" w:cs="Times New Roman"/>
                <w:color w:val="000000" w:themeColor="text1"/>
                <w:sz w:val="20"/>
                <w:szCs w:val="20"/>
                <w:lang w:val="fr-FR"/>
              </w:rPr>
              <w:fldChar w:fldCharType="end"/>
            </w:r>
            <w:r w:rsidR="00E8739C">
              <w:rPr>
                <w:rFonts w:ascii="Times New Roman" w:eastAsia="Arial" w:hAnsi="Times New Roman" w:cs="Times New Roman"/>
                <w:color w:val="000000" w:themeColor="text1"/>
                <w:sz w:val="20"/>
                <w:szCs w:val="20"/>
                <w:lang w:val="fr-FR"/>
              </w:rPr>
              <w:t>]</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 xml:space="preserve">50% </w:t>
            </w:r>
            <w:r w:rsidR="00E8739C" w:rsidRPr="00E8739C">
              <w:rPr>
                <w:rFonts w:ascii="Times New Roman" w:eastAsia="Arial" w:hAnsi="Times New Roman" w:cs="Times New Roman"/>
                <w:color w:val="000000" w:themeColor="text1"/>
                <w:sz w:val="20"/>
                <w:szCs w:val="20"/>
                <w:vertAlign w:val="superscript"/>
              </w:rPr>
              <w:t>b</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NEE</w:t>
            </w:r>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-169</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186</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Equation (1)</w:t>
            </w:r>
          </w:p>
        </w:tc>
        <w:tc>
          <w:tcPr>
            <w:tcW w:w="2004" w:type="dxa"/>
            <w:shd w:val="clear" w:color="auto" w:fill="auto"/>
            <w:tcMar>
              <w:top w:w="100" w:type="dxa"/>
              <w:left w:w="100" w:type="dxa"/>
              <w:bottom w:w="100" w:type="dxa"/>
              <w:right w:w="100" w:type="dxa"/>
            </w:tcMar>
            <w:vAlign w:val="center"/>
          </w:tcPr>
          <w:p w:rsidR="00F6749E" w:rsidRPr="00E8739C" w:rsidRDefault="00E8739C" w:rsidP="00E8739C">
            <w:pPr>
              <w:widowControl w:val="0"/>
              <w:rPr>
                <w:rFonts w:ascii="Times New Roman" w:eastAsia="Arial" w:hAnsi="Times New Roman" w:cs="Times New Roman"/>
                <w:color w:val="000000" w:themeColor="text1"/>
                <w:sz w:val="20"/>
                <w:szCs w:val="20"/>
                <w:vertAlign w:val="superscript"/>
              </w:rPr>
            </w:pPr>
            <w:r w:rsidRPr="00E8739C">
              <w:rPr>
                <w:rFonts w:ascii="Times New Roman" w:eastAsia="Arial" w:hAnsi="Times New Roman" w:cs="Times New Roman"/>
                <w:color w:val="000000" w:themeColor="text1"/>
                <w:sz w:val="20"/>
                <w:szCs w:val="20"/>
                <w:vertAlign w:val="superscript"/>
              </w:rPr>
              <w:t>c</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vertAlign w:val="subscript"/>
              </w:rPr>
            </w:pPr>
            <w:proofErr w:type="spellStart"/>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crop</w:t>
            </w:r>
            <w:proofErr w:type="spellEnd"/>
            <w:r w:rsidRPr="00E8739C">
              <w:rPr>
                <w:rFonts w:ascii="Times New Roman" w:eastAsia="Arial" w:hAnsi="Times New Roman" w:cs="Times New Roman"/>
                <w:color w:val="000000" w:themeColor="text1"/>
                <w:sz w:val="20"/>
                <w:szCs w:val="20"/>
                <w:vertAlign w:val="subscript"/>
              </w:rPr>
              <w:t xml:space="preserve"> products</w:t>
            </w:r>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153</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31</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 xml:space="preserve">Peters et al. </w:t>
            </w:r>
            <w:r w:rsidR="00E8739C">
              <w:rPr>
                <w:rFonts w:ascii="Times New Roman" w:eastAsia="Arial" w:hAnsi="Times New Roman" w:cs="Times New Roman"/>
                <w:color w:val="000000" w:themeColor="text1"/>
                <w:sz w:val="20"/>
                <w:szCs w:val="20"/>
              </w:rPr>
              <w:t>[</w:t>
            </w:r>
            <w:r w:rsidRPr="00E8739C">
              <w:rPr>
                <w:rFonts w:ascii="Times New Roman" w:eastAsia="Arial" w:hAnsi="Times New Roman" w:cs="Times New Roman"/>
                <w:color w:val="000000" w:themeColor="text1"/>
                <w:sz w:val="20"/>
                <w:szCs w:val="20"/>
              </w:rPr>
              <w:fldChar w:fldCharType="begin" w:fldLock="1"/>
            </w:r>
            <w:r w:rsidRPr="00E8739C">
              <w:rPr>
                <w:rFonts w:ascii="Times New Roman" w:eastAsia="Arial" w:hAnsi="Times New Roman" w:cs="Times New Roman"/>
                <w:color w:val="000000" w:themeColor="text1"/>
                <w:sz w:val="20"/>
                <w:szCs w:val="20"/>
              </w:rPr>
              <w:instrText>ADDIN CSL_CITATION {"citationItems":[{"id":"ITEM-1","itemData":{"DOI":"10.5194/bg-9-3247-2012","ISSN":"1726-4189","author":[{"dropping-particle":"","family":"Peters","given":"G. P.","non-dropping-particle":"","parse-names":false,"suffix":""},{"dropping-particle":"","family":"Davis","given":"S. J.","non-dropping-particle":"","parse-names":false,"suffix":""},{"dropping-particle":"","family":"Andrew","given":"R.","non-dropping-particle":"","parse-names":false,"suffix":""}],"container-title":"Biogeosciences","id":"ITEM-1","issue":"8","issued":{"date-parts":[["2012","8"]]},"page":"3247-3276","title":"A synthesis of carbon in international trade","type":"article-journal","volume":"9"},"uris":["http://www.mendeley.com/documents/?uuid=13aaa07d-69fb-4d0c-b60c-c51107b8444a"]}],"mendeley":{"formattedCitation":"&lt;sup&gt;18&lt;/sup&gt;","plainTextFormattedCitation":"18","previouslyFormattedCitation":"&lt;sup&gt;18&lt;/sup&gt;"},"properties":{"noteIndex":0},"schema":"https://github.com/citation-style-language/schema/raw/master/csl-citation.json"}</w:instrText>
            </w:r>
            <w:r w:rsidRPr="00E8739C">
              <w:rPr>
                <w:rFonts w:ascii="Times New Roman" w:eastAsia="Arial" w:hAnsi="Times New Roman" w:cs="Times New Roman"/>
                <w:color w:val="000000" w:themeColor="text1"/>
                <w:sz w:val="20"/>
                <w:szCs w:val="20"/>
              </w:rPr>
              <w:fldChar w:fldCharType="separate"/>
            </w:r>
            <w:r w:rsidRPr="00E8739C">
              <w:rPr>
                <w:rFonts w:ascii="Times New Roman" w:eastAsia="Arial" w:hAnsi="Times New Roman" w:cs="Times New Roman"/>
                <w:noProof/>
                <w:color w:val="000000" w:themeColor="text1"/>
                <w:sz w:val="20"/>
                <w:szCs w:val="20"/>
              </w:rPr>
              <w:t>18</w:t>
            </w:r>
            <w:r w:rsidRPr="00E8739C">
              <w:rPr>
                <w:rFonts w:ascii="Times New Roman" w:eastAsia="Arial" w:hAnsi="Times New Roman" w:cs="Times New Roman"/>
                <w:color w:val="000000" w:themeColor="text1"/>
                <w:sz w:val="20"/>
                <w:szCs w:val="20"/>
              </w:rPr>
              <w:fldChar w:fldCharType="end"/>
            </w:r>
            <w:r w:rsidR="00E8739C">
              <w:rPr>
                <w:rFonts w:ascii="Times New Roman" w:eastAsia="Arial" w:hAnsi="Times New Roman" w:cs="Times New Roman"/>
                <w:color w:val="000000" w:themeColor="text1"/>
                <w:sz w:val="20"/>
                <w:szCs w:val="20"/>
              </w:rPr>
              <w:t>]</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20%</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vertAlign w:val="subscript"/>
              </w:rPr>
            </w:pPr>
            <w:proofErr w:type="spellStart"/>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wood</w:t>
            </w:r>
            <w:proofErr w:type="spellEnd"/>
            <w:r w:rsidRPr="00E8739C">
              <w:rPr>
                <w:rFonts w:ascii="Times New Roman" w:eastAsia="Arial" w:hAnsi="Times New Roman" w:cs="Times New Roman"/>
                <w:color w:val="000000" w:themeColor="text1"/>
                <w:sz w:val="20"/>
                <w:szCs w:val="20"/>
                <w:vertAlign w:val="subscript"/>
              </w:rPr>
              <w:t xml:space="preserve"> products</w:t>
            </w:r>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61</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16</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 xml:space="preserve">Bookkeeping model (see </w:t>
            </w:r>
            <w:r w:rsidR="00E8739C">
              <w:rPr>
                <w:rFonts w:ascii="Times New Roman" w:eastAsia="Arial" w:hAnsi="Times New Roman" w:cs="Times New Roman"/>
                <w:color w:val="000000" w:themeColor="text1"/>
                <w:sz w:val="20"/>
                <w:szCs w:val="20"/>
              </w:rPr>
              <w:t>M</w:t>
            </w:r>
            <w:r w:rsidRPr="00E8739C">
              <w:rPr>
                <w:rFonts w:ascii="Times New Roman" w:eastAsia="Arial" w:hAnsi="Times New Roman" w:cs="Times New Roman"/>
                <w:color w:val="000000" w:themeColor="text1"/>
                <w:sz w:val="20"/>
                <w:szCs w:val="20"/>
              </w:rPr>
              <w:t xml:space="preserve">ethods) for wood products decay, Wang et al. for wood burned in power plant and industry </w:t>
            </w:r>
          </w:p>
        </w:tc>
        <w:tc>
          <w:tcPr>
            <w:tcW w:w="2004" w:type="dxa"/>
            <w:shd w:val="clear" w:color="auto" w:fill="auto"/>
            <w:tcMar>
              <w:top w:w="100" w:type="dxa"/>
              <w:left w:w="100" w:type="dxa"/>
              <w:bottom w:w="100" w:type="dxa"/>
              <w:right w:w="100" w:type="dxa"/>
            </w:tcMar>
            <w:vAlign w:val="center"/>
          </w:tcPr>
          <w:p w:rsidR="00F6749E" w:rsidRPr="00E8739C" w:rsidRDefault="00E8739C" w:rsidP="00E8739C">
            <w:pPr>
              <w:widowControl w:val="0"/>
              <w:rPr>
                <w:rFonts w:ascii="Times New Roman" w:eastAsia="Arial" w:hAnsi="Times New Roman" w:cs="Times New Roman"/>
                <w:color w:val="000000" w:themeColor="text1"/>
                <w:sz w:val="20"/>
                <w:szCs w:val="20"/>
                <w:vertAlign w:val="superscript"/>
              </w:rPr>
            </w:pPr>
            <w:r w:rsidRPr="00E8739C">
              <w:rPr>
                <w:rFonts w:ascii="Times New Roman" w:eastAsia="Arial" w:hAnsi="Times New Roman" w:cs="Times New Roman"/>
                <w:color w:val="000000" w:themeColor="text1"/>
                <w:sz w:val="20"/>
                <w:szCs w:val="20"/>
                <w:vertAlign w:val="superscript"/>
              </w:rPr>
              <w:t>d</w:t>
            </w:r>
          </w:p>
        </w:tc>
      </w:tr>
      <w:tr w:rsidR="00F6749E" w:rsidRPr="00E8739C" w:rsidTr="00E8739C">
        <w:trPr>
          <w:trHeight w:val="48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vertAlign w:val="subscript"/>
              </w:rPr>
            </w:pPr>
            <w:proofErr w:type="spellStart"/>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grazing</w:t>
            </w:r>
            <w:proofErr w:type="spellEnd"/>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23</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5</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This study (see Methods)</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20%</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proofErr w:type="spellStart"/>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fires</w:t>
            </w:r>
            <w:proofErr w:type="spellEnd"/>
            <w:r w:rsidRPr="00E8739C">
              <w:rPr>
                <w:rFonts w:ascii="Times New Roman" w:eastAsia="Arial" w:hAnsi="Times New Roman" w:cs="Times New Roman"/>
                <w:color w:val="000000" w:themeColor="text1"/>
                <w:sz w:val="20"/>
                <w:szCs w:val="20"/>
                <w:vertAlign w:val="subscript"/>
              </w:rPr>
              <w:t xml:space="preserve"> GFED</w:t>
            </w:r>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102</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49</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lang w:val="nl-NL"/>
              </w:rPr>
              <w:t xml:space="preserve">Van der Werf et al. </w:t>
            </w:r>
            <w:r w:rsidR="00E8739C" w:rsidRPr="00E8739C">
              <w:rPr>
                <w:rFonts w:ascii="Times New Roman" w:eastAsia="Arial" w:hAnsi="Times New Roman" w:cs="Times New Roman"/>
                <w:color w:val="000000" w:themeColor="text1"/>
                <w:sz w:val="20"/>
                <w:szCs w:val="20"/>
                <w:vertAlign w:val="superscript"/>
              </w:rPr>
              <w:t>e</w:t>
            </w:r>
            <w:r w:rsidRPr="00E8739C">
              <w:rPr>
                <w:rFonts w:ascii="Times New Roman" w:eastAsia="Arial" w:hAnsi="Times New Roman" w:cs="Times New Roman"/>
                <w:color w:val="000000" w:themeColor="text1"/>
                <w:sz w:val="20"/>
                <w:szCs w:val="20"/>
              </w:rPr>
              <w:t xml:space="preserve"> </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see Methods</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proofErr w:type="spellStart"/>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fires</w:t>
            </w:r>
            <w:proofErr w:type="spellEnd"/>
            <w:r w:rsidRPr="00E8739C">
              <w:rPr>
                <w:rFonts w:ascii="Times New Roman" w:eastAsia="Arial" w:hAnsi="Times New Roman" w:cs="Times New Roman"/>
                <w:color w:val="000000" w:themeColor="text1"/>
                <w:sz w:val="20"/>
                <w:szCs w:val="20"/>
                <w:vertAlign w:val="subscript"/>
              </w:rPr>
              <w:t xml:space="preserve"> GFAS</w:t>
            </w:r>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106</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32</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lang w:val="fr-FR"/>
              </w:rPr>
            </w:pPr>
            <w:r w:rsidRPr="00E8739C">
              <w:rPr>
                <w:rFonts w:ascii="Times New Roman" w:eastAsia="Arial" w:hAnsi="Times New Roman" w:cs="Times New Roman"/>
                <w:color w:val="000000" w:themeColor="text1"/>
                <w:sz w:val="20"/>
                <w:szCs w:val="20"/>
                <w:lang w:val="fr-FR"/>
              </w:rPr>
              <w:t xml:space="preserve">Di Giuseppe et al. </w:t>
            </w:r>
            <w:r w:rsidR="00E8739C" w:rsidRPr="00E8739C">
              <w:rPr>
                <w:rFonts w:ascii="Times New Roman" w:eastAsia="Arial" w:hAnsi="Times New Roman" w:cs="Times New Roman"/>
                <w:color w:val="000000" w:themeColor="text1"/>
                <w:sz w:val="20"/>
                <w:szCs w:val="20"/>
                <w:vertAlign w:val="superscript"/>
                <w:lang w:val="fr-FR"/>
              </w:rPr>
              <w:t>e</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see Methods</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vertAlign w:val="subscript"/>
              </w:rPr>
            </w:pPr>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 xml:space="preserve">LUC RECCAP  </w:t>
            </w:r>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350</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130</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highlight w:val="yellow"/>
              </w:rPr>
            </w:pPr>
            <w:proofErr w:type="spellStart"/>
            <w:r w:rsidRPr="00E8739C">
              <w:rPr>
                <w:rFonts w:ascii="Times New Roman" w:eastAsia="Arial" w:hAnsi="Times New Roman" w:cs="Times New Roman"/>
                <w:color w:val="000000" w:themeColor="text1"/>
                <w:sz w:val="20"/>
                <w:szCs w:val="20"/>
              </w:rPr>
              <w:t>Cervarich</w:t>
            </w:r>
            <w:proofErr w:type="spellEnd"/>
            <w:r w:rsidRPr="00E8739C">
              <w:rPr>
                <w:rFonts w:ascii="Times New Roman" w:eastAsia="Arial" w:hAnsi="Times New Roman" w:cs="Times New Roman"/>
                <w:color w:val="000000" w:themeColor="text1"/>
                <w:sz w:val="20"/>
                <w:szCs w:val="20"/>
              </w:rPr>
              <w:t xml:space="preserve"> et al </w:t>
            </w:r>
            <w:r w:rsidR="00E8739C">
              <w:rPr>
                <w:rFonts w:ascii="Times New Roman" w:eastAsia="Arial" w:hAnsi="Times New Roman" w:cs="Times New Roman"/>
                <w:color w:val="000000" w:themeColor="text1"/>
                <w:sz w:val="20"/>
                <w:szCs w:val="20"/>
              </w:rPr>
              <w:t>[</w:t>
            </w:r>
            <w:r w:rsidRPr="00E8739C">
              <w:rPr>
                <w:rFonts w:ascii="Times New Roman" w:eastAsia="Arial" w:hAnsi="Times New Roman" w:cs="Times New Roman"/>
                <w:color w:val="000000" w:themeColor="text1"/>
                <w:sz w:val="20"/>
                <w:szCs w:val="20"/>
              </w:rPr>
              <w:fldChar w:fldCharType="begin" w:fldLock="1"/>
            </w:r>
            <w:r w:rsidRPr="00E8739C">
              <w:rPr>
                <w:rFonts w:ascii="Times New Roman" w:eastAsia="Arial" w:hAnsi="Times New Roman" w:cs="Times New Roman"/>
                <w:color w:val="000000" w:themeColor="text1"/>
                <w:sz w:val="20"/>
                <w:szCs w:val="20"/>
              </w:rPr>
              <w:instrText>ADDIN CSL_CITATION {"citationItems":[{"id":"ITEM-1","itemData":{"DOI":"10.1088/1748-9326/11/10/105006","ISSN":"1748-9326","author":[{"dropping-particle":"","family":"Cervarich","given":"Matthew","non-dropping-particle":"","parse-names":false,"suffix":""},{"dropping-particle":"","family":"Shu","given":"Shijie","non-dropping-particle":"","parse-names":false,"suffix":""},{"dropping-particle":"","family":"Jain","given":"Atul K","non-dropping-particle":"","parse-names":false,"suffix":""},{"dropping-particle":"","family":"Arneth","given":"Almut","non-dropping-particle":"","parse-names":false,"suffix":""},{"dropping-particle":"","family":"Canadell","given":"Josep","non-dropping-particle":"","parse-names":false,"suffix":""},{"dropping-particle":"","family":"Friedlingstein","given":"Pierre","non-dropping-particle":"","parse-names":false,"suffix":""},{"dropping-particle":"","family":"Houghton","given":"Richard A","non-dropping-particle":"","parse-names":false,"suffix":""},{"dropping-particle":"","family":"Kato","given":"Etsushi","non-dropping-particle":"","parse-names":false,"suffix":""},{"dropping-particle":"","family":"Koven","given":"Charles","non-dropping-particle":"","parse-names":false,"suffix":""},{"dropping-particle":"","family":"Patra","given":"Prabir","non-dropping-particle":"","parse-names":false,"suffix":""},{"dropping-particle":"","family":"Poulter","given":"Ben","non-dropping-particle":"","parse-names":false,"suffix":""},{"dropping-particle":"","family":"Sitch","given":"Stephen","non-dropping-particle":"","parse-names":false,"suffix":""},{"dropping-particle":"","family":"Stocker","given":"Beni","non-dropping-particle":"","parse-names":false,"suffix":""},{"dropping-particle":"","family":"Viovy","given":"Nicolas","non-dropping-particle":"","parse-names":false,"suffix":""},{"dropping-particle":"","family":"Wiltshire","given":"Andy","non-dropping-particle":"","parse-names":false,"suffix":""},{"dropping-particle":"","family":"Zeng","given":"Ning","non-dropping-particle":"","parse-names":false,"suffix":""}],"container-title":"Environmental Research Letters","id":"ITEM-1","issue":"10","issued":{"date-parts":[["2016","10","1"]]},"page":"105006","title":"The terrestrial carbon budget of South and Southeast Asia","type":"article-journal","volume":"11"},"uris":["http://www.mendeley.com/documents/?uuid=d59c2c86-e07f-31f1-9aa8-0fc8d4177409"]}],"mendeley":{"formattedCitation":"&lt;sup&gt;14&lt;/sup&gt;","plainTextFormattedCitation":"14","previouslyFormattedCitation":"&lt;sup&gt;14&lt;/sup&gt;"},"properties":{"noteIndex":0},"schema":"https://github.com/citation-style-language/schema/raw/master/csl-citation.json"}</w:instrText>
            </w:r>
            <w:r w:rsidRPr="00E8739C">
              <w:rPr>
                <w:rFonts w:ascii="Times New Roman" w:eastAsia="Arial" w:hAnsi="Times New Roman" w:cs="Times New Roman"/>
                <w:color w:val="000000" w:themeColor="text1"/>
                <w:sz w:val="20"/>
                <w:szCs w:val="20"/>
              </w:rPr>
              <w:fldChar w:fldCharType="separate"/>
            </w:r>
            <w:r w:rsidRPr="00E8739C">
              <w:rPr>
                <w:rFonts w:ascii="Times New Roman" w:eastAsia="Arial" w:hAnsi="Times New Roman" w:cs="Times New Roman"/>
                <w:noProof/>
                <w:color w:val="000000" w:themeColor="text1"/>
                <w:sz w:val="20"/>
                <w:szCs w:val="20"/>
              </w:rPr>
              <w:t>14</w:t>
            </w:r>
            <w:r w:rsidRPr="00E8739C">
              <w:rPr>
                <w:rFonts w:ascii="Times New Roman" w:eastAsia="Arial" w:hAnsi="Times New Roman" w:cs="Times New Roman"/>
                <w:color w:val="000000" w:themeColor="text1"/>
                <w:sz w:val="20"/>
                <w:szCs w:val="20"/>
              </w:rPr>
              <w:fldChar w:fldCharType="end"/>
            </w:r>
            <w:r w:rsidR="00E8739C">
              <w:rPr>
                <w:rFonts w:ascii="Times New Roman" w:eastAsia="Arial" w:hAnsi="Times New Roman" w:cs="Times New Roman"/>
                <w:color w:val="000000" w:themeColor="text1"/>
                <w:sz w:val="20"/>
                <w:szCs w:val="20"/>
              </w:rPr>
              <w:t>]</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proofErr w:type="spellStart"/>
            <w:r w:rsidRPr="00E8739C">
              <w:rPr>
                <w:rFonts w:ascii="Times New Roman" w:eastAsia="Arial" w:hAnsi="Times New Roman" w:cs="Times New Roman"/>
                <w:color w:val="000000" w:themeColor="text1"/>
                <w:sz w:val="20"/>
                <w:szCs w:val="20"/>
              </w:rPr>
              <w:t>Cervarich</w:t>
            </w:r>
            <w:proofErr w:type="spellEnd"/>
            <w:r w:rsidRPr="00E8739C">
              <w:rPr>
                <w:rFonts w:ascii="Times New Roman" w:eastAsia="Arial" w:hAnsi="Times New Roman" w:cs="Times New Roman"/>
                <w:color w:val="000000" w:themeColor="text1"/>
                <w:sz w:val="20"/>
                <w:szCs w:val="20"/>
              </w:rPr>
              <w:t xml:space="preserve"> et al</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vertAlign w:val="subscript"/>
              </w:rPr>
            </w:pPr>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LUC BLUE</w:t>
            </w:r>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234</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17</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highlight w:val="yellow"/>
              </w:rPr>
            </w:pPr>
            <w:proofErr w:type="spellStart"/>
            <w:r w:rsidRPr="00E8739C">
              <w:rPr>
                <w:rFonts w:ascii="Times New Roman" w:eastAsia="Arial" w:hAnsi="Times New Roman" w:cs="Times New Roman"/>
                <w:color w:val="000000" w:themeColor="text1"/>
                <w:sz w:val="20"/>
                <w:szCs w:val="20"/>
                <w:highlight w:val="white"/>
              </w:rPr>
              <w:t>Hansis</w:t>
            </w:r>
            <w:proofErr w:type="spellEnd"/>
            <w:r w:rsidRPr="00E8739C">
              <w:rPr>
                <w:rFonts w:ascii="Times New Roman" w:eastAsia="Arial" w:hAnsi="Times New Roman" w:cs="Times New Roman"/>
                <w:color w:val="000000" w:themeColor="text1"/>
                <w:sz w:val="20"/>
                <w:szCs w:val="20"/>
                <w:highlight w:val="white"/>
              </w:rPr>
              <w:t xml:space="preserve"> et al. </w:t>
            </w:r>
            <w:r w:rsidR="00E8739C">
              <w:rPr>
                <w:rFonts w:ascii="Times New Roman" w:eastAsia="Arial" w:hAnsi="Times New Roman" w:cs="Times New Roman"/>
                <w:color w:val="000000" w:themeColor="text1"/>
                <w:sz w:val="20"/>
                <w:szCs w:val="20"/>
                <w:highlight w:val="white"/>
              </w:rPr>
              <w:t>[</w:t>
            </w:r>
            <w:r w:rsidRPr="00E8739C">
              <w:rPr>
                <w:rFonts w:ascii="Times New Roman" w:eastAsia="Arial" w:hAnsi="Times New Roman" w:cs="Times New Roman"/>
                <w:color w:val="000000" w:themeColor="text1"/>
                <w:sz w:val="20"/>
                <w:szCs w:val="20"/>
                <w:highlight w:val="white"/>
                <w:lang w:val="fr-FR"/>
              </w:rPr>
              <w:fldChar w:fldCharType="begin" w:fldLock="1"/>
            </w:r>
            <w:r w:rsidRPr="00E8739C">
              <w:rPr>
                <w:rFonts w:ascii="Times New Roman" w:eastAsia="Arial" w:hAnsi="Times New Roman" w:cs="Times New Roman"/>
                <w:color w:val="000000" w:themeColor="text1"/>
                <w:sz w:val="20"/>
                <w:szCs w:val="20"/>
                <w:highlight w:val="white"/>
              </w:rPr>
              <w:instrText>ADDIN CSL_CITATION {"citationItems":[{"id":"ITEM-1","itemData":{"DOI":"10.1002/2014GB004997","ISSN":"0886-6236","abstract":"Abstract Accounting for carbon fluxes from land use and land cover change (LULCC) generally requires choosing from multiple options of how to attribute the fluxes to regions and to LULCC activities. Applying a newly developed and spatially explicit bookkeeping model BLUE (bookkeeping of land use emissions), we quantify LULCC fluxes and attribute them to land use activities and countries by a range of different accounting methods. We present results with respect to a Kyoto Protocol-like ?commitment? accounting period, using land use emissions of 2008?2012 as an example scenario. We assess the effect of accounting methods that vary (1) the temporal evolution of carbon stocks, (2) the state of the carbon stocks at the beginning of the period, (3) the temporal attribution of carbon fluxes during the period, and (4) treatment of LULCC fluxes that occurred prior to the beginning of the period. We show that the methodological choices result in grossly different estimates of carbon fluxes for the different attribution definitions.","author":[{"dropping-particle":"","family":"Hansis","given":"Eberhard","non-dropping-particle":"","parse-names":false,"suffix":""},{"dropping-particle":"","family":"Davis","given":"Steven J","non-dropping-particle":"","parse-names":false,"suffix":""},{"dropping-particle":"","family":"Pongratz","given":"Julia","non-dropping-particle":"","parse-names":false,"suffix":""}],"container-title":"Global Biogeochemical Cycles","id":"ITEM-1","issue":"8","issued":{"date-parts":[["2015","8","1"]]},"note":"doi: 10.1002/2014GB004997","page":"1230-1246","publisher":"John Wiley &amp; Sons, Ltd","title":"Relevance of methodological choices for accounting of land use change carbon fluxes","type":"speech","volume":"29"},"uris":["http://www.mendeley.com/documents/?uuid=554da27d-80b9-47d4-93f9-30dc5af8fd94"]}],"mendeley":{"formattedCitation":"&lt;sup&gt;66&lt;/sup&gt;","plainTextFormattedCitation":"66","previouslyFormattedCitation":"&lt;sup&gt;66&lt;/sup&gt;"},"properties":{"noteIndex":0},"schema":"https://github.com/citation-style-language/schema/raw/master/csl-citation.json"}</w:instrText>
            </w:r>
            <w:r w:rsidRPr="00E8739C">
              <w:rPr>
                <w:rFonts w:ascii="Times New Roman" w:eastAsia="Arial" w:hAnsi="Times New Roman" w:cs="Times New Roman"/>
                <w:color w:val="000000" w:themeColor="text1"/>
                <w:sz w:val="20"/>
                <w:szCs w:val="20"/>
                <w:highlight w:val="white"/>
                <w:lang w:val="fr-FR"/>
              </w:rPr>
              <w:fldChar w:fldCharType="separate"/>
            </w:r>
            <w:r w:rsidRPr="00E8739C">
              <w:rPr>
                <w:rFonts w:ascii="Times New Roman" w:eastAsia="Arial" w:hAnsi="Times New Roman" w:cs="Times New Roman"/>
                <w:noProof/>
                <w:color w:val="000000" w:themeColor="text1"/>
                <w:sz w:val="20"/>
                <w:szCs w:val="20"/>
                <w:highlight w:val="white"/>
              </w:rPr>
              <w:t>66</w:t>
            </w:r>
            <w:r w:rsidRPr="00E8739C">
              <w:rPr>
                <w:rFonts w:ascii="Times New Roman" w:eastAsia="Arial" w:hAnsi="Times New Roman" w:cs="Times New Roman"/>
                <w:color w:val="000000" w:themeColor="text1"/>
                <w:sz w:val="20"/>
                <w:szCs w:val="20"/>
                <w:highlight w:val="white"/>
                <w:lang w:val="fr-FR"/>
              </w:rPr>
              <w:fldChar w:fldCharType="end"/>
            </w:r>
            <w:r w:rsidR="00E8739C" w:rsidRPr="001D7FE4">
              <w:rPr>
                <w:rFonts w:ascii="Times New Roman" w:eastAsia="Arial" w:hAnsi="Times New Roman" w:cs="Times New Roman"/>
                <w:color w:val="000000" w:themeColor="text1"/>
                <w:sz w:val="20"/>
                <w:szCs w:val="20"/>
                <w:highlight w:val="white"/>
              </w:rPr>
              <w:t>]</w:t>
            </w:r>
            <w:r w:rsidRPr="00E8739C">
              <w:rPr>
                <w:rFonts w:ascii="Times New Roman" w:eastAsia="Arial" w:hAnsi="Times New Roman" w:cs="Times New Roman"/>
                <w:color w:val="000000" w:themeColor="text1"/>
                <w:sz w:val="20"/>
                <w:szCs w:val="20"/>
                <w:highlight w:val="white"/>
              </w:rPr>
              <w:t xml:space="preserve"> updated in ref. </w:t>
            </w:r>
            <w:r w:rsidR="00E8739C">
              <w:rPr>
                <w:rFonts w:ascii="Times New Roman" w:eastAsia="Arial" w:hAnsi="Times New Roman" w:cs="Times New Roman"/>
                <w:color w:val="000000" w:themeColor="text1"/>
                <w:sz w:val="20"/>
                <w:szCs w:val="20"/>
                <w:highlight w:val="white"/>
              </w:rPr>
              <w:t>[</w:t>
            </w:r>
            <w:r w:rsidRPr="00E8739C">
              <w:rPr>
                <w:rFonts w:ascii="Times New Roman" w:eastAsia="Arial" w:hAnsi="Times New Roman" w:cs="Times New Roman"/>
                <w:color w:val="000000" w:themeColor="text1"/>
                <w:sz w:val="20"/>
                <w:szCs w:val="20"/>
                <w:highlight w:val="white"/>
                <w:lang w:val="fr-FR"/>
              </w:rPr>
              <w:fldChar w:fldCharType="begin" w:fldLock="1"/>
            </w:r>
            <w:r w:rsidRPr="00E8739C">
              <w:rPr>
                <w:rFonts w:ascii="Times New Roman" w:eastAsia="Arial" w:hAnsi="Times New Roman" w:cs="Times New Roman"/>
                <w:color w:val="000000" w:themeColor="text1"/>
                <w:sz w:val="20"/>
                <w:szCs w:val="20"/>
                <w:highlight w:val="white"/>
              </w:rPr>
              <w:instrText>ADDIN CSL_CITATION {"citationItems":[{"id":"ITEM-1","itemData":{"DOI":"10.5194/essd-10-2141-2018","ISSN":"1866-3516","abstract":"&lt;p&gt;&lt;![CDATA[Abstract. Accurate assessment of anthropogenic carbon dioxide (CO2) emissions and their redistribution among the atmosphere, ocean, and terrestrial biosphere – the “global carbon budget” – is important to better understand the global carbon cycle, support the development of climate policies, and project future climate change. Here we describe data sets and methodology to quantify the five major components of the global carbon budget and their uncertainties. Fossil CO2 emissions (EFF) are based on energy statistics and cement production data, while emissions from land use and land-use change (ELUC), mainly deforestation, are based on land use and land-use change data and bookkeeping models. Atmospheric CO2 concentration is measured directly and its growth rate (GATM) is computed from the annual changes in concentration. The ocean CO2 sink (SOCEAN) and terrestrial CO2 sink (SLAND) are estimated with global process models constrained by observations. The resulting carbon budget imbalance (BIM), the difference between the estimated total emissions and the estimated changes in the atmosphere, ocean, and terrestrial biosphere, is a measure of imperfect data and understanding of the contemporary carbon cycle. All uncertainties are reported as ±1σ. For the last decade available (2008–2017), EFF was 9.4±0.5 GtC yr−1, ELUC 1.5±0.7 GtC yr−1, GATM 4.7±0.02 GtC yr−1, SOCEAN 2.4±0.5 GtC yr−1, and SLAND 3.2±0.8 GtC yr−1, with a budget imbalance BIM of 0.5 GtC yr−1 indicating overestimated emissions and/or underestimated sinks. For the year 2017 alone, the growth in EFF was about 1.6 % and emissions increased to 9.9±0.5 GtC yr−1. Also for 2017, ELUC was 1.4±0.7 GtC yr−1, GATM was 4.6±0.2 GtC yr−1, SOCEAN was 2.5±0.5 GtC yr−1, and SLAND was 3.8±0.8 GtC yr−1, with a BIM of 0.3 GtC. The global atmospheric CO2 concentration reached 405.0±0.1 ppm averaged over 2017. For 2018, preliminary data for the first 6–9 months indicate a renewed growth in EFF of +2.7 % (range of 1.8 % to 3.7 %) based on national emission projections for China, the US, the EU, and India and projections of gross domestic product corrected for recent changes in the carbon intensity of the economy for the rest of the world. The analysis presented here shows that the mean and trend in the five components of the global carbon budget are consistently estimated over the period of 1959–2017, but discrepancies of up to 1 GtC yr−1 persist for the representation of semi-decadal variability in CO2 flu…","author":[{"dropping-particle":"","family":"Quéré","given":"Corinne","non-dropping-particle":"Le","parse-names":false,"suffix":""},{"dropping-particle":"","family":"Andrew","given":"Robbie M.","non-dropping-particle":"","parse-names":false,"suffix":""},{"dropping-particle":"","family":"Friedlingstein","given":"Pierre","non-dropping-particle":"","parse-names":false,"suffix":""},{"dropping-particle":"","family":"Sitch","given":"Stephen","non-dropping-particle":"","parse-names":false,"suffix":""},{"dropping-particle":"","family":"Hauck","given":"Judith","non-dropping-particle":"","parse-names":false,"suffix":""},{"dropping-particle":"","family":"Pongratz","given":"Julia","non-dropping-particle":"","parse-names":false,"suffix":""},{"dropping-particle":"","family":"Pickers","given":"Penelope A.","non-dropping-particle":"","parse-names":false,"suffix":""},{"dropping-particle":"","family":"Korsbakken","given":"Jan Ivar","non-dropping-particle":"","parse-names":false,"suffix":""},{"dropping-particle":"","family":"Peters","given":"Glen P.","non-dropping-particle":"","parse-names":false,"suffix":""},{"dropping-particle":"","family":"Canadell","given":"Josep G.","non-dropping-particle":"","parse-names":false,"suffix":""},{"dropping-particle":"","family":"Arneth","given":"Almut","non-dropping-particle":"","parse-names":false,"suffix":""},{"dropping-particle":"","family":"Arora","given":"Vivek K.","non-dropping-particle":"","parse-names":false,"suffix":""},{"dropping-particle":"","family":"Barbero","given":"Leticia","non-dropping-particle":"","parse-names":false,"suffix":""},{"dropping-particle":"","family":"Bastos","given":"Ana","non-dropping-particle":"","parse-names":false,"suffix":""},{"dropping-particle":"","family":"Bopp","given":"Laurent","non-dropping-particle":"","parse-names":false,"suffix":""},{"dropping-particle":"","family":"Chevallier","given":"Frédéric","non-dropping-particle":"","parse-names":false,"suffix":""},{"dropping-particle":"","family":"Chini","given":"Louise P.","non-dropping-particle":"","parse-names":false,"suffix":""},{"dropping-particle":"","family":"Ciais","given":"Philippe","non-dropping-particle":"","parse-names":false,"suffix":""},{"dropping-particle":"","family":"Doney","given":"Scott C.","non-dropping-particle":"","parse-names":false,"suffix":""},{"dropping-particle":"","family":"Gkritzalis","given":"Thanos","non-dropping-particle":"","parse-names":false,"suffix":""},{"dropping-particle":"","family":"Goll","given":"Daniel S.","non-dropping-particle":"","parse-names":false,"suffix":""},{"dropping-particle":"","family":"Harris","given":"Ian","non-dropping-particle":"","parse-names":false,"suffix":""},{"dropping-particle":"","family":"Haverd","given":"Vanessa","non-dropping-particle":"","parse-names":false,"suffix":""},{"dropping-particle":"","family":"Hoffman","given":"Forrest M.","non-dropping-particle":"","parse-names":false,"suffix":""},{"dropping-particle":"","family":"Hoppema","given":"Mario","non-dropping-particle":"","parse-names":false,"suffix":""},{"dropping-particle":"","family":"Houghton","given":"Richard A.","non-dropping-particle":"","parse-names":false,"suffix":""},{"dropping-particle":"","family":"Hurtt","given":"George","non-dropping-particle":"","parse-names":false,"suffix":""},{"dropping-particle":"","family":"Ilyina","given":"Tatiana","non-dropping-particle":"","parse-names":false,"suffix":""},{"dropping-particle":"","family":"Jain","given":"Atul K.","non-dropping-particle":"","parse-names":false,"suffix":""},{"dropping-particle":"","family":"Johannessen","given":"Truls","non-dropping-particle":"","parse-names":false,"suffix":""},{"dropping-particle":"","family":"Jones","given":"Chris D.","non-dropping-particle":"","parse-names":false,"suffix":""},{"dropping-particle":"","family":"Kato","given":"Etsushi","non-dropping-particle":"","parse-names":false,"suffix":""},{"dropping-particle":"","family":"Keeling","given":"Ralph F.","non-dropping-particle":"","parse-names":false,"suffix":""},{"dropping-particle":"","family":"Goldewijk","given":"Kees Klein","non-dropping-particle":"","parse-names":false,"suffix":""},{"dropping-particle":"","family":"Landschützer","given":"Peter","non-dropping-particle":"","parse-names":false,"suffix":""},{"dropping-particle":"","family":"Lefèvre","given":"Nathalie","non-dropping-particle":"","parse-names":false,"suffix":""},{"dropping-particle":"","family":"Lienert","given":"Sebastian","non-dropping-particle":"","parse-names":false,"suffix":""},{"dropping-particle":"","family":"Liu","given":"Zhu","non-dropping-particle":"","parse-names":false,"suffix":""},{"dropping-particle":"","family":"Lombardozzi","given":"Danica","non-dropping-particle":"","parse-names":false,"suffix":""},{"dropping-particle":"","family":"Metzl","given":"Nicolas","non-dropping-particle":"","parse-names":false,"suffix":""},{"dropping-particle":"","family":"Munro","given":"David R.","non-dropping-particle":"","parse-names":false,"suffix":""},{"dropping-particle":"","family":"Nabel","given":"Julia E. M. S.","non-dropping-particle":"","parse-names":false,"suffix":""},{"dropping-particle":"","family":"Nakaoka","given":"Shin-ichiro","non-dropping-particle":"","parse-names":false,"suffix":""},{"dropping-particle":"","family":"Neill","given":"Craig","non-dropping-particle":"","parse-names":false,"suffix":""},{"dropping-particle":"","family":"Olsen","given":"Are","non-dropping-particle":"","parse-names":false,"suffix":""},{"dropping-particle":"","family":"Ono","given":"Tsueno","non-dropping-particle":"","parse-names":false,"suffix":""},{"dropping-particle":"","family":"Patra","given":"Prabir","non-dropping-particle":"","parse-names":false,"suffix":""},{"dropping-particle":"","family":"Peregon","given":"Anna","non-dropping-particle":"","parse-names":false,"suffix":""},{"dropping-particle":"","family":"Peters","given":"Wouter","non-dropping-particle":"","parse-names":false,"suffix":""},{"dropping-particle":"","family":"Peylin","given":"Philippe","non-dropping-particle":"","parse-names":false,"suffix":""},{"dropping-particle":"","family":"Pfeil","given":"Benjamin","non-dropping-particle":"","parse-names":false,"suffix":""},{"dropping-particle":"","family":"Pierrot","given":"Denis","non-dropping-particle":"","parse-names":false,"suffix":""},{"dropping-particle":"","family":"Poulter","given":"Benjamin","non-dropping-particle":"","parse-names":false,"suffix":""},{"dropping-particle":"","family":"Rehder","given":"Gregor","non-dropping-particle":"","parse-names":false,"suffix":""},{"dropping-particle":"","family":"Resplandy","given":"Laure","non-dropping-particle":"","parse-names":false,"suffix":""},{"dropping-particle":"","family":"Robertson","given":"Eddy","non-dropping-particle":"","parse-names":false,"suffix":""},{"dropping-particle":"","family":"Rocher","given":"Matthias","non-dropping-particle":"","parse-names":false,"suffix":""},{"dropping-particle":"","family":"Rödenbeck","given":"Christian","non-dropping-particle":"","parse-names":false,"suffix":""},{"dropping-particle":"","family":"Schuster","given":"Ute","non-dropping-particle":"","parse-names":false,"suffix":""},{"dropping-particle":"","family":"Schwinger","given":"Jörg","non-dropping-particle":"","parse-names":false,"suffix":""},{"dropping-particle":"","family":"Séférian","given":"Roland","non-dropping-particle":"","parse-names":false,"suffix":""},{"dropping-particle":"","family":"Skjelvan","given":"Ingunn","non-dropping-particle":"","parse-names":false,"suffix":""},{"dropping-particle":"","family":"Steinhoff","given":"Tobias","non-dropping-particle":"","parse-names":false,"suffix":""},{"dropping-particle":"","family":"Sutton","given":"Adrienne","non-dropping-particle":"","parse-names":false,"suffix":""},{"dropping-particle":"","family":"Tans","given":"Pieter P.","non-dropping-particle":"","parse-names":false,"suffix":""},{"dropping-particle":"","family":"Tian","given":"Hanqin","non-dropping-particle":"","parse-names":false,"suffix":""},{"dropping-particle":"","family":"Tilbrook","given":"Bronte","non-dropping-particle":"","parse-names":false,"suffix":""},{"dropping-particle":"","family":"Tubiello","given":"Francesco N.","non-dropping-particle":"","parse-names":false,"suffix":""},{"dropping-particle":"","family":"Laan-Luijkx","given":"Ingrid T.","non-dropping-particle":"van der","parse-names":false,"suffix":""},{"dropping-particle":"","family":"Werf","given":"Guido R.","non-dropping-particle":"van der","parse-names":false,"suffix":""},{"dropping-particle":"","family":"Viovy","given":"Nicolas","non-dropping-particle":"","parse-names":false,"suffix":""},{"dropping-particle":"","family":"Walker","given":"Anthony P.","non-dropping-particle":"","parse-names":false,"suffix":""},{"dropping-particle":"","family":"Wiltshire","given":"Andrew J.","non-dropping-particle":"","parse-names":false,"suffix":""},{"dropping-particle":"","family":"Wright","given":"Rebecca","non-dropping-particle":"","parse-names":false,"suffix":""},{"dropping-particle":"","family":"Zaehle","given":"Sönke","non-dropping-particle":"","parse-names":false,"suffix":""},{"dropping-particle":"","family":"Zheng","given":"Bo","non-dropping-particle":"","parse-names":false,"suffix":""}],"container-title":"Earth System Science Data","id":"ITEM-1","issue":"4","issued":{"date-parts":[["2018","12","5"]]},"page":"2141-2194","title":"Global Carbon Budget 2018","type":"article-journal","volume":"10"},"uris":["http://www.mendeley.com/documents/?uuid=c58027c0-01ff-3934-afe3-9c450c266da6"]}],"mendeley":{"formattedCitation":"&lt;sup&gt;83&lt;/sup&gt;","plainTextFormattedCitation":"83","previouslyFormattedCitation":"&lt;sup&gt;83&lt;/sup&gt;"},"properties":{"noteIndex":0},"schema":"https://github.com/citation-style-language/schema/raw/master/csl-citation.json"}</w:instrText>
            </w:r>
            <w:r w:rsidRPr="00E8739C">
              <w:rPr>
                <w:rFonts w:ascii="Times New Roman" w:eastAsia="Arial" w:hAnsi="Times New Roman" w:cs="Times New Roman"/>
                <w:color w:val="000000" w:themeColor="text1"/>
                <w:sz w:val="20"/>
                <w:szCs w:val="20"/>
                <w:highlight w:val="white"/>
                <w:lang w:val="fr-FR"/>
              </w:rPr>
              <w:fldChar w:fldCharType="separate"/>
            </w:r>
            <w:r w:rsidRPr="00E8739C">
              <w:rPr>
                <w:rFonts w:ascii="Times New Roman" w:eastAsia="Arial" w:hAnsi="Times New Roman" w:cs="Times New Roman"/>
                <w:noProof/>
                <w:color w:val="000000" w:themeColor="text1"/>
                <w:sz w:val="20"/>
                <w:szCs w:val="20"/>
                <w:highlight w:val="white"/>
              </w:rPr>
              <w:t>83</w:t>
            </w:r>
            <w:r w:rsidRPr="00E8739C">
              <w:rPr>
                <w:rFonts w:ascii="Times New Roman" w:eastAsia="Arial" w:hAnsi="Times New Roman" w:cs="Times New Roman"/>
                <w:color w:val="000000" w:themeColor="text1"/>
                <w:sz w:val="20"/>
                <w:szCs w:val="20"/>
                <w:highlight w:val="white"/>
                <w:lang w:val="fr-FR"/>
              </w:rPr>
              <w:fldChar w:fldCharType="end"/>
            </w:r>
            <w:r w:rsidR="00E8739C" w:rsidRPr="00E8739C">
              <w:rPr>
                <w:rFonts w:ascii="Times New Roman" w:eastAsia="Arial" w:hAnsi="Times New Roman" w:cs="Times New Roman"/>
                <w:color w:val="000000" w:themeColor="text1"/>
                <w:sz w:val="20"/>
                <w:szCs w:val="20"/>
                <w:highlight w:val="white"/>
              </w:rPr>
              <w:t>]</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see Methods</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vertAlign w:val="subscript"/>
              </w:rPr>
            </w:pPr>
            <w:proofErr w:type="spellStart"/>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reduced</w:t>
            </w:r>
            <w:proofErr w:type="spellEnd"/>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76</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20</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This study (see Methods)</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see Methods</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vertAlign w:val="subscript"/>
              </w:rPr>
            </w:pPr>
            <w:proofErr w:type="spellStart"/>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outgas</w:t>
            </w:r>
            <w:proofErr w:type="spellEnd"/>
            <w:r w:rsidRPr="00E8739C">
              <w:rPr>
                <w:rFonts w:ascii="Times New Roman" w:eastAsia="Arial" w:hAnsi="Times New Roman" w:cs="Times New Roman"/>
                <w:color w:val="000000" w:themeColor="text1"/>
                <w:sz w:val="20"/>
                <w:szCs w:val="20"/>
                <w:vertAlign w:val="subscript"/>
              </w:rPr>
              <w:t xml:space="preserve"> rivers + lakes RAY</w:t>
            </w:r>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507</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254</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 xml:space="preserve">Raymond et al. </w:t>
            </w:r>
            <w:r w:rsidR="00E8739C">
              <w:rPr>
                <w:rFonts w:ascii="Times New Roman" w:eastAsia="Arial" w:hAnsi="Times New Roman" w:cs="Times New Roman"/>
                <w:color w:val="000000" w:themeColor="text1"/>
                <w:sz w:val="20"/>
                <w:szCs w:val="20"/>
              </w:rPr>
              <w:t>[</w:t>
            </w:r>
            <w:r w:rsidRPr="00E8739C">
              <w:rPr>
                <w:rFonts w:ascii="Times New Roman" w:eastAsia="Arial" w:hAnsi="Times New Roman" w:cs="Times New Roman"/>
                <w:color w:val="000000" w:themeColor="text1"/>
                <w:sz w:val="20"/>
                <w:szCs w:val="20"/>
              </w:rPr>
              <w:fldChar w:fldCharType="begin" w:fldLock="1"/>
            </w:r>
            <w:r w:rsidRPr="00E8739C">
              <w:rPr>
                <w:rFonts w:ascii="Times New Roman" w:eastAsia="Arial" w:hAnsi="Times New Roman" w:cs="Times New Roman"/>
                <w:color w:val="000000" w:themeColor="text1"/>
                <w:sz w:val="20"/>
                <w:szCs w:val="20"/>
              </w:rPr>
              <w:instrText>ADDIN CSL_CITATION {"citationItems":[{"id":"ITEM-1","itemData":{"DOI":"10.1038/nature13142","ISSN":"00280836","author":[{"dropping-particle":"","family":"Raymond","given":"P.A.","non-dropping-particle":"","parse-names":false,"suffix":""},{"dropping-particle":"","family":"Hartmann","given":"J.","non-dropping-particle":"","parse-names":false,"suffix":""},{"dropping-particle":"","family":"Lauerwald","given":"R.","non-dropping-particle":"","parse-names":false,"suffix":""},{"dropping-particle":"","family":"Sobek","given":"S.","non-dropping-particle":"","parse-names":false,"suffix":""},{"dropping-particle":"","family":"McDonald","given":"C.","non-dropping-particle":"","parse-names":false,"suffix":""},{"dropping-particle":"","family":"Hoover","given":"M.","non-dropping-particle":"","parse-names":false,"suffix":""},{"dropping-particle":"","family":"Butman","given":"D.","non-dropping-particle":"","parse-names":false,"suffix":""},{"dropping-particle":"","family":"Striegl","given":"R.","non-dropping-particle":"","parse-names":false,"suffix":""},{"dropping-particle":"","family":"Mayorga","given":"E.","non-dropping-particle":"","parse-names":false,"suffix":""},{"dropping-particle":"","family":"Humborg","given":"C.","non-dropping-particle":"","parse-names":false,"suffix":""},{"dropping-particle":"","family":"Kortelainen","given":"P.","non-dropping-particle":"","parse-names":false,"suffix":""},{"dropping-particle":"","family":"Dürr","given":"H.","non-dropping-particle":"","parse-names":false,"suffix":""},{"dropping-particle":"","family":"Meybeck","given":"M.","non-dropping-particle":"","parse-names":false,"suffix":""},{"dropping-particle":"","family":"Ciais","given":"P.","non-dropping-particle":"","parse-names":false,"suffix":""},{"dropping-particle":"","family":"Guth","given":"P.","non-dropping-particle":"","parse-names":false,"suffix":""}],"container-title":"Nature","id":"ITEM-1","issue":"7492","issued":{"date-parts":[["2014"]]},"title":"Erratum: Global carbon dioxide emissions from inland waters (Nature (2013) 503 (355-359) DOI: 10.1038/nature12760)","type":"article-journal","volume":"507"},"uris":["http://www.mendeley.com/documents/?uuid=9f65d7ab-bd8b-32fa-bb80-0bd0b1543272"]}],"mendeley":{"formattedCitation":"&lt;sup&gt;84&lt;/sup&gt;","plainTextFormattedCitation":"84","previouslyFormattedCitation":"&lt;sup&gt;84&lt;/sup&gt;"},"properties":{"noteIndex":0},"schema":"https://github.com/citation-style-language/schema/raw/master/csl-citation.json"}</w:instrText>
            </w:r>
            <w:r w:rsidRPr="00E8739C">
              <w:rPr>
                <w:rFonts w:ascii="Times New Roman" w:eastAsia="Arial" w:hAnsi="Times New Roman" w:cs="Times New Roman"/>
                <w:color w:val="000000" w:themeColor="text1"/>
                <w:sz w:val="20"/>
                <w:szCs w:val="20"/>
              </w:rPr>
              <w:fldChar w:fldCharType="separate"/>
            </w:r>
            <w:r w:rsidRPr="00E8739C">
              <w:rPr>
                <w:rFonts w:ascii="Times New Roman" w:eastAsia="Arial" w:hAnsi="Times New Roman" w:cs="Times New Roman"/>
                <w:noProof/>
                <w:color w:val="000000" w:themeColor="text1"/>
                <w:sz w:val="20"/>
                <w:szCs w:val="20"/>
              </w:rPr>
              <w:t>84</w:t>
            </w:r>
            <w:r w:rsidRPr="00E8739C">
              <w:rPr>
                <w:rFonts w:ascii="Times New Roman" w:eastAsia="Arial" w:hAnsi="Times New Roman" w:cs="Times New Roman"/>
                <w:color w:val="000000" w:themeColor="text1"/>
                <w:sz w:val="20"/>
                <w:szCs w:val="20"/>
              </w:rPr>
              <w:fldChar w:fldCharType="end"/>
            </w:r>
            <w:r w:rsidR="00E8739C">
              <w:rPr>
                <w:rFonts w:ascii="Times New Roman" w:eastAsia="Arial" w:hAnsi="Times New Roman" w:cs="Times New Roman"/>
                <w:color w:val="000000" w:themeColor="text1"/>
                <w:sz w:val="20"/>
                <w:szCs w:val="20"/>
              </w:rPr>
              <w:t>]</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50%</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proofErr w:type="spellStart"/>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outgas</w:t>
            </w:r>
            <w:proofErr w:type="spellEnd"/>
            <w:r w:rsidRPr="00E8739C">
              <w:rPr>
                <w:rFonts w:ascii="Times New Roman" w:eastAsia="Arial" w:hAnsi="Times New Roman" w:cs="Times New Roman"/>
                <w:color w:val="000000" w:themeColor="text1"/>
                <w:sz w:val="20"/>
                <w:szCs w:val="20"/>
                <w:vertAlign w:val="subscript"/>
              </w:rPr>
              <w:t xml:space="preserve"> rivers + lakes LAU</w:t>
            </w:r>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84</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42</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proofErr w:type="spellStart"/>
            <w:r w:rsidRPr="00E8739C">
              <w:rPr>
                <w:rFonts w:ascii="Times New Roman" w:eastAsia="Arial" w:hAnsi="Times New Roman" w:cs="Times New Roman"/>
                <w:color w:val="000000" w:themeColor="text1"/>
                <w:sz w:val="20"/>
                <w:szCs w:val="20"/>
              </w:rPr>
              <w:t>Lauerwald</w:t>
            </w:r>
            <w:proofErr w:type="spellEnd"/>
            <w:r w:rsidRPr="00E8739C">
              <w:rPr>
                <w:rFonts w:ascii="Times New Roman" w:eastAsia="Arial" w:hAnsi="Times New Roman" w:cs="Times New Roman"/>
                <w:color w:val="000000" w:themeColor="text1"/>
                <w:sz w:val="20"/>
                <w:szCs w:val="20"/>
              </w:rPr>
              <w:t xml:space="preserve"> et al. </w:t>
            </w:r>
            <w:r w:rsidR="00E8739C">
              <w:rPr>
                <w:rFonts w:ascii="Times New Roman" w:eastAsia="Arial" w:hAnsi="Times New Roman" w:cs="Times New Roman"/>
                <w:color w:val="000000" w:themeColor="text1"/>
                <w:sz w:val="20"/>
                <w:szCs w:val="20"/>
              </w:rPr>
              <w:t>[</w:t>
            </w:r>
            <w:r w:rsidRPr="00E8739C">
              <w:rPr>
                <w:rFonts w:ascii="Times New Roman" w:eastAsia="Arial" w:hAnsi="Times New Roman" w:cs="Times New Roman"/>
                <w:color w:val="000000" w:themeColor="text1"/>
                <w:sz w:val="20"/>
                <w:szCs w:val="20"/>
              </w:rPr>
              <w:fldChar w:fldCharType="begin" w:fldLock="1"/>
            </w:r>
            <w:r w:rsidRPr="00E8739C">
              <w:rPr>
                <w:rFonts w:ascii="Times New Roman" w:eastAsia="Arial" w:hAnsi="Times New Roman" w:cs="Times New Roman"/>
                <w:color w:val="000000" w:themeColor="text1"/>
                <w:sz w:val="20"/>
                <w:szCs w:val="20"/>
              </w:rPr>
              <w:instrText>ADDIN CSL_CITATION {"citationItems":[{"id":"ITEM-1","itemData":{"DOI":"10.1002/2014GB004941","ISSN":"19449224","abstract":"©2015. American Geophysical Union. All Rights Reserved. CO &lt; inf &gt; 2 &lt; /inf &gt;  evasion from rivers (FCO &lt; inf &gt; 2 &lt; /inf &gt; ) is an important component of the global carbon budget. Here we present the first global maps of CO &lt; inf &gt; 2 &lt; /inf &gt;  partial pressures (pCO &lt; inf &gt; 2 &lt; /inf &gt; ) in rivers of stream orders 3 and higher and the resulting FCO &lt; inf &gt; 2 &lt; /inf &gt;  at 0.5° resolution constructed with a statistical model. A geographic information system based approach is used to derive a pCO &lt; inf &gt; 2 &lt; /inf &gt;  prediction function trained on data from 1182 sampling locations. While data from Asia and Africa are scarce and the training data set is dominated by sampling locations from the Americas, Europe, and Australia, the sampling locations cover the full spectrum from high to low latitudes. The predictors of pCO &lt; inf &gt; 2 &lt; /inf &gt;  are net primary production, population density, and slope gradient within the river catchment as well as mean air temperature at the sampling location (r &lt; sup &gt; 2 &lt; /sup &gt;  = 0.47). The predicted pCO &lt; inf &gt; 2 &lt; /inf &gt;  map was then combined with spatially explicit estimates of stream surface area A &lt; inf &gt; river &lt; /inf &gt;  and gas exchange velocity k calculated from published empirical equations and data sets to derive the FCO &lt; inf &gt; 2 &lt; /inf &gt;  map. Using Monte Carlo simulations, we assessed the uncertainties of our estimates. At the global scale, we estimate an average river pCO &lt; inf &gt; 2 &lt; /inf &gt;  of 2400 (2019-2826) μatm and a FCO &lt; inf &gt; 2 &lt; /inf &gt;  of 650 (483-846) Tg C yr &lt; sup &gt; -1 &lt; /sup &gt;  (5th and 95th percentiles of confidence interval). Our global CO &lt; inf &gt; 2 &lt; /inf &gt;  evasion is substantially lower than the recent estimate of 1800 Tg C yr &lt; sup &gt; -1 &lt; /sup &gt;  although the training set of pCO &lt; inf &gt; 2 &lt; /inf &gt;  is very similar in both studies, mainly due to lower tropical pCO &lt; inf &gt; 2 &lt; /inf &gt;  estimates in the present study. Our maps reveal strong latitudinal gradients in pCO &lt; inf &gt; 2 &lt; /inf &gt; , A &lt; inf &gt; river &lt; /inf &gt; , and FCO &lt; inf &gt; 2 &lt; /inf &gt; . The zone between 10°N and 10°S contributes about half of the global CO &lt; inf &gt; 2 &lt; /inf &gt;  evasion. Collection of pCO &lt; inf &gt; 2 &lt; /inf &gt;  data in this zone, in particular, for African and Southeast Asian rivers is a high priority to reduce uncertainty on FCO &lt; inf &gt; 2 &lt; /inf &gt; .","author":[{"dropping-particle":"","family":"Lauerwald","given":"R.","non-dropping-particle":"","parse-names":false,"suffix":""},{"dropping-particle":"","family":"Laruelle","given":"G.G.","non-dropping-particle":"","parse-names":false,"suffix":""},{"dropping-particle":"","family":"Hartmann","given":"J.","non-dropping-particle":"","parse-names":false,"suffix":""},{"dropping-particle":"","family":"Ciais","given":"P.","non-dropping-particle":"","parse-names":false,"suffix":""},{"dropping-particle":"","family":"Regnier","given":"P.A.G.","non-dropping-particle":"","parse-names":false,"suffix":""}],"container-title":"Global Biogeochemical Cycles","id":"ITEM-1","issue":"5","issued":{"date-parts":[["2015"]]},"title":"Spatial patterns in CO&amp;lt;inf&amp;gt;2&amp;lt;/inf&amp;gt; evasion from the global river network","type":"article-journal","volume":"29"},"uris":["http://www.mendeley.com/documents/?uuid=bcf366e5-e30c-3037-b8f0-fa10ad0b6bd5"]}],"mendeley":{"formattedCitation":"&lt;sup&gt;26&lt;/sup&gt;","plainTextFormattedCitation":"26","previouslyFormattedCitation":"&lt;sup&gt;26&lt;/sup&gt;"},"properties":{"noteIndex":0},"schema":"https://github.com/citation-style-language/schema/raw/master/csl-citation.json"}</w:instrText>
            </w:r>
            <w:r w:rsidRPr="00E8739C">
              <w:rPr>
                <w:rFonts w:ascii="Times New Roman" w:eastAsia="Arial" w:hAnsi="Times New Roman" w:cs="Times New Roman"/>
                <w:color w:val="000000" w:themeColor="text1"/>
                <w:sz w:val="20"/>
                <w:szCs w:val="20"/>
              </w:rPr>
              <w:fldChar w:fldCharType="separate"/>
            </w:r>
            <w:r w:rsidRPr="00E8739C">
              <w:rPr>
                <w:rFonts w:ascii="Times New Roman" w:eastAsia="Arial" w:hAnsi="Times New Roman" w:cs="Times New Roman"/>
                <w:noProof/>
                <w:color w:val="000000" w:themeColor="text1"/>
                <w:sz w:val="20"/>
                <w:szCs w:val="20"/>
              </w:rPr>
              <w:t>26</w:t>
            </w:r>
            <w:r w:rsidRPr="00E8739C">
              <w:rPr>
                <w:rFonts w:ascii="Times New Roman" w:eastAsia="Arial" w:hAnsi="Times New Roman" w:cs="Times New Roman"/>
                <w:color w:val="000000" w:themeColor="text1"/>
                <w:sz w:val="20"/>
                <w:szCs w:val="20"/>
              </w:rPr>
              <w:fldChar w:fldCharType="end"/>
            </w:r>
            <w:r w:rsidR="00E8739C">
              <w:rPr>
                <w:rFonts w:ascii="Times New Roman" w:eastAsia="Arial" w:hAnsi="Times New Roman" w:cs="Times New Roman"/>
                <w:color w:val="000000" w:themeColor="text1"/>
                <w:sz w:val="20"/>
                <w:szCs w:val="20"/>
              </w:rPr>
              <w:t>]</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50%</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vertAlign w:val="subscript"/>
              </w:rPr>
            </w:pPr>
            <w:proofErr w:type="spellStart"/>
            <w:r w:rsidRPr="00E8739C">
              <w:rPr>
                <w:rFonts w:ascii="Times New Roman" w:eastAsia="Arial" w:hAnsi="Times New Roman" w:cs="Times New Roman"/>
                <w:color w:val="000000" w:themeColor="text1"/>
                <w:sz w:val="20"/>
                <w:szCs w:val="20"/>
              </w:rPr>
              <w:t>F</w:t>
            </w:r>
            <w:r w:rsidRPr="00E8739C">
              <w:rPr>
                <w:rFonts w:ascii="Times New Roman" w:eastAsia="Arial" w:hAnsi="Times New Roman" w:cs="Times New Roman"/>
                <w:color w:val="000000" w:themeColor="text1"/>
                <w:sz w:val="20"/>
                <w:szCs w:val="20"/>
                <w:vertAlign w:val="subscript"/>
              </w:rPr>
              <w:t>outgas</w:t>
            </w:r>
            <w:proofErr w:type="spellEnd"/>
            <w:r w:rsidRPr="00E8739C">
              <w:rPr>
                <w:rFonts w:ascii="Times New Roman" w:eastAsia="Arial" w:hAnsi="Times New Roman" w:cs="Times New Roman"/>
                <w:color w:val="000000" w:themeColor="text1"/>
                <w:sz w:val="20"/>
                <w:szCs w:val="20"/>
                <w:vertAlign w:val="subscript"/>
              </w:rPr>
              <w:t xml:space="preserve"> estuaries</w:t>
            </w:r>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19</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10</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proofErr w:type="spellStart"/>
            <w:r w:rsidRPr="00E8739C">
              <w:rPr>
                <w:rFonts w:ascii="Times New Roman" w:eastAsia="Arial" w:hAnsi="Times New Roman" w:cs="Times New Roman"/>
                <w:color w:val="000000" w:themeColor="text1"/>
                <w:sz w:val="20"/>
                <w:szCs w:val="20"/>
                <w:lang w:val="fr-FR"/>
              </w:rPr>
              <w:t>Laruelle</w:t>
            </w:r>
            <w:proofErr w:type="spellEnd"/>
            <w:r w:rsidRPr="00E8739C">
              <w:rPr>
                <w:rFonts w:ascii="Times New Roman" w:eastAsia="Arial" w:hAnsi="Times New Roman" w:cs="Times New Roman"/>
                <w:color w:val="000000" w:themeColor="text1"/>
                <w:sz w:val="20"/>
                <w:szCs w:val="20"/>
                <w:lang w:val="fr-FR"/>
              </w:rPr>
              <w:t xml:space="preserve"> et al. </w:t>
            </w:r>
            <w:r w:rsidR="00E8739C">
              <w:rPr>
                <w:rFonts w:ascii="Times New Roman" w:eastAsia="Arial" w:hAnsi="Times New Roman" w:cs="Times New Roman"/>
                <w:color w:val="000000" w:themeColor="text1"/>
                <w:sz w:val="20"/>
                <w:szCs w:val="20"/>
                <w:lang w:val="fr-FR"/>
              </w:rPr>
              <w:t>[</w:t>
            </w:r>
            <w:r w:rsidRPr="00E8739C">
              <w:rPr>
                <w:rFonts w:ascii="Times New Roman" w:eastAsia="Arial" w:hAnsi="Times New Roman" w:cs="Times New Roman"/>
                <w:color w:val="000000" w:themeColor="text1"/>
                <w:sz w:val="20"/>
                <w:szCs w:val="20"/>
                <w:lang w:val="fr-FR"/>
              </w:rPr>
              <w:fldChar w:fldCharType="begin" w:fldLock="1"/>
            </w:r>
            <w:r w:rsidRPr="00E8739C">
              <w:rPr>
                <w:rFonts w:ascii="Times New Roman" w:eastAsia="Arial" w:hAnsi="Times New Roman" w:cs="Times New Roman"/>
                <w:color w:val="000000" w:themeColor="text1"/>
                <w:sz w:val="20"/>
                <w:szCs w:val="20"/>
                <w:lang w:val="fr-FR"/>
              </w:rPr>
              <w:instrText>ADDIN CSL_CITATION {"citationItems":[{"id":"ITEM-1","itemData":{"DOI":"10.5194/hess-17-2029-2013","ISSN":"1607-7938","author":[{"dropping-particle":"","family":"Laruelle","given":"G. G.","non-dropping-particle":"","parse-names":false,"suffix":""},{"dropping-particle":"","family":"Dürr","given":"H. H.","non-dropping-particle":"","parse-names":false,"suffix":""},{"dropping-particle":"","family":"Lauerwald","given":"R.","non-dropping-particle":"","parse-names":false,"suffix":""},{"dropping-particle":"","family":"Hartmann","given":"J.","non-dropping-particle":"","parse-names":false,"suffix":""},{"dropping-particle":"","family":"Slomp","given":"C. P.","non-dropping-particle":"","parse-names":false,"suffix":""},{"dropping-particle":"","family":"Goossens","given":"N.","non-dropping-particle":"","parse-names":false,"suffix":""},{"dropping-particle":"","family":"Regnier","given":"P. a. G.","non-dropping-particle":"","parse-names":false,"suffix":""}],"container-title":"Hydrology and Earth System Sciences","id":"ITEM-1","issue":"5","issued":{"date-parts":[["2013","5"]]},"page":"2029-2051","title":"Global multi-scale segmentation of continental and coastal waters from the watersheds to the continental margins","type":"article-journal","volume":"17"},"uris":["http://www.mendeley.com/documents/?uuid=f34065a6-b97b-4e8b-a953-1b41ee97ea4b"]}],"mendeley":{"formattedCitation":"&lt;sup&gt;74&lt;/sup&gt;","plainTextFormattedCitation":"74","previouslyFormattedCitation":"&lt;sup&gt;74&lt;/sup&gt;"},"properties":{"noteIndex":0},"schema":"https://github.com/citation-style-language/schema/raw/master/csl-citation.json"}</w:instrText>
            </w:r>
            <w:r w:rsidRPr="00E8739C">
              <w:rPr>
                <w:rFonts w:ascii="Times New Roman" w:eastAsia="Arial" w:hAnsi="Times New Roman" w:cs="Times New Roman"/>
                <w:color w:val="000000" w:themeColor="text1"/>
                <w:sz w:val="20"/>
                <w:szCs w:val="20"/>
                <w:lang w:val="fr-FR"/>
              </w:rPr>
              <w:fldChar w:fldCharType="separate"/>
            </w:r>
            <w:r w:rsidRPr="00E8739C">
              <w:rPr>
                <w:rFonts w:ascii="Times New Roman" w:eastAsia="Arial" w:hAnsi="Times New Roman" w:cs="Times New Roman"/>
                <w:noProof/>
                <w:color w:val="000000" w:themeColor="text1"/>
                <w:sz w:val="20"/>
                <w:szCs w:val="20"/>
                <w:lang w:val="fr-FR"/>
              </w:rPr>
              <w:t>74</w:t>
            </w:r>
            <w:r w:rsidRPr="00E8739C">
              <w:rPr>
                <w:rFonts w:ascii="Times New Roman" w:eastAsia="Arial" w:hAnsi="Times New Roman" w:cs="Times New Roman"/>
                <w:color w:val="000000" w:themeColor="text1"/>
                <w:sz w:val="20"/>
                <w:szCs w:val="20"/>
                <w:lang w:val="fr-FR"/>
              </w:rPr>
              <w:fldChar w:fldCharType="end"/>
            </w:r>
            <w:r w:rsidR="00E8739C">
              <w:rPr>
                <w:rFonts w:ascii="Times New Roman" w:eastAsia="Arial" w:hAnsi="Times New Roman" w:cs="Times New Roman"/>
                <w:color w:val="000000" w:themeColor="text1"/>
                <w:sz w:val="20"/>
                <w:szCs w:val="20"/>
                <w:lang w:val="fr-FR"/>
              </w:rPr>
              <w:t>]</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50%</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vertAlign w:val="subscript"/>
              </w:rPr>
            </w:pPr>
            <w:r w:rsidRPr="00E8739C">
              <w:rPr>
                <w:rFonts w:ascii="Times New Roman" w:eastAsia="Arial" w:hAnsi="Times New Roman" w:cs="Times New Roman"/>
                <w:color w:val="000000" w:themeColor="text1"/>
                <w:sz w:val="20"/>
                <w:szCs w:val="20"/>
              </w:rPr>
              <w:lastRenderedPageBreak/>
              <w:t>NPP</w:t>
            </w:r>
            <w:r w:rsidRPr="00E8739C">
              <w:rPr>
                <w:rFonts w:ascii="Times New Roman" w:eastAsia="Arial" w:hAnsi="Times New Roman" w:cs="Times New Roman"/>
                <w:color w:val="000000" w:themeColor="text1"/>
                <w:sz w:val="20"/>
                <w:szCs w:val="20"/>
                <w:vertAlign w:val="subscript"/>
              </w:rPr>
              <w:t>MODIS</w:t>
            </w:r>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-3380</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676</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 xml:space="preserve">Zhao et al. </w:t>
            </w:r>
            <w:r w:rsidR="00E8739C">
              <w:rPr>
                <w:rFonts w:ascii="Times New Roman" w:eastAsia="Arial" w:hAnsi="Times New Roman" w:cs="Times New Roman"/>
                <w:color w:val="000000" w:themeColor="text1"/>
                <w:sz w:val="20"/>
                <w:szCs w:val="20"/>
              </w:rPr>
              <w:t>[</w:t>
            </w:r>
            <w:r w:rsidRPr="00E8739C">
              <w:rPr>
                <w:rFonts w:ascii="Times New Roman" w:eastAsia="Arial" w:hAnsi="Times New Roman" w:cs="Times New Roman"/>
                <w:color w:val="000000" w:themeColor="text1"/>
                <w:sz w:val="20"/>
                <w:szCs w:val="20"/>
              </w:rPr>
              <w:fldChar w:fldCharType="begin" w:fldLock="1"/>
            </w:r>
            <w:r w:rsidRPr="00E8739C">
              <w:rPr>
                <w:rFonts w:ascii="Times New Roman" w:eastAsia="Arial" w:hAnsi="Times New Roman" w:cs="Times New Roman"/>
                <w:color w:val="000000" w:themeColor="text1"/>
                <w:sz w:val="20"/>
                <w:szCs w:val="20"/>
              </w:rPr>
              <w:instrText>ADDIN CSL_CITATION {"citationItems":[{"id":"ITEM-1","itemData":{"DOI":"10.1029/2004JG000004","ISBN":"0148-0227","ISSN":"0148-0227","abstract":"The Moderate Resolution Imaging Spectroradiometer (MODIS) on board NASA's satellites, Terra and Aqua, dramatically improves our ability to accurately and continuously monitor the terrestrial biosphere. MODIS information is used to estimate global terrestrial primary production weekly and annually in near-real time at a 1-km resolution. MODIS terrestrial primary production requires daily gridded assimilation meteorological data as inputs, and the accuracy of the existing meteorological reanalysis data sets show marked differences both spatially and temporally. This study compares surface meteorological data sets from three well-documented global reanalyses, NASA Data Assimilation Office (DAO), European Centre for Medium-Range Weather Forecasts (ECMWF) (ERA-40) and National Centers for Environmental Prediction/National Center for Atmospheric Research (NCEP/NCAR) reanalysis 1, with observed weather station data and other gridded data interpolated from the observations, to evaluate the sensitivity of MODIS global terrestrial gross and net primary production (GPP and NPP) to the uncertainties of meteorological inputs both in the United States and the global vegetated areas. NCEP tends to overestimate surface solar radiation, and underestimate both temperature and vapor pressure deficit (VPD). ECMWF has the highest accuracy but its radiation is lower in tropical regions, and the accuracy of DAO lies between NCEP and ECMWF. Biases in temperature are mainly responsible for large VPD biases in reanalyses. MODIS NPP contains more uncertainties than GPP. Global total MODIS GPP and NPP driven by DAO, ECMWF, and NCEP show notable differences (&gt;20 Pg C/yr) with the highest estimates from NCEP and the lowest from ECMWF. Again, the DAO results lie somewhere between NCEP and ECMWF estimates. Spatially, the larger discrepancies among reanalyses and their derived MODIS GPP and NPP occur in the tropics. These results reveal that the biases in meteorological reanalyses can introduce substantial error into GPP and NPP estimations, and emphasize the need to minimize these biases to improve the quality of MODIS GPP and NPP products.","author":[{"dropping-particle":"","family":"Zhao","given":"Maosheng","non-dropping-particle":"","parse-names":false,"suffix":""},{"dropping-particle":"","family":"Running","given":"Steven W.","non-dropping-particle":"","parse-names":false,"suffix":""},{"dropping-particle":"","family":"Nemani","given":"Ramakrishna R.","non-dropping-particle":"","parse-names":false,"suffix":""}],"container-title":"Journal of Geophysical Research","id":"ITEM-1","issue":"G1","issued":{"date-parts":[["2006"]]},"page":"G01002","title":"Sensitivity of Moderate Resolution Imaging Spectroradiometer (MODIS) terrestrial primary production to the accuracy of meteorological reanalyses","type":"article-journal","volume":"111"},"uris":["http://www.mendeley.com/documents/?uuid=de26ed4f-683f-4acf-b548-fd2275a66e2d"]}],"mendeley":{"formattedCitation":"&lt;sup&gt;85&lt;/sup&gt;","plainTextFormattedCitation":"85","previouslyFormattedCitation":"&lt;sup&gt;85&lt;/sup&gt;"},"properties":{"noteIndex":0},"schema":"https://github.com/citation-style-language/schema/raw/master/csl-citation.json"}</w:instrText>
            </w:r>
            <w:r w:rsidRPr="00E8739C">
              <w:rPr>
                <w:rFonts w:ascii="Times New Roman" w:eastAsia="Arial" w:hAnsi="Times New Roman" w:cs="Times New Roman"/>
                <w:color w:val="000000" w:themeColor="text1"/>
                <w:sz w:val="20"/>
                <w:szCs w:val="20"/>
              </w:rPr>
              <w:fldChar w:fldCharType="separate"/>
            </w:r>
            <w:r w:rsidRPr="00E8739C">
              <w:rPr>
                <w:rFonts w:ascii="Times New Roman" w:eastAsia="Arial" w:hAnsi="Times New Roman" w:cs="Times New Roman"/>
                <w:noProof/>
                <w:color w:val="000000" w:themeColor="text1"/>
                <w:sz w:val="20"/>
                <w:szCs w:val="20"/>
              </w:rPr>
              <w:t>85</w:t>
            </w:r>
            <w:r w:rsidRPr="00E8739C">
              <w:rPr>
                <w:rFonts w:ascii="Times New Roman" w:eastAsia="Arial" w:hAnsi="Times New Roman" w:cs="Times New Roman"/>
                <w:color w:val="000000" w:themeColor="text1"/>
                <w:sz w:val="20"/>
                <w:szCs w:val="20"/>
              </w:rPr>
              <w:fldChar w:fldCharType="end"/>
            </w:r>
            <w:r w:rsidR="00E8739C">
              <w:rPr>
                <w:rFonts w:ascii="Times New Roman" w:eastAsia="Arial" w:hAnsi="Times New Roman" w:cs="Times New Roman"/>
                <w:color w:val="000000" w:themeColor="text1"/>
                <w:sz w:val="20"/>
                <w:szCs w:val="20"/>
              </w:rPr>
              <w:t>]</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 xml:space="preserve">20% </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vertAlign w:val="subscript"/>
              </w:rPr>
            </w:pPr>
            <w:r w:rsidRPr="00E8739C">
              <w:rPr>
                <w:rFonts w:ascii="Times New Roman" w:eastAsia="Arial" w:hAnsi="Times New Roman" w:cs="Times New Roman"/>
                <w:color w:val="000000" w:themeColor="text1"/>
                <w:sz w:val="20"/>
                <w:szCs w:val="20"/>
              </w:rPr>
              <w:t>NPP</w:t>
            </w:r>
            <w:r w:rsidRPr="00E8739C">
              <w:rPr>
                <w:rFonts w:ascii="Times New Roman" w:eastAsia="Arial" w:hAnsi="Times New Roman" w:cs="Times New Roman"/>
                <w:color w:val="000000" w:themeColor="text1"/>
                <w:sz w:val="20"/>
                <w:szCs w:val="20"/>
                <w:vertAlign w:val="subscript"/>
              </w:rPr>
              <w:t>BETHY</w:t>
            </w:r>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-3385</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677</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Tum et al.</w:t>
            </w:r>
            <w:r w:rsidR="00E8739C">
              <w:rPr>
                <w:rFonts w:ascii="Times New Roman" w:eastAsia="Arial" w:hAnsi="Times New Roman" w:cs="Times New Roman"/>
                <w:color w:val="000000" w:themeColor="text1"/>
                <w:sz w:val="20"/>
                <w:szCs w:val="20"/>
              </w:rPr>
              <w:t xml:space="preserve"> [</w:t>
            </w:r>
            <w:r w:rsidRPr="00E8739C">
              <w:rPr>
                <w:rFonts w:ascii="Times New Roman" w:eastAsia="Arial" w:hAnsi="Times New Roman" w:cs="Times New Roman"/>
                <w:color w:val="000000" w:themeColor="text1"/>
                <w:sz w:val="20"/>
                <w:szCs w:val="20"/>
              </w:rPr>
              <w:fldChar w:fldCharType="begin" w:fldLock="1"/>
            </w:r>
            <w:r w:rsidRPr="00E8739C">
              <w:rPr>
                <w:rFonts w:ascii="Times New Roman" w:eastAsia="Arial" w:hAnsi="Times New Roman" w:cs="Times New Roman"/>
                <w:color w:val="000000" w:themeColor="text1"/>
                <w:sz w:val="20"/>
                <w:szCs w:val="20"/>
              </w:rPr>
              <w:instrText>ADDIN CSL_CITATION {"citationItems":[{"id":"ITEM-1","itemData":{"DOI":"10.5194/gmd-6-1623-2013","ISSN":"1991-9603","abstract":"&lt;p&gt;&lt;p&gt;&lt;strong&gt;Abstract.&lt;/strong&gt; In this study we compare monthly gross primary productivity (GPP) time series (2000–2007), computed for Europe with the Biosphere Energy Transfer Hydrology (BETHY/DLR) model with monthly data from the eddy covariance measurements network FLUXNET. BETHY/DLR with a spatial resolution of 1 km&lt;sup&gt;2&lt;/sup&gt; is designed for regional and continental applications (here Europe) and operated at the German Aerospace Center (DLR). It was adapted from the BETHY scheme to be driven by remote sensing data (leaf area index (LAI) and land cover information) and meteorology. Time series of LAI obtained from the CYCLOPES database are used to control the phenology of vegetation. Meteorological time series from the European Centre for Medium-Range Weather Forecasts (ECMWF) are used as driver. These comprise daily information on temperature, precipitation, wind speed and radiation. Additionally, static maps such as land cover, elevation, and soil type are used. To validate our model results we used eddy covariance measurements from the FLUXNET network of 74 towers across Europe. For forest sites we found that our model predicts between 20 and 40% higher annual GPP sums. In contrast, for cropland sites BETHY/DLR results show about 18% less GPP than eddy covariance measurements. For grassland sites, between 10% more and 16% less GPP was calculated with BETHY/DLR. A mean total carbon uptake of 2.5 PgC a&lt;sup&gt;−1&lt;/sup&gt; (±0.17 PgC a&lt;sup&gt;−1&lt;/sup&gt;) was found for Europe. In addition, this study reports on risks that arise from the comparison of modelled data to FLUXNET measurements and their interpretation width. Furthermore we investigate reasons for uncertainties in model results and focus here on &lt;i&gt;V&lt;/i&gt;&lt;sub&gt;max&lt;/sub&gt; values, and finally embed our results into a broader context of model validation studies published during the last years in order to evaluate differences or similarities in analysed error sources.&lt;/p&gt;&lt;/p&gt;","author":[{"dropping-particle":"","family":"Wißkirchen","given":"K.","non-dropping-particle":"","parse-names":false,"suffix":""},{"dropping-particle":"","family":"Tum","given":"M.","non-dropping-particle":"","parse-names":false,"suffix":""},{"dropping-particle":"","family":"Günther","given":"K. P.","non-dropping-particle":"","parse-names":false,"suffix":""},{"dropping-particle":"","family":"Niklaus","given":"M.","non-dropping-particle":"","parse-names":false,"suffix":""},{"dropping-particle":"","family":"Eisfelder","given":"C.","non-dropping-particle":"","parse-names":false,"suffix":""},{"dropping-particle":"","family":"Knorr","given":"W.","non-dropping-particle":"","parse-names":false,"suffix":""}],"container-title":"Geoscientific Model Development","id":"ITEM-1","issue":"5","issued":{"date-parts":[["2013","10","8"]]},"page":"1623-1640","title":"Quantifying the carbon uptake by vegetation for Europe on a 1 km&amp;amp;lt;sup&amp;amp;gt;2&amp;amp;lt;/sup&amp;amp;gt; resolution using a remote sensing driven vegetation model","type":"article-journal","volume":"6"},"uris":["http://www.mendeley.com/documents/?uuid=2a66f9b9-97fa-3434-9682-3dc7a55bd2e9"]}],"mendeley":{"formattedCitation":"&lt;sup&gt;23&lt;/sup&gt;","plainTextFormattedCitation":"23","previouslyFormattedCitation":"&lt;sup&gt;23&lt;/sup&gt;"},"properties":{"noteIndex":0},"schema":"https://github.com/citation-style-language/schema/raw/master/csl-citation.json"}</w:instrText>
            </w:r>
            <w:r w:rsidRPr="00E8739C">
              <w:rPr>
                <w:rFonts w:ascii="Times New Roman" w:eastAsia="Arial" w:hAnsi="Times New Roman" w:cs="Times New Roman"/>
                <w:color w:val="000000" w:themeColor="text1"/>
                <w:sz w:val="20"/>
                <w:szCs w:val="20"/>
              </w:rPr>
              <w:fldChar w:fldCharType="separate"/>
            </w:r>
            <w:r w:rsidRPr="00E8739C">
              <w:rPr>
                <w:rFonts w:ascii="Times New Roman" w:eastAsia="Arial" w:hAnsi="Times New Roman" w:cs="Times New Roman"/>
                <w:noProof/>
                <w:color w:val="000000" w:themeColor="text1"/>
                <w:sz w:val="20"/>
                <w:szCs w:val="20"/>
              </w:rPr>
              <w:t>23</w:t>
            </w:r>
            <w:r w:rsidRPr="00E8739C">
              <w:rPr>
                <w:rFonts w:ascii="Times New Roman" w:eastAsia="Arial" w:hAnsi="Times New Roman" w:cs="Times New Roman"/>
                <w:color w:val="000000" w:themeColor="text1"/>
                <w:sz w:val="20"/>
                <w:szCs w:val="20"/>
              </w:rPr>
              <w:fldChar w:fldCharType="end"/>
            </w:r>
            <w:r w:rsidR="00E8739C">
              <w:rPr>
                <w:rFonts w:ascii="Times New Roman" w:eastAsia="Arial" w:hAnsi="Times New Roman" w:cs="Times New Roman"/>
                <w:color w:val="000000" w:themeColor="text1"/>
                <w:sz w:val="20"/>
                <w:szCs w:val="20"/>
              </w:rPr>
              <w:t>]</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20%</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vertAlign w:val="subscript"/>
              </w:rPr>
            </w:pPr>
            <w:r w:rsidRPr="00E8739C">
              <w:rPr>
                <w:rFonts w:ascii="Times New Roman" w:eastAsia="Arial" w:hAnsi="Times New Roman" w:cs="Times New Roman"/>
                <w:color w:val="000000" w:themeColor="text1"/>
                <w:sz w:val="20"/>
                <w:szCs w:val="20"/>
              </w:rPr>
              <w:t>NPP</w:t>
            </w:r>
            <w:r w:rsidRPr="00E8739C">
              <w:rPr>
                <w:rFonts w:ascii="Times New Roman" w:eastAsia="Arial" w:hAnsi="Times New Roman" w:cs="Times New Roman"/>
                <w:color w:val="000000" w:themeColor="text1"/>
                <w:sz w:val="20"/>
                <w:szCs w:val="20"/>
                <w:vertAlign w:val="subscript"/>
              </w:rPr>
              <w:t>GIMMS</w:t>
            </w:r>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-3726</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745</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Kolby Smith et al.</w:t>
            </w:r>
            <w:r w:rsidR="00E8739C">
              <w:rPr>
                <w:rFonts w:ascii="Times New Roman" w:eastAsia="Arial" w:hAnsi="Times New Roman" w:cs="Times New Roman"/>
                <w:color w:val="000000" w:themeColor="text1"/>
                <w:sz w:val="20"/>
                <w:szCs w:val="20"/>
              </w:rPr>
              <w:t xml:space="preserve"> [</w:t>
            </w:r>
            <w:r w:rsidRPr="00E8739C">
              <w:rPr>
                <w:rFonts w:ascii="Times New Roman" w:eastAsia="Arial" w:hAnsi="Times New Roman" w:cs="Times New Roman"/>
                <w:color w:val="000000" w:themeColor="text1"/>
                <w:sz w:val="20"/>
                <w:szCs w:val="20"/>
              </w:rPr>
              <w:fldChar w:fldCharType="begin" w:fldLock="1"/>
            </w:r>
            <w:r w:rsidRPr="00E8739C">
              <w:rPr>
                <w:rFonts w:ascii="Times New Roman" w:eastAsia="Arial" w:hAnsi="Times New Roman" w:cs="Times New Roman"/>
                <w:color w:val="000000" w:themeColor="text1"/>
                <w:sz w:val="20"/>
                <w:szCs w:val="20"/>
              </w:rPr>
              <w:instrText>ADDIN CSL_CITATION {"citationItems":[{"id":"ITEM-1","itemData":{"author":[{"dropping-particle":"","family":"Kolby Smith","given":"W","non-dropping-particle":"","parse-names":false,"suffix":""},{"dropping-particle":"","family":"Reed","given":"Sasha C","non-dropping-particle":"","parse-names":false,"suffix":""},{"dropping-particle":"","family":"Cleveland","given":"Cory C","non-dropping-particle":"","parse-names":false,"suffix":""},{"dropping-particle":"","family":"Ballantyne","given":"Ashley P","non-dropping-particle":"","parse-names":false,"suffix":""},{"dropping-particle":"","family":"Anderegg","given":"William R L","non-dropping-particle":"","parse-names":false,"suffix":""},{"dropping-particle":"","family":"Wieder","given":"William R","non-dropping-particle":"","parse-names":false,"suffix":""},{"dropping-particle":"","family":"Liu","given":"Yi Y","non-dropping-particle":"","parse-names":false,"suffix":""},{"dropping-particle":"","family":"Running","given":"Steven W","non-dropping-particle":"","parse-names":false,"suffix":""}],"container-title":"Nature Climate Change","id":"ITEM-1","issued":{"date-parts":[["2015","12","7"]]},"page":"306","publisher":"Nature Publishing Group","title":"Large divergence of satellite and Earth system model estimates of global terrestrial CO2 fertilization","type":"article-journal","volume":"6"},"uris":["http://www.mendeley.com/documents/?uuid=61d003ae-325e-49c5-adc9-b80e731e237f"]}],"mendeley":{"formattedCitation":"&lt;sup&gt;24&lt;/sup&gt;","plainTextFormattedCitation":"24","previouslyFormattedCitation":"&lt;sup&gt;24&lt;/sup&gt;"},"properties":{"noteIndex":0},"schema":"https://github.com/citation-style-language/schema/raw/master/csl-citation.json"}</w:instrText>
            </w:r>
            <w:r w:rsidRPr="00E8739C">
              <w:rPr>
                <w:rFonts w:ascii="Times New Roman" w:eastAsia="Arial" w:hAnsi="Times New Roman" w:cs="Times New Roman"/>
                <w:color w:val="000000" w:themeColor="text1"/>
                <w:sz w:val="20"/>
                <w:szCs w:val="20"/>
              </w:rPr>
              <w:fldChar w:fldCharType="separate"/>
            </w:r>
            <w:r w:rsidRPr="00E8739C">
              <w:rPr>
                <w:rFonts w:ascii="Times New Roman" w:eastAsia="Arial" w:hAnsi="Times New Roman" w:cs="Times New Roman"/>
                <w:noProof/>
                <w:color w:val="000000" w:themeColor="text1"/>
                <w:sz w:val="20"/>
                <w:szCs w:val="20"/>
              </w:rPr>
              <w:t>24</w:t>
            </w:r>
            <w:r w:rsidRPr="00E8739C">
              <w:rPr>
                <w:rFonts w:ascii="Times New Roman" w:eastAsia="Arial" w:hAnsi="Times New Roman" w:cs="Times New Roman"/>
                <w:color w:val="000000" w:themeColor="text1"/>
                <w:sz w:val="20"/>
                <w:szCs w:val="20"/>
              </w:rPr>
              <w:fldChar w:fldCharType="end"/>
            </w:r>
            <w:r w:rsidR="00E8739C">
              <w:rPr>
                <w:rFonts w:ascii="Times New Roman" w:eastAsia="Arial" w:hAnsi="Times New Roman" w:cs="Times New Roman"/>
                <w:color w:val="000000" w:themeColor="text1"/>
                <w:sz w:val="20"/>
                <w:szCs w:val="20"/>
              </w:rPr>
              <w:t>]</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20%</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vertAlign w:val="subscript"/>
              </w:rPr>
            </w:pPr>
            <w:r w:rsidRPr="00E8739C">
              <w:rPr>
                <w:rFonts w:ascii="Times New Roman" w:eastAsia="Arial" w:hAnsi="Times New Roman" w:cs="Times New Roman"/>
                <w:color w:val="000000" w:themeColor="text1"/>
                <w:sz w:val="20"/>
                <w:szCs w:val="20"/>
              </w:rPr>
              <w:t>NPP</w:t>
            </w:r>
            <w:r w:rsidRPr="00E8739C">
              <w:rPr>
                <w:rFonts w:ascii="Times New Roman" w:eastAsia="Arial" w:hAnsi="Times New Roman" w:cs="Times New Roman"/>
                <w:color w:val="000000" w:themeColor="text1"/>
                <w:sz w:val="20"/>
                <w:szCs w:val="20"/>
                <w:vertAlign w:val="subscript"/>
              </w:rPr>
              <w:t>CARDAMOM</w:t>
            </w:r>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-4254</w:t>
            </w:r>
          </w:p>
        </w:tc>
        <w:tc>
          <w:tcPr>
            <w:tcW w:w="27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1385</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 xml:space="preserve">Bloom et al. </w:t>
            </w:r>
            <w:r w:rsidR="00E8739C">
              <w:rPr>
                <w:rFonts w:ascii="Times New Roman" w:eastAsia="Arial" w:hAnsi="Times New Roman" w:cs="Times New Roman"/>
                <w:color w:val="000000" w:themeColor="text1"/>
                <w:sz w:val="20"/>
                <w:szCs w:val="20"/>
              </w:rPr>
              <w:t>[</w:t>
            </w:r>
            <w:r w:rsidRPr="00E8739C">
              <w:rPr>
                <w:rFonts w:ascii="Times New Roman" w:eastAsia="Arial" w:hAnsi="Times New Roman" w:cs="Times New Roman"/>
                <w:color w:val="000000" w:themeColor="text1"/>
                <w:sz w:val="20"/>
                <w:szCs w:val="20"/>
              </w:rPr>
              <w:fldChar w:fldCharType="begin" w:fldLock="1"/>
            </w:r>
            <w:r w:rsidRPr="00E8739C">
              <w:rPr>
                <w:rFonts w:ascii="Times New Roman" w:eastAsia="Arial" w:hAnsi="Times New Roman" w:cs="Times New Roman"/>
                <w:color w:val="000000" w:themeColor="text1"/>
                <w:sz w:val="20"/>
                <w:szCs w:val="20"/>
              </w:rPr>
              <w:instrText>ADDIN CSL_CITATION {"citationItems":[{"id":"ITEM-1","itemData":{"DOI":"10.1073/pnas.1515160113","ISSN":"0027-8424","abstract":"Quantitative knowledge of terrestrial carbon pathways and processes is fundamental for understanding the biosphere{\\textquoteright}s response to a changing climate. Carbon allocation, stocks, and residence times together define the dynamic state of the terrestrial carbon cycle. These quantities are difficult to measure and remain poorly quantified on a global scale. Here, we retrieve global 1{\\textdegree} {\\texttimes} 1{\\textdegree} carbon state and process variables by combining a carbon balance model with satellite observations of biomass and leaf area (where and when available) and global soil carbon data. Our results reveal emergent continental-scale patterns and relationships between carbon states and processes. We find that conventional land cover types cannot capture continental-scale variations of retrieved carbon variables; this mismatch has strong implications for terrestrial carbon cycle predictions.The terrestrial carbon cycle is currently the least constrained component of the global carbon budget. Large uncertainties stem from a poor understanding of plant carbon allocation, stocks, residence times, and carbon use efficiency. Imposing observational constraints on the terrestrial carbon cycle and its processes is, therefore, necessary to better understand its current state and predict its future state. We combine a diagnostic ecosystem carbon model with satellite observations of leaf area and biomass (where and when available) and soil carbon data to retrieve the first global estimates, to our knowledge, of carbon cycle state and process variables at a 1{\\textdegree} {\\texttimes} 1{\\textdegree} resolution; retrieved variables are independent from the plant functional type and steady-state paradigms. Our results reveal global emergent relationships in the spatial distribution of key carbon cycle states and processes. Live biomass and dead organic carbon residence times exhibit contrasting spatial features (r = 0.3). Allocation to structural carbon is highest in the wet tropics (85{\\textendash}88%) in contrast to higher latitudes (73{\\textendash}82%), where allocation shifts toward photosynthetic carbon. Carbon use efficiency is lowest (0.42{\\textendash}0.44) in the wet tropics. We find an emergent global correlation between retrievals of leaf mass per leaf area and leaf lifespan (r = 0.64{\\textendash}0.80) that matches independent trait studies. We show that conventional land cover types cannot adequately describe the spatial variability of …","author":[{"dropping-particle":"","family":"Bloom","given":"A Anthony","non-dropping-particle":"","parse-names":false,"suffix":""},{"dropping-particle":"","family":"Exbrayat","given":"Jean-François","non-dropping-particle":"","parse-names":false,"suffix":""},{"dropping-particle":"","family":"Velde","given":"Ivar R","non-dropping-particle":"van der","parse-names":false,"suffix":""},{"dropping-particle":"","family":"Feng","given":"Liang","non-dropping-particle":"","parse-names":false,"suffix":""},{"dropping-particle":"","family":"Williams","given":"Mathew","non-dropping-particle":"","parse-names":false,"suffix":""}],"container-title":"Proceedings of the National Academy of Sciences","id":"ITEM-1","issue":"5","issued":{"date-parts":[["2016"]]},"page":"1285-1290","publisher":"National Academy of Sciences","title":"The decadal state of the terrestrial carbon cycle: Global retrievals of terrestrial carbon allocation, pools, and residence times","type":"article-journal","volume":"113"},"uris":["http://www.mendeley.com/documents/?uuid=6f80c03b-935a-4bff-b909-17256e12378d"]}],"mendeley":{"formattedCitation":"&lt;sup&gt;25&lt;/sup&gt;","plainTextFormattedCitation":"25","previouslyFormattedCitation":"&lt;sup&gt;25&lt;/sup&gt;"},"properties":{"noteIndex":0},"schema":"https://github.com/citation-style-language/schema/raw/master/csl-citation.json"}</w:instrText>
            </w:r>
            <w:r w:rsidRPr="00E8739C">
              <w:rPr>
                <w:rFonts w:ascii="Times New Roman" w:eastAsia="Arial" w:hAnsi="Times New Roman" w:cs="Times New Roman"/>
                <w:color w:val="000000" w:themeColor="text1"/>
                <w:sz w:val="20"/>
                <w:szCs w:val="20"/>
              </w:rPr>
              <w:fldChar w:fldCharType="separate"/>
            </w:r>
            <w:r w:rsidRPr="00E8739C">
              <w:rPr>
                <w:rFonts w:ascii="Times New Roman" w:eastAsia="Arial" w:hAnsi="Times New Roman" w:cs="Times New Roman"/>
                <w:noProof/>
                <w:color w:val="000000" w:themeColor="text1"/>
                <w:sz w:val="20"/>
                <w:szCs w:val="20"/>
              </w:rPr>
              <w:t>25</w:t>
            </w:r>
            <w:r w:rsidRPr="00E8739C">
              <w:rPr>
                <w:rFonts w:ascii="Times New Roman" w:eastAsia="Arial" w:hAnsi="Times New Roman" w:cs="Times New Roman"/>
                <w:color w:val="000000" w:themeColor="text1"/>
                <w:sz w:val="20"/>
                <w:szCs w:val="20"/>
              </w:rPr>
              <w:fldChar w:fldCharType="end"/>
            </w:r>
            <w:r w:rsidR="00E8739C">
              <w:rPr>
                <w:rFonts w:ascii="Times New Roman" w:eastAsia="Arial" w:hAnsi="Times New Roman" w:cs="Times New Roman"/>
                <w:color w:val="000000" w:themeColor="text1"/>
                <w:sz w:val="20"/>
                <w:szCs w:val="20"/>
              </w:rPr>
              <w:t>]</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20%</w:t>
            </w:r>
          </w:p>
        </w:tc>
      </w:tr>
      <w:tr w:rsidR="00F6749E" w:rsidRPr="00E8739C" w:rsidTr="00E8739C">
        <w:trPr>
          <w:trHeight w:val="600"/>
        </w:trPr>
        <w:tc>
          <w:tcPr>
            <w:tcW w:w="1815"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Soil Het. Resp.</w:t>
            </w:r>
          </w:p>
        </w:tc>
        <w:tc>
          <w:tcPr>
            <w:tcW w:w="630" w:type="dxa"/>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2338</w:t>
            </w:r>
          </w:p>
        </w:tc>
        <w:tc>
          <w:tcPr>
            <w:tcW w:w="1020" w:type="dxa"/>
            <w:gridSpan w:val="2"/>
            <w:tcMar>
              <w:top w:w="0" w:type="dxa"/>
              <w:left w:w="0" w:type="dxa"/>
              <w:bottom w:w="0" w:type="dxa"/>
              <w:right w:w="0" w:type="dxa"/>
            </w:tcMar>
            <w:vAlign w:val="center"/>
          </w:tcPr>
          <w:p w:rsidR="00F6749E" w:rsidRPr="00E8739C" w:rsidRDefault="00F6749E" w:rsidP="009F5F02">
            <w:pPr>
              <w:widowControl w:val="0"/>
              <w:jc w:val="center"/>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(1755,2976)</w:t>
            </w:r>
          </w:p>
        </w:tc>
        <w:tc>
          <w:tcPr>
            <w:tcW w:w="3471"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Equation (2)</w:t>
            </w:r>
          </w:p>
        </w:tc>
        <w:tc>
          <w:tcPr>
            <w:tcW w:w="2004" w:type="dxa"/>
            <w:shd w:val="clear" w:color="auto" w:fill="auto"/>
            <w:tcMar>
              <w:top w:w="100" w:type="dxa"/>
              <w:left w:w="100" w:type="dxa"/>
              <w:bottom w:w="100" w:type="dxa"/>
              <w:right w:w="100" w:type="dxa"/>
            </w:tcMar>
            <w:vAlign w:val="center"/>
          </w:tcPr>
          <w:p w:rsidR="00F6749E" w:rsidRPr="00E8739C" w:rsidRDefault="00F6749E" w:rsidP="00E8739C">
            <w:pPr>
              <w:widowControl w:val="0"/>
              <w:rPr>
                <w:rFonts w:ascii="Times New Roman" w:eastAsia="Arial" w:hAnsi="Times New Roman" w:cs="Times New Roman"/>
                <w:color w:val="000000" w:themeColor="text1"/>
                <w:sz w:val="20"/>
                <w:szCs w:val="20"/>
              </w:rPr>
            </w:pPr>
            <w:r w:rsidRPr="00E8739C">
              <w:rPr>
                <w:rFonts w:ascii="Times New Roman" w:eastAsia="Arial" w:hAnsi="Times New Roman" w:cs="Times New Roman"/>
                <w:color w:val="000000" w:themeColor="text1"/>
                <w:sz w:val="20"/>
                <w:szCs w:val="20"/>
              </w:rPr>
              <w:t>Inter-quartile from Monte Carlo (</w:t>
            </w:r>
            <w:r w:rsidR="00E8739C">
              <w:rPr>
                <w:rFonts w:ascii="Times New Roman" w:eastAsia="Arial" w:hAnsi="Times New Roman" w:cs="Times New Roman"/>
                <w:color w:val="000000" w:themeColor="text1"/>
                <w:sz w:val="20"/>
                <w:szCs w:val="20"/>
              </w:rPr>
              <w:t>M</w:t>
            </w:r>
            <w:r w:rsidRPr="00E8739C">
              <w:rPr>
                <w:rFonts w:ascii="Times New Roman" w:eastAsia="Arial" w:hAnsi="Times New Roman" w:cs="Times New Roman"/>
                <w:color w:val="000000" w:themeColor="text1"/>
                <w:sz w:val="20"/>
                <w:szCs w:val="20"/>
              </w:rPr>
              <w:t>ethods)</w:t>
            </w:r>
          </w:p>
        </w:tc>
      </w:tr>
    </w:tbl>
    <w:p w:rsidR="00E8739C" w:rsidRDefault="00E8739C" w:rsidP="00E8739C">
      <w:pPr>
        <w:ind w:left="425" w:hanging="425"/>
        <w:rPr>
          <w:rFonts w:ascii="Times New Roman" w:eastAsia="Arial Unicode MS" w:hAnsi="Times New Roman" w:cs="Times New Roman"/>
          <w:color w:val="000000" w:themeColor="text1"/>
          <w:sz w:val="20"/>
          <w:szCs w:val="20"/>
        </w:rPr>
      </w:pPr>
    </w:p>
    <w:p w:rsidR="00F6749E" w:rsidRPr="00E8739C" w:rsidRDefault="00E8739C" w:rsidP="00E8739C">
      <w:pPr>
        <w:ind w:left="425" w:hanging="425"/>
        <w:rPr>
          <w:rFonts w:ascii="Times New Roman" w:eastAsia="Arial" w:hAnsi="Times New Roman" w:cs="Times New Roman"/>
          <w:color w:val="000000" w:themeColor="text1"/>
          <w:sz w:val="20"/>
          <w:szCs w:val="20"/>
        </w:rPr>
      </w:pPr>
      <w:proofErr w:type="spellStart"/>
      <w:r>
        <w:rPr>
          <w:rFonts w:ascii="Times New Roman" w:eastAsia="Arial Unicode MS" w:hAnsi="Times New Roman" w:cs="Times New Roman"/>
          <w:color w:val="000000" w:themeColor="text1"/>
          <w:sz w:val="20"/>
          <w:szCs w:val="20"/>
        </w:rPr>
        <w:t>a</w:t>
      </w:r>
      <w:proofErr w:type="spellEnd"/>
      <w:r w:rsidR="00F6749E" w:rsidRPr="00E8739C">
        <w:rPr>
          <w:rFonts w:ascii="Times New Roman" w:eastAsia="Arial Unicode MS" w:hAnsi="Times New Roman" w:cs="Times New Roman"/>
          <w:color w:val="000000" w:themeColor="text1"/>
          <w:sz w:val="20"/>
          <w:szCs w:val="20"/>
        </w:rPr>
        <w:tab/>
        <w:t xml:space="preserve">Includes also ∆C from burial in lakes and reservoirs from </w:t>
      </w:r>
      <w:proofErr w:type="spellStart"/>
      <w:r w:rsidR="00F6749E" w:rsidRPr="00E8739C">
        <w:rPr>
          <w:rFonts w:ascii="Times New Roman" w:eastAsia="Arial Unicode MS" w:hAnsi="Times New Roman" w:cs="Times New Roman"/>
          <w:color w:val="000000" w:themeColor="text1"/>
          <w:sz w:val="20"/>
          <w:szCs w:val="20"/>
        </w:rPr>
        <w:t>Mendoca</w:t>
      </w:r>
      <w:proofErr w:type="spellEnd"/>
      <w:r w:rsidR="00F6749E" w:rsidRPr="00E8739C">
        <w:rPr>
          <w:rFonts w:ascii="Times New Roman" w:eastAsia="Arial Unicode MS" w:hAnsi="Times New Roman" w:cs="Times New Roman"/>
          <w:color w:val="000000" w:themeColor="text1"/>
          <w:sz w:val="20"/>
          <w:szCs w:val="20"/>
        </w:rPr>
        <w:t xml:space="preserve"> et al. </w:t>
      </w:r>
      <w:r>
        <w:rPr>
          <w:rFonts w:ascii="Times New Roman" w:eastAsia="Arial Unicode MS" w:hAnsi="Times New Roman" w:cs="Times New Roman"/>
          <w:color w:val="000000" w:themeColor="text1"/>
          <w:sz w:val="20"/>
          <w:szCs w:val="20"/>
        </w:rPr>
        <w:t>[</w:t>
      </w:r>
      <w:r w:rsidR="00F6749E" w:rsidRPr="00E8739C">
        <w:rPr>
          <w:rFonts w:ascii="Times New Roman" w:eastAsia="Arial Unicode MS" w:hAnsi="Times New Roman" w:cs="Times New Roman"/>
          <w:color w:val="000000" w:themeColor="text1"/>
          <w:sz w:val="20"/>
          <w:szCs w:val="20"/>
        </w:rPr>
        <w:fldChar w:fldCharType="begin" w:fldLock="1"/>
      </w:r>
      <w:r w:rsidR="00F6749E" w:rsidRPr="00E8739C">
        <w:rPr>
          <w:rFonts w:ascii="Times New Roman" w:eastAsia="Arial Unicode MS" w:hAnsi="Times New Roman" w:cs="Times New Roman"/>
          <w:color w:val="000000" w:themeColor="text1"/>
          <w:sz w:val="20"/>
          <w:szCs w:val="20"/>
        </w:rPr>
        <w:instrText>ADDIN CSL_CITATION {"citationItems":[{"id":"ITEM-1","itemData":{"DOI":"10.1038/s41467-017-01789-6","ISSN":"2041-1723","abstract":"Burial in sediments removes organic carbon (OC) from the short-term biosphere-atmosphere carbon (C) cycle, and therefore prevents greenhouse gas production in natural systems. Although OC burial in lakes and reservoirs is faster than in the ocean, the magnitude of inland water OC burial is not well constrained. Here we generate the first global-scale and regionally resolved estimate of modern OC burial in lakes and reservoirs, deriving from a comprehensive compilation of literature data. We coupled statistical models to inland water area inventories to estimate a yearly OC burial of 0.15 (range, 0.06–0.25) Pg C, of which ~40% is stored in reservoirs. Relatively higher OC burial rates are predicted for warm and dry regions. While we report lower burial than previously estimated, lake and reservoir OC burial corresponded to ~20% of their C emissions, making them an important C sink that is likely to increase with eutrophication and river damming.","author":[{"dropping-particle":"","family":"Mendonça","given":"Raquel","non-dropping-particle":"","parse-names":false,"suffix":""},{"dropping-particle":"","family":"Müller","given":"Roger A","non-dropping-particle":"","parse-names":false,"suffix":""},{"dropping-particle":"","family":"Clow","given":"David","non-dropping-particle":"","parse-names":false,"suffix":""},{"dropping-particle":"","family":"Verpoorter","given":"Charles","non-dropping-particle":"","parse-names":false,"suffix":""},{"dropping-particle":"","family":"Raymond","given":"Peter","non-dropping-particle":"","parse-names":false,"suffix":""},{"dropping-particle":"","family":"Tranvik","given":"Lars J","non-dropping-particle":"","parse-names":false,"suffix":""},{"dropping-particle":"","family":"Sobek","given":"Sebastian","non-dropping-particle":"","parse-names":false,"suffix":""}],"container-title":"Nature Communications","id":"ITEM-1","issue":"1","issued":{"date-parts":[["2017"]]},"page":"1694","title":"Organic carbon burial in global lakes and reservoirs","type":"article-journal","volume":"8"},"uris":["http://www.mendeley.com/documents/?uuid=96249757-5ec9-4e63-bf83-f75ad5f01240"]}],"mendeley":{"formattedCitation":"&lt;sup&gt;43&lt;/sup&gt;","plainTextFormattedCitation":"43","previouslyFormattedCitation":"&lt;sup&gt;43&lt;/sup&gt;"},"properties":{"noteIndex":0},"schema":"https://github.com/citation-style-language/schema/raw/master/csl-citation.json"}</w:instrText>
      </w:r>
      <w:r w:rsidR="00F6749E" w:rsidRPr="00E8739C">
        <w:rPr>
          <w:rFonts w:ascii="Times New Roman" w:eastAsia="Arial Unicode MS" w:hAnsi="Times New Roman" w:cs="Times New Roman"/>
          <w:color w:val="000000" w:themeColor="text1"/>
          <w:sz w:val="20"/>
          <w:szCs w:val="20"/>
        </w:rPr>
        <w:fldChar w:fldCharType="separate"/>
      </w:r>
      <w:r w:rsidR="00F6749E" w:rsidRPr="00E8739C">
        <w:rPr>
          <w:rFonts w:ascii="Times New Roman" w:eastAsia="Arial Unicode MS" w:hAnsi="Times New Roman" w:cs="Times New Roman"/>
          <w:noProof/>
          <w:color w:val="000000" w:themeColor="text1"/>
          <w:sz w:val="20"/>
          <w:szCs w:val="20"/>
        </w:rPr>
        <w:t>43</w:t>
      </w:r>
      <w:r w:rsidR="00F6749E" w:rsidRPr="00E8739C">
        <w:rPr>
          <w:rFonts w:ascii="Times New Roman" w:eastAsia="Arial Unicode MS" w:hAnsi="Times New Roman" w:cs="Times New Roman"/>
          <w:color w:val="000000" w:themeColor="text1"/>
          <w:sz w:val="20"/>
          <w:szCs w:val="20"/>
        </w:rPr>
        <w:fldChar w:fldCharType="end"/>
      </w:r>
      <w:r>
        <w:rPr>
          <w:rFonts w:ascii="Times New Roman" w:eastAsia="Arial Unicode MS" w:hAnsi="Times New Roman" w:cs="Times New Roman"/>
          <w:color w:val="000000" w:themeColor="text1"/>
          <w:sz w:val="20"/>
          <w:szCs w:val="20"/>
        </w:rPr>
        <w:t>]</w:t>
      </w:r>
    </w:p>
    <w:p w:rsidR="00F6749E" w:rsidRPr="00E8739C" w:rsidRDefault="00E8739C" w:rsidP="00E8739C">
      <w:pPr>
        <w:ind w:left="425" w:hanging="425"/>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b</w:t>
      </w:r>
      <w:r w:rsidR="00F6749E" w:rsidRPr="00E8739C">
        <w:rPr>
          <w:rFonts w:ascii="Times New Roman" w:eastAsia="Arial" w:hAnsi="Times New Roman" w:cs="Times New Roman"/>
          <w:color w:val="000000" w:themeColor="text1"/>
          <w:sz w:val="20"/>
          <w:szCs w:val="20"/>
        </w:rPr>
        <w:tab/>
        <w:t xml:space="preserve">River C transport to estuaries and estuaries C outgassing are both assumed a relative uncertainty of 50%. The total error on </w:t>
      </w:r>
      <w:proofErr w:type="spellStart"/>
      <w:r w:rsidR="00F6749E" w:rsidRPr="00E8739C">
        <w:rPr>
          <w:rFonts w:ascii="Times New Roman" w:eastAsia="Arial" w:hAnsi="Times New Roman" w:cs="Times New Roman"/>
          <w:color w:val="000000" w:themeColor="text1"/>
          <w:sz w:val="20"/>
          <w:szCs w:val="20"/>
        </w:rPr>
        <w:t>F</w:t>
      </w:r>
      <w:r w:rsidR="00F6749E" w:rsidRPr="00E8739C">
        <w:rPr>
          <w:rFonts w:ascii="Times New Roman" w:eastAsia="Arial" w:hAnsi="Times New Roman" w:cs="Times New Roman"/>
          <w:color w:val="000000" w:themeColor="text1"/>
          <w:sz w:val="20"/>
          <w:szCs w:val="20"/>
          <w:vertAlign w:val="subscript"/>
        </w:rPr>
        <w:t>rivers</w:t>
      </w:r>
      <w:proofErr w:type="spellEnd"/>
      <w:r w:rsidR="00F6749E" w:rsidRPr="00E8739C">
        <w:rPr>
          <w:rFonts w:ascii="Times New Roman" w:eastAsia="Arial" w:hAnsi="Times New Roman" w:cs="Times New Roman"/>
          <w:color w:val="000000" w:themeColor="text1"/>
          <w:sz w:val="20"/>
          <w:szCs w:val="20"/>
          <w:vertAlign w:val="subscript"/>
        </w:rPr>
        <w:t xml:space="preserve"> </w:t>
      </w:r>
      <w:r w:rsidR="00F6749E" w:rsidRPr="00E8739C">
        <w:rPr>
          <w:rFonts w:ascii="Times New Roman" w:eastAsia="Arial" w:hAnsi="Times New Roman" w:cs="Times New Roman"/>
          <w:color w:val="000000" w:themeColor="text1"/>
          <w:sz w:val="20"/>
          <w:szCs w:val="20"/>
        </w:rPr>
        <w:t>is calculated by assuming these two terms have independent uncertainties</w:t>
      </w:r>
    </w:p>
    <w:p w:rsidR="00F6749E" w:rsidRPr="00E8739C" w:rsidRDefault="00E8739C" w:rsidP="00E8739C">
      <w:pPr>
        <w:ind w:left="425" w:hanging="425"/>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c</w:t>
      </w:r>
      <w:r w:rsidR="00F6749E" w:rsidRPr="00E8739C">
        <w:rPr>
          <w:rFonts w:ascii="Times New Roman" w:eastAsia="Arial" w:hAnsi="Times New Roman" w:cs="Times New Roman"/>
          <w:color w:val="000000" w:themeColor="text1"/>
          <w:sz w:val="20"/>
          <w:szCs w:val="20"/>
        </w:rPr>
        <w:tab/>
        <w:t>The total error on NEE</w:t>
      </w:r>
      <w:r w:rsidR="00F6749E" w:rsidRPr="00E8739C">
        <w:rPr>
          <w:rFonts w:ascii="Times New Roman" w:eastAsia="Arial" w:hAnsi="Times New Roman" w:cs="Times New Roman"/>
          <w:color w:val="000000" w:themeColor="text1"/>
          <w:sz w:val="20"/>
          <w:szCs w:val="20"/>
          <w:vertAlign w:val="subscript"/>
        </w:rPr>
        <w:t xml:space="preserve"> </w:t>
      </w:r>
      <w:r w:rsidR="00F6749E" w:rsidRPr="00E8739C">
        <w:rPr>
          <w:rFonts w:ascii="Times New Roman" w:eastAsia="Arial" w:hAnsi="Times New Roman" w:cs="Times New Roman"/>
          <w:color w:val="000000" w:themeColor="text1"/>
          <w:sz w:val="20"/>
          <w:szCs w:val="20"/>
        </w:rPr>
        <w:t xml:space="preserve">is calculated by assuming each  term of </w:t>
      </w:r>
      <w:r w:rsidRPr="00E8739C">
        <w:rPr>
          <w:rFonts w:ascii="Times New Roman" w:eastAsia="Arial" w:hAnsi="Times New Roman" w:cs="Times New Roman"/>
          <w:color w:val="000000" w:themeColor="text1"/>
          <w:sz w:val="20"/>
          <w:szCs w:val="20"/>
        </w:rPr>
        <w:t>Equation</w:t>
      </w:r>
      <w:r w:rsidR="00F6749E" w:rsidRPr="00E8739C">
        <w:rPr>
          <w:rFonts w:ascii="Times New Roman" w:eastAsia="Arial" w:hAnsi="Times New Roman" w:cs="Times New Roman"/>
          <w:color w:val="000000" w:themeColor="text1"/>
          <w:sz w:val="20"/>
          <w:szCs w:val="20"/>
        </w:rPr>
        <w:t xml:space="preserve"> (1)  have independent uncertainties</w:t>
      </w:r>
    </w:p>
    <w:p w:rsidR="00F6749E" w:rsidRPr="00E8739C" w:rsidRDefault="00E8739C" w:rsidP="00E8739C">
      <w:pPr>
        <w:ind w:left="425" w:hanging="425"/>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d</w:t>
      </w:r>
      <w:r w:rsidR="00F6749E" w:rsidRPr="00E8739C">
        <w:rPr>
          <w:rFonts w:ascii="Times New Roman" w:eastAsia="Arial" w:hAnsi="Times New Roman" w:cs="Times New Roman"/>
          <w:color w:val="000000" w:themeColor="text1"/>
          <w:sz w:val="20"/>
          <w:szCs w:val="20"/>
        </w:rPr>
        <w:tab/>
        <w:t>Uncertainty of 20% for wood products decay and estimated by Monte Carlo approach by Wang et al. for biomass burned in industry and power plants</w:t>
      </w:r>
    </w:p>
    <w:p w:rsidR="00F6749E" w:rsidRPr="00E8739C" w:rsidRDefault="00E8739C" w:rsidP="00E8739C">
      <w:pPr>
        <w:ind w:left="425" w:hanging="425"/>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e</w:t>
      </w:r>
      <w:r w:rsidR="00F6749E" w:rsidRPr="00E8739C">
        <w:rPr>
          <w:rFonts w:ascii="Times New Roman" w:eastAsia="Arial" w:hAnsi="Times New Roman" w:cs="Times New Roman"/>
          <w:color w:val="000000" w:themeColor="text1"/>
          <w:sz w:val="20"/>
          <w:szCs w:val="20"/>
        </w:rPr>
        <w:tab/>
      </w:r>
      <w:proofErr w:type="spellStart"/>
      <w:r w:rsidR="00F6749E" w:rsidRPr="00E8739C">
        <w:rPr>
          <w:rFonts w:ascii="Times New Roman" w:eastAsia="Arial" w:hAnsi="Times New Roman" w:cs="Times New Roman"/>
          <w:color w:val="000000" w:themeColor="text1"/>
          <w:sz w:val="20"/>
          <w:szCs w:val="20"/>
        </w:rPr>
        <w:t>F</w:t>
      </w:r>
      <w:r w:rsidR="00F6749E" w:rsidRPr="00E8739C">
        <w:rPr>
          <w:rFonts w:ascii="Times New Roman" w:eastAsia="Arial" w:hAnsi="Times New Roman" w:cs="Times New Roman"/>
          <w:color w:val="000000" w:themeColor="text1"/>
          <w:sz w:val="20"/>
          <w:szCs w:val="20"/>
          <w:vertAlign w:val="subscript"/>
        </w:rPr>
        <w:t>fires</w:t>
      </w:r>
      <w:proofErr w:type="spellEnd"/>
      <w:r w:rsidR="00F6749E" w:rsidRPr="00E8739C">
        <w:rPr>
          <w:rFonts w:ascii="Times New Roman" w:eastAsia="Arial" w:hAnsi="Times New Roman" w:cs="Times New Roman"/>
          <w:color w:val="000000" w:themeColor="text1"/>
          <w:sz w:val="20"/>
          <w:szCs w:val="20"/>
          <w:vertAlign w:val="subscript"/>
        </w:rPr>
        <w:t xml:space="preserve"> </w:t>
      </w:r>
      <w:r w:rsidR="00F6749E" w:rsidRPr="00E8739C">
        <w:rPr>
          <w:rFonts w:ascii="Times New Roman" w:eastAsia="Arial" w:hAnsi="Times New Roman" w:cs="Times New Roman"/>
          <w:color w:val="000000" w:themeColor="text1"/>
          <w:sz w:val="20"/>
          <w:szCs w:val="20"/>
        </w:rPr>
        <w:t>includes open fires and crop residues burning estimated from Wang et al.</w:t>
      </w:r>
    </w:p>
    <w:p w:rsidR="00F6749E" w:rsidRPr="00DA354E" w:rsidRDefault="00F6749E" w:rsidP="00F6749E">
      <w:pPr>
        <w:rPr>
          <w:rFonts w:ascii="Times New Roman" w:eastAsia="Arial" w:hAnsi="Times New Roman" w:cs="Times New Roman"/>
          <w:color w:val="000000" w:themeColor="text1"/>
          <w:sz w:val="18"/>
          <w:szCs w:val="18"/>
        </w:rPr>
      </w:pPr>
    </w:p>
    <w:p w:rsidR="00F6749E" w:rsidRPr="00DA354E" w:rsidRDefault="00F6749E" w:rsidP="00F6749E">
      <w:pPr>
        <w:rPr>
          <w:rFonts w:ascii="Times New Roman" w:eastAsia="Calibri" w:hAnsi="Times New Roman" w:cs="Times New Roman"/>
          <w:color w:val="000000" w:themeColor="text1"/>
          <w:sz w:val="16"/>
          <w:szCs w:val="16"/>
        </w:rPr>
      </w:pPr>
      <w:r w:rsidRPr="00DA354E">
        <w:rPr>
          <w:rFonts w:ascii="Times New Roman" w:hAnsi="Times New Roman" w:cs="Times New Roman"/>
          <w:color w:val="000000" w:themeColor="text1"/>
        </w:rPr>
        <w:br w:type="page"/>
      </w: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630"/>
        <w:gridCol w:w="270"/>
        <w:gridCol w:w="1035"/>
        <w:gridCol w:w="3470"/>
        <w:gridCol w:w="1720"/>
      </w:tblGrid>
      <w:tr w:rsidR="00F6749E" w:rsidRPr="00DA354E" w:rsidTr="00C26ED2">
        <w:trPr>
          <w:trHeight w:val="400"/>
        </w:trPr>
        <w:tc>
          <w:tcPr>
            <w:tcW w:w="8940" w:type="dxa"/>
            <w:gridSpan w:val="6"/>
            <w:shd w:val="clear" w:color="auto" w:fill="auto"/>
            <w:tcMar>
              <w:top w:w="100" w:type="dxa"/>
              <w:left w:w="100" w:type="dxa"/>
              <w:bottom w:w="100" w:type="dxa"/>
              <w:right w:w="100" w:type="dxa"/>
            </w:tcMar>
          </w:tcPr>
          <w:p w:rsidR="00F6749E" w:rsidRPr="00DA354E" w:rsidRDefault="00F6749E" w:rsidP="00C26ED2">
            <w:pPr>
              <w:widowControl w:val="0"/>
              <w:rPr>
                <w:rFonts w:ascii="Times New Roman" w:eastAsia="Arial" w:hAnsi="Times New Roman" w:cs="Times New Roman"/>
                <w:b/>
                <w:color w:val="000000" w:themeColor="text1"/>
              </w:rPr>
            </w:pPr>
            <w:r w:rsidRPr="00DA354E">
              <w:rPr>
                <w:rFonts w:ascii="Times New Roman" w:eastAsia="Arial" w:hAnsi="Times New Roman" w:cs="Times New Roman"/>
                <w:b/>
                <w:color w:val="000000" w:themeColor="text1"/>
              </w:rPr>
              <w:lastRenderedPageBreak/>
              <w:t>South America</w:t>
            </w:r>
          </w:p>
        </w:tc>
      </w:tr>
      <w:tr w:rsidR="00F6749E" w:rsidRPr="00675DC9" w:rsidTr="00675DC9">
        <w:trPr>
          <w:trHeight w:val="400"/>
        </w:trPr>
        <w:tc>
          <w:tcPr>
            <w:tcW w:w="3750" w:type="dxa"/>
            <w:gridSpan w:val="4"/>
            <w:shd w:val="clear" w:color="auto" w:fill="auto"/>
            <w:tcMar>
              <w:top w:w="100" w:type="dxa"/>
              <w:left w:w="100" w:type="dxa"/>
              <w:bottom w:w="100" w:type="dxa"/>
              <w:right w:w="100" w:type="dxa"/>
            </w:tcMar>
            <w:vAlign w:val="center"/>
          </w:tcPr>
          <w:p w:rsidR="00F6749E" w:rsidRPr="00675DC9" w:rsidRDefault="004A6EE9"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roofErr w:type="spellStart"/>
            <w:r w:rsidRPr="00675DC9">
              <w:rPr>
                <w:rFonts w:ascii="Times New Roman" w:eastAsia="Arial" w:hAnsi="Times New Roman" w:cs="Times New Roman"/>
                <w:color w:val="000000" w:themeColor="text1"/>
                <w:sz w:val="20"/>
                <w:szCs w:val="20"/>
              </w:rPr>
              <w:t>TgC</w:t>
            </w:r>
            <w:proofErr w:type="spellEnd"/>
            <w:r w:rsidRPr="00675DC9">
              <w:rPr>
                <w:rFonts w:ascii="Times New Roman" w:eastAsia="Arial" w:hAnsi="Times New Roman" w:cs="Times New Roman"/>
                <w:color w:val="000000" w:themeColor="text1"/>
                <w:sz w:val="20"/>
                <w:szCs w:val="20"/>
              </w:rPr>
              <w:t xml:space="preserve"> yr</w:t>
            </w:r>
            <w:r w:rsidRPr="00675DC9">
              <w:rPr>
                <w:rFonts w:ascii="Times New Roman" w:eastAsia="Arial" w:hAnsi="Times New Roman" w:cs="Times New Roman"/>
                <w:color w:val="000000" w:themeColor="text1"/>
                <w:sz w:val="20"/>
                <w:szCs w:val="20"/>
                <w:vertAlign w:val="superscript"/>
              </w:rPr>
              <w:t>-1</w:t>
            </w:r>
            <w:r w:rsidRPr="00675DC9">
              <w:rPr>
                <w:rFonts w:ascii="Times New Roman" w:eastAsia="Arial" w:hAnsi="Times New Roman" w:cs="Times New Roman"/>
                <w:color w:val="000000" w:themeColor="text1"/>
                <w:sz w:val="20"/>
                <w:szCs w:val="20"/>
              </w:rPr>
              <w:t>)</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Reference</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Uncertainty estimation</w:t>
            </w:r>
          </w:p>
        </w:tc>
      </w:tr>
      <w:tr w:rsidR="00F6749E" w:rsidRPr="00675DC9" w:rsidTr="00675DC9">
        <w:trPr>
          <w:trHeight w:val="600"/>
        </w:trPr>
        <w:tc>
          <w:tcPr>
            <w:tcW w:w="1815" w:type="dxa"/>
            <w:tcBorders>
              <w:top w:val="single" w:sz="8" w:space="0" w:color="000000"/>
              <w:left w:val="single" w:sz="8" w:space="0" w:color="000000"/>
              <w:bottom w:val="single" w:sz="8" w:space="0" w:color="000000"/>
            </w:tcBorders>
            <w:shd w:val="clear" w:color="auto" w:fill="FFFFFF"/>
            <w:vAlign w:val="center"/>
          </w:tcPr>
          <w:p w:rsidR="00F6749E" w:rsidRPr="00675DC9" w:rsidRDefault="00F6749E" w:rsidP="00675DC9">
            <w:pPr>
              <w:rPr>
                <w:rFonts w:ascii="Times New Roman" w:eastAsia="Arial" w:hAnsi="Times New Roman" w:cs="Times New Roman"/>
                <w:color w:val="000000" w:themeColor="text1"/>
                <w:sz w:val="20"/>
                <w:szCs w:val="20"/>
              </w:rPr>
            </w:pPr>
            <w:r w:rsidRPr="00675DC9">
              <w:rPr>
                <w:rFonts w:ascii="Times New Roman" w:eastAsia="Arial Unicode MS" w:hAnsi="Times New Roman" w:cs="Times New Roman"/>
                <w:color w:val="000000" w:themeColor="text1"/>
                <w:sz w:val="20"/>
                <w:szCs w:val="20"/>
              </w:rPr>
              <w:t>∆C</w:t>
            </w:r>
          </w:p>
        </w:tc>
        <w:tc>
          <w:tcPr>
            <w:tcW w:w="630" w:type="dxa"/>
            <w:tcMar>
              <w:top w:w="0" w:type="dxa"/>
              <w:left w:w="0" w:type="dxa"/>
              <w:bottom w:w="0" w:type="dxa"/>
              <w:right w:w="0" w:type="dxa"/>
            </w:tcMar>
            <w:vAlign w:val="center"/>
          </w:tcPr>
          <w:p w:rsidR="00F6749E" w:rsidRPr="00675DC9" w:rsidRDefault="00F6749E" w:rsidP="009F5F02">
            <w:pPr>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193</w:t>
            </w:r>
          </w:p>
        </w:tc>
        <w:tc>
          <w:tcPr>
            <w:tcW w:w="270" w:type="dxa"/>
            <w:tcMar>
              <w:top w:w="0" w:type="dxa"/>
              <w:left w:w="0" w:type="dxa"/>
              <w:bottom w:w="0" w:type="dxa"/>
              <w:right w:w="0" w:type="dxa"/>
            </w:tcMar>
            <w:vAlign w:val="center"/>
          </w:tcPr>
          <w:p w:rsidR="00F6749E" w:rsidRPr="00675DC9" w:rsidRDefault="00F6749E" w:rsidP="009F5F02">
            <w:pPr>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282</w:t>
            </w:r>
          </w:p>
        </w:tc>
        <w:tc>
          <w:tcPr>
            <w:tcW w:w="3470" w:type="dxa"/>
            <w:tcBorders>
              <w:top w:val="single" w:sz="8" w:space="0" w:color="000000"/>
              <w:bottom w:val="single" w:sz="8" w:space="0" w:color="000000"/>
              <w:right w:val="single" w:sz="8" w:space="0" w:color="000000"/>
            </w:tcBorders>
            <w:shd w:val="clear" w:color="auto" w:fill="FFFFFF"/>
            <w:vAlign w:val="center"/>
          </w:tcPr>
          <w:p w:rsidR="00F6749E" w:rsidRPr="00675DC9" w:rsidRDefault="00F6749E" w:rsidP="00675DC9">
            <w:pPr>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rPr>
              <w:t>Gloor</w:t>
            </w:r>
            <w:proofErr w:type="spellEnd"/>
            <w:r w:rsidRPr="00675DC9">
              <w:rPr>
                <w:rFonts w:ascii="Times New Roman" w:eastAsia="Arial" w:hAnsi="Times New Roman" w:cs="Times New Roman"/>
                <w:color w:val="000000" w:themeColor="text1"/>
                <w:sz w:val="20"/>
                <w:szCs w:val="20"/>
              </w:rPr>
              <w:t xml:space="preserve"> et al.</w:t>
            </w:r>
            <w:r w:rsidR="00675DC9">
              <w:rPr>
                <w:rFonts w:ascii="Times New Roman" w:eastAsia="Arial" w:hAnsi="Times New Roman" w:cs="Times New Roman"/>
                <w:color w:val="000000" w:themeColor="text1"/>
                <w:sz w:val="20"/>
                <w:szCs w:val="20"/>
              </w:rPr>
              <w:t xml:space="preserve"> [</w:t>
            </w:r>
            <w:r w:rsidRPr="00675DC9">
              <w:rPr>
                <w:rFonts w:ascii="Times New Roman" w:eastAsia="Arial" w:hAnsi="Times New Roman" w:cs="Times New Roman"/>
                <w:color w:val="000000" w:themeColor="text1"/>
                <w:sz w:val="20"/>
                <w:szCs w:val="20"/>
              </w:rPr>
              <w:fldChar w:fldCharType="begin" w:fldLock="1"/>
            </w:r>
            <w:r w:rsidRPr="00675DC9">
              <w:rPr>
                <w:rFonts w:ascii="Times New Roman" w:eastAsia="Arial" w:hAnsi="Times New Roman" w:cs="Times New Roman"/>
                <w:color w:val="000000" w:themeColor="text1"/>
                <w:sz w:val="20"/>
                <w:szCs w:val="20"/>
              </w:rPr>
              <w:instrText>ADDIN CSL_CITATION {"citationItems":[{"id":"ITEM-1","itemData":{"DOI":"10.5194/bg-9-5407-2012","ISSN":"1726-4189","author":[{"dropping-particle":"","family":"Gloor","given":"M.","non-dropping-particle":"","parse-names":false,"suffix":""},{"dropping-particle":"","family":"Gatti","given":"L.","non-dropping-particle":"","parse-names":false,"suffix":""},{"dropping-particle":"","family":"Brienen","given":"R.","non-dropping-particle":"","parse-names":false,"suffix":""},{"dropping-particle":"","family":"Feldpausch","given":"T. R.","non-dropping-particle":"","parse-names":false,"suffix":""},{"dropping-particle":"","family":"Phillips","given":"O. L.","non-dropping-particle":"","parse-names":false,"suffix":""},{"dropping-particle":"","family":"Miller","given":"J.","non-dropping-particle":"","parse-names":false,"suffix":""},{"dropping-particle":"","family":"Ometto","given":"J. P.","non-dropping-particle":"","parse-names":false,"suffix":""},{"dropping-particle":"","family":"Rocha","given":"H.","non-dropping-particle":"","parse-names":false,"suffix":""},{"dropping-particle":"","family":"Baker","given":"T.","non-dropping-particle":"","parse-names":false,"suffix":""},{"dropping-particle":"","family":"Jong","given":"B.","non-dropping-particle":"de","parse-names":false,"suffix":""},{"dropping-particle":"","family":"Houghton","given":"R. a.","non-dropping-particle":"","parse-names":false,"suffix":""},{"dropping-particle":"","family":"Malhi","given":"Y.","non-dropping-particle":"","parse-names":false,"suffix":""},{"dropping-particle":"","family":"Aragão","given":"L. E. O. C.","non-dropping-particle":"","parse-names":false,"suffix":""},{"dropping-particle":"","family":"Guyot","given":"J.-L.","non-dropping-particle":"","parse-names":false,"suffix":""},{"dropping-particle":"","family":"Zhao","given":"K.","non-dropping-particle":"","parse-names":false,"suffix":""},{"dropping-particle":"","family":"Jackson","given":"R.","non-dropping-particle":"","parse-names":false,"suffix":""},{"dropping-particle":"","family":"Peylin","given":"P.","non-dropping-particle":"","parse-names":false,"suffix":""},{"dropping-particle":"","family":"Sitch","given":"S.","non-dropping-particle":"","parse-names":false,"suffix":""},{"dropping-particle":"","family":"Poulter","given":"B.","non-dropping-particle":"","parse-names":false,"suffix":""},{"dropping-particle":"","family":"Lomas","given":"M.","non-dropping-particle":"","parse-names":false,"suffix":""},{"dropping-particle":"","family":"Zaehle","given":"S.","non-dropping-particle":"","parse-names":false,"suffix":""},{"dropping-particle":"","family":"Huntingford","given":"C.","non-dropping-particle":"","parse-names":false,"suffix":""},{"dropping-particle":"","family":"Levy","given":"P.","non-dropping-particle":"","parse-names":false,"suffix":""},{"dropping-particle":"","family":"Lloyd","given":"J.","non-dropping-particle":"","parse-names":false,"suffix":""}],"container-title":"Biogeosciences","id":"ITEM-1","issue":"12","issued":{"date-parts":[["2012","12"]]},"page":"5407-5430","title":"The carbon balance of South America: a review of the status, decadal trends and main determinants","type":"article-journal","volume":"9"},"uris":["http://www.mendeley.com/documents/?uuid=2e9cb223-1e37-4a6b-8b0f-708368ef4fd2"]}],"mendeley":{"formattedCitation":"&lt;sup&gt;12&lt;/sup&gt;","plainTextFormattedCitation":"12","previouslyFormattedCitation":"&lt;sup&gt;12&lt;/sup&gt;"},"properties":{"noteIndex":0},"schema":"https://github.com/citation-style-language/schema/raw/master/csl-citation.json"}</w:instrText>
            </w:r>
            <w:r w:rsidRPr="00675DC9">
              <w:rPr>
                <w:rFonts w:ascii="Times New Roman" w:eastAsia="Arial" w:hAnsi="Times New Roman" w:cs="Times New Roman"/>
                <w:color w:val="000000" w:themeColor="text1"/>
                <w:sz w:val="20"/>
                <w:szCs w:val="20"/>
              </w:rPr>
              <w:fldChar w:fldCharType="separate"/>
            </w:r>
            <w:r w:rsidRPr="00675DC9">
              <w:rPr>
                <w:rFonts w:ascii="Times New Roman" w:eastAsia="Arial" w:hAnsi="Times New Roman" w:cs="Times New Roman"/>
                <w:noProof/>
                <w:color w:val="000000" w:themeColor="text1"/>
                <w:sz w:val="20"/>
                <w:szCs w:val="20"/>
              </w:rPr>
              <w:t>12</w:t>
            </w:r>
            <w:r w:rsidRPr="00675DC9">
              <w:rPr>
                <w:rFonts w:ascii="Times New Roman" w:eastAsia="Arial" w:hAnsi="Times New Roman" w:cs="Times New Roman"/>
                <w:color w:val="000000" w:themeColor="text1"/>
                <w:sz w:val="20"/>
                <w:szCs w:val="20"/>
              </w:rPr>
              <w:fldChar w:fldCharType="end"/>
            </w:r>
            <w:r w:rsidR="00675DC9">
              <w:rPr>
                <w:rFonts w:ascii="Times New Roman" w:eastAsia="Arial" w:hAnsi="Times New Roman" w:cs="Times New Roman"/>
                <w:color w:val="000000" w:themeColor="text1"/>
                <w:sz w:val="20"/>
                <w:szCs w:val="20"/>
              </w:rPr>
              <w:t>]</w:t>
            </w:r>
            <w:r w:rsidRPr="00675DC9">
              <w:rPr>
                <w:rFonts w:ascii="Times New Roman" w:eastAsia="Arial" w:hAnsi="Times New Roman" w:cs="Times New Roman"/>
                <w:color w:val="000000" w:themeColor="text1"/>
                <w:sz w:val="20"/>
                <w:szCs w:val="20"/>
              </w:rPr>
              <w:t xml:space="preserve"> </w:t>
            </w:r>
            <w:r w:rsidR="00675DC9" w:rsidRPr="00675DC9">
              <w:rPr>
                <w:rFonts w:ascii="Times New Roman" w:eastAsia="Arial" w:hAnsi="Times New Roman" w:cs="Times New Roman"/>
                <w:color w:val="000000" w:themeColor="text1"/>
                <w:sz w:val="20"/>
                <w:szCs w:val="20"/>
                <w:vertAlign w:val="superscript"/>
              </w:rPr>
              <w:t>a</w:t>
            </w:r>
          </w:p>
        </w:tc>
        <w:tc>
          <w:tcPr>
            <w:tcW w:w="17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rPr>
              <w:t>Gloor</w:t>
            </w:r>
            <w:proofErr w:type="spellEnd"/>
            <w:r w:rsidRPr="00675DC9">
              <w:rPr>
                <w:rFonts w:ascii="Times New Roman" w:eastAsia="Arial" w:hAnsi="Times New Roman" w:cs="Times New Roman"/>
                <w:color w:val="000000" w:themeColor="text1"/>
                <w:sz w:val="20"/>
                <w:szCs w:val="20"/>
              </w:rPr>
              <w:t xml:space="preserve"> et al. </w:t>
            </w:r>
            <w:r w:rsidR="00675DC9" w:rsidRPr="00675DC9">
              <w:rPr>
                <w:rFonts w:ascii="Times New Roman" w:eastAsia="Arial" w:hAnsi="Times New Roman" w:cs="Times New Roman"/>
                <w:color w:val="000000" w:themeColor="text1"/>
                <w:sz w:val="20"/>
                <w:szCs w:val="20"/>
                <w:vertAlign w:val="superscript"/>
              </w:rPr>
              <w:t>b</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trade</w:t>
            </w:r>
            <w:proofErr w:type="spellEnd"/>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53</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9</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rPr>
              <w:t>Gloor</w:t>
            </w:r>
            <w:proofErr w:type="spellEnd"/>
            <w:r w:rsidRPr="00675DC9">
              <w:rPr>
                <w:rFonts w:ascii="Times New Roman" w:eastAsia="Arial" w:hAnsi="Times New Roman" w:cs="Times New Roman"/>
                <w:color w:val="000000" w:themeColor="text1"/>
                <w:sz w:val="20"/>
                <w:szCs w:val="20"/>
              </w:rPr>
              <w:t xml:space="preserve"> et al. </w:t>
            </w:r>
            <w:r w:rsidR="00675DC9" w:rsidRPr="00675DC9">
              <w:rPr>
                <w:rFonts w:ascii="Times New Roman" w:eastAsia="Arial" w:hAnsi="Times New Roman" w:cs="Times New Roman"/>
                <w:color w:val="000000" w:themeColor="text1"/>
                <w:sz w:val="20"/>
                <w:szCs w:val="20"/>
                <w:vertAlign w:val="superscript"/>
              </w:rPr>
              <w:t>c</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rPr>
              <w:t>Gloor</w:t>
            </w:r>
            <w:proofErr w:type="spellEnd"/>
            <w:r w:rsidRPr="00675DC9">
              <w:rPr>
                <w:rFonts w:ascii="Times New Roman" w:eastAsia="Arial" w:hAnsi="Times New Roman" w:cs="Times New Roman"/>
                <w:color w:val="000000" w:themeColor="text1"/>
                <w:sz w:val="20"/>
                <w:szCs w:val="20"/>
              </w:rPr>
              <w:t xml:space="preserve"> et al.</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rivers</w:t>
            </w:r>
            <w:proofErr w:type="spellEnd"/>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219</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79</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lang w:val="fr-FR"/>
              </w:rPr>
              <w:t>Mayorga</w:t>
            </w:r>
            <w:proofErr w:type="spellEnd"/>
            <w:r w:rsidRPr="00675DC9">
              <w:rPr>
                <w:rFonts w:ascii="Times New Roman" w:eastAsia="Arial" w:hAnsi="Times New Roman" w:cs="Times New Roman"/>
                <w:color w:val="000000" w:themeColor="text1"/>
                <w:sz w:val="20"/>
                <w:szCs w:val="20"/>
                <w:lang w:val="fr-FR"/>
              </w:rPr>
              <w:t xml:space="preserve"> et al.</w:t>
            </w:r>
            <w:r w:rsidR="00675DC9">
              <w:rPr>
                <w:rFonts w:ascii="Times New Roman" w:eastAsia="Arial" w:hAnsi="Times New Roman" w:cs="Times New Roman"/>
                <w:color w:val="000000" w:themeColor="text1"/>
                <w:sz w:val="20"/>
                <w:szCs w:val="20"/>
                <w:lang w:val="fr-FR"/>
              </w:rPr>
              <w:t xml:space="preserve"> [</w:t>
            </w:r>
            <w:r w:rsidRPr="00675DC9">
              <w:rPr>
                <w:rFonts w:ascii="Times New Roman" w:eastAsia="Arial" w:hAnsi="Times New Roman" w:cs="Times New Roman"/>
                <w:color w:val="000000" w:themeColor="text1"/>
                <w:sz w:val="20"/>
                <w:szCs w:val="20"/>
                <w:lang w:val="fr-FR"/>
              </w:rPr>
              <w:fldChar w:fldCharType="begin" w:fldLock="1"/>
            </w:r>
            <w:r w:rsidRPr="00675DC9">
              <w:rPr>
                <w:rFonts w:ascii="Times New Roman" w:eastAsia="Arial" w:hAnsi="Times New Roman" w:cs="Times New Roman"/>
                <w:color w:val="000000" w:themeColor="text1"/>
                <w:sz w:val="20"/>
                <w:szCs w:val="20"/>
                <w:lang w:val="fr-FR"/>
              </w:rPr>
              <w:instrText>ADDIN CSL_CITATION {"citationItems":[{"id":"ITEM-1","itemData":{"DOI":"10.1038/nature12760","ISSN":"1476-4687","PMID":"24256802","abstract":"Carbon dioxide (CO2) transfer from inland waters to the atmosphere, known as CO2 evasion, is a component of the global carbon cycle. Global estimates of CO2 evasion have been hampered, however, by the lack of a framework for estimating the inland water surface area and gas transfer velocity and by the absence of a global CO2 database. Here we report regional variations in global inland water surface area, dissolved CO2 and gas transfer velocity. We obtain global CO2 evasion rates of 1.8(+0.25)(-0.25) petagrams of carbon (Pg C) per year from streams and rivers and 0.32(+0.52)(-0.26) Pg C yr(-1) from lakes and reservoirs, where the upper and lower limits are respectively the 5th and 95th confidence interval percentiles. The resulting global evasion rate of 2.1 Pg C yr(-1) is higher than previous estimates owing to a larger stream and river evasion rate. Our analysis predicts global hotspots in stream and river evasion, with about 70 per cent of the flux occurring over just 20 per cent of the land surface. The source of inland water CO2 is still not known with certainty and new studies are needed to research the mechanisms controlling CO2 evasion globally.","author":[{"dropping-particle":"","family":"Raymond","given":"Peter A","non-dropping-particle":"","parse-names":false,"suffix":""},{"dropping-particle":"","family":"Hartmann","given":"Jens","non-dropping-particle":"","parse-names":false,"suffix":""},{"dropping-particle":"","family":"Lauerwald","given":"Ronny","non-dropping-particle":"","parse-names":false,"suffix":""},{"dropping-particle":"","family":"Sobek","given":"Sebastian","non-dropping-particle":"","parse-names":false,"suffix":""},{"dropping-particle":"","family":"McDonald","given":"Cory","non-dropping-particle":"","parse-names":false,"suffix":""},{"dropping-particle":"","family":"Hoover","given":"Mark","non-dropping-particle":"","parse-names":false,"suffix":""},{"dropping-particle":"","family":"Butman","given":"David","non-dropping-particle":"","parse-names":false,"suffix":""},{"dropping-particle":"","family":"Striegl","given":"Robert","non-dropping-particle":"","parse-names":false,"suffix":""},{"dropping-particle":"","family":"Mayorga","given":"Emilio","non-dropping-particle":"","parse-names":false,"suffix":""},{"dropping-particle":"","family":"Humborg","given":"Christoph","non-dropping-particle":"","parse-names":false,"suffix":""},{"dropping-particle":"","family":"Kortelainen","given":"Pirkko","non-dropping-particle":"","parse-names":false,"suffix":""},{"dropping-particle":"","family":"Dürr","given":"Hans","non-dropping-particle":"","parse-names":false,"suffix":""},{"dropping-particle":"","family":"Meybeck","given":"Michel","non-dropping-particle":"","parse-names":false,"suffix":""},{"dropping-particle":"","family":"Ciais","given":"Philippe","non-dropping-particle":"","parse-names":false,"suffix":""},{"dropping-particle":"","family":"Guth","given":"Peter","non-dropping-particle":"","parse-names":false,"suffix":""}],"container-title":"Nature","id":"ITEM-1","issue":"7476","issued":{"date-parts":[["2013","11"]]},"page":"355-9","title":"Global carbon dioxide emissions from inland waters.","type":"article-journal","volume":"503"},"uris":["http://www.mendeley.com/documents/?uuid=eabd41ca-221a-48b7-bf3e-392e04532f97"]}],"mendeley":{"formattedCitation":"&lt;sup&gt;27&lt;/sup&gt;","plainTextFormattedCitation":"27","previouslyFormattedCitation":"&lt;sup&gt;27&lt;/sup&gt;"},"properties":{"noteIndex":0},"schema":"https://github.com/citation-style-language/schema/raw/master/csl-citation.json"}</w:instrText>
            </w:r>
            <w:r w:rsidRPr="00675DC9">
              <w:rPr>
                <w:rFonts w:ascii="Times New Roman" w:eastAsia="Arial" w:hAnsi="Times New Roman" w:cs="Times New Roman"/>
                <w:color w:val="000000" w:themeColor="text1"/>
                <w:sz w:val="20"/>
                <w:szCs w:val="20"/>
                <w:lang w:val="fr-FR"/>
              </w:rPr>
              <w:fldChar w:fldCharType="separate"/>
            </w:r>
            <w:r w:rsidRPr="00675DC9">
              <w:rPr>
                <w:rFonts w:ascii="Times New Roman" w:eastAsia="Arial" w:hAnsi="Times New Roman" w:cs="Times New Roman"/>
                <w:noProof/>
                <w:color w:val="000000" w:themeColor="text1"/>
                <w:sz w:val="20"/>
                <w:szCs w:val="20"/>
                <w:lang w:val="fr-FR"/>
              </w:rPr>
              <w:t>27</w:t>
            </w:r>
            <w:r w:rsidRPr="00675DC9">
              <w:rPr>
                <w:rFonts w:ascii="Times New Roman" w:eastAsia="Arial" w:hAnsi="Times New Roman" w:cs="Times New Roman"/>
                <w:color w:val="000000" w:themeColor="text1"/>
                <w:sz w:val="20"/>
                <w:szCs w:val="20"/>
                <w:lang w:val="fr-FR"/>
              </w:rPr>
              <w:fldChar w:fldCharType="end"/>
            </w:r>
            <w:r w:rsidR="00675DC9">
              <w:rPr>
                <w:rFonts w:ascii="Times New Roman" w:eastAsia="Arial" w:hAnsi="Times New Roman" w:cs="Times New Roman"/>
                <w:color w:val="000000" w:themeColor="text1"/>
                <w:sz w:val="20"/>
                <w:szCs w:val="20"/>
                <w:lang w:val="fr-FR"/>
              </w:rPr>
              <w:t>]</w:t>
            </w:r>
            <w:r w:rsidRPr="00675DC9">
              <w:rPr>
                <w:rFonts w:ascii="Times New Roman" w:eastAsia="Arial" w:hAnsi="Times New Roman" w:cs="Times New Roman"/>
                <w:color w:val="000000" w:themeColor="text1"/>
                <w:sz w:val="20"/>
                <w:szCs w:val="20"/>
                <w:lang w:val="fr-FR"/>
              </w:rPr>
              <w:t>, Hartmann et al.</w:t>
            </w:r>
            <w:r w:rsidR="00675DC9">
              <w:rPr>
                <w:rFonts w:ascii="Times New Roman" w:eastAsia="Arial" w:hAnsi="Times New Roman" w:cs="Times New Roman"/>
                <w:color w:val="000000" w:themeColor="text1"/>
                <w:sz w:val="20"/>
                <w:szCs w:val="20"/>
                <w:lang w:val="fr-FR"/>
              </w:rPr>
              <w:t xml:space="preserve"> [</w:t>
            </w:r>
            <w:r w:rsidRPr="00675DC9">
              <w:rPr>
                <w:rFonts w:ascii="Times New Roman" w:eastAsia="Arial" w:hAnsi="Times New Roman" w:cs="Times New Roman"/>
                <w:color w:val="000000" w:themeColor="text1"/>
                <w:sz w:val="20"/>
                <w:szCs w:val="20"/>
                <w:lang w:val="fr-FR"/>
              </w:rPr>
              <w:fldChar w:fldCharType="begin" w:fldLock="1"/>
            </w:r>
            <w:r w:rsidRPr="00675DC9">
              <w:rPr>
                <w:rFonts w:ascii="Times New Roman" w:eastAsia="Arial" w:hAnsi="Times New Roman" w:cs="Times New Roman"/>
                <w:color w:val="000000" w:themeColor="text1"/>
                <w:sz w:val="20"/>
                <w:szCs w:val="20"/>
                <w:lang w:val="fr-FR"/>
              </w:rPr>
              <w:instrText>ADDIN CSL_CITATION {"citationItems":[{"id":"ITEM-1","itemData":{"DOI":"10.1016/j.gloplacha.2009.07.007","ISSN":"09218181","author":[{"dropping-particle":"","family":"Hartmann","given":"Jens","non-dropping-particle":"","parse-names":false,"suffix":""},{"dropping-particle":"","family":"Jansen","given":"Nils","non-dropping-particle":"","parse-names":false,"suffix":""},{"dropping-particle":"","family":"Dürr","given":"Hans H.","non-dropping-particle":"","parse-names":false,"suffix":""},{"dropping-particle":"","family":"Kempe","given":"Stephan","non-dropping-particle":"","parse-names":false,"suffix":""},{"dropping-particle":"","family":"Köhler","given":"Peter","non-dropping-particle":"","parse-names":false,"suffix":""}],"container-title":"Global and Planetary Change","id":"ITEM-1","issue":"4","issued":{"date-parts":[["2009","12"]]},"page":"185-194","publisher":"Elsevier B.V.","title":"Global CO2-consumption by chemical weathering: What is the contribution of highly active weathering regions?","type":"article-journal","volume":"69"},"uris":["http://www.mendeley.com/documents/?uuid=4a8d7207-51b7-4109-a3fa-6767f56cccc0"]}],"mendeley":{"formattedCitation":"&lt;sup&gt;20&lt;/sup&gt;","plainTextFormattedCitation":"20","previouslyFormattedCitation":"&lt;sup&gt;20&lt;/sup&gt;"},"properties":{"noteIndex":0},"schema":"https://github.com/citation-style-language/schema/raw/master/csl-citation.json"}</w:instrText>
            </w:r>
            <w:r w:rsidRPr="00675DC9">
              <w:rPr>
                <w:rFonts w:ascii="Times New Roman" w:eastAsia="Arial" w:hAnsi="Times New Roman" w:cs="Times New Roman"/>
                <w:color w:val="000000" w:themeColor="text1"/>
                <w:sz w:val="20"/>
                <w:szCs w:val="20"/>
                <w:lang w:val="fr-FR"/>
              </w:rPr>
              <w:fldChar w:fldCharType="separate"/>
            </w:r>
            <w:r w:rsidRPr="00675DC9">
              <w:rPr>
                <w:rFonts w:ascii="Times New Roman" w:eastAsia="Arial" w:hAnsi="Times New Roman" w:cs="Times New Roman"/>
                <w:noProof/>
                <w:color w:val="000000" w:themeColor="text1"/>
                <w:sz w:val="20"/>
                <w:szCs w:val="20"/>
                <w:lang w:val="fr-FR"/>
              </w:rPr>
              <w:t>20</w:t>
            </w:r>
            <w:r w:rsidRPr="00675DC9">
              <w:rPr>
                <w:rFonts w:ascii="Times New Roman" w:eastAsia="Arial" w:hAnsi="Times New Roman" w:cs="Times New Roman"/>
                <w:color w:val="000000" w:themeColor="text1"/>
                <w:sz w:val="20"/>
                <w:szCs w:val="20"/>
                <w:lang w:val="fr-FR"/>
              </w:rPr>
              <w:fldChar w:fldCharType="end"/>
            </w:r>
            <w:r w:rsidR="00675DC9">
              <w:rPr>
                <w:rFonts w:ascii="Times New Roman" w:eastAsia="Arial" w:hAnsi="Times New Roman" w:cs="Times New Roman"/>
                <w:color w:val="000000" w:themeColor="text1"/>
                <w:sz w:val="20"/>
                <w:szCs w:val="20"/>
                <w:lang w:val="fr-FR"/>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 xml:space="preserve">50% </w:t>
            </w:r>
            <w:r w:rsidR="00675DC9" w:rsidRPr="00675DC9">
              <w:rPr>
                <w:rFonts w:ascii="Times New Roman" w:eastAsia="Arial" w:hAnsi="Times New Roman" w:cs="Times New Roman"/>
                <w:color w:val="000000" w:themeColor="text1"/>
                <w:sz w:val="20"/>
                <w:szCs w:val="20"/>
                <w:vertAlign w:val="superscript"/>
              </w:rPr>
              <w:t>d</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NEE</w:t>
            </w:r>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-72</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293</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Equation (1)</w:t>
            </w:r>
          </w:p>
        </w:tc>
        <w:tc>
          <w:tcPr>
            <w:tcW w:w="1720" w:type="dxa"/>
            <w:shd w:val="clear" w:color="auto" w:fill="auto"/>
            <w:tcMar>
              <w:top w:w="100" w:type="dxa"/>
              <w:left w:w="100" w:type="dxa"/>
              <w:bottom w:w="100" w:type="dxa"/>
              <w:right w:w="100" w:type="dxa"/>
            </w:tcMar>
            <w:vAlign w:val="center"/>
          </w:tcPr>
          <w:p w:rsidR="00F6749E" w:rsidRPr="00675DC9" w:rsidRDefault="00675DC9" w:rsidP="00675DC9">
            <w:pPr>
              <w:widowControl w:val="0"/>
              <w:rPr>
                <w:rFonts w:ascii="Times New Roman" w:eastAsia="Arial" w:hAnsi="Times New Roman" w:cs="Times New Roman"/>
                <w:color w:val="000000" w:themeColor="text1"/>
                <w:sz w:val="20"/>
                <w:szCs w:val="20"/>
                <w:vertAlign w:val="superscript"/>
              </w:rPr>
            </w:pPr>
            <w:r w:rsidRPr="00675DC9">
              <w:rPr>
                <w:rFonts w:ascii="Times New Roman" w:eastAsia="Arial" w:hAnsi="Times New Roman" w:cs="Times New Roman"/>
                <w:color w:val="000000" w:themeColor="text1"/>
                <w:sz w:val="20"/>
                <w:szCs w:val="20"/>
                <w:vertAlign w:val="superscript"/>
              </w:rPr>
              <w:t>e</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crop</w:t>
            </w:r>
            <w:proofErr w:type="spellEnd"/>
            <w:r w:rsidRPr="00675DC9">
              <w:rPr>
                <w:rFonts w:ascii="Times New Roman" w:eastAsia="Arial" w:hAnsi="Times New Roman" w:cs="Times New Roman"/>
                <w:color w:val="000000" w:themeColor="text1"/>
                <w:sz w:val="20"/>
                <w:szCs w:val="20"/>
                <w:vertAlign w:val="subscript"/>
              </w:rPr>
              <w:t xml:space="preserve"> products</w:t>
            </w:r>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96</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19</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lang w:val="es-US"/>
              </w:rPr>
              <w:t>Mayorga et al.</w:t>
            </w:r>
            <w:r w:rsidR="00675DC9">
              <w:rPr>
                <w:rFonts w:ascii="Times New Roman" w:eastAsia="Arial" w:hAnsi="Times New Roman" w:cs="Times New Roman"/>
                <w:color w:val="000000" w:themeColor="text1"/>
                <w:sz w:val="20"/>
                <w:szCs w:val="20"/>
                <w:lang w:val="es-US"/>
              </w:rPr>
              <w:t xml:space="preserve"> [</w:t>
            </w:r>
            <w:r w:rsidRPr="00675DC9">
              <w:rPr>
                <w:rFonts w:ascii="Times New Roman" w:eastAsia="Arial" w:hAnsi="Times New Roman" w:cs="Times New Roman"/>
                <w:color w:val="000000" w:themeColor="text1"/>
                <w:sz w:val="20"/>
                <w:szCs w:val="20"/>
                <w:lang w:val="fr-FR"/>
              </w:rPr>
              <w:fldChar w:fldCharType="begin" w:fldLock="1"/>
            </w:r>
            <w:r w:rsidRPr="00675DC9">
              <w:rPr>
                <w:rFonts w:ascii="Times New Roman" w:eastAsia="Arial" w:hAnsi="Times New Roman" w:cs="Times New Roman"/>
                <w:color w:val="000000" w:themeColor="text1"/>
                <w:sz w:val="20"/>
                <w:szCs w:val="20"/>
                <w:lang w:val="es-US"/>
              </w:rPr>
              <w:instrText>ADDIN CSL_CITATION {"citationItems":[{"id":"ITEM-1","itemData":{"DOI":"10.1038/nature12760","ISSN":"1476-4687","PMID":"24256802","abstract":"Carbon dioxide (CO2) transfer from inland waters to the atmosphere, known as CO2 evasion, is a component of the global carbon cycle. Global estimates of CO2 evasion have been hampered, however, by the lack of a framework for estimating the inland water surface area and gas transfer velocity and by the absence of a global CO2 database. Here we report regional variations in global inland water surface area, dissolved CO2 and gas transfer velocity. We obtain global CO2 evasion rates of 1.8(+0.25)(-0.25) petagrams of carbon (Pg C) per year from streams and rivers and 0.32(+0.52)(-0.26) Pg C yr(-1) from lakes and reservoirs, where the upper and lower limits are respectively the 5th and 95th confidence interval percentiles. The resulting global evasion rate of 2.1 Pg C yr(-1) is higher than previous estimates owing to a larger stream and river evasion rate. Our analysis predicts global hotspots in stream and river evasion, with about 70 per cent of the flux occurring over just 20 per cent of the land surface. The source of inland water CO2 is still not known with certainty and new studies are needed to research the mechanisms controlling CO2 evasion globally.","author":[{"dropping-particle":"","family":"Raymond","given":"Peter A","non-dropping-particle":"","parse-names":false,"suffix":""},{"dropping-particle":"","family":"Hartmann","given":"Jens","non-dropping-particle":"","parse-names":false,"suffix":""},{"dropping-particle":"","family":"Lauerwald","given":"Ronny","non-dropping-particle":"","parse-names":false,"suffix":""},{"dropping-particle":"","family":"Sobek","given":"Sebastian","non-dropping-particle":"","parse-names":false,"suffix":""},{"dropping-particle":"","family":"McDonald","given":"Cory","non-dropping-particle":"","parse-names":false,"suffix":""},{"dropping-particle":"","family":"Hoover","given":"Mark","non-dropping-particle":"","parse-names":false,"suffix":""},{"dropping-particle":"","family":"Butman","given":"David","non-dropping-particle":"","parse-names":false,"suffix":""},{"dropping-particle":"","family":"Striegl","given":"Robert","non-dropping-particle":"","parse-names":false,"suffix":""},{"dropping-particle":"","family":"Mayorga","given":"Emilio","non-dropping-particle":"","parse-names":false,"suffix":""},{"dropping-particle":"","family":"Humborg","given":"Christoph","non-dropping-particle":"","parse-names":false,"suffix":""},{"dropping-particle":"","family":"Kortelainen","given":"Pirkko","non-dropping-particle":"","parse-names":false,"suffix":""},{"dropping-particle":"","family":"Dürr","given":"Hans","non-dropping-particle":"","parse-names":false,"suffix":""},{"dropping-particle":"","family":"Meybeck","given":"Michel","non-dropping-particle":"","parse-names":false,"suffix":""},{"dropping-particle":"","family":"Ciais","given":"Philippe","non-dropping-particle":"","parse-names":false,"suffix":""},{"dropping-particle":"","family":"Guth","given":"Peter","non-dropping-particle":"","parse-names":false,"suffix":""}],"container-title":"Nature","id":"ITEM-1","issue":"7476","issued":{"date-parts":[["2013","11"]]},"page":"355-9","title":"Global carbon dioxide emissions from inland waters.","type":"article-journal","volume":"503"},"uris":["http://www.mendeley.com/documents/?uuid=eabd41ca-221a-48b7-bf3e-392e04532f97"]}],"mendeley":{"formattedCitation":"&lt;sup&gt;27&lt;/sup&gt;","plainTextFormattedCitation":"27","previouslyFormattedCitation":"&lt;sup&gt;27&lt;/sup&gt;"},"properties":{"noteIndex":0},"schema":"https://github.com/citation-style-language/schema/raw/master/csl-citation.json"}</w:instrText>
            </w:r>
            <w:r w:rsidRPr="00675DC9">
              <w:rPr>
                <w:rFonts w:ascii="Times New Roman" w:eastAsia="Arial" w:hAnsi="Times New Roman" w:cs="Times New Roman"/>
                <w:color w:val="000000" w:themeColor="text1"/>
                <w:sz w:val="20"/>
                <w:szCs w:val="20"/>
                <w:lang w:val="fr-FR"/>
              </w:rPr>
              <w:fldChar w:fldCharType="separate"/>
            </w:r>
            <w:r w:rsidRPr="00675DC9">
              <w:rPr>
                <w:rFonts w:ascii="Times New Roman" w:eastAsia="Arial" w:hAnsi="Times New Roman" w:cs="Times New Roman"/>
                <w:noProof/>
                <w:color w:val="000000" w:themeColor="text1"/>
                <w:sz w:val="20"/>
                <w:szCs w:val="20"/>
                <w:lang w:val="es-US"/>
              </w:rPr>
              <w:t>27</w:t>
            </w:r>
            <w:r w:rsidRPr="00675DC9">
              <w:rPr>
                <w:rFonts w:ascii="Times New Roman" w:eastAsia="Arial" w:hAnsi="Times New Roman" w:cs="Times New Roman"/>
                <w:color w:val="000000" w:themeColor="text1"/>
                <w:sz w:val="20"/>
                <w:szCs w:val="20"/>
                <w:lang w:val="fr-FR"/>
              </w:rPr>
              <w:fldChar w:fldCharType="end"/>
            </w:r>
            <w:r w:rsidR="00675DC9">
              <w:rPr>
                <w:rFonts w:ascii="Times New Roman" w:eastAsia="Arial" w:hAnsi="Times New Roman" w:cs="Times New Roman"/>
                <w:color w:val="000000" w:themeColor="text1"/>
                <w:sz w:val="20"/>
                <w:szCs w:val="20"/>
                <w:lang w:val="fr-FR"/>
              </w:rPr>
              <w:t>]</w:t>
            </w:r>
            <w:r w:rsidRPr="00675DC9">
              <w:rPr>
                <w:rFonts w:ascii="Times New Roman" w:eastAsia="Arial" w:hAnsi="Times New Roman" w:cs="Times New Roman"/>
                <w:color w:val="000000" w:themeColor="text1"/>
                <w:sz w:val="20"/>
                <w:szCs w:val="20"/>
                <w:lang w:val="es-US"/>
              </w:rPr>
              <w:t>, Hartmann et al.</w:t>
            </w:r>
            <w:r w:rsidR="00675DC9">
              <w:rPr>
                <w:rFonts w:ascii="Times New Roman" w:eastAsia="Arial" w:hAnsi="Times New Roman" w:cs="Times New Roman"/>
                <w:color w:val="000000" w:themeColor="text1"/>
                <w:sz w:val="20"/>
                <w:szCs w:val="20"/>
                <w:lang w:val="es-US"/>
              </w:rPr>
              <w:t xml:space="preserve"> [</w:t>
            </w:r>
            <w:r w:rsidRPr="00675DC9">
              <w:rPr>
                <w:rFonts w:ascii="Times New Roman" w:eastAsia="Arial" w:hAnsi="Times New Roman" w:cs="Times New Roman"/>
                <w:color w:val="000000" w:themeColor="text1"/>
                <w:sz w:val="20"/>
                <w:szCs w:val="20"/>
                <w:lang w:val="fr-FR"/>
              </w:rPr>
              <w:fldChar w:fldCharType="begin" w:fldLock="1"/>
            </w:r>
            <w:r w:rsidRPr="00675DC9">
              <w:rPr>
                <w:rFonts w:ascii="Times New Roman" w:eastAsia="Arial" w:hAnsi="Times New Roman" w:cs="Times New Roman"/>
                <w:color w:val="000000" w:themeColor="text1"/>
                <w:sz w:val="20"/>
                <w:szCs w:val="20"/>
                <w:lang w:val="es-US"/>
              </w:rPr>
              <w:instrText>ADDIN CSL_CITATION {"citationItems":[{"id":"ITEM-1","itemData":{"DOI":"10.1016/j.gloplacha.2009.07.007","ISSN":"09218181","author":[{"dropping-particle":"","family":"Hartmann","given":"Jens","non-dropping-particle":"","parse-names":false,"suffix":""},{"dropping-particle":"","family":"Jansen","given":"Nils","non-dropping-particle":"","parse-names":false,"suffix":""},{"dropping-particle":"","family":"Dürr","given":"Hans H.","non-dropping-particle":"","parse-names":false,"suffix":""},{"dropping-particle":"","family":"Kempe","given":"Stephan","non-dropping-particle":"","parse-names":false,"suffix":""},{"dropping-particle":"","family":"Köhler","given":"Peter","non-dropping-particle":"","parse-names":false,"suffix":""}],"container-title":"Global and Planetary Change","id":"ITEM-1","issue":"4","issued":{"date-parts":[["2009","12"]]},"page":"185-194","publisher":"Elsevier B.V.","title":"Global CO2-consumption by chemical weathering: What is the contribution of highly active weathering regions?","type":"article-journal","volume":"69"},"uris":["http://www.mendeley.com/documents/?uuid=4a8d7207-51b7-4109-a3fa-6767f56cccc0"]}],"mendeley":{"formattedCitation":"&lt;sup&gt;20&lt;/sup&gt;","plainTextFormattedCitation":"20","previouslyFormattedCitation":"&lt;sup&gt;20&lt;/sup&gt;"},"properties":{"noteIndex":0},"schema":"https://github.com/citation-style-language/schema/raw/master/csl-citation.json"}</w:instrText>
            </w:r>
            <w:r w:rsidRPr="00675DC9">
              <w:rPr>
                <w:rFonts w:ascii="Times New Roman" w:eastAsia="Arial" w:hAnsi="Times New Roman" w:cs="Times New Roman"/>
                <w:color w:val="000000" w:themeColor="text1"/>
                <w:sz w:val="20"/>
                <w:szCs w:val="20"/>
                <w:lang w:val="fr-FR"/>
              </w:rPr>
              <w:fldChar w:fldCharType="separate"/>
            </w:r>
            <w:r w:rsidRPr="00675DC9">
              <w:rPr>
                <w:rFonts w:ascii="Times New Roman" w:eastAsia="Arial" w:hAnsi="Times New Roman" w:cs="Times New Roman"/>
                <w:noProof/>
                <w:color w:val="000000" w:themeColor="text1"/>
                <w:sz w:val="20"/>
                <w:szCs w:val="20"/>
                <w:lang w:val="fr-FR"/>
              </w:rPr>
              <w:t>20</w:t>
            </w:r>
            <w:r w:rsidRPr="00675DC9">
              <w:rPr>
                <w:rFonts w:ascii="Times New Roman" w:eastAsia="Arial" w:hAnsi="Times New Roman" w:cs="Times New Roman"/>
                <w:color w:val="000000" w:themeColor="text1"/>
                <w:sz w:val="20"/>
                <w:szCs w:val="20"/>
                <w:lang w:val="fr-FR"/>
              </w:rPr>
              <w:fldChar w:fldCharType="end"/>
            </w:r>
            <w:r w:rsidR="00675DC9">
              <w:rPr>
                <w:rFonts w:ascii="Times New Roman" w:eastAsia="Arial" w:hAnsi="Times New Roman" w:cs="Times New Roman"/>
                <w:color w:val="000000" w:themeColor="text1"/>
                <w:sz w:val="20"/>
                <w:szCs w:val="20"/>
                <w:lang w:val="fr-FR"/>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20%</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wood</w:t>
            </w:r>
            <w:proofErr w:type="spellEnd"/>
            <w:r w:rsidRPr="00675DC9">
              <w:rPr>
                <w:rFonts w:ascii="Times New Roman" w:eastAsia="Arial" w:hAnsi="Times New Roman" w:cs="Times New Roman"/>
                <w:color w:val="000000" w:themeColor="text1"/>
                <w:sz w:val="20"/>
                <w:szCs w:val="20"/>
                <w:vertAlign w:val="subscript"/>
              </w:rPr>
              <w:t xml:space="preserve"> products</w:t>
            </w:r>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74</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15</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 xml:space="preserve">Bookkeeping model (see </w:t>
            </w:r>
            <w:r w:rsidR="00675DC9">
              <w:rPr>
                <w:rFonts w:ascii="Times New Roman" w:eastAsia="Arial" w:hAnsi="Times New Roman" w:cs="Times New Roman"/>
                <w:color w:val="000000" w:themeColor="text1"/>
                <w:sz w:val="20"/>
                <w:szCs w:val="20"/>
              </w:rPr>
              <w:t>M</w:t>
            </w:r>
            <w:r w:rsidRPr="00675DC9">
              <w:rPr>
                <w:rFonts w:ascii="Times New Roman" w:eastAsia="Arial" w:hAnsi="Times New Roman" w:cs="Times New Roman"/>
                <w:color w:val="000000" w:themeColor="text1"/>
                <w:sz w:val="20"/>
                <w:szCs w:val="20"/>
              </w:rPr>
              <w:t xml:space="preserve">ethods) for wood products decay, Wang et al. for wood burned in power plant and industry </w:t>
            </w:r>
          </w:p>
        </w:tc>
        <w:tc>
          <w:tcPr>
            <w:tcW w:w="1720" w:type="dxa"/>
            <w:shd w:val="clear" w:color="auto" w:fill="auto"/>
            <w:tcMar>
              <w:top w:w="100" w:type="dxa"/>
              <w:left w:w="100" w:type="dxa"/>
              <w:bottom w:w="100" w:type="dxa"/>
              <w:right w:w="100" w:type="dxa"/>
            </w:tcMar>
            <w:vAlign w:val="center"/>
          </w:tcPr>
          <w:p w:rsidR="00F6749E" w:rsidRPr="00675DC9" w:rsidRDefault="00675DC9" w:rsidP="00675DC9">
            <w:pPr>
              <w:widowControl w:val="0"/>
              <w:rPr>
                <w:rFonts w:ascii="Times New Roman" w:eastAsia="Arial" w:hAnsi="Times New Roman" w:cs="Times New Roman"/>
                <w:color w:val="000000" w:themeColor="text1"/>
                <w:sz w:val="20"/>
                <w:szCs w:val="20"/>
                <w:vertAlign w:val="superscript"/>
              </w:rPr>
            </w:pPr>
            <w:r w:rsidRPr="00675DC9">
              <w:rPr>
                <w:rFonts w:ascii="Times New Roman" w:eastAsia="Arial" w:hAnsi="Times New Roman" w:cs="Times New Roman"/>
                <w:color w:val="000000" w:themeColor="text1"/>
                <w:sz w:val="20"/>
                <w:szCs w:val="20"/>
                <w:vertAlign w:val="superscript"/>
              </w:rPr>
              <w:t>f</w:t>
            </w:r>
          </w:p>
        </w:tc>
      </w:tr>
      <w:tr w:rsidR="00F6749E" w:rsidRPr="00675DC9" w:rsidTr="00675DC9">
        <w:trPr>
          <w:trHeight w:val="48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grazing</w:t>
            </w:r>
            <w:proofErr w:type="spellEnd"/>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252</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50</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This study (see Methods)</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20%</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fires</w:t>
            </w:r>
            <w:proofErr w:type="spellEnd"/>
            <w:r w:rsidRPr="00675DC9">
              <w:rPr>
                <w:rFonts w:ascii="Times New Roman" w:eastAsia="Arial" w:hAnsi="Times New Roman" w:cs="Times New Roman"/>
                <w:color w:val="000000" w:themeColor="text1"/>
                <w:sz w:val="20"/>
                <w:szCs w:val="20"/>
                <w:vertAlign w:val="subscript"/>
              </w:rPr>
              <w:t xml:space="preserve"> GFED</w:t>
            </w:r>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159</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51</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lang w:val="nl-NL"/>
              </w:rPr>
              <w:t xml:space="preserve">Van der Werf et al. </w:t>
            </w:r>
            <w:r w:rsidR="00675DC9">
              <w:rPr>
                <w:rFonts w:ascii="Times New Roman" w:eastAsia="Arial" w:hAnsi="Times New Roman" w:cs="Times New Roman"/>
                <w:color w:val="000000" w:themeColor="text1"/>
                <w:sz w:val="20"/>
                <w:szCs w:val="20"/>
                <w:vertAlign w:val="superscript"/>
              </w:rPr>
              <w:t>g</w:t>
            </w:r>
            <w:r w:rsidRPr="00675DC9">
              <w:rPr>
                <w:rFonts w:ascii="Times New Roman" w:eastAsia="Arial" w:hAnsi="Times New Roman" w:cs="Times New Roman"/>
                <w:color w:val="000000" w:themeColor="text1"/>
                <w:sz w:val="20"/>
                <w:szCs w:val="20"/>
              </w:rPr>
              <w:t xml:space="preserve"> </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see Methods</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fires</w:t>
            </w:r>
            <w:proofErr w:type="spellEnd"/>
            <w:r w:rsidRPr="00675DC9">
              <w:rPr>
                <w:rFonts w:ascii="Times New Roman" w:eastAsia="Arial" w:hAnsi="Times New Roman" w:cs="Times New Roman"/>
                <w:color w:val="000000" w:themeColor="text1"/>
                <w:sz w:val="20"/>
                <w:szCs w:val="20"/>
                <w:vertAlign w:val="subscript"/>
              </w:rPr>
              <w:t xml:space="preserve"> GFAS</w:t>
            </w:r>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166</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50</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lang w:val="fr-FR"/>
              </w:rPr>
            </w:pPr>
            <w:r w:rsidRPr="00675DC9">
              <w:rPr>
                <w:rFonts w:ascii="Times New Roman" w:eastAsia="Arial" w:hAnsi="Times New Roman" w:cs="Times New Roman"/>
                <w:color w:val="000000" w:themeColor="text1"/>
                <w:sz w:val="20"/>
                <w:szCs w:val="20"/>
                <w:lang w:val="fr-FR"/>
              </w:rPr>
              <w:t xml:space="preserve">Di Giuseppe et al. </w:t>
            </w:r>
            <w:r w:rsidR="00675DC9">
              <w:rPr>
                <w:rFonts w:ascii="Times New Roman" w:eastAsia="Arial" w:hAnsi="Times New Roman" w:cs="Times New Roman"/>
                <w:color w:val="000000" w:themeColor="text1"/>
                <w:sz w:val="20"/>
                <w:szCs w:val="20"/>
                <w:vertAlign w:val="superscript"/>
                <w:lang w:val="fr-FR"/>
              </w:rPr>
              <w:t>g</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see Methods</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 xml:space="preserve">LUC RECCAP  </w:t>
            </w:r>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525</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130</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highlight w:val="yellow"/>
              </w:rPr>
            </w:pPr>
            <w:proofErr w:type="spellStart"/>
            <w:r w:rsidRPr="00675DC9">
              <w:rPr>
                <w:rFonts w:ascii="Times New Roman" w:eastAsia="Arial" w:hAnsi="Times New Roman" w:cs="Times New Roman"/>
                <w:color w:val="000000" w:themeColor="text1"/>
                <w:sz w:val="20"/>
                <w:szCs w:val="20"/>
              </w:rPr>
              <w:t>Gloor</w:t>
            </w:r>
            <w:proofErr w:type="spellEnd"/>
            <w:r w:rsidRPr="00675DC9">
              <w:rPr>
                <w:rFonts w:ascii="Times New Roman" w:eastAsia="Arial" w:hAnsi="Times New Roman" w:cs="Times New Roman"/>
                <w:color w:val="000000" w:themeColor="text1"/>
                <w:sz w:val="20"/>
                <w:szCs w:val="20"/>
              </w:rPr>
              <w:t xml:space="preserve"> et al.</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 xml:space="preserve">Patra et al. </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LUC BLUE</w:t>
            </w:r>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291</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84</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highlight w:val="yellow"/>
              </w:rPr>
            </w:pPr>
            <w:proofErr w:type="spellStart"/>
            <w:r w:rsidRPr="00675DC9">
              <w:rPr>
                <w:rFonts w:ascii="Times New Roman" w:eastAsia="Arial" w:hAnsi="Times New Roman" w:cs="Times New Roman"/>
                <w:color w:val="000000" w:themeColor="text1"/>
                <w:sz w:val="20"/>
                <w:szCs w:val="20"/>
                <w:highlight w:val="white"/>
              </w:rPr>
              <w:t>Hansis</w:t>
            </w:r>
            <w:proofErr w:type="spellEnd"/>
            <w:r w:rsidRPr="00675DC9">
              <w:rPr>
                <w:rFonts w:ascii="Times New Roman" w:eastAsia="Arial" w:hAnsi="Times New Roman" w:cs="Times New Roman"/>
                <w:color w:val="000000" w:themeColor="text1"/>
                <w:sz w:val="20"/>
                <w:szCs w:val="20"/>
                <w:highlight w:val="white"/>
              </w:rPr>
              <w:t xml:space="preserve"> et al. </w:t>
            </w:r>
            <w:r w:rsidR="00675DC9">
              <w:rPr>
                <w:rFonts w:ascii="Times New Roman" w:eastAsia="Arial" w:hAnsi="Times New Roman" w:cs="Times New Roman"/>
                <w:color w:val="000000" w:themeColor="text1"/>
                <w:sz w:val="20"/>
                <w:szCs w:val="20"/>
                <w:highlight w:val="white"/>
              </w:rPr>
              <w:t>[</w:t>
            </w:r>
            <w:r w:rsidRPr="00675DC9">
              <w:rPr>
                <w:rFonts w:ascii="Times New Roman" w:eastAsia="Arial" w:hAnsi="Times New Roman" w:cs="Times New Roman"/>
                <w:color w:val="000000" w:themeColor="text1"/>
                <w:sz w:val="20"/>
                <w:szCs w:val="20"/>
                <w:highlight w:val="white"/>
                <w:lang w:val="fr-FR"/>
              </w:rPr>
              <w:fldChar w:fldCharType="begin" w:fldLock="1"/>
            </w:r>
            <w:r w:rsidRPr="00675DC9">
              <w:rPr>
                <w:rFonts w:ascii="Times New Roman" w:eastAsia="Arial" w:hAnsi="Times New Roman" w:cs="Times New Roman"/>
                <w:color w:val="000000" w:themeColor="text1"/>
                <w:sz w:val="20"/>
                <w:szCs w:val="20"/>
                <w:highlight w:val="white"/>
              </w:rPr>
              <w:instrText>ADDIN CSL_CITATION {"citationItems":[{"id":"ITEM-1","itemData":{"DOI":"10.1002/2014GB004997","ISSN":"0886-6236","abstract":"Abstract Accounting for carbon fluxes from land use and land cover change (LULCC) generally requires choosing from multiple options of how to attribute the fluxes to regions and to LULCC activities. Applying a newly developed and spatially explicit bookkeeping model BLUE (bookkeeping of land use emissions), we quantify LULCC fluxes and attribute them to land use activities and countries by a range of different accounting methods. We present results with respect to a Kyoto Protocol-like ?commitment? accounting period, using land use emissions of 2008?2012 as an example scenario. We assess the effect of accounting methods that vary (1) the temporal evolution of carbon stocks, (2) the state of the carbon stocks at the beginning of the period, (3) the temporal attribution of carbon fluxes during the period, and (4) treatment of LULCC fluxes that occurred prior to the beginning of the period. We show that the methodological choices result in grossly different estimates of carbon fluxes for the different attribution definitions.","author":[{"dropping-particle":"","family":"Hansis","given":"Eberhard","non-dropping-particle":"","parse-names":false,"suffix":""},{"dropping-particle":"","family":"Davis","given":"Steven J","non-dropping-particle":"","parse-names":false,"suffix":""},{"dropping-particle":"","family":"Pongratz","given":"Julia","non-dropping-particle":"","parse-names":false,"suffix":""}],"container-title":"Global Biogeochemical Cycles","id":"ITEM-1","issue":"8","issued":{"date-parts":[["2015","8","1"]]},"note":"doi: 10.1002/2014GB004997","page":"1230-1246","publisher":"John Wiley &amp; Sons, Ltd","title":"Relevance of methodological choices for accounting of land use change carbon fluxes","type":"speech","volume":"29"},"uris":["http://www.mendeley.com/documents/?uuid=554da27d-80b9-47d4-93f9-30dc5af8fd94"]}],"mendeley":{"formattedCitation":"&lt;sup&gt;66&lt;/sup&gt;","plainTextFormattedCitation":"66","previouslyFormattedCitation":"&lt;sup&gt;66&lt;/sup&gt;"},"properties":{"noteIndex":0},"schema":"https://github.com/citation-style-language/schema/raw/master/csl-citation.json"}</w:instrText>
            </w:r>
            <w:r w:rsidRPr="00675DC9">
              <w:rPr>
                <w:rFonts w:ascii="Times New Roman" w:eastAsia="Arial" w:hAnsi="Times New Roman" w:cs="Times New Roman"/>
                <w:color w:val="000000" w:themeColor="text1"/>
                <w:sz w:val="20"/>
                <w:szCs w:val="20"/>
                <w:highlight w:val="white"/>
                <w:lang w:val="fr-FR"/>
              </w:rPr>
              <w:fldChar w:fldCharType="separate"/>
            </w:r>
            <w:r w:rsidRPr="00675DC9">
              <w:rPr>
                <w:rFonts w:ascii="Times New Roman" w:eastAsia="Arial" w:hAnsi="Times New Roman" w:cs="Times New Roman"/>
                <w:noProof/>
                <w:color w:val="000000" w:themeColor="text1"/>
                <w:sz w:val="20"/>
                <w:szCs w:val="20"/>
                <w:highlight w:val="white"/>
              </w:rPr>
              <w:t>66</w:t>
            </w:r>
            <w:r w:rsidRPr="00675DC9">
              <w:rPr>
                <w:rFonts w:ascii="Times New Roman" w:eastAsia="Arial" w:hAnsi="Times New Roman" w:cs="Times New Roman"/>
                <w:color w:val="000000" w:themeColor="text1"/>
                <w:sz w:val="20"/>
                <w:szCs w:val="20"/>
                <w:highlight w:val="white"/>
                <w:lang w:val="fr-FR"/>
              </w:rPr>
              <w:fldChar w:fldCharType="end"/>
            </w:r>
            <w:r w:rsidR="00675DC9" w:rsidRPr="001D7FE4">
              <w:rPr>
                <w:rFonts w:ascii="Times New Roman" w:eastAsia="Arial" w:hAnsi="Times New Roman" w:cs="Times New Roman"/>
                <w:color w:val="000000" w:themeColor="text1"/>
                <w:sz w:val="20"/>
                <w:szCs w:val="20"/>
                <w:highlight w:val="white"/>
              </w:rPr>
              <w:t>]</w:t>
            </w:r>
            <w:r w:rsidRPr="00675DC9">
              <w:rPr>
                <w:rFonts w:ascii="Times New Roman" w:eastAsia="Arial" w:hAnsi="Times New Roman" w:cs="Times New Roman"/>
                <w:color w:val="000000" w:themeColor="text1"/>
                <w:sz w:val="20"/>
                <w:szCs w:val="20"/>
                <w:highlight w:val="white"/>
              </w:rPr>
              <w:t xml:space="preserve"> updated in ref. </w:t>
            </w:r>
            <w:r w:rsidR="00675DC9">
              <w:rPr>
                <w:rFonts w:ascii="Times New Roman" w:eastAsia="Arial" w:hAnsi="Times New Roman" w:cs="Times New Roman"/>
                <w:color w:val="000000" w:themeColor="text1"/>
                <w:sz w:val="20"/>
                <w:szCs w:val="20"/>
                <w:highlight w:val="white"/>
              </w:rPr>
              <w:t>[</w:t>
            </w:r>
            <w:r w:rsidRPr="00675DC9">
              <w:rPr>
                <w:rFonts w:ascii="Times New Roman" w:eastAsia="Arial" w:hAnsi="Times New Roman" w:cs="Times New Roman"/>
                <w:color w:val="000000" w:themeColor="text1"/>
                <w:sz w:val="20"/>
                <w:szCs w:val="20"/>
                <w:highlight w:val="white"/>
                <w:lang w:val="fr-FR"/>
              </w:rPr>
              <w:fldChar w:fldCharType="begin" w:fldLock="1"/>
            </w:r>
            <w:r w:rsidRPr="00675DC9">
              <w:rPr>
                <w:rFonts w:ascii="Times New Roman" w:eastAsia="Arial" w:hAnsi="Times New Roman" w:cs="Times New Roman"/>
                <w:color w:val="000000" w:themeColor="text1"/>
                <w:sz w:val="20"/>
                <w:szCs w:val="20"/>
                <w:highlight w:val="white"/>
              </w:rPr>
              <w:instrText>ADDIN CSL_CITATION {"citationItems":[{"id":"ITEM-1","itemData":{"DOI":"10.5194/essd-10-2141-2018","ISSN":"1866-3516","abstract":"&lt;p&gt;&lt;![CDATA[Abstract. Accurate assessment of anthropogenic carbon dioxide (CO2) emissions and their redistribution among the atmosphere, ocean, and terrestrial biosphere – the “global carbon budget” – is important to better understand the global carbon cycle, support the development of climate policies, and project future climate change. Here we describe data sets and methodology to quantify the five major components of the global carbon budget and their uncertainties. Fossil CO2 emissions (EFF) are based on energy statistics and cement production data, while emissions from land use and land-use change (ELUC), mainly deforestation, are based on land use and land-use change data and bookkeeping models. Atmospheric CO2 concentration is measured directly and its growth rate (GATM) is computed from the annual changes in concentration. The ocean CO2 sink (SOCEAN) and terrestrial CO2 sink (SLAND) are estimated with global process models constrained by observations. The resulting carbon budget imbalance (BIM), the difference between the estimated total emissions and the estimated changes in the atmosphere, ocean, and terrestrial biosphere, is a measure of imperfect data and understanding of the contemporary carbon cycle. All uncertainties are reported as ±1σ. For the last decade available (2008–2017), EFF was 9.4±0.5 GtC yr−1, ELUC 1.5±0.7 GtC yr−1, GATM 4.7±0.02 GtC yr−1, SOCEAN 2.4±0.5 GtC yr−1, and SLAND 3.2±0.8 GtC yr−1, with a budget imbalance BIM of 0.5 GtC yr−1 indicating overestimated emissions and/or underestimated sinks. For the year 2017 alone, the growth in EFF was about 1.6 % and emissions increased to 9.9±0.5 GtC yr−1. Also for 2017, ELUC was 1.4±0.7 GtC yr−1, GATM was 4.6±0.2 GtC yr−1, SOCEAN was 2.5±0.5 GtC yr−1, and SLAND was 3.8±0.8 GtC yr−1, with a BIM of 0.3 GtC. The global atmospheric CO2 concentration reached 405.0±0.1 ppm averaged over 2017. For 2018, preliminary data for the first 6–9 months indicate a renewed growth in EFF of +2.7 % (range of 1.8 % to 3.7 %) based on national emission projections for China, the US, the EU, and India and projections of gross domestic product corrected for recent changes in the carbon intensity of the economy for the rest of the world. The analysis presented here shows that the mean and trend in the five components of the global carbon budget are consistently estimated over the period of 1959–2017, but discrepancies of up to 1 GtC yr−1 persist for the representation of semi-decadal variability in CO2 flu…","author":[{"dropping-particle":"","family":"Quéré","given":"Corinne","non-dropping-particle":"Le","parse-names":false,"suffix":""},{"dropping-particle":"","family":"Andrew","given":"Robbie M.","non-dropping-particle":"","parse-names":false,"suffix":""},{"dropping-particle":"","family":"Friedlingstein","given":"Pierre","non-dropping-particle":"","parse-names":false,"suffix":""},{"dropping-particle":"","family":"Sitch","given":"Stephen","non-dropping-particle":"","parse-names":false,"suffix":""},{"dropping-particle":"","family":"Hauck","given":"Judith","non-dropping-particle":"","parse-names":false,"suffix":""},{"dropping-particle":"","family":"Pongratz","given":"Julia","non-dropping-particle":"","parse-names":false,"suffix":""},{"dropping-particle":"","family":"Pickers","given":"Penelope A.","non-dropping-particle":"","parse-names":false,"suffix":""},{"dropping-particle":"","family":"Korsbakken","given":"Jan Ivar","non-dropping-particle":"","parse-names":false,"suffix":""},{"dropping-particle":"","family":"Peters","given":"Glen P.","non-dropping-particle":"","parse-names":false,"suffix":""},{"dropping-particle":"","family":"Canadell","given":"Josep G.","non-dropping-particle":"","parse-names":false,"suffix":""},{"dropping-particle":"","family":"Arneth","given":"Almut","non-dropping-particle":"","parse-names":false,"suffix":""},{"dropping-particle":"","family":"Arora","given":"Vivek K.","non-dropping-particle":"","parse-names":false,"suffix":""},{"dropping-particle":"","family":"Barbero","given":"Leticia","non-dropping-particle":"","parse-names":false,"suffix":""},{"dropping-particle":"","family":"Bastos","given":"Ana","non-dropping-particle":"","parse-names":false,"suffix":""},{"dropping-particle":"","family":"Bopp","given":"Laurent","non-dropping-particle":"","parse-names":false,"suffix":""},{"dropping-particle":"","family":"Chevallier","given":"Frédéric","non-dropping-particle":"","parse-names":false,"suffix":""},{"dropping-particle":"","family":"Chini","given":"Louise P.","non-dropping-particle":"","parse-names":false,"suffix":""},{"dropping-particle":"","family":"Ciais","given":"Philippe","non-dropping-particle":"","parse-names":false,"suffix":""},{"dropping-particle":"","family":"Doney","given":"Scott C.","non-dropping-particle":"","parse-names":false,"suffix":""},{"dropping-particle":"","family":"Gkritzalis","given":"Thanos","non-dropping-particle":"","parse-names":false,"suffix":""},{"dropping-particle":"","family":"Goll","given":"Daniel S.","non-dropping-particle":"","parse-names":false,"suffix":""},{"dropping-particle":"","family":"Harris","given":"Ian","non-dropping-particle":"","parse-names":false,"suffix":""},{"dropping-particle":"","family":"Haverd","given":"Vanessa","non-dropping-particle":"","parse-names":false,"suffix":""},{"dropping-particle":"","family":"Hoffman","given":"Forrest M.","non-dropping-particle":"","parse-names":false,"suffix":""},{"dropping-particle":"","family":"Hoppema","given":"Mario","non-dropping-particle":"","parse-names":false,"suffix":""},{"dropping-particle":"","family":"Houghton","given":"Richard A.","non-dropping-particle":"","parse-names":false,"suffix":""},{"dropping-particle":"","family":"Hurtt","given":"George","non-dropping-particle":"","parse-names":false,"suffix":""},{"dropping-particle":"","family":"Ilyina","given":"Tatiana","non-dropping-particle":"","parse-names":false,"suffix":""},{"dropping-particle":"","family":"Jain","given":"Atul K.","non-dropping-particle":"","parse-names":false,"suffix":""},{"dropping-particle":"","family":"Johannessen","given":"Truls","non-dropping-particle":"","parse-names":false,"suffix":""},{"dropping-particle":"","family":"Jones","given":"Chris D.","non-dropping-particle":"","parse-names":false,"suffix":""},{"dropping-particle":"","family":"Kato","given":"Etsushi","non-dropping-particle":"","parse-names":false,"suffix":""},{"dropping-particle":"","family":"Keeling","given":"Ralph F.","non-dropping-particle":"","parse-names":false,"suffix":""},{"dropping-particle":"","family":"Goldewijk","given":"Kees Klein","non-dropping-particle":"","parse-names":false,"suffix":""},{"dropping-particle":"","family":"Landschützer","given":"Peter","non-dropping-particle":"","parse-names":false,"suffix":""},{"dropping-particle":"","family":"Lefèvre","given":"Nathalie","non-dropping-particle":"","parse-names":false,"suffix":""},{"dropping-particle":"","family":"Lienert","given":"Sebastian","non-dropping-particle":"","parse-names":false,"suffix":""},{"dropping-particle":"","family":"Liu","given":"Zhu","non-dropping-particle":"","parse-names":false,"suffix":""},{"dropping-particle":"","family":"Lombardozzi","given":"Danica","non-dropping-particle":"","parse-names":false,"suffix":""},{"dropping-particle":"","family":"Metzl","given":"Nicolas","non-dropping-particle":"","parse-names":false,"suffix":""},{"dropping-particle":"","family":"Munro","given":"David R.","non-dropping-particle":"","parse-names":false,"suffix":""},{"dropping-particle":"","family":"Nabel","given":"Julia E. M. S.","non-dropping-particle":"","parse-names":false,"suffix":""},{"dropping-particle":"","family":"Nakaoka","given":"Shin-ichiro","non-dropping-particle":"","parse-names":false,"suffix":""},{"dropping-particle":"","family":"Neill","given":"Craig","non-dropping-particle":"","parse-names":false,"suffix":""},{"dropping-particle":"","family":"Olsen","given":"Are","non-dropping-particle":"","parse-names":false,"suffix":""},{"dropping-particle":"","family":"Ono","given":"Tsueno","non-dropping-particle":"","parse-names":false,"suffix":""},{"dropping-particle":"","family":"Patra","given":"Prabir","non-dropping-particle":"","parse-names":false,"suffix":""},{"dropping-particle":"","family":"Peregon","given":"Anna","non-dropping-particle":"","parse-names":false,"suffix":""},{"dropping-particle":"","family":"Peters","given":"Wouter","non-dropping-particle":"","parse-names":false,"suffix":""},{"dropping-particle":"","family":"Peylin","given":"Philippe","non-dropping-particle":"","parse-names":false,"suffix":""},{"dropping-particle":"","family":"Pfeil","given":"Benjamin","non-dropping-particle":"","parse-names":false,"suffix":""},{"dropping-particle":"","family":"Pierrot","given":"Denis","non-dropping-particle":"","parse-names":false,"suffix":""},{"dropping-particle":"","family":"Poulter","given":"Benjamin","non-dropping-particle":"","parse-names":false,"suffix":""},{"dropping-particle":"","family":"Rehder","given":"Gregor","non-dropping-particle":"","parse-names":false,"suffix":""},{"dropping-particle":"","family":"Resplandy","given":"Laure","non-dropping-particle":"","parse-names":false,"suffix":""},{"dropping-particle":"","family":"Robertson","given":"Eddy","non-dropping-particle":"","parse-names":false,"suffix":""},{"dropping-particle":"","family":"Rocher","given":"Matthias","non-dropping-particle":"","parse-names":false,"suffix":""},{"dropping-particle":"","family":"Rödenbeck","given":"Christian","non-dropping-particle":"","parse-names":false,"suffix":""},{"dropping-particle":"","family":"Schuster","given":"Ute","non-dropping-particle":"","parse-names":false,"suffix":""},{"dropping-particle":"","family":"Schwinger","given":"Jörg","non-dropping-particle":"","parse-names":false,"suffix":""},{"dropping-particle":"","family":"Séférian","given":"Roland","non-dropping-particle":"","parse-names":false,"suffix":""},{"dropping-particle":"","family":"Skjelvan","given":"Ingunn","non-dropping-particle":"","parse-names":false,"suffix":""},{"dropping-particle":"","family":"Steinhoff","given":"Tobias","non-dropping-particle":"","parse-names":false,"suffix":""},{"dropping-particle":"","family":"Sutton","given":"Adrienne","non-dropping-particle":"","parse-names":false,"suffix":""},{"dropping-particle":"","family":"Tans","given":"Pieter P.","non-dropping-particle":"","parse-names":false,"suffix":""},{"dropping-particle":"","family":"Tian","given":"Hanqin","non-dropping-particle":"","parse-names":false,"suffix":""},{"dropping-particle":"","family":"Tilbrook","given":"Bronte","non-dropping-particle":"","parse-names":false,"suffix":""},{"dropping-particle":"","family":"Tubiello","given":"Francesco N.","non-dropping-particle":"","parse-names":false,"suffix":""},{"dropping-particle":"","family":"Laan-Luijkx","given":"Ingrid T.","non-dropping-particle":"van der","parse-names":false,"suffix":""},{"dropping-particle":"","family":"Werf","given":"Guido R.","non-dropping-particle":"van der","parse-names":false,"suffix":""},{"dropping-particle":"","family":"Viovy","given":"Nicolas","non-dropping-particle":"","parse-names":false,"suffix":""},{"dropping-particle":"","family":"Walker","given":"Anthony P.","non-dropping-particle":"","parse-names":false,"suffix":""},{"dropping-particle":"","family":"Wiltshire","given":"Andrew J.","non-dropping-particle":"","parse-names":false,"suffix":""},{"dropping-particle":"","family":"Wright","given":"Rebecca","non-dropping-particle":"","parse-names":false,"suffix":""},{"dropping-particle":"","family":"Zaehle","given":"Sönke","non-dropping-particle":"","parse-names":false,"suffix":""},{"dropping-particle":"","family":"Zheng","given":"Bo","non-dropping-particle":"","parse-names":false,"suffix":""}],"container-title":"Earth System Science Data","id":"ITEM-1","issue":"4","issued":{"date-parts":[["2018","12","5"]]},"page":"2141-2194","title":"Global Carbon Budget 2018","type":"article-journal","volume":"10"},"uris":["http://www.mendeley.com/documents/?uuid=c58027c0-01ff-3934-afe3-9c450c266da6"]}],"mendeley":{"formattedCitation":"&lt;sup&gt;83&lt;/sup&gt;","plainTextFormattedCitation":"83","previouslyFormattedCitation":"&lt;sup&gt;83&lt;/sup&gt;"},"properties":{"noteIndex":0},"schema":"https://github.com/citation-style-language/schema/raw/master/csl-citation.json"}</w:instrText>
            </w:r>
            <w:r w:rsidRPr="00675DC9">
              <w:rPr>
                <w:rFonts w:ascii="Times New Roman" w:eastAsia="Arial" w:hAnsi="Times New Roman" w:cs="Times New Roman"/>
                <w:color w:val="000000" w:themeColor="text1"/>
                <w:sz w:val="20"/>
                <w:szCs w:val="20"/>
                <w:highlight w:val="white"/>
                <w:lang w:val="fr-FR"/>
              </w:rPr>
              <w:fldChar w:fldCharType="separate"/>
            </w:r>
            <w:r w:rsidRPr="00675DC9">
              <w:rPr>
                <w:rFonts w:ascii="Times New Roman" w:eastAsia="Arial" w:hAnsi="Times New Roman" w:cs="Times New Roman"/>
                <w:noProof/>
                <w:color w:val="000000" w:themeColor="text1"/>
                <w:sz w:val="20"/>
                <w:szCs w:val="20"/>
                <w:highlight w:val="white"/>
              </w:rPr>
              <w:t>83</w:t>
            </w:r>
            <w:r w:rsidRPr="00675DC9">
              <w:rPr>
                <w:rFonts w:ascii="Times New Roman" w:eastAsia="Arial" w:hAnsi="Times New Roman" w:cs="Times New Roman"/>
                <w:color w:val="000000" w:themeColor="text1"/>
                <w:sz w:val="20"/>
                <w:szCs w:val="20"/>
                <w:highlight w:val="white"/>
                <w:lang w:val="fr-FR"/>
              </w:rPr>
              <w:fldChar w:fldCharType="end"/>
            </w:r>
            <w:r w:rsidR="00675DC9" w:rsidRPr="00675DC9">
              <w:rPr>
                <w:rFonts w:ascii="Times New Roman" w:eastAsia="Arial" w:hAnsi="Times New Roman" w:cs="Times New Roman"/>
                <w:color w:val="000000" w:themeColor="text1"/>
                <w:sz w:val="20"/>
                <w:szCs w:val="20"/>
                <w:highlight w:val="white"/>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see Methods</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reduced</w:t>
            </w:r>
            <w:proofErr w:type="spellEnd"/>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302</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61</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This study (see Methods)</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see Methods</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outgas</w:t>
            </w:r>
            <w:proofErr w:type="spellEnd"/>
            <w:r w:rsidRPr="00675DC9">
              <w:rPr>
                <w:rFonts w:ascii="Times New Roman" w:eastAsia="Arial" w:hAnsi="Times New Roman" w:cs="Times New Roman"/>
                <w:color w:val="000000" w:themeColor="text1"/>
                <w:sz w:val="20"/>
                <w:szCs w:val="20"/>
                <w:vertAlign w:val="subscript"/>
              </w:rPr>
              <w:t xml:space="preserve"> rivers + lakes RAY</w:t>
            </w:r>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719</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360</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 xml:space="preserve">Raymond et al. </w:t>
            </w:r>
            <w:r w:rsidR="00675DC9">
              <w:rPr>
                <w:rFonts w:ascii="Times New Roman" w:eastAsia="Arial" w:hAnsi="Times New Roman" w:cs="Times New Roman"/>
                <w:color w:val="000000" w:themeColor="text1"/>
                <w:sz w:val="20"/>
                <w:szCs w:val="20"/>
              </w:rPr>
              <w:t>[</w:t>
            </w:r>
            <w:r w:rsidRPr="00675DC9">
              <w:rPr>
                <w:rFonts w:ascii="Times New Roman" w:eastAsia="Arial" w:hAnsi="Times New Roman" w:cs="Times New Roman"/>
                <w:color w:val="000000" w:themeColor="text1"/>
                <w:sz w:val="20"/>
                <w:szCs w:val="20"/>
              </w:rPr>
              <w:fldChar w:fldCharType="begin" w:fldLock="1"/>
            </w:r>
            <w:r w:rsidRPr="00675DC9">
              <w:rPr>
                <w:rFonts w:ascii="Times New Roman" w:eastAsia="Arial" w:hAnsi="Times New Roman" w:cs="Times New Roman"/>
                <w:color w:val="000000" w:themeColor="text1"/>
                <w:sz w:val="20"/>
                <w:szCs w:val="20"/>
              </w:rPr>
              <w:instrText>ADDIN CSL_CITATION {"citationItems":[{"id":"ITEM-1","itemData":{"DOI":"10.1038/nature13142","ISSN":"00280836","author":[{"dropping-particle":"","family":"Raymond","given":"P.A.","non-dropping-particle":"","parse-names":false,"suffix":""},{"dropping-particle":"","family":"Hartmann","given":"J.","non-dropping-particle":"","parse-names":false,"suffix":""},{"dropping-particle":"","family":"Lauerwald","given":"R.","non-dropping-particle":"","parse-names":false,"suffix":""},{"dropping-particle":"","family":"Sobek","given":"S.","non-dropping-particle":"","parse-names":false,"suffix":""},{"dropping-particle":"","family":"McDonald","given":"C.","non-dropping-particle":"","parse-names":false,"suffix":""},{"dropping-particle":"","family":"Hoover","given":"M.","non-dropping-particle":"","parse-names":false,"suffix":""},{"dropping-particle":"","family":"Butman","given":"D.","non-dropping-particle":"","parse-names":false,"suffix":""},{"dropping-particle":"","family":"Striegl","given":"R.","non-dropping-particle":"","parse-names":false,"suffix":""},{"dropping-particle":"","family":"Mayorga","given":"E.","non-dropping-particle":"","parse-names":false,"suffix":""},{"dropping-particle":"","family":"Humborg","given":"C.","non-dropping-particle":"","parse-names":false,"suffix":""},{"dropping-particle":"","family":"Kortelainen","given":"P.","non-dropping-particle":"","parse-names":false,"suffix":""},{"dropping-particle":"","family":"Dürr","given":"H.","non-dropping-particle":"","parse-names":false,"suffix":""},{"dropping-particle":"","family":"Meybeck","given":"M.","non-dropping-particle":"","parse-names":false,"suffix":""},{"dropping-particle":"","family":"Ciais","given":"P.","non-dropping-particle":"","parse-names":false,"suffix":""},{"dropping-particle":"","family":"Guth","given":"P.","non-dropping-particle":"","parse-names":false,"suffix":""}],"container-title":"Nature","id":"ITEM-1","issue":"7492","issued":{"date-parts":[["2014"]]},"title":"Erratum: Global carbon dioxide emissions from inland waters (Nature (2013) 503 (355-359) DOI: 10.1038/nature12760)","type":"article-journal","volume":"507"},"uris":["http://www.mendeley.com/documents/?uuid=9f65d7ab-bd8b-32fa-bb80-0bd0b1543272"]}],"mendeley":{"formattedCitation":"&lt;sup&gt;84&lt;/sup&gt;","plainTextFormattedCitation":"84","previouslyFormattedCitation":"&lt;sup&gt;84&lt;/sup&gt;"},"properties":{"noteIndex":0},"schema":"https://github.com/citation-style-language/schema/raw/master/csl-citation.json"}</w:instrText>
            </w:r>
            <w:r w:rsidRPr="00675DC9">
              <w:rPr>
                <w:rFonts w:ascii="Times New Roman" w:eastAsia="Arial" w:hAnsi="Times New Roman" w:cs="Times New Roman"/>
                <w:color w:val="000000" w:themeColor="text1"/>
                <w:sz w:val="20"/>
                <w:szCs w:val="20"/>
              </w:rPr>
              <w:fldChar w:fldCharType="separate"/>
            </w:r>
            <w:r w:rsidRPr="00675DC9">
              <w:rPr>
                <w:rFonts w:ascii="Times New Roman" w:eastAsia="Arial" w:hAnsi="Times New Roman" w:cs="Times New Roman"/>
                <w:noProof/>
                <w:color w:val="000000" w:themeColor="text1"/>
                <w:sz w:val="20"/>
                <w:szCs w:val="20"/>
              </w:rPr>
              <w:t>84</w:t>
            </w:r>
            <w:r w:rsidRPr="00675DC9">
              <w:rPr>
                <w:rFonts w:ascii="Times New Roman" w:eastAsia="Arial" w:hAnsi="Times New Roman" w:cs="Times New Roman"/>
                <w:color w:val="000000" w:themeColor="text1"/>
                <w:sz w:val="20"/>
                <w:szCs w:val="20"/>
              </w:rPr>
              <w:fldChar w:fldCharType="end"/>
            </w:r>
            <w:r w:rsidR="00675DC9">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50%</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outgas</w:t>
            </w:r>
            <w:proofErr w:type="spellEnd"/>
            <w:r w:rsidRPr="00675DC9">
              <w:rPr>
                <w:rFonts w:ascii="Times New Roman" w:eastAsia="Arial" w:hAnsi="Times New Roman" w:cs="Times New Roman"/>
                <w:color w:val="000000" w:themeColor="text1"/>
                <w:sz w:val="20"/>
                <w:szCs w:val="20"/>
                <w:vertAlign w:val="subscript"/>
              </w:rPr>
              <w:t xml:space="preserve"> rivers + lakes LAU</w:t>
            </w:r>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283</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142</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rPr>
              <w:t>Lauerwald</w:t>
            </w:r>
            <w:proofErr w:type="spellEnd"/>
            <w:r w:rsidRPr="00675DC9">
              <w:rPr>
                <w:rFonts w:ascii="Times New Roman" w:eastAsia="Arial" w:hAnsi="Times New Roman" w:cs="Times New Roman"/>
                <w:color w:val="000000" w:themeColor="text1"/>
                <w:sz w:val="20"/>
                <w:szCs w:val="20"/>
              </w:rPr>
              <w:t xml:space="preserve"> et al. </w:t>
            </w:r>
            <w:r w:rsidR="00675DC9">
              <w:rPr>
                <w:rFonts w:ascii="Times New Roman" w:eastAsia="Arial" w:hAnsi="Times New Roman" w:cs="Times New Roman"/>
                <w:color w:val="000000" w:themeColor="text1"/>
                <w:sz w:val="20"/>
                <w:szCs w:val="20"/>
              </w:rPr>
              <w:t>[</w:t>
            </w:r>
            <w:r w:rsidRPr="00675DC9">
              <w:rPr>
                <w:rFonts w:ascii="Times New Roman" w:eastAsia="Arial" w:hAnsi="Times New Roman" w:cs="Times New Roman"/>
                <w:color w:val="000000" w:themeColor="text1"/>
                <w:sz w:val="20"/>
                <w:szCs w:val="20"/>
              </w:rPr>
              <w:fldChar w:fldCharType="begin" w:fldLock="1"/>
            </w:r>
            <w:r w:rsidRPr="00675DC9">
              <w:rPr>
                <w:rFonts w:ascii="Times New Roman" w:eastAsia="Arial" w:hAnsi="Times New Roman" w:cs="Times New Roman"/>
                <w:color w:val="000000" w:themeColor="text1"/>
                <w:sz w:val="20"/>
                <w:szCs w:val="20"/>
              </w:rPr>
              <w:instrText>ADDIN CSL_CITATION {"citationItems":[{"id":"ITEM-1","itemData":{"DOI":"10.1002/2014GB004941","ISSN":"19449224","abstract":"©2015. American Geophysical Union. All Rights Reserved. CO &lt; inf &gt; 2 &lt; /inf &gt;  evasion from rivers (FCO &lt; inf &gt; 2 &lt; /inf &gt; ) is an important component of the global carbon budget. Here we present the first global maps of CO &lt; inf &gt; 2 &lt; /inf &gt;  partial pressures (pCO &lt; inf &gt; 2 &lt; /inf &gt; ) in rivers of stream orders 3 and higher and the resulting FCO &lt; inf &gt; 2 &lt; /inf &gt;  at 0.5° resolution constructed with a statistical model. A geographic information system based approach is used to derive a pCO &lt; inf &gt; 2 &lt; /inf &gt;  prediction function trained on data from 1182 sampling locations. While data from Asia and Africa are scarce and the training data set is dominated by sampling locations from the Americas, Europe, and Australia, the sampling locations cover the full spectrum from high to low latitudes. The predictors of pCO &lt; inf &gt; 2 &lt; /inf &gt;  are net primary production, population density, and slope gradient within the river catchment as well as mean air temperature at the sampling location (r &lt; sup &gt; 2 &lt; /sup &gt;  = 0.47). The predicted pCO &lt; inf &gt; 2 &lt; /inf &gt;  map was then combined with spatially explicit estimates of stream surface area A &lt; inf &gt; river &lt; /inf &gt;  and gas exchange velocity k calculated from published empirical equations and data sets to derive the FCO &lt; inf &gt; 2 &lt; /inf &gt;  map. Using Monte Carlo simulations, we assessed the uncertainties of our estimates. At the global scale, we estimate an average river pCO &lt; inf &gt; 2 &lt; /inf &gt;  of 2400 (2019-2826) μatm and a FCO &lt; inf &gt; 2 &lt; /inf &gt;  of 650 (483-846) Tg C yr &lt; sup &gt; -1 &lt; /sup &gt;  (5th and 95th percentiles of confidence interval). Our global CO &lt; inf &gt; 2 &lt; /inf &gt;  evasion is substantially lower than the recent estimate of 1800 Tg C yr &lt; sup &gt; -1 &lt; /sup &gt;  although the training set of pCO &lt; inf &gt; 2 &lt; /inf &gt;  is very similar in both studies, mainly due to lower tropical pCO &lt; inf &gt; 2 &lt; /inf &gt;  estimates in the present study. Our maps reveal strong latitudinal gradients in pCO &lt; inf &gt; 2 &lt; /inf &gt; , A &lt; inf &gt; river &lt; /inf &gt; , and FCO &lt; inf &gt; 2 &lt; /inf &gt; . The zone between 10°N and 10°S contributes about half of the global CO &lt; inf &gt; 2 &lt; /inf &gt;  evasion. Collection of pCO &lt; inf &gt; 2 &lt; /inf &gt;  data in this zone, in particular, for African and Southeast Asian rivers is a high priority to reduce uncertainty on FCO &lt; inf &gt; 2 &lt; /inf &gt; .","author":[{"dropping-particle":"","family":"Lauerwald","given":"R.","non-dropping-particle":"","parse-names":false,"suffix":""},{"dropping-particle":"","family":"Laruelle","given":"G.G.","non-dropping-particle":"","parse-names":false,"suffix":""},{"dropping-particle":"","family":"Hartmann","given":"J.","non-dropping-particle":"","parse-names":false,"suffix":""},{"dropping-particle":"","family":"Ciais","given":"P.","non-dropping-particle":"","parse-names":false,"suffix":""},{"dropping-particle":"","family":"Regnier","given":"P.A.G.","non-dropping-particle":"","parse-names":false,"suffix":""}],"container-title":"Global Biogeochemical Cycles","id":"ITEM-1","issue":"5","issued":{"date-parts":[["2015"]]},"title":"Spatial patterns in CO&amp;lt;inf&amp;gt;2&amp;lt;/inf&amp;gt; evasion from the global river network","type":"article-journal","volume":"29"},"uris":["http://www.mendeley.com/documents/?uuid=bcf366e5-e30c-3037-b8f0-fa10ad0b6bd5"]}],"mendeley":{"formattedCitation":"&lt;sup&gt;26&lt;/sup&gt;","plainTextFormattedCitation":"26","previouslyFormattedCitation":"&lt;sup&gt;26&lt;/sup&gt;"},"properties":{"noteIndex":0},"schema":"https://github.com/citation-style-language/schema/raw/master/csl-citation.json"}</w:instrText>
            </w:r>
            <w:r w:rsidRPr="00675DC9">
              <w:rPr>
                <w:rFonts w:ascii="Times New Roman" w:eastAsia="Arial" w:hAnsi="Times New Roman" w:cs="Times New Roman"/>
                <w:color w:val="000000" w:themeColor="text1"/>
                <w:sz w:val="20"/>
                <w:szCs w:val="20"/>
              </w:rPr>
              <w:fldChar w:fldCharType="separate"/>
            </w:r>
            <w:r w:rsidRPr="00675DC9">
              <w:rPr>
                <w:rFonts w:ascii="Times New Roman" w:eastAsia="Arial" w:hAnsi="Times New Roman" w:cs="Times New Roman"/>
                <w:noProof/>
                <w:color w:val="000000" w:themeColor="text1"/>
                <w:sz w:val="20"/>
                <w:szCs w:val="20"/>
              </w:rPr>
              <w:t>26</w:t>
            </w:r>
            <w:r w:rsidRPr="00675DC9">
              <w:rPr>
                <w:rFonts w:ascii="Times New Roman" w:eastAsia="Arial" w:hAnsi="Times New Roman" w:cs="Times New Roman"/>
                <w:color w:val="000000" w:themeColor="text1"/>
                <w:sz w:val="20"/>
                <w:szCs w:val="20"/>
              </w:rPr>
              <w:fldChar w:fldCharType="end"/>
            </w:r>
            <w:r w:rsidR="00675DC9">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50%</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outgas</w:t>
            </w:r>
            <w:proofErr w:type="spellEnd"/>
            <w:r w:rsidRPr="00675DC9">
              <w:rPr>
                <w:rFonts w:ascii="Times New Roman" w:eastAsia="Arial" w:hAnsi="Times New Roman" w:cs="Times New Roman"/>
                <w:color w:val="000000" w:themeColor="text1"/>
                <w:sz w:val="20"/>
                <w:szCs w:val="20"/>
                <w:vertAlign w:val="subscript"/>
              </w:rPr>
              <w:t xml:space="preserve"> estuaries</w:t>
            </w:r>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17</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9</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lang w:val="fr-FR"/>
              </w:rPr>
              <w:t>Laruelle</w:t>
            </w:r>
            <w:proofErr w:type="spellEnd"/>
            <w:r w:rsidRPr="00675DC9">
              <w:rPr>
                <w:rFonts w:ascii="Times New Roman" w:eastAsia="Arial" w:hAnsi="Times New Roman" w:cs="Times New Roman"/>
                <w:color w:val="000000" w:themeColor="text1"/>
                <w:sz w:val="20"/>
                <w:szCs w:val="20"/>
                <w:lang w:val="fr-FR"/>
              </w:rPr>
              <w:t xml:space="preserve"> et al. </w:t>
            </w:r>
            <w:r w:rsidR="00675DC9">
              <w:rPr>
                <w:rFonts w:ascii="Times New Roman" w:eastAsia="Arial" w:hAnsi="Times New Roman" w:cs="Times New Roman"/>
                <w:color w:val="000000" w:themeColor="text1"/>
                <w:sz w:val="20"/>
                <w:szCs w:val="20"/>
                <w:lang w:val="fr-FR"/>
              </w:rPr>
              <w:t>[</w:t>
            </w:r>
            <w:r w:rsidRPr="00675DC9">
              <w:rPr>
                <w:rFonts w:ascii="Times New Roman" w:eastAsia="Arial" w:hAnsi="Times New Roman" w:cs="Times New Roman"/>
                <w:color w:val="000000" w:themeColor="text1"/>
                <w:sz w:val="20"/>
                <w:szCs w:val="20"/>
                <w:lang w:val="fr-FR"/>
              </w:rPr>
              <w:fldChar w:fldCharType="begin" w:fldLock="1"/>
            </w:r>
            <w:r w:rsidRPr="00675DC9">
              <w:rPr>
                <w:rFonts w:ascii="Times New Roman" w:eastAsia="Arial" w:hAnsi="Times New Roman" w:cs="Times New Roman"/>
                <w:color w:val="000000" w:themeColor="text1"/>
                <w:sz w:val="20"/>
                <w:szCs w:val="20"/>
                <w:lang w:val="fr-FR"/>
              </w:rPr>
              <w:instrText>ADDIN CSL_CITATION {"citationItems":[{"id":"ITEM-1","itemData":{"DOI":"10.5194/hess-17-2029-2013","ISSN":"1607-7938","author":[{"dropping-particle":"","family":"Laruelle","given":"G. G.","non-dropping-particle":"","parse-names":false,"suffix":""},{"dropping-particle":"","family":"Dürr","given":"H. H.","non-dropping-particle":"","parse-names":false,"suffix":""},{"dropping-particle":"","family":"Lauerwald","given":"R.","non-dropping-particle":"","parse-names":false,"suffix":""},{"dropping-particle":"","family":"Hartmann","given":"J.","non-dropping-particle":"","parse-names":false,"suffix":""},{"dropping-particle":"","family":"Slomp","given":"C. P.","non-dropping-particle":"","parse-names":false,"suffix":""},{"dropping-particle":"","family":"Goossens","given":"N.","non-dropping-particle":"","parse-names":false,"suffix":""},{"dropping-particle":"","family":"Regnier","given":"P. a. G.","non-dropping-particle":"","parse-names":false,"suffix":""}],"container-title":"Hydrology and Earth System Sciences","id":"ITEM-1","issue":"5","issued":{"date-parts":[["2013","5"]]},"page":"2029-2051","title":"Global multi-scale segmentation of continental and coastal waters from the watersheds to the continental margins","type":"article-journal","volume":"17"},"uris":["http://www.mendeley.com/documents/?uuid=f34065a6-b97b-4e8b-a953-1b41ee97ea4b"]}],"mendeley":{"formattedCitation":"&lt;sup&gt;74&lt;/sup&gt;","plainTextFormattedCitation":"74","previouslyFormattedCitation":"&lt;sup&gt;74&lt;/sup&gt;"},"properties":{"noteIndex":0},"schema":"https://github.com/citation-style-language/schema/raw/master/csl-citation.json"}</w:instrText>
            </w:r>
            <w:r w:rsidRPr="00675DC9">
              <w:rPr>
                <w:rFonts w:ascii="Times New Roman" w:eastAsia="Arial" w:hAnsi="Times New Roman" w:cs="Times New Roman"/>
                <w:color w:val="000000" w:themeColor="text1"/>
                <w:sz w:val="20"/>
                <w:szCs w:val="20"/>
                <w:lang w:val="fr-FR"/>
              </w:rPr>
              <w:fldChar w:fldCharType="separate"/>
            </w:r>
            <w:r w:rsidRPr="00675DC9">
              <w:rPr>
                <w:rFonts w:ascii="Times New Roman" w:eastAsia="Arial" w:hAnsi="Times New Roman" w:cs="Times New Roman"/>
                <w:noProof/>
                <w:color w:val="000000" w:themeColor="text1"/>
                <w:sz w:val="20"/>
                <w:szCs w:val="20"/>
                <w:lang w:val="fr-FR"/>
              </w:rPr>
              <w:t>74</w:t>
            </w:r>
            <w:r w:rsidRPr="00675DC9">
              <w:rPr>
                <w:rFonts w:ascii="Times New Roman" w:eastAsia="Arial" w:hAnsi="Times New Roman" w:cs="Times New Roman"/>
                <w:color w:val="000000" w:themeColor="text1"/>
                <w:sz w:val="20"/>
                <w:szCs w:val="20"/>
                <w:lang w:val="fr-FR"/>
              </w:rPr>
              <w:fldChar w:fldCharType="end"/>
            </w:r>
            <w:r w:rsidR="00675DC9">
              <w:rPr>
                <w:rFonts w:ascii="Times New Roman" w:eastAsia="Arial" w:hAnsi="Times New Roman" w:cs="Times New Roman"/>
                <w:color w:val="000000" w:themeColor="text1"/>
                <w:sz w:val="20"/>
                <w:szCs w:val="20"/>
                <w:lang w:val="fr-FR"/>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50%</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r w:rsidRPr="00675DC9">
              <w:rPr>
                <w:rFonts w:ascii="Times New Roman" w:eastAsia="Arial" w:hAnsi="Times New Roman" w:cs="Times New Roman"/>
                <w:color w:val="000000" w:themeColor="text1"/>
                <w:sz w:val="20"/>
                <w:szCs w:val="20"/>
              </w:rPr>
              <w:lastRenderedPageBreak/>
              <w:t>NPP</w:t>
            </w:r>
            <w:r w:rsidRPr="00675DC9">
              <w:rPr>
                <w:rFonts w:ascii="Times New Roman" w:eastAsia="Arial" w:hAnsi="Times New Roman" w:cs="Times New Roman"/>
                <w:color w:val="000000" w:themeColor="text1"/>
                <w:sz w:val="20"/>
                <w:szCs w:val="20"/>
                <w:vertAlign w:val="subscript"/>
              </w:rPr>
              <w:t>MODIS</w:t>
            </w:r>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-13462</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2692</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 xml:space="preserve">Zhao et al. </w:t>
            </w:r>
            <w:r w:rsidR="00675DC9">
              <w:rPr>
                <w:rFonts w:ascii="Times New Roman" w:eastAsia="Arial" w:hAnsi="Times New Roman" w:cs="Times New Roman"/>
                <w:color w:val="000000" w:themeColor="text1"/>
                <w:sz w:val="20"/>
                <w:szCs w:val="20"/>
              </w:rPr>
              <w:t>[</w:t>
            </w:r>
            <w:r w:rsidRPr="00675DC9">
              <w:rPr>
                <w:rFonts w:ascii="Times New Roman" w:eastAsia="Arial" w:hAnsi="Times New Roman" w:cs="Times New Roman"/>
                <w:color w:val="000000" w:themeColor="text1"/>
                <w:sz w:val="20"/>
                <w:szCs w:val="20"/>
              </w:rPr>
              <w:fldChar w:fldCharType="begin" w:fldLock="1"/>
            </w:r>
            <w:r w:rsidRPr="00675DC9">
              <w:rPr>
                <w:rFonts w:ascii="Times New Roman" w:eastAsia="Arial" w:hAnsi="Times New Roman" w:cs="Times New Roman"/>
                <w:color w:val="000000" w:themeColor="text1"/>
                <w:sz w:val="20"/>
                <w:szCs w:val="20"/>
              </w:rPr>
              <w:instrText>ADDIN CSL_CITATION {"citationItems":[{"id":"ITEM-1","itemData":{"DOI":"10.1029/2004JG000004","ISBN":"0148-0227","ISSN":"0148-0227","abstract":"The Moderate Resolution Imaging Spectroradiometer (MODIS) on board NASA's satellites, Terra and Aqua, dramatically improves our ability to accurately and continuously monitor the terrestrial biosphere. MODIS information is used to estimate global terrestrial primary production weekly and annually in near-real time at a 1-km resolution. MODIS terrestrial primary production requires daily gridded assimilation meteorological data as inputs, and the accuracy of the existing meteorological reanalysis data sets show marked differences both spatially and temporally. This study compares surface meteorological data sets from three well-documented global reanalyses, NASA Data Assimilation Office (DAO), European Centre for Medium-Range Weather Forecasts (ECMWF) (ERA-40) and National Centers for Environmental Prediction/National Center for Atmospheric Research (NCEP/NCAR) reanalysis 1, with observed weather station data and other gridded data interpolated from the observations, to evaluate the sensitivity of MODIS global terrestrial gross and net primary production (GPP and NPP) to the uncertainties of meteorological inputs both in the United States and the global vegetated areas. NCEP tends to overestimate surface solar radiation, and underestimate both temperature and vapor pressure deficit (VPD). ECMWF has the highest accuracy but its radiation is lower in tropical regions, and the accuracy of DAO lies between NCEP and ECMWF. Biases in temperature are mainly responsible for large VPD biases in reanalyses. MODIS NPP contains more uncertainties than GPP. Global total MODIS GPP and NPP driven by DAO, ECMWF, and NCEP show notable differences (&gt;20 Pg C/yr) with the highest estimates from NCEP and the lowest from ECMWF. Again, the DAO results lie somewhere between NCEP and ECMWF estimates. Spatially, the larger discrepancies among reanalyses and their derived MODIS GPP and NPP occur in the tropics. These results reveal that the biases in meteorological reanalyses can introduce substantial error into GPP and NPP estimations, and emphasize the need to minimize these biases to improve the quality of MODIS GPP and NPP products.","author":[{"dropping-particle":"","family":"Zhao","given":"Maosheng","non-dropping-particle":"","parse-names":false,"suffix":""},{"dropping-particle":"","family":"Running","given":"Steven W.","non-dropping-particle":"","parse-names":false,"suffix":""},{"dropping-particle":"","family":"Nemani","given":"Ramakrishna R.","non-dropping-particle":"","parse-names":false,"suffix":""}],"container-title":"Journal of Geophysical Research","id":"ITEM-1","issue":"G1","issued":{"date-parts":[["2006"]]},"page":"G01002","title":"Sensitivity of Moderate Resolution Imaging Spectroradiometer (MODIS) terrestrial primary production to the accuracy of meteorological reanalyses","type":"article-journal","volume":"111"},"uris":["http://www.mendeley.com/documents/?uuid=de26ed4f-683f-4acf-b548-fd2275a66e2d"]}],"mendeley":{"formattedCitation":"&lt;sup&gt;85&lt;/sup&gt;","plainTextFormattedCitation":"85","previouslyFormattedCitation":"&lt;sup&gt;85&lt;/sup&gt;"},"properties":{"noteIndex":0},"schema":"https://github.com/citation-style-language/schema/raw/master/csl-citation.json"}</w:instrText>
            </w:r>
            <w:r w:rsidRPr="00675DC9">
              <w:rPr>
                <w:rFonts w:ascii="Times New Roman" w:eastAsia="Arial" w:hAnsi="Times New Roman" w:cs="Times New Roman"/>
                <w:color w:val="000000" w:themeColor="text1"/>
                <w:sz w:val="20"/>
                <w:szCs w:val="20"/>
              </w:rPr>
              <w:fldChar w:fldCharType="separate"/>
            </w:r>
            <w:r w:rsidRPr="00675DC9">
              <w:rPr>
                <w:rFonts w:ascii="Times New Roman" w:eastAsia="Arial" w:hAnsi="Times New Roman" w:cs="Times New Roman"/>
                <w:noProof/>
                <w:color w:val="000000" w:themeColor="text1"/>
                <w:sz w:val="20"/>
                <w:szCs w:val="20"/>
              </w:rPr>
              <w:t>85</w:t>
            </w:r>
            <w:r w:rsidRPr="00675DC9">
              <w:rPr>
                <w:rFonts w:ascii="Times New Roman" w:eastAsia="Arial" w:hAnsi="Times New Roman" w:cs="Times New Roman"/>
                <w:color w:val="000000" w:themeColor="text1"/>
                <w:sz w:val="20"/>
                <w:szCs w:val="20"/>
              </w:rPr>
              <w:fldChar w:fldCharType="end"/>
            </w:r>
            <w:r w:rsidR="00675DC9">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 xml:space="preserve">20% </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r w:rsidRPr="00675DC9">
              <w:rPr>
                <w:rFonts w:ascii="Times New Roman" w:eastAsia="Arial" w:hAnsi="Times New Roman" w:cs="Times New Roman"/>
                <w:color w:val="000000" w:themeColor="text1"/>
                <w:sz w:val="20"/>
                <w:szCs w:val="20"/>
              </w:rPr>
              <w:t>NPP</w:t>
            </w:r>
            <w:r w:rsidRPr="00675DC9">
              <w:rPr>
                <w:rFonts w:ascii="Times New Roman" w:eastAsia="Arial" w:hAnsi="Times New Roman" w:cs="Times New Roman"/>
                <w:color w:val="000000" w:themeColor="text1"/>
                <w:sz w:val="20"/>
                <w:szCs w:val="20"/>
                <w:vertAlign w:val="subscript"/>
              </w:rPr>
              <w:t>BETHY</w:t>
            </w:r>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-15097</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3019</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Tum et al.</w:t>
            </w:r>
            <w:r w:rsidR="00675DC9">
              <w:rPr>
                <w:rFonts w:ascii="Times New Roman" w:eastAsia="Arial" w:hAnsi="Times New Roman" w:cs="Times New Roman"/>
                <w:color w:val="000000" w:themeColor="text1"/>
                <w:sz w:val="20"/>
                <w:szCs w:val="20"/>
              </w:rPr>
              <w:t xml:space="preserve"> [</w:t>
            </w:r>
            <w:r w:rsidRPr="00675DC9">
              <w:rPr>
                <w:rFonts w:ascii="Times New Roman" w:eastAsia="Arial" w:hAnsi="Times New Roman" w:cs="Times New Roman"/>
                <w:color w:val="000000" w:themeColor="text1"/>
                <w:sz w:val="20"/>
                <w:szCs w:val="20"/>
              </w:rPr>
              <w:fldChar w:fldCharType="begin" w:fldLock="1"/>
            </w:r>
            <w:r w:rsidRPr="00675DC9">
              <w:rPr>
                <w:rFonts w:ascii="Times New Roman" w:eastAsia="Arial" w:hAnsi="Times New Roman" w:cs="Times New Roman"/>
                <w:color w:val="000000" w:themeColor="text1"/>
                <w:sz w:val="20"/>
                <w:szCs w:val="20"/>
              </w:rPr>
              <w:instrText>ADDIN CSL_CITATION {"citationItems":[{"id":"ITEM-1","itemData":{"DOI":"10.5194/gmd-6-1623-2013","ISSN":"1991-9603","abstract":"&lt;p&gt;&lt;p&gt;&lt;strong&gt;Abstract.&lt;/strong&gt; In this study we compare monthly gross primary productivity (GPP) time series (2000–2007), computed for Europe with the Biosphere Energy Transfer Hydrology (BETHY/DLR) model with monthly data from the eddy covariance measurements network FLUXNET. BETHY/DLR with a spatial resolution of 1 km&lt;sup&gt;2&lt;/sup&gt; is designed for regional and continental applications (here Europe) and operated at the German Aerospace Center (DLR). It was adapted from the BETHY scheme to be driven by remote sensing data (leaf area index (LAI) and land cover information) and meteorology. Time series of LAI obtained from the CYCLOPES database are used to control the phenology of vegetation. Meteorological time series from the European Centre for Medium-Range Weather Forecasts (ECMWF) are used as driver. These comprise daily information on temperature, precipitation, wind speed and radiation. Additionally, static maps such as land cover, elevation, and soil type are used. To validate our model results we used eddy covariance measurements from the FLUXNET network of 74 towers across Europe. For forest sites we found that our model predicts between 20 and 40% higher annual GPP sums. In contrast, for cropland sites BETHY/DLR results show about 18% less GPP than eddy covariance measurements. For grassland sites, between 10% more and 16% less GPP was calculated with BETHY/DLR. A mean total carbon uptake of 2.5 PgC a&lt;sup&gt;−1&lt;/sup&gt; (±0.17 PgC a&lt;sup&gt;−1&lt;/sup&gt;) was found for Europe. In addition, this study reports on risks that arise from the comparison of modelled data to FLUXNET measurements and their interpretation width. Furthermore we investigate reasons for uncertainties in model results and focus here on &lt;i&gt;V&lt;/i&gt;&lt;sub&gt;max&lt;/sub&gt; values, and finally embed our results into a broader context of model validation studies published during the last years in order to evaluate differences or similarities in analysed error sources.&lt;/p&gt;&lt;/p&gt;","author":[{"dropping-particle":"","family":"Wißkirchen","given":"K.","non-dropping-particle":"","parse-names":false,"suffix":""},{"dropping-particle":"","family":"Tum","given":"M.","non-dropping-particle":"","parse-names":false,"suffix":""},{"dropping-particle":"","family":"Günther","given":"K. P.","non-dropping-particle":"","parse-names":false,"suffix":""},{"dropping-particle":"","family":"Niklaus","given":"M.","non-dropping-particle":"","parse-names":false,"suffix":""},{"dropping-particle":"","family":"Eisfelder","given":"C.","non-dropping-particle":"","parse-names":false,"suffix":""},{"dropping-particle":"","family":"Knorr","given":"W.","non-dropping-particle":"","parse-names":false,"suffix":""}],"container-title":"Geoscientific Model Development","id":"ITEM-1","issue":"5","issued":{"date-parts":[["2013","10","8"]]},"page":"1623-1640","title":"Quantifying the carbon uptake by vegetation for Europe on a 1 km&amp;amp;lt;sup&amp;amp;gt;2&amp;amp;lt;/sup&amp;amp;gt; resolution using a remote sensing driven vegetation model","type":"article-journal","volume":"6"},"uris":["http://www.mendeley.com/documents/?uuid=2a66f9b9-97fa-3434-9682-3dc7a55bd2e9"]}],"mendeley":{"formattedCitation":"&lt;sup&gt;23&lt;/sup&gt;","plainTextFormattedCitation":"23","previouslyFormattedCitation":"&lt;sup&gt;23&lt;/sup&gt;"},"properties":{"noteIndex":0},"schema":"https://github.com/citation-style-language/schema/raw/master/csl-citation.json"}</w:instrText>
            </w:r>
            <w:r w:rsidRPr="00675DC9">
              <w:rPr>
                <w:rFonts w:ascii="Times New Roman" w:eastAsia="Arial" w:hAnsi="Times New Roman" w:cs="Times New Roman"/>
                <w:color w:val="000000" w:themeColor="text1"/>
                <w:sz w:val="20"/>
                <w:szCs w:val="20"/>
              </w:rPr>
              <w:fldChar w:fldCharType="separate"/>
            </w:r>
            <w:r w:rsidRPr="00675DC9">
              <w:rPr>
                <w:rFonts w:ascii="Times New Roman" w:eastAsia="Arial" w:hAnsi="Times New Roman" w:cs="Times New Roman"/>
                <w:noProof/>
                <w:color w:val="000000" w:themeColor="text1"/>
                <w:sz w:val="20"/>
                <w:szCs w:val="20"/>
              </w:rPr>
              <w:t>23</w:t>
            </w:r>
            <w:r w:rsidRPr="00675DC9">
              <w:rPr>
                <w:rFonts w:ascii="Times New Roman" w:eastAsia="Arial" w:hAnsi="Times New Roman" w:cs="Times New Roman"/>
                <w:color w:val="000000" w:themeColor="text1"/>
                <w:sz w:val="20"/>
                <w:szCs w:val="20"/>
              </w:rPr>
              <w:fldChar w:fldCharType="end"/>
            </w:r>
            <w:r w:rsidR="00675DC9">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20%</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r w:rsidRPr="00675DC9">
              <w:rPr>
                <w:rFonts w:ascii="Times New Roman" w:eastAsia="Arial" w:hAnsi="Times New Roman" w:cs="Times New Roman"/>
                <w:color w:val="000000" w:themeColor="text1"/>
                <w:sz w:val="20"/>
                <w:szCs w:val="20"/>
              </w:rPr>
              <w:t>NPP</w:t>
            </w:r>
            <w:r w:rsidRPr="00675DC9">
              <w:rPr>
                <w:rFonts w:ascii="Times New Roman" w:eastAsia="Arial" w:hAnsi="Times New Roman" w:cs="Times New Roman"/>
                <w:color w:val="000000" w:themeColor="text1"/>
                <w:sz w:val="20"/>
                <w:szCs w:val="20"/>
                <w:vertAlign w:val="subscript"/>
              </w:rPr>
              <w:t>GIMMS</w:t>
            </w:r>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-14667</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2933</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Kolby Smith et al.</w:t>
            </w:r>
            <w:r w:rsidR="00675DC9">
              <w:rPr>
                <w:rFonts w:ascii="Times New Roman" w:eastAsia="Arial" w:hAnsi="Times New Roman" w:cs="Times New Roman"/>
                <w:color w:val="000000" w:themeColor="text1"/>
                <w:sz w:val="20"/>
                <w:szCs w:val="20"/>
              </w:rPr>
              <w:t xml:space="preserve"> [</w:t>
            </w:r>
            <w:r w:rsidRPr="00675DC9">
              <w:rPr>
                <w:rFonts w:ascii="Times New Roman" w:eastAsia="Arial" w:hAnsi="Times New Roman" w:cs="Times New Roman"/>
                <w:color w:val="000000" w:themeColor="text1"/>
                <w:sz w:val="20"/>
                <w:szCs w:val="20"/>
              </w:rPr>
              <w:fldChar w:fldCharType="begin" w:fldLock="1"/>
            </w:r>
            <w:r w:rsidRPr="00675DC9">
              <w:rPr>
                <w:rFonts w:ascii="Times New Roman" w:eastAsia="Arial" w:hAnsi="Times New Roman" w:cs="Times New Roman"/>
                <w:color w:val="000000" w:themeColor="text1"/>
                <w:sz w:val="20"/>
                <w:szCs w:val="20"/>
              </w:rPr>
              <w:instrText>ADDIN CSL_CITATION {"citationItems":[{"id":"ITEM-1","itemData":{"author":[{"dropping-particle":"","family":"Kolby Smith","given":"W","non-dropping-particle":"","parse-names":false,"suffix":""},{"dropping-particle":"","family":"Reed","given":"Sasha C","non-dropping-particle":"","parse-names":false,"suffix":""},{"dropping-particle":"","family":"Cleveland","given":"Cory C","non-dropping-particle":"","parse-names":false,"suffix":""},{"dropping-particle":"","family":"Ballantyne","given":"Ashley P","non-dropping-particle":"","parse-names":false,"suffix":""},{"dropping-particle":"","family":"Anderegg","given":"William R L","non-dropping-particle":"","parse-names":false,"suffix":""},{"dropping-particle":"","family":"Wieder","given":"William R","non-dropping-particle":"","parse-names":false,"suffix":""},{"dropping-particle":"","family":"Liu","given":"Yi Y","non-dropping-particle":"","parse-names":false,"suffix":""},{"dropping-particle":"","family":"Running","given":"Steven W","non-dropping-particle":"","parse-names":false,"suffix":""}],"container-title":"Nature Climate Change","id":"ITEM-1","issued":{"date-parts":[["2015","12","7"]]},"page":"306","publisher":"Nature Publishing Group","title":"Large divergence of satellite and Earth system model estimates of global terrestrial CO2 fertilization","type":"article-journal","volume":"6"},"uris":["http://www.mendeley.com/documents/?uuid=61d003ae-325e-49c5-adc9-b80e731e237f"]}],"mendeley":{"formattedCitation":"&lt;sup&gt;24&lt;/sup&gt;","plainTextFormattedCitation":"24","previouslyFormattedCitation":"&lt;sup&gt;24&lt;/sup&gt;"},"properties":{"noteIndex":0},"schema":"https://github.com/citation-style-language/schema/raw/master/csl-citation.json"}</w:instrText>
            </w:r>
            <w:r w:rsidRPr="00675DC9">
              <w:rPr>
                <w:rFonts w:ascii="Times New Roman" w:eastAsia="Arial" w:hAnsi="Times New Roman" w:cs="Times New Roman"/>
                <w:color w:val="000000" w:themeColor="text1"/>
                <w:sz w:val="20"/>
                <w:szCs w:val="20"/>
              </w:rPr>
              <w:fldChar w:fldCharType="separate"/>
            </w:r>
            <w:r w:rsidRPr="00675DC9">
              <w:rPr>
                <w:rFonts w:ascii="Times New Roman" w:eastAsia="Arial" w:hAnsi="Times New Roman" w:cs="Times New Roman"/>
                <w:noProof/>
                <w:color w:val="000000" w:themeColor="text1"/>
                <w:sz w:val="20"/>
                <w:szCs w:val="20"/>
              </w:rPr>
              <w:t>24</w:t>
            </w:r>
            <w:r w:rsidRPr="00675DC9">
              <w:rPr>
                <w:rFonts w:ascii="Times New Roman" w:eastAsia="Arial" w:hAnsi="Times New Roman" w:cs="Times New Roman"/>
                <w:color w:val="000000" w:themeColor="text1"/>
                <w:sz w:val="20"/>
                <w:szCs w:val="20"/>
              </w:rPr>
              <w:fldChar w:fldCharType="end"/>
            </w:r>
            <w:r w:rsidR="00675DC9">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20%</w:t>
            </w:r>
          </w:p>
        </w:tc>
      </w:tr>
      <w:tr w:rsidR="00F6749E" w:rsidRPr="00675DC9" w:rsidTr="00675DC9">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r w:rsidRPr="00675DC9">
              <w:rPr>
                <w:rFonts w:ascii="Times New Roman" w:eastAsia="Arial" w:hAnsi="Times New Roman" w:cs="Times New Roman"/>
                <w:color w:val="000000" w:themeColor="text1"/>
                <w:sz w:val="20"/>
                <w:szCs w:val="20"/>
              </w:rPr>
              <w:t>NPP</w:t>
            </w:r>
            <w:r w:rsidRPr="00675DC9">
              <w:rPr>
                <w:rFonts w:ascii="Times New Roman" w:eastAsia="Arial" w:hAnsi="Times New Roman" w:cs="Times New Roman"/>
                <w:color w:val="000000" w:themeColor="text1"/>
                <w:sz w:val="20"/>
                <w:szCs w:val="20"/>
                <w:vertAlign w:val="subscript"/>
              </w:rPr>
              <w:t>CARDAMOM</w:t>
            </w:r>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-13228</w:t>
            </w:r>
          </w:p>
        </w:tc>
        <w:tc>
          <w:tcPr>
            <w:tcW w:w="27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1035"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4462</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 xml:space="preserve">Bloom et al. </w:t>
            </w:r>
            <w:r w:rsidR="00675DC9">
              <w:rPr>
                <w:rFonts w:ascii="Times New Roman" w:eastAsia="Arial" w:hAnsi="Times New Roman" w:cs="Times New Roman"/>
                <w:color w:val="000000" w:themeColor="text1"/>
                <w:sz w:val="20"/>
                <w:szCs w:val="20"/>
              </w:rPr>
              <w:t>[</w:t>
            </w:r>
            <w:r w:rsidRPr="00675DC9">
              <w:rPr>
                <w:rFonts w:ascii="Times New Roman" w:eastAsia="Arial" w:hAnsi="Times New Roman" w:cs="Times New Roman"/>
                <w:color w:val="000000" w:themeColor="text1"/>
                <w:sz w:val="20"/>
                <w:szCs w:val="20"/>
              </w:rPr>
              <w:fldChar w:fldCharType="begin" w:fldLock="1"/>
            </w:r>
            <w:r w:rsidRPr="00675DC9">
              <w:rPr>
                <w:rFonts w:ascii="Times New Roman" w:eastAsia="Arial" w:hAnsi="Times New Roman" w:cs="Times New Roman"/>
                <w:color w:val="000000" w:themeColor="text1"/>
                <w:sz w:val="20"/>
                <w:szCs w:val="20"/>
              </w:rPr>
              <w:instrText>ADDIN CSL_CITATION {"citationItems":[{"id":"ITEM-1","itemData":{"DOI":"10.1073/pnas.1515160113","ISSN":"0027-8424","abstract":"Quantitative knowledge of terrestrial carbon pathways and processes is fundamental for understanding the biosphere{\\textquoteright}s response to a changing climate. Carbon allocation, stocks, and residence times together define the dynamic state of the terrestrial carbon cycle. These quantities are difficult to measure and remain poorly quantified on a global scale. Here, we retrieve global 1{\\textdegree} {\\texttimes} 1{\\textdegree} carbon state and process variables by combining a carbon balance model with satellite observations of biomass and leaf area (where and when available) and global soil carbon data. Our results reveal emergent continental-scale patterns and relationships between carbon states and processes. We find that conventional land cover types cannot capture continental-scale variations of retrieved carbon variables; this mismatch has strong implications for terrestrial carbon cycle predictions.The terrestrial carbon cycle is currently the least constrained component of the global carbon budget. Large uncertainties stem from a poor understanding of plant carbon allocation, stocks, residence times, and carbon use efficiency. Imposing observational constraints on the terrestrial carbon cycle and its processes is, therefore, necessary to better understand its current state and predict its future state. We combine a diagnostic ecosystem carbon model with satellite observations of leaf area and biomass (where and when available) and soil carbon data to retrieve the first global estimates, to our knowledge, of carbon cycle state and process variables at a 1{\\textdegree} {\\texttimes} 1{\\textdegree} resolution; retrieved variables are independent from the plant functional type and steady-state paradigms. Our results reveal global emergent relationships in the spatial distribution of key carbon cycle states and processes. Live biomass and dead organic carbon residence times exhibit contrasting spatial features (r = 0.3). Allocation to structural carbon is highest in the wet tropics (85{\\textendash}88%) in contrast to higher latitudes (73{\\textendash}82%), where allocation shifts toward photosynthetic carbon. Carbon use efficiency is lowest (0.42{\\textendash}0.44) in the wet tropics. We find an emergent global correlation between retrievals of leaf mass per leaf area and leaf lifespan (r = 0.64{\\textendash}0.80) that matches independent trait studies. We show that conventional land cover types cannot adequately describe the spatial variability of …","author":[{"dropping-particle":"","family":"Bloom","given":"A Anthony","non-dropping-particle":"","parse-names":false,"suffix":""},{"dropping-particle":"","family":"Exbrayat","given":"Jean-François","non-dropping-particle":"","parse-names":false,"suffix":""},{"dropping-particle":"","family":"Velde","given":"Ivar R","non-dropping-particle":"van der","parse-names":false,"suffix":""},{"dropping-particle":"","family":"Feng","given":"Liang","non-dropping-particle":"","parse-names":false,"suffix":""},{"dropping-particle":"","family":"Williams","given":"Mathew","non-dropping-particle":"","parse-names":false,"suffix":""}],"container-title":"Proceedings of the National Academy of Sciences","id":"ITEM-1","issue":"5","issued":{"date-parts":[["2016"]]},"page":"1285-1290","publisher":"National Academy of Sciences","title":"The decadal state of the terrestrial carbon cycle: Global retrievals of terrestrial carbon allocation, pools, and residence times","type":"article-journal","volume":"113"},"uris":["http://www.mendeley.com/documents/?uuid=6f80c03b-935a-4bff-b909-17256e12378d"]}],"mendeley":{"formattedCitation":"&lt;sup&gt;25&lt;/sup&gt;","plainTextFormattedCitation":"25","previouslyFormattedCitation":"&lt;sup&gt;25&lt;/sup&gt;"},"properties":{"noteIndex":0},"schema":"https://github.com/citation-style-language/schema/raw/master/csl-citation.json"}</w:instrText>
            </w:r>
            <w:r w:rsidRPr="00675DC9">
              <w:rPr>
                <w:rFonts w:ascii="Times New Roman" w:eastAsia="Arial" w:hAnsi="Times New Roman" w:cs="Times New Roman"/>
                <w:color w:val="000000" w:themeColor="text1"/>
                <w:sz w:val="20"/>
                <w:szCs w:val="20"/>
              </w:rPr>
              <w:fldChar w:fldCharType="separate"/>
            </w:r>
            <w:r w:rsidRPr="00675DC9">
              <w:rPr>
                <w:rFonts w:ascii="Times New Roman" w:eastAsia="Arial" w:hAnsi="Times New Roman" w:cs="Times New Roman"/>
                <w:noProof/>
                <w:color w:val="000000" w:themeColor="text1"/>
                <w:sz w:val="20"/>
                <w:szCs w:val="20"/>
              </w:rPr>
              <w:t>25</w:t>
            </w:r>
            <w:r w:rsidRPr="00675DC9">
              <w:rPr>
                <w:rFonts w:ascii="Times New Roman" w:eastAsia="Arial" w:hAnsi="Times New Roman" w:cs="Times New Roman"/>
                <w:color w:val="000000" w:themeColor="text1"/>
                <w:sz w:val="20"/>
                <w:szCs w:val="20"/>
              </w:rPr>
              <w:fldChar w:fldCharType="end"/>
            </w:r>
            <w:r w:rsidR="00675DC9">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20%</w:t>
            </w:r>
          </w:p>
        </w:tc>
      </w:tr>
      <w:tr w:rsidR="00F6749E" w:rsidRPr="00675DC9" w:rsidTr="009F5F02">
        <w:trPr>
          <w:trHeight w:val="432"/>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Soil Het. Resp.</w:t>
            </w:r>
          </w:p>
        </w:tc>
        <w:tc>
          <w:tcPr>
            <w:tcW w:w="630" w:type="dxa"/>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12321</w:t>
            </w:r>
          </w:p>
        </w:tc>
        <w:tc>
          <w:tcPr>
            <w:tcW w:w="1305" w:type="dxa"/>
            <w:gridSpan w:val="2"/>
            <w:tcMar>
              <w:top w:w="0" w:type="dxa"/>
              <w:left w:w="0" w:type="dxa"/>
              <w:bottom w:w="0" w:type="dxa"/>
              <w:right w:w="0" w:type="dxa"/>
            </w:tcMar>
            <w:vAlign w:val="center"/>
          </w:tcPr>
          <w:p w:rsidR="00F6749E" w:rsidRPr="00675DC9" w:rsidRDefault="00F6749E" w:rsidP="009F5F02">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(10166,14485)</w:t>
            </w:r>
          </w:p>
        </w:tc>
        <w:tc>
          <w:tcPr>
            <w:tcW w:w="347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Equation (2)</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Inter-quartile from Monte Carlo (</w:t>
            </w:r>
            <w:r w:rsidR="009F5F02">
              <w:rPr>
                <w:rFonts w:ascii="Times New Roman" w:eastAsia="Arial" w:hAnsi="Times New Roman" w:cs="Times New Roman"/>
                <w:color w:val="000000" w:themeColor="text1"/>
                <w:sz w:val="20"/>
                <w:szCs w:val="20"/>
              </w:rPr>
              <w:t>M</w:t>
            </w:r>
            <w:r w:rsidRPr="00675DC9">
              <w:rPr>
                <w:rFonts w:ascii="Times New Roman" w:eastAsia="Arial" w:hAnsi="Times New Roman" w:cs="Times New Roman"/>
                <w:color w:val="000000" w:themeColor="text1"/>
                <w:sz w:val="20"/>
                <w:szCs w:val="20"/>
              </w:rPr>
              <w:t>ethods)</w:t>
            </w:r>
          </w:p>
        </w:tc>
      </w:tr>
    </w:tbl>
    <w:p w:rsidR="00F6749E" w:rsidRPr="00675DC9" w:rsidRDefault="00F6749E" w:rsidP="00F6749E">
      <w:pPr>
        <w:rPr>
          <w:rFonts w:ascii="Times New Roman" w:eastAsia="Arial" w:hAnsi="Times New Roman" w:cs="Times New Roman"/>
          <w:color w:val="000000" w:themeColor="text1"/>
          <w:sz w:val="20"/>
          <w:szCs w:val="20"/>
        </w:rPr>
      </w:pPr>
    </w:p>
    <w:p w:rsidR="00F6749E" w:rsidRPr="00675DC9" w:rsidRDefault="00675DC9" w:rsidP="00675DC9">
      <w:pPr>
        <w:ind w:left="425" w:hanging="425"/>
        <w:rPr>
          <w:rFonts w:ascii="Times New Roman" w:eastAsia="Arial" w:hAnsi="Times New Roman" w:cs="Times New Roman"/>
          <w:color w:val="000000" w:themeColor="text1"/>
          <w:sz w:val="20"/>
          <w:szCs w:val="20"/>
        </w:rPr>
      </w:pPr>
      <w:r>
        <w:rPr>
          <w:rFonts w:ascii="Times New Roman" w:eastAsia="Arial Unicode MS" w:hAnsi="Times New Roman" w:cs="Times New Roman"/>
          <w:color w:val="000000" w:themeColor="text1"/>
          <w:sz w:val="20"/>
          <w:szCs w:val="20"/>
        </w:rPr>
        <w:t>a</w:t>
      </w:r>
      <w:r w:rsidR="00F6749E" w:rsidRPr="00675DC9">
        <w:rPr>
          <w:rFonts w:ascii="Times New Roman" w:eastAsia="Arial Unicode MS" w:hAnsi="Times New Roman" w:cs="Times New Roman"/>
          <w:color w:val="000000" w:themeColor="text1"/>
          <w:sz w:val="20"/>
          <w:szCs w:val="20"/>
        </w:rPr>
        <w:tab/>
      </w:r>
      <w:proofErr w:type="spellStart"/>
      <w:r w:rsidR="00F6749E" w:rsidRPr="00675DC9">
        <w:rPr>
          <w:rFonts w:ascii="Times New Roman" w:eastAsia="Arial Unicode MS" w:hAnsi="Times New Roman" w:cs="Times New Roman"/>
          <w:color w:val="000000" w:themeColor="text1"/>
          <w:sz w:val="20"/>
          <w:szCs w:val="20"/>
        </w:rPr>
        <w:t>Gloor</w:t>
      </w:r>
      <w:proofErr w:type="spellEnd"/>
      <w:r w:rsidR="00F6749E" w:rsidRPr="00675DC9">
        <w:rPr>
          <w:rFonts w:ascii="Times New Roman" w:eastAsia="Arial Unicode MS" w:hAnsi="Times New Roman" w:cs="Times New Roman"/>
          <w:color w:val="000000" w:themeColor="text1"/>
          <w:sz w:val="20"/>
          <w:szCs w:val="20"/>
        </w:rPr>
        <w:t xml:space="preserve"> et al. their Table 12 + LUC induced ∆C + burial in lakes and reservoirs ∆C from </w:t>
      </w:r>
      <w:proofErr w:type="spellStart"/>
      <w:r w:rsidR="00F6749E" w:rsidRPr="00675DC9">
        <w:rPr>
          <w:rFonts w:ascii="Times New Roman" w:eastAsia="Arial Unicode MS" w:hAnsi="Times New Roman" w:cs="Times New Roman"/>
          <w:color w:val="000000" w:themeColor="text1"/>
          <w:sz w:val="20"/>
          <w:szCs w:val="20"/>
        </w:rPr>
        <w:t>Mendoca</w:t>
      </w:r>
      <w:proofErr w:type="spellEnd"/>
      <w:r w:rsidR="00F6749E" w:rsidRPr="00675DC9">
        <w:rPr>
          <w:rFonts w:ascii="Times New Roman" w:eastAsia="Arial Unicode MS" w:hAnsi="Times New Roman" w:cs="Times New Roman"/>
          <w:color w:val="000000" w:themeColor="text1"/>
          <w:sz w:val="20"/>
          <w:szCs w:val="20"/>
        </w:rPr>
        <w:t xml:space="preserve"> et al.</w:t>
      </w:r>
    </w:p>
    <w:p w:rsidR="00F6749E" w:rsidRPr="00675DC9" w:rsidRDefault="00675DC9" w:rsidP="00675DC9">
      <w:pPr>
        <w:ind w:left="425" w:hanging="425"/>
        <w:rPr>
          <w:rFonts w:ascii="Times New Roman" w:eastAsia="Arial" w:hAnsi="Times New Roman" w:cs="Times New Roman"/>
          <w:color w:val="000000" w:themeColor="text1"/>
          <w:sz w:val="20"/>
          <w:szCs w:val="20"/>
        </w:rPr>
      </w:pPr>
      <w:r>
        <w:rPr>
          <w:rFonts w:ascii="Times New Roman" w:eastAsia="Arial Unicode MS" w:hAnsi="Times New Roman" w:cs="Times New Roman"/>
          <w:color w:val="000000" w:themeColor="text1"/>
          <w:sz w:val="20"/>
          <w:szCs w:val="20"/>
        </w:rPr>
        <w:t>b</w:t>
      </w:r>
      <w:r w:rsidR="00F6749E" w:rsidRPr="00675DC9">
        <w:rPr>
          <w:rFonts w:ascii="Times New Roman" w:eastAsia="Arial Unicode MS" w:hAnsi="Times New Roman" w:cs="Times New Roman"/>
          <w:color w:val="000000" w:themeColor="text1"/>
          <w:sz w:val="20"/>
          <w:szCs w:val="20"/>
        </w:rPr>
        <w:tab/>
        <w:t>Uncertainty in ∆C forest biomass (</w:t>
      </w:r>
      <w:proofErr w:type="spellStart"/>
      <w:r w:rsidR="00F6749E" w:rsidRPr="00675DC9">
        <w:rPr>
          <w:rFonts w:ascii="Times New Roman" w:eastAsia="Arial Unicode MS" w:hAnsi="Times New Roman" w:cs="Times New Roman"/>
          <w:color w:val="000000" w:themeColor="text1"/>
          <w:sz w:val="20"/>
          <w:szCs w:val="20"/>
        </w:rPr>
        <w:t>Gloor</w:t>
      </w:r>
      <w:proofErr w:type="spellEnd"/>
      <w:r w:rsidR="00F6749E" w:rsidRPr="00675DC9">
        <w:rPr>
          <w:rFonts w:ascii="Times New Roman" w:eastAsia="Arial Unicode MS" w:hAnsi="Times New Roman" w:cs="Times New Roman"/>
          <w:color w:val="000000" w:themeColor="text1"/>
          <w:sz w:val="20"/>
          <w:szCs w:val="20"/>
        </w:rPr>
        <w:t xml:space="preserve"> et al. Table 12), LUC ∆C, burial ∆C added in quadrature; average of 2000-2004 + 2005-2009 errors</w:t>
      </w:r>
    </w:p>
    <w:p w:rsidR="00F6749E" w:rsidRPr="00675DC9" w:rsidRDefault="00675DC9" w:rsidP="00675DC9">
      <w:pPr>
        <w:ind w:left="425" w:hanging="425"/>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c</w:t>
      </w:r>
      <w:r w:rsidR="00F6749E" w:rsidRPr="00675DC9">
        <w:rPr>
          <w:rFonts w:ascii="Times New Roman" w:eastAsia="Arial" w:hAnsi="Times New Roman" w:cs="Times New Roman"/>
          <w:color w:val="000000" w:themeColor="text1"/>
          <w:sz w:val="20"/>
          <w:szCs w:val="20"/>
        </w:rPr>
        <w:tab/>
      </w:r>
      <w:proofErr w:type="spellStart"/>
      <w:r w:rsidR="00F6749E" w:rsidRPr="00675DC9">
        <w:rPr>
          <w:rFonts w:ascii="Times New Roman" w:eastAsia="Arial" w:hAnsi="Times New Roman" w:cs="Times New Roman"/>
          <w:color w:val="000000" w:themeColor="text1"/>
          <w:sz w:val="20"/>
          <w:szCs w:val="20"/>
        </w:rPr>
        <w:t>Gloor</w:t>
      </w:r>
      <w:proofErr w:type="spellEnd"/>
      <w:r w:rsidR="00F6749E" w:rsidRPr="00675DC9">
        <w:rPr>
          <w:rFonts w:ascii="Times New Roman" w:eastAsia="Arial" w:hAnsi="Times New Roman" w:cs="Times New Roman"/>
          <w:color w:val="000000" w:themeColor="text1"/>
          <w:sz w:val="20"/>
          <w:szCs w:val="20"/>
        </w:rPr>
        <w:t xml:space="preserve"> et al. their Table 11 for wood and Table 10 for crop products</w:t>
      </w:r>
    </w:p>
    <w:p w:rsidR="00F6749E" w:rsidRPr="00675DC9" w:rsidRDefault="00675DC9" w:rsidP="00675DC9">
      <w:pPr>
        <w:ind w:left="425" w:hanging="425"/>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d</w:t>
      </w:r>
      <w:r w:rsidR="00F6749E" w:rsidRPr="00675DC9">
        <w:rPr>
          <w:rFonts w:ascii="Times New Roman" w:eastAsia="Arial" w:hAnsi="Times New Roman" w:cs="Times New Roman"/>
          <w:color w:val="000000" w:themeColor="text1"/>
          <w:sz w:val="20"/>
          <w:szCs w:val="20"/>
        </w:rPr>
        <w:tab/>
        <w:t xml:space="preserve">River C transport to estuaries and estuaries C outgassing are both assumed a relative uncertainty of 50%. The total error on </w:t>
      </w:r>
      <w:proofErr w:type="spellStart"/>
      <w:r w:rsidR="00F6749E" w:rsidRPr="00675DC9">
        <w:rPr>
          <w:rFonts w:ascii="Times New Roman" w:eastAsia="Arial" w:hAnsi="Times New Roman" w:cs="Times New Roman"/>
          <w:color w:val="000000" w:themeColor="text1"/>
          <w:sz w:val="20"/>
          <w:szCs w:val="20"/>
        </w:rPr>
        <w:t>F</w:t>
      </w:r>
      <w:r w:rsidR="00F6749E" w:rsidRPr="00675DC9">
        <w:rPr>
          <w:rFonts w:ascii="Times New Roman" w:eastAsia="Arial" w:hAnsi="Times New Roman" w:cs="Times New Roman"/>
          <w:color w:val="000000" w:themeColor="text1"/>
          <w:sz w:val="20"/>
          <w:szCs w:val="20"/>
          <w:vertAlign w:val="subscript"/>
        </w:rPr>
        <w:t>rivers</w:t>
      </w:r>
      <w:proofErr w:type="spellEnd"/>
      <w:r w:rsidR="00F6749E" w:rsidRPr="00675DC9">
        <w:rPr>
          <w:rFonts w:ascii="Times New Roman" w:eastAsia="Arial" w:hAnsi="Times New Roman" w:cs="Times New Roman"/>
          <w:color w:val="000000" w:themeColor="text1"/>
          <w:sz w:val="20"/>
          <w:szCs w:val="20"/>
          <w:vertAlign w:val="subscript"/>
        </w:rPr>
        <w:t xml:space="preserve"> </w:t>
      </w:r>
      <w:r w:rsidR="00F6749E" w:rsidRPr="00675DC9">
        <w:rPr>
          <w:rFonts w:ascii="Times New Roman" w:eastAsia="Arial" w:hAnsi="Times New Roman" w:cs="Times New Roman"/>
          <w:color w:val="000000" w:themeColor="text1"/>
          <w:sz w:val="20"/>
          <w:szCs w:val="20"/>
        </w:rPr>
        <w:t>is calculated by assuming these two terms have independent uncertainties</w:t>
      </w:r>
    </w:p>
    <w:p w:rsidR="00F6749E" w:rsidRPr="00675DC9" w:rsidRDefault="00675DC9" w:rsidP="00675DC9">
      <w:pPr>
        <w:ind w:left="425" w:hanging="425"/>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e</w:t>
      </w:r>
      <w:r w:rsidR="00F6749E" w:rsidRPr="00675DC9">
        <w:rPr>
          <w:rFonts w:ascii="Times New Roman" w:eastAsia="Arial" w:hAnsi="Times New Roman" w:cs="Times New Roman"/>
          <w:color w:val="000000" w:themeColor="text1"/>
          <w:sz w:val="20"/>
          <w:szCs w:val="20"/>
        </w:rPr>
        <w:tab/>
        <w:t xml:space="preserve">The total error on NEE </w:t>
      </w:r>
      <w:r w:rsidR="00F6749E" w:rsidRPr="00675DC9">
        <w:rPr>
          <w:rFonts w:ascii="Times New Roman" w:eastAsia="Arial" w:hAnsi="Times New Roman" w:cs="Times New Roman"/>
          <w:color w:val="000000" w:themeColor="text1"/>
          <w:sz w:val="20"/>
          <w:szCs w:val="20"/>
          <w:vertAlign w:val="subscript"/>
        </w:rPr>
        <w:t xml:space="preserve"> </w:t>
      </w:r>
      <w:r w:rsidR="00F6749E" w:rsidRPr="00675DC9">
        <w:rPr>
          <w:rFonts w:ascii="Times New Roman" w:eastAsia="Arial" w:hAnsi="Times New Roman" w:cs="Times New Roman"/>
          <w:color w:val="000000" w:themeColor="text1"/>
          <w:sz w:val="20"/>
          <w:szCs w:val="20"/>
        </w:rPr>
        <w:t xml:space="preserve">is calculated by assuming each  term of </w:t>
      </w:r>
      <w:r w:rsidRPr="00675DC9">
        <w:rPr>
          <w:rFonts w:ascii="Times New Roman" w:eastAsia="Arial" w:hAnsi="Times New Roman" w:cs="Times New Roman"/>
          <w:color w:val="000000" w:themeColor="text1"/>
          <w:sz w:val="20"/>
          <w:szCs w:val="20"/>
        </w:rPr>
        <w:t>Equation</w:t>
      </w:r>
      <w:r w:rsidR="00F6749E" w:rsidRPr="00675DC9">
        <w:rPr>
          <w:rFonts w:ascii="Times New Roman" w:eastAsia="Arial" w:hAnsi="Times New Roman" w:cs="Times New Roman"/>
          <w:color w:val="000000" w:themeColor="text1"/>
          <w:sz w:val="20"/>
          <w:szCs w:val="20"/>
        </w:rPr>
        <w:t xml:space="preserve"> (1)  have independent uncertainties</w:t>
      </w:r>
    </w:p>
    <w:p w:rsidR="00F6749E" w:rsidRPr="00675DC9" w:rsidRDefault="00675DC9" w:rsidP="00675DC9">
      <w:pPr>
        <w:ind w:left="425" w:hanging="425"/>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f</w:t>
      </w:r>
      <w:r w:rsidR="00F6749E" w:rsidRPr="00675DC9">
        <w:rPr>
          <w:rFonts w:ascii="Times New Roman" w:eastAsia="Arial" w:hAnsi="Times New Roman" w:cs="Times New Roman"/>
          <w:color w:val="000000" w:themeColor="text1"/>
          <w:sz w:val="20"/>
          <w:szCs w:val="20"/>
        </w:rPr>
        <w:tab/>
        <w:t>Uncertainty of 20% for wood products decay  and estimated by Monte Carlo approach by Wang et al. for biomass burned in industry and power plants</w:t>
      </w:r>
    </w:p>
    <w:p w:rsidR="00F6749E" w:rsidRPr="00675DC9" w:rsidRDefault="00675DC9" w:rsidP="00675DC9">
      <w:pPr>
        <w:ind w:left="425" w:hanging="425"/>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g</w:t>
      </w:r>
      <w:r w:rsidR="00F6749E" w:rsidRPr="00675DC9">
        <w:rPr>
          <w:rFonts w:ascii="Times New Roman" w:eastAsia="Arial" w:hAnsi="Times New Roman" w:cs="Times New Roman"/>
          <w:color w:val="000000" w:themeColor="text1"/>
          <w:sz w:val="20"/>
          <w:szCs w:val="20"/>
        </w:rPr>
        <w:tab/>
      </w:r>
      <w:proofErr w:type="spellStart"/>
      <w:r w:rsidR="00F6749E" w:rsidRPr="00675DC9">
        <w:rPr>
          <w:rFonts w:ascii="Times New Roman" w:eastAsia="Arial" w:hAnsi="Times New Roman" w:cs="Times New Roman"/>
          <w:color w:val="000000" w:themeColor="text1"/>
          <w:sz w:val="20"/>
          <w:szCs w:val="20"/>
        </w:rPr>
        <w:t>F</w:t>
      </w:r>
      <w:r w:rsidR="00F6749E" w:rsidRPr="00675DC9">
        <w:rPr>
          <w:rFonts w:ascii="Times New Roman" w:eastAsia="Arial" w:hAnsi="Times New Roman" w:cs="Times New Roman"/>
          <w:color w:val="000000" w:themeColor="text1"/>
          <w:sz w:val="20"/>
          <w:szCs w:val="20"/>
          <w:vertAlign w:val="subscript"/>
        </w:rPr>
        <w:t>fires</w:t>
      </w:r>
      <w:proofErr w:type="spellEnd"/>
      <w:r w:rsidR="00F6749E" w:rsidRPr="00675DC9">
        <w:rPr>
          <w:rFonts w:ascii="Times New Roman" w:eastAsia="Arial" w:hAnsi="Times New Roman" w:cs="Times New Roman"/>
          <w:color w:val="000000" w:themeColor="text1"/>
          <w:sz w:val="20"/>
          <w:szCs w:val="20"/>
          <w:vertAlign w:val="subscript"/>
        </w:rPr>
        <w:t xml:space="preserve"> </w:t>
      </w:r>
      <w:r w:rsidR="00F6749E" w:rsidRPr="00675DC9">
        <w:rPr>
          <w:rFonts w:ascii="Times New Roman" w:eastAsia="Arial" w:hAnsi="Times New Roman" w:cs="Times New Roman"/>
          <w:color w:val="000000" w:themeColor="text1"/>
          <w:sz w:val="20"/>
          <w:szCs w:val="20"/>
        </w:rPr>
        <w:t>includes open fires and crop residues burning estimated from Wang et al.</w:t>
      </w:r>
    </w:p>
    <w:p w:rsidR="00F6749E" w:rsidRPr="00DA354E" w:rsidRDefault="00F6749E" w:rsidP="00F6749E">
      <w:pPr>
        <w:ind w:left="567"/>
        <w:rPr>
          <w:rFonts w:ascii="Times New Roman" w:eastAsia="Calibri" w:hAnsi="Times New Roman" w:cs="Times New Roman"/>
          <w:color w:val="000000" w:themeColor="text1"/>
          <w:sz w:val="16"/>
          <w:szCs w:val="16"/>
        </w:rPr>
      </w:pPr>
    </w:p>
    <w:p w:rsidR="00F6749E" w:rsidRPr="00DA354E" w:rsidRDefault="00F6749E" w:rsidP="00F6749E">
      <w:pPr>
        <w:rPr>
          <w:rFonts w:ascii="Times New Roman" w:eastAsia="Calibri" w:hAnsi="Times New Roman" w:cs="Times New Roman"/>
          <w:color w:val="000000" w:themeColor="text1"/>
          <w:sz w:val="16"/>
          <w:szCs w:val="16"/>
        </w:rPr>
      </w:pPr>
      <w:r w:rsidRPr="00DA354E">
        <w:rPr>
          <w:rFonts w:ascii="Times New Roman" w:hAnsi="Times New Roman" w:cs="Times New Roman"/>
          <w:color w:val="000000" w:themeColor="text1"/>
        </w:rPr>
        <w:br w:type="page"/>
      </w: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727"/>
        <w:gridCol w:w="283"/>
        <w:gridCol w:w="851"/>
        <w:gridCol w:w="3544"/>
        <w:gridCol w:w="1720"/>
      </w:tblGrid>
      <w:tr w:rsidR="00F6749E" w:rsidRPr="00DA354E" w:rsidTr="00C26ED2">
        <w:trPr>
          <w:trHeight w:val="400"/>
        </w:trPr>
        <w:tc>
          <w:tcPr>
            <w:tcW w:w="8940" w:type="dxa"/>
            <w:gridSpan w:val="6"/>
            <w:shd w:val="clear" w:color="auto" w:fill="auto"/>
            <w:tcMar>
              <w:top w:w="100" w:type="dxa"/>
              <w:left w:w="100" w:type="dxa"/>
              <w:bottom w:w="100" w:type="dxa"/>
              <w:right w:w="100" w:type="dxa"/>
            </w:tcMar>
          </w:tcPr>
          <w:p w:rsidR="00F6749E" w:rsidRPr="00DA354E" w:rsidRDefault="00F6749E" w:rsidP="00C26ED2">
            <w:pPr>
              <w:widowControl w:val="0"/>
              <w:rPr>
                <w:rFonts w:ascii="Times New Roman" w:eastAsia="Arial" w:hAnsi="Times New Roman" w:cs="Times New Roman"/>
                <w:b/>
                <w:color w:val="000000" w:themeColor="text1"/>
              </w:rPr>
            </w:pPr>
            <w:r w:rsidRPr="00DA354E">
              <w:rPr>
                <w:rFonts w:ascii="Times New Roman" w:eastAsia="Arial" w:hAnsi="Times New Roman" w:cs="Times New Roman"/>
                <w:b/>
                <w:color w:val="000000" w:themeColor="text1"/>
              </w:rPr>
              <w:lastRenderedPageBreak/>
              <w:t>Africa</w:t>
            </w:r>
          </w:p>
        </w:tc>
      </w:tr>
      <w:tr w:rsidR="00F6749E" w:rsidRPr="00675DC9" w:rsidTr="009F5F02">
        <w:trPr>
          <w:trHeight w:val="400"/>
        </w:trPr>
        <w:tc>
          <w:tcPr>
            <w:tcW w:w="3676" w:type="dxa"/>
            <w:gridSpan w:val="4"/>
            <w:shd w:val="clear" w:color="auto" w:fill="auto"/>
            <w:tcMar>
              <w:top w:w="100" w:type="dxa"/>
              <w:left w:w="100" w:type="dxa"/>
              <w:bottom w:w="100" w:type="dxa"/>
              <w:right w:w="100" w:type="dxa"/>
            </w:tcMar>
            <w:vAlign w:val="center"/>
          </w:tcPr>
          <w:p w:rsidR="00F6749E" w:rsidRPr="00675DC9" w:rsidRDefault="004A6EE9"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roofErr w:type="spellStart"/>
            <w:r w:rsidRPr="00675DC9">
              <w:rPr>
                <w:rFonts w:ascii="Times New Roman" w:eastAsia="Arial" w:hAnsi="Times New Roman" w:cs="Times New Roman"/>
                <w:color w:val="000000" w:themeColor="text1"/>
                <w:sz w:val="20"/>
                <w:szCs w:val="20"/>
              </w:rPr>
              <w:t>TgC</w:t>
            </w:r>
            <w:proofErr w:type="spellEnd"/>
            <w:r w:rsidRPr="00675DC9">
              <w:rPr>
                <w:rFonts w:ascii="Times New Roman" w:eastAsia="Arial" w:hAnsi="Times New Roman" w:cs="Times New Roman"/>
                <w:color w:val="000000" w:themeColor="text1"/>
                <w:sz w:val="20"/>
                <w:szCs w:val="20"/>
              </w:rPr>
              <w:t xml:space="preserve"> yr</w:t>
            </w:r>
            <w:r w:rsidRPr="00675DC9">
              <w:rPr>
                <w:rFonts w:ascii="Times New Roman" w:eastAsia="Arial" w:hAnsi="Times New Roman" w:cs="Times New Roman"/>
                <w:color w:val="000000" w:themeColor="text1"/>
                <w:sz w:val="20"/>
                <w:szCs w:val="20"/>
                <w:vertAlign w:val="superscript"/>
              </w:rPr>
              <w:t>-1</w:t>
            </w:r>
            <w:r w:rsidRPr="00675DC9">
              <w:rPr>
                <w:rFonts w:ascii="Times New Roman" w:eastAsia="Arial" w:hAnsi="Times New Roman" w:cs="Times New Roman"/>
                <w:color w:val="000000" w:themeColor="text1"/>
                <w:sz w:val="20"/>
                <w:szCs w:val="20"/>
              </w:rPr>
              <w:t>)</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Reference</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Uncertainty estimation</w:t>
            </w:r>
          </w:p>
        </w:tc>
      </w:tr>
      <w:tr w:rsidR="00F6749E" w:rsidRPr="001D7FE4" w:rsidTr="009F5F02">
        <w:trPr>
          <w:trHeight w:val="600"/>
        </w:trPr>
        <w:tc>
          <w:tcPr>
            <w:tcW w:w="1815" w:type="dxa"/>
            <w:tcBorders>
              <w:top w:val="single" w:sz="8" w:space="0" w:color="000000"/>
              <w:left w:val="single" w:sz="8" w:space="0" w:color="000000"/>
              <w:bottom w:val="single" w:sz="8" w:space="0" w:color="000000"/>
            </w:tcBorders>
            <w:shd w:val="clear" w:color="auto" w:fill="FFFFFF"/>
            <w:vAlign w:val="center"/>
          </w:tcPr>
          <w:p w:rsidR="00F6749E" w:rsidRPr="00675DC9" w:rsidRDefault="00F6749E" w:rsidP="00675DC9">
            <w:pPr>
              <w:rPr>
                <w:rFonts w:ascii="Times New Roman" w:eastAsia="Arial" w:hAnsi="Times New Roman" w:cs="Times New Roman"/>
                <w:color w:val="000000" w:themeColor="text1"/>
                <w:sz w:val="20"/>
                <w:szCs w:val="20"/>
              </w:rPr>
            </w:pPr>
            <w:r w:rsidRPr="00675DC9">
              <w:rPr>
                <w:rFonts w:ascii="Times New Roman" w:eastAsia="Arial Unicode MS" w:hAnsi="Times New Roman" w:cs="Times New Roman"/>
                <w:color w:val="000000" w:themeColor="text1"/>
                <w:sz w:val="20"/>
                <w:szCs w:val="20"/>
              </w:rPr>
              <w:t>∆C</w:t>
            </w:r>
          </w:p>
        </w:tc>
        <w:tc>
          <w:tcPr>
            <w:tcW w:w="727" w:type="dxa"/>
            <w:tcMar>
              <w:top w:w="0" w:type="dxa"/>
              <w:left w:w="0" w:type="dxa"/>
              <w:bottom w:w="0" w:type="dxa"/>
              <w:right w:w="0" w:type="dxa"/>
            </w:tcMar>
            <w:vAlign w:val="center"/>
          </w:tcPr>
          <w:p w:rsidR="00F6749E" w:rsidRPr="00675DC9" w:rsidRDefault="00F6749E" w:rsidP="00675DC9">
            <w:pPr>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3</w:t>
            </w:r>
          </w:p>
        </w:tc>
        <w:tc>
          <w:tcPr>
            <w:tcW w:w="283" w:type="dxa"/>
            <w:tcMar>
              <w:top w:w="0" w:type="dxa"/>
              <w:left w:w="0" w:type="dxa"/>
              <w:bottom w:w="0" w:type="dxa"/>
              <w:right w:w="0" w:type="dxa"/>
            </w:tcMar>
            <w:vAlign w:val="center"/>
          </w:tcPr>
          <w:p w:rsidR="00F6749E" w:rsidRPr="00675DC9" w:rsidRDefault="00F6749E" w:rsidP="00675DC9">
            <w:pPr>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292</w:t>
            </w:r>
          </w:p>
        </w:tc>
        <w:tc>
          <w:tcPr>
            <w:tcW w:w="3544" w:type="dxa"/>
            <w:tcBorders>
              <w:top w:val="single" w:sz="8" w:space="0" w:color="000000"/>
              <w:bottom w:val="single" w:sz="8" w:space="0" w:color="000000"/>
              <w:right w:val="single" w:sz="8" w:space="0" w:color="000000"/>
            </w:tcBorders>
            <w:shd w:val="clear" w:color="auto" w:fill="FFFFFF"/>
            <w:vAlign w:val="center"/>
          </w:tcPr>
          <w:p w:rsidR="00F6749E" w:rsidRPr="00675DC9" w:rsidRDefault="00F6749E" w:rsidP="00675DC9">
            <w:pPr>
              <w:rPr>
                <w:rFonts w:ascii="Times New Roman" w:eastAsia="Arial" w:hAnsi="Times New Roman" w:cs="Times New Roman"/>
                <w:color w:val="000000" w:themeColor="text1"/>
                <w:sz w:val="20"/>
                <w:szCs w:val="20"/>
                <w:lang w:val="fr-FR"/>
              </w:rPr>
            </w:pPr>
            <w:proofErr w:type="spellStart"/>
            <w:r w:rsidRPr="00675DC9">
              <w:rPr>
                <w:rFonts w:ascii="Times New Roman" w:eastAsia="Arial" w:hAnsi="Times New Roman" w:cs="Times New Roman"/>
                <w:color w:val="000000" w:themeColor="text1"/>
                <w:sz w:val="20"/>
                <w:szCs w:val="20"/>
              </w:rPr>
              <w:t>Valentini</w:t>
            </w:r>
            <w:proofErr w:type="spellEnd"/>
            <w:r w:rsidRPr="00675DC9">
              <w:rPr>
                <w:rFonts w:ascii="Times New Roman" w:eastAsia="Arial" w:hAnsi="Times New Roman" w:cs="Times New Roman"/>
                <w:color w:val="000000" w:themeColor="text1"/>
                <w:sz w:val="20"/>
                <w:szCs w:val="20"/>
              </w:rPr>
              <w:t xml:space="preserve"> et al. </w:t>
            </w:r>
            <w:r w:rsidR="009F5F02">
              <w:rPr>
                <w:rFonts w:ascii="Times New Roman" w:eastAsia="Arial" w:hAnsi="Times New Roman" w:cs="Times New Roman"/>
                <w:color w:val="000000" w:themeColor="text1"/>
                <w:sz w:val="20"/>
                <w:szCs w:val="20"/>
              </w:rPr>
              <w:t>[</w:t>
            </w:r>
            <w:r w:rsidRPr="009F5F02">
              <w:rPr>
                <w:rFonts w:ascii="Times New Roman" w:eastAsia="Arial" w:hAnsi="Times New Roman" w:cs="Times New Roman"/>
                <w:color w:val="000000" w:themeColor="text1"/>
                <w:sz w:val="20"/>
                <w:szCs w:val="20"/>
              </w:rPr>
              <w:fldChar w:fldCharType="begin" w:fldLock="1"/>
            </w:r>
            <w:r w:rsidRPr="009F5F02">
              <w:rPr>
                <w:rFonts w:ascii="Times New Roman" w:eastAsia="Arial" w:hAnsi="Times New Roman" w:cs="Times New Roman"/>
                <w:color w:val="000000" w:themeColor="text1"/>
                <w:sz w:val="20"/>
                <w:szCs w:val="20"/>
              </w:rPr>
              <w:instrText>ADDIN CSL_CITATION {"citationItems":[{"id":"ITEM-1","itemData":{"DOI":"10.5194/bg-11-381-2014","ISSN":"17264170","abstract":"This paper, developed under the framework of the RECCAP initiative, aims at providing improved estimates of the carbon and GHG (CO2, CH4 and N2O) balance of continental Africa. The various components and processes of the African carbon and GHG budget are considered, existing data reviewed, and new data from different methodologies (inventories, ecosystem flux measurements, models, and atmospheric inversions) presented. Uncertainties are quantified and current gaps and weaknesses in knowledge and monitoring systems described in order to guide future requirements. The majority of results agree that Africa is a small sink of carbon on an annual scale, with an average value of -0.61 ± 0.58 Pg C yr-1. Nevertheless, the emissions of CH4 and N2O may turn Africa into a net source of radiative forcing in CO2 equivalent terms. At sub-regional level, there is significant spatial variability in both sources and sinks, due to the diversity of biomes represented and differences in the degree of anthropic impacts. Southern Africa is the main source region; while central Africa, with its evergreen tropical forests, is the main sink. Emissions from land-use change in Africa are significant (around 0.32 ± 0.05 Pg C yr-1), even higher than the fossil fuel emissions: this is a unique feature among all the continents. There could be significant carbon losses from forest land even without deforestation, resulting from the impact of selective logging. Fires play a significant role in the African carbon cycle, with 1.03 ± 0.22 Pg C yr-1 of carbon emissions, and 90% originating in savannas and dry woodlands. A large portion of the wild fire emissions are compensated by CO2 uptake during the growing season, but an uncertain fraction of the emission from wood harvested for domestic use is not. Most of these fluxes have large interannual variability, on the order of ±0.5 Pg C yr-1 in standard deviation, accounting for around 25% of the year-to-year variation in the global carbon budget.  &lt; br &gt; &lt; br &gt;  Despite the high uncertainty, the estimates provided in this paper show the important role that Africa plays in the global carbon cycle, both in terms of absolute contribution, and as a key source of interannual variability. © Author(s) 2014. CC Attribution 3.0 License.","author":[{"dropping-particle":"","family":"Valentini","given":"R.","non-dropping-particle":"","parse-names":false,"suffix":""},{"dropping-particle":"","family":"Arneth","given":"A.","non-dropping-particle":"","parse-names":false,"suffix":""},{"dropping-particle":"","family":"Bombelli","given":"A.","non-dropping-particle":"","parse-names":false,"suffix":""},{"dropping-particle":"","family":"Castaldi","given":"S.","non-dropping-particle":"","parse-names":false,"suffix":""},{"dropping-particle":"","family":"Cazzolla Gatti","given":"R.","non-dropping-particle":"","parse-names":false,"suffix":""},{"dropping-particle":"","family":"Chevallier","given":"F.","non-dropping-particle":"","parse-names":false,"suffix":""},{"dropping-particle":"","family":"Ciais","given":"P.","non-dropping-particle":"","parse-names":false,"suffix":""},{"dropping-particle":"","family":"Grieco","given":"E.","non-dropping-particle":"","parse-names":false,"suffix":""},{"dropping-particle":"","family":"Hartmann","given":"J.","non-dropping-particle":"","parse-names":false,"suffix":""},{"dropping-particle":"","family":"Henry","given":"M.","non-dropping-particle":"","parse-names":false,"suffix":""},{"dropping-particle":"","family":"Houghton","given":"R.A.","non-dropping-particle":"","parse-names":false,"suffix":""},{"dropping-particle":"","family":"Jung","given":"M.","non-dropping-particle":"","parse-names":false,"suffix":""},{"dropping-particle":"","family":"Kutsch","given":"W.L.","non-dropping-particle":"","parse-names":false,"suffix":""},{"dropping-particle":"","family":"Malhi","given":"Y.","non-dropping-particle":"","parse-names":false,"suffix":""},{"dropping-particle":"","family":"Mayorga","given":"E.","non-dropping-particle":"","parse-names":false,"suffix":""},{"dropping-particle":"","family":"Merbold","given":"L.","non-dropping-particle":"","parse-names":false,"suffix":""},{"dropping-particle":"","family":"Murray-Tortarolo","given":"G.","non-dropping-particle":"","parse-names":false,"suffix":""},{"dropping-particle":"","family":"Papale","given":"D.","non-dropping-particle":"","parse-names":false,"suffix":""},{"dropping-particle":"","family":"Peylin","given":"P.","non-dropping-particle":"","parse-names":false,"suffix":""},{"dropping-parti</w:instrText>
            </w:r>
            <w:r w:rsidRPr="009F5F02">
              <w:rPr>
                <w:rFonts w:ascii="Times New Roman" w:eastAsia="Arial" w:hAnsi="Times New Roman" w:cs="Times New Roman"/>
                <w:color w:val="000000" w:themeColor="text1"/>
                <w:sz w:val="20"/>
                <w:szCs w:val="20"/>
                <w:lang w:val="fr-FR"/>
              </w:rPr>
              <w:instrText>cle":"","family":"Poulter","given":"B.","non-dropping-particle":"","parse-names":false,"suffix":""},{"dropping-particle":"","family":"Raymond","given":"P.A.","non-dropping-particle":"","parse-names":false,"suffix":""},{"dropping-particle":"","family":"Santini","given":"M.","non-dropping-particle":"","parse-names":false,"suffix":""},{"dropping-particle":"","family":"Sitch","given":"S.","non-dropping-particle":"","parse-names":false,"suffix":""},{"dropping-particle":"","family":"Vaglio Laurin","given":"G.","non-dropping-particle":"","parse-names":false,"suffix":""},{"dropping-particle":"","family":"Werf","given":"G.R.","non-dropping-particle":"Van Der","parse-names":false,"suffix":""},{"dropping-particle":"","family":"Williams","given":"C.A.","non-dropping-particle":"","parse-names":false,"suffix":""},{"dropping-particle":"","family":"Scholes","given":"R.J.","non-dropping-particle":"","parse-names":false,"suffix":""}],"container-title":"Biogeosciences","id":"ITEM-1","issue":"2","issued":{"date-parts":[["2014"]]},"title":"A full greenhouse gases budget of africa: Synthesis, uncertainties, and vulnerabilities","type":"article-journal","volume":"11"},"uris":["http://www.mendeley.com/documents/?uuid=23aa6592-64f7-3cbd-88b2-657998cd7978"]}],"mendeley":{"formattedCitation":"&lt;sup&gt;8&lt;/sup&gt;","plainTextFormattedCitation":"8","previouslyFormattedCitation":"&lt;sup&gt;8&lt;/sup&gt;"},"properties":{"noteIndex":0},"schema":"https://github.com/citation-style-language/schema/raw/master/csl-citation.json"}</w:instrText>
            </w:r>
            <w:r w:rsidRPr="009F5F02">
              <w:rPr>
                <w:rFonts w:ascii="Times New Roman" w:eastAsia="Arial" w:hAnsi="Times New Roman" w:cs="Times New Roman"/>
                <w:color w:val="000000" w:themeColor="text1"/>
                <w:sz w:val="20"/>
                <w:szCs w:val="20"/>
              </w:rPr>
              <w:fldChar w:fldCharType="separate"/>
            </w:r>
            <w:r w:rsidRPr="009F5F02">
              <w:rPr>
                <w:rFonts w:ascii="Times New Roman" w:eastAsia="Arial" w:hAnsi="Times New Roman" w:cs="Times New Roman"/>
                <w:noProof/>
                <w:color w:val="000000" w:themeColor="text1"/>
                <w:sz w:val="20"/>
                <w:szCs w:val="20"/>
                <w:lang w:val="fr-FR"/>
              </w:rPr>
              <w:t>8</w:t>
            </w:r>
            <w:r w:rsidRPr="009F5F02">
              <w:rPr>
                <w:rFonts w:ascii="Times New Roman" w:eastAsia="Arial" w:hAnsi="Times New Roman" w:cs="Times New Roman"/>
                <w:color w:val="000000" w:themeColor="text1"/>
                <w:sz w:val="20"/>
                <w:szCs w:val="20"/>
              </w:rPr>
              <w:fldChar w:fldCharType="end"/>
            </w:r>
            <w:r w:rsidR="009F5F02" w:rsidRPr="009F5F02">
              <w:rPr>
                <w:rFonts w:ascii="Times New Roman" w:eastAsia="Arial" w:hAnsi="Times New Roman" w:cs="Times New Roman"/>
                <w:color w:val="000000" w:themeColor="text1"/>
                <w:sz w:val="20"/>
                <w:szCs w:val="20"/>
                <w:lang w:val="fr-FR"/>
              </w:rPr>
              <w:t>]</w:t>
            </w:r>
            <w:r w:rsidRPr="00675DC9">
              <w:rPr>
                <w:rFonts w:ascii="Times New Roman" w:eastAsia="Arial" w:hAnsi="Times New Roman" w:cs="Times New Roman"/>
                <w:color w:val="000000" w:themeColor="text1"/>
                <w:sz w:val="20"/>
                <w:szCs w:val="20"/>
                <w:lang w:val="fr-FR"/>
              </w:rPr>
              <w:t xml:space="preserve"> </w:t>
            </w:r>
            <w:r w:rsidR="009F5F02" w:rsidRPr="009F5F02">
              <w:rPr>
                <w:rFonts w:ascii="Times New Roman" w:eastAsia="Arial" w:hAnsi="Times New Roman" w:cs="Times New Roman"/>
                <w:color w:val="000000" w:themeColor="text1"/>
                <w:sz w:val="20"/>
                <w:szCs w:val="20"/>
                <w:vertAlign w:val="superscript"/>
                <w:lang w:val="fr-FR"/>
              </w:rPr>
              <w:t>a</w:t>
            </w:r>
          </w:p>
        </w:tc>
        <w:tc>
          <w:tcPr>
            <w:tcW w:w="17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6749E" w:rsidRPr="00675DC9" w:rsidRDefault="00F6749E" w:rsidP="00675DC9">
            <w:pPr>
              <w:widowControl w:val="0"/>
              <w:rPr>
                <w:rFonts w:ascii="Times New Roman" w:eastAsia="Arial" w:hAnsi="Times New Roman" w:cs="Times New Roman"/>
                <w:color w:val="000000" w:themeColor="text1"/>
                <w:sz w:val="20"/>
                <w:szCs w:val="20"/>
                <w:lang w:val="fr-FR"/>
              </w:rPr>
            </w:pPr>
            <w:r w:rsidRPr="00675DC9">
              <w:rPr>
                <w:rFonts w:ascii="Times New Roman" w:eastAsia="Arial" w:hAnsi="Times New Roman" w:cs="Times New Roman"/>
                <w:color w:val="000000" w:themeColor="text1"/>
                <w:sz w:val="20"/>
                <w:szCs w:val="20"/>
                <w:lang w:val="fr-FR"/>
              </w:rPr>
              <w:t xml:space="preserve">Valentini et al. </w:t>
            </w:r>
            <w:r w:rsidR="009F5F02" w:rsidRPr="009F5F02">
              <w:rPr>
                <w:rFonts w:ascii="Times New Roman" w:eastAsia="Arial" w:hAnsi="Times New Roman" w:cs="Times New Roman"/>
                <w:color w:val="000000" w:themeColor="text1"/>
                <w:sz w:val="20"/>
                <w:szCs w:val="20"/>
                <w:vertAlign w:val="superscript"/>
                <w:lang w:val="fr-FR"/>
              </w:rPr>
              <w:t>b</w:t>
            </w:r>
          </w:p>
        </w:tc>
      </w:tr>
      <w:tr w:rsidR="00F6749E" w:rsidRPr="001D7FE4"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lang w:val="fr-FR"/>
              </w:rPr>
            </w:pPr>
            <w:proofErr w:type="spellStart"/>
            <w:r w:rsidRPr="00675DC9">
              <w:rPr>
                <w:rFonts w:ascii="Times New Roman" w:eastAsia="Arial" w:hAnsi="Times New Roman" w:cs="Times New Roman"/>
                <w:color w:val="000000" w:themeColor="text1"/>
                <w:sz w:val="20"/>
                <w:szCs w:val="20"/>
                <w:lang w:val="fr-FR"/>
              </w:rPr>
              <w:t>F</w:t>
            </w:r>
            <w:r w:rsidRPr="00675DC9">
              <w:rPr>
                <w:rFonts w:ascii="Times New Roman" w:eastAsia="Arial" w:hAnsi="Times New Roman" w:cs="Times New Roman"/>
                <w:color w:val="000000" w:themeColor="text1"/>
                <w:sz w:val="20"/>
                <w:szCs w:val="20"/>
                <w:vertAlign w:val="subscript"/>
                <w:lang w:val="fr-FR"/>
              </w:rPr>
              <w:t>trade</w:t>
            </w:r>
            <w:proofErr w:type="spellEnd"/>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lang w:val="fr-FR"/>
              </w:rPr>
            </w:pPr>
            <w:r w:rsidRPr="00675DC9">
              <w:rPr>
                <w:rFonts w:ascii="Times New Roman" w:eastAsia="Arial" w:hAnsi="Times New Roman" w:cs="Times New Roman"/>
                <w:color w:val="000000" w:themeColor="text1"/>
                <w:sz w:val="20"/>
                <w:szCs w:val="20"/>
                <w:lang w:val="fr-FR"/>
              </w:rPr>
              <w:t>-22</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lang w:val="fr-FR"/>
              </w:rPr>
            </w:pPr>
            <w:r w:rsidRPr="00675DC9">
              <w:rPr>
                <w:rFonts w:ascii="Times New Roman" w:eastAsia="Arial" w:hAnsi="Times New Roman" w:cs="Times New Roman"/>
                <w:color w:val="000000" w:themeColor="text1"/>
                <w:sz w:val="20"/>
                <w:szCs w:val="20"/>
                <w:lang w:val="fr-FR"/>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lang w:val="fr-FR"/>
              </w:rPr>
            </w:pPr>
            <w:r w:rsidRPr="00675DC9">
              <w:rPr>
                <w:rFonts w:ascii="Times New Roman" w:eastAsia="Arial" w:hAnsi="Times New Roman" w:cs="Times New Roman"/>
                <w:color w:val="000000" w:themeColor="text1"/>
                <w:sz w:val="20"/>
                <w:szCs w:val="20"/>
                <w:lang w:val="fr-FR"/>
              </w:rPr>
              <w:t>5</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rPr>
                <w:rFonts w:ascii="Times New Roman" w:eastAsia="Arial" w:hAnsi="Times New Roman" w:cs="Times New Roman"/>
                <w:color w:val="000000" w:themeColor="text1"/>
                <w:sz w:val="20"/>
                <w:szCs w:val="20"/>
                <w:lang w:val="fr-FR"/>
              </w:rPr>
            </w:pPr>
            <w:r w:rsidRPr="00675DC9">
              <w:rPr>
                <w:rFonts w:ascii="Times New Roman" w:eastAsia="Arial" w:hAnsi="Times New Roman" w:cs="Times New Roman"/>
                <w:color w:val="000000" w:themeColor="text1"/>
                <w:sz w:val="20"/>
                <w:szCs w:val="20"/>
                <w:lang w:val="fr-FR"/>
              </w:rPr>
              <w:t xml:space="preserve">Peters et al. </w:t>
            </w:r>
            <w:r w:rsidR="009F5F02">
              <w:rPr>
                <w:rFonts w:ascii="Times New Roman" w:eastAsia="Arial" w:hAnsi="Times New Roman" w:cs="Times New Roman"/>
                <w:color w:val="000000" w:themeColor="text1"/>
                <w:sz w:val="20"/>
                <w:szCs w:val="20"/>
                <w:lang w:val="fr-FR"/>
              </w:rPr>
              <w:t>[</w:t>
            </w:r>
            <w:r w:rsidRPr="009F5F02">
              <w:rPr>
                <w:rFonts w:ascii="Times New Roman" w:eastAsia="Arial" w:hAnsi="Times New Roman" w:cs="Times New Roman"/>
                <w:color w:val="000000" w:themeColor="text1"/>
                <w:sz w:val="20"/>
                <w:szCs w:val="20"/>
              </w:rPr>
              <w:fldChar w:fldCharType="begin" w:fldLock="1"/>
            </w:r>
            <w:r w:rsidRPr="009F5F02">
              <w:rPr>
                <w:rFonts w:ascii="Times New Roman" w:eastAsia="Arial" w:hAnsi="Times New Roman" w:cs="Times New Roman"/>
                <w:color w:val="000000" w:themeColor="text1"/>
                <w:sz w:val="20"/>
                <w:szCs w:val="20"/>
                <w:lang w:val="fr-FR"/>
              </w:rPr>
              <w:instrText>ADDIN CSL_CITATION {"citationItems":[{"id":"ITEM-1","itemData":{"DOI":"10.5194/bg-9-3247-2012","ISSN":"1726-4189","author":[{"dropping-particle":"","family":"Peters","given":"G. P.","non-dropping-particle":"","parse-names":false,"suffix":""},{"dropping-particle":"","family":"Davis","given":"S. J.","non-dropping-particle":"","parse-names":false,"suffix":""},{"dropping-particle":"","family":"Andrew","given":"R.","non-dropping-particle":"","parse-names":false,"suffix":""}],"container-title":"Biogeosciences","id":"ITEM-1","issue":"8","issued":{"date-parts":[["2012","8"]]},"page":"3247-3276","title":"A synthesis of carbon in international trade","type":"article-journal","volume":"9"},"uris":["http://www.mendeley.com/documents/?uuid=13aaa07d-69fb-4d0c-b60c-c51107b8444a"]}],"mendeley":{"formattedCitation":"&lt;sup&gt;18&lt;/sup&gt;","plainTextFormattedCitation":"18","previouslyFormattedCitation":"&lt;sup&gt;18&lt;/sup&gt;"},"properties":{"noteIndex":0},"schema":"https://github.com/citation-style-language/schema/raw/master/csl-citation.json"}</w:instrText>
            </w:r>
            <w:r w:rsidRPr="009F5F02">
              <w:rPr>
                <w:rFonts w:ascii="Times New Roman" w:eastAsia="Arial" w:hAnsi="Times New Roman" w:cs="Times New Roman"/>
                <w:color w:val="000000" w:themeColor="text1"/>
                <w:sz w:val="20"/>
                <w:szCs w:val="20"/>
              </w:rPr>
              <w:fldChar w:fldCharType="separate"/>
            </w:r>
            <w:r w:rsidRPr="009F5F02">
              <w:rPr>
                <w:rFonts w:ascii="Times New Roman" w:eastAsia="Arial" w:hAnsi="Times New Roman" w:cs="Times New Roman"/>
                <w:noProof/>
                <w:color w:val="000000" w:themeColor="text1"/>
                <w:sz w:val="20"/>
                <w:szCs w:val="20"/>
                <w:lang w:val="fr-FR"/>
              </w:rPr>
              <w:t>18</w:t>
            </w:r>
            <w:r w:rsidRPr="009F5F02">
              <w:rPr>
                <w:rFonts w:ascii="Times New Roman" w:eastAsia="Arial" w:hAnsi="Times New Roman" w:cs="Times New Roman"/>
                <w:color w:val="000000" w:themeColor="text1"/>
                <w:sz w:val="20"/>
                <w:szCs w:val="20"/>
              </w:rPr>
              <w:fldChar w:fldCharType="end"/>
            </w:r>
            <w:r w:rsidR="009F5F02" w:rsidRPr="009F5F02">
              <w:rPr>
                <w:rFonts w:ascii="Times New Roman" w:eastAsia="Arial" w:hAnsi="Times New Roman" w:cs="Times New Roman"/>
                <w:color w:val="000000" w:themeColor="text1"/>
                <w:sz w:val="20"/>
                <w:szCs w:val="20"/>
                <w:lang w:val="fr-FR"/>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rPr>
                <w:rFonts w:ascii="Times New Roman" w:eastAsia="Arial" w:hAnsi="Times New Roman" w:cs="Times New Roman"/>
                <w:color w:val="000000" w:themeColor="text1"/>
                <w:sz w:val="20"/>
                <w:szCs w:val="20"/>
                <w:lang w:val="fr-FR"/>
              </w:rPr>
            </w:pPr>
            <w:r w:rsidRPr="00675DC9">
              <w:rPr>
                <w:rFonts w:ascii="Times New Roman" w:eastAsia="Arial" w:hAnsi="Times New Roman" w:cs="Times New Roman"/>
                <w:color w:val="000000" w:themeColor="text1"/>
                <w:sz w:val="20"/>
                <w:szCs w:val="20"/>
                <w:lang w:val="fr-FR"/>
              </w:rPr>
              <w:t xml:space="preserve">Peters et al. </w:t>
            </w:r>
          </w:p>
        </w:tc>
      </w:tr>
      <w:tr w:rsidR="00F6749E" w:rsidRPr="00675DC9"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lang w:val="fr-FR"/>
              </w:rPr>
            </w:pPr>
            <w:proofErr w:type="spellStart"/>
            <w:r w:rsidRPr="00675DC9">
              <w:rPr>
                <w:rFonts w:ascii="Times New Roman" w:eastAsia="Arial" w:hAnsi="Times New Roman" w:cs="Times New Roman"/>
                <w:color w:val="000000" w:themeColor="text1"/>
                <w:sz w:val="20"/>
                <w:szCs w:val="20"/>
                <w:lang w:val="fr-FR"/>
              </w:rPr>
              <w:t>F</w:t>
            </w:r>
            <w:r w:rsidRPr="00675DC9">
              <w:rPr>
                <w:rFonts w:ascii="Times New Roman" w:eastAsia="Arial" w:hAnsi="Times New Roman" w:cs="Times New Roman"/>
                <w:color w:val="000000" w:themeColor="text1"/>
                <w:sz w:val="20"/>
                <w:szCs w:val="20"/>
                <w:vertAlign w:val="subscript"/>
                <w:lang w:val="fr-FR"/>
              </w:rPr>
              <w:t>rivers</w:t>
            </w:r>
            <w:proofErr w:type="spellEnd"/>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lang w:val="fr-FR"/>
              </w:rPr>
            </w:pPr>
            <w:r w:rsidRPr="00675DC9">
              <w:rPr>
                <w:rFonts w:ascii="Times New Roman" w:eastAsia="Arial" w:hAnsi="Times New Roman" w:cs="Times New Roman"/>
                <w:color w:val="000000" w:themeColor="text1"/>
                <w:sz w:val="20"/>
                <w:szCs w:val="20"/>
                <w:lang w:val="fr-FR"/>
              </w:rPr>
              <w:t>96</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lang w:val="fr-FR"/>
              </w:rPr>
            </w:pPr>
            <w:r w:rsidRPr="00675DC9">
              <w:rPr>
                <w:rFonts w:ascii="Times New Roman" w:eastAsia="Arial" w:hAnsi="Times New Roman" w:cs="Times New Roman"/>
                <w:color w:val="000000" w:themeColor="text1"/>
                <w:sz w:val="20"/>
                <w:szCs w:val="20"/>
                <w:lang w:val="fr-FR"/>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lang w:val="fr-FR"/>
              </w:rPr>
            </w:pPr>
            <w:r w:rsidRPr="00675DC9">
              <w:rPr>
                <w:rFonts w:ascii="Times New Roman" w:eastAsia="Arial" w:hAnsi="Times New Roman" w:cs="Times New Roman"/>
                <w:color w:val="000000" w:themeColor="text1"/>
                <w:sz w:val="20"/>
                <w:szCs w:val="20"/>
                <w:lang w:val="fr-FR"/>
              </w:rPr>
              <w:t>34</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lang w:val="fr-FR"/>
              </w:rPr>
              <w:t>Mayorga</w:t>
            </w:r>
            <w:proofErr w:type="spellEnd"/>
            <w:r w:rsidRPr="00675DC9">
              <w:rPr>
                <w:rFonts w:ascii="Times New Roman" w:eastAsia="Arial" w:hAnsi="Times New Roman" w:cs="Times New Roman"/>
                <w:color w:val="000000" w:themeColor="text1"/>
                <w:sz w:val="20"/>
                <w:szCs w:val="20"/>
                <w:lang w:val="fr-FR"/>
              </w:rPr>
              <w:t xml:space="preserve"> et al.</w:t>
            </w:r>
            <w:r w:rsidR="009F5F02">
              <w:rPr>
                <w:rFonts w:ascii="Times New Roman" w:eastAsia="Arial" w:hAnsi="Times New Roman" w:cs="Times New Roman"/>
                <w:color w:val="000000" w:themeColor="text1"/>
                <w:sz w:val="20"/>
                <w:szCs w:val="20"/>
                <w:lang w:val="fr-FR"/>
              </w:rPr>
              <w:t xml:space="preserve"> [</w:t>
            </w:r>
            <w:r w:rsidRPr="009F5F02">
              <w:rPr>
                <w:rFonts w:ascii="Times New Roman" w:eastAsia="Arial" w:hAnsi="Times New Roman" w:cs="Times New Roman"/>
                <w:color w:val="000000" w:themeColor="text1"/>
                <w:sz w:val="20"/>
                <w:szCs w:val="20"/>
                <w:lang w:val="fr-FR"/>
              </w:rPr>
              <w:fldChar w:fldCharType="begin" w:fldLock="1"/>
            </w:r>
            <w:r w:rsidRPr="009F5F02">
              <w:rPr>
                <w:rFonts w:ascii="Times New Roman" w:eastAsia="Arial" w:hAnsi="Times New Roman" w:cs="Times New Roman"/>
                <w:color w:val="000000" w:themeColor="text1"/>
                <w:sz w:val="20"/>
                <w:szCs w:val="20"/>
                <w:lang w:val="fr-FR"/>
              </w:rPr>
              <w:instrText>ADDIN CSL_CITATION {"citationItems":[{"id":"ITEM-1","itemData":{"DOI":"10.1038/nature12760","ISSN":"1476-4687","PMID":"24256802","abstract":"Carbon dioxide (CO2) transfer from inland waters to the atmosphere, known as CO2 evasion, is a component of the global carbon cycle. Global estimates of CO2 evasion have been hampered, however, by the lack of a framework for estimating the inland water surface area and gas transfer velocity and by the absence of a global CO2 database. Here we report regional variations in global inland water surface area, dissolved CO2 and gas transfer velocity. We obtain global CO2 evasion rates of 1.8(+0.25)(-0.25) petagrams of carbon (Pg C) per year from streams and rivers and 0.32(+0.52)(-0.26) Pg C yr(-1) from lakes and reservoirs, where the upper and lower limits are respectively the 5th and 95th confidence interval percentiles. The resulting global evasion rate of 2.1 Pg C yr(-1) is higher than previous estimates owing to a larger stream and river evasion rate. Our analysis predicts global hotspots in stream and river evasion, with about 70 per cent of the flux occurring over just 20 per cent of the land surface. The source of inland water CO2 is still not known with certainty and new studies are needed to research the mechanisms controlling CO2 evasion globally.","author":[{"dropping-particle":"","family":"Raymond","given":"Peter A","non-dropping-particle":"","parse-names":false,"suffix":""},{"dropping-particle":"","family":"Hartmann","given":"Jens","non-dropping-particle":"","parse-names":false,"suffix":""},{"dropping-particle":"","family":"Lauerwald","given":"Ronny","non-dropping-particle":"","parse-names":false,"suffix":""},{"dropping-particle":"","family":"Sobek","given":"Sebastian","non-dropping-particle":"","parse-names":false,"suffix":""},{"dropping-particle":"","family":"McDonald","given":"Cory","non-dropping-particle":"","parse-names":false,"suffix":""},{"dropping-particle":"","family":"Hoover","given":"Mark","non-dropping-particle":"","parse-names":false,"suffix":""},{"dropping-particle":"","family":"Butman","given":"David","non-dropping-particle":"","parse-names":false,"suffix":""},{"dropping-particle":"","family":"Striegl","given":"Robert","non-dropping-particle":"","parse-names":false,"suffix":""},{"dropping-particle":"","family":"Mayorga","given":"Emilio","non-dropping-particle":"","parse-names":false,"suffix":""},{"dropping-particle":"","family":"Humborg","given":"Christoph","non-dropping-particle":"","parse-names":false,"suffix":""},{"dropping-particle":"","family":"Kortelainen","given":"Pirkko","non-dropping-particle":"","parse-names":false,"suffix":""},{"dropping-particle":"","family":"Dürr","given":"Hans","non-dropping-particle":"","parse-names":false,"suffix":""},{"dropping-particle":"","family":"Meybeck","given":"Michel","non-dropping-particle":"","parse-names":false,"suffix":""},{"dropping-particle":"","family":"Ciais","given":"Philippe","non-dropping-particle":"","parse-names":false,"suffix":""},{"dropping-particle":"","family":"Guth","given":"Peter","non-dropping-particle":"","parse-names":false,"suffix":""}],"container-title":"Nature","id":"ITEM-1","issue":"7476","issued":{"date-parts":[["2013","11"]]},"page":"355-9","title":"Global carbon dioxide emissions from inland waters.","type":"article-journal","volume":"503"},"uris":["http://www.mendeley.com/documents/?uuid=eabd41ca-221a-48b7-bf3e-392e04532f97"]}],"mendeley":{"formattedCitation":"&lt;sup&gt;27&lt;/sup&gt;","plainTextFormattedCitation":"27","previouslyFormattedCitation":"&lt;sup&gt;27&lt;/sup&gt;"},"properties":{"noteIndex":0},"schema":"https://github.com/citation-style-language/schema/raw/master/csl-citation.json"}</w:instrText>
            </w:r>
            <w:r w:rsidRPr="009F5F02">
              <w:rPr>
                <w:rFonts w:ascii="Times New Roman" w:eastAsia="Arial" w:hAnsi="Times New Roman" w:cs="Times New Roman"/>
                <w:color w:val="000000" w:themeColor="text1"/>
                <w:sz w:val="20"/>
                <w:szCs w:val="20"/>
                <w:lang w:val="fr-FR"/>
              </w:rPr>
              <w:fldChar w:fldCharType="separate"/>
            </w:r>
            <w:r w:rsidRPr="009F5F02">
              <w:rPr>
                <w:rFonts w:ascii="Times New Roman" w:eastAsia="Arial" w:hAnsi="Times New Roman" w:cs="Times New Roman"/>
                <w:noProof/>
                <w:color w:val="000000" w:themeColor="text1"/>
                <w:sz w:val="20"/>
                <w:szCs w:val="20"/>
                <w:lang w:val="fr-FR"/>
              </w:rPr>
              <w:t>27</w:t>
            </w:r>
            <w:r w:rsidRPr="009F5F02">
              <w:rPr>
                <w:rFonts w:ascii="Times New Roman" w:eastAsia="Arial" w:hAnsi="Times New Roman" w:cs="Times New Roman"/>
                <w:color w:val="000000" w:themeColor="text1"/>
                <w:sz w:val="20"/>
                <w:szCs w:val="20"/>
                <w:lang w:val="fr-FR"/>
              </w:rPr>
              <w:fldChar w:fldCharType="end"/>
            </w:r>
            <w:r w:rsidR="009F5F02">
              <w:rPr>
                <w:rFonts w:ascii="Times New Roman" w:eastAsia="Arial" w:hAnsi="Times New Roman" w:cs="Times New Roman"/>
                <w:color w:val="000000" w:themeColor="text1"/>
                <w:sz w:val="20"/>
                <w:szCs w:val="20"/>
                <w:lang w:val="fr-FR"/>
              </w:rPr>
              <w:t>]</w:t>
            </w:r>
            <w:r w:rsidRPr="00675DC9">
              <w:rPr>
                <w:rFonts w:ascii="Times New Roman" w:eastAsia="Arial" w:hAnsi="Times New Roman" w:cs="Times New Roman"/>
                <w:color w:val="000000" w:themeColor="text1"/>
                <w:sz w:val="20"/>
                <w:szCs w:val="20"/>
                <w:lang w:val="fr-FR"/>
              </w:rPr>
              <w:t>, Hartmann et al.</w:t>
            </w:r>
            <w:r w:rsidR="009F5F02">
              <w:rPr>
                <w:rFonts w:ascii="Times New Roman" w:eastAsia="Arial" w:hAnsi="Times New Roman" w:cs="Times New Roman"/>
                <w:color w:val="000000" w:themeColor="text1"/>
                <w:sz w:val="20"/>
                <w:szCs w:val="20"/>
                <w:lang w:val="fr-FR"/>
              </w:rPr>
              <w:t xml:space="preserve"> [</w:t>
            </w:r>
            <w:r w:rsidRPr="009F5F02">
              <w:rPr>
                <w:rFonts w:ascii="Times New Roman" w:eastAsia="Arial" w:hAnsi="Times New Roman" w:cs="Times New Roman"/>
                <w:color w:val="000000" w:themeColor="text1"/>
                <w:sz w:val="20"/>
                <w:szCs w:val="20"/>
                <w:lang w:val="fr-FR"/>
              </w:rPr>
              <w:fldChar w:fldCharType="begin" w:fldLock="1"/>
            </w:r>
            <w:r w:rsidRPr="009F5F02">
              <w:rPr>
                <w:rFonts w:ascii="Times New Roman" w:eastAsia="Arial" w:hAnsi="Times New Roman" w:cs="Times New Roman"/>
                <w:color w:val="000000" w:themeColor="text1"/>
                <w:sz w:val="20"/>
                <w:szCs w:val="20"/>
                <w:lang w:val="fr-FR"/>
              </w:rPr>
              <w:instrText>ADDIN CSL_CITATION {"citationItems":[{"id":"ITEM-1","itemData":{"DOI":"10.1016/j.gloplacha.2009.07.007","ISSN":"09218181","author":[{"dropping-particle":"","family":"Hartmann","given":"Jens","non-dropping-particle":"","parse-names":false,"suffix":""},{"dropping-particle":"","family":"Jansen","given":"Nils","non-dropping-particle":"","parse-names":false,"suffix":""},{"dropping-particle":"","family":"Dürr","given":"Hans H.","non-dropping-particle":"","parse-names":false,"suffix":""},{"dropping-particle":"","family":"Kempe","given":"Stephan","non-dropping-particle":"","parse-names":false,"suffix":""},{"dropping-particle":"","family":"Köhler","given":"Peter","non-dropping-particle":"","parse-names":false,"suffix":""}],"container-title":"Global and Planetary Change","id":"ITEM-1","issue":"4","issued":{"date-parts":[["2009","12"]]},"page":"185-194","publisher":"Elsevier B.V.","title":"Global CO2-consumption by chemical weathering: What is the contribution of highly active weathering regions?","type":"article-journal","volume":"69"},"uris":["http://www.mendeley.com/documents/?uuid=4a8d7207-51b7-4109-a3fa-6767f56cccc0"]}],"mendeley":{"formattedCitation":"&lt;sup&gt;20&lt;/sup&gt;","plainTextFormattedCitation":"20","previouslyFormattedCitation":"&lt;sup&gt;20&lt;/sup&gt;"},"properties":{"noteIndex":0},"schema":"https://github.com/citation-style-language/schema/raw/master/csl-citation.json"}</w:instrText>
            </w:r>
            <w:r w:rsidRPr="009F5F02">
              <w:rPr>
                <w:rFonts w:ascii="Times New Roman" w:eastAsia="Arial" w:hAnsi="Times New Roman" w:cs="Times New Roman"/>
                <w:color w:val="000000" w:themeColor="text1"/>
                <w:sz w:val="20"/>
                <w:szCs w:val="20"/>
                <w:lang w:val="fr-FR"/>
              </w:rPr>
              <w:fldChar w:fldCharType="separate"/>
            </w:r>
            <w:r w:rsidRPr="009F5F02">
              <w:rPr>
                <w:rFonts w:ascii="Times New Roman" w:eastAsia="Arial" w:hAnsi="Times New Roman" w:cs="Times New Roman"/>
                <w:noProof/>
                <w:color w:val="000000" w:themeColor="text1"/>
                <w:sz w:val="20"/>
                <w:szCs w:val="20"/>
                <w:lang w:val="fr-FR"/>
              </w:rPr>
              <w:t>20</w:t>
            </w:r>
            <w:r w:rsidRPr="009F5F02">
              <w:rPr>
                <w:rFonts w:ascii="Times New Roman" w:eastAsia="Arial" w:hAnsi="Times New Roman" w:cs="Times New Roman"/>
                <w:color w:val="000000" w:themeColor="text1"/>
                <w:sz w:val="20"/>
                <w:szCs w:val="20"/>
                <w:lang w:val="fr-FR"/>
              </w:rPr>
              <w:fldChar w:fldCharType="end"/>
            </w:r>
            <w:r w:rsidR="009F5F02">
              <w:rPr>
                <w:rFonts w:ascii="Times New Roman" w:eastAsia="Arial" w:hAnsi="Times New Roman" w:cs="Times New Roman"/>
                <w:color w:val="000000" w:themeColor="text1"/>
                <w:sz w:val="20"/>
                <w:szCs w:val="20"/>
                <w:lang w:val="fr-FR"/>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 xml:space="preserve">50% </w:t>
            </w:r>
            <w:r w:rsidR="009F5F02" w:rsidRPr="009F5F02">
              <w:rPr>
                <w:rFonts w:ascii="Times New Roman" w:eastAsia="Arial" w:hAnsi="Times New Roman" w:cs="Times New Roman"/>
                <w:color w:val="000000" w:themeColor="text1"/>
                <w:sz w:val="20"/>
                <w:szCs w:val="20"/>
                <w:vertAlign w:val="superscript"/>
              </w:rPr>
              <w:t>c</w:t>
            </w:r>
          </w:p>
        </w:tc>
      </w:tr>
      <w:tr w:rsidR="00F6749E" w:rsidRPr="00675DC9"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NEE</w:t>
            </w:r>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-65</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294</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Equation (1)</w:t>
            </w:r>
          </w:p>
        </w:tc>
        <w:tc>
          <w:tcPr>
            <w:tcW w:w="1720" w:type="dxa"/>
            <w:shd w:val="clear" w:color="auto" w:fill="auto"/>
            <w:tcMar>
              <w:top w:w="100" w:type="dxa"/>
              <w:left w:w="100" w:type="dxa"/>
              <w:bottom w:w="100" w:type="dxa"/>
              <w:right w:w="100" w:type="dxa"/>
            </w:tcMar>
            <w:vAlign w:val="center"/>
          </w:tcPr>
          <w:p w:rsidR="00F6749E" w:rsidRPr="009F5F02" w:rsidRDefault="009F5F02" w:rsidP="00675DC9">
            <w:pPr>
              <w:widowControl w:val="0"/>
              <w:rPr>
                <w:rFonts w:ascii="Times New Roman" w:eastAsia="Arial" w:hAnsi="Times New Roman" w:cs="Times New Roman"/>
                <w:color w:val="000000" w:themeColor="text1"/>
                <w:sz w:val="20"/>
                <w:szCs w:val="20"/>
                <w:vertAlign w:val="superscript"/>
              </w:rPr>
            </w:pPr>
            <w:r w:rsidRPr="009F5F02">
              <w:rPr>
                <w:rFonts w:ascii="Times New Roman" w:eastAsia="Arial" w:hAnsi="Times New Roman" w:cs="Times New Roman"/>
                <w:color w:val="000000" w:themeColor="text1"/>
                <w:sz w:val="20"/>
                <w:szCs w:val="20"/>
                <w:vertAlign w:val="superscript"/>
              </w:rPr>
              <w:t>d</w:t>
            </w:r>
          </w:p>
        </w:tc>
      </w:tr>
      <w:tr w:rsidR="00F6749E" w:rsidRPr="00675DC9"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crop</w:t>
            </w:r>
            <w:proofErr w:type="spellEnd"/>
            <w:r w:rsidRPr="00675DC9">
              <w:rPr>
                <w:rFonts w:ascii="Times New Roman" w:eastAsia="Arial" w:hAnsi="Times New Roman" w:cs="Times New Roman"/>
                <w:color w:val="000000" w:themeColor="text1"/>
                <w:sz w:val="20"/>
                <w:szCs w:val="20"/>
                <w:vertAlign w:val="subscript"/>
              </w:rPr>
              <w:t xml:space="preserve"> products</w:t>
            </w:r>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182</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36</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 xml:space="preserve">Peters et al. </w:t>
            </w:r>
            <w:r w:rsidR="009F5F02">
              <w:rPr>
                <w:rFonts w:ascii="Times New Roman" w:eastAsia="Arial" w:hAnsi="Times New Roman" w:cs="Times New Roman"/>
                <w:color w:val="000000" w:themeColor="text1"/>
                <w:sz w:val="20"/>
                <w:szCs w:val="20"/>
              </w:rPr>
              <w:t>[</w:t>
            </w:r>
            <w:r w:rsidRPr="009F5F02">
              <w:rPr>
                <w:rFonts w:ascii="Times New Roman" w:eastAsia="Arial" w:hAnsi="Times New Roman" w:cs="Times New Roman"/>
                <w:color w:val="000000" w:themeColor="text1"/>
                <w:sz w:val="20"/>
                <w:szCs w:val="20"/>
              </w:rPr>
              <w:fldChar w:fldCharType="begin" w:fldLock="1"/>
            </w:r>
            <w:r w:rsidRPr="009F5F02">
              <w:rPr>
                <w:rFonts w:ascii="Times New Roman" w:eastAsia="Arial" w:hAnsi="Times New Roman" w:cs="Times New Roman"/>
                <w:color w:val="000000" w:themeColor="text1"/>
                <w:sz w:val="20"/>
                <w:szCs w:val="20"/>
              </w:rPr>
              <w:instrText>ADDIN CSL_CITATION {"citationItems":[{"id":"ITEM-1","itemData":{"DOI":"10.5194/bg-9-3247-2012","ISSN":"1726-4189","author":[{"dropping-particle":"","family":"Peters","given":"G. P.","non-dropping-particle":"","parse-names":false,"suffix":""},{"dropping-particle":"","family":"Davis","given":"S. J.","non-dropping-particle":"","parse-names":false,"suffix":""},{"dropping-particle":"","family":"Andrew","given":"R.","non-dropping-particle":"","parse-names":false,"suffix":""}],"container-title":"Biogeosciences","id":"ITEM-1","issue":"8","issued":{"date-parts":[["2012","8"]]},"page":"3247-3276","title":"A synthesis of carbon in international trade","type":"article-journal","volume":"9"},"uris":["http://www.mendeley.com/documents/?uuid=13aaa07d-69fb-4d0c-b60c-c51107b8444a"]}],"mendeley":{"formattedCitation":"&lt;sup&gt;18&lt;/sup&gt;","plainTextFormattedCitation":"18","previouslyFormattedCitation":"&lt;sup&gt;18&lt;/sup&gt;"},"properties":{"noteIndex":0},"schema":"https://github.com/citation-style-language/schema/raw/master/csl-citation.json"}</w:instrText>
            </w:r>
            <w:r w:rsidRPr="009F5F02">
              <w:rPr>
                <w:rFonts w:ascii="Times New Roman" w:eastAsia="Arial" w:hAnsi="Times New Roman" w:cs="Times New Roman"/>
                <w:color w:val="000000" w:themeColor="text1"/>
                <w:sz w:val="20"/>
                <w:szCs w:val="20"/>
              </w:rPr>
              <w:fldChar w:fldCharType="separate"/>
            </w:r>
            <w:r w:rsidRPr="009F5F02">
              <w:rPr>
                <w:rFonts w:ascii="Times New Roman" w:eastAsia="Arial" w:hAnsi="Times New Roman" w:cs="Times New Roman"/>
                <w:noProof/>
                <w:color w:val="000000" w:themeColor="text1"/>
                <w:sz w:val="20"/>
                <w:szCs w:val="20"/>
              </w:rPr>
              <w:t>18</w:t>
            </w:r>
            <w:r w:rsidRPr="009F5F02">
              <w:rPr>
                <w:rFonts w:ascii="Times New Roman" w:eastAsia="Arial" w:hAnsi="Times New Roman" w:cs="Times New Roman"/>
                <w:color w:val="000000" w:themeColor="text1"/>
                <w:sz w:val="20"/>
                <w:szCs w:val="20"/>
              </w:rPr>
              <w:fldChar w:fldCharType="end"/>
            </w:r>
            <w:r w:rsidR="009F5F02">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20%</w:t>
            </w:r>
          </w:p>
        </w:tc>
      </w:tr>
      <w:tr w:rsidR="00F6749E" w:rsidRPr="00675DC9"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wood</w:t>
            </w:r>
            <w:proofErr w:type="spellEnd"/>
            <w:r w:rsidRPr="00675DC9">
              <w:rPr>
                <w:rFonts w:ascii="Times New Roman" w:eastAsia="Arial" w:hAnsi="Times New Roman" w:cs="Times New Roman"/>
                <w:color w:val="000000" w:themeColor="text1"/>
                <w:sz w:val="20"/>
                <w:szCs w:val="20"/>
                <w:vertAlign w:val="subscript"/>
              </w:rPr>
              <w:t xml:space="preserve"> products</w:t>
            </w:r>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127</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13</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 xml:space="preserve">Bookkeeping model (see methods) for wood products decay, Wang et al. for wood burned in power plant and industry </w:t>
            </w:r>
          </w:p>
        </w:tc>
        <w:tc>
          <w:tcPr>
            <w:tcW w:w="1720" w:type="dxa"/>
            <w:shd w:val="clear" w:color="auto" w:fill="auto"/>
            <w:tcMar>
              <w:top w:w="100" w:type="dxa"/>
              <w:left w:w="100" w:type="dxa"/>
              <w:bottom w:w="100" w:type="dxa"/>
              <w:right w:w="100" w:type="dxa"/>
            </w:tcMar>
            <w:vAlign w:val="center"/>
          </w:tcPr>
          <w:p w:rsidR="00F6749E" w:rsidRPr="009F5F02" w:rsidRDefault="009F5F02" w:rsidP="00675DC9">
            <w:pPr>
              <w:widowControl w:val="0"/>
              <w:rPr>
                <w:rFonts w:ascii="Times New Roman" w:eastAsia="Arial" w:hAnsi="Times New Roman" w:cs="Times New Roman"/>
                <w:color w:val="000000" w:themeColor="text1"/>
                <w:sz w:val="20"/>
                <w:szCs w:val="20"/>
                <w:vertAlign w:val="superscript"/>
              </w:rPr>
            </w:pPr>
            <w:r w:rsidRPr="009F5F02">
              <w:rPr>
                <w:rFonts w:ascii="Times New Roman" w:eastAsia="Arial" w:hAnsi="Times New Roman" w:cs="Times New Roman"/>
                <w:color w:val="000000" w:themeColor="text1"/>
                <w:sz w:val="20"/>
                <w:szCs w:val="20"/>
                <w:vertAlign w:val="superscript"/>
              </w:rPr>
              <w:t>e</w:t>
            </w:r>
          </w:p>
        </w:tc>
      </w:tr>
      <w:tr w:rsidR="00F6749E" w:rsidRPr="00675DC9" w:rsidTr="009F5F02">
        <w:trPr>
          <w:trHeight w:val="48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grazing</w:t>
            </w:r>
            <w:proofErr w:type="spellEnd"/>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213</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43</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This study (see Methods)</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20%</w:t>
            </w:r>
          </w:p>
        </w:tc>
      </w:tr>
      <w:tr w:rsidR="00F6749E" w:rsidRPr="00675DC9"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fires</w:t>
            </w:r>
            <w:proofErr w:type="spellEnd"/>
            <w:r w:rsidRPr="00675DC9">
              <w:rPr>
                <w:rFonts w:ascii="Times New Roman" w:eastAsia="Arial" w:hAnsi="Times New Roman" w:cs="Times New Roman"/>
                <w:color w:val="000000" w:themeColor="text1"/>
                <w:sz w:val="20"/>
                <w:szCs w:val="20"/>
                <w:vertAlign w:val="subscript"/>
              </w:rPr>
              <w:t xml:space="preserve"> GFED</w:t>
            </w:r>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1040</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52</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lang w:val="nl-NL"/>
              </w:rPr>
              <w:t xml:space="preserve">Van der Werf et al. </w:t>
            </w:r>
            <w:r w:rsidR="009F5F02" w:rsidRPr="009F5F02">
              <w:rPr>
                <w:rFonts w:ascii="Times New Roman" w:eastAsia="Arial" w:hAnsi="Times New Roman" w:cs="Times New Roman"/>
                <w:color w:val="000000" w:themeColor="text1"/>
                <w:sz w:val="20"/>
                <w:szCs w:val="20"/>
                <w:vertAlign w:val="superscript"/>
              </w:rPr>
              <w:t>f</w:t>
            </w:r>
            <w:r w:rsidRPr="00675DC9">
              <w:rPr>
                <w:rFonts w:ascii="Times New Roman" w:eastAsia="Arial" w:hAnsi="Times New Roman" w:cs="Times New Roman"/>
                <w:color w:val="000000" w:themeColor="text1"/>
                <w:sz w:val="20"/>
                <w:szCs w:val="20"/>
              </w:rPr>
              <w:t xml:space="preserve"> </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see Methods</w:t>
            </w:r>
          </w:p>
        </w:tc>
      </w:tr>
      <w:tr w:rsidR="00F6749E" w:rsidRPr="00675DC9"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fires</w:t>
            </w:r>
            <w:proofErr w:type="spellEnd"/>
            <w:r w:rsidRPr="00675DC9">
              <w:rPr>
                <w:rFonts w:ascii="Times New Roman" w:eastAsia="Arial" w:hAnsi="Times New Roman" w:cs="Times New Roman"/>
                <w:color w:val="000000" w:themeColor="text1"/>
                <w:sz w:val="20"/>
                <w:szCs w:val="20"/>
                <w:vertAlign w:val="subscript"/>
              </w:rPr>
              <w:t xml:space="preserve"> GFAS</w:t>
            </w:r>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1022</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52</w:t>
            </w:r>
          </w:p>
        </w:tc>
        <w:tc>
          <w:tcPr>
            <w:tcW w:w="3544" w:type="dxa"/>
            <w:shd w:val="clear" w:color="auto" w:fill="auto"/>
            <w:tcMar>
              <w:top w:w="100" w:type="dxa"/>
              <w:left w:w="100" w:type="dxa"/>
              <w:bottom w:w="100" w:type="dxa"/>
              <w:right w:w="100" w:type="dxa"/>
            </w:tcMar>
            <w:vAlign w:val="center"/>
          </w:tcPr>
          <w:p w:rsidR="00F6749E" w:rsidRPr="009F5F02" w:rsidRDefault="00F6749E" w:rsidP="00675DC9">
            <w:pPr>
              <w:widowControl w:val="0"/>
              <w:rPr>
                <w:rFonts w:ascii="Times New Roman" w:eastAsia="Arial" w:hAnsi="Times New Roman" w:cs="Times New Roman"/>
                <w:color w:val="000000" w:themeColor="text1"/>
                <w:sz w:val="20"/>
                <w:szCs w:val="20"/>
                <w:lang w:val="fr-FR"/>
              </w:rPr>
            </w:pPr>
            <w:r w:rsidRPr="009F5F02">
              <w:rPr>
                <w:rFonts w:ascii="Times New Roman" w:eastAsia="Arial" w:hAnsi="Times New Roman" w:cs="Times New Roman"/>
                <w:color w:val="000000" w:themeColor="text1"/>
                <w:sz w:val="20"/>
                <w:szCs w:val="20"/>
                <w:lang w:val="fr-FR"/>
              </w:rPr>
              <w:t xml:space="preserve">Di Giuseppe et al. </w:t>
            </w:r>
            <w:r w:rsidR="009F5F02" w:rsidRPr="009F5F02">
              <w:rPr>
                <w:rFonts w:ascii="Times New Roman" w:eastAsia="Arial" w:hAnsi="Times New Roman" w:cs="Times New Roman"/>
                <w:color w:val="000000" w:themeColor="text1"/>
                <w:sz w:val="20"/>
                <w:szCs w:val="20"/>
                <w:vertAlign w:val="superscript"/>
                <w:lang w:val="fr-FR"/>
              </w:rPr>
              <w:t>f</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see Methods</w:t>
            </w:r>
          </w:p>
        </w:tc>
      </w:tr>
      <w:tr w:rsidR="00F6749E" w:rsidRPr="00675DC9"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 xml:space="preserve">LUC RECCAP  </w:t>
            </w:r>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510</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100</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highlight w:val="yellow"/>
              </w:rPr>
            </w:pPr>
            <w:proofErr w:type="spellStart"/>
            <w:r w:rsidRPr="00675DC9">
              <w:rPr>
                <w:rFonts w:ascii="Times New Roman" w:eastAsia="Arial" w:hAnsi="Times New Roman" w:cs="Times New Roman"/>
                <w:color w:val="000000" w:themeColor="text1"/>
                <w:sz w:val="20"/>
                <w:szCs w:val="20"/>
              </w:rPr>
              <w:t>Valentini</w:t>
            </w:r>
            <w:proofErr w:type="spellEnd"/>
            <w:r w:rsidRPr="00675DC9">
              <w:rPr>
                <w:rFonts w:ascii="Times New Roman" w:eastAsia="Arial" w:hAnsi="Times New Roman" w:cs="Times New Roman"/>
                <w:color w:val="000000" w:themeColor="text1"/>
                <w:sz w:val="20"/>
                <w:szCs w:val="20"/>
              </w:rPr>
              <w:t xml:space="preserve"> et al. </w:t>
            </w:r>
            <w:r w:rsidR="009F5F02" w:rsidRPr="009F5F02">
              <w:rPr>
                <w:rFonts w:ascii="Times New Roman" w:eastAsia="Arial" w:hAnsi="Times New Roman" w:cs="Times New Roman"/>
                <w:color w:val="000000" w:themeColor="text1"/>
                <w:sz w:val="20"/>
                <w:szCs w:val="20"/>
                <w:vertAlign w:val="superscript"/>
              </w:rPr>
              <w:t>g</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rPr>
              <w:t>Valentini</w:t>
            </w:r>
            <w:proofErr w:type="spellEnd"/>
            <w:r w:rsidRPr="00675DC9">
              <w:rPr>
                <w:rFonts w:ascii="Times New Roman" w:eastAsia="Arial" w:hAnsi="Times New Roman" w:cs="Times New Roman"/>
                <w:color w:val="000000" w:themeColor="text1"/>
                <w:sz w:val="20"/>
                <w:szCs w:val="20"/>
              </w:rPr>
              <w:t xml:space="preserve"> et al.</w:t>
            </w:r>
          </w:p>
        </w:tc>
      </w:tr>
      <w:tr w:rsidR="00F6749E" w:rsidRPr="00675DC9"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LUC BLUE</w:t>
            </w:r>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299</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102</w:t>
            </w:r>
          </w:p>
        </w:tc>
        <w:tc>
          <w:tcPr>
            <w:tcW w:w="3544" w:type="dxa"/>
            <w:shd w:val="clear" w:color="auto" w:fill="auto"/>
            <w:tcMar>
              <w:top w:w="100" w:type="dxa"/>
              <w:left w:w="100" w:type="dxa"/>
              <w:bottom w:w="100" w:type="dxa"/>
              <w:right w:w="100" w:type="dxa"/>
            </w:tcMar>
            <w:vAlign w:val="center"/>
          </w:tcPr>
          <w:p w:rsidR="00F6749E" w:rsidRPr="009F5F02" w:rsidRDefault="00F6749E" w:rsidP="00675DC9">
            <w:pPr>
              <w:widowControl w:val="0"/>
              <w:rPr>
                <w:rFonts w:ascii="Times New Roman" w:eastAsia="Arial" w:hAnsi="Times New Roman" w:cs="Times New Roman"/>
                <w:color w:val="000000" w:themeColor="text1"/>
                <w:sz w:val="20"/>
                <w:szCs w:val="20"/>
                <w:highlight w:val="yellow"/>
              </w:rPr>
            </w:pPr>
            <w:proofErr w:type="spellStart"/>
            <w:r w:rsidRPr="00675DC9">
              <w:rPr>
                <w:rFonts w:ascii="Times New Roman" w:eastAsia="Arial" w:hAnsi="Times New Roman" w:cs="Times New Roman"/>
                <w:color w:val="000000" w:themeColor="text1"/>
                <w:sz w:val="20"/>
                <w:szCs w:val="20"/>
                <w:highlight w:val="white"/>
              </w:rPr>
              <w:t>Hansis</w:t>
            </w:r>
            <w:proofErr w:type="spellEnd"/>
            <w:r w:rsidRPr="00675DC9">
              <w:rPr>
                <w:rFonts w:ascii="Times New Roman" w:eastAsia="Arial" w:hAnsi="Times New Roman" w:cs="Times New Roman"/>
                <w:color w:val="000000" w:themeColor="text1"/>
                <w:sz w:val="20"/>
                <w:szCs w:val="20"/>
                <w:highlight w:val="white"/>
              </w:rPr>
              <w:t xml:space="preserve"> et al. </w:t>
            </w:r>
            <w:r w:rsidR="009F5F02">
              <w:rPr>
                <w:rFonts w:ascii="Times New Roman" w:eastAsia="Arial" w:hAnsi="Times New Roman" w:cs="Times New Roman"/>
                <w:color w:val="000000" w:themeColor="text1"/>
                <w:sz w:val="20"/>
                <w:szCs w:val="20"/>
                <w:highlight w:val="white"/>
              </w:rPr>
              <w:t>[</w:t>
            </w:r>
            <w:r w:rsidRPr="009F5F02">
              <w:rPr>
                <w:rFonts w:ascii="Times New Roman" w:eastAsia="Arial" w:hAnsi="Times New Roman" w:cs="Times New Roman"/>
                <w:color w:val="000000" w:themeColor="text1"/>
                <w:sz w:val="20"/>
                <w:szCs w:val="20"/>
                <w:highlight w:val="white"/>
                <w:lang w:val="fr-FR"/>
              </w:rPr>
              <w:fldChar w:fldCharType="begin" w:fldLock="1"/>
            </w:r>
            <w:r w:rsidRPr="009F5F02">
              <w:rPr>
                <w:rFonts w:ascii="Times New Roman" w:eastAsia="Arial" w:hAnsi="Times New Roman" w:cs="Times New Roman"/>
                <w:color w:val="000000" w:themeColor="text1"/>
                <w:sz w:val="20"/>
                <w:szCs w:val="20"/>
                <w:highlight w:val="white"/>
              </w:rPr>
              <w:instrText>ADDIN CSL_CITATION {"citationItems":[{"id":"ITEM-1","itemData":{"DOI":"10.1002/2014GB004997","ISSN":"0886-6236","abstract":"Abstract Accounting for carbon fluxes from land use and land cover change (LULCC) generally requires choosing from multiple options of how to attribute the fluxes to regions and to LULCC activities. Applying a newly developed and spatially explicit bookkeeping model BLUE (bookkeeping of land use emissions), we quantify LULCC fluxes and attribute them to land use activities and countries by a range of different accounting methods. We present results with respect to a Kyoto Protocol-like ?commitment? accounting period, using land use emissions of 2008?2012 as an example scenario. We assess the effect of accounting methods that vary (1) the temporal evolution of carbon stocks, (2) the state of the carbon stocks at the beginning of the period, (3) the temporal attribution of carbon fluxes during the period, and (4) treatment of LULCC fluxes that occurred prior to the beginning of the period. We show that the methodological choices result in grossly different estimates of carbon fluxes for the different attribution definitions.","author":[{"dropping-particle":"","family":"Hansis","given":"Eberhard","non-dropping-particle":"","parse-names":false,"suffix":""},{"dropping-particle":"","family":"Davis","given":"Steven J","non-dropping-particle":"","parse-names":false,"suffix":""},{"dropping-particle":"","family":"Pongratz","given":"Julia","non-dropping-particle":"","parse-names":false,"suffix":""}],"container-title":"Global Biogeochemical Cycles","id":"ITEM-1","issue":"8","issued":{"date-parts":[["2015","8","1"]]},"note":"doi: 10.1002/2014GB004997","page":"1230-1246","publisher":"John Wiley &amp; Sons, Ltd","title":"Relevance of methodological choices for accounting of land use change carbon fluxes","type":"speech","volume":"29"},"uris":["http://www.mendeley.com/documents/?uuid=554da27d-80b9-47d4-93f9-30dc5af8fd94"]}],"mendeley":{"formattedCitation":"&lt;sup&gt;66&lt;/sup&gt;","plainTextFormattedCitation":"66","previouslyFormattedCitation":"&lt;sup&gt;66&lt;/sup&gt;"},"properties":{"noteIndex":0},"schema":"https://github.com/citation-style-language/schema/raw/master/csl-citation.json"}</w:instrText>
            </w:r>
            <w:r w:rsidRPr="009F5F02">
              <w:rPr>
                <w:rFonts w:ascii="Times New Roman" w:eastAsia="Arial" w:hAnsi="Times New Roman" w:cs="Times New Roman"/>
                <w:color w:val="000000" w:themeColor="text1"/>
                <w:sz w:val="20"/>
                <w:szCs w:val="20"/>
                <w:highlight w:val="white"/>
                <w:lang w:val="fr-FR"/>
              </w:rPr>
              <w:fldChar w:fldCharType="separate"/>
            </w:r>
            <w:r w:rsidRPr="009F5F02">
              <w:rPr>
                <w:rFonts w:ascii="Times New Roman" w:eastAsia="Arial" w:hAnsi="Times New Roman" w:cs="Times New Roman"/>
                <w:noProof/>
                <w:color w:val="000000" w:themeColor="text1"/>
                <w:sz w:val="20"/>
                <w:szCs w:val="20"/>
                <w:highlight w:val="white"/>
              </w:rPr>
              <w:t>66</w:t>
            </w:r>
            <w:r w:rsidRPr="009F5F02">
              <w:rPr>
                <w:rFonts w:ascii="Times New Roman" w:eastAsia="Arial" w:hAnsi="Times New Roman" w:cs="Times New Roman"/>
                <w:color w:val="000000" w:themeColor="text1"/>
                <w:sz w:val="20"/>
                <w:szCs w:val="20"/>
                <w:highlight w:val="white"/>
                <w:lang w:val="fr-FR"/>
              </w:rPr>
              <w:fldChar w:fldCharType="end"/>
            </w:r>
            <w:r w:rsidR="009F5F02" w:rsidRPr="001D7FE4">
              <w:rPr>
                <w:rFonts w:ascii="Times New Roman" w:eastAsia="Arial" w:hAnsi="Times New Roman" w:cs="Times New Roman"/>
                <w:color w:val="000000" w:themeColor="text1"/>
                <w:sz w:val="20"/>
                <w:szCs w:val="20"/>
                <w:highlight w:val="white"/>
              </w:rPr>
              <w:t>]</w:t>
            </w:r>
            <w:r w:rsidRPr="00675DC9">
              <w:rPr>
                <w:rFonts w:ascii="Times New Roman" w:eastAsia="Arial" w:hAnsi="Times New Roman" w:cs="Times New Roman"/>
                <w:color w:val="000000" w:themeColor="text1"/>
                <w:sz w:val="20"/>
                <w:szCs w:val="20"/>
                <w:highlight w:val="white"/>
              </w:rPr>
              <w:t xml:space="preserve"> updated in ref. </w:t>
            </w:r>
            <w:r w:rsidR="009F5F02">
              <w:rPr>
                <w:rFonts w:ascii="Times New Roman" w:eastAsia="Arial" w:hAnsi="Times New Roman" w:cs="Times New Roman"/>
                <w:color w:val="000000" w:themeColor="text1"/>
                <w:sz w:val="20"/>
                <w:szCs w:val="20"/>
                <w:highlight w:val="white"/>
              </w:rPr>
              <w:t>[</w:t>
            </w:r>
            <w:r w:rsidRPr="009F5F02">
              <w:rPr>
                <w:rFonts w:ascii="Times New Roman" w:eastAsia="Arial" w:hAnsi="Times New Roman" w:cs="Times New Roman"/>
                <w:color w:val="000000" w:themeColor="text1"/>
                <w:sz w:val="20"/>
                <w:szCs w:val="20"/>
                <w:highlight w:val="white"/>
                <w:lang w:val="fr-FR"/>
              </w:rPr>
              <w:fldChar w:fldCharType="begin" w:fldLock="1"/>
            </w:r>
            <w:r w:rsidRPr="009F5F02">
              <w:rPr>
                <w:rFonts w:ascii="Times New Roman" w:eastAsia="Arial" w:hAnsi="Times New Roman" w:cs="Times New Roman"/>
                <w:color w:val="000000" w:themeColor="text1"/>
                <w:sz w:val="20"/>
                <w:szCs w:val="20"/>
                <w:highlight w:val="white"/>
              </w:rPr>
              <w:instrText>ADDIN CSL_CITATION {"citationItems":[{"id":"ITEM-1","itemData":{"DOI":"10.5194/essd-10-2141-2018","ISSN":"1866-3516","abstract":"&lt;p&gt;&lt;![CDATA[Abstract. Accurate assessment of anthropogenic carbon dioxide (CO2) emissions and their redistribution among the atmosphere, ocean, and terrestrial biosphere – the “global carbon budget” – is important to better understand the global carbon cycle, support the development of climate policies, and project future climate change. Here we describe data sets and methodology to quantify the five major components of the global carbon budget and their uncertainties. Fossil CO2 emissions (EFF) are based on energy statistics and cement production data, while emissions from land use and land-use change (ELUC), mainly deforestation, are based on land use and land-use change data and bookkeeping models. Atmospheric CO2 concentration is measured directly and its growth rate (GATM) is computed from the annual changes in concentration. The ocean CO2 sink (SOCEAN) and terrestrial CO2 sink (SLAND) are estimated with global process models constrained by observations. The resulting carbon budget imbalance (BIM), the difference between the estimated total emissions and the estimated changes in the atmosphere, ocean, and terrestrial biosphere, is a measure of imperfect data and understanding of the contemporary carbon cycle. All uncertainties are reported as ±1σ. For the last decade available (2008–2017), EFF was 9.4±0.5 GtC yr−1, ELUC 1.5±0.7 GtC yr−1, GATM 4.7±0.02 GtC yr−1, SOCEAN 2.4±0.5 GtC yr−1, and SLAND 3.2±0.8 GtC yr−1, with a budget imbalance BIM of 0.5 GtC yr−1 indicating overestimated emissions and/or underestimated sinks. For the year 2017 alone, the growth in EFF was about 1.6 % and emissions increased to 9.9±0.5 GtC yr−1. Also for 2017, ELUC was 1.4±0.7 GtC yr−1, GATM was 4.6±0.2 GtC yr−1, SOCEAN was 2.5±0.5 GtC yr−1, and SLAND was 3.8±0.8 GtC yr−1, with a BIM of 0.3 GtC. The global atmospheric CO2 concentration reached 405.0±0.1 ppm averaged over 2017. For 2018, preliminary data for the first 6–9 months indicate a renewed growth in EFF of +2.7 % (range of 1.8 % to 3.7 %) based on national emission projections for China, the US, the EU, and India and projections of gross domestic product corrected for recent changes in the carbon intensity of the economy for the rest of the world. The analysis presented here shows that the mean and trend in the five components of the global carbon budget are consistently estimated over the period of 1959–2017, but discrepancies of up to 1 GtC yr−1 persist for the representation of semi-decadal variability in CO2 flu…","author":[{"dropping-particle":"","family":"Quéré","given":"Corinne","non-dropping-particle":"Le","parse-names":false,"suffix":""},{"dropping-particle":"","family":"Andrew","given":"Robbie M.","non-dropping-particle":"","parse-names":false,"suffix":""},{"dropping-particle":"","family":"Friedlingstein","given":"Pierre","non-dropping-particle":"","parse-names":false,"suffix":""},{"dropping-particle":"","family":"Sitch","given":"Stephen","non-dropping-particle":"","parse-names":false,"suffix":""},{"dropping-particle":"","family":"Hauck","given":"Judith","non-dropping-particle":"","parse-names":false,"suffix":""},{"dropping-particle":"","family":"Pongratz","given":"Julia","non-dropping-particle":"","parse-names":false,"suffix":""},{"dropping-particle":"","family":"Pickers","given":"Penelope A.","non-dropping-particle":"","parse-names":false,"suffix":""},{"dropping-particle":"","family":"Korsbakken","given":"Jan Ivar","non-dropping-particle":"","parse-names":false,"suffix":""},{"dropping-particle":"","family":"Peters","given":"Glen P.","non-dropping-particle":"","parse-names":false,"suffix":""},{"dropping-particle":"","family":"Canadell","given":"Josep G.","non-dropping-particle":"","parse-names":false,"suffix":""},{"dropping-particle":"","family":"Arneth","given":"Almut","non-dropping-particle":"","parse-names":false,"suffix":""},{"dropping-particle":"","family":"Arora","given":"Vivek K.","non-dropping-particle":"","parse-names":false,"suffix":""},{"dropping-particle":"","family":"Barbero","given":"Leticia","non-dropping-particle":"","parse-names":false,"suffix":""},{"dropping-particle":"","family":"Bastos","given":"Ana","non-dropping-particle":"","parse-names":false,"suffix":""},{"dropping-particle":"","family":"Bopp","given":"Laurent","non-dropping-particle":"","parse-names":false,"suffix":""},{"dropping-particle":"","family":"Chevallier","given":"Frédéric","non-dropping-particle":"","parse-names":false,"suffix":""},{"dropping-particle":"","family":"Chini","given":"Louise P.","non-dropping-particle":"","parse-names":false,"suffix":""},{"dropping-particle":"","family":"Ciais","given":"Philippe","non-dropping-particle":"","parse-names":false,"suffix":""},{"dropping-particle":"","family":"Doney","given":"Scott C.","non-dropping-particle":"","parse-names":false,"suffix":""},{"dropping-particle":"","family":"Gkritzalis","given":"Thanos","non-dropping-particle":"","parse-names":false,"suffix":""},{"dropping-particle":"","family":"Goll","given":"Daniel S.","non-dropping-particle":"","parse-names":false,"suffix":""},{"dropping-particle":"","family":"Harris","given":"Ian","non-dropping-particle":"","parse-names":false,"suffix":""},{"dropping-particle":"","family":"Haverd","given":"Vanessa","non-dropping-particle":"","parse-names":false,"suffix":""},{"dropping-particle":"","family":"Hoffman","given":"Forrest M.","non-dropping-particle":"","parse-names":false,"suffix":""},{"dropping-particle":"","family":"Hoppema","given":"Mario","non-dropping-particle":"","parse-names":false,"suffix":""},{"dropping-particle":"","family":"Houghton","given":"Richard A.","non-dropping-particle":"","parse-names":false,"suffix":""},{"dropping-particle":"","family":"Hurtt","given":"George","non-dropping-particle":"","parse-names":false,"suffix":""},{"dropping-particle":"","family":"Ilyina","given":"Tatiana","non-dropping-particle":"","parse-names":false,"suffix":""},{"dropping-particle":"","family":"Jain","given":"Atul K.","non-dropping-particle":"","parse-names":false,"suffix":""},{"dropping-particle":"","family":"Johannessen","given":"Truls","non-dropping-particle":"","parse-names":false,"suffix":""},{"dropping-particle":"","family":"Jones","given":"Chris D.","non-dropping-particle":"","parse-names":false,"suffix":""},{"dropping-particle":"","family":"Kato","given":"Etsushi","non-dropping-particle":"","parse-names":false,"suffix":""},{"dropping-particle":"","family":"Keeling","given":"Ralph F.","non-dropping-particle":"","parse-names":false,"suffix":""},{"dropping-particle":"","family":"Goldewijk","given":"Kees Klein","non-dropping-particle":"","parse-names":false,"suffix":""},{"dropping-particle":"","family":"Landschützer","given":"Peter","non-dropping-particle":"","parse-names":false,"suffix":""},{"dropping-particle":"","family":"Lefèvre","given":"Nathalie","non-dropping-particle":"","parse-names":false,"suffix":""},{"dropping-particle":"","family":"Lienert","given":"Sebastian","non-dropping-particle":"","parse-names":false,"suffix":""},{"dropping-particle":"","family":"Liu","given":"Zhu","non-dropping-particle":"","parse-names":false,"suffix":""},{"dropping-particle":"","family":"Lombardozzi","given":"Danica","non-dropping-particle":"","parse-names":false,"suffix":""},{"dropping-particle":"","family":"Metzl","given":"Nicolas","non-dropping-particle":"","parse-names":false,"suffix":""},{"dropping-particle":"","family":"Munro","given":"David R.","non-dropping-particle":"","parse-names":false,"suffix":""},{"dropping-particle":"","family":"Nabel","given":"Julia E. M. S.","non-dropping-particle":"","parse-names":false,"suffix":""},{"dropping-particle":"","family":"Nakaoka","given":"Shin-ichiro","non-dropping-particle":"","parse-names":false,"suffix":""},{"dropping-particle":"","family":"Neill","given":"Craig","non-dropping-particle":"","parse-names":false,"suffix":""},{"dropping-particle":"","family":"Olsen","given":"Are","non-dropping-particle":"","parse-names":false,"suffix":""},{"dropping-particle":"","family":"Ono","given":"Tsueno","non-dropping-particle":"","parse-names":false,"suffix":""},{"dropping-particle":"","family":"Patra","given":"Prabir","non-dropping-particle":"","parse-names":false,"suffix":""},{"dropping-particle":"","family":"Peregon","given":"Anna","non-dropping-particle":"","parse-names":false,"suffix":""},{"dropping-particle":"","family":"Peters","given":"Wouter","non-dropping-particle":"","parse-names":false,"suffix":""},{"dropping-particle":"","family":"Peylin","given":"Philippe","non-dropping-particle":"","parse-names":false,"suffix":""},{"dropping-particle":"","family":"Pfeil","given":"Benjamin","non-dropping-particle":"","parse-names":false,"suffix":""},{"dropping-particle":"","family":"Pierrot","given":"Denis","non-dropping-particle":"","parse-names":false,"suffix":""},{"dropping-particle":"","family":"Poulter","given":"Benjamin","non-dropping-particle":"","parse-names":false,"suffix":""},{"dropping-particle":"","family":"Rehder","given":"Gregor","non-dropping-particle":"","parse-names":false,"suffix":""},{"dropping-particle":"","family":"Resplandy","given":"Laure","non-dropping-particle":"","parse-names":false,"suffix":""},{"dropping-particle":"","family":"Robertson","given":"Eddy","non-dropping-particle":"","parse-names":false,"suffix":""},{"dropping-particle":"","family":"Rocher","given":"Matthias","non-dropping-particle":"","parse-names":false,"suffix":""},{"dropping-particle":"","family":"Rödenbeck","given":"Christian","non-dropping-particle":"","parse-names":false,"suffix":""},{"dropping-particle":"","family":"Schuster","given":"Ute","non-dropping-particle":"","parse-names":false,"suffix":""},{"dropping-particle":"","family":"Schwinger","given":"Jörg","non-dropping-particle":"","parse-names":false,"suffix":""},{"dropping-particle":"","family":"Séférian","given":"Roland","non-dropping-particle":"","parse-names":false,"suffix":""},{"dropping-particle":"","family":"Skjelvan","given":"Ingunn","non-dropping-particle":"","parse-names":false,"suffix":""},{"dropping-particle":"","family":"Steinhoff","given":"Tobias","non-dropping-particle":"","parse-names":false,"suffix":""},{"dropping-particle":"","family":"Sutton","given":"Adrienne","non-dropping-particle":"","parse-names":false,"suffix":""},{"dropping-particle":"","family":"Tans","given":"Pieter P.","non-dropping-particle":"","parse-names":false,"suffix":""},{"dropping-particle":"","family":"Tian","given":"Hanqin","non-dropping-particle":"","parse-names":false,"suffix":""},{"dropping-particle":"","family":"Tilbrook","given":"Bronte","non-dropping-particle":"","parse-names":false,"suffix":""},{"dropping-particle":"","family":"Tubiello","given":"Francesco N.","non-dropping-particle":"","parse-names":false,"suffix":""},{"dropping-particle":"","family":"Laan-Luijkx","given":"Ingrid T.","non-dropping-particle":"van der","parse-names":false,"suffix":""},{"dropping-particle":"","family":"Werf","given":"Guido R.","non-dropping-particle":"van der","parse-names":false,"suffix":""},{"dropping-particle":"","family":"Viovy","given":"Nicolas","non-dropping-particle":"","parse-names":false,"suffix":""},{"dropping-particle":"","family":"Walker","given":"Anthony P.","non-dropping-particle":"","parse-names":false,"suffix":""},{"dropping-particle":"","family":"Wiltshire","given":"Andrew J.","non-dropping-particle":"","parse-names":false,"suffix":""},{"dropping-particle":"","family":"Wright","given":"Rebecca","non-dropping-particle":"","parse-names":false,"suffix":""},{"dropping-particle":"","family":"Zaehle","given":"Sönke","non-dropping-particle":"","parse-names":false,"suffix":""},{"dropping-particle":"","family":"Zheng","given":"Bo","non-dropping-particle":"","parse-names":false,"suffix":""}],"container-title":"Earth System Science Data","id":"ITEM-1","issue":"4","issued":{"date-parts":[["2018","12","5"]]},"page":"2141-2194","title":"Global Carbon Budget 2018","type":"article-journal","volume":"10"},"uris":["http://www.mendeley.com/documents/?uuid=c58027c0-01ff-3934-afe3-9c450c266da6"]}],"mendeley":{"formattedCitation":"&lt;sup&gt;83&lt;/sup&gt;","plainTextFormattedCitation":"83","previouslyFormattedCitation":"&lt;sup&gt;83&lt;/sup&gt;"},"properties":{"noteIndex":0},"schema":"https://github.com/citation-style-language/schema/raw/master/csl-citation.json"}</w:instrText>
            </w:r>
            <w:r w:rsidRPr="009F5F02">
              <w:rPr>
                <w:rFonts w:ascii="Times New Roman" w:eastAsia="Arial" w:hAnsi="Times New Roman" w:cs="Times New Roman"/>
                <w:color w:val="000000" w:themeColor="text1"/>
                <w:sz w:val="20"/>
                <w:szCs w:val="20"/>
                <w:highlight w:val="white"/>
                <w:lang w:val="fr-FR"/>
              </w:rPr>
              <w:fldChar w:fldCharType="separate"/>
            </w:r>
            <w:r w:rsidRPr="009F5F02">
              <w:rPr>
                <w:rFonts w:ascii="Times New Roman" w:eastAsia="Arial" w:hAnsi="Times New Roman" w:cs="Times New Roman"/>
                <w:noProof/>
                <w:color w:val="000000" w:themeColor="text1"/>
                <w:sz w:val="20"/>
                <w:szCs w:val="20"/>
                <w:highlight w:val="white"/>
              </w:rPr>
              <w:t>83</w:t>
            </w:r>
            <w:r w:rsidRPr="009F5F02">
              <w:rPr>
                <w:rFonts w:ascii="Times New Roman" w:eastAsia="Arial" w:hAnsi="Times New Roman" w:cs="Times New Roman"/>
                <w:color w:val="000000" w:themeColor="text1"/>
                <w:sz w:val="20"/>
                <w:szCs w:val="20"/>
                <w:highlight w:val="white"/>
                <w:lang w:val="fr-FR"/>
              </w:rPr>
              <w:fldChar w:fldCharType="end"/>
            </w:r>
            <w:r w:rsidR="009F5F02">
              <w:rPr>
                <w:rFonts w:ascii="Times New Roman" w:eastAsia="Arial" w:hAnsi="Times New Roman" w:cs="Times New Roman"/>
                <w:color w:val="000000" w:themeColor="text1"/>
                <w:sz w:val="20"/>
                <w:szCs w:val="20"/>
                <w:highlight w:val="white"/>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see Methods</w:t>
            </w:r>
          </w:p>
        </w:tc>
      </w:tr>
      <w:tr w:rsidR="00F6749E" w:rsidRPr="00675DC9"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reduced</w:t>
            </w:r>
            <w:proofErr w:type="spellEnd"/>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198</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62</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This study (see Methods)</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see Methods</w:t>
            </w:r>
          </w:p>
        </w:tc>
      </w:tr>
      <w:tr w:rsidR="00F6749E" w:rsidRPr="00675DC9"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outgas</w:t>
            </w:r>
            <w:proofErr w:type="spellEnd"/>
            <w:r w:rsidRPr="00675DC9">
              <w:rPr>
                <w:rFonts w:ascii="Times New Roman" w:eastAsia="Arial" w:hAnsi="Times New Roman" w:cs="Times New Roman"/>
                <w:color w:val="000000" w:themeColor="text1"/>
                <w:sz w:val="20"/>
                <w:szCs w:val="20"/>
                <w:vertAlign w:val="subscript"/>
              </w:rPr>
              <w:t xml:space="preserve"> rivers + lakes RAY</w:t>
            </w:r>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147</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74</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 xml:space="preserve">Raymond et al. </w:t>
            </w:r>
            <w:r w:rsidR="009F5F02">
              <w:rPr>
                <w:rFonts w:ascii="Times New Roman" w:eastAsia="Arial" w:hAnsi="Times New Roman" w:cs="Times New Roman"/>
                <w:color w:val="000000" w:themeColor="text1"/>
                <w:sz w:val="20"/>
                <w:szCs w:val="20"/>
              </w:rPr>
              <w:t>[</w:t>
            </w:r>
            <w:r w:rsidRPr="009F5F02">
              <w:rPr>
                <w:rFonts w:ascii="Times New Roman" w:eastAsia="Arial" w:hAnsi="Times New Roman" w:cs="Times New Roman"/>
                <w:color w:val="000000" w:themeColor="text1"/>
                <w:sz w:val="20"/>
                <w:szCs w:val="20"/>
              </w:rPr>
              <w:fldChar w:fldCharType="begin" w:fldLock="1"/>
            </w:r>
            <w:r w:rsidRPr="009F5F02">
              <w:rPr>
                <w:rFonts w:ascii="Times New Roman" w:eastAsia="Arial" w:hAnsi="Times New Roman" w:cs="Times New Roman"/>
                <w:color w:val="000000" w:themeColor="text1"/>
                <w:sz w:val="20"/>
                <w:szCs w:val="20"/>
              </w:rPr>
              <w:instrText>ADDIN CSL_CITATION {"citationItems":[{"id":"ITEM-1","itemData":{"DOI":"10.1038/nature13142","ISSN":"00280836","author":[{"dropping-particle":"","family":"Raymond","given":"P.A.","non-dropping-particle":"","parse-names":false,"suffix":""},{"dropping-particle":"","family":"Hartmann","given":"J.","non-dropping-particle":"","parse-names":false,"suffix":""},{"dropping-particle":"","family":"Lauerwald","given":"R.","non-dropping-particle":"","parse-names":false,"suffix":""},{"dropping-particle":"","family":"Sobek","given":"S.","non-dropping-particle":"","parse-names":false,"suffix":""},{"dropping-particle":"","family":"McDonald","given":"C.","non-dropping-particle":"","parse-names":false,"suffix":""},{"dropping-particle":"","family":"Hoover","given":"M.","non-dropping-particle":"","parse-names":false,"suffix":""},{"dropping-particle":"","family":"Butman","given":"D.","non-dropping-particle":"","parse-names":false,"suffix":""},{"dropping-particle":"","family":"Striegl","given":"R.","non-dropping-particle":"","parse-names":false,"suffix":""},{"dropping-particle":"","family":"Mayorga","given":"E.","non-dropping-particle":"","parse-names":false,"suffix":""},{"dropping-particle":"","family":"Humborg","given":"C.","non-dropping-particle":"","parse-names":false,"suffix":""},{"dropping-particle":"","family":"Kortelainen","given":"P.","non-dropping-particle":"","parse-names":false,"suffix":""},{"dropping-particle":"","family":"Dürr","given":"H.","non-dropping-particle":"","parse-names":false,"suffix":""},{"dropping-particle":"","family":"Meybeck","given":"M.","non-dropping-particle":"","parse-names":false,"suffix":""},{"dropping-particle":"","family":"Ciais","given":"P.","non-dropping-particle":"","parse-names":false,"suffix":""},{"dropping-particle":"","family":"Guth","given":"P.","non-dropping-particle":"","parse-names":false,"suffix":""}],"container-title":"Nature","id":"ITEM-1","issue":"7492","issued":{"date-parts":[["2014"]]},"title":"Erratum: Global carbon dioxide emissions from inland waters (Nature (2013) 503 (355-359) DOI: 10.1038/nature12760)","type":"article-journal","volume":"507"},"uris":["http://www.mendeley.com/documents/?uuid=9f65d7ab-bd8b-32fa-bb80-0bd0b1543272"]}],"mendeley":{"formattedCitation":"&lt;sup&gt;84&lt;/sup&gt;","plainTextFormattedCitation":"84","previouslyFormattedCitation":"&lt;sup&gt;84&lt;/sup&gt;"},"properties":{"noteIndex":0},"schema":"https://github.com/citation-style-language/schema/raw/master/csl-citation.json"}</w:instrText>
            </w:r>
            <w:r w:rsidRPr="009F5F02">
              <w:rPr>
                <w:rFonts w:ascii="Times New Roman" w:eastAsia="Arial" w:hAnsi="Times New Roman" w:cs="Times New Roman"/>
                <w:color w:val="000000" w:themeColor="text1"/>
                <w:sz w:val="20"/>
                <w:szCs w:val="20"/>
              </w:rPr>
              <w:fldChar w:fldCharType="separate"/>
            </w:r>
            <w:r w:rsidRPr="009F5F02">
              <w:rPr>
                <w:rFonts w:ascii="Times New Roman" w:eastAsia="Arial" w:hAnsi="Times New Roman" w:cs="Times New Roman"/>
                <w:noProof/>
                <w:color w:val="000000" w:themeColor="text1"/>
                <w:sz w:val="20"/>
                <w:szCs w:val="20"/>
              </w:rPr>
              <w:t>84</w:t>
            </w:r>
            <w:r w:rsidRPr="009F5F02">
              <w:rPr>
                <w:rFonts w:ascii="Times New Roman" w:eastAsia="Arial" w:hAnsi="Times New Roman" w:cs="Times New Roman"/>
                <w:color w:val="000000" w:themeColor="text1"/>
                <w:sz w:val="20"/>
                <w:szCs w:val="20"/>
              </w:rPr>
              <w:fldChar w:fldCharType="end"/>
            </w:r>
            <w:r w:rsidR="009F5F02">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50%</w:t>
            </w:r>
          </w:p>
        </w:tc>
      </w:tr>
      <w:tr w:rsidR="00F6749E" w:rsidRPr="00675DC9"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outgas</w:t>
            </w:r>
            <w:proofErr w:type="spellEnd"/>
            <w:r w:rsidRPr="00675DC9">
              <w:rPr>
                <w:rFonts w:ascii="Times New Roman" w:eastAsia="Arial" w:hAnsi="Times New Roman" w:cs="Times New Roman"/>
                <w:color w:val="000000" w:themeColor="text1"/>
                <w:sz w:val="20"/>
                <w:szCs w:val="20"/>
                <w:vertAlign w:val="subscript"/>
              </w:rPr>
              <w:t xml:space="preserve"> rivers + lakes LAU</w:t>
            </w:r>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138</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69</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rPr>
              <w:t>Lauerwald</w:t>
            </w:r>
            <w:proofErr w:type="spellEnd"/>
            <w:r w:rsidRPr="00675DC9">
              <w:rPr>
                <w:rFonts w:ascii="Times New Roman" w:eastAsia="Arial" w:hAnsi="Times New Roman" w:cs="Times New Roman"/>
                <w:color w:val="000000" w:themeColor="text1"/>
                <w:sz w:val="20"/>
                <w:szCs w:val="20"/>
              </w:rPr>
              <w:t xml:space="preserve"> et al. </w:t>
            </w:r>
            <w:r w:rsidR="009F5F02">
              <w:rPr>
                <w:rFonts w:ascii="Times New Roman" w:eastAsia="Arial" w:hAnsi="Times New Roman" w:cs="Times New Roman"/>
                <w:color w:val="000000" w:themeColor="text1"/>
                <w:sz w:val="20"/>
                <w:szCs w:val="20"/>
              </w:rPr>
              <w:t>[</w:t>
            </w:r>
            <w:r w:rsidRPr="009F5F02">
              <w:rPr>
                <w:rFonts w:ascii="Times New Roman" w:eastAsia="Arial" w:hAnsi="Times New Roman" w:cs="Times New Roman"/>
                <w:color w:val="000000" w:themeColor="text1"/>
                <w:sz w:val="20"/>
                <w:szCs w:val="20"/>
              </w:rPr>
              <w:fldChar w:fldCharType="begin" w:fldLock="1"/>
            </w:r>
            <w:r w:rsidRPr="009F5F02">
              <w:rPr>
                <w:rFonts w:ascii="Times New Roman" w:eastAsia="Arial" w:hAnsi="Times New Roman" w:cs="Times New Roman"/>
                <w:color w:val="000000" w:themeColor="text1"/>
                <w:sz w:val="20"/>
                <w:szCs w:val="20"/>
              </w:rPr>
              <w:instrText>ADDIN CSL_CITATION {"citationItems":[{"id":"ITEM-1","itemData":{"DOI":"10.1002/2014GB004941","ISSN":"19449224","abstract":"©2015. American Geophysical Union. All Rights Reserved. CO &lt; inf &gt; 2 &lt; /inf &gt;  evasion from rivers (FCO &lt; inf &gt; 2 &lt; /inf &gt; ) is an important component of the global carbon budget. Here we present the first global maps of CO &lt; inf &gt; 2 &lt; /inf &gt;  partial pressures (pCO &lt; inf &gt; 2 &lt; /inf &gt; ) in rivers of stream orders 3 and higher and the resulting FCO &lt; inf &gt; 2 &lt; /inf &gt;  at 0.5° resolution constructed with a statistical model. A geographic information system based approach is used to derive a pCO &lt; inf &gt; 2 &lt; /inf &gt;  prediction function trained on data from 1182 sampling locations. While data from Asia and Africa are scarce and the training data set is dominated by sampling locations from the Americas, Europe, and Australia, the sampling locations cover the full spectrum from high to low latitudes. The predictors of pCO &lt; inf &gt; 2 &lt; /inf &gt;  are net primary production, population density, and slope gradient within the river catchment as well as mean air temperature at the sampling location (r &lt; sup &gt; 2 &lt; /sup &gt;  = 0.47). The predicted pCO &lt; inf &gt; 2 &lt; /inf &gt;  map was then combined with spatially explicit estimates of stream surface area A &lt; inf &gt; river &lt; /inf &gt;  and gas exchange velocity k calculated from published empirical equations and data sets to derive the FCO &lt; inf &gt; 2 &lt; /inf &gt;  map. Using Monte Carlo simulations, we assessed the uncertainties of our estimates. At the global scale, we estimate an average river pCO &lt; inf &gt; 2 &lt; /inf &gt;  of 2400 (2019-2826) μatm and a FCO &lt; inf &gt; 2 &lt; /inf &gt;  of 650 (483-846) Tg C yr &lt; sup &gt; -1 &lt; /sup &gt;  (5th and 95th percentiles of confidence interval). Our global CO &lt; inf &gt; 2 &lt; /inf &gt;  evasion is substantially lower than the recent estimate of 1800 Tg C yr &lt; sup &gt; -1 &lt; /sup &gt;  although the training set of pCO &lt; inf &gt; 2 &lt; /inf &gt;  is very similar in both studies, mainly due to lower tropical pCO &lt; inf &gt; 2 &lt; /inf &gt;  estimates in the present study. Our maps reveal strong latitudinal gradients in pCO &lt; inf &gt; 2 &lt; /inf &gt; , A &lt; inf &gt; river &lt; /inf &gt; , and FCO &lt; inf &gt; 2 &lt; /inf &gt; . The zone between 10°N and 10°S contributes about half of the global CO &lt; inf &gt; 2 &lt; /inf &gt;  evasion. Collection of pCO &lt; inf &gt; 2 &lt; /inf &gt;  data in this zone, in particular, for African and Southeast Asian rivers is a high priority to reduce uncertainty on FCO &lt; inf &gt; 2 &lt; /inf &gt; .","author":[{"dropping-particle":"","family":"Lauerwald","given":"R.","non-dropping-particle":"","parse-names":false,"suffix":""},{"dropping-particle":"","family":"Laruelle","given":"G.G.","non-dropping-particle":"","parse-names":false,"suffix":""},{"dropping-particle":"","family":"Hartmann","given":"J.","non-dropping-particle":"","parse-names":false,"suffix":""},{"dropping-particle":"","family":"Ciais","given":"P.","non-dropping-particle":"","parse-names":false,"suffix":""},{"dropping-particle":"","family":"Regnier","given":"P.A.G.","non-dropping-particle":"","parse-names":false,"suffix":""}],"container-title":"Global Biogeochemical Cycles","id":"ITEM-1","issue":"5","issued":{"date-parts":[["2015"]]},"title":"Spatial patterns in CO&amp;lt;inf&amp;gt;2&amp;lt;/inf&amp;gt; evasion from the global river network","type":"article-journal","volume":"29"},"uris":["http://www.mendeley.com/documents/?uuid=bcf366e5-e30c-3037-b8f0-fa10ad0b6bd5"]}],"mendeley":{"formattedCitation":"&lt;sup&gt;26&lt;/sup&gt;","plainTextFormattedCitation":"26","previouslyFormattedCitation":"&lt;sup&gt;26&lt;/sup&gt;"},"properties":{"noteIndex":0},"schema":"https://github.com/citation-style-language/schema/raw/master/csl-citation.json"}</w:instrText>
            </w:r>
            <w:r w:rsidRPr="009F5F02">
              <w:rPr>
                <w:rFonts w:ascii="Times New Roman" w:eastAsia="Arial" w:hAnsi="Times New Roman" w:cs="Times New Roman"/>
                <w:color w:val="000000" w:themeColor="text1"/>
                <w:sz w:val="20"/>
                <w:szCs w:val="20"/>
              </w:rPr>
              <w:fldChar w:fldCharType="separate"/>
            </w:r>
            <w:r w:rsidRPr="009F5F02">
              <w:rPr>
                <w:rFonts w:ascii="Times New Roman" w:eastAsia="Arial" w:hAnsi="Times New Roman" w:cs="Times New Roman"/>
                <w:noProof/>
                <w:color w:val="000000" w:themeColor="text1"/>
                <w:sz w:val="20"/>
                <w:szCs w:val="20"/>
              </w:rPr>
              <w:t>26</w:t>
            </w:r>
            <w:r w:rsidRPr="009F5F02">
              <w:rPr>
                <w:rFonts w:ascii="Times New Roman" w:eastAsia="Arial" w:hAnsi="Times New Roman" w:cs="Times New Roman"/>
                <w:color w:val="000000" w:themeColor="text1"/>
                <w:sz w:val="20"/>
                <w:szCs w:val="20"/>
              </w:rPr>
              <w:fldChar w:fldCharType="end"/>
            </w:r>
            <w:r w:rsidR="009F5F02">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50%</w:t>
            </w:r>
          </w:p>
        </w:tc>
      </w:tr>
      <w:tr w:rsidR="00F6749E" w:rsidRPr="00675DC9"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proofErr w:type="spellStart"/>
            <w:r w:rsidRPr="00675DC9">
              <w:rPr>
                <w:rFonts w:ascii="Times New Roman" w:eastAsia="Arial" w:hAnsi="Times New Roman" w:cs="Times New Roman"/>
                <w:color w:val="000000" w:themeColor="text1"/>
                <w:sz w:val="20"/>
                <w:szCs w:val="20"/>
              </w:rPr>
              <w:t>F</w:t>
            </w:r>
            <w:r w:rsidRPr="00675DC9">
              <w:rPr>
                <w:rFonts w:ascii="Times New Roman" w:eastAsia="Arial" w:hAnsi="Times New Roman" w:cs="Times New Roman"/>
                <w:color w:val="000000" w:themeColor="text1"/>
                <w:sz w:val="20"/>
                <w:szCs w:val="20"/>
                <w:vertAlign w:val="subscript"/>
              </w:rPr>
              <w:t>outgas</w:t>
            </w:r>
            <w:proofErr w:type="spellEnd"/>
            <w:r w:rsidRPr="00675DC9">
              <w:rPr>
                <w:rFonts w:ascii="Times New Roman" w:eastAsia="Arial" w:hAnsi="Times New Roman" w:cs="Times New Roman"/>
                <w:color w:val="000000" w:themeColor="text1"/>
                <w:sz w:val="20"/>
                <w:szCs w:val="20"/>
                <w:vertAlign w:val="subscript"/>
              </w:rPr>
              <w:t xml:space="preserve"> estuaries</w:t>
            </w:r>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15</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7</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lang w:val="fr-FR"/>
              </w:rPr>
            </w:pPr>
          </w:p>
          <w:p w:rsidR="00F6749E" w:rsidRPr="00675DC9" w:rsidRDefault="00F6749E" w:rsidP="00675DC9">
            <w:pPr>
              <w:widowControl w:val="0"/>
              <w:rPr>
                <w:rFonts w:ascii="Times New Roman" w:eastAsia="Arial" w:hAnsi="Times New Roman" w:cs="Times New Roman"/>
                <w:color w:val="000000" w:themeColor="text1"/>
                <w:sz w:val="20"/>
                <w:szCs w:val="20"/>
              </w:rPr>
            </w:pPr>
            <w:proofErr w:type="spellStart"/>
            <w:r w:rsidRPr="00675DC9">
              <w:rPr>
                <w:rFonts w:ascii="Times New Roman" w:eastAsia="Arial" w:hAnsi="Times New Roman" w:cs="Times New Roman"/>
                <w:color w:val="000000" w:themeColor="text1"/>
                <w:sz w:val="20"/>
                <w:szCs w:val="20"/>
                <w:lang w:val="fr-FR"/>
              </w:rPr>
              <w:t>Laruelle</w:t>
            </w:r>
            <w:proofErr w:type="spellEnd"/>
            <w:r w:rsidRPr="00675DC9">
              <w:rPr>
                <w:rFonts w:ascii="Times New Roman" w:eastAsia="Arial" w:hAnsi="Times New Roman" w:cs="Times New Roman"/>
                <w:color w:val="000000" w:themeColor="text1"/>
                <w:sz w:val="20"/>
                <w:szCs w:val="20"/>
                <w:lang w:val="fr-FR"/>
              </w:rPr>
              <w:t xml:space="preserve"> et al. </w:t>
            </w:r>
            <w:r w:rsidR="009F5F02">
              <w:rPr>
                <w:rFonts w:ascii="Times New Roman" w:eastAsia="Arial" w:hAnsi="Times New Roman" w:cs="Times New Roman"/>
                <w:color w:val="000000" w:themeColor="text1"/>
                <w:sz w:val="20"/>
                <w:szCs w:val="20"/>
                <w:lang w:val="fr-FR"/>
              </w:rPr>
              <w:t>[</w:t>
            </w:r>
            <w:r w:rsidRPr="009F5F02">
              <w:rPr>
                <w:rFonts w:ascii="Times New Roman" w:eastAsia="Arial" w:hAnsi="Times New Roman" w:cs="Times New Roman"/>
                <w:color w:val="000000" w:themeColor="text1"/>
                <w:sz w:val="20"/>
                <w:szCs w:val="20"/>
                <w:lang w:val="fr-FR"/>
              </w:rPr>
              <w:fldChar w:fldCharType="begin" w:fldLock="1"/>
            </w:r>
            <w:r w:rsidRPr="009F5F02">
              <w:rPr>
                <w:rFonts w:ascii="Times New Roman" w:eastAsia="Arial" w:hAnsi="Times New Roman" w:cs="Times New Roman"/>
                <w:color w:val="000000" w:themeColor="text1"/>
                <w:sz w:val="20"/>
                <w:szCs w:val="20"/>
                <w:lang w:val="fr-FR"/>
              </w:rPr>
              <w:instrText>ADDIN CSL_CITATION {"citationItems":[{"id":"ITEM-1","itemData":{"DOI":"10.5194/hess-17-2029-2013","ISSN":"1607-7938","author":[{"dropping-particle":"","family":"Laruelle","given":"G. G.","non-dropping-particle":"","parse-names":false,"suffix":""},{"dropping-particle":"","family":"Dürr","given":"H. H.","non-dropping-particle":"","parse-names":false,"suffix":""},{"dropping-particle":"","family":"Lauerwald","given":"R.","non-dropping-particle":"","parse-names":false,"suffix":""},{"dropping-particle":"","family":"Hartmann","given":"J.","non-dropping-particle":"","parse-names":false,"suffix":""},{"dropping-particle":"","family":"Slomp","given":"C. P.","non-dropping-particle":"","parse-names":false,"suffix":""},{"dropping-particle":"","family":"Goossens","given":"N.","non-dropping-particle":"","parse-names":false,"suffix":""},{"dropping-particle":"","family":"Regnier","given":"P. a. G.","non-dropping-particle":"","parse-names":false,"suffix":""}],"container-title":"Hydrology and Earth System Sciences","id":"ITEM-1","issue":"5","issued":{"date-parts":[["2013","5"]]},"page":"2029-2051","title":"Global multi-scale segmentation of continental and coastal waters from the watersheds to the continental margins","type":"article-journal","volume":"17"},"uris":["http://www.mendeley.com/documents/?uuid=f34065a6-b97b-4e8b-a953-1b41ee97ea4b"]}],"mendeley":{"formattedCitation":"&lt;sup&gt;74&lt;/sup&gt;","plainTextFormattedCitation":"74","previouslyFormattedCitation":"&lt;sup&gt;74&lt;/sup&gt;"},"properties":{"noteIndex":0},"schema":"https://github.com/citation-style-language/schema/raw/master/csl-citation.json"}</w:instrText>
            </w:r>
            <w:r w:rsidRPr="009F5F02">
              <w:rPr>
                <w:rFonts w:ascii="Times New Roman" w:eastAsia="Arial" w:hAnsi="Times New Roman" w:cs="Times New Roman"/>
                <w:color w:val="000000" w:themeColor="text1"/>
                <w:sz w:val="20"/>
                <w:szCs w:val="20"/>
                <w:lang w:val="fr-FR"/>
              </w:rPr>
              <w:fldChar w:fldCharType="separate"/>
            </w:r>
            <w:r w:rsidRPr="009F5F02">
              <w:rPr>
                <w:rFonts w:ascii="Times New Roman" w:eastAsia="Arial" w:hAnsi="Times New Roman" w:cs="Times New Roman"/>
                <w:noProof/>
                <w:color w:val="000000" w:themeColor="text1"/>
                <w:sz w:val="20"/>
                <w:szCs w:val="20"/>
                <w:lang w:val="fr-FR"/>
              </w:rPr>
              <w:t>74</w:t>
            </w:r>
            <w:r w:rsidRPr="009F5F02">
              <w:rPr>
                <w:rFonts w:ascii="Times New Roman" w:eastAsia="Arial" w:hAnsi="Times New Roman" w:cs="Times New Roman"/>
                <w:color w:val="000000" w:themeColor="text1"/>
                <w:sz w:val="20"/>
                <w:szCs w:val="20"/>
                <w:lang w:val="fr-FR"/>
              </w:rPr>
              <w:fldChar w:fldCharType="end"/>
            </w:r>
            <w:r w:rsidR="009F5F02">
              <w:rPr>
                <w:rFonts w:ascii="Times New Roman" w:eastAsia="Arial" w:hAnsi="Times New Roman" w:cs="Times New Roman"/>
                <w:color w:val="000000" w:themeColor="text1"/>
                <w:sz w:val="20"/>
                <w:szCs w:val="20"/>
                <w:lang w:val="fr-FR"/>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50%</w:t>
            </w:r>
          </w:p>
        </w:tc>
      </w:tr>
      <w:tr w:rsidR="00F6749E" w:rsidRPr="00675DC9"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r w:rsidRPr="00675DC9">
              <w:rPr>
                <w:rFonts w:ascii="Times New Roman" w:eastAsia="Arial" w:hAnsi="Times New Roman" w:cs="Times New Roman"/>
                <w:color w:val="000000" w:themeColor="text1"/>
                <w:sz w:val="20"/>
                <w:szCs w:val="20"/>
              </w:rPr>
              <w:lastRenderedPageBreak/>
              <w:t>NPP</w:t>
            </w:r>
            <w:r w:rsidRPr="00675DC9">
              <w:rPr>
                <w:rFonts w:ascii="Times New Roman" w:eastAsia="Arial" w:hAnsi="Times New Roman" w:cs="Times New Roman"/>
                <w:color w:val="000000" w:themeColor="text1"/>
                <w:sz w:val="20"/>
                <w:szCs w:val="20"/>
                <w:vertAlign w:val="subscript"/>
              </w:rPr>
              <w:t>MODIS</w:t>
            </w:r>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-10104</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2021</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 xml:space="preserve">Zhao et al. </w:t>
            </w:r>
            <w:r w:rsidR="009F5F02">
              <w:rPr>
                <w:rFonts w:ascii="Times New Roman" w:eastAsia="Arial" w:hAnsi="Times New Roman" w:cs="Times New Roman"/>
                <w:color w:val="000000" w:themeColor="text1"/>
                <w:sz w:val="20"/>
                <w:szCs w:val="20"/>
              </w:rPr>
              <w:t>[</w:t>
            </w:r>
            <w:r w:rsidRPr="009F5F02">
              <w:rPr>
                <w:rFonts w:ascii="Times New Roman" w:eastAsia="Arial" w:hAnsi="Times New Roman" w:cs="Times New Roman"/>
                <w:color w:val="000000" w:themeColor="text1"/>
                <w:sz w:val="20"/>
                <w:szCs w:val="20"/>
              </w:rPr>
              <w:fldChar w:fldCharType="begin" w:fldLock="1"/>
            </w:r>
            <w:r w:rsidRPr="009F5F02">
              <w:rPr>
                <w:rFonts w:ascii="Times New Roman" w:eastAsia="Arial" w:hAnsi="Times New Roman" w:cs="Times New Roman"/>
                <w:color w:val="000000" w:themeColor="text1"/>
                <w:sz w:val="20"/>
                <w:szCs w:val="20"/>
              </w:rPr>
              <w:instrText>ADDIN CSL_CITATION {"citationItems":[{"id":"ITEM-1","itemData":{"DOI":"10.1029/2004JG000004","ISBN":"0148-0227","ISSN":"0148-0227","abstract":"The Moderate Resolution Imaging Spectroradiometer (MODIS) on board NASA's satellites, Terra and Aqua, dramatically improves our ability to accurately and continuously monitor the terrestrial biosphere. MODIS information is used to estimate global terrestrial primary production weekly and annually in near-real time at a 1-km resolution. MODIS terrestrial primary production requires daily gridded assimilation meteorological data as inputs, and the accuracy of the existing meteorological reanalysis data sets show marked differences both spatially and temporally. This study compares surface meteorological data sets from three well-documented global reanalyses, NASA Data Assimilation Office (DAO), European Centre for Medium-Range Weather Forecasts (ECMWF) (ERA-40) and National Centers for Environmental Prediction/National Center for Atmospheric Research (NCEP/NCAR) reanalysis 1, with observed weather station data and other gridded data interpolated from the observations, to evaluate the sensitivity of MODIS global terrestrial gross and net primary production (GPP and NPP) to the uncertainties of meteorological inputs both in the United States and the global vegetated areas. NCEP tends to overestimate surface solar radiation, and underestimate both temperature and vapor pressure deficit (VPD). ECMWF has the highest accuracy but its radiation is lower in tropical regions, and the accuracy of DAO lies between NCEP and ECMWF. Biases in temperature are mainly responsible for large VPD biases in reanalyses. MODIS NPP contains more uncertainties than GPP. Global total MODIS GPP and NPP driven by DAO, ECMWF, and NCEP show notable differences (&gt;20 Pg C/yr) with the highest estimates from NCEP and the lowest from ECMWF. Again, the DAO results lie somewhere between NCEP and ECMWF estimates. Spatially, the larger discrepancies among reanalyses and their derived MODIS GPP and NPP occur in the tropics. These results reveal that the biases in meteorological reanalyses can introduce substantial error into GPP and NPP estimations, and emphasize the need to minimize these biases to improve the quality of MODIS GPP and NPP products.","author":[{"dropping-particle":"","family":"Zhao","given":"Maosheng","non-dropping-particle":"","parse-names":false,"suffix":""},{"dropping-particle":"","family":"Running","given":"Steven W.","non-dropping-particle":"","parse-names":false,"suffix":""},{"dropping-particle":"","family":"Nemani","given":"Ramakrishna R.","non-dropping-particle":"","parse-names":false,"suffix":""}],"container-title":"Journal of Geophysical Research","id":"ITEM-1","issue":"G1","issued":{"date-parts":[["2006"]]},"page":"G01002","title":"Sensitivity of Moderate Resolution Imaging Spectroradiometer (MODIS) terrestrial primary production to the accuracy of meteorological reanalyses","type":"article-journal","volume":"111"},"uris":["http://www.mendeley.com/documents/?uuid=de26ed4f-683f-4acf-b548-fd2275a66e2d"]}],"mendeley":{"formattedCitation":"&lt;sup&gt;85&lt;/sup&gt;","plainTextFormattedCitation":"85","previouslyFormattedCitation":"&lt;sup&gt;85&lt;/sup&gt;"},"properties":{"noteIndex":0},"schema":"https://github.com/citation-style-language/schema/raw/master/csl-citation.json"}</w:instrText>
            </w:r>
            <w:r w:rsidRPr="009F5F02">
              <w:rPr>
                <w:rFonts w:ascii="Times New Roman" w:eastAsia="Arial" w:hAnsi="Times New Roman" w:cs="Times New Roman"/>
                <w:color w:val="000000" w:themeColor="text1"/>
                <w:sz w:val="20"/>
                <w:szCs w:val="20"/>
              </w:rPr>
              <w:fldChar w:fldCharType="separate"/>
            </w:r>
            <w:r w:rsidRPr="009F5F02">
              <w:rPr>
                <w:rFonts w:ascii="Times New Roman" w:eastAsia="Arial" w:hAnsi="Times New Roman" w:cs="Times New Roman"/>
                <w:noProof/>
                <w:color w:val="000000" w:themeColor="text1"/>
                <w:sz w:val="20"/>
                <w:szCs w:val="20"/>
              </w:rPr>
              <w:t>85</w:t>
            </w:r>
            <w:r w:rsidRPr="009F5F02">
              <w:rPr>
                <w:rFonts w:ascii="Times New Roman" w:eastAsia="Arial" w:hAnsi="Times New Roman" w:cs="Times New Roman"/>
                <w:color w:val="000000" w:themeColor="text1"/>
                <w:sz w:val="20"/>
                <w:szCs w:val="20"/>
              </w:rPr>
              <w:fldChar w:fldCharType="end"/>
            </w:r>
            <w:r w:rsidR="009F5F02">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 xml:space="preserve">20% </w:t>
            </w:r>
          </w:p>
        </w:tc>
      </w:tr>
      <w:tr w:rsidR="00F6749E" w:rsidRPr="00675DC9"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r w:rsidRPr="00675DC9">
              <w:rPr>
                <w:rFonts w:ascii="Times New Roman" w:eastAsia="Arial" w:hAnsi="Times New Roman" w:cs="Times New Roman"/>
                <w:color w:val="000000" w:themeColor="text1"/>
                <w:sz w:val="20"/>
                <w:szCs w:val="20"/>
              </w:rPr>
              <w:t>NPP</w:t>
            </w:r>
            <w:r w:rsidRPr="00675DC9">
              <w:rPr>
                <w:rFonts w:ascii="Times New Roman" w:eastAsia="Arial" w:hAnsi="Times New Roman" w:cs="Times New Roman"/>
                <w:color w:val="000000" w:themeColor="text1"/>
                <w:sz w:val="20"/>
                <w:szCs w:val="20"/>
                <w:vertAlign w:val="subscript"/>
              </w:rPr>
              <w:t>BETHY</w:t>
            </w:r>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-11531</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2306</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Tum et al.</w:t>
            </w:r>
            <w:r w:rsidR="009F5F02">
              <w:rPr>
                <w:rFonts w:ascii="Times New Roman" w:eastAsia="Arial" w:hAnsi="Times New Roman" w:cs="Times New Roman"/>
                <w:color w:val="000000" w:themeColor="text1"/>
                <w:sz w:val="20"/>
                <w:szCs w:val="20"/>
              </w:rPr>
              <w:t xml:space="preserve"> [</w:t>
            </w:r>
            <w:r w:rsidRPr="009F5F02">
              <w:rPr>
                <w:rFonts w:ascii="Times New Roman" w:eastAsia="Arial" w:hAnsi="Times New Roman" w:cs="Times New Roman"/>
                <w:color w:val="000000" w:themeColor="text1"/>
                <w:sz w:val="20"/>
                <w:szCs w:val="20"/>
              </w:rPr>
              <w:fldChar w:fldCharType="begin" w:fldLock="1"/>
            </w:r>
            <w:r w:rsidRPr="009F5F02">
              <w:rPr>
                <w:rFonts w:ascii="Times New Roman" w:eastAsia="Arial" w:hAnsi="Times New Roman" w:cs="Times New Roman"/>
                <w:color w:val="000000" w:themeColor="text1"/>
                <w:sz w:val="20"/>
                <w:szCs w:val="20"/>
              </w:rPr>
              <w:instrText>ADDIN CSL_CITATION {"citationItems":[{"id":"ITEM-1","itemData":{"DOI":"10.5194/gmd-6-1623-2013","ISSN":"1991-9603","abstract":"&lt;p&gt;&lt;p&gt;&lt;strong&gt;Abstract.&lt;/strong&gt; In this study we compare monthly gross primary productivity (GPP) time series (2000–2007), computed for Europe with the Biosphere Energy Transfer Hydrology (BETHY/DLR) model with monthly data from the eddy covariance measurements network FLUXNET. BETHY/DLR with a spatial resolution of 1 km&lt;sup&gt;2&lt;/sup&gt; is designed for regional and continental applications (here Europe) and operated at the German Aerospace Center (DLR). It was adapted from the BETHY scheme to be driven by remote sensing data (leaf area index (LAI) and land cover information) and meteorology. Time series of LAI obtained from the CYCLOPES database are used to control the phenology of vegetation. Meteorological time series from the European Centre for Medium-Range Weather Forecasts (ECMWF) are used as driver. These comprise daily information on temperature, precipitation, wind speed and radiation. Additionally, static maps such as land cover, elevation, and soil type are used. To validate our model results we used eddy covariance measurements from the FLUXNET network of 74 towers across Europe. For forest sites we found that our model predicts between 20 and 40% higher annual GPP sums. In contrast, for cropland sites BETHY/DLR results show about 18% less GPP than eddy covariance measurements. For grassland sites, between 10% more and 16% less GPP was calculated with BETHY/DLR. A mean total carbon uptake of 2.5 PgC a&lt;sup&gt;−1&lt;/sup&gt; (±0.17 PgC a&lt;sup&gt;−1&lt;/sup&gt;) was found for Europe. In addition, this study reports on risks that arise from the comparison of modelled data to FLUXNET measurements and their interpretation width. Furthermore we investigate reasons for uncertainties in model results and focus here on &lt;i&gt;V&lt;/i&gt;&lt;sub&gt;max&lt;/sub&gt; values, and finally embed our results into a broader context of model validation studies published during the last years in order to evaluate differences or similarities in analysed error sources.&lt;/p&gt;&lt;/p&gt;","author":[{"dropping-particle":"","family":"Wißkirchen","given":"K.","non-dropping-particle":"","parse-names":false,"suffix":""},{"dropping-particle":"","family":"Tum","given":"M.","non-dropping-particle":"","parse-names":false,"suffix":""},{"dropping-particle":"","family":"Günther","given":"K. P.","non-dropping-particle":"","parse-names":false,"suffix":""},{"dropping-particle":"","family":"Niklaus","given":"M.","non-dropping-particle":"","parse-names":false,"suffix":""},{"dropping-particle":"","family":"Eisfelder","given":"C.","non-dropping-particle":"","parse-names":false,"suffix":""},{"dropping-particle":"","family":"Knorr","given":"W.","non-dropping-particle":"","parse-names":false,"suffix":""}],"container-title":"Geoscientific Model Development","id":"ITEM-1","issue":"5","issued":{"date-parts":[["2013","10","8"]]},"page":"1623-1640","title":"Quantifying the carbon uptake by vegetation for Europe on a 1 km&amp;amp;lt;sup&amp;amp;gt;2&amp;amp;lt;/sup&amp;amp;gt; resolution using a remote sensing driven vegetation model","type":"article-journal","volume":"6"},"uris":["http://www.mendeley.com/documents/?uuid=2a66f9b9-97fa-3434-9682-3dc7a55bd2e9"]}],"mendeley":{"formattedCitation":"&lt;sup&gt;23&lt;/sup&gt;","plainTextFormattedCitation":"23","previouslyFormattedCitation":"&lt;sup&gt;23&lt;/sup&gt;"},"properties":{"noteIndex":0},"schema":"https://github.com/citation-style-language/schema/raw/master/csl-citation.json"}</w:instrText>
            </w:r>
            <w:r w:rsidRPr="009F5F02">
              <w:rPr>
                <w:rFonts w:ascii="Times New Roman" w:eastAsia="Arial" w:hAnsi="Times New Roman" w:cs="Times New Roman"/>
                <w:color w:val="000000" w:themeColor="text1"/>
                <w:sz w:val="20"/>
                <w:szCs w:val="20"/>
              </w:rPr>
              <w:fldChar w:fldCharType="separate"/>
            </w:r>
            <w:r w:rsidRPr="009F5F02">
              <w:rPr>
                <w:rFonts w:ascii="Times New Roman" w:eastAsia="Arial" w:hAnsi="Times New Roman" w:cs="Times New Roman"/>
                <w:noProof/>
                <w:color w:val="000000" w:themeColor="text1"/>
                <w:sz w:val="20"/>
                <w:szCs w:val="20"/>
              </w:rPr>
              <w:t>23</w:t>
            </w:r>
            <w:r w:rsidRPr="009F5F02">
              <w:rPr>
                <w:rFonts w:ascii="Times New Roman" w:eastAsia="Arial" w:hAnsi="Times New Roman" w:cs="Times New Roman"/>
                <w:color w:val="000000" w:themeColor="text1"/>
                <w:sz w:val="20"/>
                <w:szCs w:val="20"/>
              </w:rPr>
              <w:fldChar w:fldCharType="end"/>
            </w:r>
            <w:r w:rsidR="009F5F02">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20%</w:t>
            </w:r>
          </w:p>
        </w:tc>
      </w:tr>
      <w:tr w:rsidR="00F6749E" w:rsidRPr="00675DC9"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r w:rsidRPr="00675DC9">
              <w:rPr>
                <w:rFonts w:ascii="Times New Roman" w:eastAsia="Arial" w:hAnsi="Times New Roman" w:cs="Times New Roman"/>
                <w:color w:val="000000" w:themeColor="text1"/>
                <w:sz w:val="20"/>
                <w:szCs w:val="20"/>
              </w:rPr>
              <w:t>NPP</w:t>
            </w:r>
            <w:r w:rsidRPr="00675DC9">
              <w:rPr>
                <w:rFonts w:ascii="Times New Roman" w:eastAsia="Arial" w:hAnsi="Times New Roman" w:cs="Times New Roman"/>
                <w:color w:val="000000" w:themeColor="text1"/>
                <w:sz w:val="20"/>
                <w:szCs w:val="20"/>
                <w:vertAlign w:val="subscript"/>
              </w:rPr>
              <w:t>GIMMS</w:t>
            </w:r>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-10546</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2109</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Kolby Smith et al.</w:t>
            </w:r>
            <w:r w:rsidR="009F5F02">
              <w:rPr>
                <w:rFonts w:ascii="Times New Roman" w:eastAsia="Arial" w:hAnsi="Times New Roman" w:cs="Times New Roman"/>
                <w:color w:val="000000" w:themeColor="text1"/>
                <w:sz w:val="20"/>
                <w:szCs w:val="20"/>
              </w:rPr>
              <w:t xml:space="preserve"> [</w:t>
            </w:r>
            <w:r w:rsidRPr="009F5F02">
              <w:rPr>
                <w:rFonts w:ascii="Times New Roman" w:eastAsia="Arial" w:hAnsi="Times New Roman" w:cs="Times New Roman"/>
                <w:color w:val="000000" w:themeColor="text1"/>
                <w:sz w:val="20"/>
                <w:szCs w:val="20"/>
              </w:rPr>
              <w:fldChar w:fldCharType="begin" w:fldLock="1"/>
            </w:r>
            <w:r w:rsidRPr="009F5F02">
              <w:rPr>
                <w:rFonts w:ascii="Times New Roman" w:eastAsia="Arial" w:hAnsi="Times New Roman" w:cs="Times New Roman"/>
                <w:color w:val="000000" w:themeColor="text1"/>
                <w:sz w:val="20"/>
                <w:szCs w:val="20"/>
              </w:rPr>
              <w:instrText>ADDIN CSL_CITATION {"citationItems":[{"id":"ITEM-1","itemData":{"author":[{"dropping-particle":"","family":"Kolby Smith","given":"W","non-dropping-particle":"","parse-names":false,"suffix":""},{"dropping-particle":"","family":"Reed","given":"Sasha C","non-dropping-particle":"","parse-names":false,"suffix":""},{"dropping-particle":"","family":"Cleveland","given":"Cory C","non-dropping-particle":"","parse-names":false,"suffix":""},{"dropping-particle":"","family":"Ballantyne","given":"Ashley P","non-dropping-particle":"","parse-names":false,"suffix":""},{"dropping-particle":"","family":"Anderegg","given":"William R L","non-dropping-particle":"","parse-names":false,"suffix":""},{"dropping-particle":"","family":"Wieder","given":"William R","non-dropping-particle":"","parse-names":false,"suffix":""},{"dropping-particle":"","family":"Liu","given":"Yi Y","non-dropping-particle":"","parse-names":false,"suffix":""},{"dropping-particle":"","family":"Running","given":"Steven W","non-dropping-particle":"","parse-names":false,"suffix":""}],"container-title":"Nature Climate Change","id":"ITEM-1","issued":{"date-parts":[["2015","12","7"]]},"page":"306","publisher":"Nature Publishing Group","title":"Large divergence of satellite and Earth system model estimates of global terrestrial CO2 fertilization","type":"article-journal","volume":"6"},"uris":["http://www.mendeley.com/documents/?uuid=61d003ae-325e-49c5-adc9-b80e731e237f"]}],"mendeley":{"formattedCitation":"&lt;sup&gt;24&lt;/sup&gt;","plainTextFormattedCitation":"24","previouslyFormattedCitation":"&lt;sup&gt;24&lt;/sup&gt;"},"properties":{"noteIndex":0},"schema":"https://github.com/citation-style-language/schema/raw/master/csl-citation.json"}</w:instrText>
            </w:r>
            <w:r w:rsidRPr="009F5F02">
              <w:rPr>
                <w:rFonts w:ascii="Times New Roman" w:eastAsia="Arial" w:hAnsi="Times New Roman" w:cs="Times New Roman"/>
                <w:color w:val="000000" w:themeColor="text1"/>
                <w:sz w:val="20"/>
                <w:szCs w:val="20"/>
              </w:rPr>
              <w:fldChar w:fldCharType="separate"/>
            </w:r>
            <w:r w:rsidRPr="009F5F02">
              <w:rPr>
                <w:rFonts w:ascii="Times New Roman" w:eastAsia="Arial" w:hAnsi="Times New Roman" w:cs="Times New Roman"/>
                <w:noProof/>
                <w:color w:val="000000" w:themeColor="text1"/>
                <w:sz w:val="20"/>
                <w:szCs w:val="20"/>
              </w:rPr>
              <w:t>24</w:t>
            </w:r>
            <w:r w:rsidRPr="009F5F02">
              <w:rPr>
                <w:rFonts w:ascii="Times New Roman" w:eastAsia="Arial" w:hAnsi="Times New Roman" w:cs="Times New Roman"/>
                <w:color w:val="000000" w:themeColor="text1"/>
                <w:sz w:val="20"/>
                <w:szCs w:val="20"/>
              </w:rPr>
              <w:fldChar w:fldCharType="end"/>
            </w:r>
            <w:r w:rsidR="009F5F02">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20%</w:t>
            </w:r>
          </w:p>
        </w:tc>
      </w:tr>
      <w:tr w:rsidR="00F6749E" w:rsidRPr="00675DC9" w:rsidTr="009F5F02">
        <w:trPr>
          <w:trHeight w:val="600"/>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vertAlign w:val="subscript"/>
              </w:rPr>
            </w:pPr>
            <w:r w:rsidRPr="00675DC9">
              <w:rPr>
                <w:rFonts w:ascii="Times New Roman" w:eastAsia="Arial" w:hAnsi="Times New Roman" w:cs="Times New Roman"/>
                <w:color w:val="000000" w:themeColor="text1"/>
                <w:sz w:val="20"/>
                <w:szCs w:val="20"/>
              </w:rPr>
              <w:t>NPP</w:t>
            </w:r>
            <w:r w:rsidRPr="00675DC9">
              <w:rPr>
                <w:rFonts w:ascii="Times New Roman" w:eastAsia="Arial" w:hAnsi="Times New Roman" w:cs="Times New Roman"/>
                <w:color w:val="000000" w:themeColor="text1"/>
                <w:sz w:val="20"/>
                <w:szCs w:val="20"/>
                <w:vertAlign w:val="subscript"/>
              </w:rPr>
              <w:t>CARDAMOM</w:t>
            </w:r>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-10931</w:t>
            </w:r>
          </w:p>
        </w:tc>
        <w:tc>
          <w:tcPr>
            <w:tcW w:w="283"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w:t>
            </w:r>
          </w:p>
        </w:tc>
        <w:tc>
          <w:tcPr>
            <w:tcW w:w="851"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3558</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 xml:space="preserve">Bloom et al. </w:t>
            </w:r>
            <w:r w:rsidR="009F5F02">
              <w:rPr>
                <w:rFonts w:ascii="Times New Roman" w:eastAsia="Arial" w:hAnsi="Times New Roman" w:cs="Times New Roman"/>
                <w:color w:val="000000" w:themeColor="text1"/>
                <w:sz w:val="20"/>
                <w:szCs w:val="20"/>
              </w:rPr>
              <w:t>[</w:t>
            </w:r>
            <w:r w:rsidRPr="009F5F02">
              <w:rPr>
                <w:rFonts w:ascii="Times New Roman" w:eastAsia="Arial" w:hAnsi="Times New Roman" w:cs="Times New Roman"/>
                <w:color w:val="000000" w:themeColor="text1"/>
                <w:sz w:val="20"/>
                <w:szCs w:val="20"/>
              </w:rPr>
              <w:fldChar w:fldCharType="begin" w:fldLock="1"/>
            </w:r>
            <w:r w:rsidRPr="009F5F02">
              <w:rPr>
                <w:rFonts w:ascii="Times New Roman" w:eastAsia="Arial" w:hAnsi="Times New Roman" w:cs="Times New Roman"/>
                <w:color w:val="000000" w:themeColor="text1"/>
                <w:sz w:val="20"/>
                <w:szCs w:val="20"/>
              </w:rPr>
              <w:instrText>ADDIN CSL_CITATION {"citationItems":[{"id":"ITEM-1","itemData":{"DOI":"10.1073/pnas.1515160113","ISSN":"0027-8424","abstract":"Quantitative knowledge of terrestrial carbon pathways and processes is fundamental for understanding the biosphere{\\textquoteright}s response to a changing climate. Carbon allocation, stocks, and residence times together define the dynamic state of the terrestrial carbon cycle. These quantities are difficult to measure and remain poorly quantified on a global scale. Here, we retrieve global 1{\\textdegree} {\\texttimes} 1{\\textdegree} carbon state and process variables by combining a carbon balance model with satellite observations of biomass and leaf area (where and when available) and global soil carbon data. Our results reveal emergent continental-scale patterns and relationships between carbon states and processes. We find that conventional land cover types cannot capture continental-scale variations of retrieved carbon variables; this mismatch has strong implications for terrestrial carbon cycle predictions.The terrestrial carbon cycle is currently the least constrained component of the global carbon budget. Large uncertainties stem from a poor understanding of plant carbon allocation, stocks, residence times, and carbon use efficiency. Imposing observational constraints on the terrestrial carbon cycle and its processes is, therefore, necessary to better understand its current state and predict its future state. We combine a diagnostic ecosystem carbon model with satellite observations of leaf area and biomass (where and when available) and soil carbon data to retrieve the first global estimates, to our knowledge, of carbon cycle state and process variables at a 1{\\textdegree} {\\texttimes} 1{\\textdegree} resolution; retrieved variables are independent from the plant functional type and steady-state paradigms. Our results reveal global emergent relationships in the spatial distribution of key carbon cycle states and processes. Live biomass and dead organic carbon residence times exhibit contrasting spatial features (r = 0.3). Allocation to structural carbon is highest in the wet tropics (85{\\textendash}88%) in contrast to higher latitudes (73{\\textendash}82%), where allocation shifts toward photosynthetic carbon. Carbon use efficiency is lowest (0.42{\\textendash}0.44) in the wet tropics. We find an emergent global correlation between retrievals of leaf mass per leaf area and leaf lifespan (r = 0.64{\\textendash}0.80) that matches independent trait studies. We show that conventional land cover types cannot adequately describe the spatial variability of …","author":[{"dropping-particle":"","family":"Bloom","given":"A Anthony","non-dropping-particle":"","parse-names":false,"suffix":""},{"dropping-particle":"","family":"Exbrayat","given":"Jean-François","non-dropping-particle":"","parse-names":false,"suffix":""},{"dropping-particle":"","family":"Velde","given":"Ivar R","non-dropping-particle":"van der","parse-names":false,"suffix":""},{"dropping-particle":"","family":"Feng","given":"Liang","non-dropping-particle":"","parse-names":false,"suffix":""},{"dropping-particle":"","family":"Williams","given":"Mathew","non-dropping-particle":"","parse-names":false,"suffix":""}],"container-title":"Proceedings of the National Academy of Sciences","id":"ITEM-1","issue":"5","issued":{"date-parts":[["2016"]]},"page":"1285-1290","publisher":"National Academy of Sciences","title":"The decadal state of the terrestrial carbon cycle: Global retrievals of terrestrial carbon allocation, pools, and residence times","type":"article-journal","volume":"113"},"uris":["http://www.mendeley.com/documents/?uuid=6f80c03b-935a-4bff-b909-17256e12378d"]}],"mendeley":{"formattedCitation":"&lt;sup&gt;25&lt;/sup&gt;","plainTextFormattedCitation":"25","previouslyFormattedCitation":"&lt;sup&gt;25&lt;/sup&gt;"},"properties":{"noteIndex":0},"schema":"https://github.com/citation-style-language/schema/raw/master/csl-citation.json"}</w:instrText>
            </w:r>
            <w:r w:rsidRPr="009F5F02">
              <w:rPr>
                <w:rFonts w:ascii="Times New Roman" w:eastAsia="Arial" w:hAnsi="Times New Roman" w:cs="Times New Roman"/>
                <w:color w:val="000000" w:themeColor="text1"/>
                <w:sz w:val="20"/>
                <w:szCs w:val="20"/>
              </w:rPr>
              <w:fldChar w:fldCharType="separate"/>
            </w:r>
            <w:r w:rsidRPr="009F5F02">
              <w:rPr>
                <w:rFonts w:ascii="Times New Roman" w:eastAsia="Arial" w:hAnsi="Times New Roman" w:cs="Times New Roman"/>
                <w:noProof/>
                <w:color w:val="000000" w:themeColor="text1"/>
                <w:sz w:val="20"/>
                <w:szCs w:val="20"/>
              </w:rPr>
              <w:t>25</w:t>
            </w:r>
            <w:r w:rsidRPr="009F5F02">
              <w:rPr>
                <w:rFonts w:ascii="Times New Roman" w:eastAsia="Arial" w:hAnsi="Times New Roman" w:cs="Times New Roman"/>
                <w:color w:val="000000" w:themeColor="text1"/>
                <w:sz w:val="20"/>
                <w:szCs w:val="20"/>
              </w:rPr>
              <w:fldChar w:fldCharType="end"/>
            </w:r>
            <w:r w:rsidR="009F5F02">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20%</w:t>
            </w:r>
          </w:p>
        </w:tc>
      </w:tr>
      <w:tr w:rsidR="00F6749E" w:rsidRPr="00675DC9" w:rsidTr="009F5F02">
        <w:trPr>
          <w:trHeight w:val="432"/>
        </w:trPr>
        <w:tc>
          <w:tcPr>
            <w:tcW w:w="1815"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Soil Het. Resp.</w:t>
            </w:r>
          </w:p>
        </w:tc>
        <w:tc>
          <w:tcPr>
            <w:tcW w:w="727" w:type="dxa"/>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8274</w:t>
            </w:r>
          </w:p>
        </w:tc>
        <w:tc>
          <w:tcPr>
            <w:tcW w:w="1134" w:type="dxa"/>
            <w:gridSpan w:val="2"/>
            <w:tcMar>
              <w:top w:w="0" w:type="dxa"/>
              <w:left w:w="0" w:type="dxa"/>
              <w:bottom w:w="0" w:type="dxa"/>
              <w:right w:w="0" w:type="dxa"/>
            </w:tcMar>
            <w:vAlign w:val="center"/>
          </w:tcPr>
          <w:p w:rsidR="00F6749E" w:rsidRPr="00675DC9" w:rsidRDefault="00F6749E" w:rsidP="00675DC9">
            <w:pPr>
              <w:widowControl w:val="0"/>
              <w:jc w:val="center"/>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(6656,9959)</w:t>
            </w:r>
          </w:p>
        </w:tc>
        <w:tc>
          <w:tcPr>
            <w:tcW w:w="3544"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Equation (2)</w:t>
            </w:r>
          </w:p>
        </w:tc>
        <w:tc>
          <w:tcPr>
            <w:tcW w:w="1720" w:type="dxa"/>
            <w:shd w:val="clear" w:color="auto" w:fill="auto"/>
            <w:tcMar>
              <w:top w:w="100" w:type="dxa"/>
              <w:left w:w="100" w:type="dxa"/>
              <w:bottom w:w="100" w:type="dxa"/>
              <w:right w:w="100" w:type="dxa"/>
            </w:tcMar>
            <w:vAlign w:val="center"/>
          </w:tcPr>
          <w:p w:rsidR="00F6749E" w:rsidRPr="00675DC9" w:rsidRDefault="00F6749E" w:rsidP="00675DC9">
            <w:pPr>
              <w:widowControl w:val="0"/>
              <w:rPr>
                <w:rFonts w:ascii="Times New Roman" w:eastAsia="Arial" w:hAnsi="Times New Roman" w:cs="Times New Roman"/>
                <w:color w:val="000000" w:themeColor="text1"/>
                <w:sz w:val="20"/>
                <w:szCs w:val="20"/>
              </w:rPr>
            </w:pPr>
            <w:r w:rsidRPr="00675DC9">
              <w:rPr>
                <w:rFonts w:ascii="Times New Roman" w:eastAsia="Arial" w:hAnsi="Times New Roman" w:cs="Times New Roman"/>
                <w:color w:val="000000" w:themeColor="text1"/>
                <w:sz w:val="20"/>
                <w:szCs w:val="20"/>
              </w:rPr>
              <w:t>Inter-quartile from Monte Carlo</w:t>
            </w:r>
            <w:r w:rsidR="00675DC9">
              <w:rPr>
                <w:rFonts w:ascii="Times New Roman" w:eastAsia="Arial" w:hAnsi="Times New Roman" w:cs="Times New Roman"/>
                <w:color w:val="000000" w:themeColor="text1"/>
                <w:sz w:val="20"/>
                <w:szCs w:val="20"/>
              </w:rPr>
              <w:t xml:space="preserve"> </w:t>
            </w:r>
            <w:r w:rsidRPr="00675DC9">
              <w:rPr>
                <w:rFonts w:ascii="Times New Roman" w:eastAsia="Arial" w:hAnsi="Times New Roman" w:cs="Times New Roman"/>
                <w:color w:val="000000" w:themeColor="text1"/>
                <w:sz w:val="20"/>
                <w:szCs w:val="20"/>
              </w:rPr>
              <w:t>(</w:t>
            </w:r>
            <w:r w:rsidR="00675DC9">
              <w:rPr>
                <w:rFonts w:ascii="Times New Roman" w:eastAsia="Arial" w:hAnsi="Times New Roman" w:cs="Times New Roman"/>
                <w:color w:val="000000" w:themeColor="text1"/>
                <w:sz w:val="20"/>
                <w:szCs w:val="20"/>
              </w:rPr>
              <w:t>M</w:t>
            </w:r>
            <w:r w:rsidRPr="00675DC9">
              <w:rPr>
                <w:rFonts w:ascii="Times New Roman" w:eastAsia="Arial" w:hAnsi="Times New Roman" w:cs="Times New Roman"/>
                <w:color w:val="000000" w:themeColor="text1"/>
                <w:sz w:val="20"/>
                <w:szCs w:val="20"/>
              </w:rPr>
              <w:t>ethods)</w:t>
            </w:r>
          </w:p>
        </w:tc>
      </w:tr>
    </w:tbl>
    <w:p w:rsidR="00F6749E" w:rsidRPr="00675DC9" w:rsidRDefault="00F6749E" w:rsidP="00F6749E">
      <w:pPr>
        <w:rPr>
          <w:rFonts w:ascii="Times New Roman" w:eastAsia="Arial" w:hAnsi="Times New Roman" w:cs="Times New Roman"/>
          <w:color w:val="000000" w:themeColor="text1"/>
          <w:sz w:val="20"/>
          <w:szCs w:val="20"/>
        </w:rPr>
      </w:pPr>
    </w:p>
    <w:p w:rsidR="00F6749E" w:rsidRPr="00675DC9" w:rsidRDefault="009F5F02" w:rsidP="009F5F02">
      <w:pPr>
        <w:ind w:left="425" w:hanging="425"/>
        <w:rPr>
          <w:rFonts w:ascii="Times New Roman" w:eastAsia="Arial" w:hAnsi="Times New Roman" w:cs="Times New Roman"/>
          <w:color w:val="000000" w:themeColor="text1"/>
          <w:sz w:val="20"/>
          <w:szCs w:val="20"/>
        </w:rPr>
      </w:pPr>
      <w:r>
        <w:rPr>
          <w:rFonts w:ascii="Times New Roman" w:eastAsia="Arial Unicode MS" w:hAnsi="Times New Roman" w:cs="Times New Roman"/>
          <w:color w:val="000000" w:themeColor="text1"/>
          <w:sz w:val="20"/>
          <w:szCs w:val="20"/>
        </w:rPr>
        <w:t>a</w:t>
      </w:r>
      <w:r w:rsidR="00F6749E" w:rsidRPr="00675DC9">
        <w:rPr>
          <w:rFonts w:ascii="Times New Roman" w:eastAsia="Arial Unicode MS" w:hAnsi="Times New Roman" w:cs="Times New Roman"/>
          <w:color w:val="000000" w:themeColor="text1"/>
          <w:sz w:val="20"/>
          <w:szCs w:val="20"/>
        </w:rPr>
        <w:tab/>
        <w:t xml:space="preserve">∆C biomass for intact forest from Pan et al. Science 2011  and land use ∆C from </w:t>
      </w:r>
      <w:proofErr w:type="spellStart"/>
      <w:r w:rsidR="00F6749E" w:rsidRPr="00675DC9">
        <w:rPr>
          <w:rFonts w:ascii="Times New Roman" w:eastAsia="Arial Unicode MS" w:hAnsi="Times New Roman" w:cs="Times New Roman"/>
          <w:color w:val="000000" w:themeColor="text1"/>
          <w:sz w:val="20"/>
          <w:szCs w:val="20"/>
        </w:rPr>
        <w:t>Valentini</w:t>
      </w:r>
      <w:proofErr w:type="spellEnd"/>
      <w:r w:rsidR="00F6749E" w:rsidRPr="00675DC9">
        <w:rPr>
          <w:rFonts w:ascii="Times New Roman" w:eastAsia="Arial Unicode MS" w:hAnsi="Times New Roman" w:cs="Times New Roman"/>
          <w:color w:val="000000" w:themeColor="text1"/>
          <w:sz w:val="20"/>
          <w:szCs w:val="20"/>
        </w:rPr>
        <w:t xml:space="preserve"> et al. + burial in lakes and reservoirs ∆C from </w:t>
      </w:r>
      <w:proofErr w:type="spellStart"/>
      <w:r w:rsidR="00F6749E" w:rsidRPr="00675DC9">
        <w:rPr>
          <w:rFonts w:ascii="Times New Roman" w:eastAsia="Arial Unicode MS" w:hAnsi="Times New Roman" w:cs="Times New Roman"/>
          <w:color w:val="000000" w:themeColor="text1"/>
          <w:sz w:val="20"/>
          <w:szCs w:val="20"/>
        </w:rPr>
        <w:t>Mendoca</w:t>
      </w:r>
      <w:proofErr w:type="spellEnd"/>
      <w:r w:rsidR="00F6749E" w:rsidRPr="00675DC9">
        <w:rPr>
          <w:rFonts w:ascii="Times New Roman" w:eastAsia="Arial Unicode MS" w:hAnsi="Times New Roman" w:cs="Times New Roman"/>
          <w:color w:val="000000" w:themeColor="text1"/>
          <w:sz w:val="20"/>
          <w:szCs w:val="20"/>
        </w:rPr>
        <w:t xml:space="preserve"> et al.</w:t>
      </w:r>
    </w:p>
    <w:p w:rsidR="00F6749E" w:rsidRPr="00675DC9" w:rsidRDefault="009F5F02" w:rsidP="009F5F02">
      <w:pPr>
        <w:ind w:left="425" w:hanging="425"/>
        <w:rPr>
          <w:rFonts w:ascii="Times New Roman" w:eastAsia="Arial" w:hAnsi="Times New Roman" w:cs="Times New Roman"/>
          <w:color w:val="000000" w:themeColor="text1"/>
          <w:sz w:val="20"/>
          <w:szCs w:val="20"/>
        </w:rPr>
      </w:pPr>
      <w:r>
        <w:rPr>
          <w:rFonts w:ascii="Times New Roman" w:eastAsia="Arial Unicode MS" w:hAnsi="Times New Roman" w:cs="Times New Roman"/>
          <w:color w:val="000000" w:themeColor="text1"/>
          <w:sz w:val="20"/>
          <w:szCs w:val="20"/>
        </w:rPr>
        <w:t>b</w:t>
      </w:r>
      <w:r w:rsidR="00F6749E" w:rsidRPr="00675DC9">
        <w:rPr>
          <w:rFonts w:ascii="Times New Roman" w:eastAsia="Arial Unicode MS" w:hAnsi="Times New Roman" w:cs="Times New Roman"/>
          <w:color w:val="000000" w:themeColor="text1"/>
          <w:sz w:val="20"/>
          <w:szCs w:val="20"/>
        </w:rPr>
        <w:tab/>
        <w:t>Pan et al. ∆C-biomass and litter + LUC ∆C + burial ∆C uncertainties added in quadrature</w:t>
      </w:r>
    </w:p>
    <w:p w:rsidR="00F6749E" w:rsidRPr="00675DC9" w:rsidRDefault="009F5F02" w:rsidP="009F5F02">
      <w:pPr>
        <w:ind w:left="425" w:hanging="425"/>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c</w:t>
      </w:r>
      <w:r w:rsidR="00F6749E" w:rsidRPr="00675DC9">
        <w:rPr>
          <w:rFonts w:ascii="Times New Roman" w:eastAsia="Arial" w:hAnsi="Times New Roman" w:cs="Times New Roman"/>
          <w:color w:val="000000" w:themeColor="text1"/>
          <w:sz w:val="20"/>
          <w:szCs w:val="20"/>
        </w:rPr>
        <w:tab/>
        <w:t xml:space="preserve">River C transport to estuaries and estuaries C outgassing are both assumed a relative uncertainty of 50%. The total error on </w:t>
      </w:r>
      <w:proofErr w:type="spellStart"/>
      <w:r w:rsidR="00F6749E" w:rsidRPr="00675DC9">
        <w:rPr>
          <w:rFonts w:ascii="Times New Roman" w:eastAsia="Arial" w:hAnsi="Times New Roman" w:cs="Times New Roman"/>
          <w:color w:val="000000" w:themeColor="text1"/>
          <w:sz w:val="20"/>
          <w:szCs w:val="20"/>
        </w:rPr>
        <w:t>F</w:t>
      </w:r>
      <w:r w:rsidR="00F6749E" w:rsidRPr="00675DC9">
        <w:rPr>
          <w:rFonts w:ascii="Times New Roman" w:eastAsia="Arial" w:hAnsi="Times New Roman" w:cs="Times New Roman"/>
          <w:color w:val="000000" w:themeColor="text1"/>
          <w:sz w:val="20"/>
          <w:szCs w:val="20"/>
          <w:vertAlign w:val="subscript"/>
        </w:rPr>
        <w:t>rivers</w:t>
      </w:r>
      <w:proofErr w:type="spellEnd"/>
      <w:r w:rsidR="00F6749E" w:rsidRPr="00675DC9">
        <w:rPr>
          <w:rFonts w:ascii="Times New Roman" w:eastAsia="Arial" w:hAnsi="Times New Roman" w:cs="Times New Roman"/>
          <w:color w:val="000000" w:themeColor="text1"/>
          <w:sz w:val="20"/>
          <w:szCs w:val="20"/>
          <w:vertAlign w:val="subscript"/>
        </w:rPr>
        <w:t xml:space="preserve"> </w:t>
      </w:r>
      <w:r w:rsidR="00F6749E" w:rsidRPr="00675DC9">
        <w:rPr>
          <w:rFonts w:ascii="Times New Roman" w:eastAsia="Arial" w:hAnsi="Times New Roman" w:cs="Times New Roman"/>
          <w:color w:val="000000" w:themeColor="text1"/>
          <w:sz w:val="20"/>
          <w:szCs w:val="20"/>
        </w:rPr>
        <w:t>is calculated by assuming these two terms have independent uncertainties</w:t>
      </w:r>
    </w:p>
    <w:p w:rsidR="00F6749E" w:rsidRPr="00675DC9" w:rsidRDefault="009F5F02" w:rsidP="009F5F02">
      <w:pPr>
        <w:ind w:left="425" w:hanging="425"/>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d</w:t>
      </w:r>
      <w:r w:rsidR="00F6749E" w:rsidRPr="00675DC9">
        <w:rPr>
          <w:rFonts w:ascii="Times New Roman" w:eastAsia="Arial" w:hAnsi="Times New Roman" w:cs="Times New Roman"/>
          <w:color w:val="000000" w:themeColor="text1"/>
          <w:sz w:val="20"/>
          <w:szCs w:val="20"/>
        </w:rPr>
        <w:tab/>
        <w:t>The total error on NEE</w:t>
      </w:r>
      <w:r w:rsidR="00F6749E" w:rsidRPr="00675DC9">
        <w:rPr>
          <w:rFonts w:ascii="Times New Roman" w:eastAsia="Arial" w:hAnsi="Times New Roman" w:cs="Times New Roman"/>
          <w:color w:val="000000" w:themeColor="text1"/>
          <w:sz w:val="20"/>
          <w:szCs w:val="20"/>
          <w:vertAlign w:val="subscript"/>
        </w:rPr>
        <w:t xml:space="preserve"> </w:t>
      </w:r>
      <w:r w:rsidR="00F6749E" w:rsidRPr="00675DC9">
        <w:rPr>
          <w:rFonts w:ascii="Times New Roman" w:eastAsia="Arial" w:hAnsi="Times New Roman" w:cs="Times New Roman"/>
          <w:color w:val="000000" w:themeColor="text1"/>
          <w:sz w:val="20"/>
          <w:szCs w:val="20"/>
        </w:rPr>
        <w:t xml:space="preserve">is calculated by assuming each  term of </w:t>
      </w:r>
      <w:r w:rsidRPr="00675DC9">
        <w:rPr>
          <w:rFonts w:ascii="Times New Roman" w:eastAsia="Arial" w:hAnsi="Times New Roman" w:cs="Times New Roman"/>
          <w:color w:val="000000" w:themeColor="text1"/>
          <w:sz w:val="20"/>
          <w:szCs w:val="20"/>
        </w:rPr>
        <w:t>Equation</w:t>
      </w:r>
      <w:r w:rsidR="00F6749E" w:rsidRPr="00675DC9">
        <w:rPr>
          <w:rFonts w:ascii="Times New Roman" w:eastAsia="Arial" w:hAnsi="Times New Roman" w:cs="Times New Roman"/>
          <w:color w:val="000000" w:themeColor="text1"/>
          <w:sz w:val="20"/>
          <w:szCs w:val="20"/>
        </w:rPr>
        <w:t xml:space="preserve"> (1)  have independent uncertainties</w:t>
      </w:r>
    </w:p>
    <w:p w:rsidR="00F6749E" w:rsidRPr="00675DC9" w:rsidRDefault="009F5F02" w:rsidP="009F5F02">
      <w:pPr>
        <w:ind w:left="425" w:hanging="425"/>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e</w:t>
      </w:r>
      <w:r w:rsidR="00F6749E" w:rsidRPr="00675DC9">
        <w:rPr>
          <w:rFonts w:ascii="Times New Roman" w:eastAsia="Arial" w:hAnsi="Times New Roman" w:cs="Times New Roman"/>
          <w:color w:val="000000" w:themeColor="text1"/>
          <w:sz w:val="20"/>
          <w:szCs w:val="20"/>
        </w:rPr>
        <w:tab/>
        <w:t>Uncertainty of 20% for wood products decay and estimated by Monte Carlo approach by Wang et al. for biomass burned in industry and power plants</w:t>
      </w:r>
    </w:p>
    <w:p w:rsidR="00F6749E" w:rsidRPr="00675DC9" w:rsidRDefault="009F5F02" w:rsidP="009F5F02">
      <w:pPr>
        <w:ind w:left="425" w:hanging="425"/>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f</w:t>
      </w:r>
      <w:r w:rsidR="00F6749E" w:rsidRPr="00675DC9">
        <w:rPr>
          <w:rFonts w:ascii="Times New Roman" w:eastAsia="Arial" w:hAnsi="Times New Roman" w:cs="Times New Roman"/>
          <w:color w:val="000000" w:themeColor="text1"/>
          <w:sz w:val="20"/>
          <w:szCs w:val="20"/>
        </w:rPr>
        <w:tab/>
      </w:r>
      <w:proofErr w:type="spellStart"/>
      <w:r w:rsidR="00F6749E" w:rsidRPr="00675DC9">
        <w:rPr>
          <w:rFonts w:ascii="Times New Roman" w:eastAsia="Arial" w:hAnsi="Times New Roman" w:cs="Times New Roman"/>
          <w:color w:val="000000" w:themeColor="text1"/>
          <w:sz w:val="20"/>
          <w:szCs w:val="20"/>
        </w:rPr>
        <w:t>F</w:t>
      </w:r>
      <w:r w:rsidR="00F6749E" w:rsidRPr="00675DC9">
        <w:rPr>
          <w:rFonts w:ascii="Times New Roman" w:eastAsia="Arial" w:hAnsi="Times New Roman" w:cs="Times New Roman"/>
          <w:color w:val="000000" w:themeColor="text1"/>
          <w:sz w:val="20"/>
          <w:szCs w:val="20"/>
          <w:vertAlign w:val="subscript"/>
        </w:rPr>
        <w:t>fires</w:t>
      </w:r>
      <w:proofErr w:type="spellEnd"/>
      <w:r w:rsidR="00F6749E" w:rsidRPr="00675DC9">
        <w:rPr>
          <w:rFonts w:ascii="Times New Roman" w:eastAsia="Arial" w:hAnsi="Times New Roman" w:cs="Times New Roman"/>
          <w:color w:val="000000" w:themeColor="text1"/>
          <w:sz w:val="20"/>
          <w:szCs w:val="20"/>
          <w:vertAlign w:val="subscript"/>
        </w:rPr>
        <w:t xml:space="preserve"> </w:t>
      </w:r>
      <w:r w:rsidR="00F6749E" w:rsidRPr="00675DC9">
        <w:rPr>
          <w:rFonts w:ascii="Times New Roman" w:eastAsia="Arial" w:hAnsi="Times New Roman" w:cs="Times New Roman"/>
          <w:color w:val="000000" w:themeColor="text1"/>
          <w:sz w:val="20"/>
          <w:szCs w:val="20"/>
        </w:rPr>
        <w:t>includes open fires and crop residues burning estimated from Wang et al.</w:t>
      </w:r>
    </w:p>
    <w:p w:rsidR="00F6749E" w:rsidRPr="00675DC9" w:rsidRDefault="009F5F02" w:rsidP="009F5F02">
      <w:pPr>
        <w:ind w:left="425" w:hanging="425"/>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g</w:t>
      </w:r>
      <w:r w:rsidR="00F6749E" w:rsidRPr="00675DC9">
        <w:rPr>
          <w:rFonts w:ascii="Times New Roman" w:eastAsia="Arial" w:hAnsi="Times New Roman" w:cs="Times New Roman"/>
          <w:color w:val="000000" w:themeColor="text1"/>
          <w:sz w:val="20"/>
          <w:szCs w:val="20"/>
        </w:rPr>
        <w:tab/>
        <w:t xml:space="preserve">From </w:t>
      </w:r>
      <w:proofErr w:type="spellStart"/>
      <w:r w:rsidR="00F6749E" w:rsidRPr="00675DC9">
        <w:rPr>
          <w:rFonts w:ascii="Times New Roman" w:eastAsia="Arial" w:hAnsi="Times New Roman" w:cs="Times New Roman"/>
          <w:color w:val="000000" w:themeColor="text1"/>
          <w:sz w:val="20"/>
          <w:szCs w:val="20"/>
        </w:rPr>
        <w:t>Valentini</w:t>
      </w:r>
      <w:proofErr w:type="spellEnd"/>
      <w:r w:rsidR="00F6749E" w:rsidRPr="00675DC9">
        <w:rPr>
          <w:rFonts w:ascii="Times New Roman" w:eastAsia="Arial" w:hAnsi="Times New Roman" w:cs="Times New Roman"/>
          <w:color w:val="000000" w:themeColor="text1"/>
          <w:sz w:val="20"/>
          <w:szCs w:val="20"/>
        </w:rPr>
        <w:t xml:space="preserve"> et al. their Table 11 based on Houghton bookkeeping model + an estimate of degradation carbon loss</w:t>
      </w:r>
    </w:p>
    <w:p w:rsidR="00F6749E" w:rsidRPr="00DA354E" w:rsidRDefault="00F6749E" w:rsidP="00F6749E">
      <w:pPr>
        <w:rPr>
          <w:rFonts w:ascii="Times New Roman" w:eastAsia="Calibri" w:hAnsi="Times New Roman" w:cs="Times New Roman"/>
          <w:color w:val="000000" w:themeColor="text1"/>
          <w:sz w:val="16"/>
          <w:szCs w:val="16"/>
        </w:rPr>
      </w:pPr>
      <w:r w:rsidRPr="00DA354E">
        <w:rPr>
          <w:rFonts w:ascii="Times New Roman" w:hAnsi="Times New Roman" w:cs="Times New Roman"/>
          <w:color w:val="000000" w:themeColor="text1"/>
        </w:rPr>
        <w:br w:type="page"/>
      </w: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630"/>
        <w:gridCol w:w="270"/>
        <w:gridCol w:w="750"/>
        <w:gridCol w:w="3755"/>
        <w:gridCol w:w="1720"/>
      </w:tblGrid>
      <w:tr w:rsidR="00F6749E" w:rsidRPr="00DA354E" w:rsidTr="00C26ED2">
        <w:trPr>
          <w:trHeight w:val="400"/>
        </w:trPr>
        <w:tc>
          <w:tcPr>
            <w:tcW w:w="8940" w:type="dxa"/>
            <w:gridSpan w:val="6"/>
            <w:shd w:val="clear" w:color="auto" w:fill="auto"/>
            <w:tcMar>
              <w:top w:w="100" w:type="dxa"/>
              <w:left w:w="100" w:type="dxa"/>
              <w:bottom w:w="100" w:type="dxa"/>
              <w:right w:w="100" w:type="dxa"/>
            </w:tcMar>
          </w:tcPr>
          <w:p w:rsidR="00F6749E" w:rsidRPr="00DA354E" w:rsidRDefault="00F6749E" w:rsidP="00C26ED2">
            <w:pPr>
              <w:widowControl w:val="0"/>
              <w:rPr>
                <w:rFonts w:ascii="Times New Roman" w:eastAsia="Arial" w:hAnsi="Times New Roman" w:cs="Times New Roman"/>
                <w:b/>
                <w:color w:val="000000" w:themeColor="text1"/>
              </w:rPr>
            </w:pPr>
            <w:r w:rsidRPr="00DA354E">
              <w:rPr>
                <w:rFonts w:ascii="Times New Roman" w:eastAsia="Arial" w:hAnsi="Times New Roman" w:cs="Times New Roman"/>
                <w:b/>
                <w:color w:val="000000" w:themeColor="text1"/>
              </w:rPr>
              <w:lastRenderedPageBreak/>
              <w:t>Australia</w:t>
            </w:r>
          </w:p>
        </w:tc>
      </w:tr>
      <w:tr w:rsidR="00F6749E" w:rsidRPr="0030560F" w:rsidTr="0030560F">
        <w:trPr>
          <w:trHeight w:val="400"/>
        </w:trPr>
        <w:tc>
          <w:tcPr>
            <w:tcW w:w="3465" w:type="dxa"/>
            <w:gridSpan w:val="4"/>
            <w:shd w:val="clear" w:color="auto" w:fill="auto"/>
            <w:tcMar>
              <w:top w:w="100" w:type="dxa"/>
              <w:left w:w="100" w:type="dxa"/>
              <w:bottom w:w="100" w:type="dxa"/>
              <w:right w:w="100" w:type="dxa"/>
            </w:tcMar>
            <w:vAlign w:val="center"/>
          </w:tcPr>
          <w:p w:rsidR="00F6749E" w:rsidRPr="0030560F" w:rsidRDefault="004A6EE9"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roofErr w:type="spellStart"/>
            <w:r w:rsidRPr="0030560F">
              <w:rPr>
                <w:rFonts w:ascii="Times New Roman" w:eastAsia="Arial" w:hAnsi="Times New Roman" w:cs="Times New Roman"/>
                <w:color w:val="000000" w:themeColor="text1"/>
                <w:sz w:val="20"/>
                <w:szCs w:val="20"/>
              </w:rPr>
              <w:t>TgC</w:t>
            </w:r>
            <w:proofErr w:type="spellEnd"/>
            <w:r w:rsidRPr="0030560F">
              <w:rPr>
                <w:rFonts w:ascii="Times New Roman" w:eastAsia="Arial" w:hAnsi="Times New Roman" w:cs="Times New Roman"/>
                <w:color w:val="000000" w:themeColor="text1"/>
                <w:sz w:val="20"/>
                <w:szCs w:val="20"/>
              </w:rPr>
              <w:t xml:space="preserve"> yr</w:t>
            </w:r>
            <w:r w:rsidRPr="0030560F">
              <w:rPr>
                <w:rFonts w:ascii="Times New Roman" w:eastAsia="Arial" w:hAnsi="Times New Roman" w:cs="Times New Roman"/>
                <w:color w:val="000000" w:themeColor="text1"/>
                <w:sz w:val="20"/>
                <w:szCs w:val="20"/>
                <w:vertAlign w:val="superscript"/>
              </w:rPr>
              <w:t>-1</w:t>
            </w:r>
            <w:r w:rsidRPr="0030560F">
              <w:rPr>
                <w:rFonts w:ascii="Times New Roman" w:eastAsia="Arial" w:hAnsi="Times New Roman" w:cs="Times New Roman"/>
                <w:color w:val="000000" w:themeColor="text1"/>
                <w:sz w:val="20"/>
                <w:szCs w:val="20"/>
              </w:rPr>
              <w:t>)</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Reference</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Uncertainty estimation</w:t>
            </w:r>
          </w:p>
        </w:tc>
      </w:tr>
      <w:tr w:rsidR="00F6749E" w:rsidRPr="0030560F" w:rsidTr="0030560F">
        <w:trPr>
          <w:trHeight w:val="600"/>
        </w:trPr>
        <w:tc>
          <w:tcPr>
            <w:tcW w:w="1815" w:type="dxa"/>
            <w:tcBorders>
              <w:top w:val="single" w:sz="8" w:space="0" w:color="000000"/>
              <w:left w:val="single" w:sz="8" w:space="0" w:color="000000"/>
              <w:bottom w:val="single" w:sz="8" w:space="0" w:color="000000"/>
            </w:tcBorders>
            <w:shd w:val="clear" w:color="auto" w:fill="FFFFFF"/>
            <w:vAlign w:val="center"/>
          </w:tcPr>
          <w:p w:rsidR="00F6749E" w:rsidRPr="0030560F" w:rsidRDefault="00F6749E" w:rsidP="0030560F">
            <w:pPr>
              <w:rPr>
                <w:rFonts w:ascii="Times New Roman" w:eastAsia="Arial" w:hAnsi="Times New Roman" w:cs="Times New Roman"/>
                <w:color w:val="000000" w:themeColor="text1"/>
                <w:sz w:val="20"/>
                <w:szCs w:val="20"/>
              </w:rPr>
            </w:pPr>
            <w:r w:rsidRPr="0030560F">
              <w:rPr>
                <w:rFonts w:ascii="Times New Roman" w:eastAsia="Arial Unicode MS" w:hAnsi="Times New Roman" w:cs="Times New Roman"/>
                <w:color w:val="000000" w:themeColor="text1"/>
                <w:sz w:val="20"/>
                <w:szCs w:val="20"/>
              </w:rPr>
              <w:t>∆C</w:t>
            </w:r>
          </w:p>
        </w:tc>
        <w:tc>
          <w:tcPr>
            <w:tcW w:w="630" w:type="dxa"/>
            <w:tcMar>
              <w:top w:w="0" w:type="dxa"/>
              <w:left w:w="0" w:type="dxa"/>
              <w:bottom w:w="0" w:type="dxa"/>
              <w:right w:w="0" w:type="dxa"/>
            </w:tcMar>
            <w:vAlign w:val="center"/>
          </w:tcPr>
          <w:p w:rsidR="00F6749E" w:rsidRPr="0030560F" w:rsidRDefault="00F6749E" w:rsidP="0030560F">
            <w:pPr>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-65</w:t>
            </w:r>
          </w:p>
        </w:tc>
        <w:tc>
          <w:tcPr>
            <w:tcW w:w="270" w:type="dxa"/>
            <w:tcMar>
              <w:top w:w="0" w:type="dxa"/>
              <w:left w:w="0" w:type="dxa"/>
              <w:bottom w:w="0" w:type="dxa"/>
              <w:right w:w="0" w:type="dxa"/>
            </w:tcMar>
            <w:vAlign w:val="center"/>
          </w:tcPr>
          <w:p w:rsidR="00F6749E" w:rsidRPr="0030560F" w:rsidRDefault="00F6749E" w:rsidP="0030560F">
            <w:pPr>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36</w:t>
            </w:r>
          </w:p>
        </w:tc>
        <w:tc>
          <w:tcPr>
            <w:tcW w:w="3755" w:type="dxa"/>
            <w:tcBorders>
              <w:top w:val="single" w:sz="8" w:space="0" w:color="000000"/>
              <w:bottom w:val="single" w:sz="8" w:space="0" w:color="000000"/>
              <w:right w:val="single" w:sz="8" w:space="0" w:color="000000"/>
            </w:tcBorders>
            <w:shd w:val="clear" w:color="auto" w:fill="FFFFFF"/>
            <w:vAlign w:val="center"/>
          </w:tcPr>
          <w:p w:rsidR="00F6749E" w:rsidRPr="0030560F" w:rsidRDefault="00F6749E" w:rsidP="0030560F">
            <w:pPr>
              <w:rPr>
                <w:rFonts w:ascii="Times New Roman" w:eastAsia="Arial" w:hAnsi="Times New Roman" w:cs="Times New Roman"/>
                <w:color w:val="000000" w:themeColor="text1"/>
                <w:sz w:val="20"/>
                <w:szCs w:val="20"/>
              </w:rPr>
            </w:pPr>
            <w:proofErr w:type="spellStart"/>
            <w:r w:rsidRPr="0030560F">
              <w:rPr>
                <w:rFonts w:ascii="Times New Roman" w:eastAsia="Arial" w:hAnsi="Times New Roman" w:cs="Times New Roman"/>
                <w:color w:val="000000" w:themeColor="text1"/>
                <w:sz w:val="20"/>
                <w:szCs w:val="20"/>
              </w:rPr>
              <w:t>Haverd</w:t>
            </w:r>
            <w:proofErr w:type="spellEnd"/>
            <w:r w:rsidRPr="0030560F">
              <w:rPr>
                <w:rFonts w:ascii="Times New Roman" w:eastAsia="Arial" w:hAnsi="Times New Roman" w:cs="Times New Roman"/>
                <w:color w:val="000000" w:themeColor="text1"/>
                <w:sz w:val="20"/>
                <w:szCs w:val="20"/>
              </w:rPr>
              <w:t xml:space="preserve"> et al.</w:t>
            </w:r>
            <w:r w:rsidR="0030560F">
              <w:rPr>
                <w:rFonts w:ascii="Times New Roman" w:eastAsia="Arial" w:hAnsi="Times New Roman" w:cs="Times New Roman"/>
                <w:color w:val="000000" w:themeColor="text1"/>
                <w:sz w:val="20"/>
                <w:szCs w:val="20"/>
              </w:rPr>
              <w:t xml:space="preserve"> [</w:t>
            </w:r>
            <w:r w:rsidRPr="0030560F">
              <w:rPr>
                <w:rFonts w:ascii="Times New Roman" w:eastAsia="Arial" w:hAnsi="Times New Roman" w:cs="Times New Roman"/>
                <w:color w:val="000000" w:themeColor="text1"/>
                <w:sz w:val="20"/>
                <w:szCs w:val="20"/>
              </w:rPr>
              <w:fldChar w:fldCharType="begin" w:fldLock="1"/>
            </w:r>
            <w:r w:rsidRPr="0030560F">
              <w:rPr>
                <w:rFonts w:ascii="Times New Roman" w:eastAsia="Arial" w:hAnsi="Times New Roman" w:cs="Times New Roman"/>
                <w:color w:val="000000" w:themeColor="text1"/>
                <w:sz w:val="20"/>
                <w:szCs w:val="20"/>
              </w:rPr>
              <w:instrText>ADDIN CSL_CITATION {"citationItems":[{"id":"ITEM-1","itemData":{"DOI":"10.5194/bg-10-851-2013","ISSN":"1726-4189","author":[{"dropping-particle":"","family":"Haverd","given":"V.","non-dropping-particle":"","parse-names":false,"suffix":""},{"dropping-particle":"","family":"Raupach","given":"M. R.","non-dropping-particle":"","parse-names":false,"suffix":""},{"dropping-particle":"","family":"Briggs","given":"P. R.","non-dropping-particle":"","parse-names":false,"suffix":""},{"dropping-particle":"","family":"Davis","given":"S. J.","non-dropping-particle":"","parse-names":false,"suffix":""},{"dropping-particle":"","family":"Law","given":"R. M.","non-dropping-particle":"","parse-names":false,"suffix":""},{"dropping-particle":"","family":"Meyer","given":"C. P.","non-dropping-particle":"","parse-names":false,"suffix":""},{"dropping-particle":"","family":"Peters","given":"G. P.","non-dropping-particle":"","parse-names":false,"suffix":""},{"dropping-particle":"","family":"Pickett-Heaps","given":"C.","non-dropping-particle":"","parse-names":false,"suffix":""},{"dropping-particle":"","family":"Sherman","given":"B.","non-dropping-particle":"","parse-names":false,"suffix":""}],"container-title":"Biogeosciences","id":"ITEM-1","issue":"2","issued":{"date-parts":[["2013","2"]]},"page":"851-869","title":"The Australian terrestrial carbon budget","type":"article-journal","volume":"10"},"uris":["http://www.mendeley.com/documents/?uuid=27a68784-4b1a-472b-a8ae-dc5c90e671a1"]}],"mendeley":{"formattedCitation":"&lt;sup&gt;15&lt;/sup&gt;","plainTextFormattedCitation":"15","previouslyFormattedCitation":"&lt;sup&gt;15&lt;/sup&gt;"},"properties":{"noteIndex":0},"schema":"https://github.com/citation-style-language/schema/raw/master/csl-citation.json"}</w:instrText>
            </w:r>
            <w:r w:rsidRPr="0030560F">
              <w:rPr>
                <w:rFonts w:ascii="Times New Roman" w:eastAsia="Arial" w:hAnsi="Times New Roman" w:cs="Times New Roman"/>
                <w:color w:val="000000" w:themeColor="text1"/>
                <w:sz w:val="20"/>
                <w:szCs w:val="20"/>
              </w:rPr>
              <w:fldChar w:fldCharType="separate"/>
            </w:r>
            <w:r w:rsidRPr="0030560F">
              <w:rPr>
                <w:rFonts w:ascii="Times New Roman" w:eastAsia="Arial" w:hAnsi="Times New Roman" w:cs="Times New Roman"/>
                <w:noProof/>
                <w:color w:val="000000" w:themeColor="text1"/>
                <w:sz w:val="20"/>
                <w:szCs w:val="20"/>
              </w:rPr>
              <w:t>15</w:t>
            </w:r>
            <w:r w:rsidRPr="0030560F">
              <w:rPr>
                <w:rFonts w:ascii="Times New Roman" w:eastAsia="Arial" w:hAnsi="Times New Roman" w:cs="Times New Roman"/>
                <w:color w:val="000000" w:themeColor="text1"/>
                <w:sz w:val="20"/>
                <w:szCs w:val="20"/>
              </w:rPr>
              <w:fldChar w:fldCharType="end"/>
            </w:r>
            <w:r w:rsidR="0030560F">
              <w:rPr>
                <w:rFonts w:ascii="Times New Roman" w:eastAsia="Arial" w:hAnsi="Times New Roman" w:cs="Times New Roman"/>
                <w:color w:val="000000" w:themeColor="text1"/>
                <w:sz w:val="20"/>
                <w:szCs w:val="20"/>
              </w:rPr>
              <w:t>]</w:t>
            </w:r>
            <w:r w:rsidRPr="0030560F">
              <w:rPr>
                <w:rFonts w:ascii="Times New Roman" w:eastAsia="Arial" w:hAnsi="Times New Roman" w:cs="Times New Roman"/>
                <w:color w:val="000000" w:themeColor="text1"/>
                <w:sz w:val="20"/>
                <w:szCs w:val="20"/>
              </w:rPr>
              <w:t xml:space="preserve">  </w:t>
            </w:r>
            <w:r w:rsidR="0030560F" w:rsidRPr="0030560F">
              <w:rPr>
                <w:rFonts w:ascii="Times New Roman" w:eastAsia="Arial" w:hAnsi="Times New Roman" w:cs="Times New Roman"/>
                <w:color w:val="000000" w:themeColor="text1"/>
                <w:sz w:val="20"/>
                <w:szCs w:val="20"/>
                <w:vertAlign w:val="superscript"/>
              </w:rPr>
              <w:t>a</w:t>
            </w:r>
          </w:p>
        </w:tc>
        <w:tc>
          <w:tcPr>
            <w:tcW w:w="172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proofErr w:type="spellStart"/>
            <w:r w:rsidRPr="0030560F">
              <w:rPr>
                <w:rFonts w:ascii="Times New Roman" w:eastAsia="Arial" w:hAnsi="Times New Roman" w:cs="Times New Roman"/>
                <w:color w:val="000000" w:themeColor="text1"/>
                <w:sz w:val="20"/>
                <w:szCs w:val="20"/>
              </w:rPr>
              <w:t>Haverd</w:t>
            </w:r>
            <w:proofErr w:type="spellEnd"/>
            <w:r w:rsidRPr="0030560F">
              <w:rPr>
                <w:rFonts w:ascii="Times New Roman" w:eastAsia="Arial" w:hAnsi="Times New Roman" w:cs="Times New Roman"/>
                <w:color w:val="000000" w:themeColor="text1"/>
                <w:sz w:val="20"/>
                <w:szCs w:val="20"/>
              </w:rPr>
              <w:t xml:space="preserve"> et al. </w:t>
            </w:r>
          </w:p>
        </w:tc>
      </w:tr>
      <w:tr w:rsidR="00F6749E" w:rsidRPr="0030560F" w:rsidTr="0030560F">
        <w:trPr>
          <w:trHeight w:val="369"/>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vertAlign w:val="subscript"/>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trade</w:t>
            </w:r>
            <w:proofErr w:type="spellEnd"/>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11</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2</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rPr>
                <w:rFonts w:ascii="Times New Roman" w:eastAsia="Arial" w:hAnsi="Times New Roman" w:cs="Times New Roman"/>
                <w:color w:val="000000" w:themeColor="text1"/>
                <w:sz w:val="20"/>
                <w:szCs w:val="20"/>
              </w:rPr>
            </w:pPr>
            <w:proofErr w:type="spellStart"/>
            <w:r w:rsidRPr="0030560F">
              <w:rPr>
                <w:rFonts w:ascii="Times New Roman" w:eastAsia="Arial" w:hAnsi="Times New Roman" w:cs="Times New Roman"/>
                <w:color w:val="000000" w:themeColor="text1"/>
                <w:sz w:val="20"/>
                <w:szCs w:val="20"/>
              </w:rPr>
              <w:t>Haverd</w:t>
            </w:r>
            <w:proofErr w:type="spellEnd"/>
            <w:r w:rsidRPr="0030560F">
              <w:rPr>
                <w:rFonts w:ascii="Times New Roman" w:eastAsia="Arial" w:hAnsi="Times New Roman" w:cs="Times New Roman"/>
                <w:color w:val="000000" w:themeColor="text1"/>
                <w:sz w:val="20"/>
                <w:szCs w:val="20"/>
              </w:rPr>
              <w:t xml:space="preserve"> et al.</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20%</w:t>
            </w:r>
          </w:p>
        </w:tc>
      </w:tr>
      <w:tr w:rsidR="00F6749E" w:rsidRPr="0030560F" w:rsidTr="0030560F">
        <w:trPr>
          <w:trHeight w:val="349"/>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vertAlign w:val="subscript"/>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rivers</w:t>
            </w:r>
            <w:proofErr w:type="spellEnd"/>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3</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5</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lang w:val="es-US"/>
              </w:rPr>
              <w:t>Mayorga et al.</w:t>
            </w:r>
            <w:r w:rsidR="0030560F">
              <w:rPr>
                <w:rFonts w:ascii="Times New Roman" w:eastAsia="Arial" w:hAnsi="Times New Roman" w:cs="Times New Roman"/>
                <w:color w:val="000000" w:themeColor="text1"/>
                <w:sz w:val="20"/>
                <w:szCs w:val="20"/>
                <w:lang w:val="es-US"/>
              </w:rPr>
              <w:t xml:space="preserve"> [</w:t>
            </w:r>
            <w:r w:rsidRPr="0030560F">
              <w:rPr>
                <w:rFonts w:ascii="Times New Roman" w:eastAsia="Arial" w:hAnsi="Times New Roman" w:cs="Times New Roman"/>
                <w:color w:val="000000" w:themeColor="text1"/>
                <w:sz w:val="20"/>
                <w:szCs w:val="20"/>
                <w:lang w:val="fr-FR"/>
              </w:rPr>
              <w:fldChar w:fldCharType="begin" w:fldLock="1"/>
            </w:r>
            <w:r w:rsidRPr="0030560F">
              <w:rPr>
                <w:rFonts w:ascii="Times New Roman" w:eastAsia="Arial" w:hAnsi="Times New Roman" w:cs="Times New Roman"/>
                <w:color w:val="000000" w:themeColor="text1"/>
                <w:sz w:val="20"/>
                <w:szCs w:val="20"/>
                <w:lang w:val="es-US"/>
              </w:rPr>
              <w:instrText>ADDIN CSL_CITATION {"citationItems":[{"id":"ITEM-1","itemData":{"DOI":"10.1038/nature12760","ISSN":"1476-4687","PMID":"24256802","abstract":"Carbon dioxide (CO2) transfer from inland waters to the atmosphere, known as CO2 evasion, is a component of the global carbon cycle. Global estimates of CO2 evasion have been hampered, however, by the lack of a framework for estimating the inland water surface area and gas transfer velocity and by the absence of a global CO2 database. Here we report regional variations in global inland water surface area, dissolved CO2 and gas transfer velocity. We obtain global CO2 evasion rates of 1.8(+0.25)(-0.25) petagrams of carbon (Pg C) per year from streams and rivers and 0.32(+0.52)(-0.26) Pg C yr(-1) from lakes and reservoirs, where the upper and lower limits are respectively the 5th and 95th confidence interval percentiles. The resulting global evasion rate of 2.1 Pg C yr(-1) is higher than previous estimates owing to a larger stream and river evasion rate. Our analysis predicts global hotspots in stream and river evasion, with about 70 per cent of the flux occurring over just 20 per cent of the land surface. The source of inland water CO2 is still not known with certainty and new studies are needed to research the mechanisms controlling CO2 evasion globally.","author":[{"dropping-particle":"","family":"Raymond","given":"Peter A","non-dropping-particle":"","parse-names":false,"suffix":""},{"dropping-particle":"","family":"Hartmann","given":"Jens","non-dropping-particle":"","parse-names":false,"suffix":""},{"dropping-particle":"","family":"Lauerwald","given":"Ronny","non-dropping-particle":"","parse-names":false,"suffix":""},{"dropping-particle":"","family":"Sobek","given":"Sebastian","non-dropping-particle":"","parse-names":false,"suffix":""},{"dropping-particle":"","family":"McDonald","given":"Cory","non-dropping-particle":"","parse-names":false,"suffix":""},{"dropping-particle":"","family":"Hoover","given":"Mark","non-dropping-particle":"","parse-names":false,"suffix":""},{"dropping-particle":"","family":"Butman","given":"David","non-dropping-particle":"","parse-names":false,"suffix":""},{"dropping-particle":"","family":"Striegl","given":"Robert","non-dropping-particle":"","parse-names":false,"suffix":""},{"dropping-particle":"","family":"Mayorga","given":"Emilio","non-dropping-particle":"","parse-names":false,"suffix":""},{"dropping-particle":"","family":"Humborg","given":"Christoph","non-dropping-particle":"","parse-names":false,"suffix":""},{"dropping-particle":"","family":"Kortelainen","given":"Pirkko","non-dropping-particle":"","parse-names":false,"suffix":""},{"dropping-particle":"","family":"Dürr","given":"Hans","non-dropping-particle":"","parse-names":false,"suffix":""},{"dropping-particle":"","family":"Meybeck","given":"Michel","non-dropping-particle":"","parse-names":false,"suffix":""},{"dropping-particle":"","family":"Ciais","given":"Philippe","non-dropping-particle":"","parse-names":false,"suffix":""},{"dropping-particle":"","family":"Guth","given":"Peter","non-dropping-particle":"","parse-names":false,"suffix":""}],"container-title":"Nature","id":"ITEM-1","issue":"7476","issued":{"date-parts":[["2013","11"]]},"page":"355-9","title":"Global carbon dioxide emissions from inland waters.","type":"article-journal","volume":"503"},"uris":["http://www.mendeley.com/documents/?uuid=eabd41ca-221a-48b7-bf3e-392e04532f97"]}],"mendeley":{"formattedCitation":"&lt;sup&gt;27&lt;/sup&gt;","plainTextFormattedCitation":"27","previouslyFormattedCitation":"&lt;sup&gt;27&lt;/sup&gt;"},"properties":{"noteIndex":0},"schema":"https://github.com/citation-style-language/schema/raw/master/csl-citation.json"}</w:instrText>
            </w:r>
            <w:r w:rsidRPr="0030560F">
              <w:rPr>
                <w:rFonts w:ascii="Times New Roman" w:eastAsia="Arial" w:hAnsi="Times New Roman" w:cs="Times New Roman"/>
                <w:color w:val="000000" w:themeColor="text1"/>
                <w:sz w:val="20"/>
                <w:szCs w:val="20"/>
                <w:lang w:val="fr-FR"/>
              </w:rPr>
              <w:fldChar w:fldCharType="separate"/>
            </w:r>
            <w:r w:rsidRPr="0030560F">
              <w:rPr>
                <w:rFonts w:ascii="Times New Roman" w:eastAsia="Arial" w:hAnsi="Times New Roman" w:cs="Times New Roman"/>
                <w:noProof/>
                <w:color w:val="000000" w:themeColor="text1"/>
                <w:sz w:val="20"/>
                <w:szCs w:val="20"/>
                <w:lang w:val="es-US"/>
              </w:rPr>
              <w:t>27</w:t>
            </w:r>
            <w:r w:rsidRPr="0030560F">
              <w:rPr>
                <w:rFonts w:ascii="Times New Roman" w:eastAsia="Arial" w:hAnsi="Times New Roman" w:cs="Times New Roman"/>
                <w:color w:val="000000" w:themeColor="text1"/>
                <w:sz w:val="20"/>
                <w:szCs w:val="20"/>
                <w:lang w:val="fr-FR"/>
              </w:rPr>
              <w:fldChar w:fldCharType="end"/>
            </w:r>
            <w:r w:rsidR="0030560F">
              <w:rPr>
                <w:rFonts w:ascii="Times New Roman" w:eastAsia="Arial" w:hAnsi="Times New Roman" w:cs="Times New Roman"/>
                <w:color w:val="000000" w:themeColor="text1"/>
                <w:sz w:val="20"/>
                <w:szCs w:val="20"/>
                <w:lang w:val="fr-FR"/>
              </w:rPr>
              <w:t>]</w:t>
            </w:r>
            <w:r w:rsidRPr="0030560F">
              <w:rPr>
                <w:rFonts w:ascii="Times New Roman" w:eastAsia="Arial" w:hAnsi="Times New Roman" w:cs="Times New Roman"/>
                <w:color w:val="000000" w:themeColor="text1"/>
                <w:sz w:val="20"/>
                <w:szCs w:val="20"/>
                <w:lang w:val="es-US"/>
              </w:rPr>
              <w:t>, Hartmann et al.</w:t>
            </w:r>
            <w:r w:rsidR="0030560F">
              <w:rPr>
                <w:rFonts w:ascii="Times New Roman" w:eastAsia="Arial" w:hAnsi="Times New Roman" w:cs="Times New Roman"/>
                <w:color w:val="000000" w:themeColor="text1"/>
                <w:sz w:val="20"/>
                <w:szCs w:val="20"/>
                <w:lang w:val="es-US"/>
              </w:rPr>
              <w:t xml:space="preserve"> [</w:t>
            </w:r>
            <w:r w:rsidRPr="0030560F">
              <w:rPr>
                <w:rFonts w:ascii="Times New Roman" w:eastAsia="Arial" w:hAnsi="Times New Roman" w:cs="Times New Roman"/>
                <w:color w:val="000000" w:themeColor="text1"/>
                <w:sz w:val="20"/>
                <w:szCs w:val="20"/>
                <w:lang w:val="fr-FR"/>
              </w:rPr>
              <w:fldChar w:fldCharType="begin" w:fldLock="1"/>
            </w:r>
            <w:r w:rsidRPr="0030560F">
              <w:rPr>
                <w:rFonts w:ascii="Times New Roman" w:eastAsia="Arial" w:hAnsi="Times New Roman" w:cs="Times New Roman"/>
                <w:color w:val="000000" w:themeColor="text1"/>
                <w:sz w:val="20"/>
                <w:szCs w:val="20"/>
                <w:lang w:val="es-US"/>
              </w:rPr>
              <w:instrText>ADDIN CSL_CITATION {"citationItems":[{"id":"ITEM-1","itemData":{"DOI":"10.1016/j.gloplacha.2009.07.007","ISSN":"09218181","author":[{"dropping-particle":"","family":"Hartmann","given":"Jens","non-dropping-particle":"","parse-names":false,"suffix":""},{"dropping-particle":"","family":"Jansen","given":"Nils","non-dropping-particle":"","parse-names":false,"suffix":""},{"dropping-particle":"","family":"Dürr","given":"Hans H.","non-dropping-particle":"","parse-names":false,"suffix":""},{"dropping-particle":"","family":"Kempe","given":"Stephan","non-dropping-particle":"","parse-names":false,"suffix":""},{"dropping-particle":"","family":"Köhler","given":"Peter","non-dropping-particle":"","parse-names":false,"suffix":""}],"container-title":"Global and Planetary Change","id":"ITEM-1","issue":"4","issued":{"date-parts":[["2009","12"]]},"page":"185-194","publisher":"Elsevier B.V.","title":"Global CO2-consumption by chemical weathering: What is the contribution of highly active weathering regions?","type":"article-journal","volume":"69"},"uris":["http://www.mendeley.com/documents/?uuid=4a8d7207-51b7-4109-a3fa-6767f56cccc0"]}],"mendeley":{"formattedCitation":"&lt;sup&gt;20&lt;/sup&gt;","plainTextFormattedCitation":"20","previouslyFormattedCitation":"&lt;sup&gt;20&lt;/sup&gt;"},"properties":{"noteIndex":0},"schema":"https://github.com/citation-style-language/schema/raw/master/csl-citation.json"}</w:instrText>
            </w:r>
            <w:r w:rsidRPr="0030560F">
              <w:rPr>
                <w:rFonts w:ascii="Times New Roman" w:eastAsia="Arial" w:hAnsi="Times New Roman" w:cs="Times New Roman"/>
                <w:color w:val="000000" w:themeColor="text1"/>
                <w:sz w:val="20"/>
                <w:szCs w:val="20"/>
                <w:lang w:val="fr-FR"/>
              </w:rPr>
              <w:fldChar w:fldCharType="separate"/>
            </w:r>
            <w:r w:rsidRPr="0030560F">
              <w:rPr>
                <w:rFonts w:ascii="Times New Roman" w:eastAsia="Arial" w:hAnsi="Times New Roman" w:cs="Times New Roman"/>
                <w:noProof/>
                <w:color w:val="000000" w:themeColor="text1"/>
                <w:sz w:val="20"/>
                <w:szCs w:val="20"/>
                <w:lang w:val="fr-FR"/>
              </w:rPr>
              <w:t>20</w:t>
            </w:r>
            <w:r w:rsidRPr="0030560F">
              <w:rPr>
                <w:rFonts w:ascii="Times New Roman" w:eastAsia="Arial" w:hAnsi="Times New Roman" w:cs="Times New Roman"/>
                <w:color w:val="000000" w:themeColor="text1"/>
                <w:sz w:val="20"/>
                <w:szCs w:val="20"/>
                <w:lang w:val="fr-FR"/>
              </w:rPr>
              <w:fldChar w:fldCharType="end"/>
            </w:r>
            <w:r w:rsidR="0030560F">
              <w:rPr>
                <w:rFonts w:ascii="Times New Roman" w:eastAsia="Arial" w:hAnsi="Times New Roman" w:cs="Times New Roman"/>
                <w:color w:val="000000" w:themeColor="text1"/>
                <w:sz w:val="20"/>
                <w:szCs w:val="20"/>
                <w:lang w:val="fr-FR"/>
              </w:rPr>
              <w:t>]</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 xml:space="preserve">50% </w:t>
            </w:r>
            <w:r w:rsidR="0030560F" w:rsidRPr="0030560F">
              <w:rPr>
                <w:rFonts w:ascii="Times New Roman" w:eastAsia="Arial" w:hAnsi="Times New Roman" w:cs="Times New Roman"/>
                <w:color w:val="000000" w:themeColor="text1"/>
                <w:sz w:val="20"/>
                <w:szCs w:val="20"/>
                <w:vertAlign w:val="superscript"/>
              </w:rPr>
              <w:t>b</w:t>
            </w:r>
          </w:p>
        </w:tc>
      </w:tr>
      <w:tr w:rsidR="00F6749E" w:rsidRPr="0030560F" w:rsidTr="0030560F">
        <w:trPr>
          <w:trHeight w:val="357"/>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NEE</w:t>
            </w:r>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-80</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36</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Equation (1)</w:t>
            </w:r>
          </w:p>
        </w:tc>
        <w:tc>
          <w:tcPr>
            <w:tcW w:w="1720" w:type="dxa"/>
            <w:shd w:val="clear" w:color="auto" w:fill="auto"/>
            <w:tcMar>
              <w:top w:w="100" w:type="dxa"/>
              <w:left w:w="100" w:type="dxa"/>
              <w:bottom w:w="100" w:type="dxa"/>
              <w:right w:w="100" w:type="dxa"/>
            </w:tcMar>
            <w:vAlign w:val="center"/>
          </w:tcPr>
          <w:p w:rsidR="00F6749E" w:rsidRPr="0030560F" w:rsidRDefault="0030560F" w:rsidP="0030560F">
            <w:pPr>
              <w:widowControl w:val="0"/>
              <w:rPr>
                <w:rFonts w:ascii="Times New Roman" w:eastAsia="Arial" w:hAnsi="Times New Roman" w:cs="Times New Roman"/>
                <w:color w:val="000000" w:themeColor="text1"/>
                <w:sz w:val="20"/>
                <w:szCs w:val="20"/>
                <w:vertAlign w:val="superscript"/>
              </w:rPr>
            </w:pPr>
            <w:r w:rsidRPr="0030560F">
              <w:rPr>
                <w:rFonts w:ascii="Times New Roman" w:eastAsia="Arial" w:hAnsi="Times New Roman" w:cs="Times New Roman"/>
                <w:color w:val="000000" w:themeColor="text1"/>
                <w:sz w:val="20"/>
                <w:szCs w:val="20"/>
                <w:vertAlign w:val="superscript"/>
              </w:rPr>
              <w:t>c</w:t>
            </w:r>
          </w:p>
        </w:tc>
      </w:tr>
      <w:tr w:rsidR="00F6749E" w:rsidRPr="0030560F" w:rsidTr="0030560F">
        <w:trPr>
          <w:trHeight w:val="337"/>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vertAlign w:val="subscript"/>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crop</w:t>
            </w:r>
            <w:proofErr w:type="spellEnd"/>
            <w:r w:rsidRPr="0030560F">
              <w:rPr>
                <w:rFonts w:ascii="Times New Roman" w:eastAsia="Arial" w:hAnsi="Times New Roman" w:cs="Times New Roman"/>
                <w:color w:val="000000" w:themeColor="text1"/>
                <w:sz w:val="20"/>
                <w:szCs w:val="20"/>
                <w:vertAlign w:val="subscript"/>
              </w:rPr>
              <w:t xml:space="preserve"> products</w:t>
            </w:r>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9</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2</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 xml:space="preserve">Peters et al. </w:t>
            </w:r>
            <w:r w:rsidR="0030560F">
              <w:rPr>
                <w:rFonts w:ascii="Times New Roman" w:eastAsia="Arial" w:hAnsi="Times New Roman" w:cs="Times New Roman"/>
                <w:color w:val="000000" w:themeColor="text1"/>
                <w:sz w:val="20"/>
                <w:szCs w:val="20"/>
              </w:rPr>
              <w:t>[</w:t>
            </w:r>
            <w:r w:rsidRPr="0030560F">
              <w:rPr>
                <w:rFonts w:ascii="Times New Roman" w:eastAsia="Arial" w:hAnsi="Times New Roman" w:cs="Times New Roman"/>
                <w:color w:val="000000" w:themeColor="text1"/>
                <w:sz w:val="20"/>
                <w:szCs w:val="20"/>
              </w:rPr>
              <w:fldChar w:fldCharType="begin" w:fldLock="1"/>
            </w:r>
            <w:r w:rsidRPr="0030560F">
              <w:rPr>
                <w:rFonts w:ascii="Times New Roman" w:eastAsia="Arial" w:hAnsi="Times New Roman" w:cs="Times New Roman"/>
                <w:color w:val="000000" w:themeColor="text1"/>
                <w:sz w:val="20"/>
                <w:szCs w:val="20"/>
              </w:rPr>
              <w:instrText>ADDIN CSL_CITATION {"citationItems":[{"id":"ITEM-1","itemData":{"DOI":"10.5194/bg-9-3247-2012","ISSN":"1726-4189","author":[{"dropping-particle":"","family":"Peters","given":"G. P.","non-dropping-particle":"","parse-names":false,"suffix":""},{"dropping-particle":"","family":"Davis","given":"S. J.","non-dropping-particle":"","parse-names":false,"suffix":""},{"dropping-particle":"","family":"Andrew","given":"R.","non-dropping-particle":"","parse-names":false,"suffix":""}],"container-title":"Biogeosciences","id":"ITEM-1","issue":"8","issued":{"date-parts":[["2012","8"]]},"page":"3247-3276","title":"A synthesis of carbon in international trade","type":"article-journal","volume":"9"},"uris":["http://www.mendeley.com/documents/?uuid=13aaa07d-69fb-4d0c-b60c-c51107b8444a"]}],"mendeley":{"formattedCitation":"&lt;sup&gt;18&lt;/sup&gt;","plainTextFormattedCitation":"18","previouslyFormattedCitation":"&lt;sup&gt;18&lt;/sup&gt;"},"properties":{"noteIndex":0},"schema":"https://github.com/citation-style-language/schema/raw/master/csl-citation.json"}</w:instrText>
            </w:r>
            <w:r w:rsidRPr="0030560F">
              <w:rPr>
                <w:rFonts w:ascii="Times New Roman" w:eastAsia="Arial" w:hAnsi="Times New Roman" w:cs="Times New Roman"/>
                <w:color w:val="000000" w:themeColor="text1"/>
                <w:sz w:val="20"/>
                <w:szCs w:val="20"/>
              </w:rPr>
              <w:fldChar w:fldCharType="separate"/>
            </w:r>
            <w:r w:rsidRPr="0030560F">
              <w:rPr>
                <w:rFonts w:ascii="Times New Roman" w:eastAsia="Arial" w:hAnsi="Times New Roman" w:cs="Times New Roman"/>
                <w:noProof/>
                <w:color w:val="000000" w:themeColor="text1"/>
                <w:sz w:val="20"/>
                <w:szCs w:val="20"/>
              </w:rPr>
              <w:t>18</w:t>
            </w:r>
            <w:r w:rsidRPr="0030560F">
              <w:rPr>
                <w:rFonts w:ascii="Times New Roman" w:eastAsia="Arial" w:hAnsi="Times New Roman" w:cs="Times New Roman"/>
                <w:color w:val="000000" w:themeColor="text1"/>
                <w:sz w:val="20"/>
                <w:szCs w:val="20"/>
              </w:rPr>
              <w:fldChar w:fldCharType="end"/>
            </w:r>
            <w:r w:rsidR="0030560F">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20%</w:t>
            </w:r>
          </w:p>
        </w:tc>
      </w:tr>
      <w:tr w:rsidR="00F6749E" w:rsidRPr="0030560F" w:rsidTr="0030560F">
        <w:trPr>
          <w:trHeight w:val="600"/>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vertAlign w:val="subscript"/>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wood</w:t>
            </w:r>
            <w:proofErr w:type="spellEnd"/>
            <w:r w:rsidRPr="0030560F">
              <w:rPr>
                <w:rFonts w:ascii="Times New Roman" w:eastAsia="Arial" w:hAnsi="Times New Roman" w:cs="Times New Roman"/>
                <w:color w:val="000000" w:themeColor="text1"/>
                <w:sz w:val="20"/>
                <w:szCs w:val="20"/>
                <w:vertAlign w:val="subscript"/>
              </w:rPr>
              <w:t xml:space="preserve"> products</w:t>
            </w:r>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8</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3</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proofErr w:type="spellStart"/>
            <w:r w:rsidRPr="0030560F">
              <w:rPr>
                <w:rFonts w:ascii="Times New Roman" w:eastAsia="Arial" w:hAnsi="Times New Roman" w:cs="Times New Roman"/>
                <w:color w:val="000000" w:themeColor="text1"/>
                <w:sz w:val="20"/>
                <w:szCs w:val="20"/>
              </w:rPr>
              <w:t>Haverd</w:t>
            </w:r>
            <w:proofErr w:type="spellEnd"/>
            <w:r w:rsidRPr="0030560F">
              <w:rPr>
                <w:rFonts w:ascii="Times New Roman" w:eastAsia="Arial" w:hAnsi="Times New Roman" w:cs="Times New Roman"/>
                <w:color w:val="000000" w:themeColor="text1"/>
                <w:sz w:val="20"/>
                <w:szCs w:val="20"/>
              </w:rPr>
              <w:t xml:space="preserve"> et al. for wood products decay, Wang et al. for wood burned in power plant and industry </w:t>
            </w:r>
          </w:p>
        </w:tc>
        <w:tc>
          <w:tcPr>
            <w:tcW w:w="1720" w:type="dxa"/>
            <w:shd w:val="clear" w:color="auto" w:fill="auto"/>
            <w:tcMar>
              <w:top w:w="100" w:type="dxa"/>
              <w:left w:w="100" w:type="dxa"/>
              <w:bottom w:w="100" w:type="dxa"/>
              <w:right w:w="100" w:type="dxa"/>
            </w:tcMar>
            <w:vAlign w:val="center"/>
          </w:tcPr>
          <w:p w:rsidR="00F6749E" w:rsidRPr="0030560F" w:rsidRDefault="0030560F" w:rsidP="0030560F">
            <w:pPr>
              <w:widowControl w:val="0"/>
              <w:rPr>
                <w:rFonts w:ascii="Times New Roman" w:eastAsia="Arial" w:hAnsi="Times New Roman" w:cs="Times New Roman"/>
                <w:color w:val="000000" w:themeColor="text1"/>
                <w:sz w:val="20"/>
                <w:szCs w:val="20"/>
                <w:vertAlign w:val="superscript"/>
              </w:rPr>
            </w:pPr>
            <w:r w:rsidRPr="0030560F">
              <w:rPr>
                <w:rFonts w:ascii="Times New Roman" w:eastAsia="Arial" w:hAnsi="Times New Roman" w:cs="Times New Roman"/>
                <w:color w:val="000000" w:themeColor="text1"/>
                <w:sz w:val="20"/>
                <w:szCs w:val="20"/>
                <w:vertAlign w:val="superscript"/>
              </w:rPr>
              <w:t>d</w:t>
            </w:r>
          </w:p>
        </w:tc>
      </w:tr>
      <w:tr w:rsidR="00F6749E" w:rsidRPr="0030560F" w:rsidTr="0030560F">
        <w:trPr>
          <w:trHeight w:val="480"/>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vertAlign w:val="subscript"/>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grazing</w:t>
            </w:r>
            <w:proofErr w:type="spellEnd"/>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37</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7</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This study (see Methods)</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20%</w:t>
            </w:r>
          </w:p>
        </w:tc>
      </w:tr>
      <w:tr w:rsidR="00F6749E" w:rsidRPr="0030560F" w:rsidTr="0030560F">
        <w:trPr>
          <w:trHeight w:val="600"/>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fires</w:t>
            </w:r>
            <w:proofErr w:type="spellEnd"/>
            <w:r w:rsidRPr="0030560F">
              <w:rPr>
                <w:rFonts w:ascii="Times New Roman" w:eastAsia="Arial" w:hAnsi="Times New Roman" w:cs="Times New Roman"/>
                <w:color w:val="000000" w:themeColor="text1"/>
                <w:sz w:val="20"/>
                <w:szCs w:val="20"/>
                <w:vertAlign w:val="subscript"/>
              </w:rPr>
              <w:t xml:space="preserve"> GFED</w:t>
            </w:r>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113</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35</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lang w:val="nl-NL"/>
              </w:rPr>
              <w:t xml:space="preserve">Van der Werf et al. </w:t>
            </w:r>
            <w:r w:rsidR="0030560F" w:rsidRPr="0030560F">
              <w:rPr>
                <w:rFonts w:ascii="Times New Roman" w:eastAsia="Arial" w:hAnsi="Times New Roman" w:cs="Times New Roman"/>
                <w:color w:val="000000" w:themeColor="text1"/>
                <w:sz w:val="20"/>
                <w:szCs w:val="20"/>
                <w:vertAlign w:val="superscript"/>
              </w:rPr>
              <w:t>e</w:t>
            </w:r>
            <w:r w:rsidRPr="0030560F">
              <w:rPr>
                <w:rFonts w:ascii="Times New Roman" w:eastAsia="Arial" w:hAnsi="Times New Roman" w:cs="Times New Roman"/>
                <w:color w:val="000000" w:themeColor="text1"/>
                <w:sz w:val="20"/>
                <w:szCs w:val="20"/>
              </w:rPr>
              <w:t xml:space="preserve"> </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see Methods</w:t>
            </w:r>
          </w:p>
        </w:tc>
      </w:tr>
      <w:tr w:rsidR="00F6749E" w:rsidRPr="0030560F" w:rsidTr="0030560F">
        <w:trPr>
          <w:trHeight w:val="600"/>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fires</w:t>
            </w:r>
            <w:proofErr w:type="spellEnd"/>
            <w:r w:rsidRPr="0030560F">
              <w:rPr>
                <w:rFonts w:ascii="Times New Roman" w:eastAsia="Arial" w:hAnsi="Times New Roman" w:cs="Times New Roman"/>
                <w:color w:val="000000" w:themeColor="text1"/>
                <w:sz w:val="20"/>
                <w:szCs w:val="20"/>
                <w:vertAlign w:val="subscript"/>
              </w:rPr>
              <w:t xml:space="preserve"> GFAS</w:t>
            </w:r>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106</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35</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lang w:val="fr-FR"/>
              </w:rPr>
            </w:pPr>
            <w:r w:rsidRPr="0030560F">
              <w:rPr>
                <w:rFonts w:ascii="Times New Roman" w:eastAsia="Arial" w:hAnsi="Times New Roman" w:cs="Times New Roman"/>
                <w:color w:val="000000" w:themeColor="text1"/>
                <w:sz w:val="20"/>
                <w:szCs w:val="20"/>
                <w:lang w:val="fr-FR"/>
              </w:rPr>
              <w:t xml:space="preserve">Di Giuseppe et al. </w:t>
            </w:r>
            <w:r w:rsidR="0030560F" w:rsidRPr="0030560F">
              <w:rPr>
                <w:rFonts w:ascii="Times New Roman" w:eastAsia="Arial" w:hAnsi="Times New Roman" w:cs="Times New Roman"/>
                <w:color w:val="000000" w:themeColor="text1"/>
                <w:sz w:val="20"/>
                <w:szCs w:val="20"/>
                <w:vertAlign w:val="superscript"/>
                <w:lang w:val="fr-FR"/>
              </w:rPr>
              <w:t>e</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see Methods</w:t>
            </w:r>
          </w:p>
        </w:tc>
      </w:tr>
      <w:tr w:rsidR="00F6749E" w:rsidRPr="0030560F" w:rsidTr="0030560F">
        <w:trPr>
          <w:trHeight w:val="600"/>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vertAlign w:val="subscript"/>
              </w:rPr>
            </w:pPr>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 xml:space="preserve">LUC RECCAP  </w:t>
            </w:r>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18</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7</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highlight w:val="yellow"/>
              </w:rPr>
            </w:pPr>
            <w:proofErr w:type="spellStart"/>
            <w:r w:rsidRPr="0030560F">
              <w:rPr>
                <w:rFonts w:ascii="Times New Roman" w:eastAsia="Arial" w:hAnsi="Times New Roman" w:cs="Times New Roman"/>
                <w:color w:val="000000" w:themeColor="text1"/>
                <w:sz w:val="20"/>
                <w:szCs w:val="20"/>
              </w:rPr>
              <w:t>Haverd</w:t>
            </w:r>
            <w:proofErr w:type="spellEnd"/>
            <w:r w:rsidRPr="0030560F">
              <w:rPr>
                <w:rFonts w:ascii="Times New Roman" w:eastAsia="Arial" w:hAnsi="Times New Roman" w:cs="Times New Roman"/>
                <w:color w:val="000000" w:themeColor="text1"/>
                <w:sz w:val="20"/>
                <w:szCs w:val="20"/>
              </w:rPr>
              <w:t xml:space="preserve"> et al.</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proofErr w:type="spellStart"/>
            <w:r w:rsidRPr="0030560F">
              <w:rPr>
                <w:rFonts w:ascii="Times New Roman" w:eastAsia="Arial" w:hAnsi="Times New Roman" w:cs="Times New Roman"/>
                <w:color w:val="000000" w:themeColor="text1"/>
                <w:sz w:val="20"/>
                <w:szCs w:val="20"/>
              </w:rPr>
              <w:t>Haverd</w:t>
            </w:r>
            <w:proofErr w:type="spellEnd"/>
            <w:r w:rsidRPr="0030560F">
              <w:rPr>
                <w:rFonts w:ascii="Times New Roman" w:eastAsia="Arial" w:hAnsi="Times New Roman" w:cs="Times New Roman"/>
                <w:color w:val="000000" w:themeColor="text1"/>
                <w:sz w:val="20"/>
                <w:szCs w:val="20"/>
              </w:rPr>
              <w:t xml:space="preserve"> et al.</w:t>
            </w:r>
          </w:p>
        </w:tc>
      </w:tr>
      <w:tr w:rsidR="00F6749E" w:rsidRPr="0030560F" w:rsidTr="0030560F">
        <w:trPr>
          <w:trHeight w:val="600"/>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vertAlign w:val="subscript"/>
              </w:rPr>
            </w:pPr>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LUC BLUE</w:t>
            </w:r>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18</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7</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highlight w:val="yellow"/>
              </w:rPr>
            </w:pPr>
            <w:proofErr w:type="spellStart"/>
            <w:r w:rsidRPr="0030560F">
              <w:rPr>
                <w:rFonts w:ascii="Times New Roman" w:eastAsia="Arial" w:hAnsi="Times New Roman" w:cs="Times New Roman"/>
                <w:color w:val="000000" w:themeColor="text1"/>
                <w:sz w:val="20"/>
                <w:szCs w:val="20"/>
                <w:highlight w:val="white"/>
              </w:rPr>
              <w:t>Hansis</w:t>
            </w:r>
            <w:proofErr w:type="spellEnd"/>
            <w:r w:rsidRPr="0030560F">
              <w:rPr>
                <w:rFonts w:ascii="Times New Roman" w:eastAsia="Arial" w:hAnsi="Times New Roman" w:cs="Times New Roman"/>
                <w:color w:val="000000" w:themeColor="text1"/>
                <w:sz w:val="20"/>
                <w:szCs w:val="20"/>
                <w:highlight w:val="white"/>
              </w:rPr>
              <w:t xml:space="preserve"> et al. </w:t>
            </w:r>
            <w:r w:rsidR="0030560F">
              <w:rPr>
                <w:rFonts w:ascii="Times New Roman" w:eastAsia="Arial" w:hAnsi="Times New Roman" w:cs="Times New Roman"/>
                <w:color w:val="000000" w:themeColor="text1"/>
                <w:sz w:val="20"/>
                <w:szCs w:val="20"/>
                <w:highlight w:val="white"/>
              </w:rPr>
              <w:t>[</w:t>
            </w:r>
            <w:r w:rsidRPr="0030560F">
              <w:rPr>
                <w:rFonts w:ascii="Times New Roman" w:eastAsia="Arial" w:hAnsi="Times New Roman" w:cs="Times New Roman"/>
                <w:color w:val="000000" w:themeColor="text1"/>
                <w:sz w:val="20"/>
                <w:szCs w:val="20"/>
                <w:highlight w:val="white"/>
                <w:lang w:val="fr-FR"/>
              </w:rPr>
              <w:fldChar w:fldCharType="begin" w:fldLock="1"/>
            </w:r>
            <w:r w:rsidRPr="0030560F">
              <w:rPr>
                <w:rFonts w:ascii="Times New Roman" w:eastAsia="Arial" w:hAnsi="Times New Roman" w:cs="Times New Roman"/>
                <w:color w:val="000000" w:themeColor="text1"/>
                <w:sz w:val="20"/>
                <w:szCs w:val="20"/>
                <w:highlight w:val="white"/>
              </w:rPr>
              <w:instrText>ADDIN CSL_CITATION {"citationItems":[{"id":"ITEM-1","itemData":{"DOI":"10.1002/2014GB004997","ISSN":"0886-6236","abstract":"Abstract Accounting for carbon fluxes from land use and land cover change (LULCC) generally requires choosing from multiple options of how to attribute the fluxes to regions and to LULCC activities. Applying a newly developed and spatially explicit bookkeeping model BLUE (bookkeeping of land use emissions), we quantify LULCC fluxes and attribute them to land use activities and countries by a range of different accounting methods. We present results with respect to a Kyoto Protocol-like ?commitment? accounting period, using land use emissions of 2008?2012 as an example scenario. We assess the effect of accounting methods that vary (1) the temporal evolution of carbon stocks, (2) the state of the carbon stocks at the beginning of the period, (3) the temporal attribution of carbon fluxes during the period, and (4) treatment of LULCC fluxes that occurred prior to the beginning of the period. We show that the methodological choices result in grossly different estimates of carbon fluxes for the different attribution definitions.","author":[{"dropping-particle":"","family":"Hansis","given":"Eberhard","non-dropping-particle":"","parse-names":false,"suffix":""},{"dropping-particle":"","family":"Davis","given":"Steven J","non-dropping-particle":"","parse-names":false,"suffix":""},{"dropping-particle":"","family":"Pongratz","given":"Julia","non-dropping-particle":"","parse-names":false,"suffix":""}],"container-title":"Global Biogeochemical Cycles","id":"ITEM-1","issue":"8","issued":{"date-parts":[["2015","8","1"]]},"note":"doi: 10.1002/2014GB004997","page":"1230-1246","publisher":"John Wiley &amp; Sons, Ltd","title":"Relevance of methodological choices for accounting of land use change carbon fluxes","type":"speech","volume":"29"},"uris":["http://www.mendeley.com/documents/?uuid=554da27d-80b9-47d4-93f9-30dc5af8fd94"]}],"mendeley":{"formattedCitation":"&lt;sup&gt;66&lt;/sup&gt;","plainTextFormattedCitation":"66","previouslyFormattedCitation":"&lt;sup&gt;66&lt;/sup&gt;"},"properties":{"noteIndex":0},"schema":"https://github.com/citation-style-language/schema/raw/master/csl-citation.json"}</w:instrText>
            </w:r>
            <w:r w:rsidRPr="0030560F">
              <w:rPr>
                <w:rFonts w:ascii="Times New Roman" w:eastAsia="Arial" w:hAnsi="Times New Roman" w:cs="Times New Roman"/>
                <w:color w:val="000000" w:themeColor="text1"/>
                <w:sz w:val="20"/>
                <w:szCs w:val="20"/>
                <w:highlight w:val="white"/>
                <w:lang w:val="fr-FR"/>
              </w:rPr>
              <w:fldChar w:fldCharType="separate"/>
            </w:r>
            <w:r w:rsidRPr="0030560F">
              <w:rPr>
                <w:rFonts w:ascii="Times New Roman" w:eastAsia="Arial" w:hAnsi="Times New Roman" w:cs="Times New Roman"/>
                <w:noProof/>
                <w:color w:val="000000" w:themeColor="text1"/>
                <w:sz w:val="20"/>
                <w:szCs w:val="20"/>
                <w:highlight w:val="white"/>
              </w:rPr>
              <w:t>66</w:t>
            </w:r>
            <w:r w:rsidRPr="0030560F">
              <w:rPr>
                <w:rFonts w:ascii="Times New Roman" w:eastAsia="Arial" w:hAnsi="Times New Roman" w:cs="Times New Roman"/>
                <w:color w:val="000000" w:themeColor="text1"/>
                <w:sz w:val="20"/>
                <w:szCs w:val="20"/>
                <w:highlight w:val="white"/>
                <w:lang w:val="fr-FR"/>
              </w:rPr>
              <w:fldChar w:fldCharType="end"/>
            </w:r>
            <w:r w:rsidR="0030560F" w:rsidRPr="001D7FE4">
              <w:rPr>
                <w:rFonts w:ascii="Times New Roman" w:eastAsia="Arial" w:hAnsi="Times New Roman" w:cs="Times New Roman"/>
                <w:color w:val="000000" w:themeColor="text1"/>
                <w:sz w:val="20"/>
                <w:szCs w:val="20"/>
                <w:highlight w:val="white"/>
              </w:rPr>
              <w:t>]</w:t>
            </w:r>
            <w:r w:rsidRPr="0030560F">
              <w:rPr>
                <w:rFonts w:ascii="Times New Roman" w:eastAsia="Arial" w:hAnsi="Times New Roman" w:cs="Times New Roman"/>
                <w:color w:val="000000" w:themeColor="text1"/>
                <w:sz w:val="20"/>
                <w:szCs w:val="20"/>
                <w:highlight w:val="white"/>
              </w:rPr>
              <w:t xml:space="preserve"> updated in ref. </w:t>
            </w:r>
            <w:r w:rsidR="0030560F">
              <w:rPr>
                <w:rFonts w:ascii="Times New Roman" w:eastAsia="Arial" w:hAnsi="Times New Roman" w:cs="Times New Roman"/>
                <w:color w:val="000000" w:themeColor="text1"/>
                <w:sz w:val="20"/>
                <w:szCs w:val="20"/>
                <w:highlight w:val="white"/>
              </w:rPr>
              <w:t>[</w:t>
            </w:r>
            <w:r w:rsidRPr="0030560F">
              <w:rPr>
                <w:rFonts w:ascii="Times New Roman" w:eastAsia="Arial" w:hAnsi="Times New Roman" w:cs="Times New Roman"/>
                <w:color w:val="000000" w:themeColor="text1"/>
                <w:sz w:val="20"/>
                <w:szCs w:val="20"/>
                <w:highlight w:val="white"/>
                <w:lang w:val="fr-FR"/>
              </w:rPr>
              <w:fldChar w:fldCharType="begin" w:fldLock="1"/>
            </w:r>
            <w:r w:rsidRPr="0030560F">
              <w:rPr>
                <w:rFonts w:ascii="Times New Roman" w:eastAsia="Arial" w:hAnsi="Times New Roman" w:cs="Times New Roman"/>
                <w:color w:val="000000" w:themeColor="text1"/>
                <w:sz w:val="20"/>
                <w:szCs w:val="20"/>
                <w:highlight w:val="white"/>
              </w:rPr>
              <w:instrText>ADDIN CSL_CITATION {"citationItems":[{"id":"ITEM-1","itemData":{"DOI":"10.5194/essd-10-2141-2018","ISSN":"1866-3516","abstract":"&lt;p&gt;&lt;![CDATA[Abstract. Accurate assessment of anthropogenic carbon dioxide (CO2) emissions and their redistribution among the atmosphere, ocean, and terrestrial biosphere – the “global carbon budget” – is important to better understand the global carbon cycle, support the development of climate policies, and project future climate change. Here we describe data sets and methodology to quantify the five major components of the global carbon budget and their uncertainties. Fossil CO2 emissions (EFF) are based on energy statistics and cement production data, while emissions from land use and land-use change (ELUC), mainly deforestation, are based on land use and land-use change data and bookkeeping models. Atmospheric CO2 concentration is measured directly and its growth rate (GATM) is computed from the annual changes in concentration. The ocean CO2 sink (SOCEAN) and terrestrial CO2 sink (SLAND) are estimated with global process models constrained by observations. The resulting carbon budget imbalance (BIM), the difference between the estimated total emissions and the estimated changes in the atmosphere, ocean, and terrestrial biosphere, is a measure of imperfect data and understanding of the contemporary carbon cycle. All uncertainties are reported as ±1σ. For the last decade available (2008–2017), EFF was 9.4±0.5 GtC yr−1, ELUC 1.5±0.7 GtC yr−1, GATM 4.7±0.02 GtC yr−1, SOCEAN 2.4±0.5 GtC yr−1, and SLAND 3.2±0.8 GtC yr−1, with a budget imbalance BIM of 0.5 GtC yr−1 indicating overestimated emissions and/or underestimated sinks. For the year 2017 alone, the growth in EFF was about 1.6 % and emissions increased to 9.9±0.5 GtC yr−1. Also for 2017, ELUC was 1.4±0.7 GtC yr−1, GATM was 4.6±0.2 GtC yr−1, SOCEAN was 2.5±0.5 GtC yr−1, and SLAND was 3.8±0.8 GtC yr−1, with a BIM of 0.3 GtC. The global atmospheric CO2 concentration reached 405.0±0.1 ppm averaged over 2017. For 2018, preliminary data for the first 6–9 months indicate a renewed growth in EFF of +2.7 % (range of 1.8 % to 3.7 %) based on national emission projections for China, the US, the EU, and India and projections of gross domestic product corrected for recent changes in the carbon intensity of the economy for the rest of the world. The analysis presented here shows that the mean and trend in the five components of the global carbon budget are consistently estimated over the period of 1959–2017, but discrepancies of up to 1 GtC yr−1 persist for the representation of semi-decadal variability in CO2 flu…","author":[{"dropping-particle":"","family":"Quéré","given":"Corinne","non-dropping-particle":"Le","parse-names":false,"suffix":""},{"dropping-particle":"","family":"Andrew","given":"Robbie M.","non-dropping-particle":"","parse-names":false,"suffix":""},{"dropping-particle":"","family":"Friedlingstein","given":"Pierre","non-dropping-particle":"","parse-names":false,"suffix":""},{"dropping-particle":"","family":"Sitch","given":"Stephen","non-dropping-particle":"","parse-names":false,"suffix":""},{"dropping-particle":"","family":"Hauck","given":"Judith","non-dropping-particle":"","parse-names":false,"suffix":""},{"dropping-particle":"","family":"Pongratz","given":"Julia","non-dropping-particle":"","parse-names":false,"suffix":""},{"dropping-particle":"","family":"Pickers","given":"Penelope A.","non-dropping-particle":"","parse-names":false,"suffix":""},{"dropping-particle":"","family":"Korsbakken","given":"Jan Ivar","non-dropping-particle":"","parse-names":false,"suffix":""},{"dropping-particle":"","family":"Peters","given":"Glen P.","non-dropping-particle":"","parse-names":false,"suffix":""},{"dropping-particle":"","family":"Canadell","given":"Josep G.","non-dropping-particle":"","parse-names":false,"suffix":""},{"dropping-particle":"","family":"Arneth","given":"Almut","non-dropping-particle":"","parse-names":false,"suffix":""},{"dropping-particle":"","family":"Arora","given":"Vivek K.","non-dropping-particle":"","parse-names":false,"suffix":""},{"dropping-particle":"","family":"Barbero","given":"Leticia","non-dropping-particle":"","parse-names":false,"suffix":""},{"dropping-particle":"","family":"Bastos","given":"Ana","non-dropping-particle":"","parse-names":false,"suffix":""},{"dropping-particle":"","family":"Bopp","given":"Laurent","non-dropping-particle":"","parse-names":false,"suffix":""},{"dropping-particle":"","family":"Chevallier","given":"Frédéric","non-dropping-particle":"","parse-names":false,"suffix":""},{"dropping-particle":"","family":"Chini","given":"Louise P.","non-dropping-particle":"","parse-names":false,"suffix":""},{"dropping-particle":"","family":"Ciais","given":"Philippe","non-dropping-particle":"","parse-names":false,"suffix":""},{"dropping-particle":"","family":"Doney","given":"Scott C.","non-dropping-particle":"","parse-names":false,"suffix":""},{"dropping-particle":"","family":"Gkritzalis","given":"Thanos","non-dropping-particle":"","parse-names":false,"suffix":""},{"dropping-particle":"","family":"Goll","given":"Daniel S.","non-dropping-particle":"","parse-names":false,"suffix":""},{"dropping-particle":"","family":"Harris","given":"Ian","non-dropping-particle":"","parse-names":false,"suffix":""},{"dropping-particle":"","family":"Haverd","given":"Vanessa","non-dropping-particle":"","parse-names":false,"suffix":""},{"dropping-particle":"","family":"Hoffman","given":"Forrest M.","non-dropping-particle":"","parse-names":false,"suffix":""},{"dropping-particle":"","family":"Hoppema","given":"Mario","non-dropping-particle":"","parse-names":false,"suffix":""},{"dropping-particle":"","family":"Houghton","given":"Richard A.","non-dropping-particle":"","parse-names":false,"suffix":""},{"dropping-particle":"","family":"Hurtt","given":"George","non-dropping-particle":"","parse-names":false,"suffix":""},{"dropping-particle":"","family":"Ilyina","given":"Tatiana","non-dropping-particle":"","parse-names":false,"suffix":""},{"dropping-particle":"","family":"Jain","given":"Atul K.","non-dropping-particle":"","parse-names":false,"suffix":""},{"dropping-particle":"","family":"Johannessen","given":"Truls","non-dropping-particle":"","parse-names":false,"suffix":""},{"dropping-particle":"","family":"Jones","given":"Chris D.","non-dropping-particle":"","parse-names":false,"suffix":""},{"dropping-particle":"","family":"Kato","given":"Etsushi","non-dropping-particle":"","parse-names":false,"suffix":""},{"dropping-particle":"","family":"Keeling","given":"Ralph F.","non-dropping-particle":"","parse-names":false,"suffix":""},{"dropping-particle":"","family":"Goldewijk","given":"Kees Klein","non-dropping-particle":"","parse-names":false,"suffix":""},{"dropping-particle":"","family":"Landschützer","given":"Peter","non-dropping-particle":"","parse-names":false,"suffix":""},{"dropping-particle":"","family":"Lefèvre","given":"Nathalie","non-dropping-particle":"","parse-names":false,"suffix":""},{"dropping-particle":"","family":"Lienert","given":"Sebastian","non-dropping-particle":"","parse-names":false,"suffix":""},{"dropping-particle":"","family":"Liu","given":"Zhu","non-dropping-particle":"","parse-names":false,"suffix":""},{"dropping-particle":"","family":"Lombardozzi","given":"Danica","non-dropping-particle":"","parse-names":false,"suffix":""},{"dropping-particle":"","family":"Metzl","given":"Nicolas","non-dropping-particle":"","parse-names":false,"suffix":""},{"dropping-particle":"","family":"Munro","given":"David R.","non-dropping-particle":"","parse-names":false,"suffix":""},{"dropping-particle":"","family":"Nabel","given":"Julia E. M. S.","non-dropping-particle":"","parse-names":false,"suffix":""},{"dropping-particle":"","family":"Nakaoka","given":"Shin-ichiro","non-dropping-particle":"","parse-names":false,"suffix":""},{"dropping-particle":"","family":"Neill","given":"Craig","non-dropping-particle":"","parse-names":false,"suffix":""},{"dropping-particle":"","family":"Olsen","given":"Are","non-dropping-particle":"","parse-names":false,"suffix":""},{"dropping-particle":"","family":"Ono","given":"Tsueno","non-dropping-particle":"","parse-names":false,"suffix":""},{"dropping-particle":"","family":"Patra","given":"Prabir","non-dropping-particle":"","parse-names":false,"suffix":""},{"dropping-particle":"","family":"Peregon","given":"Anna","non-dropping-particle":"","parse-names":false,"suffix":""},{"dropping-particle":"","family":"Peters","given":"Wouter","non-dropping-particle":"","parse-names":false,"suffix":""},{"dropping-particle":"","family":"Peylin","given":"Philippe","non-dropping-particle":"","parse-names":false,"suffix":""},{"dropping-particle":"","family":"Pfeil","given":"Benjamin","non-dropping-particle":"","parse-names":false,"suffix":""},{"dropping-particle":"","family":"Pierrot","given":"Denis","non-dropping-particle":"","parse-names":false,"suffix":""},{"dropping-particle":"","family":"Poulter","given":"Benjamin","non-dropping-particle":"","parse-names":false,"suffix":""},{"dropping-particle":"","family":"Rehder","given":"Gregor","non-dropping-particle":"","parse-names":false,"suffix":""},{"dropping-particle":"","family":"Resplandy","given":"Laure","non-dropping-particle":"","parse-names":false,"suffix":""},{"dropping-particle":"","family":"Robertson","given":"Eddy","non-dropping-particle":"","parse-names":false,"suffix":""},{"dropping-particle":"","family":"Rocher","given":"Matthias","non-dropping-particle":"","parse-names":false,"suffix":""},{"dropping-particle":"","family":"Rödenbeck","given":"Christian","non-dropping-particle":"","parse-names":false,"suffix":""},{"dropping-particle":"","family":"Schuster","given":"Ute","non-dropping-particle":"","parse-names":false,"suffix":""},{"dropping-particle":"","family":"Schwinger","given":"Jörg","non-dropping-particle":"","parse-names":false,"suffix":""},{"dropping-particle":"","family":"Séférian","given":"Roland","non-dropping-particle":"","parse-names":false,"suffix":""},{"dropping-particle":"","family":"Skjelvan","given":"Ingunn","non-dropping-particle":"","parse-names":false,"suffix":""},{"dropping-particle":"","family":"Steinhoff","given":"Tobias","non-dropping-particle":"","parse-names":false,"suffix":""},{"dropping-particle":"","family":"Sutton","given":"Adrienne","non-dropping-particle":"","parse-names":false,"suffix":""},{"dropping-particle":"","family":"Tans","given":"Pieter P.","non-dropping-particle":"","parse-names":false,"suffix":""},{"dropping-particle":"","family":"Tian","given":"Hanqin","non-dropping-particle":"","parse-names":false,"suffix":""},{"dropping-particle":"","family":"Tilbrook","given":"Bronte","non-dropping-particle":"","parse-names":false,"suffix":""},{"dropping-particle":"","family":"Tubiello","given":"Francesco N.","non-dropping-particle":"","parse-names":false,"suffix":""},{"dropping-particle":"","family":"Laan-Luijkx","given":"Ingrid T.","non-dropping-particle":"van der","parse-names":false,"suffix":""},{"dropping-particle":"","family":"Werf","given":"Guido R.","non-dropping-particle":"van der","parse-names":false,"suffix":""},{"dropping-particle":"","family":"Viovy","given":"Nicolas","non-dropping-particle":"","parse-names":false,"suffix":""},{"dropping-particle":"","family":"Walker","given":"Anthony P.","non-dropping-particle":"","parse-names":false,"suffix":""},{"dropping-particle":"","family":"Wiltshire","given":"Andrew J.","non-dropping-particle":"","parse-names":false,"suffix":""},{"dropping-particle":"","family":"Wright","given":"Rebecca","non-dropping-particle":"","parse-names":false,"suffix":""},{"dropping-particle":"","family":"Zaehle","given":"Sönke","non-dropping-particle":"","parse-names":false,"suffix":""},{"dropping-particle":"","family":"Zheng","given":"Bo","non-dropping-particle":"","parse-names":false,"suffix":""}],"container-title":"Earth System Science Data","id":"ITEM-1","issue":"4","issued":{"date-parts":[["2018","12","5"]]},"page":"2141-2194","title":"Global Carbon Budget 2018","type":"article-journal","volume":"10"},"uris":["http://www.mendeley.com/documents/?uuid=c58027c0-01ff-3934-afe3-9c450c266da6"]}],"mendeley":{"formattedCitation":"&lt;sup&gt;83&lt;/sup&gt;","plainTextFormattedCitation":"83","previouslyFormattedCitation":"&lt;sup&gt;83&lt;/sup&gt;"},"properties":{"noteIndex":0},"schema":"https://github.com/citation-style-language/schema/raw/master/csl-citation.json"}</w:instrText>
            </w:r>
            <w:r w:rsidRPr="0030560F">
              <w:rPr>
                <w:rFonts w:ascii="Times New Roman" w:eastAsia="Arial" w:hAnsi="Times New Roman" w:cs="Times New Roman"/>
                <w:color w:val="000000" w:themeColor="text1"/>
                <w:sz w:val="20"/>
                <w:szCs w:val="20"/>
                <w:highlight w:val="white"/>
                <w:lang w:val="fr-FR"/>
              </w:rPr>
              <w:fldChar w:fldCharType="separate"/>
            </w:r>
            <w:r w:rsidRPr="0030560F">
              <w:rPr>
                <w:rFonts w:ascii="Times New Roman" w:eastAsia="Arial" w:hAnsi="Times New Roman" w:cs="Times New Roman"/>
                <w:noProof/>
                <w:color w:val="000000" w:themeColor="text1"/>
                <w:sz w:val="20"/>
                <w:szCs w:val="20"/>
                <w:highlight w:val="white"/>
              </w:rPr>
              <w:t>83</w:t>
            </w:r>
            <w:r w:rsidRPr="0030560F">
              <w:rPr>
                <w:rFonts w:ascii="Times New Roman" w:eastAsia="Arial" w:hAnsi="Times New Roman" w:cs="Times New Roman"/>
                <w:color w:val="000000" w:themeColor="text1"/>
                <w:sz w:val="20"/>
                <w:szCs w:val="20"/>
                <w:highlight w:val="white"/>
                <w:lang w:val="fr-FR"/>
              </w:rPr>
              <w:fldChar w:fldCharType="end"/>
            </w:r>
            <w:r w:rsidR="0030560F" w:rsidRPr="0030560F">
              <w:rPr>
                <w:rFonts w:ascii="Times New Roman" w:eastAsia="Arial" w:hAnsi="Times New Roman" w:cs="Times New Roman"/>
                <w:color w:val="000000" w:themeColor="text1"/>
                <w:sz w:val="20"/>
                <w:szCs w:val="20"/>
                <w:highlight w:val="white"/>
              </w:rPr>
              <w:t>]</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see Methods</w:t>
            </w:r>
          </w:p>
        </w:tc>
      </w:tr>
      <w:tr w:rsidR="00F6749E" w:rsidRPr="0030560F" w:rsidTr="0030560F">
        <w:trPr>
          <w:trHeight w:val="600"/>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vertAlign w:val="subscript"/>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reduced</w:t>
            </w:r>
            <w:proofErr w:type="spellEnd"/>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53</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21</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This study (see Methods)</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see Methods</w:t>
            </w:r>
          </w:p>
        </w:tc>
      </w:tr>
      <w:tr w:rsidR="00F6749E" w:rsidRPr="0030560F" w:rsidTr="0030560F">
        <w:trPr>
          <w:trHeight w:val="600"/>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vertAlign w:val="subscript"/>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outgas</w:t>
            </w:r>
            <w:proofErr w:type="spellEnd"/>
            <w:r w:rsidRPr="0030560F">
              <w:rPr>
                <w:rFonts w:ascii="Times New Roman" w:eastAsia="Arial" w:hAnsi="Times New Roman" w:cs="Times New Roman"/>
                <w:color w:val="000000" w:themeColor="text1"/>
                <w:sz w:val="20"/>
                <w:szCs w:val="20"/>
                <w:vertAlign w:val="subscript"/>
              </w:rPr>
              <w:t xml:space="preserve"> rivers + lakes RAY</w:t>
            </w:r>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13</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7</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 xml:space="preserve">Raymond et al. </w:t>
            </w:r>
            <w:r w:rsidR="0030560F">
              <w:rPr>
                <w:rFonts w:ascii="Times New Roman" w:eastAsia="Arial" w:hAnsi="Times New Roman" w:cs="Times New Roman"/>
                <w:color w:val="000000" w:themeColor="text1"/>
                <w:sz w:val="20"/>
                <w:szCs w:val="20"/>
              </w:rPr>
              <w:t>[</w:t>
            </w:r>
            <w:r w:rsidRPr="0030560F">
              <w:rPr>
                <w:rFonts w:ascii="Times New Roman" w:eastAsia="Arial" w:hAnsi="Times New Roman" w:cs="Times New Roman"/>
                <w:color w:val="000000" w:themeColor="text1"/>
                <w:sz w:val="20"/>
                <w:szCs w:val="20"/>
              </w:rPr>
              <w:fldChar w:fldCharType="begin" w:fldLock="1"/>
            </w:r>
            <w:r w:rsidRPr="0030560F">
              <w:rPr>
                <w:rFonts w:ascii="Times New Roman" w:eastAsia="Arial" w:hAnsi="Times New Roman" w:cs="Times New Roman"/>
                <w:color w:val="000000" w:themeColor="text1"/>
                <w:sz w:val="20"/>
                <w:szCs w:val="20"/>
              </w:rPr>
              <w:instrText>ADDIN CSL_CITATION {"citationItems":[{"id":"ITEM-1","itemData":{"DOI":"10.1038/nature13142","ISSN":"00280836","author":[{"dropping-particle":"","family":"Raymond","given":"P.A.","non-dropping-particle":"","parse-names":false,"suffix":""},{"dropping-particle":"","family":"Hartmann","given":"J.","non-dropping-particle":"","parse-names":false,"suffix":""},{"dropping-particle":"","family":"Lauerwald","given":"R.","non-dropping-particle":"","parse-names":false,"suffix":""},{"dropping-particle":"","family":"Sobek","given":"S.","non-dropping-particle":"","parse-names":false,"suffix":""},{"dropping-particle":"","family":"McDonald","given":"C.","non-dropping-particle":"","parse-names":false,"suffix":""},{"dropping-particle":"","family":"Hoover","given":"M.","non-dropping-particle":"","parse-names":false,"suffix":""},{"dropping-particle":"","family":"Butman","given":"D.","non-dropping-particle":"","parse-names":false,"suffix":""},{"dropping-particle":"","family":"Striegl","given":"R.","non-dropping-particle":"","parse-names":false,"suffix":""},{"dropping-particle":"","family":"Mayorga","given":"E.","non-dropping-particle":"","parse-names":false,"suffix":""},{"dropping-particle":"","family":"Humborg","given":"C.","non-dropping-particle":"","parse-names":false,"suffix":""},{"dropping-particle":"","family":"Kortelainen","given":"P.","non-dropping-particle":"","parse-names":false,"suffix":""},{"dropping-particle":"","family":"Dürr","given":"H.","non-dropping-particle":"","parse-names":false,"suffix":""},{"dropping-particle":"","family":"Meybeck","given":"M.","non-dropping-particle":"","parse-names":false,"suffix":""},{"dropping-particle":"","family":"Ciais","given":"P.","non-dropping-particle":"","parse-names":false,"suffix":""},{"dropping-particle":"","family":"Guth","given":"P.","non-dropping-particle":"","parse-names":false,"suffix":""}],"container-title":"Nature","id":"ITEM-1","issue":"7492","issued":{"date-parts":[["2014"]]},"title":"Erratum: Global carbon dioxide emissions from inland waters (Nature (2013) 503 (355-359) DOI: 10.1038/nature12760)","type":"article-journal","volume":"507"},"uris":["http://www.mendeley.com/documents/?uuid=9f65d7ab-bd8b-32fa-bb80-0bd0b1543272"]}],"mendeley":{"formattedCitation":"&lt;sup&gt;84&lt;/sup&gt;","plainTextFormattedCitation":"84","previouslyFormattedCitation":"&lt;sup&gt;84&lt;/sup&gt;"},"properties":{"noteIndex":0},"schema":"https://github.com/citation-style-language/schema/raw/master/csl-citation.json"}</w:instrText>
            </w:r>
            <w:r w:rsidRPr="0030560F">
              <w:rPr>
                <w:rFonts w:ascii="Times New Roman" w:eastAsia="Arial" w:hAnsi="Times New Roman" w:cs="Times New Roman"/>
                <w:color w:val="000000" w:themeColor="text1"/>
                <w:sz w:val="20"/>
                <w:szCs w:val="20"/>
              </w:rPr>
              <w:fldChar w:fldCharType="separate"/>
            </w:r>
            <w:r w:rsidRPr="0030560F">
              <w:rPr>
                <w:rFonts w:ascii="Times New Roman" w:eastAsia="Arial" w:hAnsi="Times New Roman" w:cs="Times New Roman"/>
                <w:noProof/>
                <w:color w:val="000000" w:themeColor="text1"/>
                <w:sz w:val="20"/>
                <w:szCs w:val="20"/>
              </w:rPr>
              <w:t>84</w:t>
            </w:r>
            <w:r w:rsidRPr="0030560F">
              <w:rPr>
                <w:rFonts w:ascii="Times New Roman" w:eastAsia="Arial" w:hAnsi="Times New Roman" w:cs="Times New Roman"/>
                <w:color w:val="000000" w:themeColor="text1"/>
                <w:sz w:val="20"/>
                <w:szCs w:val="20"/>
              </w:rPr>
              <w:fldChar w:fldCharType="end"/>
            </w:r>
            <w:r w:rsidR="0030560F">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50%</w:t>
            </w:r>
          </w:p>
        </w:tc>
      </w:tr>
      <w:tr w:rsidR="00F6749E" w:rsidRPr="0030560F" w:rsidTr="0030560F">
        <w:trPr>
          <w:trHeight w:val="600"/>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outgas</w:t>
            </w:r>
            <w:proofErr w:type="spellEnd"/>
            <w:r w:rsidRPr="0030560F">
              <w:rPr>
                <w:rFonts w:ascii="Times New Roman" w:eastAsia="Arial" w:hAnsi="Times New Roman" w:cs="Times New Roman"/>
                <w:color w:val="000000" w:themeColor="text1"/>
                <w:sz w:val="20"/>
                <w:szCs w:val="20"/>
                <w:vertAlign w:val="subscript"/>
              </w:rPr>
              <w:t xml:space="preserve"> rivers + lakes LAU</w:t>
            </w:r>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5</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3</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proofErr w:type="spellStart"/>
            <w:r w:rsidRPr="0030560F">
              <w:rPr>
                <w:rFonts w:ascii="Times New Roman" w:eastAsia="Arial" w:hAnsi="Times New Roman" w:cs="Times New Roman"/>
                <w:color w:val="000000" w:themeColor="text1"/>
                <w:sz w:val="20"/>
                <w:szCs w:val="20"/>
              </w:rPr>
              <w:t>Lauerwald</w:t>
            </w:r>
            <w:proofErr w:type="spellEnd"/>
            <w:r w:rsidRPr="0030560F">
              <w:rPr>
                <w:rFonts w:ascii="Times New Roman" w:eastAsia="Arial" w:hAnsi="Times New Roman" w:cs="Times New Roman"/>
                <w:color w:val="000000" w:themeColor="text1"/>
                <w:sz w:val="20"/>
                <w:szCs w:val="20"/>
              </w:rPr>
              <w:t xml:space="preserve"> et al. </w:t>
            </w:r>
            <w:r w:rsidR="0030560F">
              <w:rPr>
                <w:rFonts w:ascii="Times New Roman" w:eastAsia="Arial" w:hAnsi="Times New Roman" w:cs="Times New Roman"/>
                <w:color w:val="000000" w:themeColor="text1"/>
                <w:sz w:val="20"/>
                <w:szCs w:val="20"/>
              </w:rPr>
              <w:t>[</w:t>
            </w:r>
            <w:r w:rsidRPr="0030560F">
              <w:rPr>
                <w:rFonts w:ascii="Times New Roman" w:eastAsia="Arial" w:hAnsi="Times New Roman" w:cs="Times New Roman"/>
                <w:color w:val="000000" w:themeColor="text1"/>
                <w:sz w:val="20"/>
                <w:szCs w:val="20"/>
              </w:rPr>
              <w:fldChar w:fldCharType="begin" w:fldLock="1"/>
            </w:r>
            <w:r w:rsidRPr="0030560F">
              <w:rPr>
                <w:rFonts w:ascii="Times New Roman" w:eastAsia="Arial" w:hAnsi="Times New Roman" w:cs="Times New Roman"/>
                <w:color w:val="000000" w:themeColor="text1"/>
                <w:sz w:val="20"/>
                <w:szCs w:val="20"/>
              </w:rPr>
              <w:instrText>ADDIN CSL_CITATION {"citationItems":[{"id":"ITEM-1","itemData":{"DOI":"10.1002/2014GB004941","ISSN":"19449224","abstract":"©2015. American Geophysical Union. All Rights Reserved. CO &lt; inf &gt; 2 &lt; /inf &gt;  evasion from rivers (FCO &lt; inf &gt; 2 &lt; /inf &gt; ) is an important component of the global carbon budget. Here we present the first global maps of CO &lt; inf &gt; 2 &lt; /inf &gt;  partial pressures (pCO &lt; inf &gt; 2 &lt; /inf &gt; ) in rivers of stream orders 3 and higher and the resulting FCO &lt; inf &gt; 2 &lt; /inf &gt;  at 0.5° resolution constructed with a statistical model. A geographic information system based approach is used to derive a pCO &lt; inf &gt; 2 &lt; /inf &gt;  prediction function trained on data from 1182 sampling locations. While data from Asia and Africa are scarce and the training data set is dominated by sampling locations from the Americas, Europe, and Australia, the sampling locations cover the full spectrum from high to low latitudes. The predictors of pCO &lt; inf &gt; 2 &lt; /inf &gt;  are net primary production, population density, and slope gradient within the river catchment as well as mean air temperature at the sampling location (r &lt; sup &gt; 2 &lt; /sup &gt;  = 0.47). The predicted pCO &lt; inf &gt; 2 &lt; /inf &gt;  map was then combined with spatially explicit estimates of stream surface area A &lt; inf &gt; river &lt; /inf &gt;  and gas exchange velocity k calculated from published empirical equations and data sets to derive the FCO &lt; inf &gt; 2 &lt; /inf &gt;  map. Using Monte Carlo simulations, we assessed the uncertainties of our estimates. At the global scale, we estimate an average river pCO &lt; inf &gt; 2 &lt; /inf &gt;  of 2400 (2019-2826) μatm and a FCO &lt; inf &gt; 2 &lt; /inf &gt;  of 650 (483-846) Tg C yr &lt; sup &gt; -1 &lt; /sup &gt;  (5th and 95th percentiles of confidence interval). Our global CO &lt; inf &gt; 2 &lt; /inf &gt;  evasion is substantially lower than the recent estimate of 1800 Tg C yr &lt; sup &gt; -1 &lt; /sup &gt;  although the training set of pCO &lt; inf &gt; 2 &lt; /inf &gt;  is very similar in both studies, mainly due to lower tropical pCO &lt; inf &gt; 2 &lt; /inf &gt;  estimates in the present study. Our maps reveal strong latitudinal gradients in pCO &lt; inf &gt; 2 &lt; /inf &gt; , A &lt; inf &gt; river &lt; /inf &gt; , and FCO &lt; inf &gt; 2 &lt; /inf &gt; . The zone between 10°N and 10°S contributes about half of the global CO &lt; inf &gt; 2 &lt; /inf &gt;  evasion. Collection of pCO &lt; inf &gt; 2 &lt; /inf &gt;  data in this zone, in particular, for African and Southeast Asian rivers is a high priority to reduce uncertainty on FCO &lt; inf &gt; 2 &lt; /inf &gt; .","author":[{"dropping-particle":"","family":"Lauerwald","given":"R.","non-dropping-particle":"","parse-names":false,"suffix":""},{"dropping-particle":"","family":"Laruelle","given":"G.G.","non-dropping-particle":"","parse-names":false,"suffix":""},{"dropping-particle":"","family":"Hartmann","given":"J.","non-dropping-particle":"","parse-names":false,"suffix":""},{"dropping-particle":"","family":"Ciais","given":"P.","non-dropping-particle":"","parse-names":false,"suffix":""},{"dropping-particle":"","family":"Regnier","given":"P.A.G.","non-dropping-particle":"","parse-names":false,"suffix":""}],"container-title":"Global Biogeochemical Cycles","id":"ITEM-1","issue":"5","issued":{"date-parts":[["2015"]]},"title":"Spatial patterns in CO&amp;lt;inf&amp;gt;2&amp;lt;/inf&amp;gt; evasion from the global river network","type":"article-journal","volume":"29"},"uris":["http://www.mendeley.com/documents/?uuid=bcf366e5-e30c-3037-b8f0-fa10ad0b6bd5"]}],"mendeley":{"formattedCitation":"&lt;sup&gt;26&lt;/sup&gt;","plainTextFormattedCitation":"26","previouslyFormattedCitation":"&lt;sup&gt;26&lt;/sup&gt;"},"properties":{"noteIndex":0},"schema":"https://github.com/citation-style-language/schema/raw/master/csl-citation.json"}</w:instrText>
            </w:r>
            <w:r w:rsidRPr="0030560F">
              <w:rPr>
                <w:rFonts w:ascii="Times New Roman" w:eastAsia="Arial" w:hAnsi="Times New Roman" w:cs="Times New Roman"/>
                <w:color w:val="000000" w:themeColor="text1"/>
                <w:sz w:val="20"/>
                <w:szCs w:val="20"/>
              </w:rPr>
              <w:fldChar w:fldCharType="separate"/>
            </w:r>
            <w:r w:rsidRPr="0030560F">
              <w:rPr>
                <w:rFonts w:ascii="Times New Roman" w:eastAsia="Arial" w:hAnsi="Times New Roman" w:cs="Times New Roman"/>
                <w:noProof/>
                <w:color w:val="000000" w:themeColor="text1"/>
                <w:sz w:val="20"/>
                <w:szCs w:val="20"/>
              </w:rPr>
              <w:t>26</w:t>
            </w:r>
            <w:r w:rsidRPr="0030560F">
              <w:rPr>
                <w:rFonts w:ascii="Times New Roman" w:eastAsia="Arial" w:hAnsi="Times New Roman" w:cs="Times New Roman"/>
                <w:color w:val="000000" w:themeColor="text1"/>
                <w:sz w:val="20"/>
                <w:szCs w:val="20"/>
              </w:rPr>
              <w:fldChar w:fldCharType="end"/>
            </w:r>
            <w:r w:rsidR="0030560F">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50%</w:t>
            </w:r>
          </w:p>
        </w:tc>
      </w:tr>
      <w:tr w:rsidR="00F6749E" w:rsidRPr="0030560F" w:rsidTr="0030560F">
        <w:trPr>
          <w:trHeight w:val="600"/>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vertAlign w:val="subscript"/>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outgas</w:t>
            </w:r>
            <w:proofErr w:type="spellEnd"/>
            <w:r w:rsidRPr="0030560F">
              <w:rPr>
                <w:rFonts w:ascii="Times New Roman" w:eastAsia="Arial" w:hAnsi="Times New Roman" w:cs="Times New Roman"/>
                <w:color w:val="000000" w:themeColor="text1"/>
                <w:sz w:val="20"/>
                <w:szCs w:val="20"/>
                <w:vertAlign w:val="subscript"/>
              </w:rPr>
              <w:t xml:space="preserve"> estuaries</w:t>
            </w:r>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7</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4</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proofErr w:type="spellStart"/>
            <w:r w:rsidRPr="0030560F">
              <w:rPr>
                <w:rFonts w:ascii="Times New Roman" w:eastAsia="Arial" w:hAnsi="Times New Roman" w:cs="Times New Roman"/>
                <w:color w:val="000000" w:themeColor="text1"/>
                <w:sz w:val="20"/>
                <w:szCs w:val="20"/>
                <w:lang w:val="fr-FR"/>
              </w:rPr>
              <w:t>Laruelle</w:t>
            </w:r>
            <w:proofErr w:type="spellEnd"/>
            <w:r w:rsidRPr="0030560F">
              <w:rPr>
                <w:rFonts w:ascii="Times New Roman" w:eastAsia="Arial" w:hAnsi="Times New Roman" w:cs="Times New Roman"/>
                <w:color w:val="000000" w:themeColor="text1"/>
                <w:sz w:val="20"/>
                <w:szCs w:val="20"/>
                <w:lang w:val="fr-FR"/>
              </w:rPr>
              <w:t xml:space="preserve"> et al. </w:t>
            </w:r>
            <w:r w:rsidR="0030560F">
              <w:rPr>
                <w:rFonts w:ascii="Times New Roman" w:eastAsia="Arial" w:hAnsi="Times New Roman" w:cs="Times New Roman"/>
                <w:color w:val="000000" w:themeColor="text1"/>
                <w:sz w:val="20"/>
                <w:szCs w:val="20"/>
                <w:lang w:val="fr-FR"/>
              </w:rPr>
              <w:t>[</w:t>
            </w:r>
            <w:r w:rsidRPr="0030560F">
              <w:rPr>
                <w:rFonts w:ascii="Times New Roman" w:eastAsia="Arial" w:hAnsi="Times New Roman" w:cs="Times New Roman"/>
                <w:color w:val="000000" w:themeColor="text1"/>
                <w:sz w:val="20"/>
                <w:szCs w:val="20"/>
                <w:lang w:val="fr-FR"/>
              </w:rPr>
              <w:fldChar w:fldCharType="begin" w:fldLock="1"/>
            </w:r>
            <w:r w:rsidRPr="0030560F">
              <w:rPr>
                <w:rFonts w:ascii="Times New Roman" w:eastAsia="Arial" w:hAnsi="Times New Roman" w:cs="Times New Roman"/>
                <w:color w:val="000000" w:themeColor="text1"/>
                <w:sz w:val="20"/>
                <w:szCs w:val="20"/>
                <w:lang w:val="fr-FR"/>
              </w:rPr>
              <w:instrText>ADDIN CSL_CITATION {"citationItems":[{"id":"ITEM-1","itemData":{"DOI":"10.5194/hess-17-2029-2013","ISSN":"1607-7938","author":[{"dropping-particle":"","family":"Laruelle","given":"G. G.","non-dropping-particle":"","parse-names":false,"suffix":""},{"dropping-particle":"","family":"Dürr","given":"H. H.","non-dropping-particle":"","parse-names":false,"suffix":""},{"dropping-particle":"","family":"Lauerwald","given":"R.","non-dropping-particle":"","parse-names":false,"suffix":""},{"dropping-particle":"","family":"Hartmann","given":"J.","non-dropping-particle":"","parse-names":false,"suffix":""},{"dropping-particle":"","family":"Slomp","given":"C. P.","non-dropping-particle":"","parse-names":false,"suffix":""},{"dropping-particle":"","family":"Goossens","given":"N.","non-dropping-particle":"","parse-names":false,"suffix":""},{"dropping-particle":"","family":"Regnier","given":"P. a. G.","non-dropping-particle":"","parse-names":false,"suffix":""}],"container-title":"Hydrology and Earth System Sciences","id":"ITEM-1","issue":"5","issued":{"date-parts":[["2013","5"]]},"page":"2029-2051","title":"Global multi-scale segmentation of continental and coastal waters from the watersheds to the continental margins","type":"article-journal","volume":"17"},"uris":["http://www.mendeley.com/documents/?uuid=f34065a6-b97b-4e8b-a953-1b41ee97ea4b"]}],"mendeley":{"formattedCitation":"&lt;sup&gt;74&lt;/sup&gt;","plainTextFormattedCitation":"74","previouslyFormattedCitation":"&lt;sup&gt;74&lt;/sup&gt;"},"properties":{"noteIndex":0},"schema":"https://github.com/citation-style-language/schema/raw/master/csl-citation.json"}</w:instrText>
            </w:r>
            <w:r w:rsidRPr="0030560F">
              <w:rPr>
                <w:rFonts w:ascii="Times New Roman" w:eastAsia="Arial" w:hAnsi="Times New Roman" w:cs="Times New Roman"/>
                <w:color w:val="000000" w:themeColor="text1"/>
                <w:sz w:val="20"/>
                <w:szCs w:val="20"/>
                <w:lang w:val="fr-FR"/>
              </w:rPr>
              <w:fldChar w:fldCharType="separate"/>
            </w:r>
            <w:r w:rsidRPr="0030560F">
              <w:rPr>
                <w:rFonts w:ascii="Times New Roman" w:eastAsia="Arial" w:hAnsi="Times New Roman" w:cs="Times New Roman"/>
                <w:noProof/>
                <w:color w:val="000000" w:themeColor="text1"/>
                <w:sz w:val="20"/>
                <w:szCs w:val="20"/>
                <w:lang w:val="fr-FR"/>
              </w:rPr>
              <w:t>74</w:t>
            </w:r>
            <w:r w:rsidRPr="0030560F">
              <w:rPr>
                <w:rFonts w:ascii="Times New Roman" w:eastAsia="Arial" w:hAnsi="Times New Roman" w:cs="Times New Roman"/>
                <w:color w:val="000000" w:themeColor="text1"/>
                <w:sz w:val="20"/>
                <w:szCs w:val="20"/>
                <w:lang w:val="fr-FR"/>
              </w:rPr>
              <w:fldChar w:fldCharType="end"/>
            </w:r>
            <w:r w:rsidR="0030560F">
              <w:rPr>
                <w:rFonts w:ascii="Times New Roman" w:eastAsia="Arial" w:hAnsi="Times New Roman" w:cs="Times New Roman"/>
                <w:color w:val="000000" w:themeColor="text1"/>
                <w:sz w:val="20"/>
                <w:szCs w:val="20"/>
                <w:lang w:val="fr-FR"/>
              </w:rPr>
              <w:t>]</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50%</w:t>
            </w:r>
          </w:p>
        </w:tc>
      </w:tr>
      <w:tr w:rsidR="00F6749E" w:rsidRPr="0030560F" w:rsidTr="0030560F">
        <w:trPr>
          <w:trHeight w:val="600"/>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vertAlign w:val="subscript"/>
              </w:rPr>
            </w:pPr>
            <w:r w:rsidRPr="0030560F">
              <w:rPr>
                <w:rFonts w:ascii="Times New Roman" w:eastAsia="Arial" w:hAnsi="Times New Roman" w:cs="Times New Roman"/>
                <w:color w:val="000000" w:themeColor="text1"/>
                <w:sz w:val="20"/>
                <w:szCs w:val="20"/>
              </w:rPr>
              <w:t>NPP</w:t>
            </w:r>
            <w:r w:rsidRPr="0030560F">
              <w:rPr>
                <w:rFonts w:ascii="Times New Roman" w:eastAsia="Arial" w:hAnsi="Times New Roman" w:cs="Times New Roman"/>
                <w:color w:val="000000" w:themeColor="text1"/>
                <w:sz w:val="20"/>
                <w:szCs w:val="20"/>
                <w:vertAlign w:val="subscript"/>
              </w:rPr>
              <w:t>MODIS</w:t>
            </w:r>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-1792</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358</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 xml:space="preserve">Zhao et al. </w:t>
            </w:r>
            <w:r w:rsidR="0030560F">
              <w:rPr>
                <w:rFonts w:ascii="Times New Roman" w:eastAsia="Arial" w:hAnsi="Times New Roman" w:cs="Times New Roman"/>
                <w:color w:val="000000" w:themeColor="text1"/>
                <w:sz w:val="20"/>
                <w:szCs w:val="20"/>
              </w:rPr>
              <w:t>[</w:t>
            </w:r>
            <w:r w:rsidRPr="0030560F">
              <w:rPr>
                <w:rFonts w:ascii="Times New Roman" w:eastAsia="Arial" w:hAnsi="Times New Roman" w:cs="Times New Roman"/>
                <w:color w:val="000000" w:themeColor="text1"/>
                <w:sz w:val="20"/>
                <w:szCs w:val="20"/>
              </w:rPr>
              <w:fldChar w:fldCharType="begin" w:fldLock="1"/>
            </w:r>
            <w:r w:rsidRPr="0030560F">
              <w:rPr>
                <w:rFonts w:ascii="Times New Roman" w:eastAsia="Arial" w:hAnsi="Times New Roman" w:cs="Times New Roman"/>
                <w:color w:val="000000" w:themeColor="text1"/>
                <w:sz w:val="20"/>
                <w:szCs w:val="20"/>
              </w:rPr>
              <w:instrText>ADDIN CSL_CITATION {"citationItems":[{"id":"ITEM-1","itemData":{"DOI":"10.1029/2004JG000004","ISBN":"0148-0227","ISSN":"0148-0227","abstract":"The Moderate Resolution Imaging Spectroradiometer (MODIS) on board NASA's satellites, Terra and Aqua, dramatically improves our ability to accurately and continuously monitor the terrestrial biosphere. MODIS information is used to estimate global terrestrial primary production weekly and annually in near-real time at a 1-km resolution. MODIS terrestrial primary production requires daily gridded assimilation meteorological data as inputs, and the accuracy of the existing meteorological reanalysis data sets show marked differences both spatially and temporally. This study compares surface meteorological data sets from three well-documented global reanalyses, NASA Data Assimilation Office (DAO), European Centre for Medium-Range Weather Forecasts (ECMWF) (ERA-40) and National Centers for Environmental Prediction/National Center for Atmospheric Research (NCEP/NCAR) reanalysis 1, with observed weather station data and other gridded data interpolated from the observations, to evaluate the sensitivity of MODIS global terrestrial gross and net primary production (GPP and NPP) to the uncertainties of meteorological inputs both in the United States and the global vegetated areas. NCEP tends to overestimate surface solar radiation, and underestimate both temperature and vapor pressure deficit (VPD). ECMWF has the highest accuracy but its radiation is lower in tropical regions, and the accuracy of DAO lies between NCEP and ECMWF. Biases in temperature are mainly responsible for large VPD biases in reanalyses. MODIS NPP contains more uncertainties than GPP. Global total MODIS GPP and NPP driven by DAO, ECMWF, and NCEP show notable differences (&gt;20 Pg C/yr) with the highest estimates from NCEP and the lowest from ECMWF. Again, the DAO results lie somewhere between NCEP and ECMWF estimates. Spatially, the larger discrepancies among reanalyses and their derived MODIS GPP and NPP occur in the tropics. These results reveal that the biases in meteorological reanalyses can introduce substantial error into GPP and NPP estimations, and emphasize the need to minimize these biases to improve the quality of MODIS GPP and NPP products.","author":[{"dropping-particle":"","family":"Zhao","given":"Maosheng","non-dropping-particle":"","parse-names":false,"suffix":""},{"dropping-particle":"","family":"Running","given":"Steven W.","non-dropping-particle":"","parse-names":false,"suffix":""},{"dropping-particle":"","family":"Nemani","given":"Ramakrishna R.","non-dropping-particle":"","parse-names":false,"suffix":""}],"container-title":"Journal of Geophysical Research","id":"ITEM-1","issue":"G1","issued":{"date-parts":[["2006"]]},"page":"G01002","title":"Sensitivity of Moderate Resolution Imaging Spectroradiometer (MODIS) terrestrial primary production to the accuracy of meteorological reanalyses","type":"article-journal","volume":"111"},"uris":["http://www.mendeley.com/documents/?uuid=de26ed4f-683f-4acf-b548-fd2275a66e2d"]}],"mendeley":{"formattedCitation":"&lt;sup&gt;85&lt;/sup&gt;","plainTextFormattedCitation":"85","previouslyFormattedCitation":"&lt;sup&gt;85&lt;/sup&gt;"},"properties":{"noteIndex":0},"schema":"https://github.com/citation-style-language/schema/raw/master/csl-citation.json"}</w:instrText>
            </w:r>
            <w:r w:rsidRPr="0030560F">
              <w:rPr>
                <w:rFonts w:ascii="Times New Roman" w:eastAsia="Arial" w:hAnsi="Times New Roman" w:cs="Times New Roman"/>
                <w:color w:val="000000" w:themeColor="text1"/>
                <w:sz w:val="20"/>
                <w:szCs w:val="20"/>
              </w:rPr>
              <w:fldChar w:fldCharType="separate"/>
            </w:r>
            <w:r w:rsidRPr="0030560F">
              <w:rPr>
                <w:rFonts w:ascii="Times New Roman" w:eastAsia="Arial" w:hAnsi="Times New Roman" w:cs="Times New Roman"/>
                <w:noProof/>
                <w:color w:val="000000" w:themeColor="text1"/>
                <w:sz w:val="20"/>
                <w:szCs w:val="20"/>
              </w:rPr>
              <w:t>85</w:t>
            </w:r>
            <w:r w:rsidRPr="0030560F">
              <w:rPr>
                <w:rFonts w:ascii="Times New Roman" w:eastAsia="Arial" w:hAnsi="Times New Roman" w:cs="Times New Roman"/>
                <w:color w:val="000000" w:themeColor="text1"/>
                <w:sz w:val="20"/>
                <w:szCs w:val="20"/>
              </w:rPr>
              <w:fldChar w:fldCharType="end"/>
            </w:r>
            <w:r w:rsidR="0030560F">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 xml:space="preserve">20% </w:t>
            </w:r>
          </w:p>
        </w:tc>
      </w:tr>
      <w:tr w:rsidR="00F6749E" w:rsidRPr="0030560F" w:rsidTr="0030560F">
        <w:trPr>
          <w:trHeight w:val="600"/>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vertAlign w:val="subscript"/>
              </w:rPr>
            </w:pPr>
            <w:r w:rsidRPr="0030560F">
              <w:rPr>
                <w:rFonts w:ascii="Times New Roman" w:eastAsia="Arial" w:hAnsi="Times New Roman" w:cs="Times New Roman"/>
                <w:color w:val="000000" w:themeColor="text1"/>
                <w:sz w:val="20"/>
                <w:szCs w:val="20"/>
              </w:rPr>
              <w:lastRenderedPageBreak/>
              <w:t>NPP</w:t>
            </w:r>
            <w:r w:rsidRPr="0030560F">
              <w:rPr>
                <w:rFonts w:ascii="Times New Roman" w:eastAsia="Arial" w:hAnsi="Times New Roman" w:cs="Times New Roman"/>
                <w:color w:val="000000" w:themeColor="text1"/>
                <w:sz w:val="20"/>
                <w:szCs w:val="20"/>
                <w:vertAlign w:val="subscript"/>
              </w:rPr>
              <w:t>BETHY</w:t>
            </w:r>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-1243</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249</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Tum et al.</w:t>
            </w:r>
            <w:r w:rsidR="0030560F">
              <w:rPr>
                <w:rFonts w:ascii="Times New Roman" w:eastAsia="Arial" w:hAnsi="Times New Roman" w:cs="Times New Roman"/>
                <w:color w:val="000000" w:themeColor="text1"/>
                <w:sz w:val="20"/>
                <w:szCs w:val="20"/>
              </w:rPr>
              <w:t xml:space="preserve"> [</w:t>
            </w:r>
            <w:r w:rsidRPr="0030560F">
              <w:rPr>
                <w:rFonts w:ascii="Times New Roman" w:eastAsia="Arial" w:hAnsi="Times New Roman" w:cs="Times New Roman"/>
                <w:color w:val="000000" w:themeColor="text1"/>
                <w:sz w:val="20"/>
                <w:szCs w:val="20"/>
              </w:rPr>
              <w:fldChar w:fldCharType="begin" w:fldLock="1"/>
            </w:r>
            <w:r w:rsidRPr="0030560F">
              <w:rPr>
                <w:rFonts w:ascii="Times New Roman" w:eastAsia="Arial" w:hAnsi="Times New Roman" w:cs="Times New Roman"/>
                <w:color w:val="000000" w:themeColor="text1"/>
                <w:sz w:val="20"/>
                <w:szCs w:val="20"/>
              </w:rPr>
              <w:instrText>ADDIN CSL_CITATION {"citationItems":[{"id":"ITEM-1","itemData":{"DOI":"10.5194/gmd-6-1623-2013","ISSN":"1991-9603","abstract":"&lt;p&gt;&lt;p&gt;&lt;strong&gt;Abstract.&lt;/strong&gt; In this study we compare monthly gross primary productivity (GPP) time series (2000–2007), computed for Europe with the Biosphere Energy Transfer Hydrology (BETHY/DLR) model with monthly data from the eddy covariance measurements network FLUXNET. BETHY/DLR with a spatial resolution of 1 km&lt;sup&gt;2&lt;/sup&gt; is designed for regional and continental applications (here Europe) and operated at the German Aerospace Center (DLR). It was adapted from the BETHY scheme to be driven by remote sensing data (leaf area index (LAI) and land cover information) and meteorology. Time series of LAI obtained from the CYCLOPES database are used to control the phenology of vegetation. Meteorological time series from the European Centre for Medium-Range Weather Forecasts (ECMWF) are used as driver. These comprise daily information on temperature, precipitation, wind speed and radiation. Additionally, static maps such as land cover, elevation, and soil type are used. To validate our model results we used eddy covariance measurements from the FLUXNET network of 74 towers across Europe. For forest sites we found that our model predicts between 20 and 40% higher annual GPP sums. In contrast, for cropland sites BETHY/DLR results show about 18% less GPP than eddy covariance measurements. For grassland sites, between 10% more and 16% less GPP was calculated with BETHY/DLR. A mean total carbon uptake of 2.5 PgC a&lt;sup&gt;−1&lt;/sup&gt; (±0.17 PgC a&lt;sup&gt;−1&lt;/sup&gt;) was found for Europe. In addition, this study reports on risks that arise from the comparison of modelled data to FLUXNET measurements and their interpretation width. Furthermore we investigate reasons for uncertainties in model results and focus here on &lt;i&gt;V&lt;/i&gt;&lt;sub&gt;max&lt;/sub&gt; values, and finally embed our results into a broader context of model validation studies published during the last years in order to evaluate differences or similarities in analysed error sources.&lt;/p&gt;&lt;/p&gt;","author":[{"dropping-particle":"","family":"Wißkirchen","given":"K.","non-dropping-particle":"","parse-names":false,"suffix":""},{"dropping-particle":"","family":"Tum","given":"M.","non-dropping-particle":"","parse-names":false,"suffix":""},{"dropping-particle":"","family":"Günther","given":"K. P.","non-dropping-particle":"","parse-names":false,"suffix":""},{"dropping-particle":"","family":"Niklaus","given":"M.","non-dropping-particle":"","parse-names":false,"suffix":""},{"dropping-particle":"","family":"Eisfelder","given":"C.","non-dropping-particle":"","parse-names":false,"suffix":""},{"dropping-particle":"","family":"Knorr","given":"W.","non-dropping-particle":"","parse-names":false,"suffix":""}],"container-title":"Geoscientific Model Development","id":"ITEM-1","issue":"5","issued":{"date-parts":[["2013","10","8"]]},"page":"1623-1640","title":"Quantifying the carbon uptake by vegetation for Europe on a 1 km&amp;amp;lt;sup&amp;amp;gt;2&amp;amp;lt;/sup&amp;amp;gt; resolution using a remote sensing driven vegetation model","type":"article-journal","volume":"6"},"uris":["http://www.mendeley.com/documents/?uuid=2a66f9b9-97fa-3434-9682-3dc7a55bd2e9"]}],"mendeley":{"formattedCitation":"&lt;sup&gt;23&lt;/sup&gt;","plainTextFormattedCitation":"23","previouslyFormattedCitation":"&lt;sup&gt;23&lt;/sup&gt;"},"properties":{"noteIndex":0},"schema":"https://github.com/citation-style-language/schema/raw/master/csl-citation.json"}</w:instrText>
            </w:r>
            <w:r w:rsidRPr="0030560F">
              <w:rPr>
                <w:rFonts w:ascii="Times New Roman" w:eastAsia="Arial" w:hAnsi="Times New Roman" w:cs="Times New Roman"/>
                <w:color w:val="000000" w:themeColor="text1"/>
                <w:sz w:val="20"/>
                <w:szCs w:val="20"/>
              </w:rPr>
              <w:fldChar w:fldCharType="separate"/>
            </w:r>
            <w:r w:rsidRPr="0030560F">
              <w:rPr>
                <w:rFonts w:ascii="Times New Roman" w:eastAsia="Arial" w:hAnsi="Times New Roman" w:cs="Times New Roman"/>
                <w:noProof/>
                <w:color w:val="000000" w:themeColor="text1"/>
                <w:sz w:val="20"/>
                <w:szCs w:val="20"/>
              </w:rPr>
              <w:t>23</w:t>
            </w:r>
            <w:r w:rsidRPr="0030560F">
              <w:rPr>
                <w:rFonts w:ascii="Times New Roman" w:eastAsia="Arial" w:hAnsi="Times New Roman" w:cs="Times New Roman"/>
                <w:color w:val="000000" w:themeColor="text1"/>
                <w:sz w:val="20"/>
                <w:szCs w:val="20"/>
              </w:rPr>
              <w:fldChar w:fldCharType="end"/>
            </w:r>
            <w:r w:rsidR="0030560F">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20%</w:t>
            </w:r>
          </w:p>
        </w:tc>
      </w:tr>
      <w:tr w:rsidR="00F6749E" w:rsidRPr="0030560F" w:rsidTr="0030560F">
        <w:trPr>
          <w:trHeight w:val="600"/>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vertAlign w:val="subscript"/>
              </w:rPr>
            </w:pPr>
            <w:r w:rsidRPr="0030560F">
              <w:rPr>
                <w:rFonts w:ascii="Times New Roman" w:eastAsia="Arial" w:hAnsi="Times New Roman" w:cs="Times New Roman"/>
                <w:color w:val="000000" w:themeColor="text1"/>
                <w:sz w:val="20"/>
                <w:szCs w:val="20"/>
              </w:rPr>
              <w:t>NPP</w:t>
            </w:r>
            <w:r w:rsidRPr="0030560F">
              <w:rPr>
                <w:rFonts w:ascii="Times New Roman" w:eastAsia="Arial" w:hAnsi="Times New Roman" w:cs="Times New Roman"/>
                <w:color w:val="000000" w:themeColor="text1"/>
                <w:sz w:val="20"/>
                <w:szCs w:val="20"/>
                <w:vertAlign w:val="subscript"/>
              </w:rPr>
              <w:t>GIMMS</w:t>
            </w:r>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-1868</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374</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Kolby Smith et al.</w:t>
            </w:r>
            <w:r w:rsidR="0030560F">
              <w:rPr>
                <w:rFonts w:ascii="Times New Roman" w:eastAsia="Arial" w:hAnsi="Times New Roman" w:cs="Times New Roman"/>
                <w:color w:val="000000" w:themeColor="text1"/>
                <w:sz w:val="20"/>
                <w:szCs w:val="20"/>
              </w:rPr>
              <w:t xml:space="preserve"> [</w:t>
            </w:r>
            <w:r w:rsidRPr="0030560F">
              <w:rPr>
                <w:rFonts w:ascii="Times New Roman" w:eastAsia="Arial" w:hAnsi="Times New Roman" w:cs="Times New Roman"/>
                <w:color w:val="000000" w:themeColor="text1"/>
                <w:sz w:val="20"/>
                <w:szCs w:val="20"/>
              </w:rPr>
              <w:fldChar w:fldCharType="begin" w:fldLock="1"/>
            </w:r>
            <w:r w:rsidRPr="0030560F">
              <w:rPr>
                <w:rFonts w:ascii="Times New Roman" w:eastAsia="Arial" w:hAnsi="Times New Roman" w:cs="Times New Roman"/>
                <w:color w:val="000000" w:themeColor="text1"/>
                <w:sz w:val="20"/>
                <w:szCs w:val="20"/>
              </w:rPr>
              <w:instrText>ADDIN CSL_CITATION {"citationItems":[{"id":"ITEM-1","itemData":{"author":[{"dropping-particle":"","family":"Kolby Smith","given":"W","non-dropping-particle":"","parse-names":false,"suffix":""},{"dropping-particle":"","family":"Reed","given":"Sasha C","non-dropping-particle":"","parse-names":false,"suffix":""},{"dropping-particle":"","family":"Cleveland","given":"Cory C","non-dropping-particle":"","parse-names":false,"suffix":""},{"dropping-particle":"","family":"Ballantyne","given":"Ashley P","non-dropping-particle":"","parse-names":false,"suffix":""},{"dropping-particle":"","family":"Anderegg","given":"William R L","non-dropping-particle":"","parse-names":false,"suffix":""},{"dropping-particle":"","family":"Wieder","given":"William R","non-dropping-particle":"","parse-names":false,"suffix":""},{"dropping-particle":"","family":"Liu","given":"Yi Y","non-dropping-particle":"","parse-names":false,"suffix":""},{"dropping-particle":"","family":"Running","given":"Steven W","non-dropping-particle":"","parse-names":false,"suffix":""}],"container-title":"Nature Climate Change","id":"ITEM-1","issued":{"date-parts":[["2015","12","7"]]},"page":"306","publisher":"Nature Publishing Group","title":"Large divergence of satellite and Earth system model estimates of global terrestrial CO2 fertilization","type":"article-journal","volume":"6"},"uris":["http://www.mendeley.com/documents/?uuid=61d003ae-325e-49c5-adc9-b80e731e237f"]}],"mendeley":{"formattedCitation":"&lt;sup&gt;24&lt;/sup&gt;","plainTextFormattedCitation":"24","previouslyFormattedCitation":"&lt;sup&gt;24&lt;/sup&gt;"},"properties":{"noteIndex":0},"schema":"https://github.com/citation-style-language/schema/raw/master/csl-citation.json"}</w:instrText>
            </w:r>
            <w:r w:rsidRPr="0030560F">
              <w:rPr>
                <w:rFonts w:ascii="Times New Roman" w:eastAsia="Arial" w:hAnsi="Times New Roman" w:cs="Times New Roman"/>
                <w:color w:val="000000" w:themeColor="text1"/>
                <w:sz w:val="20"/>
                <w:szCs w:val="20"/>
              </w:rPr>
              <w:fldChar w:fldCharType="separate"/>
            </w:r>
            <w:r w:rsidRPr="0030560F">
              <w:rPr>
                <w:rFonts w:ascii="Times New Roman" w:eastAsia="Arial" w:hAnsi="Times New Roman" w:cs="Times New Roman"/>
                <w:noProof/>
                <w:color w:val="000000" w:themeColor="text1"/>
                <w:sz w:val="20"/>
                <w:szCs w:val="20"/>
              </w:rPr>
              <w:t>24</w:t>
            </w:r>
            <w:r w:rsidRPr="0030560F">
              <w:rPr>
                <w:rFonts w:ascii="Times New Roman" w:eastAsia="Arial" w:hAnsi="Times New Roman" w:cs="Times New Roman"/>
                <w:color w:val="000000" w:themeColor="text1"/>
                <w:sz w:val="20"/>
                <w:szCs w:val="20"/>
              </w:rPr>
              <w:fldChar w:fldCharType="end"/>
            </w:r>
            <w:r w:rsidR="0030560F">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20%</w:t>
            </w:r>
          </w:p>
        </w:tc>
      </w:tr>
      <w:tr w:rsidR="00F6749E" w:rsidRPr="0030560F" w:rsidTr="0030560F">
        <w:trPr>
          <w:trHeight w:val="600"/>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vertAlign w:val="subscript"/>
              </w:rPr>
            </w:pPr>
            <w:r w:rsidRPr="0030560F">
              <w:rPr>
                <w:rFonts w:ascii="Times New Roman" w:eastAsia="Arial" w:hAnsi="Times New Roman" w:cs="Times New Roman"/>
                <w:color w:val="000000" w:themeColor="text1"/>
                <w:sz w:val="20"/>
                <w:szCs w:val="20"/>
              </w:rPr>
              <w:t>NPP</w:t>
            </w:r>
            <w:r w:rsidRPr="0030560F">
              <w:rPr>
                <w:rFonts w:ascii="Times New Roman" w:eastAsia="Arial" w:hAnsi="Times New Roman" w:cs="Times New Roman"/>
                <w:color w:val="000000" w:themeColor="text1"/>
                <w:sz w:val="20"/>
                <w:szCs w:val="20"/>
                <w:vertAlign w:val="subscript"/>
              </w:rPr>
              <w:t>CARDAMOM</w:t>
            </w:r>
          </w:p>
        </w:tc>
        <w:tc>
          <w:tcPr>
            <w:tcW w:w="63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-1563</w:t>
            </w:r>
          </w:p>
        </w:tc>
        <w:tc>
          <w:tcPr>
            <w:tcW w:w="27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750"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515</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 xml:space="preserve">Bloom et al. </w:t>
            </w:r>
            <w:r w:rsidR="0030560F">
              <w:rPr>
                <w:rFonts w:ascii="Times New Roman" w:eastAsia="Arial" w:hAnsi="Times New Roman" w:cs="Times New Roman"/>
                <w:color w:val="000000" w:themeColor="text1"/>
                <w:sz w:val="20"/>
                <w:szCs w:val="20"/>
              </w:rPr>
              <w:t>[</w:t>
            </w:r>
            <w:r w:rsidRPr="0030560F">
              <w:rPr>
                <w:rFonts w:ascii="Times New Roman" w:eastAsia="Arial" w:hAnsi="Times New Roman" w:cs="Times New Roman"/>
                <w:color w:val="000000" w:themeColor="text1"/>
                <w:sz w:val="20"/>
                <w:szCs w:val="20"/>
              </w:rPr>
              <w:fldChar w:fldCharType="begin" w:fldLock="1"/>
            </w:r>
            <w:r w:rsidRPr="0030560F">
              <w:rPr>
                <w:rFonts w:ascii="Times New Roman" w:eastAsia="Arial" w:hAnsi="Times New Roman" w:cs="Times New Roman"/>
                <w:color w:val="000000" w:themeColor="text1"/>
                <w:sz w:val="20"/>
                <w:szCs w:val="20"/>
              </w:rPr>
              <w:instrText>ADDIN CSL_CITATION {"citationItems":[{"id":"ITEM-1","itemData":{"DOI":"10.1073/pnas.1515160113","ISSN":"0027-8424","abstract":"Quantitative knowledge of terrestrial carbon pathways and processes is fundamental for understanding the biosphere{\\textquoteright}s response to a changing climate. Carbon allocation, stocks, and residence times together define the dynamic state of the terrestrial carbon cycle. These quantities are difficult to measure and remain poorly quantified on a global scale. Here, we retrieve global 1{\\textdegree} {\\texttimes} 1{\\textdegree} carbon state and process variables by combining a carbon balance model with satellite observations of biomass and leaf area (where and when available) and global soil carbon data. Our results reveal emergent continental-scale patterns and relationships between carbon states and processes. We find that conventional land cover types cannot capture continental-scale variations of retrieved carbon variables; this mismatch has strong implications for terrestrial carbon cycle predictions.The terrestrial carbon cycle is currently the least constrained component of the global carbon budget. Large uncertainties stem from a poor understanding of plant carbon allocation, stocks, residence times, and carbon use efficiency. Imposing observational constraints on the terrestrial carbon cycle and its processes is, therefore, necessary to better understand its current state and predict its future state. We combine a diagnostic ecosystem carbon model with satellite observations of leaf area and biomass (where and when available) and soil carbon data to retrieve the first global estimates, to our knowledge, of carbon cycle state and process variables at a 1{\\textdegree} {\\texttimes} 1{\\textdegree} resolution; retrieved variables are independent from the plant functional type and steady-state paradigms. Our results reveal global emergent relationships in the spatial distribution of key carbon cycle states and processes. Live biomass and dead organic carbon residence times exhibit contrasting spatial features (r = 0.3). Allocation to structural carbon is highest in the wet tropics (85{\\textendash}88%) in contrast to higher latitudes (73{\\textendash}82%), where allocation shifts toward photosynthetic carbon. Carbon use efficiency is lowest (0.42{\\textendash}0.44) in the wet tropics. We find an emergent global correlation between retrievals of leaf mass per leaf area and leaf lifespan (r = 0.64{\\textendash}0.80) that matches independent trait studies. We show that conventional land cover types cannot adequately describe the spatial variability of …","author":[{"dropping-particle":"","family":"Bloom","given":"A Anthony","non-dropping-particle":"","parse-names":false,"suffix":""},{"dropping-particle":"","family":"Exbrayat","given":"Jean-François","non-dropping-particle":"","parse-names":false,"suffix":""},{"dropping-particle":"","family":"Velde","given":"Ivar R","non-dropping-particle":"van der","parse-names":false,"suffix":""},{"dropping-particle":"","family":"Feng","given":"Liang","non-dropping-particle":"","parse-names":false,"suffix":""},{"dropping-particle":"","family":"Williams","given":"Mathew","non-dropping-particle":"","parse-names":false,"suffix":""}],"container-title":"Proceedings of the National Academy of Sciences","id":"ITEM-1","issue":"5","issued":{"date-parts":[["2016"]]},"page":"1285-1290","publisher":"National Academy of Sciences","title":"The decadal state of the terrestrial carbon cycle: Global retrievals of terrestrial carbon allocation, pools, and residence times","type":"article-journal","volume":"113"},"uris":["http://www.mendeley.com/documents/?uuid=6f80c03b-935a-4bff-b909-17256e12378d"]}],"mendeley":{"formattedCitation":"&lt;sup&gt;25&lt;/sup&gt;","plainTextFormattedCitation":"25","previouslyFormattedCitation":"&lt;sup&gt;25&lt;/sup&gt;"},"properties":{"noteIndex":0},"schema":"https://github.com/citation-style-language/schema/raw/master/csl-citation.json"}</w:instrText>
            </w:r>
            <w:r w:rsidRPr="0030560F">
              <w:rPr>
                <w:rFonts w:ascii="Times New Roman" w:eastAsia="Arial" w:hAnsi="Times New Roman" w:cs="Times New Roman"/>
                <w:color w:val="000000" w:themeColor="text1"/>
                <w:sz w:val="20"/>
                <w:szCs w:val="20"/>
              </w:rPr>
              <w:fldChar w:fldCharType="separate"/>
            </w:r>
            <w:r w:rsidRPr="0030560F">
              <w:rPr>
                <w:rFonts w:ascii="Times New Roman" w:eastAsia="Arial" w:hAnsi="Times New Roman" w:cs="Times New Roman"/>
                <w:noProof/>
                <w:color w:val="000000" w:themeColor="text1"/>
                <w:sz w:val="20"/>
                <w:szCs w:val="20"/>
              </w:rPr>
              <w:t>25</w:t>
            </w:r>
            <w:r w:rsidRPr="0030560F">
              <w:rPr>
                <w:rFonts w:ascii="Times New Roman" w:eastAsia="Arial" w:hAnsi="Times New Roman" w:cs="Times New Roman"/>
                <w:color w:val="000000" w:themeColor="text1"/>
                <w:sz w:val="20"/>
                <w:szCs w:val="20"/>
              </w:rPr>
              <w:fldChar w:fldCharType="end"/>
            </w:r>
            <w:r w:rsidR="0030560F">
              <w:rPr>
                <w:rFonts w:ascii="Times New Roman" w:eastAsia="Arial" w:hAnsi="Times New Roman" w:cs="Times New Roman"/>
                <w:color w:val="000000" w:themeColor="text1"/>
                <w:sz w:val="20"/>
                <w:szCs w:val="20"/>
              </w:rPr>
              <w:t>]</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20%</w:t>
            </w:r>
          </w:p>
        </w:tc>
      </w:tr>
      <w:tr w:rsidR="00F6749E" w:rsidRPr="0030560F" w:rsidTr="0030560F">
        <w:trPr>
          <w:trHeight w:val="600"/>
        </w:trPr>
        <w:tc>
          <w:tcPr>
            <w:tcW w:w="1815" w:type="dxa"/>
            <w:shd w:val="clear" w:color="auto" w:fill="auto"/>
            <w:tcMar>
              <w:top w:w="100" w:type="dxa"/>
              <w:left w:w="100" w:type="dxa"/>
              <w:bottom w:w="100" w:type="dxa"/>
              <w:right w:w="100" w:type="dxa"/>
            </w:tcMar>
            <w:vAlign w:val="center"/>
          </w:tcPr>
          <w:p w:rsidR="00F6749E" w:rsidRPr="0030560F" w:rsidRDefault="00F6749E" w:rsidP="0030560F">
            <w:pPr>
              <w:widowControl w:val="0"/>
              <w:contextualSpacing/>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Soil Het. Resp.</w:t>
            </w:r>
          </w:p>
        </w:tc>
        <w:tc>
          <w:tcPr>
            <w:tcW w:w="630" w:type="dxa"/>
            <w:tcMar>
              <w:top w:w="0" w:type="dxa"/>
              <w:left w:w="0" w:type="dxa"/>
              <w:bottom w:w="0" w:type="dxa"/>
              <w:right w:w="0" w:type="dxa"/>
            </w:tcMar>
            <w:vAlign w:val="center"/>
          </w:tcPr>
          <w:p w:rsidR="00F6749E" w:rsidRPr="0030560F" w:rsidRDefault="00F6749E" w:rsidP="0030560F">
            <w:pPr>
              <w:widowControl w:val="0"/>
              <w:contextualSpacing/>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1269</w:t>
            </w:r>
          </w:p>
        </w:tc>
        <w:tc>
          <w:tcPr>
            <w:tcW w:w="1020" w:type="dxa"/>
            <w:gridSpan w:val="2"/>
            <w:tcMar>
              <w:top w:w="0" w:type="dxa"/>
              <w:left w:w="0" w:type="dxa"/>
              <w:bottom w:w="0" w:type="dxa"/>
              <w:right w:w="0" w:type="dxa"/>
            </w:tcMar>
            <w:vAlign w:val="center"/>
          </w:tcPr>
          <w:p w:rsidR="00F6749E" w:rsidRPr="0030560F" w:rsidRDefault="00F6749E" w:rsidP="0030560F">
            <w:pPr>
              <w:widowControl w:val="0"/>
              <w:contextualSpacing/>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(954,1602)</w:t>
            </w:r>
          </w:p>
        </w:tc>
        <w:tc>
          <w:tcPr>
            <w:tcW w:w="3755" w:type="dxa"/>
            <w:shd w:val="clear" w:color="auto" w:fill="auto"/>
            <w:tcMar>
              <w:top w:w="100" w:type="dxa"/>
              <w:left w:w="100" w:type="dxa"/>
              <w:bottom w:w="100" w:type="dxa"/>
              <w:right w:w="100" w:type="dxa"/>
            </w:tcMar>
            <w:vAlign w:val="center"/>
          </w:tcPr>
          <w:p w:rsidR="00F6749E" w:rsidRPr="0030560F" w:rsidRDefault="00F6749E" w:rsidP="0030560F">
            <w:pPr>
              <w:widowControl w:val="0"/>
              <w:contextualSpacing/>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Equation (2)</w:t>
            </w:r>
          </w:p>
        </w:tc>
        <w:tc>
          <w:tcPr>
            <w:tcW w:w="1720" w:type="dxa"/>
            <w:shd w:val="clear" w:color="auto" w:fill="auto"/>
            <w:tcMar>
              <w:top w:w="100" w:type="dxa"/>
              <w:left w:w="100" w:type="dxa"/>
              <w:bottom w:w="100" w:type="dxa"/>
              <w:right w:w="100" w:type="dxa"/>
            </w:tcMar>
            <w:vAlign w:val="center"/>
          </w:tcPr>
          <w:p w:rsidR="00F6749E" w:rsidRPr="0030560F" w:rsidRDefault="00F6749E" w:rsidP="0030560F">
            <w:pPr>
              <w:widowControl w:val="0"/>
              <w:contextualSpacing/>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Inter-quartile from Monte Carlo (methods)</w:t>
            </w:r>
          </w:p>
        </w:tc>
      </w:tr>
    </w:tbl>
    <w:p w:rsidR="00F6749E" w:rsidRPr="0030560F" w:rsidRDefault="00F6749E" w:rsidP="00F6749E">
      <w:pPr>
        <w:rPr>
          <w:rFonts w:ascii="Times New Roman" w:eastAsia="Arial" w:hAnsi="Times New Roman" w:cs="Times New Roman"/>
          <w:color w:val="000000" w:themeColor="text1"/>
          <w:sz w:val="20"/>
          <w:szCs w:val="20"/>
        </w:rPr>
      </w:pPr>
    </w:p>
    <w:p w:rsidR="00F6749E" w:rsidRPr="0030560F" w:rsidRDefault="0030560F"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a</w:t>
      </w:r>
      <w:r w:rsidR="00F6749E" w:rsidRPr="0030560F">
        <w:rPr>
          <w:rFonts w:ascii="Times New Roman" w:eastAsia="Arial" w:hAnsi="Times New Roman" w:cs="Times New Roman"/>
          <w:color w:val="000000" w:themeColor="text1"/>
          <w:sz w:val="20"/>
          <w:szCs w:val="20"/>
        </w:rPr>
        <w:tab/>
      </w:r>
      <w:proofErr w:type="spellStart"/>
      <w:r w:rsidR="00F6749E" w:rsidRPr="0030560F">
        <w:rPr>
          <w:rFonts w:ascii="Times New Roman" w:eastAsia="Arial" w:hAnsi="Times New Roman" w:cs="Times New Roman"/>
          <w:color w:val="000000" w:themeColor="text1"/>
          <w:sz w:val="20"/>
          <w:szCs w:val="20"/>
        </w:rPr>
        <w:t>Haverd</w:t>
      </w:r>
      <w:proofErr w:type="spellEnd"/>
      <w:r w:rsidR="00F6749E" w:rsidRPr="0030560F">
        <w:rPr>
          <w:rFonts w:ascii="Times New Roman" w:eastAsia="Arial" w:hAnsi="Times New Roman" w:cs="Times New Roman"/>
          <w:color w:val="000000" w:themeColor="text1"/>
          <w:sz w:val="20"/>
          <w:szCs w:val="20"/>
        </w:rPr>
        <w:t xml:space="preserve"> et al. from their change of territorial C stocks (biosphere + wood products)</w:t>
      </w:r>
    </w:p>
    <w:p w:rsidR="00F6749E" w:rsidRPr="0030560F" w:rsidRDefault="0030560F"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b</w:t>
      </w:r>
      <w:r w:rsidR="00F6749E" w:rsidRPr="0030560F">
        <w:rPr>
          <w:rFonts w:ascii="Times New Roman" w:eastAsia="Arial" w:hAnsi="Times New Roman" w:cs="Times New Roman"/>
          <w:color w:val="000000" w:themeColor="text1"/>
          <w:sz w:val="20"/>
          <w:szCs w:val="20"/>
        </w:rPr>
        <w:tab/>
        <w:t xml:space="preserve">River C transport to estuaries and estuaries C outgassing are both assumed a relative uncertainty of 50%. The total error on </w:t>
      </w:r>
      <w:proofErr w:type="spellStart"/>
      <w:r w:rsidR="00F6749E" w:rsidRPr="0030560F">
        <w:rPr>
          <w:rFonts w:ascii="Times New Roman" w:eastAsia="Arial" w:hAnsi="Times New Roman" w:cs="Times New Roman"/>
          <w:color w:val="000000" w:themeColor="text1"/>
          <w:sz w:val="20"/>
          <w:szCs w:val="20"/>
        </w:rPr>
        <w:t>F</w:t>
      </w:r>
      <w:r w:rsidR="00F6749E" w:rsidRPr="0030560F">
        <w:rPr>
          <w:rFonts w:ascii="Times New Roman" w:eastAsia="Arial" w:hAnsi="Times New Roman" w:cs="Times New Roman"/>
          <w:color w:val="000000" w:themeColor="text1"/>
          <w:sz w:val="20"/>
          <w:szCs w:val="20"/>
          <w:vertAlign w:val="subscript"/>
        </w:rPr>
        <w:t>rivers</w:t>
      </w:r>
      <w:proofErr w:type="spellEnd"/>
      <w:r w:rsidR="00F6749E" w:rsidRPr="0030560F">
        <w:rPr>
          <w:rFonts w:ascii="Times New Roman" w:eastAsia="Arial" w:hAnsi="Times New Roman" w:cs="Times New Roman"/>
          <w:color w:val="000000" w:themeColor="text1"/>
          <w:sz w:val="20"/>
          <w:szCs w:val="20"/>
          <w:vertAlign w:val="subscript"/>
        </w:rPr>
        <w:t xml:space="preserve"> </w:t>
      </w:r>
      <w:r w:rsidR="00F6749E" w:rsidRPr="0030560F">
        <w:rPr>
          <w:rFonts w:ascii="Times New Roman" w:eastAsia="Arial" w:hAnsi="Times New Roman" w:cs="Times New Roman"/>
          <w:color w:val="000000" w:themeColor="text1"/>
          <w:sz w:val="20"/>
          <w:szCs w:val="20"/>
        </w:rPr>
        <w:t>is calculated by assuming these two terms have independent uncertainties</w:t>
      </w:r>
    </w:p>
    <w:p w:rsidR="00F6749E" w:rsidRPr="0030560F" w:rsidRDefault="0030560F"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c</w:t>
      </w:r>
      <w:r w:rsidR="00F6749E" w:rsidRPr="0030560F">
        <w:rPr>
          <w:rFonts w:ascii="Times New Roman" w:eastAsia="Arial" w:hAnsi="Times New Roman" w:cs="Times New Roman"/>
          <w:color w:val="000000" w:themeColor="text1"/>
          <w:sz w:val="20"/>
          <w:szCs w:val="20"/>
        </w:rPr>
        <w:tab/>
        <w:t>The total error on NEE</w:t>
      </w:r>
      <w:r w:rsidR="00F6749E" w:rsidRPr="0030560F">
        <w:rPr>
          <w:rFonts w:ascii="Times New Roman" w:eastAsia="Arial" w:hAnsi="Times New Roman" w:cs="Times New Roman"/>
          <w:color w:val="000000" w:themeColor="text1"/>
          <w:sz w:val="20"/>
          <w:szCs w:val="20"/>
          <w:vertAlign w:val="subscript"/>
        </w:rPr>
        <w:t xml:space="preserve"> </w:t>
      </w:r>
      <w:r w:rsidR="00F6749E" w:rsidRPr="0030560F">
        <w:rPr>
          <w:rFonts w:ascii="Times New Roman" w:eastAsia="Arial" w:hAnsi="Times New Roman" w:cs="Times New Roman"/>
          <w:color w:val="000000" w:themeColor="text1"/>
          <w:sz w:val="20"/>
          <w:szCs w:val="20"/>
        </w:rPr>
        <w:t>is calculated by assuming each  term of Eq. (1)  have independent uncertainties</w:t>
      </w:r>
    </w:p>
    <w:p w:rsidR="00F6749E" w:rsidRPr="0030560F" w:rsidRDefault="0030560F"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d</w:t>
      </w:r>
      <w:r w:rsidR="00F6749E" w:rsidRPr="0030560F">
        <w:rPr>
          <w:rFonts w:ascii="Times New Roman" w:eastAsia="Arial" w:hAnsi="Times New Roman" w:cs="Times New Roman"/>
          <w:color w:val="000000" w:themeColor="text1"/>
          <w:sz w:val="20"/>
          <w:szCs w:val="20"/>
        </w:rPr>
        <w:tab/>
        <w:t xml:space="preserve">Uncertainty from </w:t>
      </w:r>
      <w:proofErr w:type="spellStart"/>
      <w:r w:rsidR="00F6749E" w:rsidRPr="0030560F">
        <w:rPr>
          <w:rFonts w:ascii="Times New Roman" w:eastAsia="Arial" w:hAnsi="Times New Roman" w:cs="Times New Roman"/>
          <w:color w:val="000000" w:themeColor="text1"/>
          <w:sz w:val="20"/>
          <w:szCs w:val="20"/>
        </w:rPr>
        <w:t>Haverd</w:t>
      </w:r>
      <w:proofErr w:type="spellEnd"/>
      <w:r w:rsidR="00F6749E" w:rsidRPr="0030560F">
        <w:rPr>
          <w:rFonts w:ascii="Times New Roman" w:eastAsia="Arial" w:hAnsi="Times New Roman" w:cs="Times New Roman"/>
          <w:color w:val="000000" w:themeColor="text1"/>
          <w:sz w:val="20"/>
          <w:szCs w:val="20"/>
        </w:rPr>
        <w:t xml:space="preserve"> et al. for wood products decay emissions and estimated by Monte Carlo approach by Wang et al. for biomass burned in industry and power plants</w:t>
      </w:r>
    </w:p>
    <w:p w:rsidR="00F6749E" w:rsidRPr="0030560F" w:rsidRDefault="0030560F"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e</w:t>
      </w:r>
      <w:r w:rsidR="00F6749E" w:rsidRPr="0030560F">
        <w:rPr>
          <w:rFonts w:ascii="Times New Roman" w:eastAsia="Arial" w:hAnsi="Times New Roman" w:cs="Times New Roman"/>
          <w:color w:val="000000" w:themeColor="text1"/>
          <w:sz w:val="20"/>
          <w:szCs w:val="20"/>
        </w:rPr>
        <w:tab/>
      </w:r>
      <w:proofErr w:type="spellStart"/>
      <w:r w:rsidR="00F6749E" w:rsidRPr="0030560F">
        <w:rPr>
          <w:rFonts w:ascii="Times New Roman" w:eastAsia="Arial" w:hAnsi="Times New Roman" w:cs="Times New Roman"/>
          <w:color w:val="000000" w:themeColor="text1"/>
          <w:sz w:val="20"/>
          <w:szCs w:val="20"/>
        </w:rPr>
        <w:t>F</w:t>
      </w:r>
      <w:r w:rsidR="00F6749E" w:rsidRPr="0030560F">
        <w:rPr>
          <w:rFonts w:ascii="Times New Roman" w:eastAsia="Arial" w:hAnsi="Times New Roman" w:cs="Times New Roman"/>
          <w:color w:val="000000" w:themeColor="text1"/>
          <w:sz w:val="20"/>
          <w:szCs w:val="20"/>
          <w:vertAlign w:val="subscript"/>
        </w:rPr>
        <w:t>fires</w:t>
      </w:r>
      <w:proofErr w:type="spellEnd"/>
      <w:r w:rsidR="00F6749E" w:rsidRPr="0030560F">
        <w:rPr>
          <w:rFonts w:ascii="Times New Roman" w:eastAsia="Arial" w:hAnsi="Times New Roman" w:cs="Times New Roman"/>
          <w:color w:val="000000" w:themeColor="text1"/>
          <w:sz w:val="20"/>
          <w:szCs w:val="20"/>
          <w:vertAlign w:val="subscript"/>
        </w:rPr>
        <w:t xml:space="preserve"> </w:t>
      </w:r>
      <w:r w:rsidR="00F6749E" w:rsidRPr="0030560F">
        <w:rPr>
          <w:rFonts w:ascii="Times New Roman" w:eastAsia="Arial" w:hAnsi="Times New Roman" w:cs="Times New Roman"/>
          <w:color w:val="000000" w:themeColor="text1"/>
          <w:sz w:val="20"/>
          <w:szCs w:val="20"/>
        </w:rPr>
        <w:t>includes open fires and crop residues burning estimated from Wang et al.</w:t>
      </w:r>
    </w:p>
    <w:p w:rsidR="00F6749E" w:rsidRPr="0030560F" w:rsidRDefault="00F6749E" w:rsidP="00F6749E">
      <w:pPr>
        <w:rPr>
          <w:rFonts w:ascii="Times New Roman" w:eastAsia="Calibri" w:hAnsi="Times New Roman" w:cs="Times New Roman"/>
          <w:color w:val="000000" w:themeColor="text1"/>
          <w:sz w:val="20"/>
          <w:szCs w:val="20"/>
        </w:rPr>
      </w:pPr>
      <w:r w:rsidRPr="0030560F">
        <w:rPr>
          <w:rFonts w:ascii="Times New Roman" w:hAnsi="Times New Roman" w:cs="Times New Roman"/>
          <w:color w:val="000000" w:themeColor="text1"/>
          <w:sz w:val="20"/>
          <w:szCs w:val="20"/>
        </w:rPr>
        <w:br w:type="page"/>
      </w: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709"/>
        <w:gridCol w:w="425"/>
        <w:gridCol w:w="992"/>
        <w:gridCol w:w="2410"/>
        <w:gridCol w:w="2429"/>
      </w:tblGrid>
      <w:tr w:rsidR="00F6749E" w:rsidRPr="00DA354E" w:rsidTr="00C26ED2">
        <w:trPr>
          <w:trHeight w:val="400"/>
        </w:trPr>
        <w:tc>
          <w:tcPr>
            <w:tcW w:w="8940" w:type="dxa"/>
            <w:gridSpan w:val="6"/>
            <w:shd w:val="clear" w:color="auto" w:fill="auto"/>
            <w:tcMar>
              <w:top w:w="100" w:type="dxa"/>
              <w:left w:w="100" w:type="dxa"/>
              <w:bottom w:w="100" w:type="dxa"/>
              <w:right w:w="100" w:type="dxa"/>
            </w:tcMar>
          </w:tcPr>
          <w:p w:rsidR="00F6749E" w:rsidRPr="00DA354E" w:rsidRDefault="00F6749E" w:rsidP="00C26ED2">
            <w:pPr>
              <w:widowControl w:val="0"/>
              <w:rPr>
                <w:rFonts w:ascii="Times New Roman" w:eastAsia="Arial" w:hAnsi="Times New Roman" w:cs="Times New Roman"/>
                <w:b/>
                <w:color w:val="000000" w:themeColor="text1"/>
              </w:rPr>
            </w:pPr>
            <w:r w:rsidRPr="00DA354E">
              <w:rPr>
                <w:rFonts w:ascii="Times New Roman" w:eastAsia="Arial" w:hAnsi="Times New Roman" w:cs="Times New Roman"/>
                <w:b/>
                <w:color w:val="000000" w:themeColor="text1"/>
              </w:rPr>
              <w:lastRenderedPageBreak/>
              <w:t>Globe</w:t>
            </w:r>
          </w:p>
        </w:tc>
      </w:tr>
      <w:tr w:rsidR="00F6749E" w:rsidRPr="0030560F" w:rsidTr="0030560F">
        <w:trPr>
          <w:trHeight w:val="400"/>
        </w:trPr>
        <w:tc>
          <w:tcPr>
            <w:tcW w:w="4101" w:type="dxa"/>
            <w:gridSpan w:val="4"/>
            <w:shd w:val="clear" w:color="auto" w:fill="auto"/>
            <w:tcMar>
              <w:top w:w="100" w:type="dxa"/>
              <w:left w:w="100" w:type="dxa"/>
              <w:bottom w:w="100" w:type="dxa"/>
              <w:right w:w="100" w:type="dxa"/>
            </w:tcMar>
            <w:vAlign w:val="center"/>
          </w:tcPr>
          <w:p w:rsidR="00F6749E" w:rsidRPr="0030560F" w:rsidRDefault="004A6EE9"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roofErr w:type="spellStart"/>
            <w:r w:rsidRPr="0030560F">
              <w:rPr>
                <w:rFonts w:ascii="Times New Roman" w:eastAsia="Arial" w:hAnsi="Times New Roman" w:cs="Times New Roman"/>
                <w:color w:val="000000" w:themeColor="text1"/>
                <w:sz w:val="20"/>
                <w:szCs w:val="20"/>
              </w:rPr>
              <w:t>TgC</w:t>
            </w:r>
            <w:proofErr w:type="spellEnd"/>
            <w:r w:rsidRPr="0030560F">
              <w:rPr>
                <w:rFonts w:ascii="Times New Roman" w:eastAsia="Arial" w:hAnsi="Times New Roman" w:cs="Times New Roman"/>
                <w:color w:val="000000" w:themeColor="text1"/>
                <w:sz w:val="20"/>
                <w:szCs w:val="20"/>
              </w:rPr>
              <w:t xml:space="preserve"> yr</w:t>
            </w:r>
            <w:r w:rsidRPr="0030560F">
              <w:rPr>
                <w:rFonts w:ascii="Times New Roman" w:eastAsia="Arial" w:hAnsi="Times New Roman" w:cs="Times New Roman"/>
                <w:color w:val="000000" w:themeColor="text1"/>
                <w:sz w:val="20"/>
                <w:szCs w:val="20"/>
                <w:vertAlign w:val="superscript"/>
              </w:rPr>
              <w:t>-1</w:t>
            </w:r>
            <w:r w:rsidRPr="0030560F">
              <w:rPr>
                <w:rFonts w:ascii="Times New Roman" w:eastAsia="Arial" w:hAnsi="Times New Roman" w:cs="Times New Roman"/>
                <w:color w:val="000000" w:themeColor="text1"/>
                <w:sz w:val="20"/>
                <w:szCs w:val="20"/>
              </w:rPr>
              <w:t>)</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Reference</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Uncertainty estimation</w:t>
            </w:r>
          </w:p>
        </w:tc>
      </w:tr>
      <w:tr w:rsidR="00F6749E" w:rsidRPr="0030560F" w:rsidTr="0030560F">
        <w:trPr>
          <w:trHeight w:val="600"/>
        </w:trPr>
        <w:tc>
          <w:tcPr>
            <w:tcW w:w="1975" w:type="dxa"/>
            <w:tcBorders>
              <w:top w:val="single" w:sz="8" w:space="0" w:color="000000"/>
              <w:left w:val="single" w:sz="8" w:space="0" w:color="000000"/>
              <w:bottom w:val="single" w:sz="8" w:space="0" w:color="000000"/>
            </w:tcBorders>
            <w:shd w:val="clear" w:color="auto" w:fill="FFFFFF"/>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Unicode MS" w:hAnsi="Times New Roman" w:cs="Times New Roman"/>
                <w:color w:val="000000" w:themeColor="text1"/>
                <w:sz w:val="20"/>
                <w:szCs w:val="20"/>
              </w:rPr>
              <w:t>∆C</w:t>
            </w:r>
          </w:p>
        </w:tc>
        <w:tc>
          <w:tcPr>
            <w:tcW w:w="709" w:type="dxa"/>
            <w:tcMar>
              <w:top w:w="0" w:type="dxa"/>
              <w:left w:w="0" w:type="dxa"/>
              <w:bottom w:w="0" w:type="dxa"/>
              <w:right w:w="0" w:type="dxa"/>
            </w:tcMar>
            <w:vAlign w:val="center"/>
          </w:tcPr>
          <w:p w:rsidR="00F6749E" w:rsidRPr="0030560F" w:rsidRDefault="00F6749E" w:rsidP="0030560F">
            <w:pPr>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-1547</w:t>
            </w:r>
          </w:p>
        </w:tc>
        <w:tc>
          <w:tcPr>
            <w:tcW w:w="425" w:type="dxa"/>
            <w:tcMar>
              <w:top w:w="0" w:type="dxa"/>
              <w:left w:w="0" w:type="dxa"/>
              <w:bottom w:w="0" w:type="dxa"/>
              <w:right w:w="0" w:type="dxa"/>
            </w:tcMar>
            <w:vAlign w:val="center"/>
          </w:tcPr>
          <w:p w:rsidR="00F6749E" w:rsidRPr="0030560F" w:rsidRDefault="00F6749E" w:rsidP="0030560F">
            <w:pPr>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582</w:t>
            </w:r>
          </w:p>
        </w:tc>
        <w:tc>
          <w:tcPr>
            <w:tcW w:w="2410" w:type="dxa"/>
            <w:tcBorders>
              <w:top w:val="single" w:sz="8" w:space="0" w:color="000000"/>
              <w:bottom w:val="single" w:sz="8" w:space="0" w:color="000000"/>
              <w:right w:val="single" w:sz="8" w:space="0" w:color="000000"/>
            </w:tcBorders>
            <w:shd w:val="clear" w:color="auto" w:fill="FFFFFF"/>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 xml:space="preserve">Sum of regions </w:t>
            </w:r>
            <w:r w:rsidR="0030560F" w:rsidRPr="0030560F">
              <w:rPr>
                <w:rFonts w:ascii="Times New Roman" w:eastAsia="Arial" w:hAnsi="Times New Roman" w:cs="Times New Roman"/>
                <w:color w:val="000000" w:themeColor="text1"/>
                <w:sz w:val="20"/>
                <w:szCs w:val="20"/>
                <w:vertAlign w:val="superscript"/>
              </w:rPr>
              <w:t>a</w:t>
            </w:r>
          </w:p>
        </w:tc>
        <w:tc>
          <w:tcPr>
            <w:tcW w:w="24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 xml:space="preserve">propagated </w:t>
            </w:r>
            <w:r w:rsidR="0030560F" w:rsidRPr="0030560F">
              <w:rPr>
                <w:rFonts w:ascii="Times New Roman" w:eastAsia="Arial" w:hAnsi="Times New Roman" w:cs="Times New Roman"/>
                <w:color w:val="000000" w:themeColor="text1"/>
                <w:sz w:val="20"/>
                <w:szCs w:val="20"/>
                <w:vertAlign w:val="superscript"/>
              </w:rPr>
              <w:t>b</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vertAlign w:val="subscript"/>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trade</w:t>
            </w:r>
            <w:proofErr w:type="spellEnd"/>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24</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29</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vertAlign w:val="subscript"/>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rivers</w:t>
            </w:r>
            <w:proofErr w:type="spellEnd"/>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952</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135</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NEE</w:t>
            </w:r>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-2438</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624</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vertAlign w:val="subscript"/>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crop</w:t>
            </w:r>
            <w:proofErr w:type="spellEnd"/>
            <w:r w:rsidRPr="0030560F">
              <w:rPr>
                <w:rFonts w:ascii="Times New Roman" w:eastAsia="Arial" w:hAnsi="Times New Roman" w:cs="Times New Roman"/>
                <w:color w:val="000000" w:themeColor="text1"/>
                <w:sz w:val="20"/>
                <w:szCs w:val="20"/>
                <w:vertAlign w:val="subscript"/>
              </w:rPr>
              <w:t xml:space="preserve"> products</w:t>
            </w:r>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1542</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170</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vertAlign w:val="subscript"/>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wood</w:t>
            </w:r>
            <w:proofErr w:type="spellEnd"/>
            <w:r w:rsidRPr="0030560F">
              <w:rPr>
                <w:rFonts w:ascii="Times New Roman" w:eastAsia="Arial" w:hAnsi="Times New Roman" w:cs="Times New Roman"/>
                <w:color w:val="000000" w:themeColor="text1"/>
                <w:sz w:val="20"/>
                <w:szCs w:val="20"/>
                <w:vertAlign w:val="subscript"/>
              </w:rPr>
              <w:t xml:space="preserve"> products</w:t>
            </w:r>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663</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78</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48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vertAlign w:val="subscript"/>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grazing</w:t>
            </w:r>
            <w:proofErr w:type="spellEnd"/>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1026</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82</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fires</w:t>
            </w:r>
            <w:proofErr w:type="spellEnd"/>
            <w:r w:rsidRPr="0030560F">
              <w:rPr>
                <w:rFonts w:ascii="Times New Roman" w:eastAsia="Arial" w:hAnsi="Times New Roman" w:cs="Times New Roman"/>
                <w:color w:val="000000" w:themeColor="text1"/>
                <w:sz w:val="20"/>
                <w:szCs w:val="20"/>
                <w:vertAlign w:val="subscript"/>
              </w:rPr>
              <w:t xml:space="preserve"> GFED</w:t>
            </w:r>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1649</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125</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fires</w:t>
            </w:r>
            <w:proofErr w:type="spellEnd"/>
            <w:r w:rsidRPr="0030560F">
              <w:rPr>
                <w:rFonts w:ascii="Times New Roman" w:eastAsia="Arial" w:hAnsi="Times New Roman" w:cs="Times New Roman"/>
                <w:color w:val="000000" w:themeColor="text1"/>
                <w:sz w:val="20"/>
                <w:szCs w:val="20"/>
                <w:vertAlign w:val="subscript"/>
              </w:rPr>
              <w:t xml:space="preserve"> GFAS</w:t>
            </w:r>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1611</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94</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vertAlign w:val="subscript"/>
              </w:rPr>
            </w:pPr>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 xml:space="preserve">LUC RECCAP  </w:t>
            </w:r>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1211</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225</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highlight w:val="yellow"/>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vertAlign w:val="subscript"/>
              </w:rPr>
            </w:pPr>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LUC BLUE</w:t>
            </w:r>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1012</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highlight w:val="yellow"/>
              </w:rPr>
            </w:pPr>
            <w:r w:rsidRPr="0030560F">
              <w:rPr>
                <w:rFonts w:ascii="Times New Roman" w:eastAsia="Arial" w:hAnsi="Times New Roman" w:cs="Times New Roman"/>
                <w:color w:val="000000" w:themeColor="text1"/>
                <w:sz w:val="20"/>
                <w:szCs w:val="20"/>
              </w:rPr>
              <w:t>500</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highlight w:val="yellow"/>
              </w:rPr>
            </w:pPr>
            <w:r w:rsidRPr="0030560F">
              <w:rPr>
                <w:rFonts w:ascii="Times New Roman" w:eastAsia="Arial" w:hAnsi="Times New Roman" w:cs="Times New Roman"/>
                <w:color w:val="000000" w:themeColor="text1"/>
                <w:sz w:val="20"/>
                <w:szCs w:val="20"/>
                <w:highlight w:val="white"/>
              </w:rPr>
              <w:t xml:space="preserve">Sum of regions </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 xml:space="preserve">(see </w:t>
            </w:r>
            <w:r w:rsidR="0030560F">
              <w:rPr>
                <w:rFonts w:ascii="Times New Roman" w:eastAsia="Arial" w:hAnsi="Times New Roman" w:cs="Times New Roman"/>
                <w:color w:val="000000" w:themeColor="text1"/>
                <w:sz w:val="20"/>
                <w:szCs w:val="20"/>
              </w:rPr>
              <w:t>M</w:t>
            </w:r>
            <w:r w:rsidRPr="0030560F">
              <w:rPr>
                <w:rFonts w:ascii="Times New Roman" w:eastAsia="Arial" w:hAnsi="Times New Roman" w:cs="Times New Roman"/>
                <w:color w:val="000000" w:themeColor="text1"/>
                <w:sz w:val="20"/>
                <w:szCs w:val="20"/>
              </w:rPr>
              <w:t>ethods)</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vertAlign w:val="subscript"/>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reduced</w:t>
            </w:r>
            <w:proofErr w:type="spellEnd"/>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792</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155</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vertAlign w:val="subscript"/>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outgas</w:t>
            </w:r>
            <w:proofErr w:type="spellEnd"/>
            <w:r w:rsidRPr="0030560F">
              <w:rPr>
                <w:rFonts w:ascii="Times New Roman" w:eastAsia="Arial" w:hAnsi="Times New Roman" w:cs="Times New Roman"/>
                <w:color w:val="000000" w:themeColor="text1"/>
                <w:sz w:val="20"/>
                <w:szCs w:val="20"/>
                <w:vertAlign w:val="subscript"/>
              </w:rPr>
              <w:t xml:space="preserve"> rivers + lakes RAY</w:t>
            </w:r>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2109</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479</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outgas</w:t>
            </w:r>
            <w:proofErr w:type="spellEnd"/>
            <w:r w:rsidRPr="0030560F">
              <w:rPr>
                <w:rFonts w:ascii="Times New Roman" w:eastAsia="Arial" w:hAnsi="Times New Roman" w:cs="Times New Roman"/>
                <w:color w:val="000000" w:themeColor="text1"/>
                <w:sz w:val="20"/>
                <w:szCs w:val="20"/>
                <w:vertAlign w:val="subscript"/>
              </w:rPr>
              <w:t xml:space="preserve"> rivers + lakes LAU</w:t>
            </w:r>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645</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166</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vertAlign w:val="subscript"/>
              </w:rPr>
            </w:pPr>
            <w:proofErr w:type="spellStart"/>
            <w:r w:rsidRPr="0030560F">
              <w:rPr>
                <w:rFonts w:ascii="Times New Roman" w:eastAsia="Arial" w:hAnsi="Times New Roman" w:cs="Times New Roman"/>
                <w:color w:val="000000" w:themeColor="text1"/>
                <w:sz w:val="20"/>
                <w:szCs w:val="20"/>
              </w:rPr>
              <w:t>F</w:t>
            </w:r>
            <w:r w:rsidRPr="0030560F">
              <w:rPr>
                <w:rFonts w:ascii="Times New Roman" w:eastAsia="Arial" w:hAnsi="Times New Roman" w:cs="Times New Roman"/>
                <w:color w:val="000000" w:themeColor="text1"/>
                <w:sz w:val="20"/>
                <w:szCs w:val="20"/>
                <w:vertAlign w:val="subscript"/>
              </w:rPr>
              <w:t>outgas</w:t>
            </w:r>
            <w:proofErr w:type="spellEnd"/>
            <w:r w:rsidRPr="0030560F">
              <w:rPr>
                <w:rFonts w:ascii="Times New Roman" w:eastAsia="Arial" w:hAnsi="Times New Roman" w:cs="Times New Roman"/>
                <w:color w:val="000000" w:themeColor="text1"/>
                <w:sz w:val="20"/>
                <w:szCs w:val="20"/>
                <w:vertAlign w:val="subscript"/>
              </w:rPr>
              <w:t xml:space="preserve"> estuaries</w:t>
            </w:r>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144</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72</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vertAlign w:val="subscript"/>
              </w:rPr>
            </w:pPr>
            <w:r w:rsidRPr="0030560F">
              <w:rPr>
                <w:rFonts w:ascii="Times New Roman" w:eastAsia="Arial" w:hAnsi="Times New Roman" w:cs="Times New Roman"/>
                <w:color w:val="000000" w:themeColor="text1"/>
                <w:sz w:val="20"/>
                <w:szCs w:val="20"/>
              </w:rPr>
              <w:lastRenderedPageBreak/>
              <w:t>NPP</w:t>
            </w:r>
            <w:r w:rsidRPr="0030560F">
              <w:rPr>
                <w:rFonts w:ascii="Times New Roman" w:eastAsia="Arial" w:hAnsi="Times New Roman" w:cs="Times New Roman"/>
                <w:color w:val="000000" w:themeColor="text1"/>
                <w:sz w:val="20"/>
                <w:szCs w:val="20"/>
                <w:vertAlign w:val="subscript"/>
              </w:rPr>
              <w:t>MODIS</w:t>
            </w:r>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-48697</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9739</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vertAlign w:val="subscript"/>
              </w:rPr>
            </w:pPr>
            <w:r w:rsidRPr="0030560F">
              <w:rPr>
                <w:rFonts w:ascii="Times New Roman" w:eastAsia="Arial" w:hAnsi="Times New Roman" w:cs="Times New Roman"/>
                <w:color w:val="000000" w:themeColor="text1"/>
                <w:sz w:val="20"/>
                <w:szCs w:val="20"/>
              </w:rPr>
              <w:t>NPP</w:t>
            </w:r>
            <w:r w:rsidRPr="0030560F">
              <w:rPr>
                <w:rFonts w:ascii="Times New Roman" w:eastAsia="Arial" w:hAnsi="Times New Roman" w:cs="Times New Roman"/>
                <w:color w:val="000000" w:themeColor="text1"/>
                <w:sz w:val="20"/>
                <w:szCs w:val="20"/>
                <w:vertAlign w:val="subscript"/>
              </w:rPr>
              <w:t>BETHY</w:t>
            </w:r>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-55248</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11050</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vertAlign w:val="subscript"/>
              </w:rPr>
            </w:pPr>
            <w:r w:rsidRPr="0030560F">
              <w:rPr>
                <w:rFonts w:ascii="Times New Roman" w:eastAsia="Arial" w:hAnsi="Times New Roman" w:cs="Times New Roman"/>
                <w:color w:val="000000" w:themeColor="text1"/>
                <w:sz w:val="20"/>
                <w:szCs w:val="20"/>
              </w:rPr>
              <w:t>NPP</w:t>
            </w:r>
            <w:r w:rsidRPr="0030560F">
              <w:rPr>
                <w:rFonts w:ascii="Times New Roman" w:eastAsia="Arial" w:hAnsi="Times New Roman" w:cs="Times New Roman"/>
                <w:color w:val="000000" w:themeColor="text1"/>
                <w:sz w:val="20"/>
                <w:szCs w:val="20"/>
                <w:vertAlign w:val="subscript"/>
              </w:rPr>
              <w:t>GIMMS</w:t>
            </w:r>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-48333</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9667</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600"/>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vertAlign w:val="subscript"/>
              </w:rPr>
            </w:pPr>
            <w:r w:rsidRPr="0030560F">
              <w:rPr>
                <w:rFonts w:ascii="Times New Roman" w:eastAsia="Arial" w:hAnsi="Times New Roman" w:cs="Times New Roman"/>
                <w:color w:val="000000" w:themeColor="text1"/>
                <w:sz w:val="20"/>
                <w:szCs w:val="20"/>
              </w:rPr>
              <w:t>NPP</w:t>
            </w:r>
            <w:r w:rsidRPr="0030560F">
              <w:rPr>
                <w:rFonts w:ascii="Times New Roman" w:eastAsia="Arial" w:hAnsi="Times New Roman" w:cs="Times New Roman"/>
                <w:color w:val="000000" w:themeColor="text1"/>
                <w:sz w:val="20"/>
                <w:szCs w:val="20"/>
                <w:vertAlign w:val="subscript"/>
              </w:rPr>
              <w:t>CARDAMOM</w:t>
            </w:r>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-49845</w:t>
            </w:r>
          </w:p>
        </w:tc>
        <w:tc>
          <w:tcPr>
            <w:tcW w:w="425"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w:t>
            </w:r>
          </w:p>
        </w:tc>
        <w:tc>
          <w:tcPr>
            <w:tcW w:w="992"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6945</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propagated</w:t>
            </w:r>
          </w:p>
        </w:tc>
      </w:tr>
      <w:tr w:rsidR="00F6749E" w:rsidRPr="0030560F" w:rsidTr="0030560F">
        <w:trPr>
          <w:trHeight w:val="985"/>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Median of four NPP</w:t>
            </w:r>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-50300</w:t>
            </w:r>
          </w:p>
        </w:tc>
        <w:tc>
          <w:tcPr>
            <w:tcW w:w="1417" w:type="dxa"/>
            <w:gridSpan w:val="2"/>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(-57600, -44000)</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Sum of regions</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Inter-quartile from Monte Carlo (</w:t>
            </w:r>
            <w:r w:rsidR="0030560F">
              <w:rPr>
                <w:rFonts w:ascii="Times New Roman" w:eastAsia="Arial" w:hAnsi="Times New Roman" w:cs="Times New Roman"/>
                <w:color w:val="000000" w:themeColor="text1"/>
                <w:sz w:val="20"/>
                <w:szCs w:val="20"/>
              </w:rPr>
              <w:t>M</w:t>
            </w:r>
            <w:r w:rsidRPr="0030560F">
              <w:rPr>
                <w:rFonts w:ascii="Times New Roman" w:eastAsia="Arial" w:hAnsi="Times New Roman" w:cs="Times New Roman"/>
                <w:color w:val="000000" w:themeColor="text1"/>
                <w:sz w:val="20"/>
                <w:szCs w:val="20"/>
              </w:rPr>
              <w:t>ethods)</w:t>
            </w:r>
          </w:p>
        </w:tc>
      </w:tr>
      <w:tr w:rsidR="00F6749E" w:rsidRPr="0030560F" w:rsidTr="0030560F">
        <w:trPr>
          <w:trHeight w:val="701"/>
        </w:trPr>
        <w:tc>
          <w:tcPr>
            <w:tcW w:w="1975"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Soil Het. Resp.</w:t>
            </w:r>
          </w:p>
        </w:tc>
        <w:tc>
          <w:tcPr>
            <w:tcW w:w="709" w:type="dxa"/>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39100</w:t>
            </w:r>
          </w:p>
        </w:tc>
        <w:tc>
          <w:tcPr>
            <w:tcW w:w="1417" w:type="dxa"/>
            <w:gridSpan w:val="2"/>
            <w:tcMar>
              <w:top w:w="0" w:type="dxa"/>
              <w:left w:w="0" w:type="dxa"/>
              <w:bottom w:w="0" w:type="dxa"/>
              <w:right w:w="0" w:type="dxa"/>
            </w:tcMar>
            <w:vAlign w:val="center"/>
          </w:tcPr>
          <w:p w:rsidR="00F6749E" w:rsidRPr="0030560F" w:rsidRDefault="00F6749E" w:rsidP="0030560F">
            <w:pPr>
              <w:widowControl w:val="0"/>
              <w:jc w:val="center"/>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(32700,45500)</w:t>
            </w:r>
          </w:p>
        </w:tc>
        <w:tc>
          <w:tcPr>
            <w:tcW w:w="2410" w:type="dxa"/>
            <w:shd w:val="clear" w:color="auto" w:fill="auto"/>
            <w:tcMar>
              <w:top w:w="100" w:type="dxa"/>
              <w:left w:w="100" w:type="dxa"/>
              <w:bottom w:w="100" w:type="dxa"/>
              <w:right w:w="100" w:type="dxa"/>
            </w:tcMar>
            <w:vAlign w:val="center"/>
          </w:tcPr>
          <w:p w:rsidR="00F6749E" w:rsidRPr="0030560F" w:rsidRDefault="00F6749E" w:rsidP="0030560F">
            <w:pPr>
              <w:widowControl w:val="0"/>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Equation (2)</w:t>
            </w:r>
          </w:p>
        </w:tc>
        <w:tc>
          <w:tcPr>
            <w:tcW w:w="2429" w:type="dxa"/>
            <w:shd w:val="clear" w:color="auto" w:fill="auto"/>
            <w:tcMar>
              <w:top w:w="100" w:type="dxa"/>
              <w:left w:w="100" w:type="dxa"/>
              <w:bottom w:w="100" w:type="dxa"/>
              <w:right w:w="100" w:type="dxa"/>
            </w:tcMar>
            <w:vAlign w:val="center"/>
          </w:tcPr>
          <w:p w:rsidR="00F6749E" w:rsidRPr="0030560F" w:rsidRDefault="00F6749E" w:rsidP="0030560F">
            <w:pPr>
              <w:widowControl w:val="0"/>
              <w:spacing w:line="276" w:lineRule="auto"/>
              <w:rPr>
                <w:rFonts w:ascii="Times New Roman" w:eastAsia="Arial" w:hAnsi="Times New Roman" w:cs="Times New Roman"/>
                <w:color w:val="000000" w:themeColor="text1"/>
                <w:sz w:val="20"/>
                <w:szCs w:val="20"/>
              </w:rPr>
            </w:pPr>
            <w:r w:rsidRPr="0030560F">
              <w:rPr>
                <w:rFonts w:ascii="Times New Roman" w:eastAsia="Arial" w:hAnsi="Times New Roman" w:cs="Times New Roman"/>
                <w:color w:val="000000" w:themeColor="text1"/>
                <w:sz w:val="20"/>
                <w:szCs w:val="20"/>
              </w:rPr>
              <w:t>Inter-quartile from Monte Carlo (</w:t>
            </w:r>
            <w:r w:rsidR="0030560F">
              <w:rPr>
                <w:rFonts w:ascii="Times New Roman" w:eastAsia="Arial" w:hAnsi="Times New Roman" w:cs="Times New Roman"/>
                <w:color w:val="000000" w:themeColor="text1"/>
                <w:sz w:val="20"/>
                <w:szCs w:val="20"/>
              </w:rPr>
              <w:t>M</w:t>
            </w:r>
            <w:r w:rsidRPr="0030560F">
              <w:rPr>
                <w:rFonts w:ascii="Times New Roman" w:eastAsia="Arial" w:hAnsi="Times New Roman" w:cs="Times New Roman"/>
                <w:color w:val="000000" w:themeColor="text1"/>
                <w:sz w:val="20"/>
                <w:szCs w:val="20"/>
              </w:rPr>
              <w:t>ethods)</w:t>
            </w:r>
          </w:p>
        </w:tc>
      </w:tr>
    </w:tbl>
    <w:p w:rsidR="00F6749E" w:rsidRPr="0030560F" w:rsidRDefault="00F6749E" w:rsidP="00F6749E">
      <w:pPr>
        <w:rPr>
          <w:rFonts w:ascii="Times New Roman" w:eastAsia="Arial" w:hAnsi="Times New Roman" w:cs="Times New Roman"/>
          <w:color w:val="000000" w:themeColor="text1"/>
          <w:sz w:val="20"/>
          <w:szCs w:val="20"/>
        </w:rPr>
      </w:pPr>
    </w:p>
    <w:p w:rsidR="00F6749E" w:rsidRPr="0030560F" w:rsidRDefault="0030560F" w:rsidP="00F6749E">
      <w:pPr>
        <w:ind w:left="567" w:hanging="567"/>
        <w:rPr>
          <w:rFonts w:ascii="Times New Roman" w:eastAsia="Arial" w:hAnsi="Times New Roman" w:cs="Times New Roman"/>
          <w:color w:val="000000" w:themeColor="text1"/>
          <w:sz w:val="20"/>
          <w:szCs w:val="20"/>
        </w:rPr>
      </w:pPr>
      <w:proofErr w:type="spellStart"/>
      <w:r>
        <w:rPr>
          <w:rFonts w:ascii="Times New Roman" w:eastAsia="Arial" w:hAnsi="Times New Roman" w:cs="Times New Roman"/>
          <w:color w:val="000000" w:themeColor="text1"/>
          <w:sz w:val="20"/>
          <w:szCs w:val="20"/>
        </w:rPr>
        <w:t>a</w:t>
      </w:r>
      <w:proofErr w:type="spellEnd"/>
      <w:r w:rsidR="00F6749E" w:rsidRPr="0030560F">
        <w:rPr>
          <w:rFonts w:ascii="Times New Roman" w:eastAsia="Arial" w:hAnsi="Times New Roman" w:cs="Times New Roman"/>
          <w:color w:val="000000" w:themeColor="text1"/>
          <w:sz w:val="20"/>
          <w:szCs w:val="20"/>
        </w:rPr>
        <w:tab/>
        <w:t>The sum of all regions covers the globe excepted Ukraine, Belarus, Kazakhstan, Middle East, Greenland and New Zealand</w:t>
      </w:r>
    </w:p>
    <w:p w:rsidR="00F6749E" w:rsidRPr="0030560F" w:rsidRDefault="0030560F" w:rsidP="00F6749E">
      <w:pPr>
        <w:ind w:left="567" w:hanging="567"/>
        <w:rPr>
          <w:rFonts w:ascii="Times New Roman" w:eastAsia="Arial" w:hAnsi="Times New Roman" w:cs="Times New Roman"/>
          <w:color w:val="000000" w:themeColor="text1"/>
          <w:sz w:val="20"/>
          <w:szCs w:val="20"/>
        </w:rPr>
      </w:pPr>
      <w:r>
        <w:rPr>
          <w:rFonts w:ascii="Times New Roman" w:eastAsia="Arial" w:hAnsi="Times New Roman" w:cs="Times New Roman"/>
          <w:color w:val="000000" w:themeColor="text1"/>
          <w:sz w:val="20"/>
          <w:szCs w:val="20"/>
        </w:rPr>
        <w:t>b</w:t>
      </w:r>
      <w:r w:rsidR="00F6749E" w:rsidRPr="0030560F">
        <w:rPr>
          <w:rFonts w:ascii="Times New Roman" w:eastAsia="Arial" w:hAnsi="Times New Roman" w:cs="Times New Roman"/>
          <w:color w:val="000000" w:themeColor="text1"/>
          <w:sz w:val="20"/>
          <w:szCs w:val="20"/>
        </w:rPr>
        <w:tab/>
        <w:t>Assuming each region has independent uncertainties in bottom-up flux estimates</w:t>
      </w:r>
    </w:p>
    <w:p w:rsidR="00F6749E" w:rsidRPr="00DA354E" w:rsidRDefault="00F6749E" w:rsidP="00F6749E">
      <w:pPr>
        <w:ind w:left="567"/>
        <w:rPr>
          <w:rFonts w:ascii="Times New Roman" w:eastAsia="Arial" w:hAnsi="Times New Roman" w:cs="Times New Roman"/>
          <w:color w:val="000000" w:themeColor="text1"/>
          <w:sz w:val="20"/>
          <w:szCs w:val="20"/>
        </w:rPr>
      </w:pPr>
    </w:p>
    <w:p w:rsidR="00F6749E" w:rsidRPr="00DA354E" w:rsidRDefault="00F6749E" w:rsidP="00F6749E">
      <w:pPr>
        <w:rPr>
          <w:rFonts w:ascii="Times New Roman" w:hAnsi="Times New Roman" w:cs="Times New Roman"/>
          <w:color w:val="000000" w:themeColor="text1"/>
        </w:rPr>
      </w:pPr>
    </w:p>
    <w:p w:rsidR="00F6749E" w:rsidRPr="00DA354E" w:rsidRDefault="00F6749E" w:rsidP="00F6749E">
      <w:pPr>
        <w:rPr>
          <w:rFonts w:ascii="Times New Roman" w:hAnsi="Times New Roman" w:cs="Times New Roman"/>
          <w:color w:val="000000" w:themeColor="text1"/>
        </w:rPr>
      </w:pPr>
    </w:p>
    <w:p w:rsidR="00F6749E" w:rsidRPr="00DA354E" w:rsidRDefault="00F6749E" w:rsidP="00F6749E">
      <w:pPr>
        <w:widowControl w:val="0"/>
        <w:pBdr>
          <w:top w:val="nil"/>
          <w:left w:val="nil"/>
          <w:bottom w:val="nil"/>
          <w:right w:val="nil"/>
          <w:between w:val="nil"/>
        </w:pBdr>
        <w:spacing w:line="276" w:lineRule="auto"/>
        <w:rPr>
          <w:rFonts w:ascii="Times New Roman" w:hAnsi="Times New Roman" w:cs="Times New Roman"/>
          <w:color w:val="000000" w:themeColor="text1"/>
        </w:rPr>
        <w:sectPr w:rsidR="00F6749E" w:rsidRPr="00DA354E" w:rsidSect="00F6749E">
          <w:pgSz w:w="11900" w:h="16840"/>
          <w:pgMar w:top="1417" w:right="1552" w:bottom="1417" w:left="1417" w:header="708" w:footer="708" w:gutter="0"/>
          <w:cols w:space="720"/>
        </w:sectPr>
      </w:pPr>
      <w:r w:rsidRPr="00DA354E">
        <w:rPr>
          <w:rFonts w:ascii="Times New Roman" w:hAnsi="Times New Roman" w:cs="Times New Roman"/>
          <w:color w:val="000000" w:themeColor="text1"/>
        </w:rPr>
        <w:br w:type="page"/>
      </w:r>
    </w:p>
    <w:p w:rsidR="00934FF7" w:rsidRPr="00DA354E" w:rsidRDefault="00934FF7" w:rsidP="00934FF7">
      <w:pPr>
        <w:ind w:left="60"/>
        <w:jc w:val="both"/>
        <w:rPr>
          <w:rFonts w:ascii="Times New Roman" w:hAnsi="Times New Roman" w:cs="Times New Roman"/>
          <w:color w:val="000000" w:themeColor="text1"/>
        </w:rPr>
      </w:pPr>
      <w:r w:rsidRPr="00DA354E">
        <w:rPr>
          <w:rFonts w:ascii="Times New Roman" w:hAnsi="Times New Roman" w:cs="Times New Roman"/>
          <w:b/>
          <w:color w:val="000000" w:themeColor="text1"/>
        </w:rPr>
        <w:lastRenderedPageBreak/>
        <w:t>Supplementary</w:t>
      </w:r>
      <w:r w:rsidRPr="00DA354E">
        <w:rPr>
          <w:rFonts w:ascii="Times New Roman" w:hAnsi="Times New Roman" w:cs="Times New Roman"/>
          <w:color w:val="000000" w:themeColor="text1"/>
        </w:rPr>
        <w:t xml:space="preserve"> </w:t>
      </w:r>
      <w:r w:rsidRPr="00CA64FA">
        <w:rPr>
          <w:rFonts w:ascii="Times New Roman" w:hAnsi="Times New Roman" w:cs="Times New Roman"/>
          <w:b/>
          <w:bCs/>
          <w:color w:val="000000" w:themeColor="text1"/>
        </w:rPr>
        <w:t xml:space="preserve">Table </w:t>
      </w:r>
      <w:r>
        <w:rPr>
          <w:rFonts w:ascii="Times New Roman" w:hAnsi="Times New Roman" w:cs="Times New Roman"/>
          <w:b/>
          <w:bCs/>
          <w:color w:val="000000" w:themeColor="text1"/>
        </w:rPr>
        <w:t>2</w:t>
      </w:r>
      <w:r w:rsidRPr="00DA354E">
        <w:rPr>
          <w:rFonts w:ascii="Times New Roman" w:hAnsi="Times New Roman" w:cs="Times New Roman"/>
          <w:color w:val="000000" w:themeColor="text1"/>
        </w:rPr>
        <w:t>. Median SOC to biomass change ratio during 2000-2009 from TRENDY models.</w:t>
      </w:r>
    </w:p>
    <w:p w:rsidR="00934FF7" w:rsidRPr="00DA354E" w:rsidRDefault="00934FF7" w:rsidP="00934FF7">
      <w:pPr>
        <w:rPr>
          <w:rFonts w:ascii="Times New Roman" w:hAnsi="Times New Roman" w:cs="Times New Roman"/>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1545"/>
        <w:gridCol w:w="1538"/>
        <w:gridCol w:w="1537"/>
        <w:gridCol w:w="1534"/>
      </w:tblGrid>
      <w:tr w:rsidR="00934FF7" w:rsidRPr="00DA354E" w:rsidTr="00EB157A">
        <w:tc>
          <w:tcPr>
            <w:tcW w:w="2815" w:type="dxa"/>
            <w:vAlign w:val="center"/>
          </w:tcPr>
          <w:p w:rsidR="00934FF7" w:rsidRPr="004F279B" w:rsidRDefault="00934FF7" w:rsidP="00EB157A">
            <w:pPr>
              <w:jc w:val="center"/>
              <w:rPr>
                <w:rFonts w:ascii="Times New Roman" w:hAnsi="Times New Roman" w:cs="Times New Roman"/>
                <w:color w:val="000000" w:themeColor="text1"/>
              </w:rPr>
            </w:pPr>
            <w:r w:rsidRPr="004F279B">
              <w:rPr>
                <w:rFonts w:ascii="Times New Roman" w:hAnsi="Times New Roman" w:cs="Times New Roman"/>
                <w:color w:val="000000" w:themeColor="text1"/>
              </w:rPr>
              <w:t>TRENDY models</w:t>
            </w:r>
          </w:p>
        </w:tc>
        <w:tc>
          <w:tcPr>
            <w:tcW w:w="1560" w:type="dxa"/>
            <w:vAlign w:val="center"/>
          </w:tcPr>
          <w:p w:rsidR="00934FF7" w:rsidRPr="004F279B" w:rsidRDefault="00934FF7" w:rsidP="00EB157A">
            <w:pPr>
              <w:jc w:val="center"/>
              <w:rPr>
                <w:rFonts w:ascii="Times New Roman" w:hAnsi="Times New Roman" w:cs="Times New Roman"/>
                <w:color w:val="000000" w:themeColor="text1"/>
              </w:rPr>
            </w:pPr>
            <w:r w:rsidRPr="004F279B">
              <w:rPr>
                <w:rFonts w:ascii="Times New Roman" w:hAnsi="Times New Roman" w:cs="Times New Roman"/>
                <w:color w:val="000000" w:themeColor="text1"/>
              </w:rPr>
              <w:t>S. America</w:t>
            </w:r>
          </w:p>
        </w:tc>
        <w:tc>
          <w:tcPr>
            <w:tcW w:w="1560" w:type="dxa"/>
            <w:vAlign w:val="center"/>
          </w:tcPr>
          <w:p w:rsidR="00934FF7" w:rsidRPr="004F279B" w:rsidRDefault="00934FF7" w:rsidP="00EB157A">
            <w:pPr>
              <w:jc w:val="center"/>
              <w:rPr>
                <w:rFonts w:ascii="Times New Roman" w:hAnsi="Times New Roman" w:cs="Times New Roman"/>
                <w:color w:val="000000" w:themeColor="text1"/>
              </w:rPr>
            </w:pPr>
            <w:r w:rsidRPr="004F279B">
              <w:rPr>
                <w:rFonts w:ascii="Times New Roman" w:hAnsi="Times New Roman" w:cs="Times New Roman"/>
                <w:color w:val="000000" w:themeColor="text1"/>
              </w:rPr>
              <w:t>Africa</w:t>
            </w:r>
          </w:p>
        </w:tc>
        <w:tc>
          <w:tcPr>
            <w:tcW w:w="1560" w:type="dxa"/>
            <w:vAlign w:val="center"/>
          </w:tcPr>
          <w:p w:rsidR="00934FF7" w:rsidRPr="004F279B" w:rsidRDefault="00934FF7" w:rsidP="00EB157A">
            <w:pPr>
              <w:jc w:val="center"/>
              <w:rPr>
                <w:rFonts w:ascii="Times New Roman" w:hAnsi="Times New Roman" w:cs="Times New Roman"/>
                <w:color w:val="000000" w:themeColor="text1"/>
              </w:rPr>
            </w:pPr>
            <w:r w:rsidRPr="004F279B">
              <w:rPr>
                <w:rFonts w:ascii="Times New Roman" w:hAnsi="Times New Roman" w:cs="Times New Roman"/>
                <w:color w:val="000000" w:themeColor="text1"/>
              </w:rPr>
              <w:t>South Asia</w:t>
            </w:r>
          </w:p>
        </w:tc>
        <w:tc>
          <w:tcPr>
            <w:tcW w:w="1561" w:type="dxa"/>
            <w:vAlign w:val="center"/>
          </w:tcPr>
          <w:p w:rsidR="00934FF7" w:rsidRPr="004F279B" w:rsidRDefault="00934FF7" w:rsidP="00EB157A">
            <w:pPr>
              <w:jc w:val="center"/>
              <w:rPr>
                <w:rFonts w:ascii="Times New Roman" w:hAnsi="Times New Roman" w:cs="Times New Roman"/>
                <w:color w:val="000000" w:themeColor="text1"/>
              </w:rPr>
            </w:pPr>
            <w:r w:rsidRPr="004F279B">
              <w:rPr>
                <w:rFonts w:ascii="Times New Roman" w:hAnsi="Times New Roman" w:cs="Times New Roman"/>
                <w:color w:val="000000" w:themeColor="text1"/>
              </w:rPr>
              <w:t>SE Asia</w:t>
            </w:r>
          </w:p>
        </w:tc>
      </w:tr>
      <w:tr w:rsidR="00934FF7" w:rsidRPr="00DA354E" w:rsidTr="00EB157A">
        <w:tc>
          <w:tcPr>
            <w:tcW w:w="2815" w:type="dxa"/>
            <w:vAlign w:val="center"/>
          </w:tcPr>
          <w:p w:rsidR="00934FF7" w:rsidRPr="004F279B" w:rsidRDefault="00934FF7" w:rsidP="00EB157A">
            <w:pPr>
              <w:rPr>
                <w:rFonts w:ascii="Times New Roman" w:hAnsi="Times New Roman" w:cs="Times New Roman"/>
                <w:color w:val="000000" w:themeColor="text1"/>
              </w:rPr>
            </w:pPr>
            <w:r w:rsidRPr="004F279B">
              <w:rPr>
                <w:rFonts w:ascii="Times New Roman" w:hAnsi="Times New Roman" w:cs="Times New Roman"/>
                <w:color w:val="000000" w:themeColor="text1"/>
              </w:rPr>
              <w:t>Median SOC to biomass change ratio during 2000-2009 *</w:t>
            </w:r>
          </w:p>
        </w:tc>
        <w:tc>
          <w:tcPr>
            <w:tcW w:w="1560" w:type="dxa"/>
            <w:vAlign w:val="center"/>
          </w:tcPr>
          <w:p w:rsidR="00934FF7" w:rsidRPr="004F279B" w:rsidRDefault="00934FF7" w:rsidP="00EB157A">
            <w:pPr>
              <w:jc w:val="center"/>
              <w:rPr>
                <w:rFonts w:ascii="Times New Roman" w:hAnsi="Times New Roman" w:cs="Times New Roman"/>
                <w:color w:val="000000" w:themeColor="text1"/>
              </w:rPr>
            </w:pPr>
            <w:r w:rsidRPr="004F279B">
              <w:rPr>
                <w:rFonts w:ascii="Times New Roman" w:hAnsi="Times New Roman" w:cs="Times New Roman"/>
                <w:color w:val="000000" w:themeColor="text1"/>
              </w:rPr>
              <w:t>0.16</w:t>
            </w:r>
          </w:p>
        </w:tc>
        <w:tc>
          <w:tcPr>
            <w:tcW w:w="1560" w:type="dxa"/>
            <w:vAlign w:val="center"/>
          </w:tcPr>
          <w:p w:rsidR="00934FF7" w:rsidRPr="004F279B" w:rsidRDefault="00934FF7" w:rsidP="00EB157A">
            <w:pPr>
              <w:jc w:val="center"/>
              <w:rPr>
                <w:rFonts w:ascii="Times New Roman" w:hAnsi="Times New Roman" w:cs="Times New Roman"/>
                <w:color w:val="000000" w:themeColor="text1"/>
                <w:u w:val="single"/>
              </w:rPr>
            </w:pPr>
            <w:r w:rsidRPr="004F279B">
              <w:rPr>
                <w:rFonts w:ascii="Times New Roman" w:hAnsi="Times New Roman" w:cs="Times New Roman"/>
                <w:color w:val="000000" w:themeColor="text1"/>
              </w:rPr>
              <w:t>0.37</w:t>
            </w:r>
          </w:p>
        </w:tc>
        <w:tc>
          <w:tcPr>
            <w:tcW w:w="1560" w:type="dxa"/>
            <w:vAlign w:val="center"/>
          </w:tcPr>
          <w:p w:rsidR="00934FF7" w:rsidRPr="004F279B" w:rsidRDefault="00934FF7" w:rsidP="00EB157A">
            <w:pPr>
              <w:jc w:val="center"/>
              <w:rPr>
                <w:rFonts w:ascii="Times New Roman" w:hAnsi="Times New Roman" w:cs="Times New Roman"/>
                <w:color w:val="000000" w:themeColor="text1"/>
              </w:rPr>
            </w:pPr>
            <w:r w:rsidRPr="004F279B">
              <w:rPr>
                <w:rFonts w:ascii="Times New Roman" w:hAnsi="Times New Roman" w:cs="Times New Roman"/>
                <w:color w:val="000000" w:themeColor="text1"/>
              </w:rPr>
              <w:t>0.40</w:t>
            </w:r>
          </w:p>
        </w:tc>
        <w:tc>
          <w:tcPr>
            <w:tcW w:w="1561" w:type="dxa"/>
            <w:vAlign w:val="center"/>
          </w:tcPr>
          <w:p w:rsidR="00934FF7" w:rsidRPr="004F279B" w:rsidRDefault="00934FF7" w:rsidP="00EB157A">
            <w:pPr>
              <w:jc w:val="center"/>
              <w:rPr>
                <w:rFonts w:ascii="Times New Roman" w:hAnsi="Times New Roman" w:cs="Times New Roman"/>
                <w:color w:val="000000" w:themeColor="text1"/>
              </w:rPr>
            </w:pPr>
            <w:r w:rsidRPr="004F279B">
              <w:rPr>
                <w:rFonts w:ascii="Times New Roman" w:hAnsi="Times New Roman" w:cs="Times New Roman"/>
                <w:color w:val="000000" w:themeColor="text1"/>
              </w:rPr>
              <w:t>0.13</w:t>
            </w:r>
          </w:p>
        </w:tc>
      </w:tr>
    </w:tbl>
    <w:p w:rsidR="00934FF7" w:rsidRPr="00DA354E" w:rsidRDefault="00934FF7" w:rsidP="00934FF7">
      <w:pPr>
        <w:pStyle w:val="ListParagraph"/>
        <w:numPr>
          <w:ilvl w:val="0"/>
          <w:numId w:val="5"/>
        </w:numPr>
        <w:rPr>
          <w:rFonts w:ascii="Times New Roman" w:hAnsi="Times New Roman" w:cs="Times New Roman"/>
          <w:color w:val="000000" w:themeColor="text1"/>
          <w:sz w:val="21"/>
        </w:rPr>
      </w:pPr>
      <w:r w:rsidRPr="00DA354E">
        <w:rPr>
          <w:rFonts w:ascii="Times New Roman" w:hAnsi="Times New Roman" w:cs="Times New Roman"/>
          <w:color w:val="000000" w:themeColor="text1"/>
          <w:sz w:val="21"/>
        </w:rPr>
        <w:t>Excluding models in the ensemble that have ratios larger than ensemble 2-sigma</w:t>
      </w:r>
    </w:p>
    <w:p w:rsidR="00934FF7" w:rsidRPr="00DA354E" w:rsidRDefault="00934FF7" w:rsidP="00934FF7">
      <w:pPr>
        <w:rPr>
          <w:rFonts w:ascii="Times New Roman" w:hAnsi="Times New Roman" w:cs="Times New Roman"/>
          <w:color w:val="000000" w:themeColor="text1"/>
        </w:rPr>
      </w:pPr>
    </w:p>
    <w:p w:rsidR="00934FF7" w:rsidRDefault="00934FF7">
      <w:pPr>
        <w:rPr>
          <w:rFonts w:ascii="Times New Roman" w:hAnsi="Times New Roman" w:cs="Times New Roman"/>
          <w:b/>
          <w:color w:val="000000" w:themeColor="text1"/>
        </w:rPr>
      </w:pPr>
      <w:r>
        <w:rPr>
          <w:rFonts w:ascii="Times New Roman" w:hAnsi="Times New Roman" w:cs="Times New Roman"/>
          <w:b/>
          <w:color w:val="000000" w:themeColor="text1"/>
        </w:rPr>
        <w:br w:type="page"/>
      </w:r>
    </w:p>
    <w:p w:rsidR="00934FF7" w:rsidRPr="00DA354E" w:rsidRDefault="00934FF7" w:rsidP="00520155">
      <w:pPr>
        <w:jc w:val="both"/>
        <w:rPr>
          <w:rFonts w:ascii="Times New Roman" w:hAnsi="Times New Roman" w:cs="Times New Roman"/>
          <w:color w:val="000000" w:themeColor="text1"/>
        </w:rPr>
      </w:pPr>
      <w:r w:rsidRPr="00DA354E">
        <w:rPr>
          <w:rFonts w:ascii="Times New Roman" w:hAnsi="Times New Roman" w:cs="Times New Roman"/>
          <w:b/>
          <w:color w:val="000000" w:themeColor="text1"/>
        </w:rPr>
        <w:lastRenderedPageBreak/>
        <w:t xml:space="preserve">Supplementary Table </w:t>
      </w:r>
      <w:r>
        <w:rPr>
          <w:rFonts w:ascii="Times New Roman" w:hAnsi="Times New Roman" w:cs="Times New Roman"/>
          <w:b/>
          <w:color w:val="000000" w:themeColor="text1"/>
        </w:rPr>
        <w:t>3</w:t>
      </w:r>
      <w:r w:rsidRPr="00DA354E">
        <w:rPr>
          <w:rFonts w:ascii="Times New Roman" w:hAnsi="Times New Roman" w:cs="Times New Roman"/>
          <w:b/>
          <w:color w:val="000000" w:themeColor="text1"/>
        </w:rPr>
        <w:t>.</w:t>
      </w:r>
      <w:r w:rsidRPr="00DA354E">
        <w:rPr>
          <w:rFonts w:ascii="Times New Roman" w:hAnsi="Times New Roman" w:cs="Times New Roman"/>
          <w:color w:val="000000" w:themeColor="text1"/>
        </w:rPr>
        <w:t xml:space="preserve"> Carbon flux estimates of regions not covered by RECCAP publications.</w:t>
      </w:r>
    </w:p>
    <w:p w:rsidR="00934FF7" w:rsidRPr="00DA354E" w:rsidRDefault="00934FF7" w:rsidP="00934FF7">
      <w:pPr>
        <w:rPr>
          <w:rFonts w:ascii="Times New Roman" w:hAnsi="Times New Roman" w:cs="Times New Roman"/>
          <w:color w:val="000000" w:themeColor="text1"/>
        </w:rPr>
      </w:pPr>
    </w:p>
    <w:tbl>
      <w:tblPr>
        <w:tblW w:w="8931" w:type="dxa"/>
        <w:tblBorders>
          <w:top w:val="single" w:sz="8" w:space="0" w:color="4F81BD"/>
          <w:bottom w:val="single" w:sz="8" w:space="0" w:color="4F81BD"/>
        </w:tblBorders>
        <w:tblLayout w:type="fixed"/>
        <w:tblLook w:val="0400" w:firstRow="0" w:lastRow="0" w:firstColumn="0" w:lastColumn="0" w:noHBand="0" w:noVBand="1"/>
      </w:tblPr>
      <w:tblGrid>
        <w:gridCol w:w="4010"/>
        <w:gridCol w:w="1400"/>
        <w:gridCol w:w="3521"/>
      </w:tblGrid>
      <w:tr w:rsidR="00934FF7" w:rsidRPr="00DA354E" w:rsidTr="00EB157A">
        <w:trPr>
          <w:trHeight w:val="280"/>
        </w:trPr>
        <w:tc>
          <w:tcPr>
            <w:tcW w:w="4010" w:type="dxa"/>
            <w:tcBorders>
              <w:top w:val="single" w:sz="8" w:space="0" w:color="000000"/>
              <w:bottom w:val="single" w:sz="8" w:space="0" w:color="000000"/>
            </w:tcBorders>
            <w:shd w:val="clear" w:color="auto" w:fill="auto"/>
          </w:tcPr>
          <w:p w:rsidR="00934FF7" w:rsidRPr="00DA354E" w:rsidRDefault="00934FF7" w:rsidP="00EB157A">
            <w:pPr>
              <w:rPr>
                <w:rFonts w:ascii="Times New Roman" w:eastAsia="Calibri" w:hAnsi="Times New Roman" w:cs="Times New Roman"/>
                <w:b/>
                <w:color w:val="000000" w:themeColor="text1"/>
                <w:sz w:val="22"/>
                <w:szCs w:val="22"/>
              </w:rPr>
            </w:pPr>
            <w:r w:rsidRPr="00DA354E">
              <w:rPr>
                <w:rFonts w:ascii="Times New Roman" w:eastAsia="Calibri" w:hAnsi="Times New Roman" w:cs="Times New Roman"/>
                <w:b/>
                <w:color w:val="000000" w:themeColor="text1"/>
                <w:sz w:val="22"/>
                <w:szCs w:val="22"/>
              </w:rPr>
              <w:t>Region / country</w:t>
            </w:r>
          </w:p>
        </w:tc>
        <w:tc>
          <w:tcPr>
            <w:tcW w:w="1400" w:type="dxa"/>
            <w:tcBorders>
              <w:top w:val="single" w:sz="8" w:space="0" w:color="000000"/>
              <w:bottom w:val="single" w:sz="8" w:space="0" w:color="000000"/>
            </w:tcBorders>
            <w:shd w:val="clear" w:color="auto" w:fill="auto"/>
          </w:tcPr>
          <w:p w:rsidR="00934FF7" w:rsidRPr="00DA354E" w:rsidRDefault="00934FF7" w:rsidP="00EB157A">
            <w:pPr>
              <w:rPr>
                <w:rFonts w:ascii="Times New Roman" w:eastAsia="Calibri" w:hAnsi="Times New Roman" w:cs="Times New Roman"/>
                <w:b/>
                <w:color w:val="000000" w:themeColor="text1"/>
                <w:sz w:val="22"/>
                <w:szCs w:val="22"/>
              </w:rPr>
            </w:pPr>
            <w:r w:rsidRPr="00DA354E">
              <w:rPr>
                <w:rFonts w:ascii="Times New Roman" w:eastAsia="Calibri" w:hAnsi="Times New Roman" w:cs="Times New Roman"/>
                <w:b/>
                <w:color w:val="000000" w:themeColor="text1"/>
                <w:sz w:val="22"/>
                <w:szCs w:val="22"/>
              </w:rPr>
              <w:t>Flux</w:t>
            </w:r>
          </w:p>
        </w:tc>
        <w:tc>
          <w:tcPr>
            <w:tcW w:w="3521" w:type="dxa"/>
            <w:tcBorders>
              <w:top w:val="single" w:sz="8" w:space="0" w:color="000000"/>
              <w:bottom w:val="single" w:sz="8" w:space="0" w:color="000000"/>
            </w:tcBorders>
            <w:shd w:val="clear" w:color="auto" w:fill="auto"/>
          </w:tcPr>
          <w:p w:rsidR="00934FF7" w:rsidRPr="00DA354E" w:rsidRDefault="00934FF7" w:rsidP="00EB157A">
            <w:pPr>
              <w:rPr>
                <w:rFonts w:ascii="Times New Roman" w:eastAsia="Calibri" w:hAnsi="Times New Roman" w:cs="Times New Roman"/>
                <w:b/>
                <w:color w:val="000000" w:themeColor="text1"/>
                <w:sz w:val="22"/>
                <w:szCs w:val="22"/>
              </w:rPr>
            </w:pPr>
            <w:r w:rsidRPr="00DA354E">
              <w:rPr>
                <w:rFonts w:ascii="Times New Roman" w:eastAsia="Calibri" w:hAnsi="Times New Roman" w:cs="Times New Roman"/>
                <w:b/>
                <w:color w:val="000000" w:themeColor="text1"/>
                <w:sz w:val="22"/>
                <w:szCs w:val="22"/>
              </w:rPr>
              <w:t>Reference</w:t>
            </w:r>
          </w:p>
        </w:tc>
      </w:tr>
      <w:tr w:rsidR="00934FF7" w:rsidRPr="00DA354E" w:rsidTr="00EB157A">
        <w:trPr>
          <w:trHeight w:val="280"/>
        </w:trPr>
        <w:tc>
          <w:tcPr>
            <w:tcW w:w="4010" w:type="dxa"/>
            <w:tcBorders>
              <w:top w:val="single" w:sz="8" w:space="0" w:color="000000"/>
            </w:tcBorders>
            <w:shd w:val="clear" w:color="auto" w:fill="auto"/>
          </w:tcPr>
          <w:p w:rsidR="00934FF7" w:rsidRPr="00DA354E" w:rsidRDefault="00934FF7" w:rsidP="00EB157A">
            <w:pPr>
              <w:rPr>
                <w:rFonts w:ascii="Times New Roman" w:eastAsia="Calibri" w:hAnsi="Times New Roman" w:cs="Times New Roman"/>
                <w:color w:val="000000" w:themeColor="text1"/>
                <w:sz w:val="22"/>
                <w:szCs w:val="22"/>
              </w:rPr>
            </w:pPr>
            <w:r w:rsidRPr="00DA354E">
              <w:rPr>
                <w:rFonts w:ascii="Times New Roman" w:eastAsia="Calibri" w:hAnsi="Times New Roman" w:cs="Times New Roman"/>
                <w:color w:val="000000" w:themeColor="text1"/>
                <w:sz w:val="22"/>
                <w:szCs w:val="22"/>
              </w:rPr>
              <w:t>Ukraine - Cropland abandoned (LUC)</w:t>
            </w:r>
          </w:p>
          <w:p w:rsidR="00934FF7" w:rsidRPr="00DA354E" w:rsidRDefault="00934FF7" w:rsidP="00EB157A">
            <w:pPr>
              <w:rPr>
                <w:rFonts w:ascii="Times New Roman" w:eastAsia="Calibri" w:hAnsi="Times New Roman" w:cs="Times New Roman"/>
                <w:color w:val="000000" w:themeColor="text1"/>
                <w:sz w:val="22"/>
                <w:szCs w:val="22"/>
              </w:rPr>
            </w:pPr>
          </w:p>
        </w:tc>
        <w:tc>
          <w:tcPr>
            <w:tcW w:w="1400" w:type="dxa"/>
            <w:tcBorders>
              <w:top w:val="single" w:sz="8" w:space="0" w:color="000000"/>
              <w:left w:val="nil"/>
              <w:right w:val="nil"/>
            </w:tcBorders>
            <w:shd w:val="clear" w:color="auto" w:fill="auto"/>
          </w:tcPr>
          <w:p w:rsidR="00934FF7" w:rsidRPr="00DA354E" w:rsidRDefault="00934FF7" w:rsidP="00EB157A">
            <w:pPr>
              <w:rPr>
                <w:rFonts w:ascii="Times New Roman" w:eastAsia="Calibri" w:hAnsi="Times New Roman" w:cs="Times New Roman"/>
                <w:color w:val="000000" w:themeColor="text1"/>
                <w:sz w:val="20"/>
                <w:szCs w:val="20"/>
              </w:rPr>
            </w:pPr>
            <w:r w:rsidRPr="00DA354E">
              <w:rPr>
                <w:rFonts w:ascii="Times New Roman" w:eastAsia="Calibri" w:hAnsi="Times New Roman" w:cs="Times New Roman"/>
                <w:color w:val="000000" w:themeColor="text1"/>
                <w:sz w:val="20"/>
                <w:szCs w:val="20"/>
              </w:rPr>
              <w:t>-0.008</w:t>
            </w:r>
          </w:p>
        </w:tc>
        <w:tc>
          <w:tcPr>
            <w:tcW w:w="3521" w:type="dxa"/>
            <w:tcBorders>
              <w:top w:val="single" w:sz="8" w:space="0" w:color="000000"/>
            </w:tcBorders>
            <w:shd w:val="clear" w:color="auto" w:fill="auto"/>
          </w:tcPr>
          <w:p w:rsidR="00934FF7" w:rsidRPr="00DA354E" w:rsidRDefault="00934FF7" w:rsidP="00EB157A">
            <w:pPr>
              <w:rPr>
                <w:rFonts w:ascii="Times New Roman" w:eastAsia="Calibri" w:hAnsi="Times New Roman" w:cs="Times New Roman"/>
                <w:color w:val="000000" w:themeColor="text1"/>
                <w:sz w:val="20"/>
                <w:szCs w:val="20"/>
              </w:rPr>
            </w:pPr>
            <w:proofErr w:type="spellStart"/>
            <w:r w:rsidRPr="00DA354E">
              <w:rPr>
                <w:rFonts w:ascii="Times New Roman" w:eastAsia="Calibri" w:hAnsi="Times New Roman" w:cs="Times New Roman"/>
                <w:color w:val="000000" w:themeColor="text1"/>
                <w:sz w:val="20"/>
                <w:szCs w:val="20"/>
              </w:rPr>
              <w:t>Vuichard</w:t>
            </w:r>
            <w:proofErr w:type="spellEnd"/>
            <w:r w:rsidRPr="00DA354E">
              <w:rPr>
                <w:rFonts w:ascii="Times New Roman" w:eastAsia="Calibri" w:hAnsi="Times New Roman" w:cs="Times New Roman"/>
                <w:color w:val="000000" w:themeColor="text1"/>
                <w:sz w:val="20"/>
                <w:szCs w:val="20"/>
              </w:rPr>
              <w:t xml:space="preserve"> </w:t>
            </w:r>
            <w:r w:rsidRPr="00DA354E">
              <w:rPr>
                <w:rFonts w:ascii="Times New Roman" w:eastAsia="Calibri" w:hAnsi="Times New Roman" w:cs="Times New Roman"/>
                <w:i/>
                <w:color w:val="000000" w:themeColor="text1"/>
                <w:sz w:val="20"/>
                <w:szCs w:val="20"/>
              </w:rPr>
              <w:t>et al.</w:t>
            </w:r>
            <w:r w:rsidRPr="00DA354E">
              <w:rPr>
                <w:rFonts w:ascii="Times New Roman" w:eastAsia="Calibri" w:hAnsi="Times New Roman" w:cs="Times New Roman"/>
                <w:color w:val="000000" w:themeColor="text1"/>
                <w:sz w:val="20"/>
                <w:szCs w:val="20"/>
              </w:rPr>
              <w:t xml:space="preserve"> </w:t>
            </w:r>
            <w:r>
              <w:rPr>
                <w:rFonts w:ascii="Times New Roman" w:eastAsia="Calibri" w:hAnsi="Times New Roman" w:cs="Times New Roman"/>
                <w:color w:val="000000" w:themeColor="text1"/>
                <w:sz w:val="20"/>
                <w:szCs w:val="20"/>
              </w:rPr>
              <w:t>[</w:t>
            </w:r>
            <w:r w:rsidRPr="005C2A3C">
              <w:rPr>
                <w:rFonts w:ascii="Times New Roman" w:eastAsia="Calibri" w:hAnsi="Times New Roman" w:cs="Times New Roman"/>
                <w:color w:val="000000" w:themeColor="text1"/>
                <w:sz w:val="20"/>
                <w:szCs w:val="20"/>
              </w:rPr>
              <w:fldChar w:fldCharType="begin" w:fldLock="1"/>
            </w:r>
            <w:r w:rsidRPr="005C2A3C">
              <w:rPr>
                <w:rFonts w:ascii="Times New Roman" w:eastAsia="Calibri" w:hAnsi="Times New Roman" w:cs="Times New Roman"/>
                <w:color w:val="000000" w:themeColor="text1"/>
                <w:sz w:val="20"/>
                <w:szCs w:val="20"/>
              </w:rPr>
              <w:instrText>ADDIN CSL_CITATION {"citationItems":[{"id":"ITEM-1","itemData":{"ISSN":"08866236","author":[{"dropping-particle":"","family":"Vuichard","given":"Nicolas","non-dropping-particle":"","parse-names":false,"suffix":""},{"dropping-particle":"","family":"Ciais","given":"Philippe","non-dropping-particle":"","parse-names":false,"suffix":""},{"dropping-particle":"","family":"Belelli","given":"Luca","non-dropping-particle":"","parse-names":false,"suffix":""},{"dropping-particle":"","family":"Smith","given":"Pascale","non-dropping-particle":"","parse-names":false,"suffix":""},{"dropping-particle":"","family":"Valentini","given":"Riccardo","non-dropping-particle":"","parse-names":false,"suffix":""}],"container-title":"Global Biogeochemical Cycles","id":"ITEM-1","issue":"4","issued":{"date-parts":[["2008","12"]]},"title":"Carbon sequestration due to the abandonment of agriculture in the former USSR since 1990","type":"article-journal","volume":"22"},"uris":["http://www.mendeley.com/documents/?uuid=d9838fa5-703f-4036-bed5-e48b2c3cde50"]}],"mendeley":{"formattedCitation":"&lt;sup&gt;88&lt;/sup&gt;","plainTextFormattedCitation":"88","previouslyFormattedCitation":"&lt;sup&gt;88&lt;/sup&gt;"},"properties":{"noteIndex":0},"schema":"https://github.com/citation-style-language/schema/raw/master/csl-citation.json"}</w:instrText>
            </w:r>
            <w:r w:rsidRPr="005C2A3C">
              <w:rPr>
                <w:rFonts w:ascii="Times New Roman" w:eastAsia="Calibri" w:hAnsi="Times New Roman" w:cs="Times New Roman"/>
                <w:color w:val="000000" w:themeColor="text1"/>
                <w:sz w:val="20"/>
                <w:szCs w:val="20"/>
              </w:rPr>
              <w:fldChar w:fldCharType="separate"/>
            </w:r>
            <w:r w:rsidRPr="005C2A3C">
              <w:rPr>
                <w:rFonts w:ascii="Times New Roman" w:eastAsia="Calibri" w:hAnsi="Times New Roman" w:cs="Times New Roman"/>
                <w:noProof/>
                <w:color w:val="000000" w:themeColor="text1"/>
                <w:sz w:val="20"/>
                <w:szCs w:val="20"/>
              </w:rPr>
              <w:t>88</w:t>
            </w:r>
            <w:r w:rsidRPr="005C2A3C">
              <w:rPr>
                <w:rFonts w:ascii="Times New Roman" w:eastAsia="Calibri" w:hAnsi="Times New Roman" w:cs="Times New Roman"/>
                <w:color w:val="000000" w:themeColor="text1"/>
                <w:sz w:val="20"/>
                <w:szCs w:val="20"/>
              </w:rPr>
              <w:fldChar w:fldCharType="end"/>
            </w:r>
            <w:r>
              <w:rPr>
                <w:rFonts w:ascii="Times New Roman" w:eastAsia="Calibri" w:hAnsi="Times New Roman" w:cs="Times New Roman"/>
                <w:color w:val="000000" w:themeColor="text1"/>
                <w:sz w:val="20"/>
                <w:szCs w:val="20"/>
              </w:rPr>
              <w:t>]</w:t>
            </w:r>
          </w:p>
          <w:p w:rsidR="00934FF7" w:rsidRPr="00DA354E" w:rsidRDefault="00934FF7" w:rsidP="00EB157A">
            <w:pPr>
              <w:rPr>
                <w:rFonts w:ascii="Times New Roman" w:eastAsia="Calibri" w:hAnsi="Times New Roman" w:cs="Times New Roman"/>
                <w:color w:val="000000" w:themeColor="text1"/>
                <w:sz w:val="20"/>
                <w:szCs w:val="20"/>
              </w:rPr>
            </w:pPr>
          </w:p>
        </w:tc>
      </w:tr>
      <w:tr w:rsidR="00934FF7" w:rsidRPr="00DA354E" w:rsidTr="00EB157A">
        <w:trPr>
          <w:trHeight w:val="280"/>
        </w:trPr>
        <w:tc>
          <w:tcPr>
            <w:tcW w:w="4010" w:type="dxa"/>
            <w:shd w:val="clear" w:color="auto" w:fill="auto"/>
          </w:tcPr>
          <w:p w:rsidR="00934FF7" w:rsidRPr="00DA354E" w:rsidRDefault="00934FF7" w:rsidP="00EB157A">
            <w:pPr>
              <w:rPr>
                <w:rFonts w:ascii="Times New Roman" w:eastAsia="Calibri" w:hAnsi="Times New Roman" w:cs="Times New Roman"/>
                <w:color w:val="000000" w:themeColor="text1"/>
                <w:sz w:val="22"/>
                <w:szCs w:val="22"/>
              </w:rPr>
            </w:pPr>
            <w:r w:rsidRPr="00DA354E">
              <w:rPr>
                <w:rFonts w:ascii="Times New Roman" w:eastAsia="Calibri" w:hAnsi="Times New Roman" w:cs="Times New Roman"/>
                <w:color w:val="000000" w:themeColor="text1"/>
                <w:sz w:val="22"/>
                <w:szCs w:val="22"/>
              </w:rPr>
              <w:t>Ukraine (forest)</w:t>
            </w:r>
          </w:p>
        </w:tc>
        <w:tc>
          <w:tcPr>
            <w:tcW w:w="1400" w:type="dxa"/>
            <w:shd w:val="clear" w:color="auto" w:fill="auto"/>
          </w:tcPr>
          <w:p w:rsidR="00934FF7" w:rsidRPr="00DA354E" w:rsidRDefault="00934FF7" w:rsidP="00EB157A">
            <w:pPr>
              <w:rPr>
                <w:rFonts w:ascii="Times New Roman" w:eastAsia="Calibri" w:hAnsi="Times New Roman" w:cs="Times New Roman"/>
                <w:color w:val="000000" w:themeColor="text1"/>
                <w:sz w:val="20"/>
                <w:szCs w:val="20"/>
              </w:rPr>
            </w:pPr>
            <w:r w:rsidRPr="00DA354E">
              <w:rPr>
                <w:rFonts w:ascii="Times New Roman" w:eastAsia="Calibri" w:hAnsi="Times New Roman" w:cs="Times New Roman"/>
                <w:color w:val="000000" w:themeColor="text1"/>
                <w:sz w:val="20"/>
                <w:szCs w:val="20"/>
              </w:rPr>
              <w:t>-0.012</w:t>
            </w:r>
          </w:p>
        </w:tc>
        <w:tc>
          <w:tcPr>
            <w:tcW w:w="3521" w:type="dxa"/>
            <w:shd w:val="clear" w:color="auto" w:fill="auto"/>
          </w:tcPr>
          <w:p w:rsidR="00934FF7" w:rsidRPr="00DA354E" w:rsidRDefault="00934FF7" w:rsidP="00EB157A">
            <w:pPr>
              <w:rPr>
                <w:rFonts w:ascii="Times New Roman" w:eastAsia="Calibri" w:hAnsi="Times New Roman" w:cs="Times New Roman"/>
                <w:color w:val="000000" w:themeColor="text1"/>
                <w:sz w:val="20"/>
                <w:szCs w:val="20"/>
              </w:rPr>
            </w:pPr>
            <w:proofErr w:type="spellStart"/>
            <w:r w:rsidRPr="00DA354E">
              <w:rPr>
                <w:rFonts w:ascii="Times New Roman" w:eastAsia="Calibri" w:hAnsi="Times New Roman" w:cs="Times New Roman"/>
                <w:color w:val="000000" w:themeColor="text1"/>
                <w:sz w:val="20"/>
                <w:szCs w:val="20"/>
              </w:rPr>
              <w:t>Shvidenko</w:t>
            </w:r>
            <w:proofErr w:type="spellEnd"/>
            <w:r w:rsidRPr="00DA354E">
              <w:rPr>
                <w:rFonts w:ascii="Times New Roman" w:eastAsia="Calibri" w:hAnsi="Times New Roman" w:cs="Times New Roman"/>
                <w:color w:val="000000" w:themeColor="text1"/>
                <w:sz w:val="20"/>
                <w:szCs w:val="20"/>
              </w:rPr>
              <w:t xml:space="preserve"> </w:t>
            </w:r>
            <w:r w:rsidRPr="00DA354E">
              <w:rPr>
                <w:rFonts w:ascii="Times New Roman" w:eastAsia="Calibri" w:hAnsi="Times New Roman" w:cs="Times New Roman"/>
                <w:i/>
                <w:color w:val="000000" w:themeColor="text1"/>
                <w:sz w:val="20"/>
                <w:szCs w:val="20"/>
              </w:rPr>
              <w:t>et al.</w:t>
            </w:r>
            <w:r w:rsidRPr="00DA354E">
              <w:rPr>
                <w:rFonts w:ascii="Times New Roman" w:eastAsia="Calibri" w:hAnsi="Times New Roman" w:cs="Times New Roman"/>
                <w:color w:val="000000" w:themeColor="text1"/>
                <w:sz w:val="20"/>
                <w:szCs w:val="20"/>
              </w:rPr>
              <w:t xml:space="preserve"> </w:t>
            </w:r>
            <w:r>
              <w:rPr>
                <w:rFonts w:ascii="Times New Roman" w:eastAsia="Calibri" w:hAnsi="Times New Roman" w:cs="Times New Roman"/>
                <w:color w:val="000000" w:themeColor="text1"/>
                <w:sz w:val="20"/>
                <w:szCs w:val="20"/>
              </w:rPr>
              <w:t>[</w:t>
            </w:r>
            <w:r w:rsidRPr="005C2A3C">
              <w:rPr>
                <w:rFonts w:ascii="Times New Roman" w:eastAsia="Calibri" w:hAnsi="Times New Roman" w:cs="Times New Roman"/>
                <w:color w:val="000000" w:themeColor="text1"/>
                <w:sz w:val="20"/>
                <w:szCs w:val="20"/>
              </w:rPr>
              <w:fldChar w:fldCharType="begin" w:fldLock="1"/>
            </w:r>
            <w:r w:rsidRPr="005C2A3C">
              <w:rPr>
                <w:rFonts w:ascii="Times New Roman" w:eastAsia="Calibri" w:hAnsi="Times New Roman" w:cs="Times New Roman"/>
                <w:color w:val="000000" w:themeColor="text1"/>
                <w:sz w:val="20"/>
                <w:szCs w:val="20"/>
              </w:rPr>
              <w:instrText>ADDIN CSL_CITATION {"citationItems":[{"id":"ITEM-1","itemData":{"author":[{"dropping-particle":"","family":"Shvidenko","given":"A.","non-dropping-particle":"","parse-names":false,"suffix":""},{"dropping-particle":"","family":"P.lakyda","given":"","non-dropping-particle":"","parse-names":false,"suffix":""},{"dropping-particle":"","family":"Schepaschenko","given":"D.","non-dropping-particle":"","parse-names":false,"suffix":""},{"dropping-particle":"","family":"Vosylyshyn","given":"R.","non-dropping-particle":"","parse-names":false,"suffix":""},{"dropping-particle":"","family":"Marchuk","given":"Yu.","non-dropping-particle":"","parse-names":false,"suffix":""}],"id":"ITEM-1","issued":{"date-parts":[["2014"]]},"title":"Carbon, climate and land-use in Ukraine: forest sector, Korsun-Shevechkivsky, Ukraine [in Ukrainian]","type":"book"},"uris":["http://www.mendeley.com/documents/?uuid=c847baca-d1a1-465c-aaa8-a765dedc01c4"]}],"mendeley":{"formattedCitation":"&lt;sup&gt;89&lt;/sup&gt;","plainTextFormattedCitation":"89","previouslyFormattedCitation":"&lt;sup&gt;89&lt;/sup&gt;"},"properties":{"noteIndex":0},"schema":"https://github.com/citation-style-language/schema/raw/master/csl-citation.json"}</w:instrText>
            </w:r>
            <w:r w:rsidRPr="005C2A3C">
              <w:rPr>
                <w:rFonts w:ascii="Times New Roman" w:eastAsia="Calibri" w:hAnsi="Times New Roman" w:cs="Times New Roman"/>
                <w:color w:val="000000" w:themeColor="text1"/>
                <w:sz w:val="20"/>
                <w:szCs w:val="20"/>
              </w:rPr>
              <w:fldChar w:fldCharType="separate"/>
            </w:r>
            <w:r w:rsidRPr="005C2A3C">
              <w:rPr>
                <w:rFonts w:ascii="Times New Roman" w:eastAsia="Calibri" w:hAnsi="Times New Roman" w:cs="Times New Roman"/>
                <w:noProof/>
                <w:color w:val="000000" w:themeColor="text1"/>
                <w:sz w:val="20"/>
                <w:szCs w:val="20"/>
              </w:rPr>
              <w:t>89</w:t>
            </w:r>
            <w:r w:rsidRPr="005C2A3C">
              <w:rPr>
                <w:rFonts w:ascii="Times New Roman" w:eastAsia="Calibri" w:hAnsi="Times New Roman" w:cs="Times New Roman"/>
                <w:color w:val="000000" w:themeColor="text1"/>
                <w:sz w:val="20"/>
                <w:szCs w:val="20"/>
              </w:rPr>
              <w:fldChar w:fldCharType="end"/>
            </w:r>
            <w:r>
              <w:rPr>
                <w:rFonts w:ascii="Times New Roman" w:eastAsia="Calibri" w:hAnsi="Times New Roman" w:cs="Times New Roman"/>
                <w:color w:val="000000" w:themeColor="text1"/>
                <w:sz w:val="20"/>
                <w:szCs w:val="20"/>
              </w:rPr>
              <w:t>]</w:t>
            </w:r>
          </w:p>
          <w:p w:rsidR="00934FF7" w:rsidRPr="00DA354E" w:rsidRDefault="00934FF7" w:rsidP="00EB157A">
            <w:pPr>
              <w:rPr>
                <w:rFonts w:ascii="Times New Roman" w:eastAsia="Calibri" w:hAnsi="Times New Roman" w:cs="Times New Roman"/>
                <w:color w:val="000000" w:themeColor="text1"/>
                <w:sz w:val="20"/>
                <w:szCs w:val="20"/>
              </w:rPr>
            </w:pPr>
          </w:p>
        </w:tc>
      </w:tr>
      <w:tr w:rsidR="00934FF7" w:rsidRPr="00DA354E" w:rsidTr="00EB157A">
        <w:trPr>
          <w:trHeight w:val="500"/>
        </w:trPr>
        <w:tc>
          <w:tcPr>
            <w:tcW w:w="4010" w:type="dxa"/>
            <w:tcBorders>
              <w:left w:val="nil"/>
              <w:right w:val="nil"/>
            </w:tcBorders>
            <w:shd w:val="clear" w:color="auto" w:fill="auto"/>
          </w:tcPr>
          <w:p w:rsidR="00934FF7" w:rsidRPr="00DA354E" w:rsidRDefault="00934FF7" w:rsidP="00EB157A">
            <w:pPr>
              <w:rPr>
                <w:rFonts w:ascii="Times New Roman" w:eastAsia="Calibri" w:hAnsi="Times New Roman" w:cs="Times New Roman"/>
                <w:color w:val="000000" w:themeColor="text1"/>
                <w:sz w:val="22"/>
                <w:szCs w:val="22"/>
              </w:rPr>
            </w:pPr>
            <w:r w:rsidRPr="00DA354E">
              <w:rPr>
                <w:rFonts w:ascii="Times New Roman" w:eastAsia="Calibri" w:hAnsi="Times New Roman" w:cs="Times New Roman"/>
                <w:color w:val="000000" w:themeColor="text1"/>
                <w:sz w:val="22"/>
                <w:szCs w:val="22"/>
              </w:rPr>
              <w:t>Kazakhstan - Cropland abandoned (LUC)</w:t>
            </w:r>
          </w:p>
        </w:tc>
        <w:tc>
          <w:tcPr>
            <w:tcW w:w="1400" w:type="dxa"/>
            <w:tcBorders>
              <w:left w:val="nil"/>
              <w:right w:val="nil"/>
            </w:tcBorders>
            <w:shd w:val="clear" w:color="auto" w:fill="auto"/>
          </w:tcPr>
          <w:p w:rsidR="00934FF7" w:rsidRPr="00DA354E" w:rsidRDefault="00934FF7" w:rsidP="00EB157A">
            <w:pPr>
              <w:rPr>
                <w:rFonts w:ascii="Times New Roman" w:eastAsia="Calibri" w:hAnsi="Times New Roman" w:cs="Times New Roman"/>
                <w:color w:val="000000" w:themeColor="text1"/>
                <w:sz w:val="20"/>
                <w:szCs w:val="20"/>
              </w:rPr>
            </w:pPr>
            <w:r w:rsidRPr="00DA354E">
              <w:rPr>
                <w:rFonts w:ascii="Times New Roman" w:eastAsia="Calibri" w:hAnsi="Times New Roman" w:cs="Times New Roman"/>
                <w:color w:val="000000" w:themeColor="text1"/>
                <w:sz w:val="20"/>
                <w:szCs w:val="20"/>
              </w:rPr>
              <w:t>-0.01</w:t>
            </w:r>
          </w:p>
        </w:tc>
        <w:tc>
          <w:tcPr>
            <w:tcW w:w="3521" w:type="dxa"/>
            <w:tcBorders>
              <w:left w:val="nil"/>
              <w:right w:val="nil"/>
            </w:tcBorders>
            <w:shd w:val="clear" w:color="auto" w:fill="auto"/>
          </w:tcPr>
          <w:p w:rsidR="00934FF7" w:rsidRPr="00DA354E" w:rsidRDefault="00934FF7" w:rsidP="00EB157A">
            <w:pPr>
              <w:rPr>
                <w:rFonts w:ascii="Times New Roman" w:eastAsia="Calibri" w:hAnsi="Times New Roman" w:cs="Times New Roman"/>
                <w:color w:val="000000" w:themeColor="text1"/>
                <w:sz w:val="20"/>
                <w:szCs w:val="20"/>
              </w:rPr>
            </w:pPr>
            <w:r w:rsidRPr="00DA354E">
              <w:rPr>
                <w:rFonts w:ascii="Times New Roman" w:eastAsia="Calibri" w:hAnsi="Times New Roman" w:cs="Times New Roman"/>
                <w:color w:val="000000" w:themeColor="text1"/>
                <w:sz w:val="20"/>
                <w:szCs w:val="20"/>
              </w:rPr>
              <w:t xml:space="preserve">Flux of </w:t>
            </w:r>
            <w:proofErr w:type="spellStart"/>
            <w:r w:rsidRPr="00DA354E">
              <w:rPr>
                <w:rFonts w:ascii="Times New Roman" w:eastAsia="Calibri" w:hAnsi="Times New Roman" w:cs="Times New Roman"/>
                <w:color w:val="000000" w:themeColor="text1"/>
                <w:sz w:val="20"/>
                <w:szCs w:val="20"/>
              </w:rPr>
              <w:t>Vuichard</w:t>
            </w:r>
            <w:proofErr w:type="spellEnd"/>
            <w:r w:rsidRPr="00DA354E">
              <w:rPr>
                <w:rFonts w:ascii="Times New Roman" w:eastAsia="Calibri" w:hAnsi="Times New Roman" w:cs="Times New Roman"/>
                <w:color w:val="000000" w:themeColor="text1"/>
                <w:sz w:val="20"/>
                <w:szCs w:val="20"/>
              </w:rPr>
              <w:t xml:space="preserve"> </w:t>
            </w:r>
            <w:r w:rsidRPr="00DA354E">
              <w:rPr>
                <w:rFonts w:ascii="Times New Roman" w:eastAsia="Calibri" w:hAnsi="Times New Roman" w:cs="Times New Roman"/>
                <w:i/>
                <w:color w:val="000000" w:themeColor="text1"/>
                <w:sz w:val="20"/>
                <w:szCs w:val="20"/>
              </w:rPr>
              <w:t>et al.</w:t>
            </w:r>
            <w:r w:rsidRPr="00DA354E">
              <w:rPr>
                <w:rFonts w:ascii="Times New Roman" w:eastAsia="Calibri" w:hAnsi="Times New Roman" w:cs="Times New Roman"/>
                <w:color w:val="000000" w:themeColor="text1"/>
                <w:sz w:val="20"/>
                <w:szCs w:val="20"/>
              </w:rPr>
              <w:t xml:space="preserve"> extrapolated to area abandoned </w:t>
            </w:r>
            <w:proofErr w:type="spellStart"/>
            <w:r w:rsidRPr="00DA354E">
              <w:rPr>
                <w:rFonts w:ascii="Times New Roman" w:eastAsia="Calibri" w:hAnsi="Times New Roman" w:cs="Times New Roman"/>
                <w:color w:val="000000" w:themeColor="text1"/>
                <w:sz w:val="20"/>
                <w:szCs w:val="20"/>
              </w:rPr>
              <w:t>Henebry</w:t>
            </w:r>
            <w:proofErr w:type="spellEnd"/>
            <w:r w:rsidRPr="00DA354E">
              <w:rPr>
                <w:rFonts w:ascii="Times New Roman" w:eastAsia="Calibri" w:hAnsi="Times New Roman" w:cs="Times New Roman"/>
                <w:color w:val="000000" w:themeColor="text1"/>
                <w:sz w:val="20"/>
                <w:szCs w:val="20"/>
              </w:rPr>
              <w:t xml:space="preserve"> </w:t>
            </w:r>
            <w:r w:rsidRPr="00DA354E">
              <w:rPr>
                <w:rFonts w:ascii="Times New Roman" w:eastAsia="Calibri" w:hAnsi="Times New Roman" w:cs="Times New Roman"/>
                <w:i/>
                <w:color w:val="000000" w:themeColor="text1"/>
                <w:sz w:val="20"/>
                <w:szCs w:val="20"/>
              </w:rPr>
              <w:t>et al.</w:t>
            </w:r>
            <w:r>
              <w:rPr>
                <w:rFonts w:ascii="Times New Roman" w:eastAsia="Calibri" w:hAnsi="Times New Roman" w:cs="Times New Roman"/>
                <w:i/>
                <w:color w:val="000000" w:themeColor="text1"/>
                <w:sz w:val="20"/>
                <w:szCs w:val="20"/>
              </w:rPr>
              <w:t xml:space="preserve"> </w:t>
            </w:r>
            <w:r w:rsidRPr="005C2A3C">
              <w:rPr>
                <w:rFonts w:ascii="Times New Roman" w:eastAsia="Calibri" w:hAnsi="Times New Roman" w:cs="Times New Roman"/>
                <w:iCs/>
                <w:color w:val="000000" w:themeColor="text1"/>
                <w:sz w:val="20"/>
                <w:szCs w:val="20"/>
              </w:rPr>
              <w:t>[</w:t>
            </w:r>
            <w:r w:rsidRPr="005C2A3C">
              <w:rPr>
                <w:rFonts w:ascii="Times New Roman" w:eastAsia="Calibri" w:hAnsi="Times New Roman" w:cs="Times New Roman"/>
                <w:i/>
                <w:color w:val="000000" w:themeColor="text1"/>
                <w:sz w:val="20"/>
                <w:szCs w:val="20"/>
              </w:rPr>
              <w:fldChar w:fldCharType="begin" w:fldLock="1"/>
            </w:r>
            <w:r w:rsidRPr="005C2A3C">
              <w:rPr>
                <w:rFonts w:ascii="Times New Roman" w:eastAsia="Calibri" w:hAnsi="Times New Roman" w:cs="Times New Roman"/>
                <w:i/>
                <w:color w:val="000000" w:themeColor="text1"/>
                <w:sz w:val="20"/>
                <w:szCs w:val="20"/>
              </w:rPr>
              <w:instrText>ADDIN CSL_CITATION {"citationItems":[{"id":"ITEM-1","itemData":{"DOI":"10.1038/4571089a","ISSN":"1476-4687","PMID":"19242461","abstract":"The collapse of the Soviet Union had diverse consequences, not least the abandonment of crop cultivation in many areas. One result has been the vast accumulation of soil organic carbon in the areas affected.","author":[{"dropping-particle":"","family":"Henebry","given":"Geoffrey M","non-dropping-particle":"","parse-names":false,"suffix":""}],"container-title":"Nature","id":"ITEM-1","issue":"7233","issued":{"date-parts":[["2009","2"]]},"page":"1089-90","publisher":"Nature Publishing Group","title":"Global change: Carbon in idle croplands.","title-short":"Nature","type":"article-journal","volume":"457"},"uris":["http://www.mendeley.com/documents/?uuid=0532575d-0417-40d9-8af2-bd9bfda0ecf7"]}],"mendeley":{"formattedCitation":"&lt;sup&gt;90&lt;/sup&gt;","plainTextFormattedCitation":"90","previouslyFormattedCitation":"&lt;sup&gt;90&lt;/sup&gt;"},"properties":{"noteIndex":0},"schema":"https://github.com/citation-style-language/schema/raw/master/csl-citation.json"}</w:instrText>
            </w:r>
            <w:r w:rsidRPr="005C2A3C">
              <w:rPr>
                <w:rFonts w:ascii="Times New Roman" w:eastAsia="Calibri" w:hAnsi="Times New Roman" w:cs="Times New Roman"/>
                <w:i/>
                <w:color w:val="000000" w:themeColor="text1"/>
                <w:sz w:val="20"/>
                <w:szCs w:val="20"/>
              </w:rPr>
              <w:fldChar w:fldCharType="separate"/>
            </w:r>
            <w:r w:rsidRPr="005C2A3C">
              <w:rPr>
                <w:rFonts w:ascii="Times New Roman" w:eastAsia="Calibri" w:hAnsi="Times New Roman" w:cs="Times New Roman"/>
                <w:noProof/>
                <w:color w:val="000000" w:themeColor="text1"/>
                <w:sz w:val="20"/>
                <w:szCs w:val="20"/>
              </w:rPr>
              <w:t>90</w:t>
            </w:r>
            <w:r w:rsidRPr="005C2A3C">
              <w:rPr>
                <w:rFonts w:ascii="Times New Roman" w:eastAsia="Calibri" w:hAnsi="Times New Roman" w:cs="Times New Roman"/>
                <w:i/>
                <w:color w:val="000000" w:themeColor="text1"/>
                <w:sz w:val="20"/>
                <w:szCs w:val="20"/>
              </w:rPr>
              <w:fldChar w:fldCharType="end"/>
            </w:r>
            <w:r w:rsidRPr="005C2A3C">
              <w:rPr>
                <w:rFonts w:ascii="Times New Roman" w:eastAsia="Calibri" w:hAnsi="Times New Roman" w:cs="Times New Roman"/>
                <w:iCs/>
                <w:color w:val="000000" w:themeColor="text1"/>
                <w:sz w:val="20"/>
                <w:szCs w:val="20"/>
              </w:rPr>
              <w:t>]</w:t>
            </w:r>
            <w:r w:rsidRPr="00DA354E">
              <w:rPr>
                <w:rFonts w:ascii="Times New Roman" w:eastAsia="Calibri" w:hAnsi="Times New Roman" w:cs="Times New Roman"/>
                <w:color w:val="000000" w:themeColor="text1"/>
                <w:sz w:val="20"/>
                <w:szCs w:val="20"/>
              </w:rPr>
              <w:t xml:space="preserve"> </w:t>
            </w:r>
          </w:p>
          <w:p w:rsidR="00934FF7" w:rsidRPr="00DA354E" w:rsidRDefault="00934FF7" w:rsidP="00EB157A">
            <w:pPr>
              <w:rPr>
                <w:rFonts w:ascii="Times New Roman" w:eastAsia="Calibri" w:hAnsi="Times New Roman" w:cs="Times New Roman"/>
                <w:color w:val="000000" w:themeColor="text1"/>
                <w:sz w:val="20"/>
                <w:szCs w:val="20"/>
              </w:rPr>
            </w:pPr>
          </w:p>
        </w:tc>
      </w:tr>
      <w:tr w:rsidR="00934FF7" w:rsidRPr="001D7FE4" w:rsidTr="00EB157A">
        <w:trPr>
          <w:trHeight w:val="280"/>
        </w:trPr>
        <w:tc>
          <w:tcPr>
            <w:tcW w:w="4010" w:type="dxa"/>
            <w:shd w:val="clear" w:color="auto" w:fill="auto"/>
          </w:tcPr>
          <w:p w:rsidR="00934FF7" w:rsidRPr="00DA354E" w:rsidRDefault="00934FF7" w:rsidP="00EB157A">
            <w:pPr>
              <w:rPr>
                <w:rFonts w:ascii="Times New Roman" w:eastAsia="Calibri" w:hAnsi="Times New Roman" w:cs="Times New Roman"/>
                <w:color w:val="000000" w:themeColor="text1"/>
                <w:sz w:val="22"/>
                <w:szCs w:val="22"/>
              </w:rPr>
            </w:pPr>
            <w:r w:rsidRPr="00DA354E">
              <w:rPr>
                <w:rFonts w:ascii="Times New Roman" w:eastAsia="Calibri" w:hAnsi="Times New Roman" w:cs="Times New Roman"/>
                <w:color w:val="000000" w:themeColor="text1"/>
                <w:sz w:val="22"/>
                <w:szCs w:val="22"/>
              </w:rPr>
              <w:t>Kazakhstan (forest)</w:t>
            </w:r>
          </w:p>
        </w:tc>
        <w:tc>
          <w:tcPr>
            <w:tcW w:w="1400" w:type="dxa"/>
            <w:shd w:val="clear" w:color="auto" w:fill="auto"/>
          </w:tcPr>
          <w:p w:rsidR="00934FF7" w:rsidRPr="00DA354E" w:rsidRDefault="00934FF7" w:rsidP="00EB157A">
            <w:pPr>
              <w:rPr>
                <w:rFonts w:ascii="Times New Roman" w:eastAsia="Calibri" w:hAnsi="Times New Roman" w:cs="Times New Roman"/>
                <w:color w:val="000000" w:themeColor="text1"/>
                <w:sz w:val="20"/>
                <w:szCs w:val="20"/>
              </w:rPr>
            </w:pPr>
            <w:r w:rsidRPr="00DA354E">
              <w:rPr>
                <w:rFonts w:ascii="Times New Roman" w:eastAsia="Calibri" w:hAnsi="Times New Roman" w:cs="Times New Roman"/>
                <w:color w:val="000000" w:themeColor="text1"/>
                <w:sz w:val="20"/>
                <w:szCs w:val="20"/>
              </w:rPr>
              <w:t>-0.04</w:t>
            </w:r>
          </w:p>
        </w:tc>
        <w:tc>
          <w:tcPr>
            <w:tcW w:w="3521" w:type="dxa"/>
            <w:shd w:val="clear" w:color="auto" w:fill="auto"/>
          </w:tcPr>
          <w:p w:rsidR="00934FF7" w:rsidRPr="00DA354E" w:rsidRDefault="00934FF7" w:rsidP="00EB157A">
            <w:pPr>
              <w:rPr>
                <w:rFonts w:ascii="Times New Roman" w:eastAsia="Calibri" w:hAnsi="Times New Roman" w:cs="Times New Roman"/>
                <w:color w:val="000000" w:themeColor="text1"/>
                <w:sz w:val="20"/>
                <w:szCs w:val="20"/>
                <w:lang w:val="fr-FR"/>
              </w:rPr>
            </w:pPr>
            <w:proofErr w:type="spellStart"/>
            <w:r w:rsidRPr="00DA354E">
              <w:rPr>
                <w:rFonts w:ascii="Times New Roman" w:eastAsia="Calibri" w:hAnsi="Times New Roman" w:cs="Times New Roman"/>
                <w:color w:val="000000" w:themeColor="text1"/>
                <w:sz w:val="20"/>
                <w:szCs w:val="20"/>
                <w:lang w:val="fr-FR"/>
              </w:rPr>
              <w:t>Goodale</w:t>
            </w:r>
            <w:proofErr w:type="spellEnd"/>
            <w:r w:rsidRPr="00DA354E">
              <w:rPr>
                <w:rFonts w:ascii="Times New Roman" w:eastAsia="Calibri" w:hAnsi="Times New Roman" w:cs="Times New Roman"/>
                <w:color w:val="000000" w:themeColor="text1"/>
                <w:sz w:val="20"/>
                <w:szCs w:val="20"/>
                <w:lang w:val="fr-FR"/>
              </w:rPr>
              <w:t xml:space="preserve"> </w:t>
            </w:r>
            <w:r w:rsidRPr="00DA354E">
              <w:rPr>
                <w:rFonts w:ascii="Times New Roman" w:eastAsia="Calibri" w:hAnsi="Times New Roman" w:cs="Times New Roman"/>
                <w:i/>
                <w:color w:val="000000" w:themeColor="text1"/>
                <w:sz w:val="20"/>
                <w:szCs w:val="20"/>
                <w:lang w:val="fr-FR"/>
              </w:rPr>
              <w:t>et al.</w:t>
            </w:r>
            <w:r>
              <w:rPr>
                <w:rFonts w:ascii="Times New Roman" w:eastAsia="Calibri" w:hAnsi="Times New Roman" w:cs="Times New Roman"/>
                <w:i/>
                <w:color w:val="000000" w:themeColor="text1"/>
                <w:sz w:val="20"/>
                <w:szCs w:val="20"/>
                <w:lang w:val="fr-FR"/>
              </w:rPr>
              <w:t xml:space="preserve"> </w:t>
            </w:r>
            <w:r w:rsidRPr="005C2A3C">
              <w:rPr>
                <w:rFonts w:ascii="Times New Roman" w:eastAsia="Calibri" w:hAnsi="Times New Roman" w:cs="Times New Roman"/>
                <w:iCs/>
                <w:color w:val="000000" w:themeColor="text1"/>
                <w:sz w:val="20"/>
                <w:szCs w:val="20"/>
                <w:lang w:val="fr-FR"/>
              </w:rPr>
              <w:t>[</w:t>
            </w:r>
            <w:r w:rsidRPr="005C2A3C">
              <w:rPr>
                <w:rFonts w:ascii="Times New Roman" w:eastAsia="Calibri" w:hAnsi="Times New Roman" w:cs="Times New Roman"/>
                <w:i/>
                <w:color w:val="000000" w:themeColor="text1"/>
                <w:sz w:val="20"/>
                <w:szCs w:val="20"/>
              </w:rPr>
              <w:fldChar w:fldCharType="begin" w:fldLock="1"/>
            </w:r>
            <w:r w:rsidRPr="005C2A3C">
              <w:rPr>
                <w:rFonts w:ascii="Times New Roman" w:eastAsia="Calibri" w:hAnsi="Times New Roman" w:cs="Times New Roman"/>
                <w:i/>
                <w:color w:val="000000" w:themeColor="text1"/>
                <w:sz w:val="20"/>
                <w:szCs w:val="20"/>
                <w:lang w:val="fr-FR"/>
              </w:rPr>
              <w:instrText>ADDIN CSL_CITATION {"citationItems":[{"id":"ITEM-1","itemData":{"DOI":"10.1890/1051-0761(2002)012[0891:FCSITN]2.0.CO;2","ISSN":"1051-0761","abstract":"There is general agreement that terrestrial systems in the Northern Hemisphere provide a significant sink for atmospheric CO2; however, estimates of the magnitude and distribution of this sink vary greatly. National forest inventories provide strong, measurement-based constraints on the magnitude of net forest carbon uptake. We brought together forest sector C budgets for Canada, the United States, Europe, Russia, and China that were derived from forest inventory information, allometric relationships, and supplementary data sets and models. Together, these suggest that northern forests and woodlands provided a total sink for 0.6–0.7 Pg of C per year (1 Pg = 1015 g) during the early 1990s, consisting of 0.21 Pg C/yr in living biomass, 0.08 Pg C/yr in forest products, 0.15 Pg C/yr in dead wood, and 0.13 Pg C/yr in the forest floor and soil organic matter. Estimates of changes in soil C pools have improved but remain the least certain terms of the budgets. Over 80% of the estimated sink occurred in one-third...","author":[{"dropping-particle":"","family":"Goodale","given":"Christine L.","non-dropping-particle":"","parse-names":false,"suffix":""},{"dropping-particle":"","family":"Apps","given":"Michael J.","non-dropping-particle":"","parse-names":false,"suffix":""},{"dropping-particle":"","family":"Birdsey","given":"Richard A.","non-dropping-particle":"","parse-names":false,"suffix":""},{"dropping-particle":"","family":"Field","given":"Christopher B.","non-dropping-particle":"","parse-names":false,"suffix":""},{"dropping-particle":"","family":"Heath","given":"Linda S.","non-dropping-particle":"","parse-names":false,"suffix":""},{"dropping-particle":"","family":"Houghton","given":"Richard A.","non-dropping-particle":"","parse-names":false,"suffix":""},{"dropping-particle":"","family":"Jenkins","given":"Jennifer C.","non-dropping-particle":"","parse-names":false,"suffix":""},{"dropping-particle":"","family":"Kohlmaier","given":"Gundolf H.","non-dropping-particle":"","parse-names":false,"suffix":""},{"dropping-particle":"","family":"Kurz","given":"Werner","non-dropping-particle":"","parse-names":false,"suffix":""},{"dropping-particle":"","family":"Liu","given":"Shirong","non-dropping-particle":"","parse-names":false,"suffix":""},{"dropping-particle":"","family":"Nabuurs","given":"Gert-Jan","non-dropping-particle":"","parse-names":false,"suffix":""},{"dropping-particle":"","family":"Nilsson","given":"Sten","non-dropping-particle":"","parse-names":false,"suffix":""},{"dropping-particle":"","family":"Shvidenko","given":"Anatoly Z.","non-dropping-particle":"","parse-names":false,"suffix":""}],"container-title":"Ecological Applications","id":"ITEM-1","issue":"3","issued":{"date-parts":[["2002","6"]]},"language":"EN","page":"891-899","title":"Forest carbon sinks in the northern hemisphere","type":"article-journal","volume":"12"},"uris":["http://www.mendeley.com/documents/?uuid=839a97b9-28a9-4173-a30f-036e18868bfd"]}],"mendeley":{"formattedCitation":"&lt;sup&gt;91&lt;/sup&gt;","plainTextFormattedCitation":"91","previouslyFormattedCitation":"&lt;sup&gt;91&lt;/sup&gt;"},"properties":{"noteIndex":0},"schema":"https://github.com/citation-style-language/schema/raw/master/csl-citation.json"}</w:instrText>
            </w:r>
            <w:r w:rsidRPr="005C2A3C">
              <w:rPr>
                <w:rFonts w:ascii="Times New Roman" w:eastAsia="Calibri" w:hAnsi="Times New Roman" w:cs="Times New Roman"/>
                <w:i/>
                <w:color w:val="000000" w:themeColor="text1"/>
                <w:sz w:val="20"/>
                <w:szCs w:val="20"/>
              </w:rPr>
              <w:fldChar w:fldCharType="separate"/>
            </w:r>
            <w:r w:rsidRPr="005C2A3C">
              <w:rPr>
                <w:rFonts w:ascii="Times New Roman" w:eastAsia="Calibri" w:hAnsi="Times New Roman" w:cs="Times New Roman"/>
                <w:noProof/>
                <w:color w:val="000000" w:themeColor="text1"/>
                <w:sz w:val="20"/>
                <w:szCs w:val="20"/>
                <w:lang w:val="fr-FR"/>
              </w:rPr>
              <w:t>91</w:t>
            </w:r>
            <w:r w:rsidRPr="005C2A3C">
              <w:rPr>
                <w:rFonts w:ascii="Times New Roman" w:eastAsia="Calibri" w:hAnsi="Times New Roman" w:cs="Times New Roman"/>
                <w:i/>
                <w:color w:val="000000" w:themeColor="text1"/>
                <w:sz w:val="20"/>
                <w:szCs w:val="20"/>
              </w:rPr>
              <w:fldChar w:fldCharType="end"/>
            </w:r>
            <w:r w:rsidRPr="00934FF7">
              <w:rPr>
                <w:rFonts w:ascii="Times New Roman" w:eastAsia="Calibri" w:hAnsi="Times New Roman" w:cs="Times New Roman"/>
                <w:iCs/>
                <w:color w:val="000000" w:themeColor="text1"/>
                <w:sz w:val="20"/>
                <w:szCs w:val="20"/>
                <w:lang w:val="fr-FR"/>
              </w:rPr>
              <w:t>]</w:t>
            </w:r>
            <w:r w:rsidRPr="00DA354E">
              <w:rPr>
                <w:rFonts w:ascii="Times New Roman" w:eastAsia="Calibri" w:hAnsi="Times New Roman" w:cs="Times New Roman"/>
                <w:color w:val="000000" w:themeColor="text1"/>
                <w:sz w:val="20"/>
                <w:szCs w:val="20"/>
                <w:lang w:val="fr-FR"/>
              </w:rPr>
              <w:t xml:space="preserve"> (</w:t>
            </w:r>
            <w:proofErr w:type="spellStart"/>
            <w:r w:rsidRPr="00DA354E">
              <w:rPr>
                <w:rFonts w:ascii="Times New Roman" w:eastAsia="Calibri" w:hAnsi="Times New Roman" w:cs="Times New Roman"/>
                <w:color w:val="000000" w:themeColor="text1"/>
                <w:sz w:val="20"/>
                <w:szCs w:val="20"/>
                <w:lang w:val="fr-FR"/>
              </w:rPr>
              <w:t>their</w:t>
            </w:r>
            <w:proofErr w:type="spellEnd"/>
            <w:r w:rsidRPr="00DA354E">
              <w:rPr>
                <w:rFonts w:ascii="Times New Roman" w:eastAsia="Calibri" w:hAnsi="Times New Roman" w:cs="Times New Roman"/>
                <w:color w:val="000000" w:themeColor="text1"/>
                <w:sz w:val="20"/>
                <w:szCs w:val="20"/>
                <w:lang w:val="fr-FR"/>
              </w:rPr>
              <w:t xml:space="preserve"> </w:t>
            </w:r>
            <w:r>
              <w:rPr>
                <w:rFonts w:ascii="Times New Roman" w:eastAsia="Calibri" w:hAnsi="Times New Roman" w:cs="Times New Roman"/>
                <w:color w:val="000000" w:themeColor="text1"/>
                <w:sz w:val="20"/>
                <w:szCs w:val="20"/>
                <w:lang w:val="fr-FR"/>
              </w:rPr>
              <w:t>F</w:t>
            </w:r>
            <w:r w:rsidRPr="00DA354E">
              <w:rPr>
                <w:rFonts w:ascii="Times New Roman" w:eastAsia="Calibri" w:hAnsi="Times New Roman" w:cs="Times New Roman"/>
                <w:color w:val="000000" w:themeColor="text1"/>
                <w:sz w:val="20"/>
                <w:szCs w:val="20"/>
                <w:lang w:val="fr-FR"/>
              </w:rPr>
              <w:t>ig</w:t>
            </w:r>
            <w:r>
              <w:rPr>
                <w:rFonts w:ascii="Times New Roman" w:eastAsia="Calibri" w:hAnsi="Times New Roman" w:cs="Times New Roman"/>
                <w:color w:val="000000" w:themeColor="text1"/>
                <w:sz w:val="20"/>
                <w:szCs w:val="20"/>
                <w:lang w:val="fr-FR"/>
              </w:rPr>
              <w:t>.</w:t>
            </w:r>
            <w:r w:rsidRPr="00DA354E">
              <w:rPr>
                <w:rFonts w:ascii="Times New Roman" w:eastAsia="Calibri" w:hAnsi="Times New Roman" w:cs="Times New Roman"/>
                <w:color w:val="000000" w:themeColor="text1"/>
                <w:sz w:val="20"/>
                <w:szCs w:val="20"/>
                <w:lang w:val="fr-FR"/>
              </w:rPr>
              <w:t xml:space="preserve"> 3)</w:t>
            </w:r>
          </w:p>
          <w:p w:rsidR="00934FF7" w:rsidRPr="00DA354E" w:rsidRDefault="00934FF7" w:rsidP="00EB157A">
            <w:pPr>
              <w:rPr>
                <w:rFonts w:ascii="Times New Roman" w:eastAsia="Calibri" w:hAnsi="Times New Roman" w:cs="Times New Roman"/>
                <w:color w:val="000000" w:themeColor="text1"/>
                <w:sz w:val="20"/>
                <w:szCs w:val="20"/>
                <w:lang w:val="fr-FR"/>
              </w:rPr>
            </w:pPr>
          </w:p>
        </w:tc>
      </w:tr>
      <w:tr w:rsidR="00934FF7" w:rsidRPr="00DA354E" w:rsidTr="00EB157A">
        <w:trPr>
          <w:trHeight w:val="280"/>
        </w:trPr>
        <w:tc>
          <w:tcPr>
            <w:tcW w:w="4010" w:type="dxa"/>
            <w:tcBorders>
              <w:left w:val="nil"/>
              <w:bottom w:val="nil"/>
              <w:right w:val="nil"/>
            </w:tcBorders>
            <w:shd w:val="clear" w:color="auto" w:fill="auto"/>
          </w:tcPr>
          <w:p w:rsidR="00934FF7" w:rsidRPr="00DA354E" w:rsidRDefault="00934FF7" w:rsidP="00EB157A">
            <w:pPr>
              <w:rPr>
                <w:rFonts w:ascii="Times New Roman" w:eastAsia="Calibri" w:hAnsi="Times New Roman" w:cs="Times New Roman"/>
                <w:color w:val="000000" w:themeColor="text1"/>
                <w:sz w:val="22"/>
                <w:szCs w:val="22"/>
              </w:rPr>
            </w:pPr>
            <w:r w:rsidRPr="00DA354E">
              <w:rPr>
                <w:rFonts w:ascii="Times New Roman" w:eastAsia="Calibri" w:hAnsi="Times New Roman" w:cs="Times New Roman"/>
                <w:color w:val="000000" w:themeColor="text1"/>
                <w:sz w:val="22"/>
                <w:szCs w:val="22"/>
              </w:rPr>
              <w:t>New Zealand</w:t>
            </w:r>
          </w:p>
        </w:tc>
        <w:tc>
          <w:tcPr>
            <w:tcW w:w="1400" w:type="dxa"/>
            <w:tcBorders>
              <w:left w:val="nil"/>
              <w:bottom w:val="nil"/>
              <w:right w:val="nil"/>
            </w:tcBorders>
            <w:shd w:val="clear" w:color="auto" w:fill="auto"/>
          </w:tcPr>
          <w:p w:rsidR="00934FF7" w:rsidRPr="00DA354E" w:rsidRDefault="00934FF7" w:rsidP="00EB157A">
            <w:pPr>
              <w:rPr>
                <w:rFonts w:ascii="Times New Roman" w:eastAsia="Calibri" w:hAnsi="Times New Roman" w:cs="Times New Roman"/>
                <w:color w:val="000000" w:themeColor="text1"/>
                <w:sz w:val="20"/>
                <w:szCs w:val="20"/>
              </w:rPr>
            </w:pPr>
            <w:r w:rsidRPr="00DA354E">
              <w:rPr>
                <w:rFonts w:ascii="Times New Roman" w:eastAsia="Calibri" w:hAnsi="Times New Roman" w:cs="Times New Roman"/>
                <w:color w:val="000000" w:themeColor="text1"/>
                <w:sz w:val="20"/>
                <w:szCs w:val="20"/>
              </w:rPr>
              <w:t>-0.021 to 0</w:t>
            </w:r>
          </w:p>
        </w:tc>
        <w:tc>
          <w:tcPr>
            <w:tcW w:w="3521" w:type="dxa"/>
            <w:tcBorders>
              <w:left w:val="nil"/>
              <w:bottom w:val="nil"/>
              <w:right w:val="nil"/>
            </w:tcBorders>
            <w:shd w:val="clear" w:color="auto" w:fill="auto"/>
          </w:tcPr>
          <w:p w:rsidR="00934FF7" w:rsidRPr="00DA354E" w:rsidRDefault="00934FF7" w:rsidP="00EB157A">
            <w:pPr>
              <w:rPr>
                <w:rFonts w:ascii="Times New Roman" w:eastAsia="Calibri" w:hAnsi="Times New Roman" w:cs="Times New Roman"/>
                <w:color w:val="000000" w:themeColor="text1"/>
                <w:sz w:val="20"/>
                <w:szCs w:val="20"/>
              </w:rPr>
            </w:pPr>
            <w:r w:rsidRPr="00DA354E">
              <w:rPr>
                <w:rFonts w:ascii="Times New Roman" w:eastAsia="Calibri" w:hAnsi="Times New Roman" w:cs="Times New Roman"/>
                <w:color w:val="000000" w:themeColor="text1"/>
                <w:sz w:val="20"/>
                <w:szCs w:val="20"/>
              </w:rPr>
              <w:t xml:space="preserve">Tate </w:t>
            </w:r>
            <w:r w:rsidRPr="00DA354E">
              <w:rPr>
                <w:rFonts w:ascii="Times New Roman" w:eastAsia="Calibri" w:hAnsi="Times New Roman" w:cs="Times New Roman"/>
                <w:i/>
                <w:color w:val="000000" w:themeColor="text1"/>
                <w:sz w:val="20"/>
                <w:szCs w:val="20"/>
              </w:rPr>
              <w:t>et al.</w:t>
            </w:r>
            <w:r w:rsidRPr="00DA354E">
              <w:rPr>
                <w:rFonts w:ascii="Times New Roman" w:eastAsia="Calibri" w:hAnsi="Times New Roman" w:cs="Times New Roman"/>
                <w:color w:val="000000" w:themeColor="text1"/>
                <w:sz w:val="20"/>
                <w:szCs w:val="20"/>
              </w:rPr>
              <w:t xml:space="preserve"> </w:t>
            </w:r>
            <w:r>
              <w:rPr>
                <w:rFonts w:ascii="Times New Roman" w:eastAsia="Calibri" w:hAnsi="Times New Roman" w:cs="Times New Roman"/>
                <w:color w:val="000000" w:themeColor="text1"/>
                <w:sz w:val="20"/>
                <w:szCs w:val="20"/>
              </w:rPr>
              <w:t>[</w:t>
            </w:r>
            <w:r w:rsidRPr="005C2A3C">
              <w:rPr>
                <w:rFonts w:ascii="Times New Roman" w:eastAsia="Calibri" w:hAnsi="Times New Roman" w:cs="Times New Roman"/>
                <w:color w:val="000000" w:themeColor="text1"/>
                <w:sz w:val="20"/>
                <w:szCs w:val="20"/>
              </w:rPr>
              <w:fldChar w:fldCharType="begin" w:fldLock="1"/>
            </w:r>
            <w:r w:rsidRPr="005C2A3C">
              <w:rPr>
                <w:rFonts w:ascii="Times New Roman" w:eastAsia="Calibri" w:hAnsi="Times New Roman" w:cs="Times New Roman"/>
                <w:color w:val="000000" w:themeColor="text1"/>
                <w:sz w:val="20"/>
                <w:szCs w:val="20"/>
              </w:rPr>
              <w:instrText>ADDIN CSL_CITATION {"citationItems":[{"id":"ITEM-1","itemData":{"DOI":"10.1016/S0167-8809(00)00228-0","ISSN":"01678809","abstract":"Interest in national carbon (C) budgets has increased following the signing of the Kyoto Protocol as countries begin to develop source/sink C inventories. In this study, specific-site measurements, regional databases, satellite observations, and models were used to test the hypothesis that New Zealand’s terrestrial ecosystems are C neutral because C uptake by planted forests and scrub is roughly balanced by C losses from indigenous forests and soils. Net ecosystem C balance was estimated from the difference between net primary production (NPP) and heterotrophic soil respiration. The productivity portion of the CASA model and NOAA–AVHRR imagery were used to estimate national NPP (128±14MtC per year). Main sources of uncertainty were the coarse spatial scale (1×1km2 grid cells), and the general lack of information on photosynthetically active radiation, light-use efficiency, and below-ground C allocation for the major vegetation types: indigenous and exotic forests, scrub, and grasslands (improved, unimproved and tussock). Total soil CO2-C production predicted from an Arrhenius-type function coupled to climate and land-cover data was 380±30MtC per year, suggesting that New Zealand’s terrestrial ecosystems may be either (a) a net source of atmospheric CO2 or (b) roughly in C balance if ca. 252MtCO2-C per year (66%) can be attributed to roots. Soil moisture limitations on respiration were small, reducing the national value to 365±28MtC per year. Differences between NPP and heterotrophic soil respiration were −29MtC per year for improved pastures, −8MtC per year for indigenous forests, and +4MtC per year for planted forests; the large negative value for improved grasslands may be due to under-estimation of NPP and root respiration. Soil C losses to coastal waters, as estimated from a consideration of all the major erosion processes, were ca. 3–11MtC per year. These national-scale estimates of ecosystem C balance were in general agreement with those based on plot-scale data for some major ecosystems including planted forests (4MtC per year vs 3.7MtC per year, respectively) and indigenous forest (−8MtC per year vs ca. −2.8MtC per year, respectively). Poor agreement for forest regenerating after land abandonment (−17MtC per year vs +3MtC per year) was probably due to an underestimate of NPP at the national scale. Overall, the results suggest that New Zealand is a net C source, despite the fact that some ecosystems are accumulating C. For some land-use types, us…","author":[{"dropping-particle":"","family":"Tate","given":"K.R","non-dropping-particle":"","parse-names":false,"suffix":""},{"dropping-particle":"","family":"Scott","given":"N.A","non-dropping-particle":"","parse-names":false,"suffix":""},{"dropping-particle":"","family":"Parshotam","given":"A","non-dropping-particle":"","parse-names":false,"suffix":""},{"dropping-particle":"","family":"Brown","given":"L","non-dropping-particle":"","parse-names":false,"suffix":""},{"dropping-particle":"","family":"Wilde","given":"R.H","non-dropping-particle":"","parse-names":false,"suffix":""},{"dropping-particle":"","family":"Giltrap","given":"D.J","non-dropping-particle":"","parse-names":false,"suffix":""},{"dropping-particle":"","family":"Trustrum","given":"N.A","non-dropping-particle":"","parse-names":false,"suffix":""},{"dropping-particle":"","family":"Gomez","given":"B","non-dropping-particle":"","parse-names":false,"suffix":""},{"dropping-particle":"","family":"Ross","given":"D.J","non-dropping-particle":"","parse-names":false,"suffix":""}],"container-title":"Agriculture, Ecosystems &amp; Environment","id":"ITEM-1","issue":"1-3","issued":{"date-parts":[["2000","12"]]},"page":"229-246","title":"A multi-scale analysis of a terrestrial carbon budget","type":"article-journal","volume":"82"},"uris":["http://www.mendeley.com/documents/?uuid=2ce38228-cc17-4668-b75f-3920e1282aca"]}],"mendeley":{"formattedCitation":"&lt;sup&gt;92&lt;/sup&gt;","plainTextFormattedCitation":"92","previouslyFormattedCitation":"&lt;sup&gt;92&lt;/sup&gt;"},"properties":{"noteIndex":0},"schema":"https://github.com/citation-style-language/schema/raw/master/csl-citation.json"}</w:instrText>
            </w:r>
            <w:r w:rsidRPr="005C2A3C">
              <w:rPr>
                <w:rFonts w:ascii="Times New Roman" w:eastAsia="Calibri" w:hAnsi="Times New Roman" w:cs="Times New Roman"/>
                <w:color w:val="000000" w:themeColor="text1"/>
                <w:sz w:val="20"/>
                <w:szCs w:val="20"/>
              </w:rPr>
              <w:fldChar w:fldCharType="separate"/>
            </w:r>
            <w:r w:rsidRPr="005C2A3C">
              <w:rPr>
                <w:rFonts w:ascii="Times New Roman" w:eastAsia="Calibri" w:hAnsi="Times New Roman" w:cs="Times New Roman"/>
                <w:noProof/>
                <w:color w:val="000000" w:themeColor="text1"/>
                <w:sz w:val="20"/>
                <w:szCs w:val="20"/>
              </w:rPr>
              <w:t>92</w:t>
            </w:r>
            <w:r w:rsidRPr="005C2A3C">
              <w:rPr>
                <w:rFonts w:ascii="Times New Roman" w:eastAsia="Calibri" w:hAnsi="Times New Roman" w:cs="Times New Roman"/>
                <w:color w:val="000000" w:themeColor="text1"/>
                <w:sz w:val="20"/>
                <w:szCs w:val="20"/>
              </w:rPr>
              <w:fldChar w:fldCharType="end"/>
            </w:r>
            <w:r>
              <w:rPr>
                <w:rFonts w:ascii="Times New Roman" w:eastAsia="Calibri" w:hAnsi="Times New Roman" w:cs="Times New Roman"/>
                <w:color w:val="000000" w:themeColor="text1"/>
                <w:sz w:val="20"/>
                <w:szCs w:val="20"/>
              </w:rPr>
              <w:t>]</w:t>
            </w:r>
          </w:p>
          <w:p w:rsidR="00934FF7" w:rsidRPr="00DA354E" w:rsidRDefault="00934FF7" w:rsidP="00EB157A">
            <w:pPr>
              <w:rPr>
                <w:rFonts w:ascii="Times New Roman" w:eastAsia="Calibri" w:hAnsi="Times New Roman" w:cs="Times New Roman"/>
                <w:color w:val="000000" w:themeColor="text1"/>
                <w:sz w:val="20"/>
                <w:szCs w:val="20"/>
              </w:rPr>
            </w:pPr>
          </w:p>
        </w:tc>
      </w:tr>
      <w:tr w:rsidR="00934FF7" w:rsidRPr="00DA354E" w:rsidTr="00EB157A">
        <w:trPr>
          <w:trHeight w:val="280"/>
        </w:trPr>
        <w:tc>
          <w:tcPr>
            <w:tcW w:w="4010" w:type="dxa"/>
            <w:tcBorders>
              <w:top w:val="nil"/>
              <w:bottom w:val="single" w:sz="4" w:space="0" w:color="000000"/>
            </w:tcBorders>
            <w:shd w:val="clear" w:color="auto" w:fill="auto"/>
          </w:tcPr>
          <w:p w:rsidR="00934FF7" w:rsidRPr="00DA354E" w:rsidRDefault="00934FF7" w:rsidP="00EB157A">
            <w:pPr>
              <w:rPr>
                <w:rFonts w:ascii="Times New Roman" w:eastAsia="Calibri" w:hAnsi="Times New Roman" w:cs="Times New Roman"/>
                <w:color w:val="000000" w:themeColor="text1"/>
                <w:sz w:val="22"/>
                <w:szCs w:val="22"/>
              </w:rPr>
            </w:pPr>
            <w:r w:rsidRPr="00DA354E">
              <w:rPr>
                <w:rFonts w:ascii="Times New Roman" w:eastAsia="Calibri" w:hAnsi="Times New Roman" w:cs="Times New Roman"/>
                <w:color w:val="000000" w:themeColor="text1"/>
                <w:sz w:val="22"/>
                <w:szCs w:val="22"/>
              </w:rPr>
              <w:t>All five countries above + Middle East</w:t>
            </w:r>
          </w:p>
        </w:tc>
        <w:tc>
          <w:tcPr>
            <w:tcW w:w="1400" w:type="dxa"/>
            <w:tcBorders>
              <w:top w:val="nil"/>
              <w:bottom w:val="single" w:sz="4" w:space="0" w:color="000000"/>
            </w:tcBorders>
            <w:shd w:val="clear" w:color="auto" w:fill="auto"/>
          </w:tcPr>
          <w:p w:rsidR="00934FF7" w:rsidRPr="00DA354E" w:rsidRDefault="00934FF7" w:rsidP="00EB157A">
            <w:pPr>
              <w:rPr>
                <w:rFonts w:ascii="Times New Roman" w:eastAsia="Calibri" w:hAnsi="Times New Roman" w:cs="Times New Roman"/>
                <w:color w:val="000000" w:themeColor="text1"/>
                <w:sz w:val="20"/>
                <w:szCs w:val="20"/>
              </w:rPr>
            </w:pPr>
            <w:r w:rsidRPr="00DA354E">
              <w:rPr>
                <w:rFonts w:ascii="Times New Roman" w:eastAsia="Calibri" w:hAnsi="Times New Roman" w:cs="Times New Roman"/>
                <w:color w:val="000000" w:themeColor="text1"/>
                <w:sz w:val="20"/>
                <w:szCs w:val="20"/>
              </w:rPr>
              <w:t>-0.36 ± 0.4</w:t>
            </w:r>
          </w:p>
        </w:tc>
        <w:tc>
          <w:tcPr>
            <w:tcW w:w="3521" w:type="dxa"/>
            <w:tcBorders>
              <w:top w:val="nil"/>
              <w:bottom w:val="single" w:sz="4" w:space="0" w:color="000000"/>
            </w:tcBorders>
            <w:shd w:val="clear" w:color="auto" w:fill="auto"/>
          </w:tcPr>
          <w:p w:rsidR="00934FF7" w:rsidRPr="00DA354E" w:rsidRDefault="00934FF7" w:rsidP="00EB157A">
            <w:pPr>
              <w:rPr>
                <w:rFonts w:ascii="Times New Roman" w:eastAsia="Calibri" w:hAnsi="Times New Roman" w:cs="Times New Roman"/>
                <w:color w:val="000000" w:themeColor="text1"/>
                <w:sz w:val="20"/>
                <w:szCs w:val="20"/>
              </w:rPr>
            </w:pPr>
            <w:proofErr w:type="spellStart"/>
            <w:r w:rsidRPr="00DA354E">
              <w:rPr>
                <w:rFonts w:ascii="Times New Roman" w:eastAsia="Calibri" w:hAnsi="Times New Roman" w:cs="Times New Roman"/>
                <w:color w:val="000000" w:themeColor="text1"/>
                <w:sz w:val="20"/>
                <w:szCs w:val="20"/>
              </w:rPr>
              <w:t>Zscheischler</w:t>
            </w:r>
            <w:proofErr w:type="spellEnd"/>
            <w:r w:rsidRPr="00DA354E">
              <w:rPr>
                <w:rFonts w:ascii="Times New Roman" w:eastAsia="Calibri" w:hAnsi="Times New Roman" w:cs="Times New Roman"/>
                <w:color w:val="000000" w:themeColor="text1"/>
                <w:sz w:val="20"/>
                <w:szCs w:val="20"/>
              </w:rPr>
              <w:t xml:space="preserve"> </w:t>
            </w:r>
            <w:r w:rsidRPr="00DA354E">
              <w:rPr>
                <w:rFonts w:ascii="Times New Roman" w:eastAsia="Calibri" w:hAnsi="Times New Roman" w:cs="Times New Roman"/>
                <w:i/>
                <w:color w:val="000000" w:themeColor="text1"/>
                <w:sz w:val="20"/>
                <w:szCs w:val="20"/>
              </w:rPr>
              <w:t>et al.</w:t>
            </w:r>
            <w:r>
              <w:rPr>
                <w:rFonts w:ascii="Times New Roman" w:eastAsia="Calibri" w:hAnsi="Times New Roman" w:cs="Times New Roman"/>
                <w:i/>
                <w:color w:val="000000" w:themeColor="text1"/>
                <w:sz w:val="20"/>
                <w:szCs w:val="20"/>
              </w:rPr>
              <w:t xml:space="preserve"> </w:t>
            </w:r>
            <w:r w:rsidRPr="005C2A3C">
              <w:rPr>
                <w:rFonts w:ascii="Times New Roman" w:eastAsia="Calibri" w:hAnsi="Times New Roman" w:cs="Times New Roman"/>
                <w:iCs/>
                <w:color w:val="000000" w:themeColor="text1"/>
                <w:sz w:val="20"/>
                <w:szCs w:val="20"/>
              </w:rPr>
              <w:t>[</w:t>
            </w:r>
            <w:r w:rsidRPr="005C2A3C">
              <w:rPr>
                <w:rFonts w:ascii="Times New Roman" w:eastAsia="Calibri" w:hAnsi="Times New Roman" w:cs="Times New Roman"/>
                <w:i/>
                <w:color w:val="000000" w:themeColor="text1"/>
                <w:sz w:val="20"/>
                <w:szCs w:val="20"/>
              </w:rPr>
              <w:fldChar w:fldCharType="begin" w:fldLock="1"/>
            </w:r>
            <w:r w:rsidRPr="005C2A3C">
              <w:rPr>
                <w:rFonts w:ascii="Times New Roman" w:eastAsia="Calibri" w:hAnsi="Times New Roman" w:cs="Times New Roman"/>
                <w:i/>
                <w:color w:val="000000" w:themeColor="text1"/>
                <w:sz w:val="20"/>
                <w:szCs w:val="20"/>
              </w:rPr>
              <w:instrText>ADDIN CSL_CITATION {"citationItems":[{"id":"ITEM-1","itemData":{"DOI":"10.5194/bg-14-3685-2017","ISSN":"17264189","abstract":"Understanding the global carbon (C) cycle is of crucial importance to map current and future climate dynamics relative to global environmental change. A full characterization of C cycling requires detailed information on spatiotemporal patterns of surface-atmosphere fluxes. However, relevant C cycle observations are highly variable in their coverage and reporting standards. Especially problematic is the lack of integration of the carbon dioxide (CO2) exchange of the ocean, inland freshwaters and the land surface with the atmosphere. Here we adopt a data-driven approach to synthesize a wide range of observation-based spatially explicit surface-atmosphere CO2 fluxes from 2001 to 2010, to identify the state of today's observational opportunities and data limitations. The considered fluxes include net exchange of open oceans, continental shelves, estuaries, rivers, and lakes, as well as CO2 fluxes related to net ecosystem productivity, fire emissions, loss of tropical aboveground C, harvested wood and crops, as well as fossil fuel and cement emissions. Spatially explicit CO2 fluxes are obtained through geostatistical and/or remote-sensing-based upscaling, thereby minimizing biophysical or biogeochemical assumptions encoded in process-based models. We estimate a bottom-up net C exchange (NCE) between the surface (land, ocean, and coastal areas) and the atmosphere. Though we provide also global estimates, the primary goal of this study is to identify key uncertainties and observational shortcomings that need to be prioritized in the expansion of in situ observatories. Uncertainties for NCE and its components are derived using resampling. In many regions, our NCE estimates agree well with independent estimates from other sources such as process-based models and atmospheric inversions. This holds for Europe (mean±1 SD: 0.8±0.1PgCyr -1 , positive numbers are sources to the atmosphere), Russia (0.1±0.4PgCyr -1 ), East Asia (1.6±0.3PgCyr -1 ), South Asia (0.3±0.1PgCyr -1 ), Australia (0.2±0.3PgCyr -1 ), and most of the Ocean regions. Our NCE estimates give a likely too large CO2 sink in tropical areas such as the Amazon, Congo, and Indonesia. Overall, and because of the overestimated CO2 uptake in tropical lands, our global bottom-up NCE amounts to a net sink of -5.4±2.0PgCyr -1 . By contrast, the accurately measured mean atmospheric growth rate of CO2 over 2001-2010 indicates that the true value of NCE is a net CO2 source of 4.3±0.1PgCyr -1 . This mismatch of nea…","author":[{"dropping-particle":"","family":"Zscheischler","given":"J.","non-dropping-particle":"","parse-names":false,"suffix":""},{"dropping-particle":"","family":"Mahecha","given":"M.D.","non-dropping-particle":"","parse-names":false,"suffix":""},{"dropping-particle":"","family":"Avitabile","given":"V.","non-dropping-particle":"","parse-names":false,"suffix":""},{"dropping-particle":"","family":"Calle","given":"L.","non-dropping-particle":"","parse-names":false,"suffix":""},{"dropping-particle":"","family":"Carvalhais","given":"N.","non-dropping-particle":"","parse-names":false,"suffix":""},{"dropping-particle":"","family":"Ciais","given":"P.","non-dropping-particle":"","parse-names":false,"suffix":""},{"dropping-particle":"","family":"Gans","given":"F.","non-dropping-particle":"","parse-names":false,"suffix":""},{"dropping-particle":"","family":"Gruber","given":"N.","non-dropping-particle":"","parse-names":false,"suffix":""},{"dropping-particle":"","family":"Hartmann","given":"J.","non-dropping-particle":"","parse-names":false,"suffix":""},{"dropping-particle":"","family":"Herold","given":"M.","non-dropping-particle":"","parse-names":false,"suffix":""},{"dropping-particle":"","family":"Ichii","given":"K.","non-dropping-particle":"","parse-names":false,"suffix":""},{"dropping-particle":"","family":"Jung","given":"M.","non-dropping-particle":"","parse-names":false,"suffix":""},{"dropping-particle":"","family":"Landschützer","given":"P.","non-dropping-particle":"","parse-names":false,"suffix":""},{"dropping-particle":"","family":"Laruelle","given":"G.G.","non-dropping-particle":"","parse-names":false,"suffix":""},{"dropping-particle":"","family":"Lauerwald","given":"R.","non-dropping-particle":"","parse-names":false,"suffix":""},{"dropping-particle":"","family":"Papale","given":"D.","non-dropping-particle":"","parse-names":false,"suffix":""},{"dropping-particle":"","family":"Peylin","given":"P.","non-dropping-particle":"","parse-names":false,"suffix":""},{"dropping-particle":"","family":"Poulter","given":"B.","non-dropping-particle":"","parse-names":false,"suffix":""},{"dropping-particle":"","family":"Ray","given":"D.","non-dropping-particle":"","parse-names":false,"suffix":""},{"dropping-particle":"","family":"Regnier","given":"P.","non-dropping-particle":"","parse-names":false,"suffix":""},{"dropping-particle":"","family":"Rödenbeck","given":"C.","non-dropping-particle":"","parse-names":false,"suffix":""},{"dropping-particle":"","family":"Roman-Cuesta","given":"R.M.","non-dropping-particle":"","parse-names":false,"suffix":""},{"dropping-particle":"","family":"Schwalm","given":"C.","non-dropping-particle":"","parse-names":false,"suffix":""},{"dropping-particle":"","family":"Tramontana","given":"G.","non-dropping-particle":"","parse-names":false,"suffix":""},{"dropping-particle":"","family":"Tyukavina","given":"A.","non-dropping-particle":"","parse-names":false,"suffix":""},{"dropping-particle":"","family":"Valentini","given":"R.","non-dropping-particle":"","parse-names":false,"suffix":""},{"dropping-particle":"","family":"Werf","given":"G.","non-dropping-particle":"Van Der","parse-names":false,"suffix":""},{"dropping-particle":"","family":"West","given":"T.O.","non-dropping-particle":"","parse-names":false,"suffix":""},{"dropping-particle":"","family":"Wolf","given":"J.E.","non-dropping-particle":"","parse-names":false,"suffix":""},{"dropping-particle":"","family":"Reichstein","given":"M.","non-dropping-particle":"","parse-names":false,"suffix":""}],"container-title":"Biogeosciences","id":"ITEM-1","issue":"15","issued":{"date-parts":[["2017"]]},"title":"Reviews and syntheses: An empirical spatiotemporal description of the global surface-atmosphere carbon fluxes: Opportunities and data limitations","type":"article-journal","volume":"14"},"uris":["http://www.mendeley.com/documents/?uuid=0dd8969b-ff02-33ef-9a26-7b28c0dce8c1"]}],"mendeley":{"formattedCitation":"&lt;sup&gt;93&lt;/sup&gt;","plainTextFormattedCitation":"93","previouslyFormattedCitation":"&lt;sup&gt;93&lt;/sup&gt;"},"properties":{"noteIndex":0},"schema":"https://github.com/citation-style-language/schema/raw/master/csl-citation.json"}</w:instrText>
            </w:r>
            <w:r w:rsidRPr="005C2A3C">
              <w:rPr>
                <w:rFonts w:ascii="Times New Roman" w:eastAsia="Calibri" w:hAnsi="Times New Roman" w:cs="Times New Roman"/>
                <w:i/>
                <w:color w:val="000000" w:themeColor="text1"/>
                <w:sz w:val="20"/>
                <w:szCs w:val="20"/>
              </w:rPr>
              <w:fldChar w:fldCharType="separate"/>
            </w:r>
            <w:r w:rsidRPr="005C2A3C">
              <w:rPr>
                <w:rFonts w:ascii="Times New Roman" w:eastAsia="Calibri" w:hAnsi="Times New Roman" w:cs="Times New Roman"/>
                <w:noProof/>
                <w:color w:val="000000" w:themeColor="text1"/>
                <w:sz w:val="20"/>
                <w:szCs w:val="20"/>
              </w:rPr>
              <w:t>93</w:t>
            </w:r>
            <w:r w:rsidRPr="005C2A3C">
              <w:rPr>
                <w:rFonts w:ascii="Times New Roman" w:eastAsia="Calibri" w:hAnsi="Times New Roman" w:cs="Times New Roman"/>
                <w:i/>
                <w:color w:val="000000" w:themeColor="text1"/>
                <w:sz w:val="20"/>
                <w:szCs w:val="20"/>
              </w:rPr>
              <w:fldChar w:fldCharType="end"/>
            </w:r>
            <w:r w:rsidRPr="005C2A3C">
              <w:rPr>
                <w:rFonts w:ascii="Times New Roman" w:eastAsia="Calibri" w:hAnsi="Times New Roman" w:cs="Times New Roman"/>
                <w:i/>
                <w:color w:val="000000" w:themeColor="text1"/>
                <w:sz w:val="20"/>
                <w:szCs w:val="20"/>
              </w:rPr>
              <w:t>,</w:t>
            </w:r>
            <w:r w:rsidRPr="005C2A3C">
              <w:rPr>
                <w:rFonts w:ascii="Times New Roman" w:eastAsia="Calibri" w:hAnsi="Times New Roman" w:cs="Times New Roman"/>
                <w:color w:val="000000" w:themeColor="text1"/>
                <w:sz w:val="20"/>
                <w:szCs w:val="20"/>
              </w:rPr>
              <w:fldChar w:fldCharType="begin" w:fldLock="1"/>
            </w:r>
            <w:r w:rsidRPr="005C2A3C">
              <w:rPr>
                <w:rFonts w:ascii="Times New Roman" w:eastAsia="Calibri" w:hAnsi="Times New Roman" w:cs="Times New Roman"/>
                <w:color w:val="000000" w:themeColor="text1"/>
                <w:sz w:val="20"/>
                <w:szCs w:val="20"/>
              </w:rPr>
              <w:instrText>ADDIN CSL_CITATION {"citationItems":[{"id":"ITEM-1","itemData":{"abstract":"Constraining carbon (C) fluxes between the Earth's surface and the atmosphere at regional scale via observations is essential for understanding the Earth's carbon budget and predicting future atmospheric C concentrations. Carbon budgets have often been derived based on merging observations, statistical models and process-based models, for example in the Global Carbon Project (GCP). However, it would be helpful to derive global C budgets and fluxes at global scale as independent as possible from model assumptions to obtain an independent reference. Long-term in-situ measurements of land and ocean C stocks and fluxes have enabled the derivation of a new generation of data driven upscaled data products. Here, we combine a wide range of in-situ derived estimates of terrestrial and aquatic C fluxes for one decade. The data were produced and/or collected during the FP7 project GEOCARBON and include surface-atmosphere C fluxes from the terrestrial biosphere, fossil fuels, fires, land use change, rivers, lakes, estuaries and open ocean. By including spatially explicit uncertainties in each dataset we are able to identify regions that are well constrained by observations and areas where more measurements are required. Although the budget cannot be closed at the global scale, we provide, for the first time, global time-varying maps of the most important C fluxes, which are all directly derived from observations. The resulting spatiotemporal patterns of C fluxes and their uncertainties inform us about the needs for intensifying global C observation activities. Likewise, we provide priors for inversion exercises or to identify regions of high (and low) uncertainty of integrated C fluxes. We discuss the reasons for regions of high observational uncertainties, and for biases in the budget. Our data synthesis might also be used as empirical reference for other local and global C budgeting exercises.","author":[{"dropping-particle":"","family":"Zscheischler","given":"J.","non-dropping-particle":"","parse-names":false,"suffix":""},{"dropping-particle":"","family":"Mahecha","given":"M.","non-dropping-particle":"","parse-names":false,"suffix":""},{"dropping-particle":"","family":"Reichstein","given":"M.","non-dropping-particle":"","parse-names":false,"suffix":""},{"dropping-particle":"","family":"Avitabile","given":"Valerio","non-dropping-particle":"","parse-names":false,"suffix":""},{"dropping-particle":"","family":"Carvalhais","given":"Nuno","non-dropping-particle":"","parse-names":false,"suffix":""},{"dropping-particle":"","family":"Ciais","given":"Philippe","non-dropping-particle":"","parse-names":false,"suffix":""},{"dropping-particle":"","family":"Gans","given":"Fabian","non-dropping-particle":"","parse-names":false,"suffix":""},{"dropping-particle":"","family":"Gruber","given":"Nicolas","non-dropping-particle":"","parse-names":false,"suffix":""},{"dropping-particle":"","family":"Hartmann","given":"Jens","non-dropping-particle":"","parse-names":false,"suffix":""},{"dropping-particle":"","family":"Herold","given":"Martin","non-dropping-particle":"","parse-names":false,"suffix":""},{"dropping-particle":"","family":"Jung","given":"Martin","non-dropping-particle":"","parse-names":false,"suffix":""},{"dropping-particle":"","family":"Landschützer","given":"Peter","non-dropping-particle":"","parse-names":false,"suffix":""},{"dropping-particle":"","family":"Laruelle","given":"Goulven","non-dropping-particle":"","parse-names":false,"suffix":""},{"dropping-particle":"","family":"Lauerwald","given":"Ronny","non-dropping-particle":"","parse-names":false,"suffix":""},{"dropping-particle":"","family":"Papale","given":"Dario","non-dropping-particle":"","parse-names":false,"suffix":""},{"dropping-particle":"","family":"Peylin","given":"Philippe","non-dropping-particle":"","parse-names":false,"suffix":""},{"dropping-particle":"","family":"Regnier","given":"Pierre","non-dropping-particle":"","parse-names":false,"suffix":""},{"dropping-particle":"","family":"Rödenbeck","given":"Christian","non-dropping-particle":"","parse-names":false,"suffix":""},{"dropping-particle":"","family":"Cuesta","given":"Rosa Maria Roman","non-dropping-particle":"","parse-names":false,"suffix":""},{"dropping-particle":"","family":"Valentini","given":"Ricardo","non-dropping-particle":"","parse-names":false,"suffix":""}],"container-title":"EGU General Assembly 2015","id":"ITEM-1","issued":{"date-parts":[["2015"]]},"title":"Towards an purely data driven view on the global carbon cycle and its spatiotemporal variability","type":"article-journal"},"uris":["http://www.mendeley.com/documents/?uuid=c34c7edb-bbd4-4ef7-9497-b3d9af2ea46c"]}],"mendeley":{"formattedCitation":"&lt;sup&gt;94&lt;/sup&gt;","plainTextFormattedCitation":"94","previouslyFormattedCitation":"&lt;sup&gt;94&lt;/sup&gt;"},"properties":{"noteIndex":0},"schema":"https://github.com/citation-style-language/schema/raw/master/csl-citation.json"}</w:instrText>
            </w:r>
            <w:r w:rsidRPr="005C2A3C">
              <w:rPr>
                <w:rFonts w:ascii="Times New Roman" w:eastAsia="Calibri" w:hAnsi="Times New Roman" w:cs="Times New Roman"/>
                <w:color w:val="000000" w:themeColor="text1"/>
                <w:sz w:val="20"/>
                <w:szCs w:val="20"/>
              </w:rPr>
              <w:fldChar w:fldCharType="separate"/>
            </w:r>
            <w:r w:rsidRPr="005C2A3C">
              <w:rPr>
                <w:rFonts w:ascii="Times New Roman" w:eastAsia="Calibri" w:hAnsi="Times New Roman" w:cs="Times New Roman"/>
                <w:noProof/>
                <w:color w:val="000000" w:themeColor="text1"/>
                <w:sz w:val="20"/>
                <w:szCs w:val="20"/>
              </w:rPr>
              <w:t>94</w:t>
            </w:r>
            <w:r w:rsidRPr="005C2A3C">
              <w:rPr>
                <w:rFonts w:ascii="Times New Roman" w:eastAsia="Calibri" w:hAnsi="Times New Roman" w:cs="Times New Roman"/>
                <w:color w:val="000000" w:themeColor="text1"/>
                <w:sz w:val="20"/>
                <w:szCs w:val="20"/>
              </w:rPr>
              <w:fldChar w:fldCharType="end"/>
            </w:r>
            <w:r>
              <w:rPr>
                <w:rFonts w:ascii="Times New Roman" w:eastAsia="Calibri" w:hAnsi="Times New Roman" w:cs="Times New Roman"/>
                <w:color w:val="000000" w:themeColor="text1"/>
                <w:sz w:val="20"/>
                <w:szCs w:val="20"/>
              </w:rPr>
              <w:t>]</w:t>
            </w:r>
          </w:p>
        </w:tc>
      </w:tr>
    </w:tbl>
    <w:p w:rsidR="00934FF7" w:rsidRPr="00DA354E" w:rsidRDefault="00934FF7" w:rsidP="00934FF7">
      <w:pP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 xml:space="preserve">Units: </w:t>
      </w:r>
      <w:proofErr w:type="spellStart"/>
      <w:r w:rsidRPr="00DA354E">
        <w:rPr>
          <w:rFonts w:ascii="Times New Roman" w:hAnsi="Times New Roman" w:cs="Times New Roman"/>
          <w:color w:val="000000" w:themeColor="text1"/>
          <w:sz w:val="20"/>
          <w:szCs w:val="20"/>
        </w:rPr>
        <w:t>Pg</w:t>
      </w:r>
      <w:proofErr w:type="spellEnd"/>
      <w:r w:rsidRPr="00DA354E">
        <w:rPr>
          <w:rFonts w:ascii="Times New Roman" w:hAnsi="Times New Roman" w:cs="Times New Roman"/>
          <w:color w:val="000000" w:themeColor="text1"/>
          <w:sz w:val="20"/>
          <w:szCs w:val="20"/>
        </w:rPr>
        <w:t xml:space="preserve"> C yr</w:t>
      </w:r>
      <w:r w:rsidRPr="00DA354E">
        <w:rPr>
          <w:rFonts w:ascii="Times New Roman" w:hAnsi="Times New Roman" w:cs="Times New Roman"/>
          <w:color w:val="000000" w:themeColor="text1"/>
          <w:sz w:val="20"/>
          <w:szCs w:val="20"/>
          <w:vertAlign w:val="superscript"/>
        </w:rPr>
        <w:t>-1</w:t>
      </w:r>
      <w:r w:rsidRPr="00DA354E">
        <w:rPr>
          <w:rFonts w:ascii="Times New Roman" w:hAnsi="Times New Roman" w:cs="Times New Roman"/>
          <w:color w:val="000000" w:themeColor="text1"/>
          <w:sz w:val="20"/>
          <w:szCs w:val="20"/>
        </w:rPr>
        <w:t xml:space="preserve"> (negative means land carbon accumulation)</w:t>
      </w:r>
    </w:p>
    <w:p w:rsidR="00541658" w:rsidRDefault="00541658">
      <w:pPr>
        <w:rPr>
          <w:rFonts w:ascii="Times New Roman" w:hAnsi="Times New Roman" w:cs="Times New Roman"/>
          <w:i/>
          <w:color w:val="000000" w:themeColor="text1"/>
          <w:vertAlign w:val="subscript"/>
        </w:rPr>
      </w:pPr>
      <w:r>
        <w:rPr>
          <w:rFonts w:ascii="Times New Roman" w:hAnsi="Times New Roman" w:cs="Times New Roman"/>
          <w:i/>
          <w:color w:val="000000" w:themeColor="text1"/>
          <w:vertAlign w:val="subscript"/>
        </w:rPr>
        <w:br w:type="page"/>
      </w:r>
    </w:p>
    <w:p w:rsidR="00541658" w:rsidRDefault="00541658" w:rsidP="00520155">
      <w:pPr>
        <w:jc w:val="both"/>
        <w:rPr>
          <w:rFonts w:ascii="Times New Roman" w:hAnsi="Times New Roman" w:cs="Times New Roman"/>
          <w:color w:val="000000" w:themeColor="text1"/>
        </w:rPr>
      </w:pPr>
      <w:r w:rsidRPr="00DA354E">
        <w:rPr>
          <w:rFonts w:ascii="Times New Roman" w:hAnsi="Times New Roman" w:cs="Times New Roman"/>
          <w:b/>
          <w:color w:val="000000" w:themeColor="text1"/>
        </w:rPr>
        <w:lastRenderedPageBreak/>
        <w:t>Supplementary Table 4.</w:t>
      </w:r>
      <w:r w:rsidRPr="00DA354E">
        <w:rPr>
          <w:rFonts w:ascii="Times New Roman" w:hAnsi="Times New Roman" w:cs="Times New Roman"/>
          <w:color w:val="000000" w:themeColor="text1"/>
        </w:rPr>
        <w:t xml:space="preserve"> Explanatory variables for random Forest based SHR upscaling used in this study.</w:t>
      </w:r>
    </w:p>
    <w:p w:rsidR="00541658" w:rsidRPr="00DA354E" w:rsidRDefault="00541658" w:rsidP="00541658">
      <w:pPr>
        <w:rPr>
          <w:rFonts w:ascii="Times New Roman" w:hAnsi="Times New Roman" w:cs="Times New Roman"/>
          <w:color w:val="000000" w:themeColor="text1"/>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2"/>
        <w:gridCol w:w="1586"/>
        <w:gridCol w:w="1842"/>
        <w:gridCol w:w="3271"/>
      </w:tblGrid>
      <w:tr w:rsidR="00541658" w:rsidRPr="00DA354E" w:rsidTr="00EB157A">
        <w:tc>
          <w:tcPr>
            <w:tcW w:w="2232"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Explanatory variables</w:t>
            </w:r>
          </w:p>
        </w:tc>
        <w:tc>
          <w:tcPr>
            <w:tcW w:w="1586"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Temporal resolution</w:t>
            </w:r>
          </w:p>
        </w:tc>
        <w:tc>
          <w:tcPr>
            <w:tcW w:w="1842"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Spatial resolution</w:t>
            </w:r>
          </w:p>
        </w:tc>
        <w:tc>
          <w:tcPr>
            <w:tcW w:w="3271"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Data sources</w:t>
            </w:r>
          </w:p>
        </w:tc>
      </w:tr>
      <w:tr w:rsidR="00541658" w:rsidRPr="00DA354E" w:rsidTr="00EB157A">
        <w:trPr>
          <w:trHeight w:val="440"/>
        </w:trPr>
        <w:tc>
          <w:tcPr>
            <w:tcW w:w="2232"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annual temperature</w:t>
            </w:r>
          </w:p>
        </w:tc>
        <w:tc>
          <w:tcPr>
            <w:tcW w:w="1586"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yearly</w:t>
            </w:r>
          </w:p>
        </w:tc>
        <w:tc>
          <w:tcPr>
            <w:tcW w:w="1842"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0.5°×0.5°</w:t>
            </w:r>
          </w:p>
        </w:tc>
        <w:tc>
          <w:tcPr>
            <w:tcW w:w="3271" w:type="dxa"/>
            <w:vMerge w:val="restart"/>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rPr>
                <w:rFonts w:ascii="Times New Roman" w:hAnsi="Times New Roman" w:cs="Times New Roman"/>
                <w:color w:val="000000" w:themeColor="text1"/>
              </w:rPr>
            </w:pPr>
            <w:r w:rsidRPr="00DA354E">
              <w:rPr>
                <w:rFonts w:ascii="Times New Roman" w:hAnsi="Times New Roman" w:cs="Times New Roman"/>
                <w:color w:val="000000" w:themeColor="text1"/>
              </w:rPr>
              <w:t>CRUNCEPv6 (</w:t>
            </w:r>
            <w:hyperlink r:id="rId6">
              <w:r w:rsidRPr="00DA354E">
                <w:rPr>
                  <w:rFonts w:ascii="Times New Roman" w:hAnsi="Times New Roman" w:cs="Times New Roman"/>
                  <w:color w:val="000000" w:themeColor="text1"/>
                  <w:highlight w:val="white"/>
                  <w:u w:val="single"/>
                </w:rPr>
                <w:t>http://dods.extra.cea.fr/store/p529viov/cruncep/</w:t>
              </w:r>
            </w:hyperlink>
            <w:r w:rsidRPr="00DA354E">
              <w:rPr>
                <w:rFonts w:ascii="Times New Roman" w:hAnsi="Times New Roman" w:cs="Times New Roman"/>
                <w:color w:val="000000" w:themeColor="text1"/>
                <w:highlight w:val="white"/>
              </w:rPr>
              <w:t xml:space="preserve"> </w:t>
            </w:r>
            <w:r w:rsidRPr="00DA354E">
              <w:rPr>
                <w:rFonts w:ascii="Times New Roman" w:hAnsi="Times New Roman" w:cs="Times New Roman"/>
                <w:color w:val="000000" w:themeColor="text1"/>
              </w:rPr>
              <w:t>)</w:t>
            </w:r>
          </w:p>
        </w:tc>
      </w:tr>
      <w:tr w:rsidR="00541658" w:rsidRPr="00DA354E" w:rsidTr="00EB157A">
        <w:trPr>
          <w:trHeight w:val="440"/>
        </w:trPr>
        <w:tc>
          <w:tcPr>
            <w:tcW w:w="2232"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annual precipitation</w:t>
            </w:r>
          </w:p>
        </w:tc>
        <w:tc>
          <w:tcPr>
            <w:tcW w:w="1586"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yearly</w:t>
            </w:r>
          </w:p>
        </w:tc>
        <w:tc>
          <w:tcPr>
            <w:tcW w:w="1842" w:type="dxa"/>
            <w:shd w:val="clear" w:color="auto" w:fill="auto"/>
            <w:tcMar>
              <w:top w:w="100" w:type="dxa"/>
              <w:left w:w="100" w:type="dxa"/>
              <w:bottom w:w="100" w:type="dxa"/>
              <w:right w:w="100" w:type="dxa"/>
            </w:tcMar>
            <w:vAlign w:val="center"/>
          </w:tcPr>
          <w:p w:rsidR="00541658" w:rsidRPr="00DA354E" w:rsidRDefault="00541658" w:rsidP="00EB157A">
            <w:pPr>
              <w:widowControl w:val="0"/>
              <w:jc w:val="center"/>
              <w:rPr>
                <w:rFonts w:ascii="Times New Roman" w:hAnsi="Times New Roman" w:cs="Times New Roman"/>
                <w:color w:val="000000" w:themeColor="text1"/>
              </w:rPr>
            </w:pPr>
            <w:r w:rsidRPr="00DA354E">
              <w:rPr>
                <w:rFonts w:ascii="Times New Roman" w:hAnsi="Times New Roman" w:cs="Times New Roman"/>
                <w:color w:val="000000" w:themeColor="text1"/>
              </w:rPr>
              <w:t>0.5°×0.5°</w:t>
            </w:r>
          </w:p>
        </w:tc>
        <w:tc>
          <w:tcPr>
            <w:tcW w:w="3271" w:type="dxa"/>
            <w:vMerge/>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rPr>
                <w:rFonts w:ascii="Times New Roman" w:hAnsi="Times New Roman" w:cs="Times New Roman"/>
                <w:color w:val="000000" w:themeColor="text1"/>
              </w:rPr>
            </w:pPr>
          </w:p>
        </w:tc>
      </w:tr>
      <w:tr w:rsidR="00541658" w:rsidRPr="00DA354E" w:rsidTr="00EB157A">
        <w:trPr>
          <w:trHeight w:val="440"/>
        </w:trPr>
        <w:tc>
          <w:tcPr>
            <w:tcW w:w="2232"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annual radiation</w:t>
            </w:r>
          </w:p>
        </w:tc>
        <w:tc>
          <w:tcPr>
            <w:tcW w:w="1586"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yearly</w:t>
            </w:r>
          </w:p>
        </w:tc>
        <w:tc>
          <w:tcPr>
            <w:tcW w:w="1842" w:type="dxa"/>
            <w:shd w:val="clear" w:color="auto" w:fill="auto"/>
            <w:tcMar>
              <w:top w:w="100" w:type="dxa"/>
              <w:left w:w="100" w:type="dxa"/>
              <w:bottom w:w="100" w:type="dxa"/>
              <w:right w:w="100" w:type="dxa"/>
            </w:tcMar>
            <w:vAlign w:val="center"/>
          </w:tcPr>
          <w:p w:rsidR="00541658" w:rsidRPr="00DA354E" w:rsidRDefault="00541658" w:rsidP="00EB157A">
            <w:pPr>
              <w:widowControl w:val="0"/>
              <w:jc w:val="center"/>
              <w:rPr>
                <w:rFonts w:ascii="Times New Roman" w:hAnsi="Times New Roman" w:cs="Times New Roman"/>
                <w:color w:val="000000" w:themeColor="text1"/>
              </w:rPr>
            </w:pPr>
            <w:r w:rsidRPr="00DA354E">
              <w:rPr>
                <w:rFonts w:ascii="Times New Roman" w:hAnsi="Times New Roman" w:cs="Times New Roman"/>
                <w:color w:val="000000" w:themeColor="text1"/>
              </w:rPr>
              <w:t>0.5°×0.5°</w:t>
            </w:r>
          </w:p>
        </w:tc>
        <w:tc>
          <w:tcPr>
            <w:tcW w:w="3271" w:type="dxa"/>
            <w:vMerge/>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rPr>
                <w:rFonts w:ascii="Times New Roman" w:hAnsi="Times New Roman" w:cs="Times New Roman"/>
                <w:color w:val="000000" w:themeColor="text1"/>
              </w:rPr>
            </w:pPr>
          </w:p>
        </w:tc>
      </w:tr>
      <w:tr w:rsidR="00541658" w:rsidRPr="00DA354E" w:rsidTr="00EB157A">
        <w:tc>
          <w:tcPr>
            <w:tcW w:w="2232"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annual soil moisture content</w:t>
            </w:r>
          </w:p>
        </w:tc>
        <w:tc>
          <w:tcPr>
            <w:tcW w:w="1586"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yearly</w:t>
            </w:r>
          </w:p>
        </w:tc>
        <w:tc>
          <w:tcPr>
            <w:tcW w:w="1842" w:type="dxa"/>
            <w:shd w:val="clear" w:color="auto" w:fill="auto"/>
            <w:tcMar>
              <w:top w:w="100" w:type="dxa"/>
              <w:left w:w="100" w:type="dxa"/>
              <w:bottom w:w="100" w:type="dxa"/>
              <w:right w:w="100" w:type="dxa"/>
            </w:tcMar>
            <w:vAlign w:val="center"/>
          </w:tcPr>
          <w:p w:rsidR="00541658" w:rsidRPr="00DA354E" w:rsidRDefault="00541658" w:rsidP="00EB157A">
            <w:pPr>
              <w:widowControl w:val="0"/>
              <w:jc w:val="center"/>
              <w:rPr>
                <w:rFonts w:ascii="Times New Roman" w:hAnsi="Times New Roman" w:cs="Times New Roman"/>
                <w:color w:val="000000" w:themeColor="text1"/>
              </w:rPr>
            </w:pPr>
            <w:r w:rsidRPr="00DA354E">
              <w:rPr>
                <w:rFonts w:ascii="Times New Roman" w:hAnsi="Times New Roman" w:cs="Times New Roman"/>
                <w:color w:val="000000" w:themeColor="text1"/>
              </w:rPr>
              <w:t>0.5°×0.5°</w:t>
            </w:r>
          </w:p>
        </w:tc>
        <w:tc>
          <w:tcPr>
            <w:tcW w:w="3271" w:type="dxa"/>
            <w:shd w:val="clear" w:color="auto" w:fill="auto"/>
            <w:tcMar>
              <w:top w:w="100" w:type="dxa"/>
              <w:left w:w="100" w:type="dxa"/>
              <w:bottom w:w="100" w:type="dxa"/>
              <w:right w:w="100" w:type="dxa"/>
            </w:tcMar>
            <w:vAlign w:val="center"/>
          </w:tcPr>
          <w:p w:rsidR="00541658" w:rsidRPr="001D7FE4" w:rsidRDefault="00541658" w:rsidP="00EB157A">
            <w:pPr>
              <w:widowControl w:val="0"/>
              <w:pBdr>
                <w:top w:val="nil"/>
                <w:left w:val="nil"/>
                <w:bottom w:val="nil"/>
                <w:right w:val="nil"/>
                <w:between w:val="nil"/>
              </w:pBdr>
              <w:rPr>
                <w:rFonts w:ascii="Times New Roman" w:hAnsi="Times New Roman" w:cs="Times New Roman"/>
                <w:color w:val="000000" w:themeColor="text1"/>
              </w:rPr>
            </w:pPr>
            <w:r w:rsidRPr="001D7FE4">
              <w:rPr>
                <w:rFonts w:ascii="Times New Roman" w:hAnsi="Times New Roman" w:cs="Times New Roman"/>
                <w:color w:val="000000" w:themeColor="text1"/>
              </w:rPr>
              <w:t>CPC soil moisture (</w:t>
            </w:r>
            <w:hyperlink r:id="rId7">
              <w:r w:rsidRPr="001D7FE4">
                <w:rPr>
                  <w:rFonts w:ascii="Times New Roman" w:hAnsi="Times New Roman" w:cs="Times New Roman"/>
                  <w:color w:val="000000" w:themeColor="text1"/>
                  <w:u w:val="single"/>
                </w:rPr>
                <w:t>https://www.esrl.noaa.gov/psd/data/gridded/data.cpcsoil.html</w:t>
              </w:r>
            </w:hyperlink>
            <w:r w:rsidRPr="001D7FE4">
              <w:rPr>
                <w:rFonts w:ascii="Times New Roman" w:hAnsi="Times New Roman" w:cs="Times New Roman"/>
                <w:color w:val="000000" w:themeColor="text1"/>
              </w:rPr>
              <w:t>)</w:t>
            </w:r>
          </w:p>
        </w:tc>
      </w:tr>
      <w:tr w:rsidR="00541658" w:rsidRPr="00DA354E" w:rsidTr="00EB157A">
        <w:tc>
          <w:tcPr>
            <w:tcW w:w="2232"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annual nitrogen deposition</w:t>
            </w:r>
          </w:p>
        </w:tc>
        <w:tc>
          <w:tcPr>
            <w:tcW w:w="1586"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yearly</w:t>
            </w:r>
          </w:p>
        </w:tc>
        <w:tc>
          <w:tcPr>
            <w:tcW w:w="1842" w:type="dxa"/>
            <w:shd w:val="clear" w:color="auto" w:fill="auto"/>
            <w:tcMar>
              <w:top w:w="100" w:type="dxa"/>
              <w:left w:w="100" w:type="dxa"/>
              <w:bottom w:w="100" w:type="dxa"/>
              <w:right w:w="100" w:type="dxa"/>
            </w:tcMar>
            <w:vAlign w:val="center"/>
          </w:tcPr>
          <w:p w:rsidR="00541658" w:rsidRPr="00DA354E" w:rsidRDefault="00541658" w:rsidP="00EB157A">
            <w:pPr>
              <w:widowControl w:val="0"/>
              <w:jc w:val="center"/>
              <w:rPr>
                <w:rFonts w:ascii="Times New Roman" w:hAnsi="Times New Roman" w:cs="Times New Roman"/>
                <w:color w:val="000000" w:themeColor="text1"/>
              </w:rPr>
            </w:pPr>
            <w:r w:rsidRPr="00DA354E">
              <w:rPr>
                <w:rFonts w:ascii="Times New Roman" w:hAnsi="Times New Roman" w:cs="Times New Roman"/>
                <w:color w:val="000000" w:themeColor="text1"/>
              </w:rPr>
              <w:t>0.5°×0.5°</w:t>
            </w:r>
          </w:p>
        </w:tc>
        <w:tc>
          <w:tcPr>
            <w:tcW w:w="3271"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rPr>
                <w:rFonts w:ascii="Times New Roman" w:hAnsi="Times New Roman" w:cs="Times New Roman"/>
                <w:color w:val="000000" w:themeColor="text1"/>
              </w:rPr>
            </w:pPr>
            <w:r w:rsidRPr="00DA354E">
              <w:rPr>
                <w:rFonts w:ascii="Times New Roman" w:hAnsi="Times New Roman" w:cs="Times New Roman"/>
                <w:color w:val="000000" w:themeColor="text1"/>
              </w:rPr>
              <w:t xml:space="preserve">NACP </w:t>
            </w:r>
            <w:proofErr w:type="spellStart"/>
            <w:r w:rsidRPr="00DA354E">
              <w:rPr>
                <w:rFonts w:ascii="Times New Roman" w:hAnsi="Times New Roman" w:cs="Times New Roman"/>
                <w:color w:val="000000" w:themeColor="text1"/>
              </w:rPr>
              <w:t>MsTMIP</w:t>
            </w:r>
            <w:proofErr w:type="spellEnd"/>
            <w:r w:rsidRPr="00DA354E">
              <w:rPr>
                <w:rFonts w:ascii="Times New Roman" w:hAnsi="Times New Roman" w:cs="Times New Roman"/>
                <w:color w:val="000000" w:themeColor="text1"/>
              </w:rPr>
              <w:t xml:space="preserve"> (</w:t>
            </w:r>
            <w:hyperlink r:id="rId8">
              <w:r w:rsidRPr="00DA354E">
                <w:rPr>
                  <w:rFonts w:ascii="Times New Roman" w:hAnsi="Times New Roman" w:cs="Times New Roman"/>
                  <w:color w:val="000000" w:themeColor="text1"/>
                  <w:u w:val="single"/>
                </w:rPr>
                <w:t>https://daac.ornl.gov/cgi-bin/dsviewer.pl?ds_id=1220</w:t>
              </w:r>
            </w:hyperlink>
            <w:r w:rsidRPr="00DA354E">
              <w:rPr>
                <w:rFonts w:ascii="Times New Roman" w:hAnsi="Times New Roman" w:cs="Times New Roman"/>
                <w:color w:val="000000" w:themeColor="text1"/>
              </w:rPr>
              <w:t>)</w:t>
            </w:r>
          </w:p>
        </w:tc>
      </w:tr>
      <w:tr w:rsidR="00541658" w:rsidRPr="00DA354E" w:rsidTr="00EB157A">
        <w:tc>
          <w:tcPr>
            <w:tcW w:w="2232"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gross primary productivity</w:t>
            </w:r>
          </w:p>
        </w:tc>
        <w:tc>
          <w:tcPr>
            <w:tcW w:w="1586"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yearly</w:t>
            </w:r>
          </w:p>
        </w:tc>
        <w:tc>
          <w:tcPr>
            <w:tcW w:w="1842" w:type="dxa"/>
            <w:shd w:val="clear" w:color="auto" w:fill="auto"/>
            <w:tcMar>
              <w:top w:w="100" w:type="dxa"/>
              <w:left w:w="100" w:type="dxa"/>
              <w:bottom w:w="100" w:type="dxa"/>
              <w:right w:w="100" w:type="dxa"/>
            </w:tcMar>
            <w:vAlign w:val="center"/>
          </w:tcPr>
          <w:p w:rsidR="00541658" w:rsidRPr="00DA354E" w:rsidRDefault="00541658" w:rsidP="00EB157A">
            <w:pPr>
              <w:widowControl w:val="0"/>
              <w:jc w:val="center"/>
              <w:rPr>
                <w:rFonts w:ascii="Times New Roman" w:hAnsi="Times New Roman" w:cs="Times New Roman"/>
                <w:color w:val="000000" w:themeColor="text1"/>
              </w:rPr>
            </w:pPr>
            <w:r w:rsidRPr="00DA354E">
              <w:rPr>
                <w:rFonts w:ascii="Times New Roman" w:hAnsi="Times New Roman" w:cs="Times New Roman"/>
                <w:color w:val="000000" w:themeColor="text1"/>
              </w:rPr>
              <w:t>0.5°×0.5°</w:t>
            </w:r>
          </w:p>
        </w:tc>
        <w:tc>
          <w:tcPr>
            <w:tcW w:w="3271" w:type="dxa"/>
            <w:shd w:val="clear" w:color="auto" w:fill="auto"/>
            <w:tcMar>
              <w:top w:w="100" w:type="dxa"/>
              <w:left w:w="100" w:type="dxa"/>
              <w:bottom w:w="100" w:type="dxa"/>
              <w:right w:w="100" w:type="dxa"/>
            </w:tcMar>
            <w:vAlign w:val="center"/>
          </w:tcPr>
          <w:p w:rsidR="00541658" w:rsidRPr="00DA354E" w:rsidRDefault="00541658" w:rsidP="00EB157A">
            <w:pPr>
              <w:widowControl w:val="0"/>
              <w:rPr>
                <w:rFonts w:ascii="Times New Roman" w:hAnsi="Times New Roman" w:cs="Times New Roman"/>
                <w:color w:val="000000" w:themeColor="text1"/>
                <w:lang w:val="de-DE"/>
              </w:rPr>
            </w:pPr>
            <w:r w:rsidRPr="00DA354E">
              <w:rPr>
                <w:rFonts w:ascii="Times New Roman" w:hAnsi="Times New Roman" w:cs="Times New Roman"/>
                <w:color w:val="000000" w:themeColor="text1"/>
                <w:lang w:val="de-DE"/>
              </w:rPr>
              <w:t>FLUXCOM (Jung et al., 2017)</w:t>
            </w:r>
          </w:p>
          <w:p w:rsidR="00541658" w:rsidRPr="00DA354E" w:rsidRDefault="00541658" w:rsidP="00EB157A">
            <w:pPr>
              <w:widowControl w:val="0"/>
              <w:rPr>
                <w:rFonts w:ascii="Times New Roman" w:hAnsi="Times New Roman" w:cs="Times New Roman"/>
                <w:color w:val="000000" w:themeColor="text1"/>
                <w:lang w:val="de-DE"/>
              </w:rPr>
            </w:pPr>
            <w:r w:rsidRPr="00DA354E">
              <w:rPr>
                <w:rFonts w:ascii="Times New Roman" w:hAnsi="Times New Roman" w:cs="Times New Roman"/>
                <w:color w:val="000000" w:themeColor="text1"/>
                <w:lang w:val="de-DE"/>
              </w:rPr>
              <w:t>(</w:t>
            </w:r>
            <w:hyperlink r:id="rId9">
              <w:r w:rsidRPr="00DA354E">
                <w:rPr>
                  <w:rFonts w:ascii="Times New Roman" w:hAnsi="Times New Roman" w:cs="Times New Roman"/>
                  <w:color w:val="000000" w:themeColor="text1"/>
                  <w:u w:val="single"/>
                  <w:lang w:val="de-DE"/>
                </w:rPr>
                <w:t>https://www.bgc-jena.mpg.de/geodb/projects/Data.php</w:t>
              </w:r>
            </w:hyperlink>
            <w:r w:rsidRPr="00DA354E">
              <w:rPr>
                <w:rFonts w:ascii="Times New Roman" w:hAnsi="Times New Roman" w:cs="Times New Roman"/>
                <w:color w:val="000000" w:themeColor="text1"/>
                <w:lang w:val="de-DE"/>
              </w:rPr>
              <w:t>)</w:t>
            </w:r>
          </w:p>
        </w:tc>
      </w:tr>
      <w:tr w:rsidR="00541658" w:rsidRPr="00DA354E" w:rsidTr="00EB157A">
        <w:tc>
          <w:tcPr>
            <w:tcW w:w="2232"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soil carbon content</w:t>
            </w:r>
          </w:p>
        </w:tc>
        <w:tc>
          <w:tcPr>
            <w:tcW w:w="1586"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static</w:t>
            </w:r>
          </w:p>
        </w:tc>
        <w:tc>
          <w:tcPr>
            <w:tcW w:w="1842" w:type="dxa"/>
            <w:shd w:val="clear" w:color="auto" w:fill="auto"/>
            <w:tcMar>
              <w:top w:w="100" w:type="dxa"/>
              <w:left w:w="100" w:type="dxa"/>
              <w:bottom w:w="100" w:type="dxa"/>
              <w:right w:w="100" w:type="dxa"/>
            </w:tcMar>
            <w:vAlign w:val="center"/>
          </w:tcPr>
          <w:p w:rsidR="00541658" w:rsidRPr="00DA354E" w:rsidRDefault="00541658" w:rsidP="00EB157A">
            <w:pPr>
              <w:widowControl w:val="0"/>
              <w:jc w:val="center"/>
              <w:rPr>
                <w:rFonts w:ascii="Times New Roman" w:hAnsi="Times New Roman" w:cs="Times New Roman"/>
                <w:color w:val="000000" w:themeColor="text1"/>
              </w:rPr>
            </w:pPr>
            <w:r w:rsidRPr="00DA354E">
              <w:rPr>
                <w:rFonts w:ascii="Times New Roman" w:hAnsi="Times New Roman" w:cs="Times New Roman"/>
                <w:color w:val="000000" w:themeColor="text1"/>
              </w:rPr>
              <w:t>0.05°×0.05°</w:t>
            </w:r>
          </w:p>
        </w:tc>
        <w:tc>
          <w:tcPr>
            <w:tcW w:w="3271"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rPr>
                <w:rFonts w:ascii="Times New Roman" w:hAnsi="Times New Roman" w:cs="Times New Roman"/>
                <w:color w:val="000000" w:themeColor="text1"/>
              </w:rPr>
            </w:pPr>
            <w:r w:rsidRPr="00DA354E">
              <w:rPr>
                <w:rFonts w:ascii="Times New Roman" w:hAnsi="Times New Roman" w:cs="Times New Roman"/>
                <w:color w:val="000000" w:themeColor="text1"/>
              </w:rPr>
              <w:t>Harmonized world soil database (HWSD) (</w:t>
            </w:r>
            <w:hyperlink r:id="rId10">
              <w:r w:rsidRPr="00DA354E">
                <w:rPr>
                  <w:rFonts w:ascii="Times New Roman" w:hAnsi="Times New Roman" w:cs="Times New Roman"/>
                  <w:color w:val="000000" w:themeColor="text1"/>
                  <w:u w:val="single"/>
                </w:rPr>
                <w:t>https://daac.ornl.gov/SOILS/guides/HWSD.html</w:t>
              </w:r>
            </w:hyperlink>
            <w:r w:rsidRPr="00DA354E">
              <w:rPr>
                <w:rFonts w:ascii="Times New Roman" w:hAnsi="Times New Roman" w:cs="Times New Roman"/>
                <w:color w:val="000000" w:themeColor="text1"/>
              </w:rPr>
              <w:t>)</w:t>
            </w:r>
          </w:p>
          <w:p w:rsidR="00541658" w:rsidRPr="00DA354E" w:rsidRDefault="00541658" w:rsidP="00EB157A">
            <w:pPr>
              <w:widowControl w:val="0"/>
              <w:pBdr>
                <w:top w:val="nil"/>
                <w:left w:val="nil"/>
                <w:bottom w:val="nil"/>
                <w:right w:val="nil"/>
                <w:between w:val="nil"/>
              </w:pBdr>
              <w:rPr>
                <w:rFonts w:ascii="Times New Roman" w:hAnsi="Times New Roman" w:cs="Times New Roman"/>
                <w:color w:val="000000" w:themeColor="text1"/>
              </w:rPr>
            </w:pPr>
            <w:r w:rsidRPr="00DA354E">
              <w:rPr>
                <w:rFonts w:ascii="Times New Roman" w:hAnsi="Times New Roman" w:cs="Times New Roman"/>
                <w:color w:val="000000" w:themeColor="text1"/>
              </w:rPr>
              <w:t xml:space="preserve">top-soil (0-30cm) </w:t>
            </w:r>
          </w:p>
          <w:p w:rsidR="00541658" w:rsidRPr="00DA354E" w:rsidRDefault="00541658" w:rsidP="00EB157A">
            <w:pPr>
              <w:widowControl w:val="0"/>
              <w:pBdr>
                <w:top w:val="nil"/>
                <w:left w:val="nil"/>
                <w:bottom w:val="nil"/>
                <w:right w:val="nil"/>
                <w:between w:val="nil"/>
              </w:pBdr>
              <w:rPr>
                <w:rFonts w:ascii="Times New Roman" w:hAnsi="Times New Roman" w:cs="Times New Roman"/>
                <w:color w:val="000000" w:themeColor="text1"/>
              </w:rPr>
            </w:pPr>
            <w:r w:rsidRPr="00DA354E">
              <w:rPr>
                <w:rFonts w:ascii="Times New Roman" w:hAnsi="Times New Roman" w:cs="Times New Roman"/>
                <w:color w:val="000000" w:themeColor="text1"/>
              </w:rPr>
              <w:t>sub-soil (30-100cm)</w:t>
            </w:r>
          </w:p>
        </w:tc>
      </w:tr>
      <w:tr w:rsidR="00541658" w:rsidRPr="00DA354E" w:rsidTr="00EB157A">
        <w:tc>
          <w:tcPr>
            <w:tcW w:w="2232"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soil nitrogen content</w:t>
            </w:r>
          </w:p>
        </w:tc>
        <w:tc>
          <w:tcPr>
            <w:tcW w:w="1586"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static</w:t>
            </w:r>
          </w:p>
        </w:tc>
        <w:tc>
          <w:tcPr>
            <w:tcW w:w="1842"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0.083°×0.083°</w:t>
            </w:r>
          </w:p>
        </w:tc>
        <w:tc>
          <w:tcPr>
            <w:tcW w:w="3271"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rPr>
                <w:rFonts w:ascii="Times New Roman" w:hAnsi="Times New Roman" w:cs="Times New Roman"/>
                <w:color w:val="000000" w:themeColor="text1"/>
              </w:rPr>
            </w:pPr>
            <w:r w:rsidRPr="00DA354E">
              <w:rPr>
                <w:rFonts w:ascii="Times New Roman" w:hAnsi="Times New Roman" w:cs="Times New Roman"/>
                <w:color w:val="000000" w:themeColor="text1"/>
              </w:rPr>
              <w:t>(</w:t>
            </w:r>
            <w:hyperlink r:id="rId11">
              <w:r w:rsidRPr="00DA354E">
                <w:rPr>
                  <w:rFonts w:ascii="Times New Roman" w:hAnsi="Times New Roman" w:cs="Times New Roman"/>
                  <w:color w:val="000000" w:themeColor="text1"/>
                  <w:u w:val="single"/>
                </w:rPr>
                <w:t>https://daac.ornl.gov/cgi-bin/dsviewer.pl?ds_id=569</w:t>
              </w:r>
            </w:hyperlink>
            <w:r w:rsidRPr="00DA354E">
              <w:rPr>
                <w:rFonts w:ascii="Times New Roman" w:hAnsi="Times New Roman" w:cs="Times New Roman"/>
                <w:color w:val="000000" w:themeColor="text1"/>
              </w:rPr>
              <w:t>)</w:t>
            </w:r>
          </w:p>
          <w:p w:rsidR="00541658" w:rsidRPr="00DA354E" w:rsidRDefault="00541658" w:rsidP="00EB157A">
            <w:pPr>
              <w:widowControl w:val="0"/>
              <w:pBdr>
                <w:top w:val="nil"/>
                <w:left w:val="nil"/>
                <w:bottom w:val="nil"/>
                <w:right w:val="nil"/>
                <w:between w:val="nil"/>
              </w:pBdr>
              <w:rPr>
                <w:rFonts w:ascii="Times New Roman" w:hAnsi="Times New Roman" w:cs="Times New Roman"/>
                <w:color w:val="000000" w:themeColor="text1"/>
              </w:rPr>
            </w:pPr>
            <w:r w:rsidRPr="00DA354E">
              <w:rPr>
                <w:rFonts w:ascii="Times New Roman" w:hAnsi="Times New Roman" w:cs="Times New Roman"/>
                <w:color w:val="000000" w:themeColor="text1"/>
              </w:rPr>
              <w:t>0-100cm</w:t>
            </w:r>
          </w:p>
        </w:tc>
      </w:tr>
      <w:tr w:rsidR="00541658" w:rsidRPr="00DA354E" w:rsidTr="00EB157A">
        <w:tc>
          <w:tcPr>
            <w:tcW w:w="2232"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land cover type</w:t>
            </w:r>
          </w:p>
        </w:tc>
        <w:tc>
          <w:tcPr>
            <w:tcW w:w="1586"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jc w:val="center"/>
              <w:rPr>
                <w:rFonts w:ascii="Times New Roman" w:hAnsi="Times New Roman" w:cs="Times New Roman"/>
                <w:color w:val="000000" w:themeColor="text1"/>
              </w:rPr>
            </w:pPr>
            <w:r w:rsidRPr="00DA354E">
              <w:rPr>
                <w:rFonts w:ascii="Times New Roman" w:hAnsi="Times New Roman" w:cs="Times New Roman"/>
                <w:color w:val="000000" w:themeColor="text1"/>
              </w:rPr>
              <w:t>static</w:t>
            </w:r>
          </w:p>
        </w:tc>
        <w:tc>
          <w:tcPr>
            <w:tcW w:w="1842" w:type="dxa"/>
            <w:shd w:val="clear" w:color="auto" w:fill="auto"/>
            <w:tcMar>
              <w:top w:w="100" w:type="dxa"/>
              <w:left w:w="100" w:type="dxa"/>
              <w:bottom w:w="100" w:type="dxa"/>
              <w:right w:w="100" w:type="dxa"/>
            </w:tcMar>
            <w:vAlign w:val="center"/>
          </w:tcPr>
          <w:p w:rsidR="00541658" w:rsidRPr="00DA354E" w:rsidRDefault="00541658" w:rsidP="00EB157A">
            <w:pPr>
              <w:widowControl w:val="0"/>
              <w:jc w:val="center"/>
              <w:rPr>
                <w:rFonts w:ascii="Times New Roman" w:hAnsi="Times New Roman" w:cs="Times New Roman"/>
                <w:color w:val="000000" w:themeColor="text1"/>
              </w:rPr>
            </w:pPr>
            <w:r w:rsidRPr="00DA354E">
              <w:rPr>
                <w:rFonts w:ascii="Times New Roman" w:hAnsi="Times New Roman" w:cs="Times New Roman"/>
                <w:color w:val="000000" w:themeColor="text1"/>
              </w:rPr>
              <w:t>0.5°×0.5°</w:t>
            </w:r>
          </w:p>
        </w:tc>
        <w:tc>
          <w:tcPr>
            <w:tcW w:w="3271" w:type="dxa"/>
            <w:shd w:val="clear" w:color="auto" w:fill="auto"/>
            <w:tcMar>
              <w:top w:w="100" w:type="dxa"/>
              <w:left w:w="100" w:type="dxa"/>
              <w:bottom w:w="100" w:type="dxa"/>
              <w:right w:w="100" w:type="dxa"/>
            </w:tcMar>
            <w:vAlign w:val="center"/>
          </w:tcPr>
          <w:p w:rsidR="00541658" w:rsidRPr="00DA354E" w:rsidRDefault="00541658" w:rsidP="00EB157A">
            <w:pPr>
              <w:widowControl w:val="0"/>
              <w:pBdr>
                <w:top w:val="nil"/>
                <w:left w:val="nil"/>
                <w:bottom w:val="nil"/>
                <w:right w:val="nil"/>
                <w:between w:val="nil"/>
              </w:pBdr>
              <w:rPr>
                <w:rFonts w:ascii="Times New Roman" w:hAnsi="Times New Roman" w:cs="Times New Roman"/>
                <w:color w:val="000000" w:themeColor="text1"/>
              </w:rPr>
            </w:pPr>
            <w:r w:rsidRPr="00DA354E">
              <w:rPr>
                <w:rFonts w:ascii="Times New Roman" w:hAnsi="Times New Roman" w:cs="Times New Roman"/>
                <w:color w:val="000000" w:themeColor="text1"/>
              </w:rPr>
              <w:t>MODIS land cover data (</w:t>
            </w:r>
            <w:hyperlink r:id="rId12">
              <w:r w:rsidRPr="00DA354E">
                <w:rPr>
                  <w:rFonts w:ascii="Times New Roman" w:hAnsi="Times New Roman" w:cs="Times New Roman"/>
                  <w:color w:val="000000" w:themeColor="text1"/>
                  <w:u w:val="single"/>
                </w:rPr>
                <w:t>http://glcf.umd.edu/data/lc/</w:t>
              </w:r>
            </w:hyperlink>
            <w:r w:rsidRPr="00DA354E">
              <w:rPr>
                <w:rFonts w:ascii="Times New Roman" w:hAnsi="Times New Roman" w:cs="Times New Roman"/>
                <w:color w:val="000000" w:themeColor="text1"/>
              </w:rPr>
              <w:t>)</w:t>
            </w:r>
          </w:p>
        </w:tc>
      </w:tr>
    </w:tbl>
    <w:p w:rsidR="00541658" w:rsidRPr="00DA354E" w:rsidRDefault="00541658" w:rsidP="00541658">
      <w:pPr>
        <w:rPr>
          <w:rFonts w:ascii="Times New Roman" w:hAnsi="Times New Roman" w:cs="Times New Roman"/>
          <w:color w:val="000000" w:themeColor="text1"/>
        </w:rPr>
      </w:pPr>
    </w:p>
    <w:p w:rsidR="00683641" w:rsidRDefault="00683641">
      <w:pPr>
        <w:rPr>
          <w:rFonts w:ascii="Times New Roman" w:hAnsi="Times New Roman" w:cs="Times New Roman"/>
          <w:color w:val="000000" w:themeColor="text1"/>
        </w:rPr>
      </w:pPr>
      <w:r>
        <w:rPr>
          <w:rFonts w:ascii="Times New Roman" w:hAnsi="Times New Roman" w:cs="Times New Roman"/>
          <w:color w:val="000000" w:themeColor="text1"/>
        </w:rPr>
        <w:br w:type="page"/>
      </w:r>
    </w:p>
    <w:p w:rsidR="00683641" w:rsidRDefault="00683641" w:rsidP="00520155">
      <w:pPr>
        <w:jc w:val="both"/>
        <w:rPr>
          <w:rFonts w:ascii="Times New Roman" w:hAnsi="Times New Roman" w:cs="Times New Roman"/>
          <w:color w:val="000000" w:themeColor="text1"/>
        </w:rPr>
      </w:pPr>
      <w:r w:rsidRPr="00DA354E">
        <w:rPr>
          <w:rFonts w:ascii="Times New Roman" w:hAnsi="Times New Roman" w:cs="Times New Roman"/>
          <w:b/>
          <w:color w:val="000000" w:themeColor="text1"/>
        </w:rPr>
        <w:lastRenderedPageBreak/>
        <w:t xml:space="preserve">Supplementary Table </w:t>
      </w:r>
      <w:r>
        <w:rPr>
          <w:rFonts w:ascii="Times New Roman" w:hAnsi="Times New Roman" w:cs="Times New Roman"/>
          <w:b/>
          <w:color w:val="000000" w:themeColor="text1"/>
        </w:rPr>
        <w:t>5</w:t>
      </w:r>
      <w:r w:rsidRPr="00DA354E">
        <w:rPr>
          <w:rFonts w:ascii="Times New Roman" w:hAnsi="Times New Roman" w:cs="Times New Roman"/>
          <w:b/>
          <w:color w:val="000000" w:themeColor="text1"/>
        </w:rPr>
        <w:t>.</w:t>
      </w:r>
      <w:r w:rsidRPr="00DA354E">
        <w:rPr>
          <w:rFonts w:ascii="Times New Roman" w:hAnsi="Times New Roman" w:cs="Times New Roman"/>
          <w:color w:val="000000" w:themeColor="text1"/>
        </w:rPr>
        <w:t xml:space="preserve"> This table shows whether the six groups of flux components of NEE not related to SHR assessed in this paper were included (i.e. reported) in CMIP5 simulations by the seven ESMs. "Fires" include only wildfires (</w:t>
      </w:r>
      <w:proofErr w:type="spellStart"/>
      <w:r w:rsidRPr="00DA354E">
        <w:rPr>
          <w:rFonts w:ascii="Times New Roman" w:hAnsi="Times New Roman" w:cs="Times New Roman"/>
          <w:i/>
          <w:color w:val="000000" w:themeColor="text1"/>
        </w:rPr>
        <w:t>F</w:t>
      </w:r>
      <w:r w:rsidRPr="00DA354E">
        <w:rPr>
          <w:rFonts w:ascii="Times New Roman" w:hAnsi="Times New Roman" w:cs="Times New Roman"/>
          <w:i/>
          <w:color w:val="000000" w:themeColor="text1"/>
          <w:vertAlign w:val="subscript"/>
        </w:rPr>
        <w:t>fires</w:t>
      </w:r>
      <w:proofErr w:type="spellEnd"/>
      <w:r w:rsidRPr="00DA354E">
        <w:rPr>
          <w:rFonts w:ascii="Times New Roman" w:hAnsi="Times New Roman" w:cs="Times New Roman"/>
          <w:color w:val="000000" w:themeColor="text1"/>
        </w:rPr>
        <w:t>), i.e. not anthropogenic biomass burning; "LUC &amp; wood products" stands for land-use change and harvested wood products (</w:t>
      </w:r>
      <w:proofErr w:type="spellStart"/>
      <w:r w:rsidRPr="00DA354E">
        <w:rPr>
          <w:rFonts w:ascii="Times New Roman" w:hAnsi="Times New Roman" w:cs="Times New Roman"/>
          <w:i/>
          <w:color w:val="000000" w:themeColor="text1"/>
        </w:rPr>
        <w:t>F</w:t>
      </w:r>
      <w:r w:rsidRPr="00DA354E">
        <w:rPr>
          <w:rFonts w:ascii="Times New Roman" w:hAnsi="Times New Roman" w:cs="Times New Roman"/>
          <w:i/>
          <w:color w:val="000000" w:themeColor="text1"/>
          <w:vertAlign w:val="subscript"/>
        </w:rPr>
        <w:t>wood</w:t>
      </w:r>
      <w:proofErr w:type="spellEnd"/>
      <w:r w:rsidRPr="00DA354E">
        <w:rPr>
          <w:rFonts w:ascii="Times New Roman" w:hAnsi="Times New Roman" w:cs="Times New Roman"/>
          <w:i/>
          <w:color w:val="000000" w:themeColor="text1"/>
          <w:vertAlign w:val="subscript"/>
        </w:rPr>
        <w:t xml:space="preserve"> products</w:t>
      </w:r>
      <w:r w:rsidRPr="00DA354E">
        <w:rPr>
          <w:rFonts w:ascii="Times New Roman" w:hAnsi="Times New Roman" w:cs="Times New Roman"/>
          <w:i/>
          <w:color w:val="000000" w:themeColor="text1"/>
        </w:rPr>
        <w:t xml:space="preserve"> + F</w:t>
      </w:r>
      <w:r w:rsidRPr="00DA354E">
        <w:rPr>
          <w:rFonts w:ascii="Times New Roman" w:hAnsi="Times New Roman" w:cs="Times New Roman"/>
          <w:i/>
          <w:color w:val="000000" w:themeColor="text1"/>
          <w:vertAlign w:val="subscript"/>
        </w:rPr>
        <w:t>LUC</w:t>
      </w:r>
      <w:r w:rsidRPr="00DA354E">
        <w:rPr>
          <w:rFonts w:ascii="Times New Roman" w:hAnsi="Times New Roman" w:cs="Times New Roman"/>
          <w:color w:val="000000" w:themeColor="text1"/>
        </w:rPr>
        <w:t>); "Harvest" corresponds to harvest from croplands only (</w:t>
      </w:r>
      <w:proofErr w:type="spellStart"/>
      <w:r w:rsidRPr="00DA354E">
        <w:rPr>
          <w:rFonts w:ascii="Times New Roman" w:hAnsi="Times New Roman" w:cs="Times New Roman"/>
          <w:i/>
          <w:color w:val="000000" w:themeColor="text1"/>
        </w:rPr>
        <w:t>F</w:t>
      </w:r>
      <w:r w:rsidRPr="00DA354E">
        <w:rPr>
          <w:rFonts w:ascii="Times New Roman" w:hAnsi="Times New Roman" w:cs="Times New Roman"/>
          <w:i/>
          <w:color w:val="000000" w:themeColor="text1"/>
          <w:vertAlign w:val="subscript"/>
        </w:rPr>
        <w:t>crop</w:t>
      </w:r>
      <w:proofErr w:type="spellEnd"/>
      <w:r w:rsidRPr="00DA354E">
        <w:rPr>
          <w:rFonts w:ascii="Times New Roman" w:hAnsi="Times New Roman" w:cs="Times New Roman"/>
          <w:i/>
          <w:color w:val="000000" w:themeColor="text1"/>
          <w:vertAlign w:val="subscript"/>
        </w:rPr>
        <w:t xml:space="preserve"> products</w:t>
      </w:r>
      <w:r w:rsidRPr="00DA354E">
        <w:rPr>
          <w:rFonts w:ascii="Times New Roman" w:hAnsi="Times New Roman" w:cs="Times New Roman"/>
          <w:color w:val="000000" w:themeColor="text1"/>
        </w:rPr>
        <w:t>); "Grazing" corresponds to animal-driven harvest from pastures (</w:t>
      </w:r>
      <w:proofErr w:type="spellStart"/>
      <w:r w:rsidRPr="00DA354E">
        <w:rPr>
          <w:rFonts w:ascii="Times New Roman" w:hAnsi="Times New Roman" w:cs="Times New Roman"/>
          <w:i/>
          <w:color w:val="000000" w:themeColor="text1"/>
        </w:rPr>
        <w:t>F</w:t>
      </w:r>
      <w:r w:rsidRPr="00DA354E">
        <w:rPr>
          <w:rFonts w:ascii="Times New Roman" w:hAnsi="Times New Roman" w:cs="Times New Roman"/>
          <w:i/>
          <w:color w:val="000000" w:themeColor="text1"/>
          <w:vertAlign w:val="subscript"/>
        </w:rPr>
        <w:t>grazing</w:t>
      </w:r>
      <w:proofErr w:type="spellEnd"/>
      <w:r w:rsidRPr="00DA354E">
        <w:rPr>
          <w:rFonts w:ascii="Times New Roman" w:hAnsi="Times New Roman" w:cs="Times New Roman"/>
          <w:color w:val="000000" w:themeColor="text1"/>
        </w:rPr>
        <w:t>). "non-CO</w:t>
      </w:r>
      <w:r w:rsidRPr="00DA354E">
        <w:rPr>
          <w:rFonts w:ascii="Times New Roman" w:hAnsi="Times New Roman" w:cs="Times New Roman"/>
          <w:color w:val="000000" w:themeColor="text1"/>
          <w:vertAlign w:val="subscript"/>
        </w:rPr>
        <w:t>2</w:t>
      </w:r>
      <w:r w:rsidRPr="00DA354E">
        <w:rPr>
          <w:rFonts w:ascii="Times New Roman" w:hAnsi="Times New Roman" w:cs="Times New Roman"/>
          <w:color w:val="000000" w:themeColor="text1"/>
        </w:rPr>
        <w:t>" covers fluxes of CH</w:t>
      </w:r>
      <w:r w:rsidRPr="00DA354E">
        <w:rPr>
          <w:rFonts w:ascii="Times New Roman" w:hAnsi="Times New Roman" w:cs="Times New Roman"/>
          <w:color w:val="000000" w:themeColor="text1"/>
          <w:vertAlign w:val="subscript"/>
        </w:rPr>
        <w:t>4</w:t>
      </w:r>
      <w:r w:rsidRPr="00DA354E">
        <w:rPr>
          <w:rFonts w:ascii="Times New Roman" w:hAnsi="Times New Roman" w:cs="Times New Roman"/>
          <w:color w:val="000000" w:themeColor="text1"/>
        </w:rPr>
        <w:t>, CO and VOCs (</w:t>
      </w:r>
      <w:proofErr w:type="spellStart"/>
      <w:r w:rsidRPr="00DA354E">
        <w:rPr>
          <w:rFonts w:ascii="Times New Roman" w:hAnsi="Times New Roman" w:cs="Times New Roman"/>
          <w:i/>
          <w:color w:val="000000" w:themeColor="text1"/>
        </w:rPr>
        <w:t>F</w:t>
      </w:r>
      <w:r w:rsidRPr="00DA354E">
        <w:rPr>
          <w:rFonts w:ascii="Times New Roman" w:hAnsi="Times New Roman" w:cs="Times New Roman"/>
          <w:i/>
          <w:color w:val="000000" w:themeColor="text1"/>
          <w:vertAlign w:val="subscript"/>
        </w:rPr>
        <w:t>reduced</w:t>
      </w:r>
      <w:proofErr w:type="spellEnd"/>
      <w:r w:rsidRPr="00DA354E">
        <w:rPr>
          <w:rFonts w:ascii="Times New Roman" w:hAnsi="Times New Roman" w:cs="Times New Roman"/>
          <w:color w:val="000000" w:themeColor="text1"/>
        </w:rPr>
        <w:t>). "Rivers" includes all lateral fluxes linked to continental water streams and lakes (</w:t>
      </w:r>
      <w:proofErr w:type="spellStart"/>
      <w:r w:rsidRPr="00DA354E">
        <w:rPr>
          <w:rFonts w:ascii="Times New Roman" w:hAnsi="Times New Roman" w:cs="Times New Roman"/>
          <w:i/>
          <w:color w:val="000000" w:themeColor="text1"/>
        </w:rPr>
        <w:t>F</w:t>
      </w:r>
      <w:r w:rsidRPr="00DA354E">
        <w:rPr>
          <w:rFonts w:ascii="Times New Roman" w:hAnsi="Times New Roman" w:cs="Times New Roman"/>
          <w:i/>
          <w:color w:val="000000" w:themeColor="text1"/>
          <w:vertAlign w:val="subscript"/>
        </w:rPr>
        <w:t>outgas</w:t>
      </w:r>
      <w:proofErr w:type="spellEnd"/>
      <w:r w:rsidRPr="00DA354E">
        <w:rPr>
          <w:rFonts w:ascii="Times New Roman" w:hAnsi="Times New Roman" w:cs="Times New Roman"/>
          <w:i/>
          <w:color w:val="000000" w:themeColor="text1"/>
          <w:vertAlign w:val="subscript"/>
        </w:rPr>
        <w:t xml:space="preserve"> rivers</w:t>
      </w:r>
      <w:r w:rsidRPr="00DA354E">
        <w:rPr>
          <w:rFonts w:ascii="Times New Roman" w:hAnsi="Times New Roman" w:cs="Times New Roman"/>
          <w:i/>
          <w:color w:val="000000" w:themeColor="text1"/>
        </w:rPr>
        <w:t xml:space="preserve"> + </w:t>
      </w:r>
      <w:proofErr w:type="spellStart"/>
      <w:r w:rsidRPr="00DA354E">
        <w:rPr>
          <w:rFonts w:ascii="Times New Roman" w:hAnsi="Times New Roman" w:cs="Times New Roman"/>
          <w:i/>
          <w:color w:val="000000" w:themeColor="text1"/>
        </w:rPr>
        <w:t>F</w:t>
      </w:r>
      <w:r w:rsidRPr="00DA354E">
        <w:rPr>
          <w:rFonts w:ascii="Times New Roman" w:hAnsi="Times New Roman" w:cs="Times New Roman"/>
          <w:i/>
          <w:color w:val="000000" w:themeColor="text1"/>
          <w:vertAlign w:val="subscript"/>
        </w:rPr>
        <w:t>outgas</w:t>
      </w:r>
      <w:proofErr w:type="spellEnd"/>
      <w:r w:rsidRPr="00DA354E">
        <w:rPr>
          <w:rFonts w:ascii="Times New Roman" w:hAnsi="Times New Roman" w:cs="Times New Roman"/>
          <w:i/>
          <w:color w:val="000000" w:themeColor="text1"/>
          <w:vertAlign w:val="subscript"/>
        </w:rPr>
        <w:t xml:space="preserve"> lakes</w:t>
      </w:r>
      <w:r w:rsidRPr="00DA354E">
        <w:rPr>
          <w:rFonts w:ascii="Times New Roman" w:hAnsi="Times New Roman" w:cs="Times New Roman"/>
          <w:i/>
          <w:color w:val="000000" w:themeColor="text1"/>
        </w:rPr>
        <w:t xml:space="preserve"> + </w:t>
      </w:r>
      <w:proofErr w:type="spellStart"/>
      <w:r w:rsidRPr="00DA354E">
        <w:rPr>
          <w:rFonts w:ascii="Times New Roman" w:hAnsi="Times New Roman" w:cs="Times New Roman"/>
          <w:i/>
          <w:color w:val="000000" w:themeColor="text1"/>
        </w:rPr>
        <w:t>F</w:t>
      </w:r>
      <w:r w:rsidRPr="00DA354E">
        <w:rPr>
          <w:rFonts w:ascii="Times New Roman" w:hAnsi="Times New Roman" w:cs="Times New Roman"/>
          <w:i/>
          <w:color w:val="000000" w:themeColor="text1"/>
          <w:vertAlign w:val="subscript"/>
        </w:rPr>
        <w:t>outgas</w:t>
      </w:r>
      <w:proofErr w:type="spellEnd"/>
      <w:r w:rsidRPr="00DA354E">
        <w:rPr>
          <w:rFonts w:ascii="Times New Roman" w:hAnsi="Times New Roman" w:cs="Times New Roman"/>
          <w:i/>
          <w:color w:val="000000" w:themeColor="text1"/>
          <w:vertAlign w:val="subscript"/>
        </w:rPr>
        <w:t xml:space="preserve"> estuaries</w:t>
      </w:r>
      <w:r w:rsidRPr="00DA354E">
        <w:rPr>
          <w:rFonts w:ascii="Times New Roman" w:hAnsi="Times New Roman" w:cs="Times New Roman"/>
          <w:color w:val="000000" w:themeColor="text1"/>
        </w:rPr>
        <w:t>).</w:t>
      </w:r>
    </w:p>
    <w:p w:rsidR="00683641" w:rsidRPr="00DA354E" w:rsidRDefault="00683641" w:rsidP="00683641">
      <w:pPr>
        <w:rPr>
          <w:rFonts w:ascii="Times New Roman" w:hAnsi="Times New Roman" w:cs="Times New Roman"/>
          <w:color w:val="000000" w:themeColor="text1"/>
          <w:lang w:eastAsia="zh-CN"/>
        </w:rPr>
      </w:pPr>
    </w:p>
    <w:tbl>
      <w:tblPr>
        <w:tblW w:w="9023" w:type="dxa"/>
        <w:tblBorders>
          <w:top w:val="single" w:sz="8" w:space="0" w:color="000000"/>
          <w:bottom w:val="single" w:sz="8" w:space="0" w:color="000000"/>
        </w:tblBorders>
        <w:tblLayout w:type="fixed"/>
        <w:tblLook w:val="0400" w:firstRow="0" w:lastRow="0" w:firstColumn="0" w:lastColumn="0" w:noHBand="0" w:noVBand="1"/>
      </w:tblPr>
      <w:tblGrid>
        <w:gridCol w:w="1800"/>
        <w:gridCol w:w="773"/>
        <w:gridCol w:w="1707"/>
        <w:gridCol w:w="1148"/>
        <w:gridCol w:w="1126"/>
        <w:gridCol w:w="1543"/>
        <w:gridCol w:w="926"/>
      </w:tblGrid>
      <w:tr w:rsidR="00683641" w:rsidRPr="00DA354E" w:rsidTr="00EB157A">
        <w:trPr>
          <w:trHeight w:val="300"/>
        </w:trPr>
        <w:tc>
          <w:tcPr>
            <w:tcW w:w="1800" w:type="dxa"/>
            <w:tcBorders>
              <w:top w:val="single" w:sz="8" w:space="0" w:color="000000"/>
              <w:left w:val="nil"/>
              <w:bottom w:val="single" w:sz="8" w:space="0" w:color="000000"/>
              <w:right w:val="nil"/>
            </w:tcBorders>
            <w:shd w:val="clear" w:color="auto" w:fill="auto"/>
          </w:tcPr>
          <w:p w:rsidR="00683641" w:rsidRPr="00DA354E" w:rsidRDefault="00683641" w:rsidP="00EB157A">
            <w:pPr>
              <w:rPr>
                <w:rFonts w:ascii="Times New Roman" w:hAnsi="Times New Roman" w:cs="Times New Roman"/>
                <w:b/>
                <w:color w:val="000000" w:themeColor="text1"/>
                <w:sz w:val="22"/>
                <w:szCs w:val="22"/>
              </w:rPr>
            </w:pPr>
          </w:p>
        </w:tc>
        <w:tc>
          <w:tcPr>
            <w:tcW w:w="7223" w:type="dxa"/>
            <w:gridSpan w:val="6"/>
            <w:tcBorders>
              <w:top w:val="single" w:sz="8" w:space="0" w:color="000000"/>
              <w:left w:val="nil"/>
              <w:bottom w:val="single" w:sz="8" w:space="0" w:color="000000"/>
              <w:right w:val="nil"/>
            </w:tcBorders>
            <w:shd w:val="clear" w:color="auto" w:fill="auto"/>
          </w:tcPr>
          <w:p w:rsidR="00683641" w:rsidRPr="00DA354E" w:rsidRDefault="00683641" w:rsidP="00EB157A">
            <w:pPr>
              <w:jc w:val="center"/>
              <w:rPr>
                <w:rFonts w:ascii="Times New Roman" w:hAnsi="Times New Roman" w:cs="Times New Roman"/>
                <w:b/>
                <w:color w:val="000000" w:themeColor="text1"/>
                <w:sz w:val="22"/>
                <w:szCs w:val="22"/>
              </w:rPr>
            </w:pPr>
            <w:r w:rsidRPr="00DA354E">
              <w:rPr>
                <w:rFonts w:ascii="Times New Roman" w:hAnsi="Times New Roman" w:cs="Times New Roman"/>
                <w:b/>
                <w:color w:val="000000" w:themeColor="text1"/>
                <w:sz w:val="22"/>
                <w:szCs w:val="22"/>
              </w:rPr>
              <w:t>Lateral fluxes included in CMIP5 simulations</w:t>
            </w:r>
          </w:p>
        </w:tc>
      </w:tr>
      <w:tr w:rsidR="00683641" w:rsidRPr="00DA354E" w:rsidTr="00EB157A">
        <w:trPr>
          <w:trHeight w:val="300"/>
        </w:trPr>
        <w:tc>
          <w:tcPr>
            <w:tcW w:w="1800" w:type="dxa"/>
            <w:tcBorders>
              <w:left w:val="nil"/>
              <w:right w:val="nil"/>
            </w:tcBorders>
            <w:shd w:val="clear" w:color="auto" w:fill="auto"/>
          </w:tcPr>
          <w:p w:rsidR="00683641" w:rsidRPr="00DA354E" w:rsidRDefault="00683641" w:rsidP="00EB157A">
            <w:pPr>
              <w:rPr>
                <w:rFonts w:ascii="Times New Roman" w:hAnsi="Times New Roman" w:cs="Times New Roman"/>
                <w:b/>
                <w:color w:val="000000" w:themeColor="text1"/>
                <w:sz w:val="22"/>
                <w:szCs w:val="22"/>
              </w:rPr>
            </w:pPr>
            <w:r w:rsidRPr="00DA354E">
              <w:rPr>
                <w:rFonts w:ascii="Times New Roman" w:hAnsi="Times New Roman" w:cs="Times New Roman"/>
                <w:b/>
                <w:color w:val="000000" w:themeColor="text1"/>
                <w:sz w:val="22"/>
                <w:szCs w:val="22"/>
              </w:rPr>
              <w:t>Models</w:t>
            </w:r>
          </w:p>
        </w:tc>
        <w:tc>
          <w:tcPr>
            <w:tcW w:w="773" w:type="dxa"/>
            <w:tcBorders>
              <w:left w:val="nil"/>
              <w:right w:val="nil"/>
            </w:tcBorders>
            <w:shd w:val="clear" w:color="auto" w:fill="auto"/>
          </w:tcPr>
          <w:p w:rsidR="00683641" w:rsidRPr="00DA354E" w:rsidRDefault="00683641" w:rsidP="00EB157A">
            <w:pPr>
              <w:jc w:val="center"/>
              <w:rPr>
                <w:rFonts w:ascii="Times New Roman" w:hAnsi="Times New Roman" w:cs="Times New Roman"/>
                <w:b/>
                <w:color w:val="000000" w:themeColor="text1"/>
                <w:sz w:val="22"/>
                <w:szCs w:val="22"/>
              </w:rPr>
            </w:pPr>
            <w:r w:rsidRPr="00DA354E">
              <w:rPr>
                <w:rFonts w:ascii="Times New Roman" w:hAnsi="Times New Roman" w:cs="Times New Roman"/>
                <w:b/>
                <w:color w:val="000000" w:themeColor="text1"/>
                <w:sz w:val="22"/>
                <w:szCs w:val="22"/>
              </w:rPr>
              <w:t>Fires</w:t>
            </w:r>
          </w:p>
        </w:tc>
        <w:tc>
          <w:tcPr>
            <w:tcW w:w="1707" w:type="dxa"/>
            <w:tcBorders>
              <w:left w:val="nil"/>
              <w:right w:val="nil"/>
            </w:tcBorders>
            <w:shd w:val="clear" w:color="auto" w:fill="auto"/>
          </w:tcPr>
          <w:p w:rsidR="00683641" w:rsidRPr="00DA354E" w:rsidRDefault="00683641" w:rsidP="00EB157A">
            <w:pPr>
              <w:jc w:val="center"/>
              <w:rPr>
                <w:rFonts w:ascii="Times New Roman" w:hAnsi="Times New Roman" w:cs="Times New Roman"/>
                <w:b/>
                <w:color w:val="000000" w:themeColor="text1"/>
                <w:sz w:val="22"/>
                <w:szCs w:val="22"/>
              </w:rPr>
            </w:pPr>
            <w:r w:rsidRPr="00DA354E">
              <w:rPr>
                <w:rFonts w:ascii="Times New Roman" w:hAnsi="Times New Roman" w:cs="Times New Roman"/>
                <w:b/>
                <w:color w:val="000000" w:themeColor="text1"/>
                <w:sz w:val="22"/>
                <w:szCs w:val="22"/>
              </w:rPr>
              <w:t>LUC &amp; wood products</w:t>
            </w:r>
          </w:p>
        </w:tc>
        <w:tc>
          <w:tcPr>
            <w:tcW w:w="1148" w:type="dxa"/>
            <w:tcBorders>
              <w:left w:val="nil"/>
              <w:right w:val="nil"/>
            </w:tcBorders>
            <w:shd w:val="clear" w:color="auto" w:fill="auto"/>
          </w:tcPr>
          <w:p w:rsidR="00683641" w:rsidRPr="00DA354E" w:rsidRDefault="00683641" w:rsidP="00EB157A">
            <w:pPr>
              <w:jc w:val="center"/>
              <w:rPr>
                <w:rFonts w:ascii="Times New Roman" w:hAnsi="Times New Roman" w:cs="Times New Roman"/>
                <w:b/>
                <w:color w:val="000000" w:themeColor="text1"/>
                <w:sz w:val="22"/>
                <w:szCs w:val="22"/>
              </w:rPr>
            </w:pPr>
            <w:r w:rsidRPr="00DA354E">
              <w:rPr>
                <w:rFonts w:ascii="Times New Roman" w:hAnsi="Times New Roman" w:cs="Times New Roman"/>
                <w:b/>
                <w:color w:val="000000" w:themeColor="text1"/>
                <w:sz w:val="22"/>
                <w:szCs w:val="22"/>
              </w:rPr>
              <w:t>Harvest</w:t>
            </w:r>
          </w:p>
          <w:p w:rsidR="00683641" w:rsidRPr="00DA354E" w:rsidRDefault="00683641" w:rsidP="00EB157A">
            <w:pPr>
              <w:jc w:val="center"/>
              <w:rPr>
                <w:rFonts w:ascii="Times New Roman" w:hAnsi="Times New Roman" w:cs="Times New Roman"/>
                <w:b/>
                <w:color w:val="000000" w:themeColor="text1"/>
                <w:sz w:val="22"/>
                <w:szCs w:val="22"/>
              </w:rPr>
            </w:pPr>
            <w:r w:rsidRPr="00DA354E">
              <w:rPr>
                <w:rFonts w:ascii="Times New Roman" w:hAnsi="Times New Roman" w:cs="Times New Roman"/>
                <w:b/>
                <w:color w:val="000000" w:themeColor="text1"/>
                <w:sz w:val="22"/>
                <w:szCs w:val="22"/>
              </w:rPr>
              <w:t>of crop</w:t>
            </w:r>
          </w:p>
        </w:tc>
        <w:tc>
          <w:tcPr>
            <w:tcW w:w="1126" w:type="dxa"/>
            <w:tcBorders>
              <w:left w:val="nil"/>
              <w:right w:val="nil"/>
            </w:tcBorders>
            <w:shd w:val="clear" w:color="auto" w:fill="auto"/>
          </w:tcPr>
          <w:p w:rsidR="00683641" w:rsidRPr="00DA354E" w:rsidRDefault="00683641" w:rsidP="00EB157A">
            <w:pPr>
              <w:jc w:val="center"/>
              <w:rPr>
                <w:rFonts w:ascii="Times New Roman" w:hAnsi="Times New Roman" w:cs="Times New Roman"/>
                <w:b/>
                <w:color w:val="000000" w:themeColor="text1"/>
                <w:sz w:val="22"/>
                <w:szCs w:val="22"/>
              </w:rPr>
            </w:pPr>
            <w:r w:rsidRPr="00DA354E">
              <w:rPr>
                <w:rFonts w:ascii="Times New Roman" w:hAnsi="Times New Roman" w:cs="Times New Roman"/>
                <w:b/>
                <w:color w:val="000000" w:themeColor="text1"/>
                <w:sz w:val="22"/>
                <w:szCs w:val="22"/>
              </w:rPr>
              <w:t>Grazing</w:t>
            </w:r>
          </w:p>
        </w:tc>
        <w:tc>
          <w:tcPr>
            <w:tcW w:w="1543" w:type="dxa"/>
            <w:tcBorders>
              <w:left w:val="nil"/>
              <w:right w:val="nil"/>
            </w:tcBorders>
            <w:shd w:val="clear" w:color="auto" w:fill="auto"/>
          </w:tcPr>
          <w:p w:rsidR="00683641" w:rsidRPr="00DA354E" w:rsidRDefault="00683641" w:rsidP="00EB157A">
            <w:pPr>
              <w:jc w:val="center"/>
              <w:rPr>
                <w:rFonts w:ascii="Times New Roman" w:hAnsi="Times New Roman" w:cs="Times New Roman"/>
                <w:b/>
                <w:color w:val="000000" w:themeColor="text1"/>
                <w:sz w:val="22"/>
                <w:szCs w:val="22"/>
                <w:lang w:val="it-IT"/>
              </w:rPr>
            </w:pPr>
            <w:r w:rsidRPr="00DA354E">
              <w:rPr>
                <w:rFonts w:ascii="Times New Roman" w:hAnsi="Times New Roman" w:cs="Times New Roman"/>
                <w:b/>
                <w:color w:val="000000" w:themeColor="text1"/>
                <w:sz w:val="22"/>
                <w:szCs w:val="22"/>
                <w:lang w:val="it-IT"/>
              </w:rPr>
              <w:t>Non-CO</w:t>
            </w:r>
            <w:r w:rsidRPr="00DA354E">
              <w:rPr>
                <w:rFonts w:ascii="Times New Roman" w:hAnsi="Times New Roman" w:cs="Times New Roman"/>
                <w:b/>
                <w:color w:val="000000" w:themeColor="text1"/>
                <w:sz w:val="22"/>
                <w:szCs w:val="22"/>
                <w:vertAlign w:val="subscript"/>
                <w:lang w:val="it-IT"/>
              </w:rPr>
              <w:t>2</w:t>
            </w:r>
            <w:r w:rsidRPr="00DA354E">
              <w:rPr>
                <w:rFonts w:ascii="Times New Roman" w:hAnsi="Times New Roman" w:cs="Times New Roman"/>
                <w:b/>
                <w:color w:val="000000" w:themeColor="text1"/>
                <w:sz w:val="22"/>
                <w:szCs w:val="22"/>
                <w:lang w:val="it-IT"/>
              </w:rPr>
              <w:t xml:space="preserve"> </w:t>
            </w:r>
          </w:p>
          <w:p w:rsidR="00683641" w:rsidRPr="00DA354E" w:rsidRDefault="00683641" w:rsidP="00EB157A">
            <w:pPr>
              <w:jc w:val="center"/>
              <w:rPr>
                <w:rFonts w:ascii="Times New Roman" w:hAnsi="Times New Roman" w:cs="Times New Roman"/>
                <w:b/>
                <w:color w:val="000000" w:themeColor="text1"/>
                <w:sz w:val="22"/>
                <w:szCs w:val="22"/>
                <w:lang w:val="it-IT"/>
              </w:rPr>
            </w:pPr>
            <w:proofErr w:type="spellStart"/>
            <w:r w:rsidRPr="00DA354E">
              <w:rPr>
                <w:rFonts w:ascii="Times New Roman" w:hAnsi="Times New Roman" w:cs="Times New Roman"/>
                <w:b/>
                <w:color w:val="000000" w:themeColor="text1"/>
                <w:sz w:val="22"/>
                <w:szCs w:val="22"/>
                <w:lang w:val="it-IT"/>
              </w:rPr>
              <w:t>Biogenic</w:t>
            </w:r>
            <w:proofErr w:type="spellEnd"/>
            <w:r w:rsidRPr="00DA354E">
              <w:rPr>
                <w:rFonts w:ascii="Times New Roman" w:hAnsi="Times New Roman" w:cs="Times New Roman"/>
                <w:b/>
                <w:color w:val="000000" w:themeColor="text1"/>
                <w:sz w:val="22"/>
                <w:szCs w:val="22"/>
                <w:lang w:val="it-IT"/>
              </w:rPr>
              <w:t xml:space="preserve"> C-</w:t>
            </w:r>
            <w:proofErr w:type="spellStart"/>
            <w:r w:rsidRPr="00DA354E">
              <w:rPr>
                <w:rFonts w:ascii="Times New Roman" w:hAnsi="Times New Roman" w:cs="Times New Roman"/>
                <w:b/>
                <w:color w:val="000000" w:themeColor="text1"/>
                <w:sz w:val="22"/>
                <w:szCs w:val="22"/>
                <w:lang w:val="it-IT"/>
              </w:rPr>
              <w:t>fluxes</w:t>
            </w:r>
            <w:proofErr w:type="spellEnd"/>
          </w:p>
        </w:tc>
        <w:tc>
          <w:tcPr>
            <w:tcW w:w="926" w:type="dxa"/>
            <w:tcBorders>
              <w:left w:val="nil"/>
              <w:right w:val="nil"/>
            </w:tcBorders>
            <w:shd w:val="clear" w:color="auto" w:fill="auto"/>
          </w:tcPr>
          <w:p w:rsidR="00683641" w:rsidRPr="00DA354E" w:rsidRDefault="00683641" w:rsidP="00EB157A">
            <w:pPr>
              <w:jc w:val="center"/>
              <w:rPr>
                <w:rFonts w:ascii="Times New Roman" w:hAnsi="Times New Roman" w:cs="Times New Roman"/>
                <w:b/>
                <w:color w:val="000000" w:themeColor="text1"/>
                <w:sz w:val="22"/>
                <w:szCs w:val="22"/>
              </w:rPr>
            </w:pPr>
            <w:r w:rsidRPr="00DA354E">
              <w:rPr>
                <w:rFonts w:ascii="Times New Roman" w:hAnsi="Times New Roman" w:cs="Times New Roman"/>
                <w:b/>
                <w:color w:val="000000" w:themeColor="text1"/>
                <w:sz w:val="22"/>
                <w:szCs w:val="22"/>
              </w:rPr>
              <w:t>Rivers</w:t>
            </w:r>
          </w:p>
        </w:tc>
      </w:tr>
      <w:tr w:rsidR="00683641" w:rsidRPr="00DA354E" w:rsidTr="00EB157A">
        <w:trPr>
          <w:trHeight w:val="300"/>
        </w:trPr>
        <w:tc>
          <w:tcPr>
            <w:tcW w:w="1800" w:type="dxa"/>
            <w:shd w:val="clear" w:color="auto" w:fill="auto"/>
          </w:tcPr>
          <w:p w:rsidR="00683641" w:rsidRPr="00DA354E" w:rsidRDefault="00683641" w:rsidP="00EB157A">
            <w:pPr>
              <w:rPr>
                <w:rFonts w:ascii="Times New Roman" w:hAnsi="Times New Roman" w:cs="Times New Roman"/>
                <w:b/>
                <w:color w:val="000000" w:themeColor="text1"/>
                <w:sz w:val="22"/>
                <w:szCs w:val="22"/>
              </w:rPr>
            </w:pPr>
            <w:r w:rsidRPr="00DA354E">
              <w:rPr>
                <w:rFonts w:ascii="Times New Roman" w:hAnsi="Times New Roman" w:cs="Times New Roman"/>
                <w:b/>
                <w:color w:val="000000" w:themeColor="text1"/>
                <w:sz w:val="22"/>
                <w:szCs w:val="22"/>
              </w:rPr>
              <w:t>BCC-CSM-1.1</w:t>
            </w:r>
          </w:p>
        </w:tc>
        <w:tc>
          <w:tcPr>
            <w:tcW w:w="773"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707"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148"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126"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543"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926"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r>
      <w:tr w:rsidR="00683641" w:rsidRPr="00DA354E" w:rsidTr="00EB157A">
        <w:trPr>
          <w:trHeight w:val="300"/>
        </w:trPr>
        <w:tc>
          <w:tcPr>
            <w:tcW w:w="1800" w:type="dxa"/>
            <w:tcBorders>
              <w:left w:val="nil"/>
              <w:right w:val="nil"/>
            </w:tcBorders>
            <w:shd w:val="clear" w:color="auto" w:fill="auto"/>
          </w:tcPr>
          <w:p w:rsidR="00683641" w:rsidRPr="00DA354E" w:rsidRDefault="00683641" w:rsidP="00EB157A">
            <w:pPr>
              <w:rPr>
                <w:rFonts w:ascii="Times New Roman" w:hAnsi="Times New Roman" w:cs="Times New Roman"/>
                <w:b/>
                <w:color w:val="000000" w:themeColor="text1"/>
                <w:sz w:val="22"/>
                <w:szCs w:val="22"/>
              </w:rPr>
            </w:pPr>
            <w:r w:rsidRPr="00DA354E">
              <w:rPr>
                <w:rFonts w:ascii="Times New Roman" w:hAnsi="Times New Roman" w:cs="Times New Roman"/>
                <w:b/>
                <w:color w:val="000000" w:themeColor="text1"/>
                <w:sz w:val="22"/>
                <w:szCs w:val="22"/>
              </w:rPr>
              <w:t>CanESM2</w:t>
            </w:r>
          </w:p>
        </w:tc>
        <w:tc>
          <w:tcPr>
            <w:tcW w:w="773"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707"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148"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126"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543"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926"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r>
      <w:tr w:rsidR="00683641" w:rsidRPr="00DA354E" w:rsidTr="00EB157A">
        <w:trPr>
          <w:trHeight w:val="300"/>
        </w:trPr>
        <w:tc>
          <w:tcPr>
            <w:tcW w:w="1800" w:type="dxa"/>
            <w:shd w:val="clear" w:color="auto" w:fill="auto"/>
          </w:tcPr>
          <w:p w:rsidR="00683641" w:rsidRPr="00DA354E" w:rsidRDefault="00683641" w:rsidP="00EB157A">
            <w:pPr>
              <w:rPr>
                <w:rFonts w:ascii="Times New Roman" w:hAnsi="Times New Roman" w:cs="Times New Roman"/>
                <w:b/>
                <w:color w:val="000000" w:themeColor="text1"/>
                <w:sz w:val="22"/>
                <w:szCs w:val="22"/>
              </w:rPr>
            </w:pPr>
            <w:r w:rsidRPr="00DA354E">
              <w:rPr>
                <w:rFonts w:ascii="Times New Roman" w:hAnsi="Times New Roman" w:cs="Times New Roman"/>
                <w:b/>
                <w:color w:val="000000" w:themeColor="text1"/>
                <w:sz w:val="22"/>
                <w:szCs w:val="22"/>
              </w:rPr>
              <w:t>CESM1-C</w:t>
            </w:r>
          </w:p>
        </w:tc>
        <w:tc>
          <w:tcPr>
            <w:tcW w:w="773"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True</w:t>
            </w:r>
          </w:p>
        </w:tc>
        <w:tc>
          <w:tcPr>
            <w:tcW w:w="1707"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True</w:t>
            </w:r>
          </w:p>
        </w:tc>
        <w:tc>
          <w:tcPr>
            <w:tcW w:w="1148"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126"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543"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926"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r>
      <w:tr w:rsidR="00683641" w:rsidRPr="00DA354E" w:rsidTr="00EB157A">
        <w:trPr>
          <w:trHeight w:val="300"/>
        </w:trPr>
        <w:tc>
          <w:tcPr>
            <w:tcW w:w="1800" w:type="dxa"/>
            <w:tcBorders>
              <w:left w:val="nil"/>
              <w:right w:val="nil"/>
            </w:tcBorders>
            <w:shd w:val="clear" w:color="auto" w:fill="auto"/>
          </w:tcPr>
          <w:p w:rsidR="00683641" w:rsidRPr="00DA354E" w:rsidRDefault="00683641" w:rsidP="00EB157A">
            <w:pPr>
              <w:rPr>
                <w:rFonts w:ascii="Times New Roman" w:hAnsi="Times New Roman" w:cs="Times New Roman"/>
                <w:b/>
                <w:color w:val="000000" w:themeColor="text1"/>
                <w:sz w:val="22"/>
                <w:szCs w:val="22"/>
              </w:rPr>
            </w:pPr>
            <w:r w:rsidRPr="00DA354E">
              <w:rPr>
                <w:rFonts w:ascii="Times New Roman" w:hAnsi="Times New Roman" w:cs="Times New Roman"/>
                <w:b/>
                <w:color w:val="000000" w:themeColor="text1"/>
                <w:sz w:val="22"/>
                <w:szCs w:val="22"/>
              </w:rPr>
              <w:t>HadGEM2-ES</w:t>
            </w:r>
          </w:p>
        </w:tc>
        <w:tc>
          <w:tcPr>
            <w:tcW w:w="773"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707"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True</w:t>
            </w:r>
          </w:p>
        </w:tc>
        <w:tc>
          <w:tcPr>
            <w:tcW w:w="1148"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126"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543"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926"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r>
      <w:tr w:rsidR="00683641" w:rsidRPr="00DA354E" w:rsidTr="00EB157A">
        <w:trPr>
          <w:trHeight w:val="300"/>
        </w:trPr>
        <w:tc>
          <w:tcPr>
            <w:tcW w:w="1800" w:type="dxa"/>
            <w:shd w:val="clear" w:color="auto" w:fill="auto"/>
          </w:tcPr>
          <w:p w:rsidR="00683641" w:rsidRPr="00DA354E" w:rsidRDefault="00683641" w:rsidP="00EB157A">
            <w:pPr>
              <w:rPr>
                <w:rFonts w:ascii="Times New Roman" w:hAnsi="Times New Roman" w:cs="Times New Roman"/>
                <w:b/>
                <w:color w:val="000000" w:themeColor="text1"/>
                <w:sz w:val="22"/>
                <w:szCs w:val="22"/>
              </w:rPr>
            </w:pPr>
            <w:r w:rsidRPr="00DA354E">
              <w:rPr>
                <w:rFonts w:ascii="Times New Roman" w:hAnsi="Times New Roman" w:cs="Times New Roman"/>
                <w:b/>
                <w:color w:val="000000" w:themeColor="text1"/>
                <w:sz w:val="22"/>
                <w:szCs w:val="22"/>
              </w:rPr>
              <w:t>IPSL-CM5A-LR</w:t>
            </w:r>
          </w:p>
        </w:tc>
        <w:tc>
          <w:tcPr>
            <w:tcW w:w="773"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True</w:t>
            </w:r>
          </w:p>
        </w:tc>
        <w:tc>
          <w:tcPr>
            <w:tcW w:w="1707"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True</w:t>
            </w:r>
          </w:p>
        </w:tc>
        <w:tc>
          <w:tcPr>
            <w:tcW w:w="1148"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True</w:t>
            </w:r>
          </w:p>
        </w:tc>
        <w:tc>
          <w:tcPr>
            <w:tcW w:w="1126"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543"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926"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r>
      <w:tr w:rsidR="00683641" w:rsidRPr="00DA354E" w:rsidTr="00EB157A">
        <w:trPr>
          <w:trHeight w:val="300"/>
        </w:trPr>
        <w:tc>
          <w:tcPr>
            <w:tcW w:w="1800" w:type="dxa"/>
            <w:tcBorders>
              <w:left w:val="nil"/>
              <w:right w:val="nil"/>
            </w:tcBorders>
            <w:shd w:val="clear" w:color="auto" w:fill="auto"/>
          </w:tcPr>
          <w:p w:rsidR="00683641" w:rsidRPr="00DA354E" w:rsidRDefault="00683641" w:rsidP="00EB157A">
            <w:pPr>
              <w:rPr>
                <w:rFonts w:ascii="Times New Roman" w:hAnsi="Times New Roman" w:cs="Times New Roman"/>
                <w:b/>
                <w:color w:val="000000" w:themeColor="text1"/>
                <w:sz w:val="22"/>
                <w:szCs w:val="22"/>
              </w:rPr>
            </w:pPr>
            <w:r w:rsidRPr="00DA354E">
              <w:rPr>
                <w:rFonts w:ascii="Times New Roman" w:hAnsi="Times New Roman" w:cs="Times New Roman"/>
                <w:b/>
                <w:color w:val="000000" w:themeColor="text1"/>
                <w:sz w:val="22"/>
                <w:szCs w:val="22"/>
              </w:rPr>
              <w:t>MPI-ESM-LR</w:t>
            </w:r>
          </w:p>
        </w:tc>
        <w:tc>
          <w:tcPr>
            <w:tcW w:w="773"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True</w:t>
            </w:r>
          </w:p>
        </w:tc>
        <w:tc>
          <w:tcPr>
            <w:tcW w:w="1707"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True</w:t>
            </w:r>
          </w:p>
        </w:tc>
        <w:tc>
          <w:tcPr>
            <w:tcW w:w="1148"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126"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543"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926" w:type="dxa"/>
            <w:tcBorders>
              <w:left w:val="nil"/>
              <w:right w:val="nil"/>
            </w:tcBorders>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r>
      <w:tr w:rsidR="00683641" w:rsidRPr="00DA354E" w:rsidTr="00EB157A">
        <w:trPr>
          <w:trHeight w:val="300"/>
        </w:trPr>
        <w:tc>
          <w:tcPr>
            <w:tcW w:w="1800" w:type="dxa"/>
            <w:shd w:val="clear" w:color="auto" w:fill="auto"/>
          </w:tcPr>
          <w:p w:rsidR="00683641" w:rsidRPr="00DA354E" w:rsidRDefault="00683641" w:rsidP="00EB157A">
            <w:pPr>
              <w:rPr>
                <w:rFonts w:ascii="Times New Roman" w:hAnsi="Times New Roman" w:cs="Times New Roman"/>
                <w:b/>
                <w:color w:val="000000" w:themeColor="text1"/>
                <w:sz w:val="22"/>
                <w:szCs w:val="22"/>
              </w:rPr>
            </w:pPr>
            <w:r w:rsidRPr="00DA354E">
              <w:rPr>
                <w:rFonts w:ascii="Times New Roman" w:hAnsi="Times New Roman" w:cs="Times New Roman"/>
                <w:b/>
                <w:color w:val="000000" w:themeColor="text1"/>
                <w:sz w:val="22"/>
                <w:szCs w:val="22"/>
              </w:rPr>
              <w:t>NorESM1-ME</w:t>
            </w:r>
          </w:p>
        </w:tc>
        <w:tc>
          <w:tcPr>
            <w:tcW w:w="773"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True</w:t>
            </w:r>
          </w:p>
        </w:tc>
        <w:tc>
          <w:tcPr>
            <w:tcW w:w="1707"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True</w:t>
            </w:r>
          </w:p>
        </w:tc>
        <w:tc>
          <w:tcPr>
            <w:tcW w:w="1148"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True</w:t>
            </w:r>
          </w:p>
        </w:tc>
        <w:tc>
          <w:tcPr>
            <w:tcW w:w="1126"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1543"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c>
          <w:tcPr>
            <w:tcW w:w="926" w:type="dxa"/>
            <w:shd w:val="clear" w:color="auto" w:fill="auto"/>
          </w:tcPr>
          <w:p w:rsidR="00683641" w:rsidRPr="00DA354E" w:rsidRDefault="00683641" w:rsidP="00EB157A">
            <w:pPr>
              <w:jc w:val="center"/>
              <w:rPr>
                <w:rFonts w:ascii="Times New Roman" w:hAnsi="Times New Roman" w:cs="Times New Roman"/>
                <w:color w:val="000000" w:themeColor="text1"/>
                <w:sz w:val="22"/>
                <w:szCs w:val="22"/>
              </w:rPr>
            </w:pPr>
            <w:r w:rsidRPr="00DA354E">
              <w:rPr>
                <w:rFonts w:ascii="Times New Roman" w:hAnsi="Times New Roman" w:cs="Times New Roman"/>
                <w:color w:val="000000" w:themeColor="text1"/>
                <w:sz w:val="22"/>
                <w:szCs w:val="22"/>
              </w:rPr>
              <w:t>False</w:t>
            </w:r>
          </w:p>
        </w:tc>
      </w:tr>
    </w:tbl>
    <w:p w:rsidR="00683641" w:rsidRPr="00DA354E" w:rsidRDefault="00683641" w:rsidP="00683641">
      <w:pPr>
        <w:rPr>
          <w:rFonts w:ascii="Times New Roman" w:hAnsi="Times New Roman" w:cs="Times New Roman"/>
          <w:color w:val="000000" w:themeColor="text1"/>
        </w:rPr>
      </w:pPr>
    </w:p>
    <w:p w:rsidR="00520155" w:rsidRDefault="00520155">
      <w:pPr>
        <w:rPr>
          <w:rFonts w:ascii="Times New Roman" w:hAnsi="Times New Roman" w:cs="Times New Roman"/>
          <w:color w:val="000000" w:themeColor="text1"/>
          <w:lang w:eastAsia="zh-CN"/>
        </w:rPr>
      </w:pPr>
      <w:r>
        <w:rPr>
          <w:rFonts w:ascii="Times New Roman" w:hAnsi="Times New Roman" w:cs="Times New Roman"/>
          <w:color w:val="000000" w:themeColor="text1"/>
          <w:lang w:eastAsia="zh-CN"/>
        </w:rPr>
        <w:br w:type="page"/>
      </w:r>
    </w:p>
    <w:p w:rsidR="00520155" w:rsidRPr="00DA354E" w:rsidRDefault="00520155" w:rsidP="00520155">
      <w:pPr>
        <w:jc w:val="both"/>
        <w:rPr>
          <w:rFonts w:ascii="Times New Roman" w:hAnsi="Times New Roman" w:cs="Times New Roman"/>
          <w:color w:val="000000" w:themeColor="text1"/>
        </w:rPr>
      </w:pPr>
      <w:r w:rsidRPr="00DA354E">
        <w:rPr>
          <w:rFonts w:ascii="Times New Roman" w:hAnsi="Times New Roman" w:cs="Times New Roman"/>
          <w:b/>
          <w:color w:val="000000" w:themeColor="text1"/>
        </w:rPr>
        <w:lastRenderedPageBreak/>
        <w:t xml:space="preserve">Supplementary Table </w:t>
      </w:r>
      <w:r>
        <w:rPr>
          <w:rFonts w:ascii="Times New Roman" w:hAnsi="Times New Roman" w:cs="Times New Roman"/>
          <w:b/>
          <w:color w:val="000000" w:themeColor="text1"/>
        </w:rPr>
        <w:t>6</w:t>
      </w:r>
      <w:r w:rsidRPr="00DA354E">
        <w:rPr>
          <w:rFonts w:ascii="Times New Roman" w:hAnsi="Times New Roman" w:cs="Times New Roman"/>
          <w:b/>
          <w:color w:val="000000" w:themeColor="text1"/>
        </w:rPr>
        <w:t>.</w:t>
      </w:r>
      <w:r w:rsidRPr="00DA354E">
        <w:rPr>
          <w:rFonts w:ascii="Times New Roman" w:hAnsi="Times New Roman" w:cs="Times New Roman"/>
          <w:color w:val="000000" w:themeColor="text1"/>
        </w:rPr>
        <w:t xml:space="preserve"> Summary of the proxies used to back-cast and forecast the change in the flux components of NEE not related to SHR, relative to the reference period of 2000-2100. Global values of these relative changes are also shown for some points in time.</w:t>
      </w:r>
    </w:p>
    <w:p w:rsidR="00520155" w:rsidRPr="00DA354E" w:rsidRDefault="00520155" w:rsidP="00520155">
      <w:pPr>
        <w:rPr>
          <w:rFonts w:ascii="Times New Roman" w:hAnsi="Times New Roman" w:cs="Times New Roman"/>
          <w:color w:val="000000" w:themeColor="text1"/>
        </w:rPr>
      </w:pPr>
    </w:p>
    <w:tbl>
      <w:tblPr>
        <w:tblW w:w="8931" w:type="dxa"/>
        <w:tblBorders>
          <w:top w:val="single" w:sz="8" w:space="0" w:color="000000"/>
          <w:bottom w:val="single" w:sz="8" w:space="0" w:color="000000"/>
        </w:tblBorders>
        <w:tblLayout w:type="fixed"/>
        <w:tblLook w:val="0400" w:firstRow="0" w:lastRow="0" w:firstColumn="0" w:lastColumn="0" w:noHBand="0" w:noVBand="1"/>
      </w:tblPr>
      <w:tblGrid>
        <w:gridCol w:w="2039"/>
        <w:gridCol w:w="898"/>
        <w:gridCol w:w="898"/>
        <w:gridCol w:w="1241"/>
        <w:gridCol w:w="922"/>
        <w:gridCol w:w="912"/>
        <w:gridCol w:w="1119"/>
        <w:gridCol w:w="902"/>
      </w:tblGrid>
      <w:tr w:rsidR="00520155" w:rsidRPr="00DA354E" w:rsidTr="00EB157A">
        <w:trPr>
          <w:trHeight w:val="300"/>
        </w:trPr>
        <w:tc>
          <w:tcPr>
            <w:tcW w:w="2039" w:type="dxa"/>
            <w:tcBorders>
              <w:top w:val="single" w:sz="8" w:space="0" w:color="000000"/>
              <w:left w:val="nil"/>
              <w:bottom w:val="single" w:sz="8" w:space="0" w:color="000000"/>
              <w:right w:val="nil"/>
            </w:tcBorders>
            <w:shd w:val="clear" w:color="auto" w:fill="auto"/>
          </w:tcPr>
          <w:p w:rsidR="00520155" w:rsidRPr="00DA354E" w:rsidRDefault="00520155" w:rsidP="00EB157A">
            <w:pPr>
              <w:rPr>
                <w:rFonts w:ascii="Times New Roman" w:hAnsi="Times New Roman" w:cs="Times New Roman"/>
                <w:b/>
                <w:color w:val="000000" w:themeColor="text1"/>
              </w:rPr>
            </w:pPr>
          </w:p>
        </w:tc>
        <w:tc>
          <w:tcPr>
            <w:tcW w:w="6892" w:type="dxa"/>
            <w:gridSpan w:val="7"/>
            <w:tcBorders>
              <w:top w:val="single" w:sz="8" w:space="0" w:color="000000"/>
              <w:left w:val="nil"/>
              <w:bottom w:val="single" w:sz="8" w:space="0" w:color="000000"/>
              <w:right w:val="nil"/>
            </w:tcBorders>
            <w:shd w:val="clear" w:color="auto" w:fill="auto"/>
          </w:tcPr>
          <w:p w:rsidR="00520155" w:rsidRPr="00DA354E" w:rsidRDefault="00520155" w:rsidP="00EB157A">
            <w:pPr>
              <w:jc w:val="center"/>
              <w:rPr>
                <w:rFonts w:ascii="Times New Roman" w:hAnsi="Times New Roman" w:cs="Times New Roman"/>
                <w:b/>
                <w:color w:val="000000" w:themeColor="text1"/>
              </w:rPr>
            </w:pPr>
            <w:r w:rsidRPr="00DA354E">
              <w:rPr>
                <w:rFonts w:ascii="Times New Roman" w:hAnsi="Times New Roman" w:cs="Times New Roman"/>
                <w:b/>
                <w:color w:val="000000" w:themeColor="text1"/>
              </w:rPr>
              <w:t>Proxy used to assess relative change</w:t>
            </w:r>
          </w:p>
        </w:tc>
      </w:tr>
      <w:tr w:rsidR="00520155" w:rsidRPr="00DA354E" w:rsidTr="00EB157A">
        <w:trPr>
          <w:trHeight w:val="300"/>
        </w:trPr>
        <w:tc>
          <w:tcPr>
            <w:tcW w:w="2039" w:type="dxa"/>
            <w:tcBorders>
              <w:left w:val="nil"/>
              <w:right w:val="nil"/>
            </w:tcBorders>
            <w:shd w:val="clear" w:color="auto" w:fill="auto"/>
          </w:tcPr>
          <w:p w:rsidR="00520155" w:rsidRPr="00DA354E" w:rsidRDefault="00520155" w:rsidP="00EB157A">
            <w:pPr>
              <w:rPr>
                <w:rFonts w:ascii="Times New Roman" w:hAnsi="Times New Roman" w:cs="Times New Roman"/>
                <w:b/>
                <w:color w:val="000000" w:themeColor="text1"/>
                <w:sz w:val="20"/>
                <w:szCs w:val="20"/>
              </w:rPr>
            </w:pPr>
          </w:p>
        </w:tc>
        <w:tc>
          <w:tcPr>
            <w:tcW w:w="898" w:type="dxa"/>
            <w:tcBorders>
              <w:left w:val="nil"/>
              <w:right w:val="nil"/>
            </w:tcBorders>
            <w:shd w:val="clear" w:color="auto" w:fill="auto"/>
            <w:vAlign w:val="center"/>
          </w:tcPr>
          <w:p w:rsidR="00520155" w:rsidRPr="00DA354E" w:rsidRDefault="00520155" w:rsidP="00EB157A">
            <w:pPr>
              <w:jc w:val="center"/>
              <w:rPr>
                <w:rFonts w:ascii="Times New Roman" w:hAnsi="Times New Roman" w:cs="Times New Roman"/>
                <w:b/>
                <w:color w:val="000000" w:themeColor="text1"/>
                <w:sz w:val="20"/>
                <w:szCs w:val="20"/>
              </w:rPr>
            </w:pPr>
            <w:r w:rsidRPr="00DA354E">
              <w:rPr>
                <w:rFonts w:ascii="Times New Roman" w:hAnsi="Times New Roman" w:cs="Times New Roman"/>
                <w:b/>
                <w:color w:val="000000" w:themeColor="text1"/>
                <w:sz w:val="20"/>
                <w:szCs w:val="20"/>
              </w:rPr>
              <w:t>NPP</w:t>
            </w:r>
          </w:p>
        </w:tc>
        <w:tc>
          <w:tcPr>
            <w:tcW w:w="898" w:type="dxa"/>
            <w:tcBorders>
              <w:left w:val="nil"/>
              <w:right w:val="nil"/>
            </w:tcBorders>
            <w:shd w:val="clear" w:color="auto" w:fill="auto"/>
            <w:vAlign w:val="center"/>
          </w:tcPr>
          <w:p w:rsidR="00520155" w:rsidRPr="00DA354E" w:rsidRDefault="00520155" w:rsidP="00EB157A">
            <w:pPr>
              <w:jc w:val="center"/>
              <w:rPr>
                <w:rFonts w:ascii="Times New Roman" w:hAnsi="Times New Roman" w:cs="Times New Roman"/>
                <w:b/>
                <w:color w:val="000000" w:themeColor="text1"/>
                <w:sz w:val="20"/>
                <w:szCs w:val="20"/>
              </w:rPr>
            </w:pPr>
            <w:r w:rsidRPr="00DA354E">
              <w:rPr>
                <w:rFonts w:ascii="Times New Roman" w:hAnsi="Times New Roman" w:cs="Times New Roman"/>
                <w:b/>
                <w:color w:val="000000" w:themeColor="text1"/>
                <w:sz w:val="20"/>
                <w:szCs w:val="20"/>
              </w:rPr>
              <w:t>Fires</w:t>
            </w:r>
          </w:p>
        </w:tc>
        <w:tc>
          <w:tcPr>
            <w:tcW w:w="1241" w:type="dxa"/>
            <w:tcBorders>
              <w:left w:val="nil"/>
              <w:right w:val="nil"/>
            </w:tcBorders>
            <w:shd w:val="clear" w:color="auto" w:fill="auto"/>
            <w:vAlign w:val="center"/>
          </w:tcPr>
          <w:p w:rsidR="00520155" w:rsidRPr="00DA354E" w:rsidRDefault="00520155" w:rsidP="00EB157A">
            <w:pPr>
              <w:jc w:val="center"/>
              <w:rPr>
                <w:rFonts w:ascii="Times New Roman" w:hAnsi="Times New Roman" w:cs="Times New Roman"/>
                <w:b/>
                <w:color w:val="000000" w:themeColor="text1"/>
                <w:sz w:val="20"/>
                <w:szCs w:val="20"/>
              </w:rPr>
            </w:pPr>
            <w:r w:rsidRPr="00DA354E">
              <w:rPr>
                <w:rFonts w:ascii="Times New Roman" w:hAnsi="Times New Roman" w:cs="Times New Roman"/>
                <w:b/>
                <w:color w:val="000000" w:themeColor="text1"/>
                <w:sz w:val="20"/>
                <w:szCs w:val="20"/>
              </w:rPr>
              <w:t>LUC &amp; HWP</w:t>
            </w:r>
          </w:p>
        </w:tc>
        <w:tc>
          <w:tcPr>
            <w:tcW w:w="922" w:type="dxa"/>
            <w:tcBorders>
              <w:left w:val="nil"/>
              <w:right w:val="nil"/>
            </w:tcBorders>
            <w:shd w:val="clear" w:color="auto" w:fill="auto"/>
            <w:vAlign w:val="center"/>
          </w:tcPr>
          <w:p w:rsidR="00520155" w:rsidRPr="00DA354E" w:rsidRDefault="00520155" w:rsidP="00EB157A">
            <w:pPr>
              <w:jc w:val="center"/>
              <w:rPr>
                <w:rFonts w:ascii="Times New Roman" w:hAnsi="Times New Roman" w:cs="Times New Roman"/>
                <w:b/>
                <w:color w:val="000000" w:themeColor="text1"/>
                <w:sz w:val="20"/>
                <w:szCs w:val="20"/>
              </w:rPr>
            </w:pPr>
            <w:r w:rsidRPr="00DA354E">
              <w:rPr>
                <w:rFonts w:ascii="Times New Roman" w:hAnsi="Times New Roman" w:cs="Times New Roman"/>
                <w:b/>
                <w:color w:val="000000" w:themeColor="text1"/>
                <w:sz w:val="20"/>
                <w:szCs w:val="20"/>
              </w:rPr>
              <w:t>Harvest</w:t>
            </w:r>
          </w:p>
        </w:tc>
        <w:tc>
          <w:tcPr>
            <w:tcW w:w="912" w:type="dxa"/>
            <w:tcBorders>
              <w:left w:val="nil"/>
              <w:right w:val="nil"/>
            </w:tcBorders>
            <w:shd w:val="clear" w:color="auto" w:fill="auto"/>
            <w:vAlign w:val="center"/>
          </w:tcPr>
          <w:p w:rsidR="00520155" w:rsidRPr="00DA354E" w:rsidRDefault="00520155" w:rsidP="00EB157A">
            <w:pPr>
              <w:jc w:val="center"/>
              <w:rPr>
                <w:rFonts w:ascii="Times New Roman" w:hAnsi="Times New Roman" w:cs="Times New Roman"/>
                <w:b/>
                <w:color w:val="000000" w:themeColor="text1"/>
                <w:sz w:val="20"/>
                <w:szCs w:val="20"/>
              </w:rPr>
            </w:pPr>
            <w:r w:rsidRPr="00DA354E">
              <w:rPr>
                <w:rFonts w:ascii="Times New Roman" w:hAnsi="Times New Roman" w:cs="Times New Roman"/>
                <w:b/>
                <w:color w:val="000000" w:themeColor="text1"/>
                <w:sz w:val="20"/>
                <w:szCs w:val="20"/>
              </w:rPr>
              <w:t>Grazing</w:t>
            </w:r>
          </w:p>
        </w:tc>
        <w:tc>
          <w:tcPr>
            <w:tcW w:w="1119" w:type="dxa"/>
            <w:tcBorders>
              <w:left w:val="nil"/>
              <w:right w:val="nil"/>
            </w:tcBorders>
            <w:shd w:val="clear" w:color="auto" w:fill="auto"/>
            <w:vAlign w:val="center"/>
          </w:tcPr>
          <w:p w:rsidR="00520155" w:rsidRPr="00DA354E" w:rsidRDefault="00520155" w:rsidP="00EB157A">
            <w:pPr>
              <w:jc w:val="center"/>
              <w:rPr>
                <w:rFonts w:ascii="Times New Roman" w:hAnsi="Times New Roman" w:cs="Times New Roman"/>
                <w:b/>
                <w:color w:val="000000" w:themeColor="text1"/>
                <w:sz w:val="20"/>
                <w:szCs w:val="20"/>
              </w:rPr>
            </w:pPr>
            <w:r w:rsidRPr="00DA354E">
              <w:rPr>
                <w:rFonts w:ascii="Times New Roman" w:hAnsi="Times New Roman" w:cs="Times New Roman"/>
                <w:b/>
                <w:color w:val="000000" w:themeColor="text1"/>
                <w:sz w:val="20"/>
                <w:szCs w:val="20"/>
              </w:rPr>
              <w:t>CH</w:t>
            </w:r>
            <w:r w:rsidRPr="00DA354E">
              <w:rPr>
                <w:rFonts w:ascii="Times New Roman" w:hAnsi="Times New Roman" w:cs="Times New Roman"/>
                <w:b/>
                <w:color w:val="000000" w:themeColor="text1"/>
                <w:sz w:val="20"/>
                <w:szCs w:val="20"/>
                <w:vertAlign w:val="subscript"/>
              </w:rPr>
              <w:t>4</w:t>
            </w:r>
            <w:r w:rsidRPr="00DA354E">
              <w:rPr>
                <w:rFonts w:ascii="Times New Roman" w:hAnsi="Times New Roman" w:cs="Times New Roman"/>
                <w:b/>
                <w:color w:val="000000" w:themeColor="text1"/>
                <w:sz w:val="20"/>
                <w:szCs w:val="20"/>
              </w:rPr>
              <w:t xml:space="preserve"> fluxes</w:t>
            </w:r>
          </w:p>
        </w:tc>
        <w:tc>
          <w:tcPr>
            <w:tcW w:w="902" w:type="dxa"/>
            <w:tcBorders>
              <w:left w:val="nil"/>
              <w:right w:val="nil"/>
            </w:tcBorders>
            <w:shd w:val="clear" w:color="auto" w:fill="auto"/>
            <w:vAlign w:val="center"/>
          </w:tcPr>
          <w:p w:rsidR="00520155" w:rsidRPr="00DA354E" w:rsidRDefault="00520155" w:rsidP="00EB157A">
            <w:pPr>
              <w:jc w:val="center"/>
              <w:rPr>
                <w:rFonts w:ascii="Times New Roman" w:hAnsi="Times New Roman" w:cs="Times New Roman"/>
                <w:b/>
                <w:color w:val="000000" w:themeColor="text1"/>
                <w:sz w:val="20"/>
                <w:szCs w:val="20"/>
              </w:rPr>
            </w:pPr>
            <w:r w:rsidRPr="00DA354E">
              <w:rPr>
                <w:rFonts w:ascii="Times New Roman" w:hAnsi="Times New Roman" w:cs="Times New Roman"/>
                <w:b/>
                <w:color w:val="000000" w:themeColor="text1"/>
                <w:sz w:val="20"/>
                <w:szCs w:val="20"/>
              </w:rPr>
              <w:t>Rivers</w:t>
            </w:r>
          </w:p>
        </w:tc>
      </w:tr>
      <w:tr w:rsidR="00520155" w:rsidRPr="00DA354E" w:rsidTr="00EB157A">
        <w:trPr>
          <w:trHeight w:val="300"/>
        </w:trPr>
        <w:tc>
          <w:tcPr>
            <w:tcW w:w="2039" w:type="dxa"/>
            <w:shd w:val="clear" w:color="auto" w:fill="auto"/>
          </w:tcPr>
          <w:p w:rsidR="00520155" w:rsidRPr="00DA354E" w:rsidRDefault="00520155" w:rsidP="00EB157A">
            <w:pPr>
              <w:rPr>
                <w:rFonts w:ascii="Times New Roman" w:hAnsi="Times New Roman" w:cs="Times New Roman"/>
                <w:b/>
                <w:color w:val="000000" w:themeColor="text1"/>
                <w:sz w:val="20"/>
                <w:szCs w:val="20"/>
              </w:rPr>
            </w:pPr>
            <w:proofErr w:type="spellStart"/>
            <w:r w:rsidRPr="00DA354E">
              <w:rPr>
                <w:rFonts w:ascii="Times New Roman" w:hAnsi="Times New Roman" w:cs="Times New Roman"/>
                <w:b/>
                <w:color w:val="000000" w:themeColor="text1"/>
                <w:sz w:val="20"/>
                <w:szCs w:val="20"/>
              </w:rPr>
              <w:t>Backcast</w:t>
            </w:r>
            <w:proofErr w:type="spellEnd"/>
            <w:r w:rsidRPr="00DA354E">
              <w:rPr>
                <w:rFonts w:ascii="Times New Roman" w:hAnsi="Times New Roman" w:cs="Times New Roman"/>
                <w:b/>
                <w:color w:val="000000" w:themeColor="text1"/>
                <w:sz w:val="20"/>
                <w:szCs w:val="20"/>
              </w:rPr>
              <w:t xml:space="preserve"> </w:t>
            </w:r>
          </w:p>
          <w:p w:rsidR="00520155" w:rsidRPr="00DA354E" w:rsidRDefault="00520155" w:rsidP="00EB157A">
            <w:pPr>
              <w:rPr>
                <w:rFonts w:ascii="Times New Roman" w:hAnsi="Times New Roman" w:cs="Times New Roman"/>
                <w:b/>
                <w:color w:val="000000" w:themeColor="text1"/>
                <w:sz w:val="20"/>
                <w:szCs w:val="20"/>
              </w:rPr>
            </w:pPr>
            <w:r w:rsidRPr="00DA354E">
              <w:rPr>
                <w:rFonts w:ascii="Times New Roman" w:hAnsi="Times New Roman" w:cs="Times New Roman"/>
                <w:b/>
                <w:color w:val="000000" w:themeColor="text1"/>
                <w:sz w:val="20"/>
                <w:szCs w:val="20"/>
              </w:rPr>
              <w:t>(1850, 1900, 1950)</w:t>
            </w:r>
          </w:p>
        </w:tc>
        <w:tc>
          <w:tcPr>
            <w:tcW w:w="898" w:type="dxa"/>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 xml:space="preserve">CMIP5 </w:t>
            </w:r>
          </w:p>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14"/>
                <w:szCs w:val="14"/>
              </w:rPr>
              <w:t>(7 models)</w:t>
            </w:r>
          </w:p>
        </w:tc>
        <w:tc>
          <w:tcPr>
            <w:tcW w:w="898" w:type="dxa"/>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 xml:space="preserve">CMIP5 </w:t>
            </w:r>
          </w:p>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14"/>
                <w:szCs w:val="14"/>
              </w:rPr>
              <w:t>(4 models)</w:t>
            </w:r>
          </w:p>
        </w:tc>
        <w:tc>
          <w:tcPr>
            <w:tcW w:w="1241" w:type="dxa"/>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 xml:space="preserve">CMIP5 </w:t>
            </w:r>
          </w:p>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16"/>
                <w:szCs w:val="16"/>
              </w:rPr>
              <w:t>(5 models)</w:t>
            </w:r>
          </w:p>
        </w:tc>
        <w:tc>
          <w:tcPr>
            <w:tcW w:w="922" w:type="dxa"/>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LUH1 data</w:t>
            </w:r>
          </w:p>
        </w:tc>
        <w:tc>
          <w:tcPr>
            <w:tcW w:w="912" w:type="dxa"/>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LUH1 data</w:t>
            </w:r>
          </w:p>
        </w:tc>
        <w:tc>
          <w:tcPr>
            <w:tcW w:w="1119" w:type="dxa"/>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constant</w:t>
            </w:r>
          </w:p>
        </w:tc>
        <w:tc>
          <w:tcPr>
            <w:tcW w:w="902" w:type="dxa"/>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 xml:space="preserve">This study </w:t>
            </w:r>
          </w:p>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16"/>
                <w:szCs w:val="16"/>
              </w:rPr>
              <w:t>(see text)</w:t>
            </w:r>
          </w:p>
        </w:tc>
      </w:tr>
      <w:tr w:rsidR="00520155" w:rsidRPr="00DA354E" w:rsidTr="00EB157A">
        <w:trPr>
          <w:trHeight w:val="300"/>
        </w:trPr>
        <w:tc>
          <w:tcPr>
            <w:tcW w:w="2039" w:type="dxa"/>
            <w:tcBorders>
              <w:left w:val="nil"/>
              <w:right w:val="nil"/>
            </w:tcBorders>
            <w:shd w:val="clear" w:color="auto" w:fill="auto"/>
          </w:tcPr>
          <w:p w:rsidR="00520155" w:rsidRPr="00DA354E" w:rsidRDefault="00520155" w:rsidP="00EB157A">
            <w:pPr>
              <w:rPr>
                <w:rFonts w:ascii="Times New Roman" w:hAnsi="Times New Roman" w:cs="Times New Roman"/>
                <w:b/>
                <w:color w:val="000000" w:themeColor="text1"/>
                <w:sz w:val="20"/>
                <w:szCs w:val="20"/>
              </w:rPr>
            </w:pPr>
            <w:r w:rsidRPr="00DA354E">
              <w:rPr>
                <w:rFonts w:ascii="Times New Roman" w:hAnsi="Times New Roman" w:cs="Times New Roman"/>
                <w:b/>
                <w:color w:val="000000" w:themeColor="text1"/>
                <w:sz w:val="20"/>
                <w:szCs w:val="20"/>
              </w:rPr>
              <w:t xml:space="preserve">Reference </w:t>
            </w:r>
          </w:p>
          <w:p w:rsidR="00520155" w:rsidRPr="00DA354E" w:rsidRDefault="00520155" w:rsidP="00EB157A">
            <w:pPr>
              <w:rPr>
                <w:rFonts w:ascii="Times New Roman" w:hAnsi="Times New Roman" w:cs="Times New Roman"/>
                <w:b/>
                <w:color w:val="000000" w:themeColor="text1"/>
                <w:sz w:val="20"/>
                <w:szCs w:val="20"/>
              </w:rPr>
            </w:pPr>
            <w:r w:rsidRPr="00DA354E">
              <w:rPr>
                <w:rFonts w:ascii="Times New Roman" w:hAnsi="Times New Roman" w:cs="Times New Roman"/>
                <w:b/>
                <w:color w:val="000000" w:themeColor="text1"/>
                <w:sz w:val="20"/>
                <w:szCs w:val="20"/>
              </w:rPr>
              <w:t>(2000-2010)</w:t>
            </w:r>
          </w:p>
        </w:tc>
        <w:tc>
          <w:tcPr>
            <w:tcW w:w="898" w:type="dxa"/>
            <w:tcBorders>
              <w:left w:val="nil"/>
              <w:right w:val="nil"/>
            </w:tcBorders>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RECCAP</w:t>
            </w:r>
          </w:p>
        </w:tc>
        <w:tc>
          <w:tcPr>
            <w:tcW w:w="898" w:type="dxa"/>
            <w:tcBorders>
              <w:left w:val="nil"/>
              <w:right w:val="nil"/>
            </w:tcBorders>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RECCAP</w:t>
            </w:r>
          </w:p>
        </w:tc>
        <w:tc>
          <w:tcPr>
            <w:tcW w:w="1241" w:type="dxa"/>
            <w:tcBorders>
              <w:left w:val="nil"/>
              <w:right w:val="nil"/>
            </w:tcBorders>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RECCAP</w:t>
            </w:r>
          </w:p>
        </w:tc>
        <w:tc>
          <w:tcPr>
            <w:tcW w:w="922" w:type="dxa"/>
            <w:tcBorders>
              <w:left w:val="nil"/>
              <w:right w:val="nil"/>
            </w:tcBorders>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RECCAP</w:t>
            </w:r>
          </w:p>
        </w:tc>
        <w:tc>
          <w:tcPr>
            <w:tcW w:w="912" w:type="dxa"/>
            <w:tcBorders>
              <w:left w:val="nil"/>
              <w:right w:val="nil"/>
            </w:tcBorders>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RECCAP</w:t>
            </w:r>
          </w:p>
        </w:tc>
        <w:tc>
          <w:tcPr>
            <w:tcW w:w="1119" w:type="dxa"/>
            <w:tcBorders>
              <w:left w:val="nil"/>
              <w:right w:val="nil"/>
            </w:tcBorders>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RECCAP</w:t>
            </w:r>
          </w:p>
        </w:tc>
        <w:tc>
          <w:tcPr>
            <w:tcW w:w="902" w:type="dxa"/>
            <w:tcBorders>
              <w:left w:val="nil"/>
              <w:right w:val="nil"/>
            </w:tcBorders>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RECCAP</w:t>
            </w:r>
          </w:p>
        </w:tc>
      </w:tr>
      <w:tr w:rsidR="00520155" w:rsidRPr="00DA354E" w:rsidTr="00EB157A">
        <w:trPr>
          <w:trHeight w:val="300"/>
        </w:trPr>
        <w:tc>
          <w:tcPr>
            <w:tcW w:w="2039" w:type="dxa"/>
            <w:tcBorders>
              <w:bottom w:val="single" w:sz="4" w:space="0" w:color="000000"/>
            </w:tcBorders>
            <w:shd w:val="clear" w:color="auto" w:fill="auto"/>
          </w:tcPr>
          <w:p w:rsidR="00520155" w:rsidRPr="00DA354E" w:rsidRDefault="00520155" w:rsidP="00EB157A">
            <w:pPr>
              <w:rPr>
                <w:rFonts w:ascii="Times New Roman" w:hAnsi="Times New Roman" w:cs="Times New Roman"/>
                <w:b/>
                <w:color w:val="000000" w:themeColor="text1"/>
                <w:sz w:val="20"/>
                <w:szCs w:val="20"/>
              </w:rPr>
            </w:pPr>
            <w:r w:rsidRPr="00DA354E">
              <w:rPr>
                <w:rFonts w:ascii="Times New Roman" w:hAnsi="Times New Roman" w:cs="Times New Roman"/>
                <w:b/>
                <w:color w:val="000000" w:themeColor="text1"/>
                <w:sz w:val="20"/>
                <w:szCs w:val="20"/>
              </w:rPr>
              <w:t xml:space="preserve">Forecast </w:t>
            </w:r>
          </w:p>
          <w:p w:rsidR="00520155" w:rsidRPr="00DA354E" w:rsidRDefault="00520155" w:rsidP="00EB157A">
            <w:pPr>
              <w:rPr>
                <w:rFonts w:ascii="Times New Roman" w:hAnsi="Times New Roman" w:cs="Times New Roman"/>
                <w:b/>
                <w:color w:val="000000" w:themeColor="text1"/>
                <w:sz w:val="20"/>
                <w:szCs w:val="20"/>
              </w:rPr>
            </w:pPr>
            <w:r w:rsidRPr="00DA354E">
              <w:rPr>
                <w:rFonts w:ascii="Times New Roman" w:hAnsi="Times New Roman" w:cs="Times New Roman"/>
                <w:b/>
                <w:color w:val="000000" w:themeColor="text1"/>
                <w:sz w:val="20"/>
                <w:szCs w:val="20"/>
              </w:rPr>
              <w:t>(2050, 2100)</w:t>
            </w:r>
          </w:p>
        </w:tc>
        <w:tc>
          <w:tcPr>
            <w:tcW w:w="898" w:type="dxa"/>
            <w:tcBorders>
              <w:bottom w:val="single" w:sz="4" w:space="0" w:color="000000"/>
            </w:tcBorders>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 xml:space="preserve">CMIP5 </w:t>
            </w:r>
          </w:p>
          <w:p w:rsidR="00520155" w:rsidRPr="00DA354E" w:rsidRDefault="00520155" w:rsidP="00EB157A">
            <w:pPr>
              <w:jc w:val="center"/>
              <w:rPr>
                <w:rFonts w:ascii="Times New Roman" w:hAnsi="Times New Roman" w:cs="Times New Roman"/>
                <w:color w:val="000000" w:themeColor="text1"/>
                <w:sz w:val="16"/>
                <w:szCs w:val="16"/>
              </w:rPr>
            </w:pPr>
            <w:r w:rsidRPr="00DA354E">
              <w:rPr>
                <w:rFonts w:ascii="Times New Roman" w:hAnsi="Times New Roman" w:cs="Times New Roman"/>
                <w:color w:val="000000" w:themeColor="text1"/>
                <w:sz w:val="14"/>
                <w:szCs w:val="14"/>
              </w:rPr>
              <w:t>(7 models)</w:t>
            </w:r>
          </w:p>
        </w:tc>
        <w:tc>
          <w:tcPr>
            <w:tcW w:w="898" w:type="dxa"/>
            <w:tcBorders>
              <w:bottom w:val="single" w:sz="4" w:space="0" w:color="000000"/>
            </w:tcBorders>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 xml:space="preserve">CMIP5 </w:t>
            </w:r>
          </w:p>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14"/>
                <w:szCs w:val="14"/>
              </w:rPr>
              <w:t>(4 models)</w:t>
            </w:r>
          </w:p>
        </w:tc>
        <w:tc>
          <w:tcPr>
            <w:tcW w:w="1241" w:type="dxa"/>
            <w:tcBorders>
              <w:bottom w:val="single" w:sz="4" w:space="0" w:color="000000"/>
            </w:tcBorders>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 xml:space="preserve">CMIP5 </w:t>
            </w:r>
          </w:p>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14"/>
                <w:szCs w:val="14"/>
              </w:rPr>
              <w:t>(3 models)</w:t>
            </w:r>
          </w:p>
        </w:tc>
        <w:tc>
          <w:tcPr>
            <w:tcW w:w="922" w:type="dxa"/>
            <w:tcBorders>
              <w:bottom w:val="single" w:sz="4" w:space="0" w:color="000000"/>
            </w:tcBorders>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LUH1 data</w:t>
            </w:r>
          </w:p>
        </w:tc>
        <w:tc>
          <w:tcPr>
            <w:tcW w:w="912" w:type="dxa"/>
            <w:tcBorders>
              <w:bottom w:val="single" w:sz="4" w:space="0" w:color="000000"/>
            </w:tcBorders>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LUH1 data</w:t>
            </w:r>
          </w:p>
        </w:tc>
        <w:tc>
          <w:tcPr>
            <w:tcW w:w="1119" w:type="dxa"/>
            <w:tcBorders>
              <w:bottom w:val="single" w:sz="4" w:space="0" w:color="000000"/>
            </w:tcBorders>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constant</w:t>
            </w:r>
          </w:p>
        </w:tc>
        <w:tc>
          <w:tcPr>
            <w:tcW w:w="902" w:type="dxa"/>
            <w:tcBorders>
              <w:bottom w:val="single" w:sz="4" w:space="0" w:color="000000"/>
            </w:tcBorders>
            <w:shd w:val="clear" w:color="auto" w:fill="auto"/>
            <w:vAlign w:val="center"/>
          </w:tcPr>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20"/>
                <w:szCs w:val="20"/>
              </w:rPr>
              <w:t xml:space="preserve">This study </w:t>
            </w:r>
          </w:p>
          <w:p w:rsidR="00520155" w:rsidRPr="00DA354E" w:rsidRDefault="00520155" w:rsidP="00EB157A">
            <w:pPr>
              <w:jc w:val="center"/>
              <w:rPr>
                <w:rFonts w:ascii="Times New Roman" w:hAnsi="Times New Roman" w:cs="Times New Roman"/>
                <w:color w:val="000000" w:themeColor="text1"/>
                <w:sz w:val="20"/>
                <w:szCs w:val="20"/>
              </w:rPr>
            </w:pPr>
            <w:r w:rsidRPr="00DA354E">
              <w:rPr>
                <w:rFonts w:ascii="Times New Roman" w:hAnsi="Times New Roman" w:cs="Times New Roman"/>
                <w:color w:val="000000" w:themeColor="text1"/>
                <w:sz w:val="16"/>
                <w:szCs w:val="16"/>
              </w:rPr>
              <w:t>(see text)</w:t>
            </w:r>
          </w:p>
        </w:tc>
      </w:tr>
      <w:tr w:rsidR="00520155" w:rsidRPr="00DA354E" w:rsidTr="00EB157A">
        <w:trPr>
          <w:trHeight w:val="300"/>
        </w:trPr>
        <w:tc>
          <w:tcPr>
            <w:tcW w:w="2039" w:type="dxa"/>
            <w:tcBorders>
              <w:top w:val="single" w:sz="4" w:space="0" w:color="000000"/>
              <w:left w:val="nil"/>
              <w:bottom w:val="single" w:sz="4" w:space="0" w:color="000000"/>
              <w:right w:val="nil"/>
            </w:tcBorders>
            <w:shd w:val="clear" w:color="auto" w:fill="auto"/>
          </w:tcPr>
          <w:p w:rsidR="00520155" w:rsidRPr="00DA354E" w:rsidRDefault="00520155" w:rsidP="00EB157A">
            <w:pPr>
              <w:rPr>
                <w:rFonts w:ascii="Times New Roman" w:hAnsi="Times New Roman" w:cs="Times New Roman"/>
                <w:b/>
                <w:color w:val="000000" w:themeColor="text1"/>
              </w:rPr>
            </w:pPr>
          </w:p>
        </w:tc>
        <w:tc>
          <w:tcPr>
            <w:tcW w:w="6892" w:type="dxa"/>
            <w:gridSpan w:val="7"/>
            <w:tcBorders>
              <w:top w:val="single" w:sz="4" w:space="0" w:color="000000"/>
              <w:left w:val="nil"/>
              <w:bottom w:val="single" w:sz="4" w:space="0" w:color="000000"/>
              <w:right w:val="nil"/>
            </w:tcBorders>
            <w:shd w:val="clear" w:color="auto" w:fill="auto"/>
          </w:tcPr>
          <w:p w:rsidR="00520155" w:rsidRPr="00DA354E" w:rsidRDefault="00520155" w:rsidP="00EB157A">
            <w:pPr>
              <w:jc w:val="center"/>
              <w:rPr>
                <w:rFonts w:ascii="Times New Roman" w:hAnsi="Times New Roman" w:cs="Times New Roman"/>
                <w:b/>
                <w:color w:val="000000" w:themeColor="text1"/>
              </w:rPr>
            </w:pPr>
            <w:r w:rsidRPr="00DA354E">
              <w:rPr>
                <w:rFonts w:ascii="Times New Roman" w:hAnsi="Times New Roman" w:cs="Times New Roman"/>
                <w:b/>
                <w:color w:val="000000" w:themeColor="text1"/>
              </w:rPr>
              <w:t>Global values relative to reference period</w:t>
            </w:r>
          </w:p>
        </w:tc>
      </w:tr>
      <w:tr w:rsidR="00520155" w:rsidRPr="00DA354E" w:rsidTr="00EB157A">
        <w:trPr>
          <w:trHeight w:val="300"/>
        </w:trPr>
        <w:tc>
          <w:tcPr>
            <w:tcW w:w="2039" w:type="dxa"/>
            <w:tcBorders>
              <w:top w:val="single" w:sz="4" w:space="0" w:color="000000"/>
            </w:tcBorders>
            <w:shd w:val="clear" w:color="auto" w:fill="auto"/>
          </w:tcPr>
          <w:p w:rsidR="00520155" w:rsidRPr="00DA354E" w:rsidRDefault="00520155" w:rsidP="00EB157A">
            <w:pPr>
              <w:rPr>
                <w:rFonts w:ascii="Times New Roman" w:hAnsi="Times New Roman" w:cs="Times New Roman"/>
                <w:b/>
                <w:color w:val="000000" w:themeColor="text1"/>
              </w:rPr>
            </w:pPr>
            <w:r w:rsidRPr="00DA354E">
              <w:rPr>
                <w:rFonts w:ascii="Times New Roman" w:hAnsi="Times New Roman" w:cs="Times New Roman"/>
                <w:b/>
                <w:color w:val="000000" w:themeColor="text1"/>
              </w:rPr>
              <w:t>1850</w:t>
            </w:r>
          </w:p>
        </w:tc>
        <w:tc>
          <w:tcPr>
            <w:tcW w:w="898" w:type="dxa"/>
            <w:tcBorders>
              <w:top w:val="single" w:sz="4" w:space="0" w:color="000000"/>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1.00</w:t>
            </w:r>
          </w:p>
        </w:tc>
        <w:tc>
          <w:tcPr>
            <w:tcW w:w="898" w:type="dxa"/>
            <w:tcBorders>
              <w:top w:val="single" w:sz="4" w:space="0" w:color="000000"/>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1.14</w:t>
            </w:r>
          </w:p>
        </w:tc>
        <w:tc>
          <w:tcPr>
            <w:tcW w:w="1241" w:type="dxa"/>
            <w:tcBorders>
              <w:top w:val="single" w:sz="4" w:space="0" w:color="000000"/>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0.53</w:t>
            </w:r>
          </w:p>
        </w:tc>
        <w:tc>
          <w:tcPr>
            <w:tcW w:w="922" w:type="dxa"/>
            <w:tcBorders>
              <w:top w:val="single" w:sz="4" w:space="0" w:color="000000"/>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0.14</w:t>
            </w:r>
          </w:p>
        </w:tc>
        <w:tc>
          <w:tcPr>
            <w:tcW w:w="912" w:type="dxa"/>
            <w:tcBorders>
              <w:top w:val="single" w:sz="4" w:space="0" w:color="000000"/>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0.11</w:t>
            </w:r>
          </w:p>
        </w:tc>
        <w:tc>
          <w:tcPr>
            <w:tcW w:w="1119" w:type="dxa"/>
            <w:tcBorders>
              <w:top w:val="single" w:sz="4" w:space="0" w:color="000000"/>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1.00</w:t>
            </w:r>
          </w:p>
        </w:tc>
        <w:tc>
          <w:tcPr>
            <w:tcW w:w="902" w:type="dxa"/>
            <w:tcBorders>
              <w:top w:val="single" w:sz="4" w:space="0" w:color="000000"/>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0.85</w:t>
            </w:r>
          </w:p>
        </w:tc>
      </w:tr>
      <w:tr w:rsidR="00520155" w:rsidRPr="00DA354E" w:rsidTr="00EB157A">
        <w:trPr>
          <w:trHeight w:val="300"/>
        </w:trPr>
        <w:tc>
          <w:tcPr>
            <w:tcW w:w="2039" w:type="dxa"/>
            <w:tcBorders>
              <w:left w:val="nil"/>
              <w:right w:val="nil"/>
            </w:tcBorders>
            <w:shd w:val="clear" w:color="auto" w:fill="auto"/>
          </w:tcPr>
          <w:p w:rsidR="00520155" w:rsidRPr="00DA354E" w:rsidRDefault="00520155" w:rsidP="00EB157A">
            <w:pPr>
              <w:rPr>
                <w:rFonts w:ascii="Times New Roman" w:hAnsi="Times New Roman" w:cs="Times New Roman"/>
                <w:b/>
                <w:color w:val="000000" w:themeColor="text1"/>
              </w:rPr>
            </w:pPr>
            <w:r w:rsidRPr="00DA354E">
              <w:rPr>
                <w:rFonts w:ascii="Times New Roman" w:hAnsi="Times New Roman" w:cs="Times New Roman"/>
                <w:b/>
                <w:color w:val="000000" w:themeColor="text1"/>
              </w:rPr>
              <w:t>2000-2010</w:t>
            </w:r>
          </w:p>
        </w:tc>
        <w:tc>
          <w:tcPr>
            <w:tcW w:w="898" w:type="dxa"/>
            <w:tcBorders>
              <w:left w:val="nil"/>
              <w:right w:val="nil"/>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w:t>
            </w:r>
          </w:p>
        </w:tc>
        <w:tc>
          <w:tcPr>
            <w:tcW w:w="898" w:type="dxa"/>
            <w:tcBorders>
              <w:left w:val="nil"/>
              <w:right w:val="nil"/>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w:t>
            </w:r>
          </w:p>
        </w:tc>
        <w:tc>
          <w:tcPr>
            <w:tcW w:w="1241" w:type="dxa"/>
            <w:tcBorders>
              <w:left w:val="nil"/>
              <w:right w:val="nil"/>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w:t>
            </w:r>
          </w:p>
        </w:tc>
        <w:tc>
          <w:tcPr>
            <w:tcW w:w="922" w:type="dxa"/>
            <w:tcBorders>
              <w:left w:val="nil"/>
              <w:right w:val="nil"/>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w:t>
            </w:r>
          </w:p>
        </w:tc>
        <w:tc>
          <w:tcPr>
            <w:tcW w:w="912" w:type="dxa"/>
            <w:tcBorders>
              <w:left w:val="nil"/>
              <w:right w:val="nil"/>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w:t>
            </w:r>
          </w:p>
        </w:tc>
        <w:tc>
          <w:tcPr>
            <w:tcW w:w="1119" w:type="dxa"/>
            <w:tcBorders>
              <w:left w:val="nil"/>
              <w:right w:val="nil"/>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w:t>
            </w:r>
          </w:p>
        </w:tc>
        <w:tc>
          <w:tcPr>
            <w:tcW w:w="902" w:type="dxa"/>
            <w:tcBorders>
              <w:left w:val="nil"/>
              <w:right w:val="nil"/>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w:t>
            </w:r>
          </w:p>
        </w:tc>
      </w:tr>
      <w:tr w:rsidR="00520155" w:rsidRPr="00DA354E" w:rsidTr="00EB157A">
        <w:trPr>
          <w:trHeight w:val="300"/>
        </w:trPr>
        <w:tc>
          <w:tcPr>
            <w:tcW w:w="2039" w:type="dxa"/>
            <w:shd w:val="clear" w:color="auto" w:fill="auto"/>
          </w:tcPr>
          <w:p w:rsidR="00520155" w:rsidRPr="00DA354E" w:rsidRDefault="00520155" w:rsidP="00EB157A">
            <w:pPr>
              <w:rPr>
                <w:rFonts w:ascii="Times New Roman" w:hAnsi="Times New Roman" w:cs="Times New Roman"/>
                <w:b/>
                <w:color w:val="000000" w:themeColor="text1"/>
              </w:rPr>
            </w:pPr>
            <w:r w:rsidRPr="00DA354E">
              <w:rPr>
                <w:rFonts w:ascii="Times New Roman" w:hAnsi="Times New Roman" w:cs="Times New Roman"/>
                <w:b/>
                <w:color w:val="000000" w:themeColor="text1"/>
              </w:rPr>
              <w:t>2050</w:t>
            </w:r>
          </w:p>
        </w:tc>
        <w:tc>
          <w:tcPr>
            <w:tcW w:w="898" w:type="dxa"/>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1.87</w:t>
            </w:r>
          </w:p>
        </w:tc>
        <w:tc>
          <w:tcPr>
            <w:tcW w:w="898" w:type="dxa"/>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2.05</w:t>
            </w:r>
          </w:p>
        </w:tc>
        <w:tc>
          <w:tcPr>
            <w:tcW w:w="1241" w:type="dxa"/>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1.14</w:t>
            </w:r>
          </w:p>
        </w:tc>
        <w:tc>
          <w:tcPr>
            <w:tcW w:w="922" w:type="dxa"/>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1.06</w:t>
            </w:r>
          </w:p>
        </w:tc>
        <w:tc>
          <w:tcPr>
            <w:tcW w:w="912" w:type="dxa"/>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1.05</w:t>
            </w:r>
          </w:p>
        </w:tc>
        <w:tc>
          <w:tcPr>
            <w:tcW w:w="1119" w:type="dxa"/>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1.00</w:t>
            </w:r>
          </w:p>
        </w:tc>
        <w:tc>
          <w:tcPr>
            <w:tcW w:w="902" w:type="dxa"/>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1.31</w:t>
            </w:r>
          </w:p>
        </w:tc>
      </w:tr>
      <w:tr w:rsidR="00520155" w:rsidRPr="00DA354E" w:rsidTr="00EB157A">
        <w:trPr>
          <w:trHeight w:val="300"/>
        </w:trPr>
        <w:tc>
          <w:tcPr>
            <w:tcW w:w="2039" w:type="dxa"/>
            <w:tcBorders>
              <w:left w:val="nil"/>
              <w:right w:val="nil"/>
            </w:tcBorders>
            <w:shd w:val="clear" w:color="auto" w:fill="auto"/>
          </w:tcPr>
          <w:p w:rsidR="00520155" w:rsidRPr="00DA354E" w:rsidRDefault="00520155" w:rsidP="00EB157A">
            <w:pPr>
              <w:rPr>
                <w:rFonts w:ascii="Times New Roman" w:hAnsi="Times New Roman" w:cs="Times New Roman"/>
                <w:b/>
                <w:color w:val="000000" w:themeColor="text1"/>
              </w:rPr>
            </w:pPr>
            <w:r w:rsidRPr="00DA354E">
              <w:rPr>
                <w:rFonts w:ascii="Times New Roman" w:hAnsi="Times New Roman" w:cs="Times New Roman"/>
                <w:b/>
                <w:color w:val="000000" w:themeColor="text1"/>
              </w:rPr>
              <w:t>2100</w:t>
            </w:r>
          </w:p>
        </w:tc>
        <w:tc>
          <w:tcPr>
            <w:tcW w:w="898" w:type="dxa"/>
            <w:tcBorders>
              <w:left w:val="nil"/>
              <w:right w:val="nil"/>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1.72</w:t>
            </w:r>
          </w:p>
        </w:tc>
        <w:tc>
          <w:tcPr>
            <w:tcW w:w="898" w:type="dxa"/>
            <w:tcBorders>
              <w:left w:val="nil"/>
              <w:right w:val="nil"/>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1.87</w:t>
            </w:r>
          </w:p>
        </w:tc>
        <w:tc>
          <w:tcPr>
            <w:tcW w:w="1241" w:type="dxa"/>
            <w:tcBorders>
              <w:left w:val="nil"/>
              <w:right w:val="nil"/>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0.75</w:t>
            </w:r>
          </w:p>
        </w:tc>
        <w:tc>
          <w:tcPr>
            <w:tcW w:w="922" w:type="dxa"/>
            <w:tcBorders>
              <w:left w:val="nil"/>
              <w:right w:val="nil"/>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1.12</w:t>
            </w:r>
          </w:p>
        </w:tc>
        <w:tc>
          <w:tcPr>
            <w:tcW w:w="912" w:type="dxa"/>
            <w:tcBorders>
              <w:left w:val="nil"/>
              <w:right w:val="nil"/>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1.03</w:t>
            </w:r>
          </w:p>
        </w:tc>
        <w:tc>
          <w:tcPr>
            <w:tcW w:w="1119" w:type="dxa"/>
            <w:tcBorders>
              <w:left w:val="nil"/>
              <w:right w:val="nil"/>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1.00</w:t>
            </w:r>
          </w:p>
        </w:tc>
        <w:tc>
          <w:tcPr>
            <w:tcW w:w="902" w:type="dxa"/>
            <w:tcBorders>
              <w:left w:val="nil"/>
              <w:right w:val="nil"/>
            </w:tcBorders>
            <w:shd w:val="clear" w:color="auto" w:fill="auto"/>
          </w:tcPr>
          <w:p w:rsidR="00520155" w:rsidRPr="00DA354E" w:rsidRDefault="00520155" w:rsidP="00EB157A">
            <w:pPr>
              <w:jc w:val="center"/>
              <w:rPr>
                <w:rFonts w:ascii="Times New Roman" w:hAnsi="Times New Roman" w:cs="Times New Roman"/>
                <w:color w:val="000000" w:themeColor="text1"/>
              </w:rPr>
            </w:pPr>
            <w:r w:rsidRPr="00DA354E">
              <w:rPr>
                <w:rFonts w:ascii="Times New Roman" w:hAnsi="Times New Roman" w:cs="Times New Roman"/>
                <w:color w:val="000000" w:themeColor="text1"/>
              </w:rPr>
              <w:t>1.75</w:t>
            </w:r>
          </w:p>
        </w:tc>
      </w:tr>
    </w:tbl>
    <w:p w:rsidR="00520155" w:rsidRPr="00DA354E" w:rsidRDefault="00520155" w:rsidP="00520155">
      <w:pPr>
        <w:jc w:val="both"/>
        <w:rPr>
          <w:rFonts w:ascii="Times New Roman" w:hAnsi="Times New Roman" w:cs="Times New Roman"/>
          <w:color w:val="000000" w:themeColor="text1"/>
        </w:rPr>
      </w:pPr>
    </w:p>
    <w:p w:rsidR="00541658" w:rsidRPr="00683641" w:rsidRDefault="00541658" w:rsidP="00541658">
      <w:pPr>
        <w:rPr>
          <w:rFonts w:ascii="Times New Roman" w:hAnsi="Times New Roman" w:cs="Times New Roman"/>
          <w:color w:val="000000" w:themeColor="text1"/>
          <w:lang w:eastAsia="zh-CN"/>
        </w:rPr>
      </w:pPr>
    </w:p>
    <w:p w:rsidR="00934FF7" w:rsidRPr="00DA354E" w:rsidRDefault="00934FF7" w:rsidP="00934FF7">
      <w:pPr>
        <w:rPr>
          <w:rFonts w:ascii="Times New Roman" w:hAnsi="Times New Roman" w:cs="Times New Roman"/>
          <w:i/>
          <w:color w:val="000000" w:themeColor="text1"/>
          <w:vertAlign w:val="subscript"/>
        </w:rPr>
      </w:pPr>
    </w:p>
    <w:p w:rsidR="00D7497F" w:rsidRDefault="00D7497F">
      <w:pPr>
        <w:rPr>
          <w:rFonts w:ascii="Times New Roman" w:hAnsi="Times New Roman" w:cs="Times New Roman"/>
          <w:b/>
          <w:color w:val="000000" w:themeColor="text1"/>
        </w:rPr>
      </w:pPr>
      <w:r>
        <w:rPr>
          <w:rFonts w:ascii="Times New Roman" w:hAnsi="Times New Roman" w:cs="Times New Roman"/>
          <w:b/>
          <w:color w:val="000000" w:themeColor="text1"/>
        </w:rPr>
        <w:br w:type="page"/>
      </w:r>
    </w:p>
    <w:p w:rsidR="00F6749E" w:rsidRPr="00DA354E" w:rsidRDefault="00D7497F" w:rsidP="00F6749E">
      <w:pPr>
        <w:rPr>
          <w:rFonts w:ascii="Times New Roman" w:hAnsi="Times New Roman" w:cs="Times New Roman"/>
          <w:b/>
          <w:color w:val="000000" w:themeColor="text1"/>
        </w:rPr>
      </w:pPr>
      <w:r>
        <w:rPr>
          <w:rFonts w:ascii="Times New Roman" w:hAnsi="Times New Roman" w:cs="Times New Roman"/>
          <w:b/>
          <w:color w:val="000000" w:themeColor="text1"/>
        </w:rPr>
        <w:lastRenderedPageBreak/>
        <w:t>Supplementary</w:t>
      </w:r>
      <w:r w:rsidRPr="00DA354E">
        <w:rPr>
          <w:rFonts w:ascii="Times New Roman" w:hAnsi="Times New Roman" w:cs="Times New Roman"/>
          <w:b/>
          <w:color w:val="000000" w:themeColor="text1"/>
        </w:rPr>
        <w:t xml:space="preserve"> Figure 1.</w:t>
      </w:r>
      <w:r w:rsidRPr="00DA354E">
        <w:rPr>
          <w:rFonts w:ascii="Times New Roman" w:hAnsi="Times New Roman" w:cs="Times New Roman"/>
          <w:color w:val="000000" w:themeColor="text1"/>
        </w:rPr>
        <w:t xml:space="preserve"> Illustration of the calculation of NEE from C storage change and lateral rivers and trade fluxes in equation (1)</w:t>
      </w:r>
    </w:p>
    <w:p w:rsidR="00F6749E" w:rsidRPr="00DA354E" w:rsidRDefault="00F6749E" w:rsidP="00F6749E">
      <w:pPr>
        <w:rPr>
          <w:rFonts w:ascii="Times New Roman" w:eastAsia="Calibri" w:hAnsi="Times New Roman" w:cs="Times New Roman"/>
          <w:color w:val="000000" w:themeColor="text1"/>
          <w:sz w:val="18"/>
          <w:szCs w:val="18"/>
        </w:rPr>
      </w:pPr>
    </w:p>
    <w:p w:rsidR="00F6749E" w:rsidRPr="00DA354E" w:rsidRDefault="00F6749E" w:rsidP="00F6749E">
      <w:pPr>
        <w:rPr>
          <w:rFonts w:ascii="Times New Roman" w:eastAsia="Calibri" w:hAnsi="Times New Roman" w:cs="Times New Roman"/>
          <w:color w:val="000000" w:themeColor="text1"/>
          <w:sz w:val="18"/>
          <w:szCs w:val="18"/>
        </w:rPr>
      </w:pPr>
      <w:r w:rsidRPr="00DA354E">
        <w:rPr>
          <w:rFonts w:ascii="Times New Roman" w:eastAsia="Calibri" w:hAnsi="Times New Roman" w:cs="Times New Roman"/>
          <w:noProof/>
          <w:color w:val="000000" w:themeColor="text1"/>
          <w:sz w:val="18"/>
          <w:szCs w:val="18"/>
          <w:lang w:eastAsia="en-US"/>
        </w:rPr>
        <w:drawing>
          <wp:inline distT="114300" distB="114300" distL="114300" distR="114300" wp14:anchorId="201852ED" wp14:editId="6031FFA0">
            <wp:extent cx="5677535" cy="3340100"/>
            <wp:effectExtent l="0" t="0" r="0" b="0"/>
            <wp:docPr id="5" name="image4.png" descr="A black and red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77535" cy="3340100"/>
                    </a:xfrm>
                    <a:prstGeom prst="rect">
                      <a:avLst/>
                    </a:prstGeom>
                    <a:ln/>
                  </pic:spPr>
                </pic:pic>
              </a:graphicData>
            </a:graphic>
          </wp:inline>
        </w:drawing>
      </w:r>
    </w:p>
    <w:p w:rsidR="00F6749E" w:rsidRPr="00DA354E" w:rsidRDefault="00F6749E" w:rsidP="00F6749E">
      <w:pPr>
        <w:rPr>
          <w:rFonts w:ascii="Times New Roman" w:hAnsi="Times New Roman" w:cs="Times New Roman"/>
          <w:color w:val="000000" w:themeColor="text1"/>
        </w:rPr>
      </w:pPr>
    </w:p>
    <w:p w:rsidR="00F6749E" w:rsidRPr="00DA354E" w:rsidRDefault="00F6749E" w:rsidP="00F6749E">
      <w:pPr>
        <w:rPr>
          <w:rFonts w:ascii="Times New Roman" w:hAnsi="Times New Roman" w:cs="Times New Roman"/>
          <w:color w:val="000000" w:themeColor="text1"/>
          <w:highlight w:val="yellow"/>
        </w:rPr>
      </w:pPr>
    </w:p>
    <w:p w:rsidR="00F6749E" w:rsidRPr="00DA354E" w:rsidRDefault="00F6749E" w:rsidP="00F6749E">
      <w:pPr>
        <w:rPr>
          <w:rFonts w:ascii="Times New Roman" w:hAnsi="Times New Roman" w:cs="Times New Roman"/>
          <w:color w:val="000000" w:themeColor="text1"/>
          <w:highlight w:val="yellow"/>
        </w:rPr>
      </w:pPr>
      <w:r w:rsidRPr="00DA354E">
        <w:rPr>
          <w:rFonts w:ascii="Times New Roman" w:hAnsi="Times New Roman" w:cs="Times New Roman"/>
          <w:color w:val="000000" w:themeColor="text1"/>
        </w:rPr>
        <w:br w:type="page"/>
      </w:r>
    </w:p>
    <w:p w:rsidR="00F6749E" w:rsidRPr="00DA354E" w:rsidRDefault="00D7497F" w:rsidP="00F6749E">
      <w:pPr>
        <w:ind w:right="702"/>
        <w:rPr>
          <w:rFonts w:ascii="Times New Roman" w:hAnsi="Times New Roman" w:cs="Times New Roman"/>
          <w:color w:val="000000" w:themeColor="text1"/>
          <w:highlight w:val="white"/>
        </w:rPr>
      </w:pPr>
      <w:r>
        <w:rPr>
          <w:rFonts w:ascii="Times New Roman" w:hAnsi="Times New Roman" w:cs="Times New Roman"/>
          <w:b/>
          <w:color w:val="000000" w:themeColor="text1"/>
        </w:rPr>
        <w:lastRenderedPageBreak/>
        <w:t>Supplementary</w:t>
      </w:r>
      <w:r w:rsidRPr="00DA354E">
        <w:rPr>
          <w:rFonts w:ascii="Times New Roman" w:hAnsi="Times New Roman" w:cs="Times New Roman"/>
          <w:b/>
          <w:color w:val="000000" w:themeColor="text1"/>
        </w:rPr>
        <w:t xml:space="preserve"> Figure 2. </w:t>
      </w:r>
      <w:r w:rsidRPr="00DA354E">
        <w:rPr>
          <w:rFonts w:ascii="Times New Roman" w:hAnsi="Times New Roman" w:cs="Times New Roman"/>
          <w:color w:val="000000" w:themeColor="text1"/>
          <w:highlight w:val="white"/>
        </w:rPr>
        <w:t>Comparison of ∆C from inventories based on RECCAP publications (2000-2009) with the satellite-based estimates from ref</w:t>
      </w:r>
      <w:r>
        <w:rPr>
          <w:rFonts w:ascii="Times New Roman" w:hAnsi="Times New Roman" w:cs="Times New Roman"/>
          <w:color w:val="000000" w:themeColor="text1"/>
          <w:highlight w:val="white"/>
        </w:rPr>
        <w:t>.</w:t>
      </w:r>
      <w:r w:rsidRPr="00DA354E">
        <w:rPr>
          <w:rFonts w:ascii="Times New Roman" w:hAnsi="Times New Roman" w:cs="Times New Roman"/>
          <w:color w:val="000000" w:themeColor="text1"/>
          <w:highlight w:val="white"/>
        </w:rPr>
        <w:t xml:space="preserve"> </w:t>
      </w:r>
      <w:r>
        <w:rPr>
          <w:rFonts w:ascii="Times New Roman" w:hAnsi="Times New Roman" w:cs="Times New Roman"/>
          <w:color w:val="000000" w:themeColor="text1"/>
          <w:highlight w:val="white"/>
        </w:rPr>
        <w:t>[</w:t>
      </w:r>
      <w:r w:rsidRPr="005C2A3C">
        <w:rPr>
          <w:rFonts w:ascii="Times New Roman" w:hAnsi="Times New Roman" w:cs="Times New Roman"/>
          <w:color w:val="000000" w:themeColor="text1"/>
          <w:highlight w:val="white"/>
        </w:rPr>
        <w:fldChar w:fldCharType="begin" w:fldLock="1"/>
      </w:r>
      <w:r w:rsidRPr="005C2A3C">
        <w:rPr>
          <w:rFonts w:ascii="Times New Roman" w:hAnsi="Times New Roman" w:cs="Times New Roman"/>
          <w:color w:val="000000" w:themeColor="text1"/>
          <w:highlight w:val="white"/>
        </w:rPr>
        <w:instrText>ADDIN CSL_CITATION {"citationItems":[{"id":"ITEM-1","itemData":{"DOI":"10.1126/science.aam5962","ISSN":"0036-8075","abstract":"Are tropical forests a net source or net sink of atmospheric carbon dioxide? As fundamental a question as that is, there still is no agreement about the answer, with different studies suggesting that it is anything from a sizable sink to a modest source. Baccini et al. used 12 years of MODIS satellite data to determine how the aboveground carbon density of woody, live vegetation has changed throughout the entire tropics on an annual basis. They find that the tropics are a net carbon source, with losses owing to deforestation and reductions in carbon density within standing forests being double that of gains resulting from forest growth.Science, this issue p. 230The carbon balance of tropical ecosystems remains uncertain, with top-down atmospheric studies suggesting an overall sink and bottom-up ecological approaches indicating a modest net source. Here we use 12 years (2003 to 2014) of MODIS pantropical satellite data to quantify net annual changes in the aboveground carbon density of tropical woody live vegetation, providing direct, measurement-based evidence that the world{\\textquoteright}s tropical forests are a net carbon source of 425.2 {\\textpm} 92.0 teragrams of carbon per year (Tg C year{\\textendash}1). This net release of carbon consists of losses of 861.7 {\\textpm} 80.2 Tg C year{\\textendash}1 and gains of 436.5 {\\textpm} 31.0 Tg C year{\\textendash}1. Gains result from forest growth; losses result from deforestation and from reductions in carbon density within standing forests (degradation or disturbance), with the latter accounting for 68.9% of overall losses.","author":[{"dropping-particle":"","family":"Baccini","given":"A","non-dropping-particle":"","parse-names":false,"suffix":""},{"dropping-particle":"","family":"Walker","given":"W","non-dropping-particle":"","parse-names":false,"suffix":""},{"dropping-particle":"","family":"Carvalho","given":"L","non-dropping-particle":"","parse-names":false,"suffix":""},{"dropping-particle":"","family":"Farina","given":"M","non-dropping-particle":"","parse-names":false,"suffix":""},{"dropping-particle":"","family":"Sulla-Menashe","given":"D","non-dropping-particle":"","parse-names":false,"suffix":""},{"dropping-particle":"","family":"Houghton","given":"R A","non-dropping-particle":"","parse-names":false,"suffix":""}],"container-title":"Science","id":"ITEM-1","issue":"6360","issued":{"date-parts":[["2017"]]},"page":"230-234","publisher":"American Association for the Advancement of Science","title":"Tropical forests are a net carbon source based on aboveground measurements of gain and loss","type":"article-journal","volume":"358"},"uris":["http://www.mendeley.com/documents/?uuid=0ec15a8b-7de7-466a-bad0-2e91b8a2f76e"]}],"mendeley":{"formattedCitation":"&lt;sup&gt;17&lt;/sup&gt;","plainTextFormattedCitation":"17","previouslyFormattedCitation":"&lt;sup&gt;17&lt;/sup&gt;"},"properties":{"noteIndex":0},"schema":"https://github.com/citation-style-language/schema/raw/master/csl-citation.json"}</w:instrText>
      </w:r>
      <w:r w:rsidRPr="005C2A3C">
        <w:rPr>
          <w:rFonts w:ascii="Times New Roman" w:hAnsi="Times New Roman" w:cs="Times New Roman"/>
          <w:color w:val="000000" w:themeColor="text1"/>
          <w:highlight w:val="white"/>
        </w:rPr>
        <w:fldChar w:fldCharType="separate"/>
      </w:r>
      <w:r w:rsidRPr="005C2A3C">
        <w:rPr>
          <w:rFonts w:ascii="Times New Roman" w:hAnsi="Times New Roman" w:cs="Times New Roman"/>
          <w:noProof/>
          <w:color w:val="000000" w:themeColor="text1"/>
          <w:highlight w:val="white"/>
        </w:rPr>
        <w:t>17</w:t>
      </w:r>
      <w:r w:rsidRPr="005C2A3C">
        <w:rPr>
          <w:rFonts w:ascii="Times New Roman" w:hAnsi="Times New Roman" w:cs="Times New Roman"/>
          <w:color w:val="000000" w:themeColor="text1"/>
          <w:highlight w:val="white"/>
        </w:rPr>
        <w:fldChar w:fldCharType="end"/>
      </w:r>
      <w:r>
        <w:rPr>
          <w:rFonts w:ascii="Times New Roman" w:hAnsi="Times New Roman" w:cs="Times New Roman"/>
          <w:color w:val="000000" w:themeColor="text1"/>
          <w:highlight w:val="white"/>
        </w:rPr>
        <w:t>]</w:t>
      </w:r>
      <w:r w:rsidRPr="00DA354E">
        <w:rPr>
          <w:rFonts w:ascii="Times New Roman" w:hAnsi="Times New Roman" w:cs="Times New Roman"/>
          <w:color w:val="000000" w:themeColor="text1"/>
          <w:highlight w:val="white"/>
        </w:rPr>
        <w:t xml:space="preserve"> covering only biomass C stock changes (2003-2009)</w:t>
      </w:r>
    </w:p>
    <w:p w:rsidR="00F6749E" w:rsidRPr="00DA354E" w:rsidRDefault="00D7497F" w:rsidP="00F6749E">
      <w:pPr>
        <w:ind w:left="567" w:right="702"/>
        <w:rPr>
          <w:rFonts w:ascii="Times New Roman" w:hAnsi="Times New Roman" w:cs="Times New Roman"/>
          <w:color w:val="000000" w:themeColor="text1"/>
          <w:highlight w:val="white"/>
        </w:rPr>
      </w:pPr>
      <w:r w:rsidRPr="00DA354E">
        <w:rPr>
          <w:rFonts w:ascii="Times New Roman" w:hAnsi="Times New Roman" w:cs="Times New Roman"/>
          <w:noProof/>
          <w:color w:val="000000" w:themeColor="text1"/>
          <w:highlight w:val="white"/>
          <w:lang w:eastAsia="en-US"/>
        </w:rPr>
        <w:drawing>
          <wp:anchor distT="0" distB="0" distL="114300" distR="114300" simplePos="0" relativeHeight="251659264" behindDoc="0" locked="0" layoutInCell="1" allowOverlap="1" wp14:anchorId="7928796F">
            <wp:simplePos x="0" y="0"/>
            <wp:positionH relativeFrom="column">
              <wp:posOffset>-45720</wp:posOffset>
            </wp:positionH>
            <wp:positionV relativeFrom="paragraph">
              <wp:posOffset>266700</wp:posOffset>
            </wp:positionV>
            <wp:extent cx="5677535" cy="2184400"/>
            <wp:effectExtent l="0" t="0" r="0" b="0"/>
            <wp:wrapTopAndBottom/>
            <wp:docPr id="4" name="image13.pn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677535" cy="2184400"/>
                    </a:xfrm>
                    <a:prstGeom prst="rect">
                      <a:avLst/>
                    </a:prstGeom>
                    <a:ln/>
                  </pic:spPr>
                </pic:pic>
              </a:graphicData>
            </a:graphic>
            <wp14:sizeRelH relativeFrom="page">
              <wp14:pctWidth>0</wp14:pctWidth>
            </wp14:sizeRelH>
            <wp14:sizeRelV relativeFrom="page">
              <wp14:pctHeight>0</wp14:pctHeight>
            </wp14:sizeRelV>
          </wp:anchor>
        </w:drawing>
      </w:r>
    </w:p>
    <w:p w:rsidR="00F6749E" w:rsidRPr="00DA354E" w:rsidRDefault="00F6749E" w:rsidP="00F6749E">
      <w:pPr>
        <w:rPr>
          <w:rFonts w:ascii="Times New Roman" w:hAnsi="Times New Roman" w:cs="Times New Roman"/>
          <w:color w:val="000000" w:themeColor="text1"/>
        </w:rPr>
      </w:pPr>
      <w:r w:rsidRPr="00DA354E">
        <w:rPr>
          <w:rFonts w:ascii="Times New Roman" w:hAnsi="Times New Roman" w:cs="Times New Roman"/>
          <w:color w:val="000000" w:themeColor="text1"/>
        </w:rPr>
        <w:br w:type="page"/>
      </w:r>
    </w:p>
    <w:p w:rsidR="00F6749E" w:rsidRPr="00DA354E" w:rsidRDefault="00D7497F" w:rsidP="00F6749E">
      <w:pPr>
        <w:rPr>
          <w:rFonts w:ascii="Times New Roman" w:hAnsi="Times New Roman" w:cs="Times New Roman"/>
          <w:color w:val="000000" w:themeColor="text1"/>
        </w:rPr>
      </w:pPr>
      <w:r w:rsidRPr="00DA354E">
        <w:rPr>
          <w:rFonts w:ascii="Times New Roman" w:hAnsi="Times New Roman" w:cs="Times New Roman"/>
          <w:noProof/>
          <w:color w:val="000000" w:themeColor="text1"/>
        </w:rPr>
        <w:lastRenderedPageBreak/>
        <w:drawing>
          <wp:anchor distT="0" distB="0" distL="114300" distR="114300" simplePos="0" relativeHeight="251660288" behindDoc="0" locked="0" layoutInCell="1" allowOverlap="1" wp14:anchorId="22CAF647">
            <wp:simplePos x="0" y="0"/>
            <wp:positionH relativeFrom="column">
              <wp:posOffset>-7620</wp:posOffset>
            </wp:positionH>
            <wp:positionV relativeFrom="paragraph">
              <wp:posOffset>678180</wp:posOffset>
            </wp:positionV>
            <wp:extent cx="5671185" cy="432562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71185" cy="43256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rPr>
        <w:t>Supplementary</w:t>
      </w:r>
      <w:r w:rsidRPr="00DA354E">
        <w:rPr>
          <w:rFonts w:ascii="Times New Roman" w:hAnsi="Times New Roman" w:cs="Times New Roman"/>
          <w:b/>
          <w:color w:val="000000" w:themeColor="text1"/>
        </w:rPr>
        <w:t xml:space="preserve"> Figure 3. </w:t>
      </w:r>
      <w:r w:rsidRPr="00DA354E">
        <w:rPr>
          <w:rFonts w:ascii="Times New Roman" w:hAnsi="Times New Roman" w:cs="Times New Roman"/>
          <w:color w:val="000000" w:themeColor="text1"/>
        </w:rPr>
        <w:t xml:space="preserve">Decomposition of NEE into component fluxes used to calculate SHR as a residual for each region. Global values of each flux are provided in </w:t>
      </w:r>
      <w:proofErr w:type="spellStart"/>
      <w:r w:rsidRPr="00DA354E">
        <w:rPr>
          <w:rFonts w:ascii="Times New Roman" w:hAnsi="Times New Roman" w:cs="Times New Roman"/>
          <w:color w:val="000000" w:themeColor="text1"/>
        </w:rPr>
        <w:t>Pg</w:t>
      </w:r>
      <w:proofErr w:type="spellEnd"/>
      <w:r w:rsidRPr="00DA354E">
        <w:rPr>
          <w:rFonts w:ascii="Times New Roman" w:hAnsi="Times New Roman" w:cs="Times New Roman"/>
          <w:color w:val="000000" w:themeColor="text1"/>
        </w:rPr>
        <w:t xml:space="preserve"> C yr</w:t>
      </w:r>
      <w:r w:rsidRPr="00DA354E">
        <w:rPr>
          <w:rFonts w:ascii="Times New Roman" w:hAnsi="Times New Roman" w:cs="Times New Roman"/>
          <w:color w:val="000000" w:themeColor="text1"/>
          <w:vertAlign w:val="superscript"/>
        </w:rPr>
        <w:t>-1</w:t>
      </w:r>
      <w:r w:rsidRPr="00DA354E">
        <w:rPr>
          <w:rFonts w:ascii="Times New Roman" w:hAnsi="Times New Roman" w:cs="Times New Roman"/>
          <w:color w:val="000000" w:themeColor="text1"/>
        </w:rPr>
        <w:t xml:space="preserve"> rounded from </w:t>
      </w:r>
      <w:r>
        <w:rPr>
          <w:rFonts w:ascii="Times New Roman" w:hAnsi="Times New Roman" w:cs="Times New Roman"/>
          <w:color w:val="000000" w:themeColor="text1"/>
        </w:rPr>
        <w:t>Supplementary</w:t>
      </w:r>
      <w:r w:rsidRPr="00DA354E">
        <w:rPr>
          <w:rFonts w:ascii="Times New Roman" w:hAnsi="Times New Roman" w:cs="Times New Roman"/>
          <w:color w:val="000000" w:themeColor="text1"/>
        </w:rPr>
        <w:t xml:space="preserve"> Table 1 to 0.1 </w:t>
      </w:r>
      <w:proofErr w:type="spellStart"/>
      <w:r w:rsidRPr="00DA354E">
        <w:rPr>
          <w:rFonts w:ascii="Times New Roman" w:hAnsi="Times New Roman" w:cs="Times New Roman"/>
          <w:color w:val="000000" w:themeColor="text1"/>
        </w:rPr>
        <w:t>Pg</w:t>
      </w:r>
      <w:proofErr w:type="spellEnd"/>
      <w:r w:rsidRPr="00DA354E">
        <w:rPr>
          <w:rFonts w:ascii="Times New Roman" w:hAnsi="Times New Roman" w:cs="Times New Roman"/>
          <w:color w:val="000000" w:themeColor="text1"/>
        </w:rPr>
        <w:t xml:space="preserve"> C yr</w:t>
      </w:r>
      <w:r w:rsidRPr="00DA354E">
        <w:rPr>
          <w:rFonts w:ascii="Times New Roman" w:hAnsi="Times New Roman" w:cs="Times New Roman"/>
          <w:color w:val="000000" w:themeColor="text1"/>
          <w:vertAlign w:val="superscript"/>
        </w:rPr>
        <w:t>-1</w:t>
      </w:r>
    </w:p>
    <w:p w:rsidR="00F6749E" w:rsidRPr="00DA354E" w:rsidRDefault="00F6749E" w:rsidP="00F6749E">
      <w:pPr>
        <w:rPr>
          <w:rFonts w:ascii="Times New Roman" w:hAnsi="Times New Roman" w:cs="Times New Roman"/>
          <w:color w:val="000000" w:themeColor="text1"/>
        </w:rPr>
      </w:pPr>
    </w:p>
    <w:p w:rsidR="00F6749E" w:rsidRPr="00DA354E" w:rsidRDefault="00F6749E" w:rsidP="00F6749E">
      <w:pPr>
        <w:rPr>
          <w:rFonts w:ascii="Times New Roman" w:hAnsi="Times New Roman" w:cs="Times New Roman"/>
          <w:color w:val="000000" w:themeColor="text1"/>
        </w:rPr>
      </w:pPr>
    </w:p>
    <w:p w:rsidR="00F6749E" w:rsidRPr="00DA354E" w:rsidRDefault="00F6749E" w:rsidP="00F6749E">
      <w:pPr>
        <w:rPr>
          <w:rFonts w:ascii="Times New Roman" w:hAnsi="Times New Roman" w:cs="Times New Roman"/>
          <w:color w:val="000000" w:themeColor="text1"/>
          <w:highlight w:val="yellow"/>
        </w:rPr>
      </w:pPr>
      <w:r w:rsidRPr="00DA354E">
        <w:rPr>
          <w:rFonts w:ascii="Times New Roman" w:hAnsi="Times New Roman" w:cs="Times New Roman"/>
          <w:color w:val="000000" w:themeColor="text1"/>
        </w:rPr>
        <w:br w:type="page"/>
      </w:r>
    </w:p>
    <w:p w:rsidR="00D7497F" w:rsidRPr="00DA354E" w:rsidRDefault="00D7497F" w:rsidP="00D7497F">
      <w:pPr>
        <w:rPr>
          <w:rFonts w:ascii="Times New Roman" w:hAnsi="Times New Roman" w:cs="Times New Roman"/>
          <w:color w:val="000000" w:themeColor="text1"/>
        </w:rPr>
      </w:pPr>
      <w:r>
        <w:rPr>
          <w:rFonts w:ascii="Times New Roman" w:hAnsi="Times New Roman" w:cs="Times New Roman"/>
          <w:b/>
          <w:color w:val="000000" w:themeColor="text1"/>
        </w:rPr>
        <w:lastRenderedPageBreak/>
        <w:t>Supplementary</w:t>
      </w:r>
      <w:r w:rsidRPr="00DA354E">
        <w:rPr>
          <w:rFonts w:ascii="Times New Roman" w:hAnsi="Times New Roman" w:cs="Times New Roman"/>
          <w:b/>
          <w:color w:val="000000" w:themeColor="text1"/>
        </w:rPr>
        <w:t xml:space="preserve"> Figure 4</w:t>
      </w:r>
      <w:r w:rsidRPr="00DA354E">
        <w:rPr>
          <w:rFonts w:ascii="Times New Roman" w:hAnsi="Times New Roman" w:cs="Times New Roman"/>
          <w:color w:val="000000" w:themeColor="text1"/>
        </w:rPr>
        <w:t>. Comparison of NPP from four empirical based estimates (2000-2009) for each region (Methods)</w:t>
      </w:r>
    </w:p>
    <w:p w:rsidR="00F6749E" w:rsidRPr="00DA354E" w:rsidRDefault="00D7497F" w:rsidP="00F6749E">
      <w:pPr>
        <w:rPr>
          <w:rFonts w:ascii="Times New Roman" w:hAnsi="Times New Roman" w:cs="Times New Roman"/>
          <w:color w:val="000000" w:themeColor="text1"/>
        </w:rPr>
      </w:pPr>
      <w:r w:rsidRPr="00DA354E">
        <w:rPr>
          <w:rFonts w:ascii="Times New Roman" w:hAnsi="Times New Roman" w:cs="Times New Roman"/>
          <w:noProof/>
          <w:color w:val="000000" w:themeColor="text1"/>
          <w:lang w:eastAsia="en-US"/>
        </w:rPr>
        <w:drawing>
          <wp:anchor distT="0" distB="0" distL="114300" distR="114300" simplePos="0" relativeHeight="251661312" behindDoc="0" locked="0" layoutInCell="1" allowOverlap="1" wp14:anchorId="1D9CFC6C">
            <wp:simplePos x="0" y="0"/>
            <wp:positionH relativeFrom="column">
              <wp:posOffset>-45720</wp:posOffset>
            </wp:positionH>
            <wp:positionV relativeFrom="paragraph">
              <wp:posOffset>190500</wp:posOffset>
            </wp:positionV>
            <wp:extent cx="5677535" cy="2184400"/>
            <wp:effectExtent l="0" t="0" r="0" b="0"/>
            <wp:wrapTopAndBottom/>
            <wp:docPr id="3" name="image7.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5677535" cy="2184400"/>
                    </a:xfrm>
                    <a:prstGeom prst="rect">
                      <a:avLst/>
                    </a:prstGeom>
                    <a:ln/>
                  </pic:spPr>
                </pic:pic>
              </a:graphicData>
            </a:graphic>
            <wp14:sizeRelH relativeFrom="page">
              <wp14:pctWidth>0</wp14:pctWidth>
            </wp14:sizeRelH>
            <wp14:sizeRelV relativeFrom="page">
              <wp14:pctHeight>0</wp14:pctHeight>
            </wp14:sizeRelV>
          </wp:anchor>
        </w:drawing>
      </w:r>
    </w:p>
    <w:p w:rsidR="00F6749E" w:rsidRPr="00DA354E" w:rsidRDefault="00F6749E" w:rsidP="00F6749E">
      <w:pPr>
        <w:jc w:val="center"/>
        <w:rPr>
          <w:rFonts w:ascii="Times New Roman" w:hAnsi="Times New Roman" w:cs="Times New Roman"/>
          <w:color w:val="000000" w:themeColor="text1"/>
        </w:rPr>
      </w:pPr>
    </w:p>
    <w:p w:rsidR="00541658" w:rsidRDefault="00541658">
      <w:pPr>
        <w:rPr>
          <w:rFonts w:ascii="Times New Roman" w:hAnsi="Times New Roman" w:cs="Times New Roman"/>
          <w:color w:val="000000" w:themeColor="text1"/>
          <w:highlight w:val="white"/>
        </w:rPr>
      </w:pPr>
      <w:r>
        <w:rPr>
          <w:rFonts w:ascii="Times New Roman" w:hAnsi="Times New Roman" w:cs="Times New Roman"/>
          <w:color w:val="000000" w:themeColor="text1"/>
          <w:highlight w:val="white"/>
        </w:rPr>
        <w:br w:type="page"/>
      </w:r>
    </w:p>
    <w:p w:rsidR="00541658" w:rsidRPr="00DA354E" w:rsidRDefault="00541658" w:rsidP="00541658">
      <w:pPr>
        <w:rPr>
          <w:rFonts w:ascii="Times New Roman" w:hAnsi="Times New Roman" w:cs="Times New Roman"/>
          <w:color w:val="000000" w:themeColor="text1"/>
        </w:rPr>
      </w:pPr>
      <w:r w:rsidRPr="00DA354E">
        <w:rPr>
          <w:rFonts w:ascii="Times New Roman" w:hAnsi="Times New Roman" w:cs="Times New Roman"/>
          <w:b/>
          <w:color w:val="000000" w:themeColor="text1"/>
        </w:rPr>
        <w:lastRenderedPageBreak/>
        <w:t xml:space="preserve">Supplementary Figure </w:t>
      </w:r>
      <w:r>
        <w:rPr>
          <w:rFonts w:ascii="Times New Roman" w:hAnsi="Times New Roman" w:cs="Times New Roman"/>
          <w:b/>
          <w:color w:val="000000" w:themeColor="text1"/>
        </w:rPr>
        <w:t>5</w:t>
      </w:r>
      <w:r w:rsidRPr="00DA354E">
        <w:rPr>
          <w:rFonts w:ascii="Times New Roman" w:hAnsi="Times New Roman" w:cs="Times New Roman"/>
          <w:color w:val="000000" w:themeColor="text1"/>
        </w:rPr>
        <w:t xml:space="preserve"> The spatial distribution of SHR observation data used in the Random Forest upscaling (N=455)</w:t>
      </w:r>
      <w:r>
        <w:rPr>
          <w:rFonts w:ascii="Times New Roman" w:hAnsi="Times New Roman" w:cs="Times New Roman"/>
          <w:color w:val="000000" w:themeColor="text1"/>
        </w:rPr>
        <w:t>.</w:t>
      </w:r>
    </w:p>
    <w:p w:rsidR="00F6749E" w:rsidRPr="00DA354E" w:rsidRDefault="00541658" w:rsidP="00F6749E">
      <w:pPr>
        <w:rPr>
          <w:rFonts w:ascii="Times New Roman" w:hAnsi="Times New Roman" w:cs="Times New Roman"/>
          <w:color w:val="000000" w:themeColor="text1"/>
          <w:highlight w:val="white"/>
        </w:rPr>
      </w:pPr>
      <w:r w:rsidRPr="00DA354E">
        <w:rPr>
          <w:rFonts w:ascii="Times New Roman" w:hAnsi="Times New Roman" w:cs="Times New Roman"/>
          <w:noProof/>
          <w:color w:val="000000" w:themeColor="text1"/>
          <w:lang w:eastAsia="en-US"/>
        </w:rPr>
        <w:drawing>
          <wp:anchor distT="0" distB="0" distL="114300" distR="114300" simplePos="0" relativeHeight="251664384" behindDoc="0" locked="0" layoutInCell="1" allowOverlap="1" wp14:anchorId="55CF38D2">
            <wp:simplePos x="0" y="0"/>
            <wp:positionH relativeFrom="column">
              <wp:posOffset>677545</wp:posOffset>
            </wp:positionH>
            <wp:positionV relativeFrom="paragraph">
              <wp:posOffset>198120</wp:posOffset>
            </wp:positionV>
            <wp:extent cx="4234180" cy="1790700"/>
            <wp:effectExtent l="0" t="0" r="0" b="0"/>
            <wp:wrapTopAndBottom/>
            <wp:docPr id="1" name="image3.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cstate="print">
                      <a:extLst>
                        <a:ext uri="{28A0092B-C50C-407E-A947-70E740481C1C}">
                          <a14:useLocalDpi xmlns:a14="http://schemas.microsoft.com/office/drawing/2010/main" val="0"/>
                        </a:ext>
                      </a:extLst>
                    </a:blip>
                    <a:srcRect l="11331" t="19417" r="14093" b="17572"/>
                    <a:stretch>
                      <a:fillRect/>
                    </a:stretch>
                  </pic:blipFill>
                  <pic:spPr>
                    <a:xfrm>
                      <a:off x="0" y="0"/>
                      <a:ext cx="4234180" cy="1790700"/>
                    </a:xfrm>
                    <a:prstGeom prst="rect">
                      <a:avLst/>
                    </a:prstGeom>
                    <a:ln/>
                  </pic:spPr>
                </pic:pic>
              </a:graphicData>
            </a:graphic>
            <wp14:sizeRelH relativeFrom="page">
              <wp14:pctWidth>0</wp14:pctWidth>
            </wp14:sizeRelH>
            <wp14:sizeRelV relativeFrom="page">
              <wp14:pctHeight>0</wp14:pctHeight>
            </wp14:sizeRelV>
          </wp:anchor>
        </w:drawing>
      </w:r>
    </w:p>
    <w:p w:rsidR="00541658" w:rsidRDefault="00541658">
      <w:pPr>
        <w:rPr>
          <w:rFonts w:ascii="Times New Roman" w:hAnsi="Times New Roman" w:cs="Times New Roman"/>
          <w:color w:val="000000" w:themeColor="text1"/>
        </w:rPr>
      </w:pPr>
      <w:r>
        <w:rPr>
          <w:rFonts w:ascii="Times New Roman" w:hAnsi="Times New Roman" w:cs="Times New Roman"/>
          <w:color w:val="000000" w:themeColor="text1"/>
        </w:rPr>
        <w:br w:type="page"/>
      </w:r>
    </w:p>
    <w:p w:rsidR="00541658" w:rsidRPr="00DA354E" w:rsidRDefault="00541658" w:rsidP="00541658">
      <w:pPr>
        <w:rPr>
          <w:rFonts w:ascii="Times New Roman" w:hAnsi="Times New Roman" w:cs="Times New Roman"/>
          <w:color w:val="000000" w:themeColor="text1"/>
        </w:rPr>
      </w:pPr>
      <w:r w:rsidRPr="00DA354E">
        <w:rPr>
          <w:rFonts w:ascii="Times New Roman" w:hAnsi="Times New Roman" w:cs="Times New Roman"/>
          <w:noProof/>
          <w:color w:val="000000" w:themeColor="text1"/>
          <w:lang w:eastAsia="en-US"/>
        </w:rPr>
        <w:lastRenderedPageBreak/>
        <w:drawing>
          <wp:anchor distT="0" distB="0" distL="114300" distR="114300" simplePos="0" relativeHeight="251665408" behindDoc="0" locked="0" layoutInCell="1" allowOverlap="1" wp14:anchorId="6153ACBA">
            <wp:simplePos x="0" y="0"/>
            <wp:positionH relativeFrom="column">
              <wp:posOffset>815340</wp:posOffset>
            </wp:positionH>
            <wp:positionV relativeFrom="paragraph">
              <wp:posOffset>669925</wp:posOffset>
            </wp:positionV>
            <wp:extent cx="3819525" cy="3819525"/>
            <wp:effectExtent l="0" t="0" r="3175" b="3175"/>
            <wp:wrapTopAndBottom/>
            <wp:docPr id="6" name="image5.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819525" cy="3819525"/>
                    </a:xfrm>
                    <a:prstGeom prst="rect">
                      <a:avLst/>
                    </a:prstGeom>
                    <a:ln/>
                  </pic:spPr>
                </pic:pic>
              </a:graphicData>
            </a:graphic>
            <wp14:sizeRelH relativeFrom="page">
              <wp14:pctWidth>0</wp14:pctWidth>
            </wp14:sizeRelH>
            <wp14:sizeRelV relativeFrom="page">
              <wp14:pctHeight>0</wp14:pctHeight>
            </wp14:sizeRelV>
          </wp:anchor>
        </w:drawing>
      </w:r>
      <w:r w:rsidRPr="00DA354E">
        <w:rPr>
          <w:rFonts w:ascii="Times New Roman" w:hAnsi="Times New Roman" w:cs="Times New Roman"/>
          <w:b/>
          <w:color w:val="000000" w:themeColor="text1"/>
        </w:rPr>
        <w:t xml:space="preserve">Supplementary Figure </w:t>
      </w:r>
      <w:r>
        <w:rPr>
          <w:rFonts w:ascii="Times New Roman" w:hAnsi="Times New Roman" w:cs="Times New Roman"/>
          <w:b/>
          <w:color w:val="000000" w:themeColor="text1"/>
        </w:rPr>
        <w:t>6</w:t>
      </w:r>
      <w:r w:rsidRPr="00DA354E">
        <w:rPr>
          <w:rFonts w:ascii="Times New Roman" w:hAnsi="Times New Roman" w:cs="Times New Roman"/>
          <w:color w:val="000000" w:themeColor="text1"/>
        </w:rPr>
        <w:t xml:space="preserve"> Performance of random forest in estimating site-level annual SHR. The predicted value of each observation is estimated by a random forest model trained by other training samples excluding the validated one.</w:t>
      </w:r>
    </w:p>
    <w:p w:rsidR="00541658" w:rsidRPr="00DA354E" w:rsidRDefault="00541658" w:rsidP="00541658">
      <w:pPr>
        <w:rPr>
          <w:rFonts w:ascii="Times New Roman" w:hAnsi="Times New Roman" w:cs="Times New Roman"/>
          <w:color w:val="000000" w:themeColor="text1"/>
        </w:rPr>
      </w:pPr>
    </w:p>
    <w:p w:rsidR="00F6749E" w:rsidRPr="00DA354E" w:rsidRDefault="00F6749E" w:rsidP="00F6749E">
      <w:pPr>
        <w:ind w:right="94"/>
        <w:rPr>
          <w:rFonts w:ascii="Times New Roman" w:hAnsi="Times New Roman" w:cs="Times New Roman"/>
          <w:color w:val="000000" w:themeColor="text1"/>
          <w:highlight w:val="white"/>
        </w:rPr>
      </w:pPr>
      <w:r w:rsidRPr="00DA354E">
        <w:rPr>
          <w:rFonts w:ascii="Times New Roman" w:hAnsi="Times New Roman" w:cs="Times New Roman"/>
          <w:color w:val="000000" w:themeColor="text1"/>
        </w:rPr>
        <w:br w:type="page"/>
      </w:r>
    </w:p>
    <w:p w:rsidR="00683641" w:rsidRPr="00DA354E" w:rsidRDefault="00683641" w:rsidP="00683641">
      <w:pPr>
        <w:rPr>
          <w:rFonts w:ascii="Times New Roman" w:hAnsi="Times New Roman" w:cs="Times New Roman"/>
          <w:color w:val="000000" w:themeColor="text1"/>
        </w:rPr>
      </w:pPr>
      <w:r w:rsidRPr="00DA354E">
        <w:rPr>
          <w:rFonts w:ascii="Times New Roman" w:hAnsi="Times New Roman" w:cs="Times New Roman"/>
          <w:noProof/>
          <w:color w:val="000000" w:themeColor="text1"/>
          <w:lang w:eastAsia="en-US"/>
        </w:rPr>
        <w:lastRenderedPageBreak/>
        <w:drawing>
          <wp:anchor distT="0" distB="0" distL="114300" distR="114300" simplePos="0" relativeHeight="251667456" behindDoc="0" locked="0" layoutInCell="1" allowOverlap="1" wp14:anchorId="47BF37D3" wp14:editId="0DCD6BB4">
            <wp:simplePos x="0" y="0"/>
            <wp:positionH relativeFrom="column">
              <wp:posOffset>403225</wp:posOffset>
            </wp:positionH>
            <wp:positionV relativeFrom="paragraph">
              <wp:posOffset>601345</wp:posOffset>
            </wp:positionV>
            <wp:extent cx="4967605" cy="4560570"/>
            <wp:effectExtent l="0" t="0" r="0" b="0"/>
            <wp:wrapTopAndBottom/>
            <wp:docPr id="9" name="image9.pn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9" cstate="print">
                      <a:extLst>
                        <a:ext uri="{28A0092B-C50C-407E-A947-70E740481C1C}">
                          <a14:useLocalDpi xmlns:a14="http://schemas.microsoft.com/office/drawing/2010/main" val="0"/>
                        </a:ext>
                      </a:extLst>
                    </a:blip>
                    <a:srcRect t="-872" b="9060"/>
                    <a:stretch/>
                  </pic:blipFill>
                  <pic:spPr bwMode="auto">
                    <a:xfrm>
                      <a:off x="0" y="0"/>
                      <a:ext cx="4967605" cy="456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354E">
        <w:rPr>
          <w:rFonts w:ascii="Times New Roman" w:hAnsi="Times New Roman" w:cs="Times New Roman"/>
          <w:b/>
          <w:color w:val="000000" w:themeColor="text1"/>
        </w:rPr>
        <w:t xml:space="preserve">Supplementary Figure </w:t>
      </w:r>
      <w:r>
        <w:rPr>
          <w:rFonts w:ascii="Times New Roman" w:hAnsi="Times New Roman" w:cs="Times New Roman"/>
          <w:b/>
          <w:color w:val="000000" w:themeColor="text1"/>
        </w:rPr>
        <w:t>7</w:t>
      </w:r>
      <w:r w:rsidRPr="00DA354E">
        <w:rPr>
          <w:rFonts w:ascii="Times New Roman" w:hAnsi="Times New Roman" w:cs="Times New Roman"/>
          <w:b/>
          <w:color w:val="000000" w:themeColor="text1"/>
        </w:rPr>
        <w:t>.</w:t>
      </w:r>
      <w:r w:rsidRPr="00DA354E">
        <w:rPr>
          <w:rFonts w:ascii="Times New Roman" w:hAnsi="Times New Roman" w:cs="Times New Roman"/>
          <w:color w:val="000000" w:themeColor="text1"/>
        </w:rPr>
        <w:t xml:space="preserve"> Spatial distribution of site upscaled SHR from Random Forest in this study </w:t>
      </w:r>
      <w:r w:rsidRPr="00DA354E">
        <w:rPr>
          <w:rFonts w:ascii="Times New Roman" w:hAnsi="Times New Roman" w:cs="Times New Roman"/>
          <w:b/>
          <w:color w:val="000000" w:themeColor="text1"/>
        </w:rPr>
        <w:t>(</w:t>
      </w:r>
      <w:proofErr w:type="spellStart"/>
      <w:r w:rsidRPr="00DA354E">
        <w:rPr>
          <w:rFonts w:ascii="Times New Roman" w:hAnsi="Times New Roman" w:cs="Times New Roman"/>
          <w:b/>
          <w:color w:val="000000" w:themeColor="text1"/>
        </w:rPr>
        <w:t>a,c,e</w:t>
      </w:r>
      <w:proofErr w:type="spellEnd"/>
      <w:r w:rsidRPr="00DA354E">
        <w:rPr>
          <w:rFonts w:ascii="Times New Roman" w:hAnsi="Times New Roman" w:cs="Times New Roman"/>
          <w:b/>
          <w:color w:val="000000" w:themeColor="text1"/>
        </w:rPr>
        <w:t>)</w:t>
      </w:r>
      <w:r w:rsidRPr="00DA354E">
        <w:rPr>
          <w:rFonts w:ascii="Times New Roman" w:hAnsi="Times New Roman" w:cs="Times New Roman"/>
          <w:color w:val="000000" w:themeColor="text1"/>
        </w:rPr>
        <w:t xml:space="preserve"> and from climate functions as in </w:t>
      </w:r>
      <w:proofErr w:type="spellStart"/>
      <w:r w:rsidRPr="00DA354E">
        <w:rPr>
          <w:rFonts w:ascii="Times New Roman" w:hAnsi="Times New Roman" w:cs="Times New Roman"/>
          <w:color w:val="000000" w:themeColor="text1"/>
        </w:rPr>
        <w:t>Konings</w:t>
      </w:r>
      <w:proofErr w:type="spellEnd"/>
      <w:r w:rsidRPr="00DA354E">
        <w:rPr>
          <w:rFonts w:ascii="Times New Roman" w:hAnsi="Times New Roman" w:cs="Times New Roman"/>
          <w:color w:val="000000" w:themeColor="text1"/>
        </w:rPr>
        <w:t xml:space="preserve"> et al.</w:t>
      </w:r>
      <w:r>
        <w:rPr>
          <w:rFonts w:ascii="Times New Roman" w:hAnsi="Times New Roman" w:cs="Times New Roman"/>
          <w:color w:val="000000" w:themeColor="text1"/>
        </w:rPr>
        <w:t xml:space="preserve"> [</w:t>
      </w:r>
      <w:r w:rsidRPr="00CA64FA">
        <w:rPr>
          <w:rFonts w:ascii="Times New Roman" w:hAnsi="Times New Roman" w:cs="Times New Roman"/>
          <w:color w:val="000000" w:themeColor="text1"/>
        </w:rPr>
        <w:fldChar w:fldCharType="begin" w:fldLock="1"/>
      </w:r>
      <w:r w:rsidRPr="00CA64FA">
        <w:rPr>
          <w:rFonts w:ascii="Times New Roman" w:hAnsi="Times New Roman" w:cs="Times New Roman"/>
          <w:color w:val="000000" w:themeColor="text1"/>
        </w:rPr>
        <w:instrText>ADDIN CSL_CITATION {"citationItems":[{"id":"ITEM-1","itemData":{"DOI":"10.5194/bg-2018-466","ISSN":"1810-6285","abstract":"Abstract. While heterotrophic respiration (Rh) makes up about a quarter of gross global terrestrial carbon fluxes, it remains among the least observed carbon fluxes, particularly outside the mid-latitudes. In situ measurements collected in the Soil Respiration Database (SRDB) number only a few hundred worldwide. Similarly, only a single data-driven wall-to-wall estimate of annual average heterotrophic respiration exists, based on bottom-up upscaling of SRDB measurements using an assumed functional form to account for climate variability. In this study, we exploit recent advances in remote sensing of terrestrial carbon fluxes to estimate global variations in heterotrophic respiration in a top-down fashion at monthly temporal resolution and 4&amp;thinsp;x&amp;thinsp;5&amp;deg; spatial resolution. We combine net ecosystem productivity estimates from atmospheric inversions of the NASA Carbon Monitoring System- Flux (CMS-Flux) with an optimally-scaled gross primary productivity dataset based on satellite-observed solar-induced fluorescence variations to estimate total ecosystem respiration as a residual of the terrestrial carbon balance. The ecosystem respiration is then separated into autotrophic and heterotrophic components based on a spatially-varying carbon use efficiency retrieved in a model-data fusion framework (the CARbon DAta MOdel fraMework, CARDAMOM). The resulting dataset is independent of any assumptions about how heterotrophic respiration responds to climate or substrate variations. It estimates an annual average global average heterotrophic respiration flux of 43.6&amp;thinsp;&amp;pm;&amp;thinsp;19.3&amp;thinsp;Pg&amp;thinsp;C/yr. These top-down estimates are compared to bottom-up estimates of annual heterotrophic respiration, with new uncertainty estimates that partially account for sampling and model errors. Top-down heterotrophic respiration estimates are higher than those from bottom-up upscaling everywhere except at high latitudes, and are 30&amp;thinsp;% greater overall (43.6&amp;thinsp;Pg&amp;thinsp;C/yr vs. 33.4&amp;thinsp;Pg&amp;thinsp;C/yr). The uncertainty ranges of both methods are comparable, except poleward of 45 degrees North, where bottom-up uncertainties are greater. The ratio of top-down heterotrophic to total ecosystem respiration varies seasonally by as much as 0.6 depending on season and climate, illustrating the importance of studying the drivers of autotrophic and heterotrophic respiration separately, and thus the importance of data-driven estimates of Rh such as those es…","author":[{"dropping-particle":"","family":"Konings","given":"Alexandra G.","non-dropping-particle":"","parse-names":false,"suffix":""},{"dropping-particle":"","family":"Bloom","given":"A. Anthony","non-dropping-particle":"","parse-names":false,"suffix":""},{"dropping-particle":"","family":"Liu","given":"Junjie","non-dropping-particle":"","parse-names":false,"suffix":""},{"dropping-particle":"","family":"Parazoo","given":"Nicholas C.","non-dropping-particle":"","parse-names":false,"suffix":""},{"dropping-particle":"","family":"Schimel","given":"David S.","non-dropping-particle":"","parse-names":false,"suffix":""},{"dropping-particle":"","family":"Bowman","given":"Kevin W.","non-dropping-particle":"","parse-names":false,"suffix":""}],"container-title":"Biogeosciences","id":"ITEM-1","issued":{"date-parts":[["2019","11","15"]]},"page":"2269-2284","title":"Global, Satellite-Driven Estimates of Heterotrophic Respiration","type":"article-journal","volume":"16"},"uris":["http://www.mendeley.com/documents/?uuid=156123b4-21b3-3c9d-9b2f-04dfacecead9"]}],"mendeley":{"formattedCitation":"&lt;sup&gt;31&lt;/sup&gt;","plainTextFormattedCitation":"31","previouslyFormattedCitation":"&lt;sup&gt;31&lt;/sup&gt;"},"properties":{"noteIndex":0},"schema":"https://github.com/citation-style-language/schema/raw/master/csl-citation.json"}</w:instrText>
      </w:r>
      <w:r w:rsidRPr="00CA64FA">
        <w:rPr>
          <w:rFonts w:ascii="Times New Roman" w:hAnsi="Times New Roman" w:cs="Times New Roman"/>
          <w:color w:val="000000" w:themeColor="text1"/>
        </w:rPr>
        <w:fldChar w:fldCharType="separate"/>
      </w:r>
      <w:r w:rsidRPr="00CA64FA">
        <w:rPr>
          <w:rFonts w:ascii="Times New Roman" w:hAnsi="Times New Roman" w:cs="Times New Roman"/>
          <w:noProof/>
          <w:color w:val="000000" w:themeColor="text1"/>
        </w:rPr>
        <w:t>31</w:t>
      </w:r>
      <w:r w:rsidRPr="00CA64FA">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Pr="00DA354E">
        <w:rPr>
          <w:rFonts w:ascii="Times New Roman" w:hAnsi="Times New Roman" w:cs="Times New Roman"/>
          <w:color w:val="000000" w:themeColor="text1"/>
        </w:rPr>
        <w:t xml:space="preserve"> also used in this study </w:t>
      </w:r>
      <w:r w:rsidRPr="00DA354E">
        <w:rPr>
          <w:rFonts w:ascii="Times New Roman" w:hAnsi="Times New Roman" w:cs="Times New Roman"/>
          <w:b/>
          <w:color w:val="000000" w:themeColor="text1"/>
        </w:rPr>
        <w:t>(</w:t>
      </w:r>
      <w:proofErr w:type="spellStart"/>
      <w:r w:rsidRPr="00DA354E">
        <w:rPr>
          <w:rFonts w:ascii="Times New Roman" w:hAnsi="Times New Roman" w:cs="Times New Roman"/>
          <w:b/>
          <w:color w:val="000000" w:themeColor="text1"/>
        </w:rPr>
        <w:t>b,d,f</w:t>
      </w:r>
      <w:proofErr w:type="spellEnd"/>
      <w:r w:rsidRPr="00DA354E">
        <w:rPr>
          <w:rFonts w:ascii="Times New Roman" w:hAnsi="Times New Roman" w:cs="Times New Roman"/>
          <w:b/>
          <w:color w:val="000000" w:themeColor="text1"/>
        </w:rPr>
        <w:t>)</w:t>
      </w:r>
      <w:r w:rsidRPr="00DA354E">
        <w:rPr>
          <w:rFonts w:ascii="Times New Roman" w:hAnsi="Times New Roman" w:cs="Times New Roman"/>
          <w:color w:val="000000" w:themeColor="text1"/>
        </w:rPr>
        <w:t xml:space="preserve">. Median, first quantile, and third quantile are shown. </w:t>
      </w:r>
    </w:p>
    <w:p w:rsidR="00683641" w:rsidRDefault="00683641">
      <w:pPr>
        <w:rPr>
          <w:rFonts w:ascii="Times New Roman" w:hAnsi="Times New Roman" w:cs="Times New Roman"/>
          <w:i/>
          <w:color w:val="000000" w:themeColor="text1"/>
          <w:highlight w:val="white"/>
        </w:rPr>
      </w:pPr>
      <w:r>
        <w:rPr>
          <w:rFonts w:ascii="Times New Roman" w:hAnsi="Times New Roman" w:cs="Times New Roman"/>
          <w:i/>
          <w:color w:val="000000" w:themeColor="text1"/>
          <w:highlight w:val="white"/>
        </w:rPr>
        <w:br w:type="page"/>
      </w:r>
    </w:p>
    <w:p w:rsidR="00F6749E" w:rsidRPr="00DA354E" w:rsidRDefault="007233A0" w:rsidP="007233A0">
      <w:pPr>
        <w:ind w:right="94"/>
        <w:rPr>
          <w:rFonts w:ascii="Times New Roman" w:hAnsi="Times New Roman" w:cs="Times New Roman"/>
          <w:i/>
          <w:color w:val="000000" w:themeColor="text1"/>
          <w:highlight w:val="white"/>
        </w:rPr>
      </w:pPr>
      <w:r>
        <w:rPr>
          <w:rFonts w:ascii="Times New Roman" w:hAnsi="Times New Roman" w:cs="Times New Roman"/>
          <w:b/>
          <w:color w:val="000000" w:themeColor="text1"/>
        </w:rPr>
        <w:lastRenderedPageBreak/>
        <w:t>Supplementary</w:t>
      </w:r>
      <w:r w:rsidRPr="00DA354E">
        <w:rPr>
          <w:rFonts w:ascii="Times New Roman" w:hAnsi="Times New Roman" w:cs="Times New Roman"/>
          <w:b/>
          <w:color w:val="000000" w:themeColor="text1"/>
        </w:rPr>
        <w:t xml:space="preserve"> Figure </w:t>
      </w:r>
      <w:r>
        <w:rPr>
          <w:rFonts w:ascii="Times New Roman" w:hAnsi="Times New Roman" w:cs="Times New Roman"/>
          <w:b/>
          <w:color w:val="000000" w:themeColor="text1"/>
        </w:rPr>
        <w:t>8</w:t>
      </w:r>
      <w:r w:rsidRPr="00DA354E">
        <w:rPr>
          <w:rFonts w:ascii="Times New Roman" w:hAnsi="Times New Roman" w:cs="Times New Roman"/>
          <w:color w:val="000000" w:themeColor="text1"/>
          <w:highlight w:val="white"/>
        </w:rPr>
        <w:t>. Fire C emissions from GFED4 compared with GFAS (Methods)</w:t>
      </w:r>
    </w:p>
    <w:p w:rsidR="00F6749E" w:rsidRPr="00DA354E" w:rsidRDefault="00F6749E" w:rsidP="00F6749E">
      <w:pPr>
        <w:ind w:right="94"/>
        <w:jc w:val="center"/>
        <w:rPr>
          <w:rFonts w:ascii="Times New Roman" w:hAnsi="Times New Roman" w:cs="Times New Roman"/>
          <w:color w:val="000000" w:themeColor="text1"/>
          <w:highlight w:val="white"/>
        </w:rPr>
      </w:pPr>
      <w:r w:rsidRPr="00DA354E">
        <w:rPr>
          <w:rFonts w:ascii="Times New Roman" w:hAnsi="Times New Roman" w:cs="Times New Roman"/>
          <w:noProof/>
          <w:color w:val="000000" w:themeColor="text1"/>
          <w:highlight w:val="white"/>
          <w:lang w:eastAsia="en-US"/>
        </w:rPr>
        <w:drawing>
          <wp:inline distT="114300" distB="114300" distL="114300" distR="114300" wp14:anchorId="680FF2D5" wp14:editId="46E3B609">
            <wp:extent cx="5677535" cy="2184400"/>
            <wp:effectExtent l="0" t="0" r="0" b="0"/>
            <wp:docPr id="13" name="image8.png"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677535" cy="2184400"/>
                    </a:xfrm>
                    <a:prstGeom prst="rect">
                      <a:avLst/>
                    </a:prstGeom>
                    <a:ln/>
                  </pic:spPr>
                </pic:pic>
              </a:graphicData>
            </a:graphic>
          </wp:inline>
        </w:drawing>
      </w:r>
    </w:p>
    <w:p w:rsidR="00F6749E" w:rsidRPr="00DA354E" w:rsidRDefault="00F6749E" w:rsidP="00F6749E">
      <w:pPr>
        <w:ind w:right="94"/>
        <w:jc w:val="center"/>
        <w:rPr>
          <w:rFonts w:ascii="Times New Roman" w:hAnsi="Times New Roman" w:cs="Times New Roman"/>
          <w:color w:val="000000" w:themeColor="text1"/>
          <w:highlight w:val="white"/>
        </w:rPr>
      </w:pPr>
    </w:p>
    <w:p w:rsidR="00F6749E" w:rsidRPr="00DA354E" w:rsidRDefault="00F6749E" w:rsidP="00F6749E">
      <w:pPr>
        <w:ind w:right="94"/>
        <w:jc w:val="center"/>
        <w:rPr>
          <w:rFonts w:ascii="Times New Roman" w:hAnsi="Times New Roman" w:cs="Times New Roman"/>
          <w:color w:val="000000" w:themeColor="text1"/>
          <w:highlight w:val="white"/>
        </w:rPr>
      </w:pPr>
    </w:p>
    <w:p w:rsidR="00F6749E" w:rsidRPr="00DA354E" w:rsidRDefault="00F6749E" w:rsidP="00F6749E">
      <w:pPr>
        <w:ind w:right="94"/>
        <w:rPr>
          <w:rFonts w:ascii="Times New Roman" w:hAnsi="Times New Roman" w:cs="Times New Roman"/>
          <w:color w:val="000000" w:themeColor="text1"/>
          <w:highlight w:val="white"/>
        </w:rPr>
      </w:pPr>
      <w:r w:rsidRPr="00DA354E">
        <w:rPr>
          <w:rFonts w:ascii="Times New Roman" w:hAnsi="Times New Roman" w:cs="Times New Roman"/>
          <w:color w:val="000000" w:themeColor="text1"/>
        </w:rPr>
        <w:br w:type="page"/>
      </w:r>
    </w:p>
    <w:p w:rsidR="007233A0" w:rsidRPr="007233A0" w:rsidRDefault="007233A0" w:rsidP="007233A0">
      <w:pPr>
        <w:ind w:right="94"/>
        <w:jc w:val="both"/>
        <w:rPr>
          <w:rFonts w:ascii="Times New Roman" w:hAnsi="Times New Roman" w:cs="Times New Roman"/>
          <w:color w:val="000000" w:themeColor="text1"/>
          <w:highlight w:val="white"/>
        </w:rPr>
        <w:sectPr w:rsidR="007233A0" w:rsidRPr="007233A0">
          <w:type w:val="continuous"/>
          <w:pgSz w:w="11900" w:h="16840"/>
          <w:pgMar w:top="1417" w:right="1552" w:bottom="1417" w:left="1417" w:header="708" w:footer="708" w:gutter="0"/>
          <w:cols w:space="720"/>
        </w:sectPr>
      </w:pPr>
    </w:p>
    <w:p w:rsidR="007233A0" w:rsidRDefault="007233A0" w:rsidP="007233A0">
      <w:pPr>
        <w:ind w:right="94"/>
        <w:jc w:val="both"/>
        <w:rPr>
          <w:rFonts w:ascii="Times New Roman" w:hAnsi="Times New Roman" w:cs="Times New Roman"/>
          <w:color w:val="000000" w:themeColor="text1"/>
          <w:highlight w:val="white"/>
        </w:rPr>
      </w:pPr>
      <w:r w:rsidRPr="00DA354E">
        <w:rPr>
          <w:rFonts w:ascii="Times New Roman" w:hAnsi="Times New Roman" w:cs="Times New Roman"/>
          <w:noProof/>
          <w:color w:val="000000" w:themeColor="text1"/>
          <w:highlight w:val="white"/>
          <w:lang w:eastAsia="en-US"/>
        </w:rPr>
        <w:lastRenderedPageBreak/>
        <w:drawing>
          <wp:anchor distT="0" distB="0" distL="114300" distR="114300" simplePos="0" relativeHeight="251670528" behindDoc="0" locked="0" layoutInCell="1" allowOverlap="1" wp14:anchorId="6BAB1C7C" wp14:editId="1E70AAFF">
            <wp:simplePos x="0" y="0"/>
            <wp:positionH relativeFrom="column">
              <wp:posOffset>-15240</wp:posOffset>
            </wp:positionH>
            <wp:positionV relativeFrom="paragraph">
              <wp:posOffset>678180</wp:posOffset>
            </wp:positionV>
            <wp:extent cx="5677535" cy="2184400"/>
            <wp:effectExtent l="0" t="0" r="0" b="0"/>
            <wp:wrapTopAndBottom/>
            <wp:docPr id="10" name="image1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5677535" cy="2184400"/>
                    </a:xfrm>
                    <a:prstGeom prst="rect">
                      <a:avLst/>
                    </a:prstGeom>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rPr>
        <w:t>Supplementary</w:t>
      </w:r>
      <w:r w:rsidRPr="00DA354E">
        <w:rPr>
          <w:rFonts w:ascii="Times New Roman" w:hAnsi="Times New Roman" w:cs="Times New Roman"/>
          <w:b/>
          <w:color w:val="000000" w:themeColor="text1"/>
        </w:rPr>
        <w:t xml:space="preserve"> Figure </w:t>
      </w:r>
      <w:r>
        <w:rPr>
          <w:rFonts w:ascii="Times New Roman" w:hAnsi="Times New Roman" w:cs="Times New Roman"/>
          <w:b/>
          <w:color w:val="000000" w:themeColor="text1"/>
        </w:rPr>
        <w:t>9</w:t>
      </w:r>
      <w:r w:rsidRPr="00DA354E">
        <w:rPr>
          <w:rFonts w:ascii="Times New Roman" w:hAnsi="Times New Roman" w:cs="Times New Roman"/>
          <w:color w:val="000000" w:themeColor="text1"/>
          <w:highlight w:val="white"/>
        </w:rPr>
        <w:t>. Net land use change (LUC) emissions from BLUE model compared with RECCAP estimates (2000-2009). Positive values are emissions of carbon to the atmosphere (Methods)</w:t>
      </w:r>
    </w:p>
    <w:p w:rsidR="007233A0" w:rsidRDefault="007233A0" w:rsidP="007233A0">
      <w:pPr>
        <w:ind w:right="94"/>
        <w:jc w:val="both"/>
        <w:rPr>
          <w:rFonts w:ascii="Times New Roman" w:hAnsi="Times New Roman" w:cs="Times New Roman"/>
          <w:color w:val="000000" w:themeColor="text1"/>
          <w:highlight w:val="white"/>
        </w:rPr>
      </w:pPr>
    </w:p>
    <w:p w:rsidR="00B170F7" w:rsidRDefault="00B170F7">
      <w:pPr>
        <w:rPr>
          <w:rFonts w:ascii="Times New Roman" w:hAnsi="Times New Roman" w:cs="Times New Roman"/>
          <w:color w:val="000000" w:themeColor="text1"/>
        </w:rPr>
      </w:pPr>
      <w:r>
        <w:rPr>
          <w:rFonts w:ascii="Times New Roman" w:hAnsi="Times New Roman" w:cs="Times New Roman"/>
          <w:color w:val="000000" w:themeColor="text1"/>
        </w:rPr>
        <w:br w:type="page"/>
      </w:r>
    </w:p>
    <w:p w:rsidR="00F6749E" w:rsidRPr="00B170F7" w:rsidRDefault="00B170F7" w:rsidP="007233A0">
      <w:pPr>
        <w:rPr>
          <w:rFonts w:ascii="Times New Roman" w:hAnsi="Times New Roman" w:cs="Times New Roman"/>
          <w:b/>
          <w:bCs/>
          <w:color w:val="000000" w:themeColor="text1"/>
        </w:rPr>
      </w:pPr>
      <w:r w:rsidRPr="00B170F7">
        <w:rPr>
          <w:rFonts w:ascii="Times New Roman" w:hAnsi="Times New Roman" w:cs="Times New Roman"/>
          <w:b/>
          <w:bCs/>
          <w:color w:val="000000" w:themeColor="text1"/>
        </w:rPr>
        <w:lastRenderedPageBreak/>
        <w:t>References</w:t>
      </w:r>
    </w:p>
    <w:p w:rsidR="00B170F7" w:rsidRPr="00324F39" w:rsidRDefault="00B170F7" w:rsidP="00B170F7">
      <w:pPr>
        <w:pStyle w:val="NormalWeb"/>
        <w:ind w:left="720" w:hanging="720"/>
        <w:rPr>
          <w:rFonts w:eastAsia="Times New Roman"/>
          <w:lang w:eastAsia="zh-CN"/>
        </w:rPr>
      </w:pPr>
      <w:r w:rsidRPr="00DA354E">
        <w:rPr>
          <w:noProof/>
        </w:rPr>
        <w:t>81.</w:t>
      </w:r>
      <w:r w:rsidRPr="00DA354E">
        <w:rPr>
          <w:noProof/>
        </w:rPr>
        <w:tab/>
      </w:r>
      <w:r w:rsidRPr="00324F39">
        <w:rPr>
          <w:rFonts w:eastAsia="Times New Roman"/>
          <w:lang w:eastAsia="zh-CN"/>
        </w:rPr>
        <w:t xml:space="preserve">van der </w:t>
      </w:r>
      <w:proofErr w:type="spellStart"/>
      <w:r w:rsidRPr="00324F39">
        <w:rPr>
          <w:rFonts w:eastAsia="Times New Roman"/>
          <w:lang w:eastAsia="zh-CN"/>
        </w:rPr>
        <w:t>Werf</w:t>
      </w:r>
      <w:proofErr w:type="spellEnd"/>
      <w:r w:rsidRPr="00324F39">
        <w:rPr>
          <w:rFonts w:eastAsia="Times New Roman"/>
          <w:lang w:eastAsia="zh-CN"/>
        </w:rPr>
        <w:t xml:space="preserve"> GR, </w:t>
      </w:r>
      <w:proofErr w:type="spellStart"/>
      <w:r w:rsidRPr="00324F39">
        <w:rPr>
          <w:rFonts w:eastAsia="Times New Roman"/>
          <w:lang w:eastAsia="zh-CN"/>
        </w:rPr>
        <w:t>Randerson</w:t>
      </w:r>
      <w:proofErr w:type="spellEnd"/>
      <w:r w:rsidRPr="00324F39">
        <w:rPr>
          <w:rFonts w:eastAsia="Times New Roman"/>
          <w:lang w:eastAsia="zh-CN"/>
        </w:rPr>
        <w:t xml:space="preserve"> JT</w:t>
      </w:r>
      <w:r>
        <w:rPr>
          <w:rFonts w:eastAsia="Times New Roman"/>
          <w:lang w:eastAsia="zh-CN"/>
        </w:rPr>
        <w:t xml:space="preserve"> and</w:t>
      </w:r>
      <w:r w:rsidRPr="00324F39">
        <w:rPr>
          <w:rFonts w:eastAsia="Times New Roman"/>
          <w:lang w:eastAsia="zh-CN"/>
        </w:rPr>
        <w:t xml:space="preserve"> Giglio L </w:t>
      </w:r>
      <w:r w:rsidRPr="00324F39">
        <w:rPr>
          <w:rFonts w:eastAsia="Times New Roman"/>
          <w:i/>
          <w:iCs/>
          <w:lang w:eastAsia="zh-CN"/>
        </w:rPr>
        <w:t>et al</w:t>
      </w:r>
      <w:r w:rsidRPr="00324F39">
        <w:rPr>
          <w:rFonts w:eastAsia="Times New Roman"/>
          <w:lang w:eastAsia="zh-CN"/>
        </w:rPr>
        <w:t xml:space="preserve">. Global fire emissions and the contribution of deforestation, savanna, forest, agricultural, and peat fires (1997–2009). </w:t>
      </w:r>
      <w:r w:rsidRPr="00F4498D">
        <w:rPr>
          <w:rFonts w:eastAsia="Times New Roman"/>
          <w:i/>
          <w:iCs/>
          <w:lang w:eastAsia="zh-CN"/>
        </w:rPr>
        <w:t>Atmos Chem Phys</w:t>
      </w:r>
      <w:r w:rsidRPr="00F4498D">
        <w:rPr>
          <w:rFonts w:eastAsia="Times New Roman"/>
          <w:lang w:eastAsia="zh-CN"/>
        </w:rPr>
        <w:t xml:space="preserve"> 2010;</w:t>
      </w:r>
      <w:r w:rsidRPr="00F4498D">
        <w:rPr>
          <w:rFonts w:eastAsia="Times New Roman"/>
          <w:b/>
          <w:bCs/>
          <w:lang w:eastAsia="zh-CN"/>
        </w:rPr>
        <w:t>10</w:t>
      </w:r>
      <w:r w:rsidRPr="00F4498D">
        <w:rPr>
          <w:rFonts w:eastAsia="Times New Roman"/>
          <w:lang w:eastAsia="zh-CN"/>
        </w:rPr>
        <w:t>:11707–35.</w:t>
      </w:r>
    </w:p>
    <w:p w:rsidR="00B170F7" w:rsidRPr="00F4498D" w:rsidRDefault="00B170F7" w:rsidP="00B170F7">
      <w:pPr>
        <w:widowControl w:val="0"/>
        <w:autoSpaceDE w:val="0"/>
        <w:autoSpaceDN w:val="0"/>
        <w:adjustRightInd w:val="0"/>
        <w:ind w:left="720" w:hanging="720"/>
        <w:rPr>
          <w:rFonts w:ascii="Times New Roman" w:hAnsi="Times New Roman" w:cs="Times New Roman"/>
          <w:noProof/>
        </w:rPr>
      </w:pPr>
      <w:r w:rsidRPr="00DA354E">
        <w:rPr>
          <w:rFonts w:ascii="Times New Roman" w:hAnsi="Times New Roman" w:cs="Times New Roman"/>
          <w:noProof/>
        </w:rPr>
        <w:t>82.</w:t>
      </w:r>
      <w:r w:rsidRPr="00DA354E">
        <w:rPr>
          <w:rFonts w:ascii="Times New Roman" w:hAnsi="Times New Roman" w:cs="Times New Roman"/>
          <w:noProof/>
        </w:rPr>
        <w:tab/>
      </w:r>
      <w:r w:rsidRPr="00F4498D">
        <w:rPr>
          <w:rFonts w:ascii="Times New Roman" w:hAnsi="Times New Roman" w:cs="Times New Roman"/>
          <w:noProof/>
        </w:rPr>
        <w:t xml:space="preserve">Di Giuseppe F, Rémy S and Pappenberger F et al. Using the Fire Weather Index (FWI) to improve the estimation of fire emissions from fire radiative power (FRP) observations. </w:t>
      </w:r>
      <w:r w:rsidRPr="00F4498D">
        <w:rPr>
          <w:rFonts w:ascii="Times New Roman" w:hAnsi="Times New Roman" w:cs="Times New Roman"/>
          <w:i/>
          <w:iCs/>
          <w:noProof/>
        </w:rPr>
        <w:t>Atmos Chem Phys</w:t>
      </w:r>
      <w:r w:rsidRPr="00F4498D">
        <w:rPr>
          <w:rFonts w:ascii="Times New Roman" w:hAnsi="Times New Roman" w:cs="Times New Roman"/>
          <w:noProof/>
        </w:rPr>
        <w:t xml:space="preserve"> 2018; </w:t>
      </w:r>
      <w:r w:rsidRPr="00F4498D">
        <w:rPr>
          <w:rFonts w:ascii="Times New Roman" w:hAnsi="Times New Roman" w:cs="Times New Roman"/>
          <w:b/>
          <w:bCs/>
          <w:noProof/>
        </w:rPr>
        <w:t>18</w:t>
      </w:r>
      <w:r w:rsidRPr="00F4498D">
        <w:rPr>
          <w:rFonts w:ascii="Times New Roman" w:hAnsi="Times New Roman" w:cs="Times New Roman"/>
          <w:noProof/>
        </w:rPr>
        <w:t>: 5359–70.</w:t>
      </w:r>
    </w:p>
    <w:p w:rsidR="00B170F7" w:rsidRPr="00F4498D" w:rsidRDefault="00B170F7" w:rsidP="00B170F7">
      <w:pPr>
        <w:pStyle w:val="NormalWeb"/>
        <w:ind w:left="720" w:hanging="720"/>
        <w:rPr>
          <w:rFonts w:eastAsia="Times New Roman"/>
          <w:lang w:eastAsia="zh-CN"/>
        </w:rPr>
      </w:pPr>
      <w:r w:rsidRPr="00F4498D">
        <w:rPr>
          <w:noProof/>
        </w:rPr>
        <w:t>83.</w:t>
      </w:r>
      <w:r w:rsidRPr="00F4498D">
        <w:rPr>
          <w:noProof/>
        </w:rPr>
        <w:tab/>
      </w:r>
      <w:r w:rsidRPr="00F4498D">
        <w:rPr>
          <w:rFonts w:eastAsia="Times New Roman"/>
          <w:lang w:eastAsia="zh-CN"/>
        </w:rPr>
        <w:t xml:space="preserve">Le </w:t>
      </w:r>
      <w:proofErr w:type="spellStart"/>
      <w:r w:rsidRPr="00F4498D">
        <w:rPr>
          <w:rFonts w:eastAsia="Times New Roman"/>
          <w:lang w:eastAsia="zh-CN"/>
        </w:rPr>
        <w:t>Quéré</w:t>
      </w:r>
      <w:proofErr w:type="spellEnd"/>
      <w:r w:rsidRPr="00F4498D">
        <w:rPr>
          <w:rFonts w:eastAsia="Times New Roman"/>
          <w:lang w:eastAsia="zh-CN"/>
        </w:rPr>
        <w:t xml:space="preserve"> C, Andrew RM and </w:t>
      </w:r>
      <w:proofErr w:type="spellStart"/>
      <w:r w:rsidRPr="00F4498D">
        <w:rPr>
          <w:rFonts w:eastAsia="Times New Roman"/>
          <w:lang w:eastAsia="zh-CN"/>
        </w:rPr>
        <w:t>Friedlingstein</w:t>
      </w:r>
      <w:proofErr w:type="spellEnd"/>
      <w:r w:rsidRPr="00F4498D">
        <w:rPr>
          <w:rFonts w:eastAsia="Times New Roman"/>
          <w:lang w:eastAsia="zh-CN"/>
        </w:rPr>
        <w:t xml:space="preserve"> P </w:t>
      </w:r>
      <w:r w:rsidRPr="00B170F7">
        <w:rPr>
          <w:rFonts w:eastAsia="Times New Roman"/>
          <w:i/>
          <w:iCs/>
          <w:lang w:eastAsia="zh-CN"/>
        </w:rPr>
        <w:t>et al</w:t>
      </w:r>
      <w:r w:rsidRPr="00F4498D">
        <w:rPr>
          <w:rFonts w:eastAsia="Times New Roman"/>
          <w:lang w:eastAsia="zh-CN"/>
        </w:rPr>
        <w:t xml:space="preserve">. Global Carbon Budget 2018. </w:t>
      </w:r>
      <w:r w:rsidRPr="00F4498D">
        <w:rPr>
          <w:rFonts w:eastAsia="Times New Roman"/>
          <w:i/>
          <w:iCs/>
          <w:lang w:eastAsia="zh-CN"/>
        </w:rPr>
        <w:t>Earth Syst Sci Data</w:t>
      </w:r>
      <w:r w:rsidRPr="00F4498D">
        <w:rPr>
          <w:rFonts w:eastAsia="Times New Roman"/>
          <w:lang w:eastAsia="zh-CN"/>
        </w:rPr>
        <w:t xml:space="preserve"> 2018;</w:t>
      </w:r>
      <w:r w:rsidRPr="00F4498D">
        <w:rPr>
          <w:rFonts w:eastAsia="Times New Roman"/>
          <w:b/>
          <w:bCs/>
          <w:lang w:eastAsia="zh-CN"/>
        </w:rPr>
        <w:t>10</w:t>
      </w:r>
      <w:r w:rsidRPr="00F4498D">
        <w:rPr>
          <w:rFonts w:eastAsia="Times New Roman"/>
          <w:lang w:eastAsia="zh-CN"/>
        </w:rPr>
        <w:t>:2141–94.</w:t>
      </w:r>
    </w:p>
    <w:p w:rsidR="00B170F7" w:rsidRPr="00F4498D" w:rsidRDefault="00B170F7" w:rsidP="00B170F7">
      <w:pPr>
        <w:pStyle w:val="NormalWeb"/>
        <w:ind w:left="720" w:hanging="720"/>
        <w:rPr>
          <w:rFonts w:eastAsia="Times New Roman"/>
          <w:lang w:eastAsia="zh-CN"/>
        </w:rPr>
      </w:pPr>
      <w:r w:rsidRPr="00DA354E">
        <w:rPr>
          <w:noProof/>
        </w:rPr>
        <w:t>84.</w:t>
      </w:r>
      <w:r w:rsidRPr="00DA354E">
        <w:rPr>
          <w:noProof/>
        </w:rPr>
        <w:tab/>
      </w:r>
      <w:r w:rsidRPr="00F4498D">
        <w:rPr>
          <w:rFonts w:eastAsia="Times New Roman"/>
          <w:lang w:eastAsia="zh-CN"/>
        </w:rPr>
        <w:t xml:space="preserve">Raymond PA, Hartmann J and </w:t>
      </w:r>
      <w:proofErr w:type="spellStart"/>
      <w:r w:rsidRPr="00F4498D">
        <w:rPr>
          <w:rFonts w:eastAsia="Times New Roman"/>
          <w:lang w:eastAsia="zh-CN"/>
        </w:rPr>
        <w:t>Lauerwald</w:t>
      </w:r>
      <w:proofErr w:type="spellEnd"/>
      <w:r w:rsidRPr="00F4498D">
        <w:rPr>
          <w:rFonts w:eastAsia="Times New Roman"/>
          <w:lang w:eastAsia="zh-CN"/>
        </w:rPr>
        <w:t xml:space="preserve"> R </w:t>
      </w:r>
      <w:r w:rsidRPr="00F4498D">
        <w:rPr>
          <w:rFonts w:eastAsia="Times New Roman"/>
          <w:i/>
          <w:iCs/>
          <w:lang w:eastAsia="zh-CN"/>
        </w:rPr>
        <w:t>et al</w:t>
      </w:r>
      <w:r w:rsidRPr="00F4498D">
        <w:rPr>
          <w:rFonts w:eastAsia="Times New Roman"/>
          <w:lang w:eastAsia="zh-CN"/>
        </w:rPr>
        <w:t xml:space="preserve">. Erratum: Global carbon dioxide emissions from inland waters. </w:t>
      </w:r>
      <w:r w:rsidRPr="00F4498D">
        <w:rPr>
          <w:rFonts w:eastAsia="Times New Roman"/>
          <w:i/>
          <w:iCs/>
          <w:lang w:eastAsia="zh-CN"/>
        </w:rPr>
        <w:t>Nature</w:t>
      </w:r>
      <w:r w:rsidRPr="00F4498D">
        <w:rPr>
          <w:rFonts w:eastAsia="Times New Roman"/>
          <w:lang w:eastAsia="zh-CN"/>
        </w:rPr>
        <w:t xml:space="preserve"> 2014;</w:t>
      </w:r>
      <w:r w:rsidRPr="00F4498D">
        <w:rPr>
          <w:rFonts w:eastAsia="Times New Roman"/>
          <w:b/>
          <w:bCs/>
          <w:lang w:eastAsia="zh-CN"/>
        </w:rPr>
        <w:t>507</w:t>
      </w:r>
      <w:r w:rsidRPr="00F4498D">
        <w:rPr>
          <w:rFonts w:eastAsia="Times New Roman"/>
          <w:lang w:eastAsia="zh-CN"/>
        </w:rPr>
        <w:t>, DOI: 10.1038/nature13142.</w:t>
      </w:r>
    </w:p>
    <w:p w:rsidR="00B170F7" w:rsidRPr="00F4498D" w:rsidRDefault="00B170F7" w:rsidP="00B170F7">
      <w:pPr>
        <w:pStyle w:val="NormalWeb"/>
        <w:ind w:left="720" w:hanging="720"/>
        <w:rPr>
          <w:rFonts w:eastAsia="Times New Roman"/>
          <w:lang w:eastAsia="zh-CN"/>
        </w:rPr>
      </w:pPr>
      <w:r w:rsidRPr="00DA354E">
        <w:rPr>
          <w:noProof/>
        </w:rPr>
        <w:t>85.</w:t>
      </w:r>
      <w:r w:rsidRPr="00DA354E">
        <w:rPr>
          <w:noProof/>
        </w:rPr>
        <w:tab/>
      </w:r>
      <w:r w:rsidRPr="00F4498D">
        <w:rPr>
          <w:rFonts w:eastAsia="Times New Roman"/>
          <w:lang w:eastAsia="zh-CN"/>
        </w:rPr>
        <w:t>Zhao M, Running SW</w:t>
      </w:r>
      <w:r>
        <w:rPr>
          <w:rFonts w:eastAsia="Times New Roman"/>
          <w:lang w:eastAsia="zh-CN"/>
        </w:rPr>
        <w:t xml:space="preserve"> and</w:t>
      </w:r>
      <w:r w:rsidRPr="00F4498D">
        <w:rPr>
          <w:rFonts w:eastAsia="Times New Roman"/>
          <w:lang w:eastAsia="zh-CN"/>
        </w:rPr>
        <w:t xml:space="preserve"> </w:t>
      </w:r>
      <w:proofErr w:type="spellStart"/>
      <w:r w:rsidRPr="00F4498D">
        <w:rPr>
          <w:rFonts w:eastAsia="Times New Roman"/>
          <w:lang w:eastAsia="zh-CN"/>
        </w:rPr>
        <w:t>Nemani</w:t>
      </w:r>
      <w:proofErr w:type="spellEnd"/>
      <w:r w:rsidRPr="00F4498D">
        <w:rPr>
          <w:rFonts w:eastAsia="Times New Roman"/>
          <w:lang w:eastAsia="zh-CN"/>
        </w:rPr>
        <w:t xml:space="preserve"> RR. Sensitivity of Moderate Resolution Imaging Spectroradiometer (MODIS) terrestrial primary production to the accuracy of meteorological </w:t>
      </w:r>
      <w:proofErr w:type="spellStart"/>
      <w:r w:rsidRPr="00F4498D">
        <w:rPr>
          <w:rFonts w:eastAsia="Times New Roman"/>
          <w:lang w:eastAsia="zh-CN"/>
        </w:rPr>
        <w:t>reanalyses</w:t>
      </w:r>
      <w:proofErr w:type="spellEnd"/>
      <w:r w:rsidRPr="00F4498D">
        <w:rPr>
          <w:rFonts w:eastAsia="Times New Roman"/>
          <w:lang w:eastAsia="zh-CN"/>
        </w:rPr>
        <w:t xml:space="preserve">. </w:t>
      </w:r>
      <w:r w:rsidRPr="00F4498D">
        <w:rPr>
          <w:rFonts w:eastAsia="Times New Roman"/>
          <w:i/>
          <w:iCs/>
          <w:lang w:eastAsia="zh-CN"/>
        </w:rPr>
        <w:t xml:space="preserve">J </w:t>
      </w:r>
      <w:proofErr w:type="spellStart"/>
      <w:r w:rsidRPr="00F4498D">
        <w:rPr>
          <w:rFonts w:eastAsia="Times New Roman"/>
          <w:i/>
          <w:iCs/>
          <w:lang w:eastAsia="zh-CN"/>
        </w:rPr>
        <w:t>Geophys</w:t>
      </w:r>
      <w:proofErr w:type="spellEnd"/>
      <w:r w:rsidRPr="00F4498D">
        <w:rPr>
          <w:rFonts w:eastAsia="Times New Roman"/>
          <w:i/>
          <w:iCs/>
          <w:lang w:eastAsia="zh-CN"/>
        </w:rPr>
        <w:t xml:space="preserve"> Res</w:t>
      </w:r>
      <w:r w:rsidRPr="00F4498D">
        <w:rPr>
          <w:rFonts w:eastAsia="Times New Roman"/>
          <w:lang w:eastAsia="zh-CN"/>
        </w:rPr>
        <w:t xml:space="preserve"> 2006;</w:t>
      </w:r>
      <w:r w:rsidRPr="00F4498D">
        <w:rPr>
          <w:rFonts w:eastAsia="Times New Roman"/>
          <w:b/>
          <w:bCs/>
          <w:lang w:eastAsia="zh-CN"/>
        </w:rPr>
        <w:t>111</w:t>
      </w:r>
      <w:r w:rsidRPr="00F4498D">
        <w:rPr>
          <w:rFonts w:eastAsia="Times New Roman"/>
          <w:lang w:eastAsia="zh-CN"/>
        </w:rPr>
        <w:t>:G01002.</w:t>
      </w:r>
    </w:p>
    <w:p w:rsidR="00B170F7" w:rsidRPr="00DA354E" w:rsidRDefault="00B170F7" w:rsidP="00B170F7">
      <w:pPr>
        <w:widowControl w:val="0"/>
        <w:autoSpaceDE w:val="0"/>
        <w:autoSpaceDN w:val="0"/>
        <w:adjustRightInd w:val="0"/>
        <w:ind w:left="720" w:hanging="720"/>
        <w:rPr>
          <w:rFonts w:ascii="Times New Roman" w:hAnsi="Times New Roman" w:cs="Times New Roman"/>
          <w:noProof/>
        </w:rPr>
      </w:pPr>
      <w:r w:rsidRPr="00DA354E">
        <w:rPr>
          <w:rFonts w:ascii="Times New Roman" w:hAnsi="Times New Roman" w:cs="Times New Roman"/>
          <w:noProof/>
        </w:rPr>
        <w:t>86.</w:t>
      </w:r>
      <w:r w:rsidRPr="00DA354E">
        <w:rPr>
          <w:rFonts w:ascii="Times New Roman" w:hAnsi="Times New Roman" w:cs="Times New Roman"/>
          <w:noProof/>
        </w:rPr>
        <w:tab/>
      </w:r>
      <w:r w:rsidRPr="00F4498D">
        <w:rPr>
          <w:rFonts w:ascii="Times New Roman" w:hAnsi="Times New Roman" w:cs="Times New Roman"/>
          <w:noProof/>
        </w:rPr>
        <w:t xml:space="preserve">Luyssaert S, Abril G and Andres R et al. The European land and inland water CO2, CO, CH4 and N2O balance between 2001 and 2005. </w:t>
      </w:r>
      <w:r w:rsidRPr="00F4498D">
        <w:rPr>
          <w:rFonts w:ascii="Times New Roman" w:hAnsi="Times New Roman" w:cs="Times New Roman"/>
          <w:i/>
          <w:iCs/>
          <w:noProof/>
        </w:rPr>
        <w:t>Biogeosciences</w:t>
      </w:r>
      <w:r w:rsidRPr="00F4498D">
        <w:rPr>
          <w:rFonts w:ascii="Times New Roman" w:hAnsi="Times New Roman" w:cs="Times New Roman"/>
          <w:noProof/>
        </w:rPr>
        <w:t xml:space="preserve"> 2012;</w:t>
      </w:r>
      <w:r w:rsidRPr="00F4498D">
        <w:rPr>
          <w:rFonts w:ascii="Times New Roman" w:hAnsi="Times New Roman" w:cs="Times New Roman"/>
          <w:b/>
          <w:bCs/>
          <w:noProof/>
        </w:rPr>
        <w:t>9</w:t>
      </w:r>
      <w:r w:rsidRPr="00F4498D">
        <w:rPr>
          <w:rFonts w:ascii="Times New Roman" w:hAnsi="Times New Roman" w:cs="Times New Roman"/>
          <w:noProof/>
        </w:rPr>
        <w:t>: 3357–80.</w:t>
      </w:r>
    </w:p>
    <w:p w:rsidR="00B170F7" w:rsidRPr="00F4498D" w:rsidRDefault="00B170F7" w:rsidP="00B170F7">
      <w:pPr>
        <w:pStyle w:val="NormalWeb"/>
        <w:ind w:left="720" w:hanging="720"/>
        <w:rPr>
          <w:rFonts w:eastAsia="Times New Roman"/>
          <w:lang w:eastAsia="zh-CN"/>
        </w:rPr>
      </w:pPr>
      <w:r w:rsidRPr="00DA354E">
        <w:rPr>
          <w:noProof/>
        </w:rPr>
        <w:t>87.</w:t>
      </w:r>
      <w:r w:rsidRPr="00DA354E">
        <w:rPr>
          <w:noProof/>
        </w:rPr>
        <w:tab/>
      </w:r>
      <w:r w:rsidRPr="00F4498D">
        <w:rPr>
          <w:rFonts w:eastAsia="Times New Roman"/>
          <w:lang w:eastAsia="zh-CN"/>
        </w:rPr>
        <w:t xml:space="preserve">Eggers T. </w:t>
      </w:r>
      <w:r w:rsidRPr="00F4498D">
        <w:rPr>
          <w:rFonts w:eastAsia="Times New Roman"/>
          <w:i/>
          <w:iCs/>
          <w:lang w:eastAsia="zh-CN"/>
        </w:rPr>
        <w:t xml:space="preserve">The impacts of manufacturing and </w:t>
      </w:r>
      <w:proofErr w:type="spellStart"/>
      <w:r w:rsidRPr="00F4498D">
        <w:rPr>
          <w:rFonts w:eastAsia="Times New Roman"/>
          <w:i/>
          <w:iCs/>
          <w:lang w:eastAsia="zh-CN"/>
        </w:rPr>
        <w:t>utilisation</w:t>
      </w:r>
      <w:proofErr w:type="spellEnd"/>
      <w:r w:rsidRPr="00F4498D">
        <w:rPr>
          <w:rFonts w:eastAsia="Times New Roman"/>
          <w:i/>
          <w:iCs/>
          <w:lang w:eastAsia="zh-CN"/>
        </w:rPr>
        <w:t xml:space="preserve"> of wood products on the European carbon budget</w:t>
      </w:r>
      <w:r w:rsidRPr="00F4498D">
        <w:rPr>
          <w:rFonts w:eastAsia="Times New Roman"/>
          <w:lang w:eastAsia="zh-CN"/>
        </w:rPr>
        <w:t>., 2002.</w:t>
      </w:r>
    </w:p>
    <w:p w:rsidR="00B170F7" w:rsidRPr="00F4498D" w:rsidRDefault="00B170F7" w:rsidP="00B170F7">
      <w:pPr>
        <w:pStyle w:val="NormalWeb"/>
        <w:ind w:left="720" w:hanging="720"/>
        <w:rPr>
          <w:rFonts w:eastAsia="Times New Roman"/>
          <w:lang w:eastAsia="zh-CN"/>
        </w:rPr>
      </w:pPr>
      <w:r w:rsidRPr="00DA354E">
        <w:rPr>
          <w:noProof/>
        </w:rPr>
        <w:t>88.</w:t>
      </w:r>
      <w:r w:rsidRPr="00DA354E">
        <w:rPr>
          <w:noProof/>
        </w:rPr>
        <w:tab/>
      </w:r>
      <w:proofErr w:type="spellStart"/>
      <w:r w:rsidRPr="00F4498D">
        <w:rPr>
          <w:rFonts w:eastAsia="Times New Roman"/>
          <w:lang w:eastAsia="zh-CN"/>
        </w:rPr>
        <w:t>Vuichard</w:t>
      </w:r>
      <w:proofErr w:type="spellEnd"/>
      <w:r w:rsidRPr="00F4498D">
        <w:rPr>
          <w:rFonts w:eastAsia="Times New Roman"/>
          <w:lang w:eastAsia="zh-CN"/>
        </w:rPr>
        <w:t xml:space="preserve"> N, </w:t>
      </w:r>
      <w:proofErr w:type="spellStart"/>
      <w:r w:rsidRPr="00F4498D">
        <w:rPr>
          <w:rFonts w:eastAsia="Times New Roman"/>
          <w:lang w:eastAsia="zh-CN"/>
        </w:rPr>
        <w:t>Ciais</w:t>
      </w:r>
      <w:proofErr w:type="spellEnd"/>
      <w:r w:rsidRPr="00F4498D">
        <w:rPr>
          <w:rFonts w:eastAsia="Times New Roman"/>
          <w:lang w:eastAsia="zh-CN"/>
        </w:rPr>
        <w:t xml:space="preserve"> P and </w:t>
      </w:r>
      <w:proofErr w:type="spellStart"/>
      <w:r w:rsidRPr="00F4498D">
        <w:rPr>
          <w:rFonts w:eastAsia="Times New Roman"/>
          <w:lang w:eastAsia="zh-CN"/>
        </w:rPr>
        <w:t>Belelli</w:t>
      </w:r>
      <w:proofErr w:type="spellEnd"/>
      <w:r w:rsidRPr="00F4498D">
        <w:rPr>
          <w:rFonts w:eastAsia="Times New Roman"/>
          <w:lang w:eastAsia="zh-CN"/>
        </w:rPr>
        <w:t xml:space="preserve"> L </w:t>
      </w:r>
      <w:r w:rsidRPr="00B170F7">
        <w:rPr>
          <w:rFonts w:eastAsia="Times New Roman"/>
          <w:i/>
          <w:iCs/>
          <w:lang w:eastAsia="zh-CN"/>
        </w:rPr>
        <w:t>et al</w:t>
      </w:r>
      <w:r w:rsidRPr="00F4498D">
        <w:rPr>
          <w:rFonts w:eastAsia="Times New Roman"/>
          <w:lang w:eastAsia="zh-CN"/>
        </w:rPr>
        <w:t xml:space="preserve">. Carbon sequestration due to the abandonment of agriculture in the former USSR since 1990. </w:t>
      </w:r>
      <w:r w:rsidRPr="00F4498D">
        <w:rPr>
          <w:rFonts w:eastAsia="Times New Roman"/>
          <w:i/>
          <w:iCs/>
          <w:lang w:eastAsia="zh-CN"/>
        </w:rPr>
        <w:t xml:space="preserve">Global </w:t>
      </w:r>
      <w:proofErr w:type="spellStart"/>
      <w:r w:rsidRPr="00F4498D">
        <w:rPr>
          <w:rFonts w:eastAsia="Times New Roman"/>
          <w:i/>
          <w:iCs/>
          <w:lang w:eastAsia="zh-CN"/>
        </w:rPr>
        <w:t>Biogeochem</w:t>
      </w:r>
      <w:proofErr w:type="spellEnd"/>
      <w:r w:rsidRPr="00F4498D">
        <w:rPr>
          <w:rFonts w:eastAsia="Times New Roman"/>
          <w:i/>
          <w:iCs/>
          <w:lang w:eastAsia="zh-CN"/>
        </w:rPr>
        <w:t xml:space="preserve"> Cycles</w:t>
      </w:r>
      <w:r w:rsidRPr="00F4498D">
        <w:rPr>
          <w:rFonts w:eastAsia="Times New Roman"/>
          <w:lang w:eastAsia="zh-CN"/>
        </w:rPr>
        <w:t xml:space="preserve"> 2008;</w:t>
      </w:r>
      <w:r w:rsidRPr="00F4498D">
        <w:rPr>
          <w:rFonts w:eastAsia="Times New Roman"/>
          <w:b/>
          <w:bCs/>
          <w:lang w:eastAsia="zh-CN"/>
        </w:rPr>
        <w:t>22</w:t>
      </w:r>
      <w:r w:rsidRPr="00F4498D">
        <w:rPr>
          <w:rFonts w:eastAsia="Times New Roman"/>
          <w:lang w:eastAsia="zh-CN"/>
        </w:rPr>
        <w:t>: GB4018.</w:t>
      </w:r>
    </w:p>
    <w:p w:rsidR="00B170F7" w:rsidRPr="00F4498D" w:rsidRDefault="00B170F7" w:rsidP="00B170F7">
      <w:pPr>
        <w:pStyle w:val="NormalWeb"/>
        <w:ind w:left="720" w:hanging="720"/>
        <w:rPr>
          <w:rFonts w:eastAsia="Times New Roman"/>
          <w:lang w:eastAsia="zh-CN"/>
        </w:rPr>
      </w:pPr>
      <w:r w:rsidRPr="00DA354E">
        <w:rPr>
          <w:noProof/>
        </w:rPr>
        <w:t>89.</w:t>
      </w:r>
      <w:r w:rsidRPr="00DA354E">
        <w:rPr>
          <w:noProof/>
        </w:rPr>
        <w:tab/>
      </w:r>
      <w:proofErr w:type="spellStart"/>
      <w:r w:rsidRPr="00F4498D">
        <w:rPr>
          <w:rFonts w:eastAsia="Times New Roman"/>
          <w:lang w:eastAsia="zh-CN"/>
        </w:rPr>
        <w:t>Shvidenko</w:t>
      </w:r>
      <w:proofErr w:type="spellEnd"/>
      <w:r w:rsidRPr="00F4498D">
        <w:rPr>
          <w:rFonts w:eastAsia="Times New Roman"/>
          <w:lang w:eastAsia="zh-CN"/>
        </w:rPr>
        <w:t xml:space="preserve"> A, </w:t>
      </w:r>
      <w:proofErr w:type="spellStart"/>
      <w:r>
        <w:rPr>
          <w:rFonts w:eastAsia="Times New Roman"/>
          <w:lang w:eastAsia="zh-CN"/>
        </w:rPr>
        <w:t>L</w:t>
      </w:r>
      <w:r w:rsidRPr="00F4498D">
        <w:rPr>
          <w:rFonts w:eastAsia="Times New Roman"/>
          <w:lang w:eastAsia="zh-CN"/>
        </w:rPr>
        <w:t>akyda</w:t>
      </w:r>
      <w:proofErr w:type="spellEnd"/>
      <w:r w:rsidRPr="00F4498D">
        <w:rPr>
          <w:rFonts w:eastAsia="Times New Roman"/>
          <w:lang w:eastAsia="zh-CN"/>
        </w:rPr>
        <w:t xml:space="preserve"> </w:t>
      </w:r>
      <w:r>
        <w:rPr>
          <w:rFonts w:eastAsia="Times New Roman"/>
          <w:lang w:eastAsia="zh-CN"/>
        </w:rPr>
        <w:t xml:space="preserve">P </w:t>
      </w:r>
      <w:r w:rsidRPr="00F4498D">
        <w:rPr>
          <w:rFonts w:eastAsia="Times New Roman"/>
          <w:lang w:eastAsia="zh-CN"/>
        </w:rPr>
        <w:t xml:space="preserve">and </w:t>
      </w:r>
      <w:proofErr w:type="spellStart"/>
      <w:r w:rsidRPr="00F4498D">
        <w:rPr>
          <w:rFonts w:eastAsia="Times New Roman"/>
          <w:lang w:eastAsia="zh-CN"/>
        </w:rPr>
        <w:t>Schepaschenko</w:t>
      </w:r>
      <w:proofErr w:type="spellEnd"/>
      <w:r w:rsidRPr="00F4498D">
        <w:rPr>
          <w:rFonts w:eastAsia="Times New Roman"/>
          <w:lang w:eastAsia="zh-CN"/>
        </w:rPr>
        <w:t xml:space="preserve"> D </w:t>
      </w:r>
      <w:r w:rsidRPr="00F4498D">
        <w:rPr>
          <w:rFonts w:eastAsia="Times New Roman"/>
          <w:i/>
          <w:iCs/>
          <w:lang w:eastAsia="zh-CN"/>
        </w:rPr>
        <w:t>et al</w:t>
      </w:r>
      <w:r w:rsidRPr="00F4498D">
        <w:rPr>
          <w:rFonts w:eastAsia="Times New Roman"/>
          <w:lang w:eastAsia="zh-CN"/>
        </w:rPr>
        <w:t xml:space="preserve">. </w:t>
      </w:r>
      <w:r w:rsidRPr="00F4498D">
        <w:rPr>
          <w:rFonts w:eastAsia="Times New Roman"/>
          <w:i/>
          <w:iCs/>
          <w:lang w:eastAsia="zh-CN"/>
        </w:rPr>
        <w:t xml:space="preserve">Carbon, climate and land-use in Ukraine: forest sector, </w:t>
      </w:r>
      <w:proofErr w:type="spellStart"/>
      <w:r w:rsidRPr="00F4498D">
        <w:rPr>
          <w:rFonts w:eastAsia="Times New Roman"/>
          <w:i/>
          <w:iCs/>
          <w:lang w:eastAsia="zh-CN"/>
        </w:rPr>
        <w:t>Korsun-Shevechkivsky</w:t>
      </w:r>
      <w:proofErr w:type="spellEnd"/>
      <w:r w:rsidRPr="00F4498D">
        <w:rPr>
          <w:rFonts w:eastAsia="Times New Roman"/>
          <w:i/>
          <w:iCs/>
          <w:lang w:eastAsia="zh-CN"/>
        </w:rPr>
        <w:t>, Ukraine [in Ukrainian]</w:t>
      </w:r>
      <w:r w:rsidRPr="00F4498D">
        <w:rPr>
          <w:rFonts w:eastAsia="Times New Roman"/>
          <w:lang w:eastAsia="zh-CN"/>
        </w:rPr>
        <w:t>., 2014.</w:t>
      </w:r>
    </w:p>
    <w:p w:rsidR="00B170F7" w:rsidRPr="00F4498D" w:rsidRDefault="00B170F7" w:rsidP="00B170F7">
      <w:pPr>
        <w:pStyle w:val="NormalWeb"/>
        <w:ind w:left="720" w:hanging="720"/>
        <w:rPr>
          <w:rFonts w:eastAsia="Times New Roman"/>
          <w:lang w:eastAsia="zh-CN"/>
        </w:rPr>
      </w:pPr>
      <w:r w:rsidRPr="00DA354E">
        <w:rPr>
          <w:noProof/>
        </w:rPr>
        <w:t>90.</w:t>
      </w:r>
      <w:r w:rsidRPr="00DA354E">
        <w:rPr>
          <w:noProof/>
        </w:rPr>
        <w:tab/>
      </w:r>
      <w:proofErr w:type="spellStart"/>
      <w:r w:rsidRPr="00F4498D">
        <w:rPr>
          <w:rFonts w:eastAsia="Times New Roman"/>
          <w:lang w:eastAsia="zh-CN"/>
        </w:rPr>
        <w:t>Henebry</w:t>
      </w:r>
      <w:proofErr w:type="spellEnd"/>
      <w:r w:rsidRPr="00F4498D">
        <w:rPr>
          <w:rFonts w:eastAsia="Times New Roman"/>
          <w:lang w:eastAsia="zh-CN"/>
        </w:rPr>
        <w:t xml:space="preserve"> GM. Global change: Carbon in idle croplands. </w:t>
      </w:r>
      <w:r w:rsidRPr="00F4498D">
        <w:rPr>
          <w:rFonts w:eastAsia="Times New Roman"/>
          <w:i/>
          <w:iCs/>
          <w:lang w:eastAsia="zh-CN"/>
        </w:rPr>
        <w:t>Nature</w:t>
      </w:r>
      <w:r w:rsidRPr="00F4498D">
        <w:rPr>
          <w:rFonts w:eastAsia="Times New Roman"/>
          <w:lang w:eastAsia="zh-CN"/>
        </w:rPr>
        <w:t xml:space="preserve"> 2009;</w:t>
      </w:r>
      <w:r w:rsidRPr="00F4498D">
        <w:rPr>
          <w:rFonts w:eastAsia="Times New Roman"/>
          <w:b/>
          <w:bCs/>
          <w:lang w:eastAsia="zh-CN"/>
        </w:rPr>
        <w:t>457</w:t>
      </w:r>
      <w:r w:rsidRPr="00F4498D">
        <w:rPr>
          <w:rFonts w:eastAsia="Times New Roman"/>
          <w:lang w:eastAsia="zh-CN"/>
        </w:rPr>
        <w:t>:1089–90.</w:t>
      </w:r>
    </w:p>
    <w:p w:rsidR="00B170F7" w:rsidRPr="00F4498D" w:rsidRDefault="00B170F7" w:rsidP="00B170F7">
      <w:pPr>
        <w:pStyle w:val="NormalWeb"/>
        <w:ind w:left="720" w:hanging="720"/>
        <w:rPr>
          <w:rFonts w:eastAsia="Times New Roman"/>
          <w:lang w:eastAsia="zh-CN"/>
        </w:rPr>
      </w:pPr>
      <w:r w:rsidRPr="00DA354E">
        <w:rPr>
          <w:noProof/>
        </w:rPr>
        <w:t>91.</w:t>
      </w:r>
      <w:r w:rsidRPr="00DA354E">
        <w:rPr>
          <w:noProof/>
        </w:rPr>
        <w:tab/>
      </w:r>
      <w:r w:rsidRPr="00F4498D">
        <w:rPr>
          <w:rFonts w:eastAsia="Times New Roman"/>
          <w:lang w:eastAsia="zh-CN"/>
        </w:rPr>
        <w:t>Goodale CL, Apps MJ</w:t>
      </w:r>
      <w:r>
        <w:rPr>
          <w:rFonts w:eastAsia="Times New Roman"/>
          <w:lang w:eastAsia="zh-CN"/>
        </w:rPr>
        <w:t xml:space="preserve"> and</w:t>
      </w:r>
      <w:r w:rsidRPr="00F4498D">
        <w:rPr>
          <w:rFonts w:eastAsia="Times New Roman"/>
          <w:lang w:eastAsia="zh-CN"/>
        </w:rPr>
        <w:t xml:space="preserve"> </w:t>
      </w:r>
      <w:proofErr w:type="spellStart"/>
      <w:r w:rsidRPr="00F4498D">
        <w:rPr>
          <w:rFonts w:eastAsia="Times New Roman"/>
          <w:lang w:eastAsia="zh-CN"/>
        </w:rPr>
        <w:t>Birdsey</w:t>
      </w:r>
      <w:proofErr w:type="spellEnd"/>
      <w:r w:rsidRPr="00F4498D">
        <w:rPr>
          <w:rFonts w:eastAsia="Times New Roman"/>
          <w:lang w:eastAsia="zh-CN"/>
        </w:rPr>
        <w:t xml:space="preserve"> RA </w:t>
      </w:r>
      <w:r w:rsidRPr="00F4498D">
        <w:rPr>
          <w:rFonts w:eastAsia="Times New Roman"/>
          <w:i/>
          <w:iCs/>
          <w:lang w:eastAsia="zh-CN"/>
        </w:rPr>
        <w:t>et al</w:t>
      </w:r>
      <w:r w:rsidRPr="00F4498D">
        <w:rPr>
          <w:rFonts w:eastAsia="Times New Roman"/>
          <w:lang w:eastAsia="zh-CN"/>
        </w:rPr>
        <w:t xml:space="preserve">. Forest carbon sinks in the northern hemisphere. </w:t>
      </w:r>
      <w:proofErr w:type="spellStart"/>
      <w:r w:rsidRPr="00F4498D">
        <w:rPr>
          <w:rFonts w:eastAsia="Times New Roman"/>
          <w:i/>
          <w:iCs/>
          <w:lang w:eastAsia="zh-CN"/>
        </w:rPr>
        <w:t>Ecol</w:t>
      </w:r>
      <w:proofErr w:type="spellEnd"/>
      <w:r w:rsidRPr="00F4498D">
        <w:rPr>
          <w:rFonts w:eastAsia="Times New Roman"/>
          <w:i/>
          <w:iCs/>
          <w:lang w:eastAsia="zh-CN"/>
        </w:rPr>
        <w:t xml:space="preserve"> Appl</w:t>
      </w:r>
      <w:r w:rsidRPr="00F4498D">
        <w:rPr>
          <w:rFonts w:eastAsia="Times New Roman"/>
          <w:lang w:eastAsia="zh-CN"/>
        </w:rPr>
        <w:t xml:space="preserve"> 2002;</w:t>
      </w:r>
      <w:r w:rsidRPr="00F4498D">
        <w:rPr>
          <w:rFonts w:eastAsia="Times New Roman"/>
          <w:b/>
          <w:bCs/>
          <w:lang w:eastAsia="zh-CN"/>
        </w:rPr>
        <w:t>12</w:t>
      </w:r>
      <w:r w:rsidRPr="00F4498D">
        <w:rPr>
          <w:rFonts w:eastAsia="Times New Roman"/>
          <w:lang w:eastAsia="zh-CN"/>
        </w:rPr>
        <w:t>:891–9.</w:t>
      </w:r>
    </w:p>
    <w:p w:rsidR="00B170F7" w:rsidRPr="00256738" w:rsidRDefault="00B170F7" w:rsidP="00B170F7">
      <w:pPr>
        <w:pStyle w:val="NormalWeb"/>
        <w:ind w:left="720" w:hanging="720"/>
        <w:rPr>
          <w:rFonts w:eastAsia="Times New Roman"/>
          <w:lang w:eastAsia="zh-CN"/>
        </w:rPr>
      </w:pPr>
      <w:r w:rsidRPr="00DA354E">
        <w:rPr>
          <w:noProof/>
        </w:rPr>
        <w:t>92.</w:t>
      </w:r>
      <w:r w:rsidRPr="00DA354E">
        <w:rPr>
          <w:noProof/>
        </w:rPr>
        <w:tab/>
      </w:r>
      <w:r w:rsidRPr="00F4498D">
        <w:rPr>
          <w:rFonts w:eastAsia="Times New Roman"/>
          <w:lang w:eastAsia="zh-CN"/>
        </w:rPr>
        <w:t>Tate K, Scott N</w:t>
      </w:r>
      <w:r>
        <w:rPr>
          <w:rFonts w:eastAsia="Times New Roman"/>
          <w:lang w:eastAsia="zh-CN"/>
        </w:rPr>
        <w:t xml:space="preserve"> and</w:t>
      </w:r>
      <w:r w:rsidRPr="00F4498D">
        <w:rPr>
          <w:rFonts w:eastAsia="Times New Roman"/>
          <w:lang w:eastAsia="zh-CN"/>
        </w:rPr>
        <w:t xml:space="preserve"> </w:t>
      </w:r>
      <w:proofErr w:type="spellStart"/>
      <w:r w:rsidRPr="00F4498D">
        <w:rPr>
          <w:rFonts w:eastAsia="Times New Roman"/>
          <w:lang w:eastAsia="zh-CN"/>
        </w:rPr>
        <w:t>Parshotam</w:t>
      </w:r>
      <w:proofErr w:type="spellEnd"/>
      <w:r w:rsidRPr="00F4498D">
        <w:rPr>
          <w:rFonts w:eastAsia="Times New Roman"/>
          <w:lang w:eastAsia="zh-CN"/>
        </w:rPr>
        <w:t xml:space="preserve"> A </w:t>
      </w:r>
      <w:r w:rsidRPr="00256738">
        <w:rPr>
          <w:rFonts w:eastAsia="Times New Roman"/>
          <w:i/>
          <w:iCs/>
          <w:lang w:eastAsia="zh-CN"/>
        </w:rPr>
        <w:t>et al</w:t>
      </w:r>
      <w:r w:rsidRPr="00F4498D">
        <w:rPr>
          <w:rFonts w:eastAsia="Times New Roman"/>
          <w:lang w:eastAsia="zh-CN"/>
        </w:rPr>
        <w:t xml:space="preserve">. A multi-scale analysis of a terrestrial carbon budget. </w:t>
      </w:r>
      <w:r w:rsidRPr="00256738">
        <w:rPr>
          <w:rFonts w:eastAsia="Times New Roman"/>
          <w:i/>
          <w:iCs/>
          <w:lang w:eastAsia="zh-CN"/>
        </w:rPr>
        <w:t xml:space="preserve">Agric </w:t>
      </w:r>
      <w:proofErr w:type="spellStart"/>
      <w:r w:rsidRPr="00256738">
        <w:rPr>
          <w:rFonts w:eastAsia="Times New Roman"/>
          <w:i/>
          <w:iCs/>
          <w:lang w:eastAsia="zh-CN"/>
        </w:rPr>
        <w:t>Ecosyst</w:t>
      </w:r>
      <w:proofErr w:type="spellEnd"/>
      <w:r w:rsidRPr="00256738">
        <w:rPr>
          <w:rFonts w:eastAsia="Times New Roman"/>
          <w:i/>
          <w:iCs/>
          <w:lang w:eastAsia="zh-CN"/>
        </w:rPr>
        <w:t xml:space="preserve"> Environ</w:t>
      </w:r>
      <w:r w:rsidRPr="00256738">
        <w:rPr>
          <w:rFonts w:eastAsia="Times New Roman"/>
          <w:lang w:eastAsia="zh-CN"/>
        </w:rPr>
        <w:t xml:space="preserve"> 2000;</w:t>
      </w:r>
      <w:r w:rsidRPr="00256738">
        <w:rPr>
          <w:rFonts w:eastAsia="Times New Roman"/>
          <w:b/>
          <w:bCs/>
          <w:lang w:eastAsia="zh-CN"/>
        </w:rPr>
        <w:t>82</w:t>
      </w:r>
      <w:r w:rsidRPr="00256738">
        <w:rPr>
          <w:rFonts w:eastAsia="Times New Roman"/>
          <w:lang w:eastAsia="zh-CN"/>
        </w:rPr>
        <w:t>:229–46.</w:t>
      </w:r>
    </w:p>
    <w:p w:rsidR="00B170F7" w:rsidRPr="00256738" w:rsidRDefault="00B170F7" w:rsidP="00B170F7">
      <w:pPr>
        <w:pStyle w:val="NormalWeb"/>
        <w:ind w:left="720" w:hanging="720"/>
        <w:rPr>
          <w:rFonts w:eastAsia="Times New Roman"/>
          <w:lang w:eastAsia="zh-CN"/>
        </w:rPr>
      </w:pPr>
      <w:r w:rsidRPr="00B170F7">
        <w:rPr>
          <w:noProof/>
        </w:rPr>
        <w:t>93.</w:t>
      </w:r>
      <w:r w:rsidRPr="00B170F7">
        <w:rPr>
          <w:noProof/>
        </w:rPr>
        <w:tab/>
      </w:r>
      <w:proofErr w:type="spellStart"/>
      <w:r w:rsidRPr="00B170F7">
        <w:rPr>
          <w:rFonts w:eastAsia="Times New Roman"/>
          <w:lang w:eastAsia="zh-CN"/>
        </w:rPr>
        <w:t>Zscheischler</w:t>
      </w:r>
      <w:proofErr w:type="spellEnd"/>
      <w:r w:rsidRPr="00B170F7">
        <w:rPr>
          <w:rFonts w:eastAsia="Times New Roman"/>
          <w:lang w:eastAsia="zh-CN"/>
        </w:rPr>
        <w:t xml:space="preserve"> J, </w:t>
      </w:r>
      <w:proofErr w:type="spellStart"/>
      <w:r w:rsidRPr="00B170F7">
        <w:rPr>
          <w:rFonts w:eastAsia="Times New Roman"/>
          <w:lang w:eastAsia="zh-CN"/>
        </w:rPr>
        <w:t>Mahecha</w:t>
      </w:r>
      <w:proofErr w:type="spellEnd"/>
      <w:r w:rsidRPr="00B170F7">
        <w:rPr>
          <w:rFonts w:eastAsia="Times New Roman"/>
          <w:lang w:eastAsia="zh-CN"/>
        </w:rPr>
        <w:t xml:space="preserve"> MD and </w:t>
      </w:r>
      <w:proofErr w:type="spellStart"/>
      <w:r w:rsidRPr="00B170F7">
        <w:rPr>
          <w:rFonts w:eastAsia="Times New Roman"/>
          <w:lang w:eastAsia="zh-CN"/>
        </w:rPr>
        <w:t>Avitabile</w:t>
      </w:r>
      <w:proofErr w:type="spellEnd"/>
      <w:r w:rsidRPr="00B170F7">
        <w:rPr>
          <w:rFonts w:eastAsia="Times New Roman"/>
          <w:lang w:eastAsia="zh-CN"/>
        </w:rPr>
        <w:t xml:space="preserve"> V </w:t>
      </w:r>
      <w:r w:rsidRPr="00B170F7">
        <w:rPr>
          <w:rFonts w:eastAsia="Times New Roman"/>
          <w:i/>
          <w:iCs/>
          <w:lang w:eastAsia="zh-CN"/>
        </w:rPr>
        <w:t>et al</w:t>
      </w:r>
      <w:r w:rsidRPr="00B170F7">
        <w:rPr>
          <w:rFonts w:eastAsia="Times New Roman"/>
          <w:lang w:eastAsia="zh-CN"/>
        </w:rPr>
        <w:t xml:space="preserve">. </w:t>
      </w:r>
      <w:r w:rsidRPr="00256738">
        <w:rPr>
          <w:rFonts w:eastAsia="Times New Roman"/>
          <w:lang w:eastAsia="zh-CN"/>
        </w:rPr>
        <w:t xml:space="preserve">Reviews and syntheses: An empirical spatiotemporal description of the global surface-atmosphere carbon fluxes: Opportunities and data limitations. </w:t>
      </w:r>
      <w:proofErr w:type="spellStart"/>
      <w:r w:rsidRPr="00256738">
        <w:rPr>
          <w:rFonts w:eastAsia="Times New Roman"/>
          <w:i/>
          <w:iCs/>
          <w:lang w:eastAsia="zh-CN"/>
        </w:rPr>
        <w:t>Biogeosciences</w:t>
      </w:r>
      <w:proofErr w:type="spellEnd"/>
      <w:r w:rsidRPr="00256738">
        <w:rPr>
          <w:rFonts w:eastAsia="Times New Roman"/>
          <w:lang w:eastAsia="zh-CN"/>
        </w:rPr>
        <w:t xml:space="preserve"> 2017;</w:t>
      </w:r>
      <w:r w:rsidRPr="00256738">
        <w:rPr>
          <w:rFonts w:eastAsia="Times New Roman"/>
          <w:b/>
          <w:bCs/>
          <w:lang w:eastAsia="zh-CN"/>
        </w:rPr>
        <w:t>14</w:t>
      </w:r>
      <w:r w:rsidRPr="00256738">
        <w:rPr>
          <w:rFonts w:eastAsia="Times New Roman"/>
          <w:lang w:eastAsia="zh-CN"/>
        </w:rPr>
        <w:t>:3685–703.</w:t>
      </w:r>
    </w:p>
    <w:p w:rsidR="00B170F7" w:rsidRPr="00256738" w:rsidRDefault="00B170F7" w:rsidP="00B170F7">
      <w:pPr>
        <w:pStyle w:val="NormalWeb"/>
        <w:ind w:left="720" w:hanging="720"/>
        <w:rPr>
          <w:rFonts w:eastAsia="Times New Roman"/>
          <w:lang w:eastAsia="zh-CN"/>
        </w:rPr>
      </w:pPr>
      <w:r w:rsidRPr="00DA354E">
        <w:rPr>
          <w:noProof/>
        </w:rPr>
        <w:t>94.</w:t>
      </w:r>
      <w:r w:rsidRPr="00DA354E">
        <w:rPr>
          <w:noProof/>
        </w:rPr>
        <w:tab/>
      </w:r>
      <w:proofErr w:type="spellStart"/>
      <w:r w:rsidRPr="00256738">
        <w:rPr>
          <w:rFonts w:eastAsia="Times New Roman"/>
          <w:lang w:eastAsia="zh-CN"/>
        </w:rPr>
        <w:t>Zscheischler</w:t>
      </w:r>
      <w:proofErr w:type="spellEnd"/>
      <w:r w:rsidRPr="00256738">
        <w:rPr>
          <w:rFonts w:eastAsia="Times New Roman"/>
          <w:lang w:eastAsia="zh-CN"/>
        </w:rPr>
        <w:t xml:space="preserve"> J, </w:t>
      </w:r>
      <w:proofErr w:type="spellStart"/>
      <w:r w:rsidRPr="00256738">
        <w:rPr>
          <w:rFonts w:eastAsia="Times New Roman"/>
          <w:lang w:eastAsia="zh-CN"/>
        </w:rPr>
        <w:t>Mahecha</w:t>
      </w:r>
      <w:proofErr w:type="spellEnd"/>
      <w:r w:rsidRPr="00256738">
        <w:rPr>
          <w:rFonts w:eastAsia="Times New Roman"/>
          <w:lang w:eastAsia="zh-CN"/>
        </w:rPr>
        <w:t xml:space="preserve"> M and Reichstein M </w:t>
      </w:r>
      <w:r w:rsidRPr="00B170F7">
        <w:rPr>
          <w:rFonts w:eastAsia="Times New Roman"/>
          <w:i/>
          <w:iCs/>
          <w:lang w:eastAsia="zh-CN"/>
        </w:rPr>
        <w:t>et al</w:t>
      </w:r>
      <w:r w:rsidRPr="00256738">
        <w:rPr>
          <w:rFonts w:eastAsia="Times New Roman"/>
          <w:lang w:eastAsia="zh-CN"/>
        </w:rPr>
        <w:t xml:space="preserve">. Towards an purely data driven view on the global carbon cycle and its spatiotemporal variability. </w:t>
      </w:r>
      <w:r w:rsidRPr="00256738">
        <w:rPr>
          <w:rFonts w:eastAsia="Times New Roman"/>
          <w:i/>
          <w:iCs/>
          <w:lang w:eastAsia="zh-CN"/>
        </w:rPr>
        <w:t xml:space="preserve">EGU Gen </w:t>
      </w:r>
      <w:proofErr w:type="spellStart"/>
      <w:r w:rsidRPr="00256738">
        <w:rPr>
          <w:rFonts w:eastAsia="Times New Roman"/>
          <w:i/>
          <w:iCs/>
          <w:lang w:eastAsia="zh-CN"/>
        </w:rPr>
        <w:t>Assem</w:t>
      </w:r>
      <w:proofErr w:type="spellEnd"/>
      <w:r w:rsidRPr="00256738">
        <w:rPr>
          <w:rFonts w:eastAsia="Times New Roman"/>
          <w:i/>
          <w:iCs/>
          <w:lang w:eastAsia="zh-CN"/>
        </w:rPr>
        <w:t xml:space="preserve"> 2015</w:t>
      </w:r>
      <w:r w:rsidRPr="00256738">
        <w:rPr>
          <w:rFonts w:eastAsia="Times New Roman"/>
          <w:lang w:eastAsia="zh-CN"/>
        </w:rPr>
        <w:t xml:space="preserve"> 2015.</w:t>
      </w:r>
    </w:p>
    <w:p w:rsidR="00B170F7" w:rsidRPr="00256738" w:rsidRDefault="00B170F7" w:rsidP="00B170F7">
      <w:pPr>
        <w:pStyle w:val="NormalWeb"/>
        <w:ind w:left="720" w:hanging="720"/>
        <w:rPr>
          <w:rFonts w:eastAsia="Times New Roman"/>
          <w:lang w:eastAsia="zh-CN"/>
        </w:rPr>
      </w:pPr>
      <w:r w:rsidRPr="00DA354E">
        <w:rPr>
          <w:noProof/>
        </w:rPr>
        <w:t>95.</w:t>
      </w:r>
      <w:r w:rsidRPr="00DA354E">
        <w:rPr>
          <w:noProof/>
        </w:rPr>
        <w:tab/>
      </w:r>
      <w:r w:rsidRPr="00256738">
        <w:rPr>
          <w:rFonts w:eastAsia="Times New Roman"/>
          <w:lang w:eastAsia="zh-CN"/>
        </w:rPr>
        <w:t xml:space="preserve">Geoffroy O, Saint-Martin D and </w:t>
      </w:r>
      <w:proofErr w:type="spellStart"/>
      <w:r w:rsidRPr="00256738">
        <w:rPr>
          <w:rFonts w:eastAsia="Times New Roman"/>
          <w:lang w:eastAsia="zh-CN"/>
        </w:rPr>
        <w:t>Olivié</w:t>
      </w:r>
      <w:proofErr w:type="spellEnd"/>
      <w:r w:rsidRPr="00256738">
        <w:rPr>
          <w:rFonts w:eastAsia="Times New Roman"/>
          <w:lang w:eastAsia="zh-CN"/>
        </w:rPr>
        <w:t xml:space="preserve"> DJL </w:t>
      </w:r>
      <w:r w:rsidRPr="00B170F7">
        <w:rPr>
          <w:rFonts w:eastAsia="Times New Roman"/>
          <w:i/>
          <w:iCs/>
          <w:lang w:eastAsia="zh-CN"/>
        </w:rPr>
        <w:t>et al</w:t>
      </w:r>
      <w:r w:rsidRPr="00256738">
        <w:rPr>
          <w:rFonts w:eastAsia="Times New Roman"/>
          <w:lang w:eastAsia="zh-CN"/>
        </w:rPr>
        <w:t xml:space="preserve">. Transient Climate Response in a Two-Layer Energy-Balance Model. Part I: Analytical Solution and Parameter Calibration Using CMIP5 AOGCM Experiments. </w:t>
      </w:r>
      <w:r w:rsidRPr="00256738">
        <w:rPr>
          <w:rFonts w:eastAsia="Times New Roman"/>
          <w:i/>
          <w:iCs/>
          <w:lang w:eastAsia="zh-CN"/>
        </w:rPr>
        <w:t xml:space="preserve">J </w:t>
      </w:r>
      <w:proofErr w:type="spellStart"/>
      <w:r w:rsidRPr="00256738">
        <w:rPr>
          <w:rFonts w:eastAsia="Times New Roman"/>
          <w:i/>
          <w:iCs/>
          <w:lang w:eastAsia="zh-CN"/>
        </w:rPr>
        <w:t>Clim</w:t>
      </w:r>
      <w:proofErr w:type="spellEnd"/>
      <w:r w:rsidRPr="00256738">
        <w:rPr>
          <w:rFonts w:eastAsia="Times New Roman"/>
          <w:lang w:eastAsia="zh-CN"/>
        </w:rPr>
        <w:t xml:space="preserve"> 2013;</w:t>
      </w:r>
      <w:r w:rsidRPr="00256738">
        <w:rPr>
          <w:rFonts w:eastAsia="Times New Roman"/>
          <w:b/>
          <w:bCs/>
          <w:lang w:eastAsia="zh-CN"/>
        </w:rPr>
        <w:t>26</w:t>
      </w:r>
      <w:r w:rsidRPr="00256738">
        <w:rPr>
          <w:rFonts w:eastAsia="Times New Roman"/>
          <w:lang w:eastAsia="zh-CN"/>
        </w:rPr>
        <w:t>:1841–57.</w:t>
      </w:r>
    </w:p>
    <w:p w:rsidR="00B170F7" w:rsidRPr="00256738" w:rsidRDefault="00B170F7" w:rsidP="00B170F7">
      <w:pPr>
        <w:pStyle w:val="NormalWeb"/>
        <w:ind w:left="720" w:hanging="720"/>
        <w:rPr>
          <w:rFonts w:eastAsia="Times New Roman"/>
          <w:lang w:eastAsia="zh-CN"/>
        </w:rPr>
      </w:pPr>
      <w:r w:rsidRPr="00DA354E">
        <w:rPr>
          <w:noProof/>
        </w:rPr>
        <w:t>96.</w:t>
      </w:r>
      <w:r w:rsidRPr="00DA354E">
        <w:rPr>
          <w:noProof/>
        </w:rPr>
        <w:tab/>
      </w:r>
      <w:proofErr w:type="spellStart"/>
      <w:r w:rsidRPr="00256738">
        <w:rPr>
          <w:rFonts w:eastAsia="Times New Roman"/>
          <w:lang w:eastAsia="zh-CN"/>
        </w:rPr>
        <w:t>Meinshausen</w:t>
      </w:r>
      <w:proofErr w:type="spellEnd"/>
      <w:r w:rsidRPr="00256738">
        <w:rPr>
          <w:rFonts w:eastAsia="Times New Roman"/>
          <w:lang w:eastAsia="zh-CN"/>
        </w:rPr>
        <w:t xml:space="preserve"> M, Smith SJ and Calvin K </w:t>
      </w:r>
      <w:r w:rsidRPr="00256738">
        <w:rPr>
          <w:rFonts w:eastAsia="Times New Roman"/>
          <w:i/>
          <w:iCs/>
          <w:lang w:eastAsia="zh-CN"/>
        </w:rPr>
        <w:t>et al</w:t>
      </w:r>
      <w:r w:rsidRPr="00256738">
        <w:rPr>
          <w:rFonts w:eastAsia="Times New Roman"/>
          <w:lang w:eastAsia="zh-CN"/>
        </w:rPr>
        <w:t xml:space="preserve">. The RCP greenhouse gas concentrations and their extensions from 1765 to 2300. </w:t>
      </w:r>
      <w:proofErr w:type="spellStart"/>
      <w:r w:rsidRPr="00256738">
        <w:rPr>
          <w:rFonts w:eastAsia="Times New Roman"/>
          <w:i/>
          <w:iCs/>
          <w:lang w:eastAsia="zh-CN"/>
        </w:rPr>
        <w:t>Clim</w:t>
      </w:r>
      <w:proofErr w:type="spellEnd"/>
      <w:r w:rsidRPr="00256738">
        <w:rPr>
          <w:rFonts w:eastAsia="Times New Roman"/>
          <w:i/>
          <w:iCs/>
          <w:lang w:eastAsia="zh-CN"/>
        </w:rPr>
        <w:t xml:space="preserve"> Change</w:t>
      </w:r>
      <w:r w:rsidRPr="00256738">
        <w:rPr>
          <w:rFonts w:eastAsia="Times New Roman"/>
          <w:lang w:eastAsia="zh-CN"/>
        </w:rPr>
        <w:t xml:space="preserve"> 2011;</w:t>
      </w:r>
      <w:r w:rsidRPr="00256738">
        <w:rPr>
          <w:rFonts w:eastAsia="Times New Roman"/>
          <w:b/>
          <w:bCs/>
          <w:lang w:eastAsia="zh-CN"/>
        </w:rPr>
        <w:t>109</w:t>
      </w:r>
      <w:r w:rsidRPr="00256738">
        <w:rPr>
          <w:rFonts w:eastAsia="Times New Roman"/>
          <w:lang w:eastAsia="zh-CN"/>
        </w:rPr>
        <w:t>:213–41.</w:t>
      </w:r>
    </w:p>
    <w:p w:rsidR="00B170F7" w:rsidRPr="00256738" w:rsidRDefault="00B170F7" w:rsidP="00B170F7">
      <w:pPr>
        <w:pStyle w:val="NormalWeb"/>
        <w:ind w:left="720" w:hanging="720"/>
        <w:rPr>
          <w:rFonts w:eastAsia="Times New Roman"/>
          <w:lang w:eastAsia="zh-CN"/>
        </w:rPr>
      </w:pPr>
      <w:r w:rsidRPr="00DA354E">
        <w:rPr>
          <w:noProof/>
        </w:rPr>
        <w:t>97.</w:t>
      </w:r>
      <w:r w:rsidRPr="00DA354E">
        <w:rPr>
          <w:noProof/>
        </w:rPr>
        <w:tab/>
      </w:r>
      <w:proofErr w:type="spellStart"/>
      <w:r w:rsidRPr="00256738">
        <w:rPr>
          <w:rFonts w:eastAsia="Times New Roman"/>
          <w:lang w:eastAsia="zh-CN"/>
        </w:rPr>
        <w:t>Lauerwald</w:t>
      </w:r>
      <w:proofErr w:type="spellEnd"/>
      <w:r w:rsidRPr="00256738">
        <w:rPr>
          <w:rFonts w:eastAsia="Times New Roman"/>
          <w:lang w:eastAsia="zh-CN"/>
        </w:rPr>
        <w:t xml:space="preserve"> R, </w:t>
      </w:r>
      <w:proofErr w:type="spellStart"/>
      <w:r w:rsidRPr="00256738">
        <w:rPr>
          <w:rFonts w:eastAsia="Times New Roman"/>
          <w:lang w:eastAsia="zh-CN"/>
        </w:rPr>
        <w:t>Laruelle</w:t>
      </w:r>
      <w:proofErr w:type="spellEnd"/>
      <w:r w:rsidRPr="00256738">
        <w:rPr>
          <w:rFonts w:eastAsia="Times New Roman"/>
          <w:lang w:eastAsia="zh-CN"/>
        </w:rPr>
        <w:t xml:space="preserve"> GG and Hartmann J </w:t>
      </w:r>
      <w:r w:rsidRPr="00256738">
        <w:rPr>
          <w:rFonts w:eastAsia="Times New Roman"/>
          <w:i/>
          <w:iCs/>
          <w:lang w:eastAsia="zh-CN"/>
        </w:rPr>
        <w:t>et al</w:t>
      </w:r>
      <w:r w:rsidRPr="00256738">
        <w:rPr>
          <w:rFonts w:eastAsia="Times New Roman"/>
          <w:lang w:eastAsia="zh-CN"/>
        </w:rPr>
        <w:t>. Spatial patterns in CO</w:t>
      </w:r>
      <w:r w:rsidRPr="00256738">
        <w:rPr>
          <w:rFonts w:eastAsia="Times New Roman"/>
          <w:vertAlign w:val="subscript"/>
          <w:lang w:eastAsia="zh-CN"/>
        </w:rPr>
        <w:t>2</w:t>
      </w:r>
      <w:r w:rsidRPr="00256738">
        <w:rPr>
          <w:rFonts w:eastAsia="Times New Roman"/>
          <w:lang w:eastAsia="zh-CN"/>
        </w:rPr>
        <w:t xml:space="preserve"> evasion from the global river network. </w:t>
      </w:r>
      <w:r w:rsidRPr="00256738">
        <w:rPr>
          <w:rFonts w:eastAsia="Times New Roman"/>
          <w:i/>
          <w:iCs/>
          <w:lang w:eastAsia="zh-CN"/>
        </w:rPr>
        <w:t xml:space="preserve">Global </w:t>
      </w:r>
      <w:proofErr w:type="spellStart"/>
      <w:r w:rsidRPr="00256738">
        <w:rPr>
          <w:rFonts w:eastAsia="Times New Roman"/>
          <w:i/>
          <w:iCs/>
          <w:lang w:eastAsia="zh-CN"/>
        </w:rPr>
        <w:t>Biogeochem</w:t>
      </w:r>
      <w:proofErr w:type="spellEnd"/>
      <w:r w:rsidRPr="00256738">
        <w:rPr>
          <w:rFonts w:eastAsia="Times New Roman"/>
          <w:i/>
          <w:iCs/>
          <w:lang w:eastAsia="zh-CN"/>
        </w:rPr>
        <w:t xml:space="preserve"> Cycles</w:t>
      </w:r>
      <w:r w:rsidRPr="00256738">
        <w:rPr>
          <w:rFonts w:eastAsia="Times New Roman"/>
          <w:lang w:eastAsia="zh-CN"/>
        </w:rPr>
        <w:t xml:space="preserve"> 2015;</w:t>
      </w:r>
      <w:r w:rsidRPr="00256738">
        <w:rPr>
          <w:rFonts w:eastAsia="Times New Roman"/>
          <w:b/>
          <w:bCs/>
          <w:lang w:eastAsia="zh-CN"/>
        </w:rPr>
        <w:t>29</w:t>
      </w:r>
      <w:r w:rsidRPr="00256738">
        <w:rPr>
          <w:rFonts w:eastAsia="Times New Roman"/>
          <w:lang w:eastAsia="zh-CN"/>
        </w:rPr>
        <w:t>:534–54.</w:t>
      </w:r>
    </w:p>
    <w:p w:rsidR="00B170F7" w:rsidRPr="00256738" w:rsidRDefault="00B170F7" w:rsidP="00B170F7">
      <w:pPr>
        <w:pStyle w:val="NormalWeb"/>
        <w:ind w:left="720" w:hanging="720"/>
        <w:rPr>
          <w:rFonts w:eastAsia="Times New Roman"/>
          <w:lang w:eastAsia="zh-CN"/>
        </w:rPr>
      </w:pPr>
      <w:r w:rsidRPr="00DA354E">
        <w:rPr>
          <w:noProof/>
        </w:rPr>
        <w:t>98.</w:t>
      </w:r>
      <w:r w:rsidRPr="00DA354E">
        <w:rPr>
          <w:noProof/>
        </w:rPr>
        <w:tab/>
      </w:r>
      <w:r w:rsidRPr="00256738">
        <w:rPr>
          <w:rFonts w:eastAsia="Times New Roman"/>
          <w:lang w:eastAsia="zh-CN"/>
        </w:rPr>
        <w:t>United Nations, Department of Economic and Social Affairs, Population Division (2013).World Population Prospects: The 2012 Revision, DVD Edition.</w:t>
      </w:r>
    </w:p>
    <w:p w:rsidR="00B170F7" w:rsidRPr="00256738" w:rsidRDefault="00B170F7" w:rsidP="00B170F7">
      <w:pPr>
        <w:pStyle w:val="NormalWeb"/>
        <w:ind w:left="720" w:hanging="720"/>
        <w:rPr>
          <w:rFonts w:eastAsia="Times New Roman"/>
          <w:lang w:eastAsia="zh-CN"/>
        </w:rPr>
      </w:pPr>
      <w:r w:rsidRPr="00DA354E">
        <w:rPr>
          <w:noProof/>
        </w:rPr>
        <w:t>99.</w:t>
      </w:r>
      <w:r w:rsidRPr="00DA354E">
        <w:rPr>
          <w:noProof/>
        </w:rPr>
        <w:tab/>
      </w:r>
      <w:proofErr w:type="spellStart"/>
      <w:r w:rsidRPr="00256738">
        <w:rPr>
          <w:rFonts w:eastAsia="Times New Roman"/>
          <w:lang w:eastAsia="zh-CN"/>
        </w:rPr>
        <w:t>Langerwisch</w:t>
      </w:r>
      <w:proofErr w:type="spellEnd"/>
      <w:r w:rsidRPr="00256738">
        <w:rPr>
          <w:rFonts w:eastAsia="Times New Roman"/>
          <w:lang w:eastAsia="zh-CN"/>
        </w:rPr>
        <w:t xml:space="preserve"> F, Walz </w:t>
      </w:r>
      <w:r>
        <w:rPr>
          <w:rFonts w:eastAsia="Times New Roman"/>
          <w:lang w:eastAsia="zh-CN"/>
        </w:rPr>
        <w:t>A and</w:t>
      </w:r>
      <w:r w:rsidRPr="00256738">
        <w:rPr>
          <w:rFonts w:eastAsia="Times New Roman"/>
          <w:lang w:eastAsia="zh-CN"/>
        </w:rPr>
        <w:t xml:space="preserve"> </w:t>
      </w:r>
      <w:proofErr w:type="spellStart"/>
      <w:r w:rsidRPr="00256738">
        <w:rPr>
          <w:rFonts w:eastAsia="Times New Roman"/>
          <w:lang w:eastAsia="zh-CN"/>
        </w:rPr>
        <w:t>Rammig</w:t>
      </w:r>
      <w:proofErr w:type="spellEnd"/>
      <w:r w:rsidRPr="00256738">
        <w:rPr>
          <w:rFonts w:eastAsia="Times New Roman"/>
          <w:lang w:eastAsia="zh-CN"/>
        </w:rPr>
        <w:t xml:space="preserve"> </w:t>
      </w:r>
      <w:r>
        <w:rPr>
          <w:rFonts w:eastAsia="Times New Roman"/>
          <w:lang w:eastAsia="zh-CN"/>
        </w:rPr>
        <w:t>A</w:t>
      </w:r>
      <w:r w:rsidRPr="00256738">
        <w:rPr>
          <w:rFonts w:eastAsia="Times New Roman"/>
          <w:lang w:eastAsia="zh-CN"/>
        </w:rPr>
        <w:t xml:space="preserve"> </w:t>
      </w:r>
      <w:r w:rsidRPr="00256738">
        <w:rPr>
          <w:rFonts w:eastAsia="Times New Roman"/>
          <w:i/>
          <w:iCs/>
          <w:lang w:eastAsia="zh-CN"/>
        </w:rPr>
        <w:t>et al</w:t>
      </w:r>
      <w:r w:rsidRPr="00256738">
        <w:rPr>
          <w:rFonts w:eastAsia="Times New Roman"/>
          <w:lang w:eastAsia="zh-CN"/>
        </w:rPr>
        <w:t xml:space="preserve">. Climate change increases riverine carbon outgassing while export to the ocean remains uncertain. </w:t>
      </w:r>
      <w:r w:rsidRPr="00256738">
        <w:rPr>
          <w:rFonts w:eastAsia="Times New Roman"/>
          <w:i/>
          <w:iCs/>
          <w:lang w:eastAsia="zh-CN"/>
        </w:rPr>
        <w:t xml:space="preserve">Earth Syst </w:t>
      </w:r>
      <w:proofErr w:type="spellStart"/>
      <w:r w:rsidRPr="00256738">
        <w:rPr>
          <w:rFonts w:eastAsia="Times New Roman"/>
          <w:i/>
          <w:iCs/>
          <w:lang w:eastAsia="zh-CN"/>
        </w:rPr>
        <w:t>Dyn</w:t>
      </w:r>
      <w:proofErr w:type="spellEnd"/>
      <w:r w:rsidRPr="00256738">
        <w:rPr>
          <w:rFonts w:eastAsia="Times New Roman"/>
          <w:i/>
          <w:iCs/>
          <w:lang w:eastAsia="zh-CN"/>
        </w:rPr>
        <w:t xml:space="preserve"> Discuss</w:t>
      </w:r>
      <w:r w:rsidRPr="00256738">
        <w:rPr>
          <w:rFonts w:eastAsia="Times New Roman"/>
          <w:lang w:eastAsia="zh-CN"/>
        </w:rPr>
        <w:t xml:space="preserve"> 2015;</w:t>
      </w:r>
      <w:r w:rsidRPr="00256738">
        <w:rPr>
          <w:rFonts w:eastAsia="Times New Roman"/>
          <w:b/>
          <w:bCs/>
          <w:lang w:eastAsia="zh-CN"/>
        </w:rPr>
        <w:t>6</w:t>
      </w:r>
      <w:r w:rsidRPr="00256738">
        <w:rPr>
          <w:rFonts w:eastAsia="Times New Roman"/>
          <w:lang w:eastAsia="zh-CN"/>
        </w:rPr>
        <w:t>:1445–97.</w:t>
      </w:r>
    </w:p>
    <w:p w:rsidR="00B170F7" w:rsidRPr="00256738" w:rsidRDefault="00B170F7" w:rsidP="00B170F7">
      <w:pPr>
        <w:pStyle w:val="NormalWeb"/>
        <w:ind w:left="720" w:hanging="720"/>
        <w:rPr>
          <w:rFonts w:eastAsia="Times New Roman"/>
          <w:lang w:eastAsia="zh-CN"/>
        </w:rPr>
      </w:pPr>
      <w:r w:rsidRPr="00DA354E">
        <w:rPr>
          <w:noProof/>
        </w:rPr>
        <w:t>100.</w:t>
      </w:r>
      <w:r w:rsidRPr="00DA354E">
        <w:rPr>
          <w:noProof/>
        </w:rPr>
        <w:tab/>
      </w:r>
      <w:r w:rsidRPr="00256738">
        <w:rPr>
          <w:rFonts w:eastAsia="Times New Roman"/>
          <w:lang w:eastAsia="zh-CN"/>
        </w:rPr>
        <w:t xml:space="preserve">Huang J, van den </w:t>
      </w:r>
      <w:proofErr w:type="spellStart"/>
      <w:r w:rsidRPr="00256738">
        <w:rPr>
          <w:rFonts w:eastAsia="Times New Roman"/>
          <w:lang w:eastAsia="zh-CN"/>
        </w:rPr>
        <w:t>Dool</w:t>
      </w:r>
      <w:proofErr w:type="spellEnd"/>
      <w:r w:rsidRPr="00256738">
        <w:rPr>
          <w:rFonts w:eastAsia="Times New Roman"/>
          <w:lang w:eastAsia="zh-CN"/>
        </w:rPr>
        <w:t xml:space="preserve"> HM</w:t>
      </w:r>
      <w:r>
        <w:rPr>
          <w:rFonts w:eastAsia="Times New Roman"/>
          <w:lang w:eastAsia="zh-CN"/>
        </w:rPr>
        <w:t xml:space="preserve"> and</w:t>
      </w:r>
      <w:r w:rsidRPr="00256738">
        <w:rPr>
          <w:rFonts w:eastAsia="Times New Roman"/>
          <w:lang w:eastAsia="zh-CN"/>
        </w:rPr>
        <w:t xml:space="preserve"> </w:t>
      </w:r>
      <w:proofErr w:type="spellStart"/>
      <w:r w:rsidRPr="00256738">
        <w:rPr>
          <w:rFonts w:eastAsia="Times New Roman"/>
          <w:lang w:eastAsia="zh-CN"/>
        </w:rPr>
        <w:t>Georgarakos</w:t>
      </w:r>
      <w:proofErr w:type="spellEnd"/>
      <w:r w:rsidRPr="00256738">
        <w:rPr>
          <w:rFonts w:eastAsia="Times New Roman"/>
          <w:lang w:eastAsia="zh-CN"/>
        </w:rPr>
        <w:t xml:space="preserve"> KP. Analysis of model-calculated soil moisture over the United States (1931–1993) and applications to long-range temperature forecasts. </w:t>
      </w:r>
      <w:r w:rsidRPr="00256738">
        <w:rPr>
          <w:rFonts w:eastAsia="Times New Roman"/>
          <w:i/>
          <w:iCs/>
          <w:lang w:eastAsia="zh-CN"/>
        </w:rPr>
        <w:t xml:space="preserve">J </w:t>
      </w:r>
      <w:proofErr w:type="spellStart"/>
      <w:r w:rsidRPr="00256738">
        <w:rPr>
          <w:rFonts w:eastAsia="Times New Roman"/>
          <w:i/>
          <w:iCs/>
          <w:lang w:eastAsia="zh-CN"/>
        </w:rPr>
        <w:t>Clim</w:t>
      </w:r>
      <w:proofErr w:type="spellEnd"/>
      <w:r w:rsidRPr="00256738">
        <w:rPr>
          <w:rFonts w:eastAsia="Times New Roman"/>
          <w:lang w:eastAsia="zh-CN"/>
        </w:rPr>
        <w:t xml:space="preserve"> 1996;</w:t>
      </w:r>
      <w:r w:rsidRPr="00256738">
        <w:rPr>
          <w:rFonts w:eastAsia="Times New Roman"/>
          <w:b/>
          <w:bCs/>
          <w:lang w:eastAsia="zh-CN"/>
        </w:rPr>
        <w:t>9</w:t>
      </w:r>
      <w:r w:rsidRPr="00256738">
        <w:rPr>
          <w:rFonts w:eastAsia="Times New Roman"/>
          <w:lang w:eastAsia="zh-CN"/>
        </w:rPr>
        <w:t>:1350–62.</w:t>
      </w:r>
    </w:p>
    <w:p w:rsidR="00B170F7" w:rsidRPr="00256738" w:rsidRDefault="00B170F7" w:rsidP="00B170F7">
      <w:pPr>
        <w:pStyle w:val="NormalWeb"/>
        <w:ind w:left="720" w:hanging="720"/>
        <w:rPr>
          <w:rFonts w:eastAsia="Times New Roman"/>
          <w:lang w:eastAsia="zh-CN"/>
        </w:rPr>
      </w:pPr>
      <w:r w:rsidRPr="00DA354E">
        <w:rPr>
          <w:noProof/>
        </w:rPr>
        <w:lastRenderedPageBreak/>
        <w:t>101.</w:t>
      </w:r>
      <w:r w:rsidRPr="00DA354E">
        <w:rPr>
          <w:noProof/>
        </w:rPr>
        <w:tab/>
      </w:r>
      <w:r w:rsidRPr="00256738">
        <w:rPr>
          <w:rFonts w:eastAsia="Times New Roman"/>
          <w:lang w:eastAsia="zh-CN"/>
        </w:rPr>
        <w:t>Jung M, Reichstein M</w:t>
      </w:r>
      <w:r>
        <w:rPr>
          <w:rFonts w:eastAsia="Times New Roman"/>
          <w:lang w:eastAsia="zh-CN"/>
        </w:rPr>
        <w:t xml:space="preserve"> and</w:t>
      </w:r>
      <w:r w:rsidRPr="00256738">
        <w:rPr>
          <w:rFonts w:eastAsia="Times New Roman"/>
          <w:lang w:eastAsia="zh-CN"/>
        </w:rPr>
        <w:t xml:space="preserve"> </w:t>
      </w:r>
      <w:proofErr w:type="spellStart"/>
      <w:r w:rsidRPr="00256738">
        <w:rPr>
          <w:rFonts w:eastAsia="Times New Roman"/>
          <w:lang w:eastAsia="zh-CN"/>
        </w:rPr>
        <w:t>Schwalm</w:t>
      </w:r>
      <w:proofErr w:type="spellEnd"/>
      <w:r w:rsidRPr="00256738">
        <w:rPr>
          <w:rFonts w:eastAsia="Times New Roman"/>
          <w:lang w:eastAsia="zh-CN"/>
        </w:rPr>
        <w:t xml:space="preserve"> CR </w:t>
      </w:r>
      <w:r w:rsidRPr="00256738">
        <w:rPr>
          <w:rFonts w:eastAsia="Times New Roman"/>
          <w:i/>
          <w:iCs/>
          <w:lang w:eastAsia="zh-CN"/>
        </w:rPr>
        <w:t>et al</w:t>
      </w:r>
      <w:r w:rsidRPr="00256738">
        <w:rPr>
          <w:rFonts w:eastAsia="Times New Roman"/>
          <w:lang w:eastAsia="zh-CN"/>
        </w:rPr>
        <w:t>. Compensatory water effects link yearly global land CO</w:t>
      </w:r>
      <w:r w:rsidRPr="00256738">
        <w:rPr>
          <w:rFonts w:eastAsia="Times New Roman"/>
          <w:vertAlign w:val="subscript"/>
          <w:lang w:eastAsia="zh-CN"/>
        </w:rPr>
        <w:t>2</w:t>
      </w:r>
      <w:r w:rsidRPr="00256738">
        <w:rPr>
          <w:rFonts w:eastAsia="Times New Roman"/>
          <w:lang w:eastAsia="zh-CN"/>
        </w:rPr>
        <w:t xml:space="preserve"> sink changes to temperature. </w:t>
      </w:r>
      <w:r w:rsidRPr="00256738">
        <w:rPr>
          <w:rFonts w:eastAsia="Times New Roman"/>
          <w:i/>
          <w:iCs/>
          <w:lang w:eastAsia="zh-CN"/>
        </w:rPr>
        <w:t>Nature</w:t>
      </w:r>
      <w:r w:rsidRPr="00256738">
        <w:rPr>
          <w:rFonts w:eastAsia="Times New Roman"/>
          <w:lang w:eastAsia="zh-CN"/>
        </w:rPr>
        <w:t xml:space="preserve"> 2017;</w:t>
      </w:r>
      <w:r w:rsidRPr="00256738">
        <w:rPr>
          <w:rFonts w:eastAsia="Times New Roman"/>
          <w:b/>
          <w:bCs/>
          <w:lang w:eastAsia="zh-CN"/>
        </w:rPr>
        <w:t>541</w:t>
      </w:r>
      <w:r w:rsidRPr="00256738">
        <w:rPr>
          <w:rFonts w:eastAsia="Times New Roman"/>
          <w:lang w:eastAsia="zh-CN"/>
        </w:rPr>
        <w:t>:516–20.</w:t>
      </w:r>
    </w:p>
    <w:p w:rsidR="00B170F7" w:rsidRPr="00256738" w:rsidRDefault="00B170F7" w:rsidP="00B170F7">
      <w:pPr>
        <w:pStyle w:val="NormalWeb"/>
        <w:ind w:left="720" w:hanging="720"/>
        <w:rPr>
          <w:rFonts w:eastAsia="Times New Roman"/>
          <w:lang w:eastAsia="zh-CN"/>
        </w:rPr>
      </w:pPr>
      <w:r w:rsidRPr="00DA354E">
        <w:rPr>
          <w:noProof/>
        </w:rPr>
        <w:t>102.</w:t>
      </w:r>
      <w:r w:rsidRPr="00DA354E">
        <w:rPr>
          <w:noProof/>
        </w:rPr>
        <w:tab/>
      </w:r>
      <w:r w:rsidRPr="00256738">
        <w:rPr>
          <w:rFonts w:hint="eastAsia"/>
          <w:noProof/>
        </w:rPr>
        <w:t>Wei Y, Liu S</w:t>
      </w:r>
      <w:r>
        <w:rPr>
          <w:noProof/>
        </w:rPr>
        <w:t xml:space="preserve"> and</w:t>
      </w:r>
      <w:r w:rsidRPr="00256738">
        <w:rPr>
          <w:rFonts w:hint="eastAsia"/>
          <w:noProof/>
        </w:rPr>
        <w:t xml:space="preserve"> Huntzinger DN, </w:t>
      </w:r>
      <w:r w:rsidRPr="00256738">
        <w:rPr>
          <w:i/>
          <w:iCs/>
          <w:noProof/>
        </w:rPr>
        <w:t>et al</w:t>
      </w:r>
      <w:r w:rsidRPr="00256738">
        <w:rPr>
          <w:rFonts w:hint="eastAsia"/>
          <w:i/>
          <w:iCs/>
          <w:noProof/>
        </w:rPr>
        <w:t>.</w:t>
      </w:r>
      <w:r w:rsidRPr="00256738">
        <w:rPr>
          <w:rFonts w:hint="eastAsia"/>
          <w:noProof/>
        </w:rPr>
        <w:t xml:space="preserve"> NACP MsTMIP: Global and North American Driver Data for Multi</w:t>
      </w:r>
      <w:r>
        <w:rPr>
          <w:rFonts w:hint="eastAsia"/>
          <w:noProof/>
        </w:rPr>
        <w:t>-</w:t>
      </w:r>
      <w:r w:rsidRPr="00256738">
        <w:rPr>
          <w:rFonts w:hint="eastAsia"/>
          <w:noProof/>
        </w:rPr>
        <w:t>Model Intercomparison. ORNL DAAC, Oak Ridge, Tennessee, USA.</w:t>
      </w:r>
      <w:r>
        <w:rPr>
          <w:noProof/>
        </w:rPr>
        <w:t xml:space="preserve"> 2014.</w:t>
      </w:r>
      <w:r w:rsidRPr="00256738">
        <w:rPr>
          <w:noProof/>
        </w:rPr>
        <w:t xml:space="preserve"> </w:t>
      </w:r>
    </w:p>
    <w:p w:rsidR="00B170F7" w:rsidRPr="00DA354E" w:rsidRDefault="00B170F7" w:rsidP="00B170F7">
      <w:pPr>
        <w:widowControl w:val="0"/>
        <w:autoSpaceDE w:val="0"/>
        <w:autoSpaceDN w:val="0"/>
        <w:adjustRightInd w:val="0"/>
        <w:ind w:left="720" w:hanging="720"/>
        <w:rPr>
          <w:rFonts w:ascii="Times New Roman" w:hAnsi="Times New Roman" w:cs="Times New Roman"/>
          <w:noProof/>
        </w:rPr>
      </w:pPr>
      <w:r w:rsidRPr="00DA354E">
        <w:rPr>
          <w:rFonts w:ascii="Times New Roman" w:hAnsi="Times New Roman" w:cs="Times New Roman"/>
          <w:noProof/>
        </w:rPr>
        <w:t>103.</w:t>
      </w:r>
      <w:r w:rsidRPr="00DA354E">
        <w:rPr>
          <w:rFonts w:ascii="Times New Roman" w:hAnsi="Times New Roman" w:cs="Times New Roman"/>
          <w:noProof/>
        </w:rPr>
        <w:tab/>
      </w:r>
      <w:r w:rsidRPr="00C561E4">
        <w:rPr>
          <w:rFonts w:ascii="Times New Roman" w:hAnsi="Times New Roman" w:cs="Times New Roman"/>
          <w:noProof/>
        </w:rPr>
        <w:t>FAO, IIASA; ISRIC, ISSCAS. JRC: Harmonized World Soil Database (version 1.2). FAO, Rome, Italy and IIASA, Laxenburg, Austria.</w:t>
      </w:r>
      <w:r w:rsidRPr="00DA354E">
        <w:rPr>
          <w:rFonts w:ascii="Times New Roman" w:hAnsi="Times New Roman" w:cs="Times New Roman"/>
          <w:noProof/>
        </w:rPr>
        <w:t xml:space="preserve"> 2012.</w:t>
      </w:r>
    </w:p>
    <w:p w:rsidR="00B170F7" w:rsidRPr="00C561E4" w:rsidRDefault="00B170F7" w:rsidP="00B170F7">
      <w:pPr>
        <w:widowControl w:val="0"/>
        <w:autoSpaceDE w:val="0"/>
        <w:autoSpaceDN w:val="0"/>
        <w:adjustRightInd w:val="0"/>
        <w:ind w:left="720" w:hanging="720"/>
        <w:rPr>
          <w:rFonts w:ascii="Times New Roman" w:hAnsi="Times New Roman" w:cs="Times New Roman"/>
          <w:noProof/>
        </w:rPr>
      </w:pPr>
      <w:r w:rsidRPr="00DA354E">
        <w:rPr>
          <w:rFonts w:ascii="Times New Roman" w:hAnsi="Times New Roman" w:cs="Times New Roman"/>
          <w:noProof/>
        </w:rPr>
        <w:t>104.</w:t>
      </w:r>
      <w:r w:rsidRPr="00DA354E">
        <w:rPr>
          <w:rFonts w:ascii="Times New Roman" w:hAnsi="Times New Roman" w:cs="Times New Roman"/>
          <w:noProof/>
        </w:rPr>
        <w:tab/>
      </w:r>
      <w:r w:rsidRPr="00C561E4">
        <w:rPr>
          <w:rFonts w:ascii="Times New Roman" w:hAnsi="Times New Roman" w:cs="Times New Roman"/>
          <w:noProof/>
        </w:rPr>
        <w:t>Global Soil Data Task Group. Global Gridded Surfaces of Selected Soil Characteristics (IGBP-DIS). 2000.</w:t>
      </w:r>
    </w:p>
    <w:p w:rsidR="00B170F7" w:rsidRPr="00C561E4" w:rsidRDefault="00B170F7" w:rsidP="00B170F7">
      <w:pPr>
        <w:pStyle w:val="NormalWeb"/>
        <w:ind w:left="720" w:hanging="720"/>
        <w:rPr>
          <w:rFonts w:eastAsia="Times New Roman"/>
          <w:lang w:val="fr-FR" w:eastAsia="zh-CN"/>
        </w:rPr>
      </w:pPr>
      <w:r w:rsidRPr="00DA354E">
        <w:rPr>
          <w:noProof/>
        </w:rPr>
        <w:t>105.</w:t>
      </w:r>
      <w:r w:rsidRPr="00DA354E">
        <w:rPr>
          <w:noProof/>
        </w:rPr>
        <w:tab/>
      </w:r>
      <w:r w:rsidRPr="00C561E4">
        <w:rPr>
          <w:rFonts w:eastAsia="Times New Roman"/>
          <w:lang w:eastAsia="zh-CN"/>
        </w:rPr>
        <w:t>Marín-</w:t>
      </w:r>
      <w:proofErr w:type="spellStart"/>
      <w:r w:rsidRPr="00C561E4">
        <w:rPr>
          <w:rFonts w:eastAsia="Times New Roman"/>
          <w:lang w:eastAsia="zh-CN"/>
        </w:rPr>
        <w:t>Spiotta</w:t>
      </w:r>
      <w:proofErr w:type="spellEnd"/>
      <w:r w:rsidRPr="00C561E4">
        <w:rPr>
          <w:rFonts w:eastAsia="Times New Roman"/>
          <w:lang w:eastAsia="zh-CN"/>
        </w:rPr>
        <w:t xml:space="preserve"> E and Sharma S. Carbon storage in successional and plantation forest soils: a tropical analysis. </w:t>
      </w:r>
      <w:proofErr w:type="spellStart"/>
      <w:r w:rsidRPr="00C561E4">
        <w:rPr>
          <w:rFonts w:eastAsia="Times New Roman"/>
          <w:i/>
          <w:iCs/>
          <w:lang w:val="fr-FR" w:eastAsia="zh-CN"/>
        </w:rPr>
        <w:t>Glob</w:t>
      </w:r>
      <w:proofErr w:type="spellEnd"/>
      <w:r w:rsidRPr="00C561E4">
        <w:rPr>
          <w:rFonts w:eastAsia="Times New Roman"/>
          <w:i/>
          <w:iCs/>
          <w:lang w:val="fr-FR" w:eastAsia="zh-CN"/>
        </w:rPr>
        <w:t xml:space="preserve"> </w:t>
      </w:r>
      <w:proofErr w:type="spellStart"/>
      <w:r w:rsidRPr="00C561E4">
        <w:rPr>
          <w:rFonts w:eastAsia="Times New Roman"/>
          <w:i/>
          <w:iCs/>
          <w:lang w:val="fr-FR" w:eastAsia="zh-CN"/>
        </w:rPr>
        <w:t>Ecol</w:t>
      </w:r>
      <w:proofErr w:type="spellEnd"/>
      <w:r w:rsidRPr="00C561E4">
        <w:rPr>
          <w:rFonts w:eastAsia="Times New Roman"/>
          <w:i/>
          <w:iCs/>
          <w:lang w:val="fr-FR" w:eastAsia="zh-CN"/>
        </w:rPr>
        <w:t xml:space="preserve"> </w:t>
      </w:r>
      <w:proofErr w:type="spellStart"/>
      <w:r w:rsidRPr="00C561E4">
        <w:rPr>
          <w:rFonts w:eastAsia="Times New Roman"/>
          <w:i/>
          <w:iCs/>
          <w:lang w:val="fr-FR" w:eastAsia="zh-CN"/>
        </w:rPr>
        <w:t>Biogeogr</w:t>
      </w:r>
      <w:proofErr w:type="spellEnd"/>
      <w:r w:rsidRPr="00C561E4">
        <w:rPr>
          <w:rFonts w:eastAsia="Times New Roman"/>
          <w:lang w:val="fr-FR" w:eastAsia="zh-CN"/>
        </w:rPr>
        <w:t xml:space="preserve"> 2013;</w:t>
      </w:r>
      <w:r w:rsidRPr="00C561E4">
        <w:rPr>
          <w:rFonts w:eastAsia="Times New Roman"/>
          <w:b/>
          <w:bCs/>
          <w:lang w:val="fr-FR" w:eastAsia="zh-CN"/>
        </w:rPr>
        <w:t>22</w:t>
      </w:r>
      <w:r w:rsidRPr="00C561E4">
        <w:rPr>
          <w:rFonts w:eastAsia="Times New Roman"/>
          <w:lang w:val="fr-FR" w:eastAsia="zh-CN"/>
        </w:rPr>
        <w:t>:105–17.</w:t>
      </w:r>
    </w:p>
    <w:p w:rsidR="00B170F7" w:rsidRPr="00DA354E" w:rsidRDefault="00B170F7" w:rsidP="007233A0">
      <w:pPr>
        <w:rPr>
          <w:rFonts w:ascii="Times New Roman" w:hAnsi="Times New Roman" w:cs="Times New Roman"/>
          <w:color w:val="000000" w:themeColor="text1"/>
        </w:rPr>
      </w:pPr>
    </w:p>
    <w:sectPr w:rsidR="00B170F7" w:rsidRPr="00DA354E" w:rsidSect="00004AD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Noto Sans Symbols">
    <w:altName w:val="Calibri"/>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623C87"/>
    <w:multiLevelType w:val="hybridMultilevel"/>
    <w:tmpl w:val="7D046B26"/>
    <w:lvl w:ilvl="0" w:tplc="94784D9A">
      <w:numFmt w:val="bullet"/>
      <w:lvlText w:val="*"/>
      <w:lvlJc w:val="left"/>
      <w:pPr>
        <w:ind w:left="420" w:hanging="360"/>
      </w:pPr>
      <w:rPr>
        <w:rFonts w:ascii="Cambria" w:eastAsia="Times New Roman" w:hAnsi="Cambria"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 w15:restartNumberingAfterBreak="0">
    <w:nsid w:val="445536DE"/>
    <w:multiLevelType w:val="multilevel"/>
    <w:tmpl w:val="21A8963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D0909AA"/>
    <w:multiLevelType w:val="hybridMultilevel"/>
    <w:tmpl w:val="EC8C573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66882BAF"/>
    <w:multiLevelType w:val="multilevel"/>
    <w:tmpl w:val="02DE7BBE"/>
    <w:lvl w:ilvl="0">
      <w:start w:val="23"/>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C943396"/>
    <w:multiLevelType w:val="hybridMultilevel"/>
    <w:tmpl w:val="786C51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E7D598A"/>
    <w:multiLevelType w:val="hybridMultilevel"/>
    <w:tmpl w:val="91200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49E"/>
    <w:rsid w:val="00004AD4"/>
    <w:rsid w:val="001D7FE4"/>
    <w:rsid w:val="0030560F"/>
    <w:rsid w:val="00406A35"/>
    <w:rsid w:val="004A6EE9"/>
    <w:rsid w:val="004F279B"/>
    <w:rsid w:val="0051733F"/>
    <w:rsid w:val="00520155"/>
    <w:rsid w:val="00541658"/>
    <w:rsid w:val="00551F01"/>
    <w:rsid w:val="00570D37"/>
    <w:rsid w:val="005C2A3C"/>
    <w:rsid w:val="00675DC9"/>
    <w:rsid w:val="00683641"/>
    <w:rsid w:val="006A256A"/>
    <w:rsid w:val="007233A0"/>
    <w:rsid w:val="00735430"/>
    <w:rsid w:val="00934FF7"/>
    <w:rsid w:val="009F5F02"/>
    <w:rsid w:val="00B170F7"/>
    <w:rsid w:val="00B75738"/>
    <w:rsid w:val="00C26ED2"/>
    <w:rsid w:val="00CA64FA"/>
    <w:rsid w:val="00CB1133"/>
    <w:rsid w:val="00D7497F"/>
    <w:rsid w:val="00E8739C"/>
    <w:rsid w:val="00F6749E"/>
    <w:rsid w:val="00FC6779"/>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58650"/>
  <w15:chartTrackingRefBased/>
  <w15:docId w15:val="{DDC14C64-D032-5941-9722-74B9341DE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49E"/>
    <w:rPr>
      <w:rFonts w:ascii="Cambria" w:eastAsia="SimSun" w:hAnsi="Cambria" w:cs="Cambria"/>
      <w:lang w:val="en-US" w:eastAsia="fr-FR"/>
    </w:rPr>
  </w:style>
  <w:style w:type="paragraph" w:styleId="Heading1">
    <w:name w:val="heading 1"/>
    <w:basedOn w:val="Normal"/>
    <w:next w:val="Normal"/>
    <w:link w:val="Heading1Char"/>
    <w:uiPriority w:val="9"/>
    <w:qFormat/>
    <w:rsid w:val="00F6749E"/>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F6749E"/>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F6749E"/>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F6749E"/>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F6749E"/>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F6749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749E"/>
    <w:rPr>
      <w:rFonts w:ascii="Cambria" w:eastAsia="SimSun" w:hAnsi="Cambria" w:cs="Cambria"/>
      <w:b/>
      <w:sz w:val="48"/>
      <w:szCs w:val="48"/>
      <w:lang w:val="en-US" w:eastAsia="fr-FR"/>
    </w:rPr>
  </w:style>
  <w:style w:type="character" w:customStyle="1" w:styleId="Heading2Char">
    <w:name w:val="Heading 2 Char"/>
    <w:basedOn w:val="DefaultParagraphFont"/>
    <w:link w:val="Heading2"/>
    <w:uiPriority w:val="9"/>
    <w:semiHidden/>
    <w:rsid w:val="00F6749E"/>
    <w:rPr>
      <w:rFonts w:ascii="Cambria" w:eastAsia="SimSun" w:hAnsi="Cambria" w:cs="Cambria"/>
      <w:b/>
      <w:sz w:val="36"/>
      <w:szCs w:val="36"/>
      <w:lang w:val="en-US" w:eastAsia="fr-FR"/>
    </w:rPr>
  </w:style>
  <w:style w:type="character" w:customStyle="1" w:styleId="Heading3Char">
    <w:name w:val="Heading 3 Char"/>
    <w:basedOn w:val="DefaultParagraphFont"/>
    <w:link w:val="Heading3"/>
    <w:uiPriority w:val="9"/>
    <w:semiHidden/>
    <w:rsid w:val="00F6749E"/>
    <w:rPr>
      <w:rFonts w:ascii="Cambria" w:eastAsia="SimSun" w:hAnsi="Cambria" w:cs="Cambria"/>
      <w:b/>
      <w:sz w:val="28"/>
      <w:szCs w:val="28"/>
      <w:lang w:val="en-US" w:eastAsia="fr-FR"/>
    </w:rPr>
  </w:style>
  <w:style w:type="character" w:customStyle="1" w:styleId="Heading4Char">
    <w:name w:val="Heading 4 Char"/>
    <w:basedOn w:val="DefaultParagraphFont"/>
    <w:link w:val="Heading4"/>
    <w:uiPriority w:val="9"/>
    <w:semiHidden/>
    <w:rsid w:val="00F6749E"/>
    <w:rPr>
      <w:rFonts w:ascii="Cambria" w:eastAsia="SimSun" w:hAnsi="Cambria" w:cs="Cambria"/>
      <w:b/>
      <w:lang w:val="en-US" w:eastAsia="fr-FR"/>
    </w:rPr>
  </w:style>
  <w:style w:type="character" w:customStyle="1" w:styleId="Heading5Char">
    <w:name w:val="Heading 5 Char"/>
    <w:basedOn w:val="DefaultParagraphFont"/>
    <w:link w:val="Heading5"/>
    <w:uiPriority w:val="9"/>
    <w:semiHidden/>
    <w:rsid w:val="00F6749E"/>
    <w:rPr>
      <w:rFonts w:ascii="Cambria" w:eastAsia="SimSun" w:hAnsi="Cambria" w:cs="Cambria"/>
      <w:b/>
      <w:sz w:val="22"/>
      <w:szCs w:val="22"/>
      <w:lang w:val="en-US" w:eastAsia="fr-FR"/>
    </w:rPr>
  </w:style>
  <w:style w:type="character" w:customStyle="1" w:styleId="Heading6Char">
    <w:name w:val="Heading 6 Char"/>
    <w:basedOn w:val="DefaultParagraphFont"/>
    <w:link w:val="Heading6"/>
    <w:uiPriority w:val="9"/>
    <w:semiHidden/>
    <w:rsid w:val="00F6749E"/>
    <w:rPr>
      <w:rFonts w:ascii="Cambria" w:eastAsia="SimSun" w:hAnsi="Cambria" w:cs="Cambria"/>
      <w:b/>
      <w:sz w:val="20"/>
      <w:szCs w:val="20"/>
      <w:lang w:val="en-US" w:eastAsia="fr-FR"/>
    </w:rPr>
  </w:style>
  <w:style w:type="paragraph" w:styleId="Title">
    <w:name w:val="Title"/>
    <w:basedOn w:val="Normal"/>
    <w:next w:val="Normal"/>
    <w:link w:val="TitleChar"/>
    <w:uiPriority w:val="10"/>
    <w:qFormat/>
    <w:rsid w:val="00F6749E"/>
    <w:pPr>
      <w:keepNext/>
      <w:keepLines/>
      <w:spacing w:before="480" w:after="120"/>
    </w:pPr>
    <w:rPr>
      <w:b/>
      <w:sz w:val="72"/>
      <w:szCs w:val="72"/>
    </w:rPr>
  </w:style>
  <w:style w:type="character" w:customStyle="1" w:styleId="TitleChar">
    <w:name w:val="Title Char"/>
    <w:basedOn w:val="DefaultParagraphFont"/>
    <w:link w:val="Title"/>
    <w:uiPriority w:val="10"/>
    <w:rsid w:val="00F6749E"/>
    <w:rPr>
      <w:rFonts w:ascii="Cambria" w:eastAsia="SimSun" w:hAnsi="Cambria" w:cs="Cambria"/>
      <w:b/>
      <w:sz w:val="72"/>
      <w:szCs w:val="72"/>
      <w:lang w:val="en-US" w:eastAsia="fr-FR"/>
    </w:rPr>
  </w:style>
  <w:style w:type="paragraph" w:styleId="Subtitle">
    <w:name w:val="Subtitle"/>
    <w:basedOn w:val="Normal"/>
    <w:next w:val="Normal"/>
    <w:link w:val="SubtitleChar"/>
    <w:uiPriority w:val="11"/>
    <w:qFormat/>
    <w:rsid w:val="00F6749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F6749E"/>
    <w:rPr>
      <w:rFonts w:ascii="Georgia" w:eastAsia="Georgia" w:hAnsi="Georgia" w:cs="Georgia"/>
      <w:i/>
      <w:color w:val="666666"/>
      <w:sz w:val="48"/>
      <w:szCs w:val="48"/>
      <w:lang w:val="en-US" w:eastAsia="fr-FR"/>
    </w:rPr>
  </w:style>
  <w:style w:type="paragraph" w:styleId="CommentText">
    <w:name w:val="annotation text"/>
    <w:basedOn w:val="Normal"/>
    <w:link w:val="CommentTextChar"/>
    <w:uiPriority w:val="99"/>
    <w:semiHidden/>
    <w:unhideWhenUsed/>
    <w:rsid w:val="00F6749E"/>
    <w:rPr>
      <w:sz w:val="20"/>
      <w:szCs w:val="20"/>
    </w:rPr>
  </w:style>
  <w:style w:type="character" w:customStyle="1" w:styleId="CommentTextChar">
    <w:name w:val="Comment Text Char"/>
    <w:basedOn w:val="DefaultParagraphFont"/>
    <w:link w:val="CommentText"/>
    <w:uiPriority w:val="99"/>
    <w:semiHidden/>
    <w:rsid w:val="00F6749E"/>
    <w:rPr>
      <w:rFonts w:ascii="Cambria" w:eastAsia="SimSun" w:hAnsi="Cambria" w:cs="Cambria"/>
      <w:sz w:val="20"/>
      <w:szCs w:val="20"/>
      <w:lang w:val="en-US" w:eastAsia="fr-FR"/>
    </w:rPr>
  </w:style>
  <w:style w:type="character" w:customStyle="1" w:styleId="BalloonTextChar">
    <w:name w:val="Balloon Text Char"/>
    <w:basedOn w:val="DefaultParagraphFont"/>
    <w:link w:val="BalloonText"/>
    <w:uiPriority w:val="99"/>
    <w:semiHidden/>
    <w:rsid w:val="00F6749E"/>
    <w:rPr>
      <w:rFonts w:ascii="Times New Roman" w:eastAsia="SimSun" w:hAnsi="Times New Roman" w:cs="Times New Roman"/>
      <w:sz w:val="18"/>
      <w:szCs w:val="18"/>
      <w:lang w:val="en-US" w:eastAsia="fr-FR"/>
    </w:rPr>
  </w:style>
  <w:style w:type="paragraph" w:styleId="BalloonText">
    <w:name w:val="Balloon Text"/>
    <w:basedOn w:val="Normal"/>
    <w:link w:val="BalloonTextChar"/>
    <w:uiPriority w:val="99"/>
    <w:semiHidden/>
    <w:unhideWhenUsed/>
    <w:rsid w:val="00F6749E"/>
    <w:rPr>
      <w:rFonts w:ascii="Times New Roman" w:hAnsi="Times New Roman" w:cs="Times New Roman"/>
      <w:sz w:val="18"/>
      <w:szCs w:val="18"/>
    </w:rPr>
  </w:style>
  <w:style w:type="paragraph" w:styleId="ListParagraph">
    <w:name w:val="List Paragraph"/>
    <w:basedOn w:val="Normal"/>
    <w:uiPriority w:val="34"/>
    <w:qFormat/>
    <w:rsid w:val="00F6749E"/>
    <w:pPr>
      <w:ind w:left="720"/>
      <w:contextualSpacing/>
    </w:pPr>
  </w:style>
  <w:style w:type="character" w:customStyle="1" w:styleId="EndnoteTextChar">
    <w:name w:val="Endnote Text Char"/>
    <w:basedOn w:val="DefaultParagraphFont"/>
    <w:link w:val="EndnoteText"/>
    <w:uiPriority w:val="99"/>
    <w:semiHidden/>
    <w:rsid w:val="00F6749E"/>
    <w:rPr>
      <w:rFonts w:ascii="Cambria" w:eastAsia="SimSun" w:hAnsi="Cambria" w:cs="Cambria"/>
      <w:sz w:val="20"/>
      <w:szCs w:val="20"/>
      <w:lang w:val="en-US" w:eastAsia="fr-FR"/>
    </w:rPr>
  </w:style>
  <w:style w:type="paragraph" w:styleId="EndnoteText">
    <w:name w:val="endnote text"/>
    <w:basedOn w:val="Normal"/>
    <w:link w:val="EndnoteTextChar"/>
    <w:uiPriority w:val="99"/>
    <w:semiHidden/>
    <w:unhideWhenUsed/>
    <w:rsid w:val="00F6749E"/>
    <w:rPr>
      <w:sz w:val="20"/>
      <w:szCs w:val="20"/>
    </w:rPr>
  </w:style>
  <w:style w:type="table" w:styleId="TableGrid">
    <w:name w:val="Table Grid"/>
    <w:basedOn w:val="TableNormal"/>
    <w:uiPriority w:val="59"/>
    <w:rsid w:val="00F6749E"/>
    <w:rPr>
      <w:rFonts w:ascii="Times New Roman" w:hAnsi="Times New Roman" w:cs="Times New Roman"/>
      <w:b/>
      <w:bCs/>
      <w:lang w:eastAsia="ja-JP"/>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uiPriority w:val="99"/>
    <w:semiHidden/>
    <w:rsid w:val="00F6749E"/>
    <w:rPr>
      <w:rFonts w:ascii="Cambria" w:eastAsia="SimSun" w:hAnsi="Cambria" w:cs="Cambria"/>
      <w:b/>
      <w:bCs/>
      <w:sz w:val="20"/>
      <w:szCs w:val="20"/>
      <w:lang w:val="en-US" w:eastAsia="fr-FR"/>
    </w:rPr>
  </w:style>
  <w:style w:type="paragraph" w:styleId="CommentSubject">
    <w:name w:val="annotation subject"/>
    <w:basedOn w:val="CommentText"/>
    <w:next w:val="CommentText"/>
    <w:link w:val="CommentSubjectChar"/>
    <w:uiPriority w:val="99"/>
    <w:semiHidden/>
    <w:unhideWhenUsed/>
    <w:rsid w:val="00F6749E"/>
    <w:rPr>
      <w:b/>
      <w:bCs/>
    </w:rPr>
  </w:style>
  <w:style w:type="paragraph" w:styleId="Header">
    <w:name w:val="header"/>
    <w:basedOn w:val="Normal"/>
    <w:link w:val="HeaderChar"/>
    <w:uiPriority w:val="99"/>
    <w:unhideWhenUsed/>
    <w:rsid w:val="00F6749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6749E"/>
    <w:rPr>
      <w:rFonts w:ascii="Cambria" w:eastAsia="SimSun" w:hAnsi="Cambria" w:cs="Cambria"/>
      <w:sz w:val="18"/>
      <w:szCs w:val="18"/>
      <w:lang w:val="en-US" w:eastAsia="fr-FR"/>
    </w:rPr>
  </w:style>
  <w:style w:type="paragraph" w:styleId="Footer">
    <w:name w:val="footer"/>
    <w:basedOn w:val="Normal"/>
    <w:link w:val="FooterChar"/>
    <w:uiPriority w:val="99"/>
    <w:unhideWhenUsed/>
    <w:rsid w:val="00F6749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6749E"/>
    <w:rPr>
      <w:rFonts w:ascii="Cambria" w:eastAsia="SimSun" w:hAnsi="Cambria" w:cs="Cambria"/>
      <w:sz w:val="18"/>
      <w:szCs w:val="18"/>
      <w:lang w:val="en-US" w:eastAsia="fr-FR"/>
    </w:rPr>
  </w:style>
  <w:style w:type="character" w:styleId="Hyperlink">
    <w:name w:val="Hyperlink"/>
    <w:basedOn w:val="DefaultParagraphFont"/>
    <w:uiPriority w:val="99"/>
    <w:unhideWhenUsed/>
    <w:rsid w:val="00F6749E"/>
    <w:rPr>
      <w:color w:val="0000FF"/>
      <w:u w:val="single"/>
    </w:rPr>
  </w:style>
  <w:style w:type="paragraph" w:styleId="NormalWeb">
    <w:name w:val="Normal (Web)"/>
    <w:basedOn w:val="Normal"/>
    <w:uiPriority w:val="99"/>
    <w:unhideWhenUsed/>
    <w:rsid w:val="00B170F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ac.ornl.gov/cgi-bin/dsviewer.pl?ds_id=1220"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esrl.noaa.gov/psd/data/gridded/data.cpcsoil.html" TargetMode="External"/><Relationship Id="rId12" Type="http://schemas.openxmlformats.org/officeDocument/2006/relationships/hyperlink" Target="http://glcf.umd.edu/data/lc/"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dods.extra.cea.fr/store/p529viov/cruncep/" TargetMode="External"/><Relationship Id="rId11" Type="http://schemas.openxmlformats.org/officeDocument/2006/relationships/hyperlink" Target="https://daac.ornl.gov/cgi-bin/dsviewer.pl?ds_id=569" TargetMode="External"/><Relationship Id="rId5" Type="http://schemas.openxmlformats.org/officeDocument/2006/relationships/hyperlink" Target="mailto:philippe.ciais@lsce.ipsl.fr" TargetMode="Externa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s://daac.ornl.gov/SOILS/guides/HWSD.html"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bgc-jena.mpg.de/geodb/projects/Data.php"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41</Pages>
  <Words>89915</Words>
  <Characters>512519</Characters>
  <Application>Microsoft Office Word</Application>
  <DocSecurity>0</DocSecurity>
  <Lines>4270</Lines>
  <Paragraphs>1202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 Yang</dc:creator>
  <cp:keywords/>
  <dc:description/>
  <cp:lastModifiedBy>Hui Yang</cp:lastModifiedBy>
  <cp:revision>6</cp:revision>
  <dcterms:created xsi:type="dcterms:W3CDTF">2020-06-07T16:50:00Z</dcterms:created>
  <dcterms:modified xsi:type="dcterms:W3CDTF">2020-06-10T21:07:00Z</dcterms:modified>
</cp:coreProperties>
</file>