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D5033" w14:textId="4DBF5361" w:rsidR="00D7596C" w:rsidRPr="00E56C42" w:rsidRDefault="00A858DB" w:rsidP="00D7596C">
      <w:pPr>
        <w:rPr>
          <w:rFonts w:eastAsia="Times New Roman"/>
          <w:b/>
        </w:rPr>
      </w:pPr>
      <w:r>
        <w:rPr>
          <w:rFonts w:eastAsia="Times New Roman"/>
          <w:b/>
        </w:rPr>
        <w:t>Sample materials considerations for curating and processing pristine MSR samples</w:t>
      </w:r>
    </w:p>
    <w:p w14:paraId="306A836E" w14:textId="7290DFAB" w:rsidR="00D7596C" w:rsidRPr="00FF2BA7" w:rsidRDefault="00A858DB" w:rsidP="00D7596C">
      <w:pPr>
        <w:rPr>
          <w:vertAlign w:val="superscript"/>
        </w:rPr>
      </w:pPr>
      <w:r>
        <w:t>F</w:t>
      </w:r>
      <w:r w:rsidR="00D7596C">
        <w:t>.</w:t>
      </w:r>
      <w:r>
        <w:t>M</w:t>
      </w:r>
      <w:r w:rsidR="00D7596C">
        <w:t xml:space="preserve">. </w:t>
      </w:r>
      <w:r>
        <w:t>McCubbin</w:t>
      </w:r>
      <w:r>
        <w:rPr>
          <w:vertAlign w:val="superscript"/>
        </w:rPr>
        <w:t>1</w:t>
      </w:r>
      <w:r w:rsidR="00D7596C">
        <w:t xml:space="preserve">, </w:t>
      </w:r>
      <w:r>
        <w:t>K</w:t>
      </w:r>
      <w:r w:rsidR="00D7596C">
        <w:t>.</w:t>
      </w:r>
      <w:r>
        <w:t>T</w:t>
      </w:r>
      <w:r w:rsidR="00D7596C">
        <w:t xml:space="preserve">. </w:t>
      </w:r>
      <w:r>
        <w:t>Tait</w:t>
      </w:r>
      <w:r>
        <w:rPr>
          <w:vertAlign w:val="superscript"/>
        </w:rPr>
        <w:t>2</w:t>
      </w:r>
      <w:r w:rsidR="00D7596C">
        <w:t xml:space="preserve">, </w:t>
      </w:r>
      <w:r>
        <w:t>C</w:t>
      </w:r>
      <w:r w:rsidR="00D7596C">
        <w:t>.</w:t>
      </w:r>
      <w:r>
        <w:t>L.</w:t>
      </w:r>
      <w:r w:rsidR="00D7596C">
        <w:t xml:space="preserve"> </w:t>
      </w:r>
      <w:r>
        <w:t>Smith</w:t>
      </w:r>
      <w:r>
        <w:rPr>
          <w:vertAlign w:val="superscript"/>
        </w:rPr>
        <w:t>3</w:t>
      </w:r>
      <w:r w:rsidR="00D7596C">
        <w:t>, and the MSPG2 Team</w:t>
      </w:r>
    </w:p>
    <w:p w14:paraId="52D801D0" w14:textId="69C96782" w:rsidR="00083458" w:rsidRDefault="00D7596C" w:rsidP="00083458">
      <w:r w:rsidRPr="00C96EF6">
        <w:rPr>
          <w:vertAlign w:val="superscript"/>
        </w:rPr>
        <w:t>1</w:t>
      </w:r>
      <w:r w:rsidR="00DC612F">
        <w:t>NASA Johnson Space Center</w:t>
      </w:r>
      <w:r w:rsidR="00083458">
        <w:t>, Houston, TX, USA</w:t>
      </w:r>
      <w:r>
        <w:t xml:space="preserve"> (</w:t>
      </w:r>
      <w:r w:rsidR="00DC612F">
        <w:t>francis.m.mccubbin@nasa.gov</w:t>
      </w:r>
      <w:r>
        <w:t xml:space="preserve">), </w:t>
      </w:r>
      <w:r w:rsidRPr="00C96EF6">
        <w:rPr>
          <w:vertAlign w:val="superscript"/>
        </w:rPr>
        <w:t>2</w:t>
      </w:r>
      <w:r w:rsidR="00DC612F" w:rsidRPr="00DC612F">
        <w:t>Royal Ontario Museum, Natural History,</w:t>
      </w:r>
      <w:r w:rsidR="00083458">
        <w:t xml:space="preserve"> Toronto, Canada</w:t>
      </w:r>
      <w:r>
        <w:t xml:space="preserve"> </w:t>
      </w:r>
      <w:r w:rsidRPr="00C96EF6">
        <w:rPr>
          <w:vertAlign w:val="superscript"/>
        </w:rPr>
        <w:t>3</w:t>
      </w:r>
      <w:r w:rsidR="00083458" w:rsidRPr="00083458">
        <w:t>Natural History Museum, Department of Earth Sciences, London, UK</w:t>
      </w:r>
    </w:p>
    <w:p w14:paraId="216A73CA" w14:textId="35C49D6C" w:rsidR="00E63D3E" w:rsidRDefault="000B40D9" w:rsidP="00083458">
      <w:pPr>
        <w:ind w:firstLine="720"/>
        <w:jc w:val="both"/>
        <w:rPr>
          <w:rFonts w:cs="Times New Roman"/>
          <w:szCs w:val="24"/>
        </w:rPr>
      </w:pPr>
      <w:r>
        <w:t>The perseverance rover is collecting and caching samples of Mar</w:t>
      </w:r>
      <w:r w:rsidR="000A0D30">
        <w:t>s</w:t>
      </w:r>
      <w:r w:rsidR="008E7F18">
        <w:t xml:space="preserve"> as part of the Mars 2020 mission</w:t>
      </w:r>
      <w:r w:rsidR="000A0D30">
        <w:t xml:space="preserve">, </w:t>
      </w:r>
      <w:r w:rsidR="008E7F18">
        <w:t>which</w:t>
      </w:r>
      <w:r w:rsidR="0044668D">
        <w:t xml:space="preserve"> represents the first leg of a multi-mission Mars Sample Return Campaign</w:t>
      </w:r>
      <w:r w:rsidR="000A0D30">
        <w:t xml:space="preserve">. The MSR Campaign </w:t>
      </w:r>
      <w:r w:rsidR="0044668D">
        <w:t>is an international partnership that will result in</w:t>
      </w:r>
      <w:r>
        <w:t xml:space="preserve"> </w:t>
      </w:r>
      <w:r w:rsidR="0044668D">
        <w:t>delivery of</w:t>
      </w:r>
      <w:r>
        <w:t xml:space="preserve"> the first </w:t>
      </w:r>
      <w:proofErr w:type="spellStart"/>
      <w:r>
        <w:t>martian</w:t>
      </w:r>
      <w:proofErr w:type="spellEnd"/>
      <w:r>
        <w:t xml:space="preserve"> samples to Earth that were not delivered through meteoritic </w:t>
      </w:r>
      <w:proofErr w:type="spellStart"/>
      <w:r>
        <w:t>infall</w:t>
      </w:r>
      <w:proofErr w:type="spellEnd"/>
      <w:r>
        <w:t xml:space="preserve">. </w:t>
      </w:r>
      <w:r w:rsidR="00992BB5" w:rsidRPr="00D02179">
        <w:rPr>
          <w:rFonts w:cs="Times New Roman"/>
          <w:szCs w:val="24"/>
        </w:rPr>
        <w:t>All meteorites, regardless of how they were handled from recovery to curation, have experienced uncontrolled entry and exposure to the terrestrial environment.</w:t>
      </w:r>
      <w:r w:rsidR="00992BB5">
        <w:rPr>
          <w:rFonts w:cs="Times New Roman"/>
          <w:szCs w:val="24"/>
        </w:rPr>
        <w:t xml:space="preserve"> </w:t>
      </w:r>
      <w:r w:rsidR="00D7596C">
        <w:rPr>
          <w:rFonts w:cs="Times New Roman"/>
          <w:szCs w:val="24"/>
        </w:rPr>
        <w:t xml:space="preserve">Whilst meteorite deliveries are serendipitous, they are also </w:t>
      </w:r>
      <w:r w:rsidR="00992BB5" w:rsidRPr="00D02179">
        <w:rPr>
          <w:rFonts w:cs="Times New Roman"/>
          <w:szCs w:val="24"/>
        </w:rPr>
        <w:t>unplanned events that require reactionary responses for recovery and curation. However, with the direct return of pristine astromaterials from another body</w:t>
      </w:r>
      <w:r w:rsidR="00D7596C">
        <w:rPr>
          <w:rFonts w:cs="Times New Roman"/>
          <w:szCs w:val="24"/>
        </w:rPr>
        <w:t xml:space="preserve">, we are afforded the ability to </w:t>
      </w:r>
      <w:r w:rsidR="00992BB5" w:rsidRPr="00D02179">
        <w:rPr>
          <w:rFonts w:cs="Times New Roman"/>
          <w:szCs w:val="24"/>
        </w:rPr>
        <w:t xml:space="preserve">design a facility </w:t>
      </w:r>
      <w:r w:rsidR="00D7596C">
        <w:rPr>
          <w:rFonts w:cs="Times New Roman"/>
          <w:szCs w:val="24"/>
        </w:rPr>
        <w:t xml:space="preserve">in advance of sample </w:t>
      </w:r>
      <w:r w:rsidR="005C0858">
        <w:rPr>
          <w:rFonts w:cs="Times New Roman"/>
          <w:szCs w:val="24"/>
        </w:rPr>
        <w:t>delivery</w:t>
      </w:r>
      <w:r w:rsidR="00D7596C">
        <w:rPr>
          <w:rFonts w:cs="Times New Roman"/>
          <w:szCs w:val="24"/>
        </w:rPr>
        <w:t xml:space="preserve"> </w:t>
      </w:r>
      <w:r w:rsidR="00992BB5" w:rsidRPr="00D02179">
        <w:rPr>
          <w:rFonts w:cs="Times New Roman"/>
          <w:szCs w:val="24"/>
        </w:rPr>
        <w:t>to keep those samples in a pristine</w:t>
      </w:r>
      <w:r w:rsidR="00D24F23">
        <w:rPr>
          <w:rFonts w:cs="Times New Roman"/>
          <w:szCs w:val="24"/>
        </w:rPr>
        <w:t xml:space="preserve"> (i.e., as returned)</w:t>
      </w:r>
      <w:r w:rsidR="00992BB5" w:rsidRPr="00D02179">
        <w:rPr>
          <w:rFonts w:cs="Times New Roman"/>
          <w:szCs w:val="24"/>
        </w:rPr>
        <w:t xml:space="preserve"> state for an indefinite period of time</w:t>
      </w:r>
      <w:r w:rsidR="00D7596C">
        <w:rPr>
          <w:rFonts w:cs="Times New Roman"/>
          <w:szCs w:val="24"/>
        </w:rPr>
        <w:t>.</w:t>
      </w:r>
      <w:r w:rsidR="00992BB5" w:rsidRPr="00D02179">
        <w:rPr>
          <w:rFonts w:cs="Times New Roman"/>
          <w:szCs w:val="24"/>
        </w:rPr>
        <w:t xml:space="preserve"> </w:t>
      </w:r>
    </w:p>
    <w:p w14:paraId="465DD822" w14:textId="4FAE6F1B" w:rsidR="000A0D30" w:rsidRDefault="005C0858" w:rsidP="00083458">
      <w:pPr>
        <w:jc w:val="both"/>
        <w:rPr>
          <w:rFonts w:cstheme="minorHAnsi"/>
          <w:lang w:val="en-GB" w:eastAsia="en-CA"/>
        </w:rPr>
      </w:pPr>
      <w:r>
        <w:rPr>
          <w:rFonts w:cs="Times New Roman"/>
          <w:szCs w:val="24"/>
        </w:rPr>
        <w:tab/>
        <w:t xml:space="preserve">Given that the curation and processing infrastructure needs to be made out </w:t>
      </w:r>
      <w:r w:rsidR="00392751">
        <w:rPr>
          <w:rFonts w:cs="Times New Roman"/>
          <w:szCs w:val="24"/>
        </w:rPr>
        <w:t>of something, it is important to choose materials</w:t>
      </w:r>
      <w:r w:rsidR="00D24F23">
        <w:rPr>
          <w:rFonts w:cs="Times New Roman"/>
          <w:szCs w:val="24"/>
        </w:rPr>
        <w:t xml:space="preserve"> for the pristine curation environment</w:t>
      </w:r>
      <w:r w:rsidR="00392751">
        <w:rPr>
          <w:rFonts w:cs="Times New Roman"/>
          <w:szCs w:val="24"/>
        </w:rPr>
        <w:t xml:space="preserve"> that will optimize between the need to </w:t>
      </w:r>
      <w:r w:rsidR="00D24F23">
        <w:rPr>
          <w:rFonts w:cs="Times New Roman"/>
          <w:szCs w:val="24"/>
        </w:rPr>
        <w:t xml:space="preserve">effectively process samples and the need to minimize contamination of the samples. </w:t>
      </w:r>
      <w:r w:rsidR="000A0D30" w:rsidRPr="00957E4C">
        <w:rPr>
          <w:rFonts w:cstheme="minorHAnsi"/>
          <w:lang w:eastAsia="en-CA"/>
        </w:rPr>
        <w:t>The Johnson Space Cent</w:t>
      </w:r>
      <w:r w:rsidR="000A0D30">
        <w:rPr>
          <w:rFonts w:cstheme="minorHAnsi"/>
          <w:lang w:eastAsia="en-CA"/>
        </w:rPr>
        <w:t>e</w:t>
      </w:r>
      <w:r w:rsidR="000A0D30" w:rsidRPr="00957E4C">
        <w:rPr>
          <w:rFonts w:cstheme="minorHAnsi"/>
          <w:lang w:eastAsia="en-CA"/>
        </w:rPr>
        <w:t>r</w:t>
      </w:r>
      <w:r w:rsidR="00A11AF8">
        <w:rPr>
          <w:rFonts w:cstheme="minorHAnsi"/>
          <w:lang w:eastAsia="en-CA"/>
        </w:rPr>
        <w:t xml:space="preserve"> (JSC)</w:t>
      </w:r>
      <w:r w:rsidR="000A0D30" w:rsidRPr="00957E4C">
        <w:rPr>
          <w:rFonts w:cstheme="minorHAnsi"/>
          <w:lang w:eastAsia="en-CA"/>
        </w:rPr>
        <w:t xml:space="preserve"> ha</w:t>
      </w:r>
      <w:r w:rsidR="00A138C3">
        <w:rPr>
          <w:rFonts w:cstheme="minorHAnsi"/>
          <w:lang w:eastAsia="en-CA"/>
        </w:rPr>
        <w:t>s</w:t>
      </w:r>
      <w:r w:rsidR="000A0D30" w:rsidRPr="00957E4C">
        <w:rPr>
          <w:rFonts w:cstheme="minorHAnsi"/>
          <w:lang w:eastAsia="en-CA"/>
        </w:rPr>
        <w:t xml:space="preserve"> a</w:t>
      </w:r>
      <w:r w:rsidR="00A11AF8">
        <w:rPr>
          <w:rFonts w:cstheme="minorHAnsi"/>
          <w:lang w:eastAsia="en-CA"/>
        </w:rPr>
        <w:t>n optimized</w:t>
      </w:r>
      <w:r w:rsidR="000A0D30" w:rsidRPr="00957E4C">
        <w:rPr>
          <w:rFonts w:cstheme="minorHAnsi"/>
          <w:lang w:eastAsia="en-CA"/>
        </w:rPr>
        <w:t xml:space="preserve"> list of materials that have been used in previous sample return missions </w:t>
      </w:r>
      <w:r w:rsidR="00A11AF8">
        <w:rPr>
          <w:rFonts w:cstheme="minorHAnsi"/>
          <w:lang w:eastAsia="en-CA"/>
        </w:rPr>
        <w:t xml:space="preserve">that includes </w:t>
      </w:r>
      <w:r w:rsidR="00A11AF8" w:rsidRPr="000A0D30">
        <w:t>304/316 Stainless Steel, Teflon, and T6061 Aluminum</w:t>
      </w:r>
      <w:r w:rsidR="009576B5">
        <w:t xml:space="preserve"> (1)</w:t>
      </w:r>
      <w:r w:rsidR="00A11AF8">
        <w:t>. This set of materials</w:t>
      </w:r>
      <w:r w:rsidR="00A11AF8" w:rsidRPr="000A0D30">
        <w:t xml:space="preserve"> are compatible with inorganic, organic, and biological cleanliness requirements and protocols.</w:t>
      </w:r>
      <w:r w:rsidR="00A11AF8">
        <w:t xml:space="preserve"> Furthermore, only these materials are permitted to come in contact with pristine samples.</w:t>
      </w:r>
      <w:r w:rsidR="000A0D30">
        <w:rPr>
          <w:rFonts w:cstheme="minorHAnsi"/>
          <w:lang w:val="en-GB" w:eastAsia="en-CA"/>
        </w:rPr>
        <w:t xml:space="preserve"> We note that </w:t>
      </w:r>
      <w:r w:rsidR="00A11AF8">
        <w:rPr>
          <w:rFonts w:cstheme="minorHAnsi"/>
          <w:lang w:val="en-GB" w:eastAsia="en-CA"/>
        </w:rPr>
        <w:t>JSC</w:t>
      </w:r>
      <w:r w:rsidR="000A0D30">
        <w:rPr>
          <w:rFonts w:cstheme="minorHAnsi"/>
          <w:lang w:val="en-GB" w:eastAsia="en-CA"/>
        </w:rPr>
        <w:t xml:space="preserve"> uses Neoprene and Hyp</w:t>
      </w:r>
      <w:r w:rsidR="00A138C3">
        <w:rPr>
          <w:rFonts w:cstheme="minorHAnsi"/>
          <w:lang w:val="en-GB" w:eastAsia="en-CA"/>
        </w:rPr>
        <w:t>a</w:t>
      </w:r>
      <w:r w:rsidR="000A0D30">
        <w:rPr>
          <w:rFonts w:cstheme="minorHAnsi"/>
          <w:lang w:val="en-GB" w:eastAsia="en-CA"/>
        </w:rPr>
        <w:t>lon for the gloves on their gloveboxes, but the glove material never comes in direct contact with the sample</w:t>
      </w:r>
      <w:r w:rsidR="00A11AF8">
        <w:rPr>
          <w:rFonts w:cstheme="minorHAnsi"/>
          <w:lang w:val="en-GB" w:eastAsia="en-CA"/>
        </w:rPr>
        <w:t>s</w:t>
      </w:r>
      <w:r w:rsidR="000A0D30">
        <w:rPr>
          <w:rFonts w:cstheme="minorHAnsi"/>
          <w:lang w:val="en-GB" w:eastAsia="en-CA"/>
        </w:rPr>
        <w:t xml:space="preserve">, only the approved materials. </w:t>
      </w:r>
      <w:r w:rsidR="000A0D30" w:rsidRPr="00957E4C">
        <w:rPr>
          <w:rFonts w:cstheme="minorHAnsi"/>
          <w:lang w:val="en-GB" w:eastAsia="en-CA"/>
        </w:rPr>
        <w:t xml:space="preserve">The </w:t>
      </w:r>
      <w:r w:rsidR="00A11AF8">
        <w:rPr>
          <w:rFonts w:cstheme="minorHAnsi"/>
          <w:lang w:val="en-GB" w:eastAsia="en-CA"/>
        </w:rPr>
        <w:t xml:space="preserve">MSR </w:t>
      </w:r>
      <w:r w:rsidR="000A0D30" w:rsidRPr="00957E4C">
        <w:rPr>
          <w:rFonts w:cstheme="minorHAnsi"/>
          <w:lang w:val="en-GB" w:eastAsia="en-CA"/>
        </w:rPr>
        <w:t xml:space="preserve">sample tubes will be made of </w:t>
      </w:r>
      <w:proofErr w:type="spellStart"/>
      <w:r w:rsidR="000A0D30" w:rsidRPr="00957E4C">
        <w:rPr>
          <w:rFonts w:cstheme="minorHAnsi"/>
          <w:lang w:val="en-GB" w:eastAsia="en-CA"/>
        </w:rPr>
        <w:t>Ti</w:t>
      </w:r>
      <w:proofErr w:type="spellEnd"/>
      <w:r w:rsidR="000A0D30" w:rsidRPr="00957E4C">
        <w:rPr>
          <w:rFonts w:cstheme="minorHAnsi"/>
          <w:lang w:val="en-GB" w:eastAsia="en-CA"/>
        </w:rPr>
        <w:t xml:space="preserve">, so </w:t>
      </w:r>
      <w:proofErr w:type="spellStart"/>
      <w:r w:rsidR="000A0D30" w:rsidRPr="00957E4C">
        <w:rPr>
          <w:rFonts w:cstheme="minorHAnsi"/>
          <w:lang w:val="en-GB" w:eastAsia="en-CA"/>
        </w:rPr>
        <w:t>Ti</w:t>
      </w:r>
      <w:proofErr w:type="spellEnd"/>
      <w:r w:rsidR="000A0D30" w:rsidRPr="00957E4C">
        <w:rPr>
          <w:rFonts w:cstheme="minorHAnsi"/>
          <w:lang w:val="en-GB" w:eastAsia="en-CA"/>
        </w:rPr>
        <w:t xml:space="preserve"> may be an acceptable material for making tools, but the minor and trace element abundances of 304 and 316 stainless steel are well known and do not inhibit scientific investigations of metals, including HSE</w:t>
      </w:r>
      <w:r w:rsidR="0019539C">
        <w:rPr>
          <w:rFonts w:cstheme="minorHAnsi"/>
          <w:lang w:val="en-GB" w:eastAsia="en-CA"/>
        </w:rPr>
        <w:t xml:space="preserve"> (</w:t>
      </w:r>
      <w:r w:rsidR="009576B5">
        <w:rPr>
          <w:rFonts w:cstheme="minorHAnsi"/>
          <w:lang w:val="en-GB" w:eastAsia="en-CA"/>
        </w:rPr>
        <w:t>2</w:t>
      </w:r>
      <w:r w:rsidR="0019539C">
        <w:rPr>
          <w:rFonts w:cstheme="minorHAnsi"/>
          <w:lang w:val="en-GB" w:eastAsia="en-CA"/>
        </w:rPr>
        <w:t>)</w:t>
      </w:r>
      <w:r w:rsidR="000A0D30" w:rsidRPr="00957E4C">
        <w:rPr>
          <w:rFonts w:cstheme="minorHAnsi"/>
          <w:lang w:val="en-GB" w:eastAsia="en-CA"/>
        </w:rPr>
        <w:t xml:space="preserve">. More work is needed to determine whether the same is true for </w:t>
      </w:r>
      <w:proofErr w:type="spellStart"/>
      <w:r w:rsidR="000A0D30" w:rsidRPr="00957E4C">
        <w:rPr>
          <w:rFonts w:cstheme="minorHAnsi"/>
          <w:lang w:val="en-GB" w:eastAsia="en-CA"/>
        </w:rPr>
        <w:t>Ti</w:t>
      </w:r>
      <w:proofErr w:type="spellEnd"/>
      <w:r w:rsidR="000A0D30" w:rsidRPr="00957E4C">
        <w:rPr>
          <w:rFonts w:cstheme="minorHAnsi"/>
          <w:lang w:val="en-GB" w:eastAsia="en-CA"/>
        </w:rPr>
        <w:t xml:space="preserve"> alloys.</w:t>
      </w:r>
    </w:p>
    <w:p w14:paraId="21B90DB6" w14:textId="1DBF0B7F" w:rsidR="000A0D30" w:rsidRDefault="00A11AF8" w:rsidP="00083458">
      <w:pPr>
        <w:ind w:firstLine="720"/>
        <w:jc w:val="both"/>
      </w:pPr>
      <w:r>
        <w:t xml:space="preserve">In addition to </w:t>
      </w:r>
      <w:r w:rsidR="0019539C">
        <w:t xml:space="preserve">defining </w:t>
      </w:r>
      <w:r>
        <w:t>the materials</w:t>
      </w:r>
      <w:r w:rsidR="0019539C">
        <w:t xml:space="preserve"> in the pristine environment</w:t>
      </w:r>
      <w:r>
        <w:t xml:space="preserve">, </w:t>
      </w:r>
      <w:r w:rsidR="0019539C">
        <w:t xml:space="preserve">one must also </w:t>
      </w:r>
      <w:r>
        <w:t>choose whether the pristine environment will be under vacuum or under a specific atmospheric composition</w:t>
      </w:r>
      <w:r w:rsidR="0019539C">
        <w:t xml:space="preserve"> and pressure</w:t>
      </w:r>
      <w:r>
        <w:t xml:space="preserve">. Although JAXA has successfully implemented pristine </w:t>
      </w:r>
      <w:r w:rsidR="008E7F18">
        <w:t xml:space="preserve">curation </w:t>
      </w:r>
      <w:r>
        <w:t>vacuum chamber</w:t>
      </w:r>
      <w:r w:rsidR="008E7F18">
        <w:t>s for their Hayabusa and Hayabusa2 samples</w:t>
      </w:r>
      <w:r w:rsidR="0019539C">
        <w:t xml:space="preserve"> (</w:t>
      </w:r>
      <w:r w:rsidR="009576B5">
        <w:t>3</w:t>
      </w:r>
      <w:r w:rsidR="0019539C">
        <w:t>)</w:t>
      </w:r>
      <w:r w:rsidR="008E7F18">
        <w:t xml:space="preserve">, a vacuum environment is not appropriate for </w:t>
      </w:r>
      <w:proofErr w:type="spellStart"/>
      <w:r w:rsidR="008E7F18">
        <w:t>martian</w:t>
      </w:r>
      <w:proofErr w:type="spellEnd"/>
      <w:r w:rsidR="008E7F18">
        <w:t xml:space="preserve"> samples because it may drive </w:t>
      </w:r>
      <w:r w:rsidR="003704AF">
        <w:t>deliquescence</w:t>
      </w:r>
      <w:r w:rsidR="008E7F18">
        <w:t xml:space="preserve"> of </w:t>
      </w:r>
      <w:r w:rsidR="003704AF">
        <w:t xml:space="preserve">mineral phases in the </w:t>
      </w:r>
      <w:r w:rsidR="008E7F18">
        <w:t>samples</w:t>
      </w:r>
      <w:r w:rsidR="003704AF">
        <w:t xml:space="preserve"> that are sensitive to</w:t>
      </w:r>
      <w:r w:rsidR="00A138C3">
        <w:t xml:space="preserve"> pressure and</w:t>
      </w:r>
      <w:r w:rsidR="003704AF">
        <w:t xml:space="preserve"> relative humidity (</w:t>
      </w:r>
      <w:r w:rsidR="009576B5">
        <w:t>4</w:t>
      </w:r>
      <w:r w:rsidR="003704AF">
        <w:t>)</w:t>
      </w:r>
      <w:r w:rsidR="008E7F18">
        <w:t xml:space="preserve">. Consequently, the pristine environment for the </w:t>
      </w:r>
      <w:proofErr w:type="spellStart"/>
      <w:r w:rsidR="008E7F18">
        <w:t>martian</w:t>
      </w:r>
      <w:proofErr w:type="spellEnd"/>
      <w:r w:rsidR="008E7F18">
        <w:t xml:space="preserve"> samples should be under an inert gas. </w:t>
      </w:r>
      <w:r w:rsidR="000A0D30" w:rsidRPr="000A0D30">
        <w:t xml:space="preserve">It will be crucial to minimize the number of gases that come into direct contact with samples and these gases will need to be high purity and consistent throughout the pristine isolators. Samples at </w:t>
      </w:r>
      <w:r w:rsidR="008E7F18">
        <w:t>JSC</w:t>
      </w:r>
      <w:r w:rsidR="000A0D30" w:rsidRPr="000A0D30">
        <w:t xml:space="preserve"> are stored under high purity gaseous nitrogen</w:t>
      </w:r>
      <w:r w:rsidR="009576B5">
        <w:t xml:space="preserve"> (1)</w:t>
      </w:r>
      <w:r w:rsidR="000A0D30" w:rsidRPr="000A0D30">
        <w:t xml:space="preserve">. Dry N2 gas has not been a problem for N isotope studies for high-T release phases, but an additional inert atmosphere like </w:t>
      </w:r>
      <w:proofErr w:type="spellStart"/>
      <w:r w:rsidR="000A0D30" w:rsidRPr="000A0D30">
        <w:t>Ar</w:t>
      </w:r>
      <w:proofErr w:type="spellEnd"/>
      <w:r w:rsidR="000A0D30" w:rsidRPr="000A0D30">
        <w:t xml:space="preserve"> </w:t>
      </w:r>
      <w:r w:rsidR="003704AF">
        <w:t xml:space="preserve">may be needed </w:t>
      </w:r>
      <w:r w:rsidR="000A0D30" w:rsidRPr="000A0D30">
        <w:t xml:space="preserve">for samples where </w:t>
      </w:r>
      <w:r w:rsidR="003704AF">
        <w:t xml:space="preserve">there is a </w:t>
      </w:r>
      <w:r w:rsidR="000A0D30" w:rsidRPr="000A0D30">
        <w:t xml:space="preserve">particular concern about low-T release of N from bulk sample analysis. </w:t>
      </w:r>
    </w:p>
    <w:p w14:paraId="32323AF2" w14:textId="4D3ECFB9" w:rsidR="00DC612F" w:rsidRPr="00DC612F" w:rsidRDefault="00DC612F" w:rsidP="00DC612F">
      <w:pPr>
        <w:jc w:val="both"/>
      </w:pPr>
      <w:r w:rsidRPr="00DC612F">
        <w:rPr>
          <w:b/>
          <w:bCs/>
        </w:rPr>
        <w:t>References</w:t>
      </w:r>
      <w:r>
        <w:rPr>
          <w:b/>
          <w:bCs/>
        </w:rPr>
        <w:t xml:space="preserve">: </w:t>
      </w:r>
      <w:r w:rsidRPr="00DC612F">
        <w:rPr>
          <w:b/>
          <w:bCs/>
        </w:rPr>
        <w:t>(1)</w:t>
      </w:r>
      <w:r>
        <w:t xml:space="preserve"> </w:t>
      </w:r>
      <w:r w:rsidR="009576B5">
        <w:t xml:space="preserve">McCubbin FM, et al. (2019) </w:t>
      </w:r>
      <w:r w:rsidR="009576B5" w:rsidRPr="009576B5">
        <w:rPr>
          <w:i/>
          <w:iCs/>
        </w:rPr>
        <w:t>Space Science Reviews</w:t>
      </w:r>
      <w:r w:rsidR="009576B5">
        <w:t xml:space="preserve">, 215, 1-81. </w:t>
      </w:r>
      <w:r w:rsidR="009576B5" w:rsidRPr="009576B5">
        <w:rPr>
          <w:b/>
          <w:bCs/>
        </w:rPr>
        <w:t>(2)</w:t>
      </w:r>
      <w:r w:rsidR="009576B5">
        <w:t xml:space="preserve"> </w:t>
      </w:r>
      <w:r w:rsidRPr="00DC612F">
        <w:t xml:space="preserve">Day JMD, et al. (2018) </w:t>
      </w:r>
      <w:proofErr w:type="spellStart"/>
      <w:r w:rsidR="00083458" w:rsidRPr="00083458">
        <w:rPr>
          <w:i/>
          <w:iCs/>
        </w:rPr>
        <w:t>Meteorit</w:t>
      </w:r>
      <w:proofErr w:type="spellEnd"/>
      <w:r w:rsidR="00083458" w:rsidRPr="00083458">
        <w:rPr>
          <w:i/>
          <w:iCs/>
        </w:rPr>
        <w:t>. Planet. Sci.</w:t>
      </w:r>
      <w:r w:rsidRPr="00DC612F">
        <w:t xml:space="preserve"> 53:1283-1291. </w:t>
      </w:r>
      <w:r w:rsidRPr="00DC612F">
        <w:rPr>
          <w:b/>
          <w:bCs/>
        </w:rPr>
        <w:t>(</w:t>
      </w:r>
      <w:r w:rsidR="009576B5">
        <w:rPr>
          <w:b/>
          <w:bCs/>
        </w:rPr>
        <w:t>3</w:t>
      </w:r>
      <w:r w:rsidRPr="00DC612F">
        <w:rPr>
          <w:b/>
          <w:bCs/>
        </w:rPr>
        <w:t>)</w:t>
      </w:r>
      <w:r>
        <w:t xml:space="preserve"> </w:t>
      </w:r>
      <w:r w:rsidRPr="00DC612F">
        <w:t xml:space="preserve">Yada, T., </w:t>
      </w:r>
      <w:r>
        <w:t>et al.</w:t>
      </w:r>
      <w:r w:rsidRPr="00DC612F">
        <w:t xml:space="preserve">, </w:t>
      </w:r>
      <w:r>
        <w:t>(</w:t>
      </w:r>
      <w:r w:rsidRPr="00DC612F">
        <w:t>2014</w:t>
      </w:r>
      <w:r>
        <w:t>)</w:t>
      </w:r>
      <w:r w:rsidRPr="00DC612F">
        <w:t xml:space="preserve">. </w:t>
      </w:r>
      <w:proofErr w:type="spellStart"/>
      <w:r w:rsidRPr="00083458">
        <w:rPr>
          <w:i/>
          <w:iCs/>
        </w:rPr>
        <w:t>Meteorit</w:t>
      </w:r>
      <w:proofErr w:type="spellEnd"/>
      <w:r w:rsidRPr="00083458">
        <w:rPr>
          <w:i/>
          <w:iCs/>
        </w:rPr>
        <w:t>. Planet. Sci.</w:t>
      </w:r>
      <w:r w:rsidRPr="00DC612F">
        <w:t xml:space="preserve"> 49, 135-153. </w:t>
      </w:r>
      <w:r w:rsidRPr="00DC612F">
        <w:rPr>
          <w:b/>
          <w:bCs/>
        </w:rPr>
        <w:t>(</w:t>
      </w:r>
      <w:r w:rsidR="009576B5">
        <w:rPr>
          <w:b/>
          <w:bCs/>
        </w:rPr>
        <w:t>4</w:t>
      </w:r>
      <w:r w:rsidRPr="00DC612F">
        <w:rPr>
          <w:b/>
          <w:bCs/>
        </w:rPr>
        <w:t>)</w:t>
      </w:r>
      <w:r>
        <w:t xml:space="preserve"> </w:t>
      </w:r>
      <w:r w:rsidRPr="00DC612F">
        <w:t xml:space="preserve">Tosca NJ, et al. (2021). </w:t>
      </w:r>
      <w:r w:rsidRPr="00083458">
        <w:rPr>
          <w:i/>
          <w:iCs/>
        </w:rPr>
        <w:t>Astrobiology</w:t>
      </w:r>
      <w:r w:rsidR="00083458">
        <w:t xml:space="preserve">, </w:t>
      </w:r>
      <w:r w:rsidRPr="00DC612F">
        <w:t>in press, doi:10.1089/ast.2021.0115.</w:t>
      </w:r>
    </w:p>
    <w:sectPr w:rsidR="00DC612F" w:rsidRPr="00DC61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0D9"/>
    <w:rsid w:val="00083458"/>
    <w:rsid w:val="000A0D30"/>
    <w:rsid w:val="000B40D9"/>
    <w:rsid w:val="0019539C"/>
    <w:rsid w:val="003704AF"/>
    <w:rsid w:val="00392751"/>
    <w:rsid w:val="0044668D"/>
    <w:rsid w:val="005C0858"/>
    <w:rsid w:val="008E7F18"/>
    <w:rsid w:val="009576B5"/>
    <w:rsid w:val="00992BB5"/>
    <w:rsid w:val="00A11AF8"/>
    <w:rsid w:val="00A138C3"/>
    <w:rsid w:val="00A858DB"/>
    <w:rsid w:val="00D24F23"/>
    <w:rsid w:val="00D7596C"/>
    <w:rsid w:val="00DC612F"/>
    <w:rsid w:val="00E63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16EEB"/>
  <w15:chartTrackingRefBased/>
  <w15:docId w15:val="{885B620A-87C6-4163-BD4B-8972E1742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9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McCubbin</dc:creator>
  <cp:keywords/>
  <dc:description/>
  <cp:lastModifiedBy>Francis McCubbin</cp:lastModifiedBy>
  <cp:revision>3</cp:revision>
  <dcterms:created xsi:type="dcterms:W3CDTF">2022-02-04T16:43:00Z</dcterms:created>
  <dcterms:modified xsi:type="dcterms:W3CDTF">2022-02-07T17:03:00Z</dcterms:modified>
</cp:coreProperties>
</file>