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324" w:rsidRPr="001B3324" w:rsidRDefault="00694B6E" w:rsidP="00B74A34">
      <w:pPr>
        <w:jc w:val="both"/>
        <w:rPr>
          <w:color w:val="000000" w:themeColor="text1"/>
          <w:sz w:val="20"/>
        </w:rPr>
      </w:pPr>
      <w:r w:rsidRPr="00694B6E">
        <w:rPr>
          <w:b/>
          <w:smallCaps/>
          <w:sz w:val="20"/>
        </w:rPr>
        <w:t xml:space="preserve">Using X-Ray Computed Tomography to </w:t>
      </w:r>
      <w:r w:rsidR="00FC72F9">
        <w:rPr>
          <w:b/>
          <w:smallCaps/>
          <w:sz w:val="20"/>
        </w:rPr>
        <w:t xml:space="preserve">Catalog Rock Fragments in </w:t>
      </w:r>
      <w:r w:rsidRPr="00694B6E">
        <w:rPr>
          <w:b/>
          <w:smallCaps/>
          <w:sz w:val="20"/>
        </w:rPr>
        <w:t>Apollo Drive Tube 73002</w:t>
      </w:r>
      <w:r w:rsidR="00C22CA2">
        <w:rPr>
          <w:b/>
          <w:sz w:val="20"/>
        </w:rPr>
        <w:t>.</w:t>
      </w:r>
      <w:r w:rsidR="00C22CA2">
        <w:rPr>
          <w:sz w:val="20"/>
        </w:rPr>
        <w:t xml:space="preserve">  </w:t>
      </w:r>
      <w:r>
        <w:rPr>
          <w:sz w:val="20"/>
        </w:rPr>
        <w:t>R. A.</w:t>
      </w:r>
      <w:r w:rsidR="00C22CA2">
        <w:rPr>
          <w:sz w:val="20"/>
        </w:rPr>
        <w:t xml:space="preserve"> </w:t>
      </w:r>
      <w:r>
        <w:rPr>
          <w:sz w:val="20"/>
        </w:rPr>
        <w:t>Zeigler</w:t>
      </w:r>
      <w:r w:rsidR="00C22CA2">
        <w:rPr>
          <w:sz w:val="20"/>
          <w:vertAlign w:val="superscript"/>
        </w:rPr>
        <w:t>1</w:t>
      </w:r>
      <w:r>
        <w:rPr>
          <w:sz w:val="20"/>
        </w:rPr>
        <w:t xml:space="preserve">, </w:t>
      </w:r>
      <w:r w:rsidR="00B74A34">
        <w:rPr>
          <w:sz w:val="20"/>
        </w:rPr>
        <w:t>J. Gross</w:t>
      </w:r>
      <w:r w:rsidR="00B74A34">
        <w:rPr>
          <w:sz w:val="20"/>
          <w:vertAlign w:val="superscript"/>
        </w:rPr>
        <w:t>1,2,3</w:t>
      </w:r>
      <w:r w:rsidR="00B74A34">
        <w:rPr>
          <w:sz w:val="20"/>
        </w:rPr>
        <w:t xml:space="preserve">, </w:t>
      </w:r>
      <w:r w:rsidR="00E309CC">
        <w:rPr>
          <w:sz w:val="20"/>
        </w:rPr>
        <w:t>S. A</w:t>
      </w:r>
      <w:r w:rsidR="00F87020">
        <w:rPr>
          <w:sz w:val="20"/>
        </w:rPr>
        <w:t>.</w:t>
      </w:r>
      <w:r w:rsidR="00E309CC">
        <w:rPr>
          <w:sz w:val="20"/>
        </w:rPr>
        <w:t xml:space="preserve"> Eckley</w:t>
      </w:r>
      <w:r w:rsidR="00B74A34">
        <w:rPr>
          <w:sz w:val="20"/>
          <w:vertAlign w:val="superscript"/>
        </w:rPr>
        <w:t>4</w:t>
      </w:r>
      <w:r w:rsidR="00E309CC" w:rsidRPr="004025EC">
        <w:rPr>
          <w:sz w:val="20"/>
          <w:vertAlign w:val="superscript"/>
        </w:rPr>
        <w:t>,</w:t>
      </w:r>
      <w:r w:rsidR="00B74A34">
        <w:rPr>
          <w:sz w:val="20"/>
          <w:vertAlign w:val="superscript"/>
        </w:rPr>
        <w:t>5</w:t>
      </w:r>
      <w:r w:rsidR="00E309CC">
        <w:rPr>
          <w:sz w:val="20"/>
        </w:rPr>
        <w:t xml:space="preserve">, </w:t>
      </w:r>
      <w:r>
        <w:rPr>
          <w:sz w:val="20"/>
        </w:rPr>
        <w:t>F</w:t>
      </w:r>
      <w:r w:rsidR="002F093B">
        <w:rPr>
          <w:sz w:val="20"/>
        </w:rPr>
        <w:t>. M.</w:t>
      </w:r>
      <w:r>
        <w:rPr>
          <w:sz w:val="20"/>
        </w:rPr>
        <w:t xml:space="preserve"> McCubbin</w:t>
      </w:r>
      <w:r>
        <w:rPr>
          <w:sz w:val="20"/>
          <w:vertAlign w:val="superscript"/>
        </w:rPr>
        <w:t>1</w:t>
      </w:r>
      <w:r>
        <w:rPr>
          <w:sz w:val="20"/>
        </w:rPr>
        <w:t xml:space="preserve">, and the </w:t>
      </w:r>
      <w:r w:rsidR="00E83A95" w:rsidRPr="00E83A95">
        <w:rPr>
          <w:sz w:val="20"/>
          <w:vertAlign w:val="superscript"/>
        </w:rPr>
        <w:t>6</w:t>
      </w:r>
      <w:r>
        <w:rPr>
          <w:sz w:val="20"/>
        </w:rPr>
        <w:t>ANGSA Science Team</w:t>
      </w:r>
      <w:r w:rsidR="00C22CA2">
        <w:rPr>
          <w:sz w:val="20"/>
        </w:rPr>
        <w:t xml:space="preserve">, </w:t>
      </w:r>
      <w:r w:rsidR="00C22CA2" w:rsidRPr="00F87020">
        <w:rPr>
          <w:szCs w:val="18"/>
          <w:vertAlign w:val="superscript"/>
        </w:rPr>
        <w:t>1</w:t>
      </w:r>
      <w:r w:rsidRPr="00F87020">
        <w:rPr>
          <w:szCs w:val="18"/>
        </w:rPr>
        <w:t>NASA, Johnson Space Center, Houston, TX,</w:t>
      </w:r>
      <w:r w:rsidR="0077483F" w:rsidRPr="00F87020">
        <w:rPr>
          <w:szCs w:val="18"/>
        </w:rPr>
        <w:t>.</w:t>
      </w:r>
      <w:r w:rsidR="00CA2CCA" w:rsidRPr="00F87020">
        <w:rPr>
          <w:szCs w:val="18"/>
        </w:rPr>
        <w:t xml:space="preserve"> </w:t>
      </w:r>
      <w:r w:rsidR="00B74A34" w:rsidRPr="00F87020">
        <w:rPr>
          <w:szCs w:val="18"/>
          <w:vertAlign w:val="superscript"/>
        </w:rPr>
        <w:t>2</w:t>
      </w:r>
      <w:r w:rsidR="00B74A34" w:rsidRPr="00F87020">
        <w:rPr>
          <w:szCs w:val="18"/>
        </w:rPr>
        <w:t>Dept. of Earth &amp; Planetary Sciences, Rutgers University, Piscataway, NJ</w:t>
      </w:r>
      <w:r w:rsidR="00B74A34" w:rsidRPr="00F87020">
        <w:rPr>
          <w:color w:val="000000" w:themeColor="text1"/>
          <w:szCs w:val="18"/>
        </w:rPr>
        <w:t xml:space="preserve">. </w:t>
      </w:r>
      <w:r w:rsidR="00B74A34" w:rsidRPr="00F87020">
        <w:rPr>
          <w:color w:val="000000" w:themeColor="text1"/>
          <w:szCs w:val="18"/>
          <w:vertAlign w:val="superscript"/>
        </w:rPr>
        <w:t>3</w:t>
      </w:r>
      <w:r w:rsidR="00B74A34" w:rsidRPr="00F87020">
        <w:rPr>
          <w:szCs w:val="18"/>
        </w:rPr>
        <w:t>Dept. of Earth &amp; Planetary Sciences</w:t>
      </w:r>
      <w:r w:rsidR="00B74A34" w:rsidRPr="00F87020">
        <w:rPr>
          <w:color w:val="000000" w:themeColor="text1"/>
          <w:szCs w:val="18"/>
        </w:rPr>
        <w:t xml:space="preserve">, American Museum of Natural History, New York, NY. </w:t>
      </w:r>
      <w:r w:rsidR="00B74A34" w:rsidRPr="00F87020">
        <w:rPr>
          <w:szCs w:val="18"/>
          <w:vertAlign w:val="superscript"/>
        </w:rPr>
        <w:t>4</w:t>
      </w:r>
      <w:r w:rsidR="00CA2CCA" w:rsidRPr="00F87020">
        <w:rPr>
          <w:szCs w:val="18"/>
        </w:rPr>
        <w:t>Jackson School of Geosciences, University of Texas</w:t>
      </w:r>
      <w:r w:rsidR="0077483F" w:rsidRPr="00F87020">
        <w:rPr>
          <w:szCs w:val="18"/>
        </w:rPr>
        <w:t xml:space="preserve"> at Austin</w:t>
      </w:r>
      <w:r w:rsidR="00CA2CCA" w:rsidRPr="00F87020">
        <w:rPr>
          <w:szCs w:val="18"/>
        </w:rPr>
        <w:t xml:space="preserve">, Austin TX. </w:t>
      </w:r>
      <w:r w:rsidR="00B74A34" w:rsidRPr="00F87020">
        <w:rPr>
          <w:szCs w:val="18"/>
          <w:vertAlign w:val="superscript"/>
        </w:rPr>
        <w:t>5</w:t>
      </w:r>
      <w:r w:rsidR="0077483F" w:rsidRPr="00F87020">
        <w:rPr>
          <w:szCs w:val="18"/>
        </w:rPr>
        <w:t>Jacobs Technology</w:t>
      </w:r>
      <w:r w:rsidRPr="00F87020">
        <w:rPr>
          <w:szCs w:val="18"/>
        </w:rPr>
        <w:t>, Jo</w:t>
      </w:r>
      <w:r w:rsidR="00E83A95" w:rsidRPr="00F87020">
        <w:rPr>
          <w:szCs w:val="18"/>
        </w:rPr>
        <w:t xml:space="preserve">hnson Space Center, Houston, TX. </w:t>
      </w:r>
      <w:r w:rsidR="00E83A95">
        <w:rPr>
          <w:sz w:val="20"/>
          <w:vertAlign w:val="superscript"/>
        </w:rPr>
        <w:t>6</w:t>
      </w:r>
      <w:r w:rsidR="00504F1D" w:rsidRPr="00424B1A">
        <w:t xml:space="preserve">includes all members of the </w:t>
      </w:r>
      <w:hyperlink r:id="rId7" w:history="1">
        <w:r w:rsidR="00504F1D" w:rsidRPr="00424B1A">
          <w:rPr>
            <w:rStyle w:val="Hyperlink"/>
            <w:rFonts w:ascii="Times New Roman" w:hAnsi="Times New Roman"/>
          </w:rPr>
          <w:t>ANGSA Science Team</w:t>
        </w:r>
      </w:hyperlink>
      <w:r w:rsidR="00504F1D" w:rsidRPr="00424B1A">
        <w:t xml:space="preserve">, which includes members of the </w:t>
      </w:r>
      <w:hyperlink r:id="rId8" w:history="1">
        <w:r w:rsidR="00504F1D" w:rsidRPr="00424B1A">
          <w:rPr>
            <w:rStyle w:val="Hyperlink"/>
            <w:rFonts w:ascii="Times New Roman" w:hAnsi="Times New Roman"/>
          </w:rPr>
          <w:t>JSC curation team</w:t>
        </w:r>
      </w:hyperlink>
      <w:r w:rsidR="00504F1D" w:rsidRPr="00424B1A">
        <w:t>.</w:t>
      </w:r>
    </w:p>
    <w:p w:rsidR="00C22CA2" w:rsidRDefault="00504F1D" w:rsidP="001A35D5">
      <w:pPr>
        <w:spacing w:line="240" w:lineRule="atLeast"/>
        <w:jc w:val="both"/>
        <w:rPr>
          <w:sz w:val="20"/>
        </w:rPr>
      </w:pPr>
      <w:r>
        <w:rPr>
          <w:noProof/>
          <w:sz w:val="20"/>
        </w:rPr>
        <w:drawing>
          <wp:anchor distT="0" distB="0" distL="114300" distR="114300" simplePos="0" relativeHeight="251671552" behindDoc="0" locked="0" layoutInCell="1" allowOverlap="1">
            <wp:simplePos x="0" y="0"/>
            <wp:positionH relativeFrom="margin">
              <wp:align>right</wp:align>
            </wp:positionH>
            <wp:positionV relativeFrom="paragraph">
              <wp:posOffset>158411</wp:posOffset>
            </wp:positionV>
            <wp:extent cx="2882863" cy="1325880"/>
            <wp:effectExtent l="0" t="0" r="0" b="7620"/>
            <wp:wrapSquare wrapText="bothSides"/>
            <wp:docPr id="5" name="Picture 5" descr="LPSC 2021 PE bastract figures core-p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PSC 2021 PE bastract figures core-pass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2863"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CA2" w:rsidRDefault="00C22CA2" w:rsidP="001A35D5">
      <w:pPr>
        <w:spacing w:line="240" w:lineRule="atLeast"/>
        <w:jc w:val="both"/>
        <w:rPr>
          <w:sz w:val="20"/>
        </w:rPr>
        <w:sectPr w:rsidR="00C22CA2">
          <w:headerReference w:type="even" r:id="rId10"/>
          <w:footerReference w:type="even" r:id="rId11"/>
          <w:pgSz w:w="12240" w:h="15840"/>
          <w:pgMar w:top="1440" w:right="1440" w:bottom="1440" w:left="1440" w:header="720" w:footer="720" w:gutter="0"/>
          <w:cols w:space="720"/>
          <w:docGrid w:linePitch="360"/>
        </w:sectPr>
      </w:pPr>
    </w:p>
    <w:p w:rsidR="00C22CA2" w:rsidRDefault="00B27143" w:rsidP="00694B6E">
      <w:pPr>
        <w:spacing w:line="240" w:lineRule="atLeast"/>
        <w:ind w:firstLine="288"/>
        <w:jc w:val="both"/>
        <w:rPr>
          <w:sz w:val="20"/>
        </w:rPr>
      </w:pPr>
      <w:r>
        <w:rPr>
          <w:noProof/>
          <w:sz w:val="20"/>
        </w:rPr>
        <mc:AlternateContent>
          <mc:Choice Requires="wps">
            <w:drawing>
              <wp:anchor distT="0" distB="0" distL="114300" distR="114300" simplePos="0" relativeHeight="251672576" behindDoc="0" locked="0" layoutInCell="1" allowOverlap="1">
                <wp:simplePos x="0" y="0"/>
                <wp:positionH relativeFrom="column">
                  <wp:posOffset>3057525</wp:posOffset>
                </wp:positionH>
                <wp:positionV relativeFrom="paragraph">
                  <wp:posOffset>1341120</wp:posOffset>
                </wp:positionV>
                <wp:extent cx="2867025" cy="350520"/>
                <wp:effectExtent l="0" t="0" r="28575" b="11430"/>
                <wp:wrapSquare wrapText="bothSides"/>
                <wp:docPr id="2" name="Text Box 2"/>
                <wp:cNvGraphicFramePr/>
                <a:graphic xmlns:a="http://schemas.openxmlformats.org/drawingml/2006/main">
                  <a:graphicData uri="http://schemas.microsoft.com/office/word/2010/wordprocessingShape">
                    <wps:wsp>
                      <wps:cNvSpPr txBox="1"/>
                      <wps:spPr>
                        <a:xfrm>
                          <a:off x="0" y="0"/>
                          <a:ext cx="2867025" cy="350520"/>
                        </a:xfrm>
                        <a:prstGeom prst="rect">
                          <a:avLst/>
                        </a:prstGeom>
                        <a:solidFill>
                          <a:schemeClr val="lt1"/>
                        </a:solidFill>
                        <a:ln w="6350">
                          <a:solidFill>
                            <a:prstClr val="black"/>
                          </a:solidFill>
                        </a:ln>
                      </wps:spPr>
                      <wps:txbx>
                        <w:txbxContent>
                          <w:p w:rsidR="00B27143" w:rsidRPr="00B27143" w:rsidRDefault="00B27143">
                            <w:pPr>
                              <w:rPr>
                                <w:sz w:val="16"/>
                                <w:szCs w:val="16"/>
                              </w:rPr>
                            </w:pPr>
                            <w:r w:rsidRPr="00B27143">
                              <w:rPr>
                                <w:sz w:val="16"/>
                                <w:szCs w:val="16"/>
                              </w:rPr>
                              <w:t>Figure 1: Sketch of 73002 core with locations of each pass</w:t>
                            </w:r>
                            <w:r>
                              <w:rPr>
                                <w:sz w:val="16"/>
                                <w:szCs w:val="16"/>
                              </w:rPr>
                              <w:t xml:space="preserve"> [5]</w:t>
                            </w:r>
                            <w:r w:rsidRPr="00B27143">
                              <w:rPr>
                                <w:sz w:val="16"/>
                                <w:szCs w:val="16"/>
                              </w:rPr>
                              <w:t xml:space="preserve">. </w:t>
                            </w:r>
                            <w:r>
                              <w:rPr>
                                <w:sz w:val="16"/>
                                <w:szCs w:val="16"/>
                              </w:rPr>
                              <w:t>Material remaining after pass 3 are made into t</w:t>
                            </w:r>
                            <w:r w:rsidRPr="00B27143">
                              <w:rPr>
                                <w:sz w:val="16"/>
                                <w:szCs w:val="16"/>
                              </w:rPr>
                              <w:t xml:space="preserve">hin </w:t>
                            </w:r>
                            <w:r>
                              <w:rPr>
                                <w:sz w:val="16"/>
                                <w:szCs w:val="16"/>
                              </w:rPr>
                              <w:t>s</w:t>
                            </w:r>
                            <w:r w:rsidRPr="00B27143">
                              <w:rPr>
                                <w:sz w:val="16"/>
                                <w:szCs w:val="16"/>
                              </w:rPr>
                              <w:t>ection</w:t>
                            </w:r>
                            <w:r>
                              <w:rPr>
                                <w:sz w:val="16"/>
                                <w:szCs w:val="16"/>
                              </w:rPr>
                              <w:t>s (TS)</w:t>
                            </w:r>
                            <w:r w:rsidRPr="00B27143">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0.75pt;margin-top:105.6pt;width:225.75pt;height:2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" fillcolor="white [3201]" strokeweight=".5pt">
                <v:textbox>
                  <w:txbxContent>
                    <w:p w:rsidR="00B27143" w:rsidRPr="00B27143" w:rsidRDefault="00B27143">
                      <w:pPr>
                        <w:rPr>
                          <w:sz w:val="16"/>
                          <w:szCs w:val="16"/>
                        </w:rPr>
                      </w:pPr>
                      <w:r w:rsidRPr="00B27143">
                        <w:rPr>
                          <w:sz w:val="16"/>
                          <w:szCs w:val="16"/>
                        </w:rPr>
                        <w:t>Figure 1: Sketch of 73002 core with locations of each pass</w:t>
                      </w:r>
                      <w:r>
                        <w:rPr>
                          <w:sz w:val="16"/>
                          <w:szCs w:val="16"/>
                        </w:rPr>
                        <w:t xml:space="preserve"> [5]</w:t>
                      </w:r>
                      <w:r w:rsidRPr="00B27143">
                        <w:rPr>
                          <w:sz w:val="16"/>
                          <w:szCs w:val="16"/>
                        </w:rPr>
                        <w:t xml:space="preserve">. </w:t>
                      </w:r>
                      <w:r>
                        <w:rPr>
                          <w:sz w:val="16"/>
                          <w:szCs w:val="16"/>
                        </w:rPr>
                        <w:t>Material remaining after pass 3 are made into t</w:t>
                      </w:r>
                      <w:r w:rsidRPr="00B27143">
                        <w:rPr>
                          <w:sz w:val="16"/>
                          <w:szCs w:val="16"/>
                        </w:rPr>
                        <w:t xml:space="preserve">hin </w:t>
                      </w:r>
                      <w:r>
                        <w:rPr>
                          <w:sz w:val="16"/>
                          <w:szCs w:val="16"/>
                        </w:rPr>
                        <w:t>s</w:t>
                      </w:r>
                      <w:r w:rsidRPr="00B27143">
                        <w:rPr>
                          <w:sz w:val="16"/>
                          <w:szCs w:val="16"/>
                        </w:rPr>
                        <w:t>ection</w:t>
                      </w:r>
                      <w:r>
                        <w:rPr>
                          <w:sz w:val="16"/>
                          <w:szCs w:val="16"/>
                        </w:rPr>
                        <w:t>s (TS)</w:t>
                      </w:r>
                      <w:r w:rsidRPr="00B27143">
                        <w:rPr>
                          <w:sz w:val="16"/>
                          <w:szCs w:val="16"/>
                        </w:rPr>
                        <w:t>.</w:t>
                      </w:r>
                    </w:p>
                  </w:txbxContent>
                </v:textbox>
                <w10:wrap type="square"/>
              </v:shape>
            </w:pict>
          </mc:Fallback>
        </mc:AlternateContent>
      </w:r>
      <w:r w:rsidR="00694B6E">
        <w:rPr>
          <w:b/>
          <w:sz w:val="20"/>
        </w:rPr>
        <w:t>Overvi</w:t>
      </w:r>
      <w:r w:rsidR="00694B6E" w:rsidRPr="00EE0BFA">
        <w:rPr>
          <w:b/>
          <w:sz w:val="20"/>
        </w:rPr>
        <w:t>ew</w:t>
      </w:r>
      <w:r w:rsidR="00C22CA2" w:rsidRPr="00EE0BFA">
        <w:rPr>
          <w:b/>
          <w:sz w:val="20"/>
        </w:rPr>
        <w:t>:</w:t>
      </w:r>
      <w:r w:rsidR="00EE0BFA" w:rsidRPr="00EE0BFA">
        <w:rPr>
          <w:sz w:val="20"/>
        </w:rPr>
        <w:t xml:space="preserve"> The Apollo missions collected 382 kg of rock, regolith, and core samples from six locations on the nearside of the Moon. </w:t>
      </w:r>
      <w:r w:rsidR="00637304">
        <w:rPr>
          <w:sz w:val="20"/>
        </w:rPr>
        <w:t>A</w:t>
      </w:r>
      <w:r w:rsidR="00FC72F9">
        <w:rPr>
          <w:sz w:val="20"/>
        </w:rPr>
        <w:t>pproximately</w:t>
      </w:r>
      <w:r w:rsidR="00EE0BFA" w:rsidRPr="00EE0BFA">
        <w:rPr>
          <w:sz w:val="20"/>
        </w:rPr>
        <w:t xml:space="preserve"> 84% by mass of the Apo</w:t>
      </w:r>
      <w:r w:rsidR="00EE0BFA">
        <w:rPr>
          <w:sz w:val="20"/>
        </w:rPr>
        <w:t>llo collection remains in pristine</w:t>
      </w:r>
      <w:r w:rsidR="00EE0BFA" w:rsidRPr="00EE0BFA">
        <w:rPr>
          <w:sz w:val="20"/>
        </w:rPr>
        <w:t xml:space="preserve"> condition within the curation facility at Johnson Space Center</w:t>
      </w:r>
      <w:r w:rsidR="00637304">
        <w:rPr>
          <w:sz w:val="20"/>
        </w:rPr>
        <w:t xml:space="preserve"> (i.e., never allocated, continuously stored in dry-N</w:t>
      </w:r>
      <w:r w:rsidR="00637304" w:rsidRPr="00A91619">
        <w:rPr>
          <w:sz w:val="20"/>
          <w:vertAlign w:val="subscript"/>
        </w:rPr>
        <w:t>2</w:t>
      </w:r>
      <w:r w:rsidR="00637304">
        <w:rPr>
          <w:sz w:val="20"/>
        </w:rPr>
        <w:t xml:space="preserve"> purged cabinets, exposure history restricted to Teflon, stainless steel, and Al-metal)</w:t>
      </w:r>
      <w:r w:rsidR="00EE0BFA" w:rsidRPr="00EE0BFA">
        <w:rPr>
          <w:sz w:val="20"/>
        </w:rPr>
        <w:t xml:space="preserve">. </w:t>
      </w:r>
      <w:r w:rsidR="00637304">
        <w:rPr>
          <w:sz w:val="20"/>
        </w:rPr>
        <w:t>Although most</w:t>
      </w:r>
      <w:r w:rsidR="00EE0BFA" w:rsidRPr="00EE0BFA">
        <w:rPr>
          <w:sz w:val="20"/>
        </w:rPr>
        <w:t xml:space="preserve"> Apollo samples have been well characterized, there </w:t>
      </w:r>
      <w:r w:rsidR="00AB7F4C">
        <w:rPr>
          <w:sz w:val="20"/>
        </w:rPr>
        <w:t>are</w:t>
      </w:r>
      <w:r w:rsidR="00AB7F4C" w:rsidRPr="00EE0BFA">
        <w:rPr>
          <w:sz w:val="20"/>
        </w:rPr>
        <w:t xml:space="preserve"> </w:t>
      </w:r>
      <w:r w:rsidR="00EE0BFA" w:rsidRPr="00EE0BFA">
        <w:rPr>
          <w:sz w:val="20"/>
        </w:rPr>
        <w:t>several types of samples that have remained wholly or largely unstudied since their return, and</w:t>
      </w:r>
      <w:r w:rsidR="00DE0E37">
        <w:rPr>
          <w:sz w:val="20"/>
        </w:rPr>
        <w:t>/or</w:t>
      </w:r>
      <w:r w:rsidR="00EE0BFA" w:rsidRPr="00EE0BFA">
        <w:rPr>
          <w:sz w:val="20"/>
        </w:rPr>
        <w:t xml:space="preserve"> </w:t>
      </w:r>
      <w:r w:rsidR="00EE0BFA">
        <w:rPr>
          <w:sz w:val="20"/>
        </w:rPr>
        <w:t xml:space="preserve">that </w:t>
      </w:r>
      <w:r w:rsidR="00EE0BFA" w:rsidRPr="00EE0BFA">
        <w:rPr>
          <w:sz w:val="20"/>
        </w:rPr>
        <w:t>have been c</w:t>
      </w:r>
      <w:r w:rsidR="00EE0BFA">
        <w:rPr>
          <w:sz w:val="20"/>
        </w:rPr>
        <w:t>urated under special conditions</w:t>
      </w:r>
      <w:r w:rsidR="00637304">
        <w:rPr>
          <w:sz w:val="20"/>
        </w:rPr>
        <w:t xml:space="preserve">, e.g., frozen samples, samples stored in He-purged environment, and previously unopened drive tubes. </w:t>
      </w:r>
      <w:r w:rsidR="00EE0BFA">
        <w:rPr>
          <w:sz w:val="20"/>
        </w:rPr>
        <w:t>NASA solicited proposal</w:t>
      </w:r>
      <w:r w:rsidR="002F093B">
        <w:rPr>
          <w:sz w:val="20"/>
        </w:rPr>
        <w:t>s</w:t>
      </w:r>
      <w:r w:rsidR="00EE0BFA">
        <w:rPr>
          <w:sz w:val="20"/>
        </w:rPr>
        <w:t xml:space="preserve"> for the Apollo Next Generation Sample Analysis Program (</w:t>
      </w:r>
      <w:hyperlink r:id="rId12" w:history="1">
        <w:r w:rsidR="00EE0BFA" w:rsidRPr="00DE0E37">
          <w:rPr>
            <w:rStyle w:val="Hyperlink"/>
            <w:rFonts w:ascii="Times New Roman" w:hAnsi="Times New Roman"/>
            <w:sz w:val="20"/>
          </w:rPr>
          <w:t>ANGSA</w:t>
        </w:r>
      </w:hyperlink>
      <w:r w:rsidR="00EE0BFA">
        <w:rPr>
          <w:sz w:val="20"/>
        </w:rPr>
        <w:t xml:space="preserve">), and 9 </w:t>
      </w:r>
      <w:hyperlink r:id="rId13" w:history="1">
        <w:r w:rsidR="00EE0BFA" w:rsidRPr="00DE0E37">
          <w:rPr>
            <w:rStyle w:val="Hyperlink"/>
            <w:rFonts w:ascii="Times New Roman" w:hAnsi="Times New Roman"/>
            <w:sz w:val="20"/>
          </w:rPr>
          <w:t>teams</w:t>
        </w:r>
      </w:hyperlink>
      <w:r w:rsidR="00EE0BFA">
        <w:rPr>
          <w:sz w:val="20"/>
        </w:rPr>
        <w:t xml:space="preserve"> were selected </w:t>
      </w:r>
      <w:r w:rsidR="00DE0E37">
        <w:rPr>
          <w:sz w:val="20"/>
        </w:rPr>
        <w:t>to study</w:t>
      </w:r>
      <w:r w:rsidR="00637304">
        <w:rPr>
          <w:sz w:val="20"/>
        </w:rPr>
        <w:t xml:space="preserve"> a subset of the unopened and frozen samples</w:t>
      </w:r>
      <w:r w:rsidR="004025EC">
        <w:rPr>
          <w:sz w:val="20"/>
        </w:rPr>
        <w:t xml:space="preserve"> [1]</w:t>
      </w:r>
      <w:r w:rsidR="00DE0E37">
        <w:rPr>
          <w:sz w:val="20"/>
        </w:rPr>
        <w:t xml:space="preserve">. </w:t>
      </w:r>
    </w:p>
    <w:p w:rsidR="004025EC" w:rsidRPr="00C22CA2" w:rsidRDefault="00513A63" w:rsidP="00694B6E">
      <w:pPr>
        <w:spacing w:line="240" w:lineRule="atLeast"/>
        <w:ind w:firstLine="288"/>
        <w:jc w:val="both"/>
        <w:rPr>
          <w:sz w:val="20"/>
        </w:rPr>
      </w:pPr>
      <w:r>
        <w:rPr>
          <w:noProof/>
          <w:sz w:val="20"/>
        </w:rPr>
        <w:drawing>
          <wp:anchor distT="0" distB="0" distL="114300" distR="114300" simplePos="0" relativeHeight="251673600" behindDoc="1" locked="0" layoutInCell="1" allowOverlap="1">
            <wp:simplePos x="0" y="0"/>
            <wp:positionH relativeFrom="margin">
              <wp:posOffset>0</wp:posOffset>
            </wp:positionH>
            <wp:positionV relativeFrom="paragraph">
              <wp:posOffset>566090</wp:posOffset>
            </wp:positionV>
            <wp:extent cx="5935980" cy="3569335"/>
            <wp:effectExtent l="0" t="0" r="7620" b="0"/>
            <wp:wrapTight wrapText="bothSides">
              <wp:wrapPolygon edited="0">
                <wp:start x="0" y="0"/>
                <wp:lineTo x="0" y="21442"/>
                <wp:lineTo x="21558" y="21442"/>
                <wp:lineTo x="21558" y="0"/>
                <wp:lineTo x="0" y="0"/>
              </wp:wrapPolygon>
            </wp:wrapTight>
            <wp:docPr id="3" name="Picture 3" descr="C:\Users\razeigle\AppData\Local\Microsoft\Windows\INetCache\Content.Word\Zeigler_LPSC figure large_with 10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zeigle\AppData\Local\Microsoft\Windows\INetCache\Content.Word\Zeigler_LPSC figure large_with 1009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980" cy="356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244A">
        <w:rPr>
          <w:noProof/>
          <w:sz w:val="20"/>
        </w:rPr>
        <mc:AlternateContent>
          <mc:Choice Requires="wps">
            <w:drawing>
              <wp:anchor distT="0" distB="0" distL="114300" distR="114300" simplePos="0" relativeHeight="251675648" behindDoc="0" locked="0" layoutInCell="1" allowOverlap="1" wp14:anchorId="3D864EF5" wp14:editId="648FE9FD">
                <wp:simplePos x="0" y="0"/>
                <wp:positionH relativeFrom="margin">
                  <wp:align>right</wp:align>
                </wp:positionH>
                <wp:positionV relativeFrom="paragraph">
                  <wp:posOffset>4145280</wp:posOffset>
                </wp:positionV>
                <wp:extent cx="5924550" cy="453542"/>
                <wp:effectExtent l="0" t="0" r="19050" b="22860"/>
                <wp:wrapSquare wrapText="bothSides"/>
                <wp:docPr id="4" name="Text Box 4"/>
                <wp:cNvGraphicFramePr/>
                <a:graphic xmlns:a="http://schemas.openxmlformats.org/drawingml/2006/main">
                  <a:graphicData uri="http://schemas.microsoft.com/office/word/2010/wordprocessingShape">
                    <wps:wsp>
                      <wps:cNvSpPr txBox="1"/>
                      <wps:spPr>
                        <a:xfrm>
                          <a:off x="0" y="0"/>
                          <a:ext cx="5924550" cy="453542"/>
                        </a:xfrm>
                        <a:prstGeom prst="rect">
                          <a:avLst/>
                        </a:prstGeom>
                        <a:solidFill>
                          <a:schemeClr val="lt1"/>
                        </a:solidFill>
                        <a:ln w="6350">
                          <a:solidFill>
                            <a:prstClr val="black"/>
                          </a:solidFill>
                        </a:ln>
                      </wps:spPr>
                      <wps:txbx>
                        <w:txbxContent>
                          <w:p w:rsidR="003D244A" w:rsidRPr="00B27143" w:rsidRDefault="003D244A" w:rsidP="003D244A">
                            <w:pPr>
                              <w:rPr>
                                <w:sz w:val="16"/>
                                <w:szCs w:val="16"/>
                              </w:rPr>
                            </w:pPr>
                            <w:r>
                              <w:rPr>
                                <w:sz w:val="16"/>
                                <w:szCs w:val="16"/>
                              </w:rPr>
                              <w:t>Figure 2</w:t>
                            </w:r>
                            <w:r w:rsidRPr="00B27143">
                              <w:rPr>
                                <w:sz w:val="16"/>
                                <w:szCs w:val="16"/>
                              </w:rPr>
                              <w:t xml:space="preserve">: </w:t>
                            </w:r>
                            <w:r>
                              <w:rPr>
                                <w:sz w:val="16"/>
                                <w:szCs w:val="16"/>
                              </w:rPr>
                              <w:t xml:space="preserve">Representative XCT slices of the different </w:t>
                            </w:r>
                            <w:r w:rsidR="00513A63">
                              <w:rPr>
                                <w:sz w:val="16"/>
                                <w:szCs w:val="16"/>
                              </w:rPr>
                              <w:t>lithologies observed in 73002</w:t>
                            </w:r>
                            <w:r>
                              <w:rPr>
                                <w:sz w:val="16"/>
                                <w:szCs w:val="16"/>
                              </w:rPr>
                              <w:t xml:space="preserve">. Brighter phases are more </w:t>
                            </w:r>
                            <w:r w:rsidR="00A91619">
                              <w:rPr>
                                <w:sz w:val="16"/>
                                <w:szCs w:val="16"/>
                              </w:rPr>
                              <w:t>x-ray</w:t>
                            </w:r>
                            <w:r>
                              <w:rPr>
                                <w:sz w:val="16"/>
                                <w:szCs w:val="16"/>
                              </w:rPr>
                              <w:t xml:space="preserve"> </w:t>
                            </w:r>
                            <w:r w:rsidR="00236FD7">
                              <w:rPr>
                                <w:sz w:val="16"/>
                                <w:szCs w:val="16"/>
                              </w:rPr>
                              <w:t xml:space="preserve">attenuating </w:t>
                            </w:r>
                            <w:r>
                              <w:rPr>
                                <w:sz w:val="16"/>
                                <w:szCs w:val="16"/>
                              </w:rPr>
                              <w:t>(</w:t>
                            </w:r>
                            <w:r w:rsidR="00236FD7">
                              <w:rPr>
                                <w:sz w:val="16"/>
                                <w:szCs w:val="16"/>
                              </w:rPr>
                              <w:t xml:space="preserve">i.e., </w:t>
                            </w:r>
                            <w:r>
                              <w:rPr>
                                <w:sz w:val="16"/>
                                <w:szCs w:val="16"/>
                              </w:rPr>
                              <w:t>higher average atomic number</w:t>
                            </w:r>
                            <w:r w:rsidR="00236FD7">
                              <w:rPr>
                                <w:sz w:val="16"/>
                                <w:szCs w:val="16"/>
                              </w:rPr>
                              <w:t xml:space="preserve"> and/or </w:t>
                            </w:r>
                            <w:r>
                              <w:rPr>
                                <w:sz w:val="16"/>
                                <w:szCs w:val="16"/>
                              </w:rPr>
                              <w:t xml:space="preserve">more dense). </w:t>
                            </w:r>
                            <w:r w:rsidR="00513A63">
                              <w:rPr>
                                <w:sz w:val="16"/>
                                <w:szCs w:val="16"/>
                              </w:rPr>
                              <w:t xml:space="preserve">All scale bars are 1 mm. </w:t>
                            </w:r>
                            <w:r>
                              <w:rPr>
                                <w:sz w:val="16"/>
                                <w:szCs w:val="16"/>
                              </w:rPr>
                              <w:t xml:space="preserve">(a) </w:t>
                            </w:r>
                            <w:r w:rsidR="00513A63">
                              <w:rPr>
                                <w:sz w:val="16"/>
                                <w:szCs w:val="16"/>
                              </w:rPr>
                              <w:t xml:space="preserve">agglutinate; </w:t>
                            </w:r>
                            <w:r>
                              <w:rPr>
                                <w:sz w:val="16"/>
                                <w:szCs w:val="16"/>
                              </w:rPr>
                              <w:t xml:space="preserve">(b) </w:t>
                            </w:r>
                            <w:r w:rsidR="00513A63">
                              <w:rPr>
                                <w:sz w:val="16"/>
                                <w:szCs w:val="16"/>
                              </w:rPr>
                              <w:t xml:space="preserve">soil breccia; </w:t>
                            </w:r>
                            <w:r>
                              <w:rPr>
                                <w:sz w:val="16"/>
                                <w:szCs w:val="16"/>
                              </w:rPr>
                              <w:t>(c)</w:t>
                            </w:r>
                            <w:r w:rsidR="00513A63">
                              <w:rPr>
                                <w:sz w:val="16"/>
                                <w:szCs w:val="16"/>
                              </w:rPr>
                              <w:t xml:space="preserve"> regolith breccia; </w:t>
                            </w:r>
                            <w:r>
                              <w:rPr>
                                <w:sz w:val="16"/>
                                <w:szCs w:val="16"/>
                              </w:rPr>
                              <w:t xml:space="preserve">(d) </w:t>
                            </w:r>
                            <w:r w:rsidR="00513A63">
                              <w:rPr>
                                <w:sz w:val="16"/>
                                <w:szCs w:val="16"/>
                              </w:rPr>
                              <w:t xml:space="preserve">impact melt;  (e) ilmenite-lath IMB (vesicular); </w:t>
                            </w:r>
                            <w:r>
                              <w:rPr>
                                <w:sz w:val="16"/>
                                <w:szCs w:val="16"/>
                              </w:rPr>
                              <w:t>(f) poik</w:t>
                            </w:r>
                            <w:r w:rsidR="00B02943">
                              <w:rPr>
                                <w:sz w:val="16"/>
                                <w:szCs w:val="16"/>
                              </w:rPr>
                              <w:t>i</w:t>
                            </w:r>
                            <w:r>
                              <w:rPr>
                                <w:sz w:val="16"/>
                                <w:szCs w:val="16"/>
                              </w:rPr>
                              <w:t xml:space="preserve">litic ilmenite IMB (granulitic texture); (g) high-Ti basalt.; (h) high-Ti basalt.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64EF5" id="Text Box 4" o:spid="_x0000_s1027" type="#_x0000_t202" style="position:absolute;left:0;text-align:left;margin-left:415.3pt;margin-top:326.4pt;width:466.5pt;height:35.7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" fillcolor="white [3201]" strokeweight=".5pt">
                <v:textbox>
                  <w:txbxContent>
                    <w:p w:rsidR="003D244A" w:rsidRPr="00B27143" w:rsidRDefault="003D244A" w:rsidP="003D244A">
                      <w:pPr>
                        <w:rPr>
                          <w:sz w:val="16"/>
                          <w:szCs w:val="16"/>
                        </w:rPr>
                      </w:pPr>
                      <w:r>
                        <w:rPr>
                          <w:sz w:val="16"/>
                          <w:szCs w:val="16"/>
                        </w:rPr>
                        <w:t>Figure 2</w:t>
                      </w:r>
                      <w:r w:rsidRPr="00B27143">
                        <w:rPr>
                          <w:sz w:val="16"/>
                          <w:szCs w:val="16"/>
                        </w:rPr>
                        <w:t xml:space="preserve">: </w:t>
                      </w:r>
                      <w:r>
                        <w:rPr>
                          <w:sz w:val="16"/>
                          <w:szCs w:val="16"/>
                        </w:rPr>
                        <w:t xml:space="preserve">Representative XCT slices of the different </w:t>
                      </w:r>
                      <w:r w:rsidR="00513A63">
                        <w:rPr>
                          <w:sz w:val="16"/>
                          <w:szCs w:val="16"/>
                        </w:rPr>
                        <w:t>lithologies observed in 73002</w:t>
                      </w:r>
                      <w:r>
                        <w:rPr>
                          <w:sz w:val="16"/>
                          <w:szCs w:val="16"/>
                        </w:rPr>
                        <w:t xml:space="preserve">. Brighter phases are more </w:t>
                      </w:r>
                      <w:r w:rsidR="00A91619">
                        <w:rPr>
                          <w:sz w:val="16"/>
                          <w:szCs w:val="16"/>
                        </w:rPr>
                        <w:t>x-ray</w:t>
                      </w:r>
                      <w:r>
                        <w:rPr>
                          <w:sz w:val="16"/>
                          <w:szCs w:val="16"/>
                        </w:rPr>
                        <w:t xml:space="preserve"> </w:t>
                      </w:r>
                      <w:r w:rsidR="00236FD7">
                        <w:rPr>
                          <w:sz w:val="16"/>
                          <w:szCs w:val="16"/>
                        </w:rPr>
                        <w:t xml:space="preserve">attenuating </w:t>
                      </w:r>
                      <w:r>
                        <w:rPr>
                          <w:sz w:val="16"/>
                          <w:szCs w:val="16"/>
                        </w:rPr>
                        <w:t>(</w:t>
                      </w:r>
                      <w:r w:rsidR="00236FD7">
                        <w:rPr>
                          <w:sz w:val="16"/>
                          <w:szCs w:val="16"/>
                        </w:rPr>
                        <w:t xml:space="preserve">i.e., </w:t>
                      </w:r>
                      <w:r>
                        <w:rPr>
                          <w:sz w:val="16"/>
                          <w:szCs w:val="16"/>
                        </w:rPr>
                        <w:t>higher average atomic number</w:t>
                      </w:r>
                      <w:r w:rsidR="00236FD7">
                        <w:rPr>
                          <w:sz w:val="16"/>
                          <w:szCs w:val="16"/>
                        </w:rPr>
                        <w:t xml:space="preserve"> and/or </w:t>
                      </w:r>
                      <w:r>
                        <w:rPr>
                          <w:sz w:val="16"/>
                          <w:szCs w:val="16"/>
                        </w:rPr>
                        <w:t xml:space="preserve">more dense). </w:t>
                      </w:r>
                      <w:r w:rsidR="00513A63">
                        <w:rPr>
                          <w:sz w:val="16"/>
                          <w:szCs w:val="16"/>
                        </w:rPr>
                        <w:t xml:space="preserve">All scale bars are 1 mm. </w:t>
                      </w:r>
                      <w:r>
                        <w:rPr>
                          <w:sz w:val="16"/>
                          <w:szCs w:val="16"/>
                        </w:rPr>
                        <w:t xml:space="preserve">(a) </w:t>
                      </w:r>
                      <w:r w:rsidR="00513A63">
                        <w:rPr>
                          <w:sz w:val="16"/>
                          <w:szCs w:val="16"/>
                        </w:rPr>
                        <w:t xml:space="preserve">agglutinate; </w:t>
                      </w:r>
                      <w:r>
                        <w:rPr>
                          <w:sz w:val="16"/>
                          <w:szCs w:val="16"/>
                        </w:rPr>
                        <w:t xml:space="preserve">(b) </w:t>
                      </w:r>
                      <w:r w:rsidR="00513A63">
                        <w:rPr>
                          <w:sz w:val="16"/>
                          <w:szCs w:val="16"/>
                        </w:rPr>
                        <w:t xml:space="preserve">soil breccia; </w:t>
                      </w:r>
                      <w:r>
                        <w:rPr>
                          <w:sz w:val="16"/>
                          <w:szCs w:val="16"/>
                        </w:rPr>
                        <w:t>(c)</w:t>
                      </w:r>
                      <w:r w:rsidR="00513A63">
                        <w:rPr>
                          <w:sz w:val="16"/>
                          <w:szCs w:val="16"/>
                        </w:rPr>
                        <w:t xml:space="preserve"> regolith breccia; </w:t>
                      </w:r>
                      <w:r>
                        <w:rPr>
                          <w:sz w:val="16"/>
                          <w:szCs w:val="16"/>
                        </w:rPr>
                        <w:t xml:space="preserve">(d) </w:t>
                      </w:r>
                      <w:r w:rsidR="00513A63">
                        <w:rPr>
                          <w:sz w:val="16"/>
                          <w:szCs w:val="16"/>
                        </w:rPr>
                        <w:t xml:space="preserve">impact melt; </w:t>
                      </w:r>
                      <w:r w:rsidR="00513A63">
                        <w:rPr>
                          <w:sz w:val="16"/>
                          <w:szCs w:val="16"/>
                        </w:rPr>
                        <w:t xml:space="preserve"> (e) ilmenite-lath IMB (vesicular); </w:t>
                      </w:r>
                      <w:r>
                        <w:rPr>
                          <w:sz w:val="16"/>
                          <w:szCs w:val="16"/>
                        </w:rPr>
                        <w:t>(f) poik</w:t>
                      </w:r>
                      <w:r w:rsidR="00B02943">
                        <w:rPr>
                          <w:sz w:val="16"/>
                          <w:szCs w:val="16"/>
                        </w:rPr>
                        <w:t>i</w:t>
                      </w:r>
                      <w:r>
                        <w:rPr>
                          <w:sz w:val="16"/>
                          <w:szCs w:val="16"/>
                        </w:rPr>
                        <w:t xml:space="preserve">litic ilmenite IMB (granulitic texture); (g) </w:t>
                      </w:r>
                      <w:r>
                        <w:rPr>
                          <w:sz w:val="16"/>
                          <w:szCs w:val="16"/>
                        </w:rPr>
                        <w:t>high-Ti basalt.</w:t>
                      </w:r>
                      <w:r>
                        <w:rPr>
                          <w:sz w:val="16"/>
                          <w:szCs w:val="16"/>
                        </w:rPr>
                        <w:t xml:space="preserve">; (h) high-Ti basalt. </w:t>
                      </w:r>
                    </w:p>
                  </w:txbxContent>
                </v:textbox>
                <w10:wrap type="square" anchorx="margin"/>
              </v:shape>
            </w:pict>
          </mc:Fallback>
        </mc:AlternateContent>
      </w:r>
      <w:r w:rsidR="004025EC">
        <w:rPr>
          <w:sz w:val="20"/>
        </w:rPr>
        <w:t xml:space="preserve">The first sample opened as part of the ANGSA program was drive tube 73002. This </w:t>
      </w:r>
      <w:r w:rsidR="00E309CC">
        <w:rPr>
          <w:sz w:val="20"/>
        </w:rPr>
        <w:t>was originally</w:t>
      </w:r>
      <w:r w:rsidR="004025EC">
        <w:rPr>
          <w:sz w:val="20"/>
        </w:rPr>
        <w:t xml:space="preserve"> a </w:t>
      </w:r>
      <w:r w:rsidR="00E309CC">
        <w:rPr>
          <w:sz w:val="20"/>
        </w:rPr>
        <w:t>~</w:t>
      </w:r>
      <w:r w:rsidR="004025EC">
        <w:rPr>
          <w:sz w:val="20"/>
        </w:rPr>
        <w:t xml:space="preserve">30 cm long, 4 cm diameter drive tube collected on a landslide deposit near Lara Crater at the Apollo 17 landing site. It was part of a </w:t>
      </w:r>
      <w:r w:rsidR="00E309CC">
        <w:rPr>
          <w:sz w:val="20"/>
        </w:rPr>
        <w:t>~</w:t>
      </w:r>
      <w:r w:rsidR="004025EC">
        <w:rPr>
          <w:sz w:val="20"/>
        </w:rPr>
        <w:t>60 cm long double drive tube collected, and the bottom half of the tube (73001) was sealed under vacuum on the Moon</w:t>
      </w:r>
      <w:r w:rsidR="003F7F17">
        <w:rPr>
          <w:sz w:val="20"/>
        </w:rPr>
        <w:t xml:space="preserve"> [2]. </w:t>
      </w:r>
      <w:r w:rsidR="004025EC">
        <w:rPr>
          <w:sz w:val="20"/>
        </w:rPr>
        <w:t>Prior to opening sample</w:t>
      </w:r>
      <w:r w:rsidR="003F7F17">
        <w:rPr>
          <w:sz w:val="20"/>
        </w:rPr>
        <w:t xml:space="preserve"> 73002</w:t>
      </w:r>
      <w:r w:rsidR="004025EC">
        <w:rPr>
          <w:sz w:val="20"/>
        </w:rPr>
        <w:t xml:space="preserve">, </w:t>
      </w:r>
      <w:r w:rsidR="001A35D5">
        <w:rPr>
          <w:sz w:val="20"/>
        </w:rPr>
        <w:t xml:space="preserve">the sample was imaged with a </w:t>
      </w:r>
      <w:r w:rsidR="003F7F17">
        <w:rPr>
          <w:sz w:val="20"/>
        </w:rPr>
        <w:t>high resolution X-ray Computed Tomography</w:t>
      </w:r>
      <w:r w:rsidR="001A35D5">
        <w:rPr>
          <w:sz w:val="20"/>
        </w:rPr>
        <w:t xml:space="preserve"> (XCT) scan of the entire tube</w:t>
      </w:r>
      <w:r w:rsidR="00637304">
        <w:rPr>
          <w:sz w:val="20"/>
        </w:rPr>
        <w:t xml:space="preserve"> [3], which provided invaluable information during the dissection process [4]</w:t>
      </w:r>
      <w:r w:rsidR="001A35D5">
        <w:rPr>
          <w:sz w:val="20"/>
        </w:rPr>
        <w:t xml:space="preserve">. </w:t>
      </w:r>
      <w:r w:rsidR="00A75A11">
        <w:rPr>
          <w:sz w:val="20"/>
        </w:rPr>
        <w:t xml:space="preserve">In addition to the pre-dissection XCT scans, individual &gt;4 mm particles were separated </w:t>
      </w:r>
      <w:r w:rsidR="00A75A11">
        <w:rPr>
          <w:sz w:val="20"/>
        </w:rPr>
        <w:lastRenderedPageBreak/>
        <w:t xml:space="preserve">from the 73002 regolith during processing and scanned at high resolution by XCT. </w:t>
      </w:r>
      <w:r w:rsidR="001A35D5">
        <w:rPr>
          <w:sz w:val="20"/>
        </w:rPr>
        <w:t xml:space="preserve">Here we </w:t>
      </w:r>
      <w:r w:rsidR="00A75A11">
        <w:rPr>
          <w:sz w:val="20"/>
        </w:rPr>
        <w:t>present</w:t>
      </w:r>
      <w:r w:rsidR="00637304">
        <w:rPr>
          <w:sz w:val="20"/>
        </w:rPr>
        <w:t xml:space="preserve"> the </w:t>
      </w:r>
      <w:r w:rsidR="008643F6">
        <w:rPr>
          <w:sz w:val="20"/>
        </w:rPr>
        <w:t xml:space="preserve">initial </w:t>
      </w:r>
      <w:r w:rsidR="00A75A11">
        <w:rPr>
          <w:sz w:val="20"/>
        </w:rPr>
        <w:t>lithologic</w:t>
      </w:r>
      <w:r w:rsidR="00637304">
        <w:rPr>
          <w:sz w:val="20"/>
        </w:rPr>
        <w:t xml:space="preserve"> classification of 134 individual</w:t>
      </w:r>
      <w:r w:rsidR="00A75A11">
        <w:rPr>
          <w:sz w:val="20"/>
        </w:rPr>
        <w:t xml:space="preserve"> &gt;4 mm</w:t>
      </w:r>
      <w:r w:rsidR="00637304">
        <w:rPr>
          <w:sz w:val="20"/>
        </w:rPr>
        <w:t xml:space="preserve"> rock fragments </w:t>
      </w:r>
      <w:r w:rsidR="00A75A11">
        <w:rPr>
          <w:sz w:val="20"/>
        </w:rPr>
        <w:t xml:space="preserve">separated from the </w:t>
      </w:r>
      <w:r w:rsidR="001A35D5">
        <w:rPr>
          <w:sz w:val="20"/>
        </w:rPr>
        <w:t>73002</w:t>
      </w:r>
      <w:r w:rsidR="00A75A11">
        <w:rPr>
          <w:sz w:val="20"/>
        </w:rPr>
        <w:t xml:space="preserve"> core during the dissection process.</w:t>
      </w:r>
    </w:p>
    <w:p w:rsidR="00C22CA2" w:rsidRDefault="00694B6E" w:rsidP="00694B6E">
      <w:pPr>
        <w:spacing w:line="240" w:lineRule="atLeast"/>
        <w:ind w:firstLine="288"/>
        <w:jc w:val="both"/>
        <w:rPr>
          <w:sz w:val="20"/>
        </w:rPr>
      </w:pPr>
      <w:r>
        <w:rPr>
          <w:b/>
          <w:sz w:val="20"/>
        </w:rPr>
        <w:t>Methodology</w:t>
      </w:r>
      <w:r w:rsidR="00C22CA2" w:rsidRPr="00C22CA2">
        <w:rPr>
          <w:b/>
          <w:sz w:val="20"/>
        </w:rPr>
        <w:t>:</w:t>
      </w:r>
      <w:r w:rsidR="003F7F17">
        <w:rPr>
          <w:sz w:val="20"/>
        </w:rPr>
        <w:t xml:space="preserve"> </w:t>
      </w:r>
      <w:r w:rsidR="00A75A11">
        <w:rPr>
          <w:sz w:val="20"/>
        </w:rPr>
        <w:t>Drive tube 73002 was manually dissected in 0.5 cm depth intervals in three passes (Fig. 1) [</w:t>
      </w:r>
      <w:r w:rsidR="00A91619">
        <w:rPr>
          <w:sz w:val="20"/>
        </w:rPr>
        <w:t>4,</w:t>
      </w:r>
      <w:r w:rsidR="00A75A11">
        <w:rPr>
          <w:sz w:val="20"/>
        </w:rPr>
        <w:t xml:space="preserve">5]. Each interval from pass 1 and 2 was sieved to &lt;1 mm and &gt;1 mm size fractions, and &gt;1 mm particles were further manually subdivided into 1-2, 2-4, 4-10, and &gt;10 mm size fractions. Pass 3 was not sieved, but &gt;10 mm clasts were separated manually. Each 4-10 mm and &gt;10 mm fragment was individually weighed, triply bagged in Teflon, and scanned by XCT. There </w:t>
      </w:r>
      <w:r w:rsidR="008643F6">
        <w:rPr>
          <w:sz w:val="20"/>
        </w:rPr>
        <w:t>are 60 rock fragments in Pass 1</w:t>
      </w:r>
      <w:r w:rsidR="008D1238">
        <w:rPr>
          <w:sz w:val="20"/>
        </w:rPr>
        <w:t>,</w:t>
      </w:r>
      <w:r w:rsidR="008643F6">
        <w:rPr>
          <w:sz w:val="20"/>
        </w:rPr>
        <w:t xml:space="preserve"> 64 rock fragments in Pass 2 (from the 4-10 mm and &gt;10 mm size fractions)</w:t>
      </w:r>
      <w:r w:rsidR="008D1238">
        <w:rPr>
          <w:sz w:val="20"/>
        </w:rPr>
        <w:t>,</w:t>
      </w:r>
      <w:bookmarkStart w:id="0" w:name="_GoBack"/>
      <w:bookmarkEnd w:id="0"/>
      <w:r w:rsidR="008643F6">
        <w:rPr>
          <w:sz w:val="20"/>
        </w:rPr>
        <w:t xml:space="preserve"> and 8 rock fragments from Pass 3 (&gt;10 mm size fraction).</w:t>
      </w:r>
    </w:p>
    <w:p w:rsidR="004F29EA" w:rsidRDefault="002B65E6" w:rsidP="00694B6E">
      <w:pPr>
        <w:spacing w:line="240" w:lineRule="atLeast"/>
        <w:ind w:firstLine="288"/>
        <w:jc w:val="both"/>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8.3pt;margin-top:2.85pt;width:315.15pt;height:369.6pt;z-index:251677696;mso-position-horizontal-relative:text;mso-position-vertical-relative:text">
            <v:imagedata r:id="rId15" o:title="Zeigler_LVT figure_4x4"/>
            <w10:wrap type="square"/>
          </v:shape>
        </w:pict>
      </w:r>
      <w:r w:rsidR="008643F6">
        <w:rPr>
          <w:sz w:val="20"/>
        </w:rPr>
        <w:t xml:space="preserve">Each individually bagged rock fragment was scanned using the </w:t>
      </w:r>
      <w:r w:rsidR="004F29EA" w:rsidRPr="00521E26">
        <w:rPr>
          <w:sz w:val="20"/>
        </w:rPr>
        <w:t>180 kV nano-focus transmission sourc</w:t>
      </w:r>
      <w:r w:rsidR="004F29EA">
        <w:rPr>
          <w:sz w:val="20"/>
        </w:rPr>
        <w:t xml:space="preserve">e on the </w:t>
      </w:r>
      <w:r w:rsidR="004F29EA" w:rsidRPr="00521E26">
        <w:rPr>
          <w:sz w:val="20"/>
        </w:rPr>
        <w:t>Nikon XTH 320 XCT</w:t>
      </w:r>
      <w:r w:rsidR="004F29EA">
        <w:rPr>
          <w:sz w:val="20"/>
        </w:rPr>
        <w:t xml:space="preserve"> system at NASA Johnson Space Center [</w:t>
      </w:r>
      <w:r w:rsidR="008643F6">
        <w:rPr>
          <w:sz w:val="20"/>
        </w:rPr>
        <w:t>6</w:t>
      </w:r>
      <w:r w:rsidR="004F29EA">
        <w:rPr>
          <w:sz w:val="20"/>
        </w:rPr>
        <w:t xml:space="preserve">]. </w:t>
      </w:r>
      <w:r w:rsidR="008643F6">
        <w:rPr>
          <w:sz w:val="20"/>
        </w:rPr>
        <w:t xml:space="preserve">Scanning conditions varied considerably for individual particles, in large part because of the large variation in size (0.008-19.623 g). All scans fell within the following range of scan conditions: 2.8-20.6 </w:t>
      </w:r>
      <w:r w:rsidR="008643F6" w:rsidRPr="00CB0155">
        <w:rPr>
          <w:rFonts w:ascii="Symbol" w:hAnsi="Symbol"/>
          <w:sz w:val="20"/>
        </w:rPr>
        <w:t></w:t>
      </w:r>
      <w:r w:rsidR="008643F6">
        <w:rPr>
          <w:sz w:val="20"/>
        </w:rPr>
        <w:t>m voxel size; 90-155 kV</w:t>
      </w:r>
      <w:r w:rsidR="00CB0155">
        <w:rPr>
          <w:sz w:val="20"/>
        </w:rPr>
        <w:t xml:space="preserve"> voltage</w:t>
      </w:r>
      <w:r w:rsidR="008643F6">
        <w:rPr>
          <w:sz w:val="20"/>
        </w:rPr>
        <w:t xml:space="preserve">; 18-39 </w:t>
      </w:r>
      <w:r w:rsidR="008643F6" w:rsidRPr="00CB0155">
        <w:rPr>
          <w:rFonts w:ascii="Symbol" w:hAnsi="Symbol"/>
          <w:sz w:val="20"/>
        </w:rPr>
        <w:t></w:t>
      </w:r>
      <w:r w:rsidR="008643F6">
        <w:rPr>
          <w:sz w:val="20"/>
        </w:rPr>
        <w:t>A</w:t>
      </w:r>
      <w:r w:rsidR="00CB0155">
        <w:rPr>
          <w:sz w:val="20"/>
        </w:rPr>
        <w:t xml:space="preserve"> current; 1891-3141 projections; and 902-2000 slices.</w:t>
      </w:r>
    </w:p>
    <w:p w:rsidR="00B02943" w:rsidRDefault="00E05068" w:rsidP="00E83A95">
      <w:pPr>
        <w:pStyle w:val="NormalWeb"/>
        <w:shd w:val="clear" w:color="auto" w:fill="FFFFFF"/>
        <w:spacing w:before="0" w:beforeAutospacing="0" w:after="0" w:afterAutospacing="0" w:line="240" w:lineRule="atLeast"/>
        <w:ind w:firstLine="288"/>
        <w:jc w:val="both"/>
        <w:rPr>
          <w:rFonts w:ascii="Times New Roman" w:hAnsi="Times New Roman" w:cs="Times New Roman"/>
          <w:sz w:val="20"/>
        </w:rPr>
      </w:pPr>
      <w:r>
        <w:rPr>
          <w:noProof/>
          <w:sz w:val="20"/>
        </w:rPr>
        <mc:AlternateContent>
          <mc:Choice Requires="wps">
            <w:drawing>
              <wp:anchor distT="0" distB="0" distL="114300" distR="114300" simplePos="0" relativeHeight="251679744" behindDoc="0" locked="0" layoutInCell="1" allowOverlap="1" wp14:anchorId="79ED2612" wp14:editId="19DA7D99">
                <wp:simplePos x="0" y="0"/>
                <wp:positionH relativeFrom="margin">
                  <wp:posOffset>2053116</wp:posOffset>
                </wp:positionH>
                <wp:positionV relativeFrom="paragraph">
                  <wp:posOffset>2607945</wp:posOffset>
                </wp:positionV>
                <wp:extent cx="3959225" cy="700405"/>
                <wp:effectExtent l="0" t="0" r="22225" b="23495"/>
                <wp:wrapSquare wrapText="bothSides"/>
                <wp:docPr id="7" name="Text Box 7"/>
                <wp:cNvGraphicFramePr/>
                <a:graphic xmlns:a="http://schemas.openxmlformats.org/drawingml/2006/main">
                  <a:graphicData uri="http://schemas.microsoft.com/office/word/2010/wordprocessingShape">
                    <wps:wsp>
                      <wps:cNvSpPr txBox="1"/>
                      <wps:spPr>
                        <a:xfrm>
                          <a:off x="0" y="0"/>
                          <a:ext cx="3959225" cy="700405"/>
                        </a:xfrm>
                        <a:prstGeom prst="rect">
                          <a:avLst/>
                        </a:prstGeom>
                        <a:solidFill>
                          <a:schemeClr val="lt1"/>
                        </a:solidFill>
                        <a:ln w="6350">
                          <a:solidFill>
                            <a:prstClr val="black"/>
                          </a:solidFill>
                        </a:ln>
                      </wps:spPr>
                      <wps:txbx>
                        <w:txbxContent>
                          <w:p w:rsidR="00E05068" w:rsidRPr="00B27143" w:rsidRDefault="00E05068" w:rsidP="00E05068">
                            <w:pPr>
                              <w:rPr>
                                <w:sz w:val="16"/>
                                <w:szCs w:val="16"/>
                              </w:rPr>
                            </w:pPr>
                            <w:r>
                              <w:rPr>
                                <w:sz w:val="16"/>
                                <w:szCs w:val="16"/>
                              </w:rPr>
                              <w:t>Figure 3</w:t>
                            </w:r>
                            <w:r w:rsidRPr="00B27143">
                              <w:rPr>
                                <w:sz w:val="16"/>
                                <w:szCs w:val="16"/>
                              </w:rPr>
                              <w:t xml:space="preserve">: </w:t>
                            </w:r>
                            <w:r>
                              <w:rPr>
                                <w:sz w:val="16"/>
                                <w:szCs w:val="16"/>
                              </w:rPr>
                              <w:t xml:space="preserve">Representative XCT slices of the four members of the “VLT basalt” subgroup. In each fragment, the darkest major phase is likely plagioclase, the medium grey phase pyroxene, and brighter grey (when present) phase is olivine. Very bright phases (FeTiCr oxides) are largely absent from all particles. The texture in (c) is consistent with a monomict breccia; all others appear to </w:t>
                            </w:r>
                            <w:r w:rsidR="00093B2A">
                              <w:rPr>
                                <w:sz w:val="16"/>
                                <w:szCs w:val="16"/>
                              </w:rPr>
                              <w:t>have</w:t>
                            </w:r>
                            <w:r>
                              <w:rPr>
                                <w:sz w:val="16"/>
                                <w:szCs w:val="16"/>
                              </w:rPr>
                              <w:t xml:space="preserve"> igneous textures. All scale bars are 1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D2612" id="Text Box 7" o:spid="_x0000_s1028" type="#_x0000_t202" style="position:absolute;left:0;text-align:left;margin-left:161.65pt;margin-top:205.35pt;width:311.75pt;height:55.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" fillcolor="white [3201]" strokeweight=".5pt">
                <v:textbox>
                  <w:txbxContent>
                    <w:p w:rsidR="00E05068" w:rsidRPr="00B27143" w:rsidRDefault="00E05068" w:rsidP="00E05068">
                      <w:pPr>
                        <w:rPr>
                          <w:sz w:val="16"/>
                          <w:szCs w:val="16"/>
                        </w:rPr>
                      </w:pPr>
                      <w:r>
                        <w:rPr>
                          <w:sz w:val="16"/>
                          <w:szCs w:val="16"/>
                        </w:rPr>
                        <w:t xml:space="preserve">Figure </w:t>
                      </w:r>
                      <w:r>
                        <w:rPr>
                          <w:sz w:val="16"/>
                          <w:szCs w:val="16"/>
                        </w:rPr>
                        <w:t>3</w:t>
                      </w:r>
                      <w:r w:rsidRPr="00B27143">
                        <w:rPr>
                          <w:sz w:val="16"/>
                          <w:szCs w:val="16"/>
                        </w:rPr>
                        <w:t xml:space="preserve">: </w:t>
                      </w:r>
                      <w:r>
                        <w:rPr>
                          <w:sz w:val="16"/>
                          <w:szCs w:val="16"/>
                        </w:rPr>
                        <w:t xml:space="preserve">Representative XCT slices of the </w:t>
                      </w:r>
                      <w:r>
                        <w:rPr>
                          <w:sz w:val="16"/>
                          <w:szCs w:val="16"/>
                        </w:rPr>
                        <w:t xml:space="preserve">four members of the “VLT basalt” subgroup. In each fragment, the darkest major phase is likely plagioclase, the medium grey phase pyroxene, and brighter grey (when present) phase is olivine. Very bright phases (FeTiCr oxides) are largely absent from all particles. The texture in (c) is consistent with a monomict breccia; all others appear to </w:t>
                      </w:r>
                      <w:r w:rsidR="00093B2A">
                        <w:rPr>
                          <w:sz w:val="16"/>
                          <w:szCs w:val="16"/>
                        </w:rPr>
                        <w:t>have</w:t>
                      </w:r>
                      <w:r>
                        <w:rPr>
                          <w:sz w:val="16"/>
                          <w:szCs w:val="16"/>
                        </w:rPr>
                        <w:t xml:space="preserve"> igneous textures. All scale bars are 1 mm.</w:t>
                      </w:r>
                    </w:p>
                  </w:txbxContent>
                </v:textbox>
                <w10:wrap type="square" anchorx="margin"/>
              </v:shape>
            </w:pict>
          </mc:Fallback>
        </mc:AlternateContent>
      </w:r>
      <w:r w:rsidR="00CF3049" w:rsidRPr="00CF3049">
        <w:rPr>
          <w:rFonts w:ascii="Times New Roman" w:hAnsi="Times New Roman" w:cs="Times New Roman"/>
          <w:b/>
          <w:sz w:val="20"/>
        </w:rPr>
        <w:t>Results</w:t>
      </w:r>
      <w:r w:rsidR="00462828">
        <w:rPr>
          <w:rFonts w:ascii="Times New Roman" w:hAnsi="Times New Roman" w:cs="Times New Roman"/>
          <w:b/>
          <w:sz w:val="20"/>
        </w:rPr>
        <w:t xml:space="preserve"> and Discussion</w:t>
      </w:r>
      <w:r w:rsidR="00CF3049" w:rsidRPr="00CF3049">
        <w:rPr>
          <w:rFonts w:ascii="Times New Roman" w:hAnsi="Times New Roman" w:cs="Times New Roman"/>
          <w:b/>
          <w:sz w:val="20"/>
        </w:rPr>
        <w:t>:</w:t>
      </w:r>
      <w:r w:rsidR="00462828">
        <w:rPr>
          <w:rFonts w:ascii="Times New Roman" w:hAnsi="Times New Roman" w:cs="Times New Roman"/>
          <w:sz w:val="20"/>
        </w:rPr>
        <w:t xml:space="preserve"> </w:t>
      </w:r>
      <w:r w:rsidR="00B02943">
        <w:rPr>
          <w:rFonts w:ascii="Times New Roman" w:hAnsi="Times New Roman" w:cs="Times New Roman"/>
          <w:sz w:val="20"/>
        </w:rPr>
        <w:t>The 132</w:t>
      </w:r>
      <w:r w:rsidR="00E83A95">
        <w:rPr>
          <w:rFonts w:ascii="Times New Roman" w:hAnsi="Times New Roman" w:cs="Times New Roman"/>
          <w:sz w:val="20"/>
        </w:rPr>
        <w:t xml:space="preserve"> r</w:t>
      </w:r>
      <w:r w:rsidR="00B02943">
        <w:rPr>
          <w:rFonts w:ascii="Times New Roman" w:hAnsi="Times New Roman" w:cs="Times New Roman"/>
          <w:sz w:val="20"/>
        </w:rPr>
        <w:t>ock fragments from sample 73002</w:t>
      </w:r>
      <w:r w:rsidR="001E6CF0">
        <w:rPr>
          <w:rFonts w:ascii="Times New Roman" w:hAnsi="Times New Roman" w:cs="Times New Roman"/>
          <w:sz w:val="20"/>
        </w:rPr>
        <w:t xml:space="preserve"> fall into </w:t>
      </w:r>
      <w:r w:rsidR="00236FD7">
        <w:rPr>
          <w:rFonts w:ascii="Times New Roman" w:hAnsi="Times New Roman" w:cs="Times New Roman"/>
          <w:sz w:val="20"/>
        </w:rPr>
        <w:t xml:space="preserve">the </w:t>
      </w:r>
      <w:r w:rsidR="001E6CF0">
        <w:rPr>
          <w:rFonts w:ascii="Times New Roman" w:hAnsi="Times New Roman" w:cs="Times New Roman"/>
          <w:sz w:val="20"/>
        </w:rPr>
        <w:t xml:space="preserve">following general </w:t>
      </w:r>
      <w:r w:rsidR="008628D3">
        <w:rPr>
          <w:rFonts w:ascii="Times New Roman" w:hAnsi="Times New Roman" w:cs="Times New Roman"/>
          <w:sz w:val="20"/>
        </w:rPr>
        <w:t>categories</w:t>
      </w:r>
      <w:r w:rsidR="001E6CF0">
        <w:rPr>
          <w:rFonts w:ascii="Times New Roman" w:hAnsi="Times New Roman" w:cs="Times New Roman"/>
          <w:sz w:val="20"/>
        </w:rPr>
        <w:t xml:space="preserve">: </w:t>
      </w:r>
      <w:r w:rsidR="008628D3">
        <w:rPr>
          <w:rFonts w:ascii="Times New Roman" w:hAnsi="Times New Roman" w:cs="Times New Roman"/>
          <w:sz w:val="20"/>
        </w:rPr>
        <w:t>agglutinates (n = 6); basalts (13); impact melts (5); impact melt breccias (</w:t>
      </w:r>
      <w:r w:rsidR="001D1B51">
        <w:rPr>
          <w:rFonts w:ascii="Times New Roman" w:hAnsi="Times New Roman" w:cs="Times New Roman"/>
          <w:sz w:val="20"/>
        </w:rPr>
        <w:t xml:space="preserve">IMB; </w:t>
      </w:r>
      <w:r w:rsidR="008628D3">
        <w:rPr>
          <w:rFonts w:ascii="Times New Roman" w:hAnsi="Times New Roman" w:cs="Times New Roman"/>
          <w:sz w:val="20"/>
        </w:rPr>
        <w:t>42); regolith breccias (62); and soil b</w:t>
      </w:r>
      <w:r w:rsidR="00B02943">
        <w:rPr>
          <w:rFonts w:ascii="Times New Roman" w:hAnsi="Times New Roman" w:cs="Times New Roman"/>
          <w:sz w:val="20"/>
        </w:rPr>
        <w:t>reccias (4); s</w:t>
      </w:r>
      <w:r w:rsidR="008628D3">
        <w:rPr>
          <w:rFonts w:ascii="Times New Roman" w:hAnsi="Times New Roman" w:cs="Times New Roman"/>
          <w:sz w:val="20"/>
        </w:rPr>
        <w:t xml:space="preserve">ee Figure </w:t>
      </w:r>
      <w:r w:rsidR="00B27526">
        <w:rPr>
          <w:rFonts w:ascii="Times New Roman" w:hAnsi="Times New Roman" w:cs="Times New Roman"/>
          <w:sz w:val="20"/>
        </w:rPr>
        <w:t>2</w:t>
      </w:r>
      <w:r w:rsidR="008628D3">
        <w:rPr>
          <w:rFonts w:ascii="Times New Roman" w:hAnsi="Times New Roman" w:cs="Times New Roman"/>
          <w:sz w:val="20"/>
        </w:rPr>
        <w:t xml:space="preserve"> for representative examples of each lithology. </w:t>
      </w:r>
      <w:r w:rsidR="00B27526">
        <w:rPr>
          <w:rFonts w:ascii="Times New Roman" w:hAnsi="Times New Roman" w:cs="Times New Roman"/>
          <w:sz w:val="20"/>
        </w:rPr>
        <w:t xml:space="preserve">Within </w:t>
      </w:r>
      <w:r w:rsidR="00FB2B83">
        <w:rPr>
          <w:rFonts w:ascii="Times New Roman" w:hAnsi="Times New Roman" w:cs="Times New Roman"/>
          <w:sz w:val="20"/>
        </w:rPr>
        <w:t>most</w:t>
      </w:r>
      <w:r w:rsidR="00B27526">
        <w:rPr>
          <w:rFonts w:ascii="Times New Roman" w:hAnsi="Times New Roman" w:cs="Times New Roman"/>
          <w:sz w:val="20"/>
        </w:rPr>
        <w:t xml:space="preserve"> of these broad lithologic groups are recognizable subgroups. For example, a significant </w:t>
      </w:r>
      <w:r w:rsidR="001D1B51">
        <w:rPr>
          <w:rFonts w:ascii="Times New Roman" w:hAnsi="Times New Roman" w:cs="Times New Roman"/>
          <w:sz w:val="20"/>
        </w:rPr>
        <w:t>portion</w:t>
      </w:r>
      <w:r w:rsidR="00B27526">
        <w:rPr>
          <w:rFonts w:ascii="Times New Roman" w:hAnsi="Times New Roman" w:cs="Times New Roman"/>
          <w:sz w:val="20"/>
        </w:rPr>
        <w:t xml:space="preserve"> of regolith breccia fragments contain some agglutinate-like glass (</w:t>
      </w:r>
      <w:r w:rsidR="001A43CB">
        <w:rPr>
          <w:rFonts w:ascii="Times New Roman" w:hAnsi="Times New Roman" w:cs="Times New Roman"/>
          <w:sz w:val="20"/>
        </w:rPr>
        <w:t xml:space="preserve">n = </w:t>
      </w:r>
      <w:r w:rsidR="00B27526">
        <w:rPr>
          <w:rFonts w:ascii="Times New Roman" w:hAnsi="Times New Roman" w:cs="Times New Roman"/>
          <w:sz w:val="20"/>
        </w:rPr>
        <w:t>9) or are dilithologic (7) because they contain a single large clast (~50% or more by volume). Subgroups can be based on similarities to previously identified lunar lithologies, such as high-Ti bas</w:t>
      </w:r>
      <w:r w:rsidR="001A43CB">
        <w:rPr>
          <w:rFonts w:ascii="Times New Roman" w:hAnsi="Times New Roman" w:cs="Times New Roman"/>
          <w:sz w:val="20"/>
        </w:rPr>
        <w:t>alts (</w:t>
      </w:r>
      <w:r w:rsidR="00B27526">
        <w:rPr>
          <w:rFonts w:ascii="Times New Roman" w:hAnsi="Times New Roman" w:cs="Times New Roman"/>
          <w:sz w:val="20"/>
        </w:rPr>
        <w:t>9) and VLT basalts (4</w:t>
      </w:r>
      <w:r w:rsidR="00B27143">
        <w:rPr>
          <w:rFonts w:ascii="Times New Roman" w:hAnsi="Times New Roman" w:cs="Times New Roman"/>
          <w:sz w:val="20"/>
        </w:rPr>
        <w:t>; Fig. 3</w:t>
      </w:r>
      <w:r w:rsidR="00B27526">
        <w:rPr>
          <w:rFonts w:ascii="Times New Roman" w:hAnsi="Times New Roman" w:cs="Times New Roman"/>
          <w:sz w:val="20"/>
        </w:rPr>
        <w:t xml:space="preserve">), or based on commonly seen features within the </w:t>
      </w:r>
      <w:r w:rsidR="00FB2B83">
        <w:rPr>
          <w:rFonts w:ascii="Times New Roman" w:hAnsi="Times New Roman" w:cs="Times New Roman"/>
          <w:sz w:val="20"/>
        </w:rPr>
        <w:t>fragments</w:t>
      </w:r>
      <w:r w:rsidR="00B27526">
        <w:rPr>
          <w:rFonts w:ascii="Times New Roman" w:hAnsi="Times New Roman" w:cs="Times New Roman"/>
          <w:sz w:val="20"/>
        </w:rPr>
        <w:t>, such</w:t>
      </w:r>
      <w:r w:rsidR="00B02943">
        <w:rPr>
          <w:rFonts w:ascii="Times New Roman" w:hAnsi="Times New Roman" w:cs="Times New Roman"/>
          <w:sz w:val="20"/>
        </w:rPr>
        <w:t xml:space="preserve"> as poiki</w:t>
      </w:r>
      <w:r w:rsidR="00B27526">
        <w:rPr>
          <w:rFonts w:ascii="Times New Roman" w:hAnsi="Times New Roman" w:cs="Times New Roman"/>
          <w:sz w:val="20"/>
        </w:rPr>
        <w:t xml:space="preserve">litic ilmenite </w:t>
      </w:r>
      <w:r w:rsidR="00FB2B83">
        <w:rPr>
          <w:rFonts w:ascii="Times New Roman" w:hAnsi="Times New Roman" w:cs="Times New Roman"/>
          <w:sz w:val="20"/>
        </w:rPr>
        <w:t xml:space="preserve">IMB </w:t>
      </w:r>
      <w:r w:rsidR="00B27526">
        <w:rPr>
          <w:rFonts w:ascii="Times New Roman" w:hAnsi="Times New Roman" w:cs="Times New Roman"/>
          <w:sz w:val="20"/>
        </w:rPr>
        <w:t xml:space="preserve">(10), ilmenite-lath </w:t>
      </w:r>
      <w:r w:rsidR="00FB2B83">
        <w:rPr>
          <w:rFonts w:ascii="Times New Roman" w:hAnsi="Times New Roman" w:cs="Times New Roman"/>
          <w:sz w:val="20"/>
        </w:rPr>
        <w:t xml:space="preserve">IMB </w:t>
      </w:r>
      <w:r w:rsidR="00B27526">
        <w:rPr>
          <w:rFonts w:ascii="Times New Roman" w:hAnsi="Times New Roman" w:cs="Times New Roman"/>
          <w:sz w:val="20"/>
        </w:rPr>
        <w:t xml:space="preserve">(12), or vesicular IMB </w:t>
      </w:r>
      <w:r w:rsidR="00FB2B83">
        <w:rPr>
          <w:rFonts w:ascii="Times New Roman" w:hAnsi="Times New Roman" w:cs="Times New Roman"/>
          <w:sz w:val="20"/>
        </w:rPr>
        <w:t xml:space="preserve">(11) </w:t>
      </w:r>
      <w:r w:rsidR="00B27526">
        <w:rPr>
          <w:rFonts w:ascii="Times New Roman" w:hAnsi="Times New Roman" w:cs="Times New Roman"/>
          <w:sz w:val="20"/>
        </w:rPr>
        <w:t xml:space="preserve">“groups”. </w:t>
      </w:r>
      <w:r w:rsidR="00B02943">
        <w:rPr>
          <w:rFonts w:ascii="Times New Roman" w:hAnsi="Times New Roman" w:cs="Times New Roman"/>
          <w:sz w:val="20"/>
        </w:rPr>
        <w:t xml:space="preserve">Particles in the same “group” are not necessarily intended to be genetically related, but rather identify particles that are similar and that follow-up studies can classify in more detail [7]. </w:t>
      </w:r>
    </w:p>
    <w:p w:rsidR="001E6CF0" w:rsidRDefault="00B02943" w:rsidP="00E83A95">
      <w:pPr>
        <w:pStyle w:val="NormalWeb"/>
        <w:shd w:val="clear" w:color="auto" w:fill="FFFFFF"/>
        <w:spacing w:before="0" w:beforeAutospacing="0" w:after="0" w:afterAutospacing="0" w:line="240" w:lineRule="atLeast"/>
        <w:ind w:firstLine="288"/>
        <w:jc w:val="both"/>
        <w:rPr>
          <w:rFonts w:ascii="Times New Roman" w:hAnsi="Times New Roman" w:cs="Times New Roman"/>
          <w:sz w:val="20"/>
        </w:rPr>
      </w:pPr>
      <w:r>
        <w:rPr>
          <w:b/>
          <w:sz w:val="20"/>
        </w:rPr>
        <w:t>Conclusion</w:t>
      </w:r>
      <w:r w:rsidRPr="00C22CA2">
        <w:rPr>
          <w:b/>
          <w:sz w:val="20"/>
        </w:rPr>
        <w:t>:</w:t>
      </w:r>
      <w:r>
        <w:rPr>
          <w:b/>
          <w:sz w:val="20"/>
        </w:rPr>
        <w:t xml:space="preserve"> </w:t>
      </w:r>
      <w:r w:rsidR="00FB2B83">
        <w:rPr>
          <w:rFonts w:ascii="Times New Roman" w:hAnsi="Times New Roman" w:cs="Times New Roman"/>
          <w:sz w:val="20"/>
        </w:rPr>
        <w:t xml:space="preserve">Identification of lithologies based on XCT is a powerful tool, but </w:t>
      </w:r>
      <w:r w:rsidR="001D1B51">
        <w:rPr>
          <w:rFonts w:ascii="Times New Roman" w:hAnsi="Times New Roman" w:cs="Times New Roman"/>
          <w:sz w:val="20"/>
        </w:rPr>
        <w:t xml:space="preserve">a more absolute classification will sometimes require additional textural information from thin sections (e.g., glassy-matrix regolith vs. impact-melt vs. granulitic  breccia) or quantitative mineral compositions </w:t>
      </w:r>
      <w:r w:rsidR="00FB2B83">
        <w:rPr>
          <w:rFonts w:ascii="Times New Roman" w:hAnsi="Times New Roman" w:cs="Times New Roman"/>
          <w:sz w:val="20"/>
        </w:rPr>
        <w:t>(e.g., basalt vs. monomict breccia)</w:t>
      </w:r>
      <w:r w:rsidR="00B27143">
        <w:rPr>
          <w:rFonts w:ascii="Times New Roman" w:hAnsi="Times New Roman" w:cs="Times New Roman"/>
          <w:sz w:val="20"/>
        </w:rPr>
        <w:t xml:space="preserve">. </w:t>
      </w:r>
    </w:p>
    <w:p w:rsidR="006824D5" w:rsidRPr="00E309CC" w:rsidRDefault="00C22CA2" w:rsidP="00E309CC">
      <w:pPr>
        <w:spacing w:line="220" w:lineRule="atLeast"/>
        <w:ind w:firstLine="288"/>
        <w:jc w:val="both"/>
        <w:rPr>
          <w:sz w:val="16"/>
          <w:szCs w:val="16"/>
        </w:rPr>
      </w:pPr>
      <w:r w:rsidRPr="00E309CC">
        <w:rPr>
          <w:b/>
          <w:sz w:val="16"/>
          <w:szCs w:val="16"/>
        </w:rPr>
        <w:t>References:</w:t>
      </w:r>
      <w:r w:rsidRPr="00E309CC">
        <w:rPr>
          <w:sz w:val="16"/>
          <w:szCs w:val="16"/>
        </w:rPr>
        <w:t xml:space="preserve"> [1] </w:t>
      </w:r>
      <w:r w:rsidR="00C01A5A" w:rsidRPr="00E309CC">
        <w:rPr>
          <w:sz w:val="16"/>
          <w:szCs w:val="16"/>
        </w:rPr>
        <w:t>Shearer et al</w:t>
      </w:r>
      <w:r w:rsidR="004025EC" w:rsidRPr="00E309CC">
        <w:rPr>
          <w:sz w:val="16"/>
          <w:szCs w:val="16"/>
        </w:rPr>
        <w:t>.</w:t>
      </w:r>
      <w:r w:rsidR="00C01A5A" w:rsidRPr="00E309CC">
        <w:rPr>
          <w:sz w:val="16"/>
          <w:szCs w:val="16"/>
        </w:rPr>
        <w:t xml:space="preserve"> (2020) LPSC</w:t>
      </w:r>
      <w:r w:rsidR="004025EC" w:rsidRPr="00E309CC">
        <w:rPr>
          <w:sz w:val="16"/>
          <w:szCs w:val="16"/>
        </w:rPr>
        <w:t xml:space="preserve"> 51</w:t>
      </w:r>
      <w:r w:rsidR="00E309CC" w:rsidRPr="00E309CC">
        <w:rPr>
          <w:sz w:val="16"/>
          <w:szCs w:val="16"/>
        </w:rPr>
        <w:t>, #1181</w:t>
      </w:r>
      <w:r w:rsidRPr="00E309CC">
        <w:rPr>
          <w:sz w:val="16"/>
          <w:szCs w:val="16"/>
        </w:rPr>
        <w:t xml:space="preserve">. </w:t>
      </w:r>
      <w:r w:rsidR="003F7F17" w:rsidRPr="00E309CC">
        <w:rPr>
          <w:sz w:val="16"/>
          <w:szCs w:val="16"/>
        </w:rPr>
        <w:t>[2] Shearer et al. (20</w:t>
      </w:r>
      <w:r w:rsidR="00E309CC" w:rsidRPr="00E309CC">
        <w:rPr>
          <w:sz w:val="16"/>
          <w:szCs w:val="16"/>
        </w:rPr>
        <w:t>18</w:t>
      </w:r>
      <w:r w:rsidR="003F7F17" w:rsidRPr="00E309CC">
        <w:rPr>
          <w:sz w:val="16"/>
          <w:szCs w:val="16"/>
        </w:rPr>
        <w:t xml:space="preserve">) LPSC 49, #2083. </w:t>
      </w:r>
      <w:r w:rsidR="00637304">
        <w:rPr>
          <w:sz w:val="16"/>
          <w:szCs w:val="16"/>
        </w:rPr>
        <w:t>[3] Zeigler et al. (2021) LPSC 52, #</w:t>
      </w:r>
      <w:r w:rsidR="00236FD7">
        <w:rPr>
          <w:sz w:val="16"/>
          <w:szCs w:val="16"/>
        </w:rPr>
        <w:t>2632</w:t>
      </w:r>
      <w:r w:rsidR="00637304">
        <w:rPr>
          <w:sz w:val="16"/>
          <w:szCs w:val="16"/>
        </w:rPr>
        <w:t xml:space="preserve">. </w:t>
      </w:r>
      <w:r w:rsidRPr="00E309CC">
        <w:rPr>
          <w:sz w:val="16"/>
          <w:szCs w:val="16"/>
        </w:rPr>
        <w:t>[</w:t>
      </w:r>
      <w:r w:rsidR="00637304">
        <w:rPr>
          <w:sz w:val="16"/>
          <w:szCs w:val="16"/>
        </w:rPr>
        <w:t>4</w:t>
      </w:r>
      <w:r w:rsidRPr="00E309CC">
        <w:rPr>
          <w:sz w:val="16"/>
          <w:szCs w:val="16"/>
        </w:rPr>
        <w:t>] </w:t>
      </w:r>
      <w:r w:rsidR="00C01A5A" w:rsidRPr="00E309CC">
        <w:rPr>
          <w:sz w:val="16"/>
          <w:szCs w:val="16"/>
        </w:rPr>
        <w:t>Krysher et al (2020)</w:t>
      </w:r>
      <w:r w:rsidRPr="00E309CC">
        <w:rPr>
          <w:sz w:val="16"/>
          <w:szCs w:val="16"/>
        </w:rPr>
        <w:t xml:space="preserve"> </w:t>
      </w:r>
      <w:r w:rsidR="004025EC" w:rsidRPr="00E309CC">
        <w:rPr>
          <w:sz w:val="16"/>
          <w:szCs w:val="16"/>
        </w:rPr>
        <w:t>LPSC</w:t>
      </w:r>
      <w:r w:rsidR="0077483F" w:rsidRPr="00E309CC">
        <w:rPr>
          <w:sz w:val="16"/>
          <w:szCs w:val="16"/>
        </w:rPr>
        <w:t xml:space="preserve"> 51</w:t>
      </w:r>
      <w:r w:rsidR="00E309CC" w:rsidRPr="00E309CC">
        <w:rPr>
          <w:sz w:val="16"/>
          <w:szCs w:val="16"/>
        </w:rPr>
        <w:t>, #2989</w:t>
      </w:r>
      <w:r w:rsidR="00C01A5A" w:rsidRPr="00E309CC">
        <w:rPr>
          <w:sz w:val="16"/>
          <w:szCs w:val="16"/>
        </w:rPr>
        <w:t>.</w:t>
      </w:r>
      <w:r w:rsidR="003F7F17" w:rsidRPr="00E309CC">
        <w:rPr>
          <w:sz w:val="16"/>
          <w:szCs w:val="16"/>
        </w:rPr>
        <w:t xml:space="preserve"> </w:t>
      </w:r>
      <w:r w:rsidR="008643F6">
        <w:rPr>
          <w:sz w:val="16"/>
          <w:szCs w:val="16"/>
        </w:rPr>
        <w:t>[5]</w:t>
      </w:r>
      <w:r w:rsidR="00236FD7">
        <w:rPr>
          <w:sz w:val="16"/>
          <w:szCs w:val="16"/>
        </w:rPr>
        <w:t xml:space="preserve"> Gross et al. (2021) LPSC 52, #2684</w:t>
      </w:r>
      <w:r w:rsidR="008643F6">
        <w:rPr>
          <w:sz w:val="16"/>
          <w:szCs w:val="16"/>
        </w:rPr>
        <w:t xml:space="preserve">. </w:t>
      </w:r>
      <w:r w:rsidRPr="00E309CC">
        <w:rPr>
          <w:sz w:val="16"/>
          <w:szCs w:val="16"/>
        </w:rPr>
        <w:t>[</w:t>
      </w:r>
      <w:r w:rsidR="008643F6">
        <w:rPr>
          <w:sz w:val="16"/>
          <w:szCs w:val="16"/>
        </w:rPr>
        <w:t>6</w:t>
      </w:r>
      <w:r w:rsidRPr="00E309CC">
        <w:rPr>
          <w:sz w:val="16"/>
          <w:szCs w:val="16"/>
        </w:rPr>
        <w:t>] </w:t>
      </w:r>
      <w:r w:rsidR="004025EC" w:rsidRPr="00E309CC">
        <w:rPr>
          <w:sz w:val="16"/>
          <w:szCs w:val="16"/>
        </w:rPr>
        <w:t>Eckley et al</w:t>
      </w:r>
      <w:r w:rsidRPr="00E309CC">
        <w:rPr>
          <w:sz w:val="16"/>
          <w:szCs w:val="16"/>
        </w:rPr>
        <w:t xml:space="preserve"> (</w:t>
      </w:r>
      <w:r w:rsidR="004025EC" w:rsidRPr="00E309CC">
        <w:rPr>
          <w:sz w:val="16"/>
          <w:szCs w:val="16"/>
        </w:rPr>
        <w:t>2020</w:t>
      </w:r>
      <w:r w:rsidRPr="00E309CC">
        <w:rPr>
          <w:sz w:val="16"/>
          <w:szCs w:val="16"/>
        </w:rPr>
        <w:t xml:space="preserve">) </w:t>
      </w:r>
      <w:r w:rsidR="004025EC" w:rsidRPr="00E309CC">
        <w:rPr>
          <w:sz w:val="16"/>
          <w:szCs w:val="16"/>
        </w:rPr>
        <w:t>LPSC 51</w:t>
      </w:r>
      <w:r w:rsidRPr="00E309CC">
        <w:rPr>
          <w:i/>
          <w:sz w:val="16"/>
          <w:szCs w:val="16"/>
        </w:rPr>
        <w:t>,</w:t>
      </w:r>
      <w:r w:rsidRPr="00E309CC">
        <w:rPr>
          <w:sz w:val="16"/>
          <w:szCs w:val="16"/>
        </w:rPr>
        <w:t xml:space="preserve"> </w:t>
      </w:r>
      <w:r w:rsidR="004025EC" w:rsidRPr="00E309CC">
        <w:rPr>
          <w:sz w:val="16"/>
          <w:szCs w:val="16"/>
        </w:rPr>
        <w:t>#2182</w:t>
      </w:r>
      <w:r w:rsidR="00462828" w:rsidRPr="00E309CC">
        <w:rPr>
          <w:sz w:val="16"/>
          <w:szCs w:val="16"/>
        </w:rPr>
        <w:t>.</w:t>
      </w:r>
      <w:r w:rsidR="001A43CB">
        <w:rPr>
          <w:sz w:val="16"/>
          <w:szCs w:val="16"/>
        </w:rPr>
        <w:t xml:space="preserve"> </w:t>
      </w:r>
      <w:r w:rsidR="001A43CB" w:rsidRPr="00E309CC">
        <w:rPr>
          <w:sz w:val="16"/>
          <w:szCs w:val="16"/>
        </w:rPr>
        <w:t>[</w:t>
      </w:r>
      <w:r w:rsidR="001A43CB">
        <w:rPr>
          <w:sz w:val="16"/>
          <w:szCs w:val="16"/>
        </w:rPr>
        <w:t>7</w:t>
      </w:r>
      <w:r w:rsidR="001A43CB" w:rsidRPr="00E309CC">
        <w:rPr>
          <w:sz w:val="16"/>
          <w:szCs w:val="16"/>
        </w:rPr>
        <w:t>] </w:t>
      </w:r>
      <w:r w:rsidR="00FB2B83">
        <w:rPr>
          <w:sz w:val="16"/>
          <w:szCs w:val="16"/>
        </w:rPr>
        <w:t>Yen et al</w:t>
      </w:r>
      <w:r w:rsidR="001A43CB" w:rsidRPr="00E309CC">
        <w:rPr>
          <w:sz w:val="16"/>
          <w:szCs w:val="16"/>
        </w:rPr>
        <w:t xml:space="preserve"> (</w:t>
      </w:r>
      <w:r w:rsidR="00FB2B83">
        <w:rPr>
          <w:sz w:val="16"/>
          <w:szCs w:val="16"/>
        </w:rPr>
        <w:t>2022</w:t>
      </w:r>
      <w:r w:rsidR="001A43CB" w:rsidRPr="00E309CC">
        <w:rPr>
          <w:sz w:val="16"/>
          <w:szCs w:val="16"/>
        </w:rPr>
        <w:t>) LPSC 5</w:t>
      </w:r>
      <w:r w:rsidR="00FB2B83">
        <w:rPr>
          <w:sz w:val="16"/>
          <w:szCs w:val="16"/>
        </w:rPr>
        <w:t>3</w:t>
      </w:r>
      <w:r w:rsidR="001A43CB" w:rsidRPr="00E309CC">
        <w:rPr>
          <w:i/>
          <w:sz w:val="16"/>
          <w:szCs w:val="16"/>
        </w:rPr>
        <w:t>,</w:t>
      </w:r>
      <w:r w:rsidR="001A43CB" w:rsidRPr="00E309CC">
        <w:rPr>
          <w:sz w:val="16"/>
          <w:szCs w:val="16"/>
        </w:rPr>
        <w:t xml:space="preserve"> #</w:t>
      </w:r>
      <w:r w:rsidR="00FB2B83">
        <w:rPr>
          <w:sz w:val="16"/>
          <w:szCs w:val="16"/>
        </w:rPr>
        <w:t>1547</w:t>
      </w:r>
      <w:r w:rsidR="001A43CB" w:rsidRPr="00E309CC">
        <w:rPr>
          <w:sz w:val="16"/>
          <w:szCs w:val="16"/>
        </w:rPr>
        <w:t>.</w:t>
      </w:r>
    </w:p>
    <w:p w:rsidR="001A40A0" w:rsidRPr="007D6653" w:rsidRDefault="001A40A0" w:rsidP="001A40A0">
      <w:pPr>
        <w:spacing w:line="240" w:lineRule="atLeast"/>
        <w:jc w:val="both"/>
        <w:rPr>
          <w:szCs w:val="18"/>
        </w:rPr>
      </w:pPr>
    </w:p>
    <w:sectPr w:rsidR="001A40A0" w:rsidRPr="007D6653" w:rsidSect="00694B6E">
      <w:type w:val="continuous"/>
      <w:pgSz w:w="12240" w:h="15840"/>
      <w:pgMar w:top="1440" w:right="1440" w:bottom="1440" w:left="1440" w:header="720" w:footer="72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5E6" w:rsidRDefault="002B65E6">
      <w:r>
        <w:separator/>
      </w:r>
    </w:p>
  </w:endnote>
  <w:endnote w:type="continuationSeparator" w:id="0">
    <w:p w:rsidR="002B65E6" w:rsidRDefault="002B6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28D" w:rsidRDefault="006A128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5E6" w:rsidRDefault="002B65E6">
      <w:r>
        <w:separator/>
      </w:r>
    </w:p>
  </w:footnote>
  <w:footnote w:type="continuationSeparator" w:id="0">
    <w:p w:rsidR="002B65E6" w:rsidRDefault="002B65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28D" w:rsidRDefault="006A128D">
    <w:pPr>
      <w:pStyle w:val="Header"/>
      <w:jc w:val="center"/>
    </w:pPr>
    <w:r>
      <w:t>SHORT TITLE HERE:  A. B. Author and C. D. Author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CA2"/>
    <w:rsid w:val="00016736"/>
    <w:rsid w:val="00023575"/>
    <w:rsid w:val="000275A9"/>
    <w:rsid w:val="00036C62"/>
    <w:rsid w:val="0004158D"/>
    <w:rsid w:val="00087342"/>
    <w:rsid w:val="00093B2A"/>
    <w:rsid w:val="000A76A6"/>
    <w:rsid w:val="001500F2"/>
    <w:rsid w:val="001510C6"/>
    <w:rsid w:val="00164C1A"/>
    <w:rsid w:val="001A35D5"/>
    <w:rsid w:val="001A40A0"/>
    <w:rsid w:val="001A43CB"/>
    <w:rsid w:val="001B3324"/>
    <w:rsid w:val="001C6380"/>
    <w:rsid w:val="001D1B51"/>
    <w:rsid w:val="001E6CF0"/>
    <w:rsid w:val="002323F4"/>
    <w:rsid w:val="00236FD7"/>
    <w:rsid w:val="002412FE"/>
    <w:rsid w:val="00266950"/>
    <w:rsid w:val="002B65E6"/>
    <w:rsid w:val="002D19BD"/>
    <w:rsid w:val="002F093B"/>
    <w:rsid w:val="003305FC"/>
    <w:rsid w:val="00393D80"/>
    <w:rsid w:val="003A3212"/>
    <w:rsid w:val="003A58C1"/>
    <w:rsid w:val="003B07C0"/>
    <w:rsid w:val="003D244A"/>
    <w:rsid w:val="003E76DB"/>
    <w:rsid w:val="003F7F17"/>
    <w:rsid w:val="004025EC"/>
    <w:rsid w:val="00462828"/>
    <w:rsid w:val="004C78CF"/>
    <w:rsid w:val="004F29EA"/>
    <w:rsid w:val="00504F1D"/>
    <w:rsid w:val="00513A63"/>
    <w:rsid w:val="00557F4E"/>
    <w:rsid w:val="00560AE0"/>
    <w:rsid w:val="00582C23"/>
    <w:rsid w:val="005E5149"/>
    <w:rsid w:val="005F3EAE"/>
    <w:rsid w:val="005F536C"/>
    <w:rsid w:val="00602F6E"/>
    <w:rsid w:val="00622526"/>
    <w:rsid w:val="00637304"/>
    <w:rsid w:val="006824D5"/>
    <w:rsid w:val="00694B6E"/>
    <w:rsid w:val="006950C6"/>
    <w:rsid w:val="006A128D"/>
    <w:rsid w:val="006F4858"/>
    <w:rsid w:val="007666A2"/>
    <w:rsid w:val="00767071"/>
    <w:rsid w:val="0077483F"/>
    <w:rsid w:val="00792E20"/>
    <w:rsid w:val="007B5FDB"/>
    <w:rsid w:val="007D6653"/>
    <w:rsid w:val="008100E2"/>
    <w:rsid w:val="008628D3"/>
    <w:rsid w:val="008643F6"/>
    <w:rsid w:val="008D1238"/>
    <w:rsid w:val="008D331F"/>
    <w:rsid w:val="00913D7E"/>
    <w:rsid w:val="009D28E7"/>
    <w:rsid w:val="00A064B1"/>
    <w:rsid w:val="00A234F9"/>
    <w:rsid w:val="00A35664"/>
    <w:rsid w:val="00A365A6"/>
    <w:rsid w:val="00A4519B"/>
    <w:rsid w:val="00A75A11"/>
    <w:rsid w:val="00A91619"/>
    <w:rsid w:val="00AB69BF"/>
    <w:rsid w:val="00AB7F4C"/>
    <w:rsid w:val="00AC5C33"/>
    <w:rsid w:val="00B02943"/>
    <w:rsid w:val="00B128DC"/>
    <w:rsid w:val="00B26AF6"/>
    <w:rsid w:val="00B27143"/>
    <w:rsid w:val="00B27526"/>
    <w:rsid w:val="00B74A34"/>
    <w:rsid w:val="00B81EE3"/>
    <w:rsid w:val="00BB11C1"/>
    <w:rsid w:val="00C01A5A"/>
    <w:rsid w:val="00C22CA2"/>
    <w:rsid w:val="00CA10F9"/>
    <w:rsid w:val="00CA2CCA"/>
    <w:rsid w:val="00CB0155"/>
    <w:rsid w:val="00CE0E29"/>
    <w:rsid w:val="00CE15F3"/>
    <w:rsid w:val="00CF1CC9"/>
    <w:rsid w:val="00CF3049"/>
    <w:rsid w:val="00D331DD"/>
    <w:rsid w:val="00D66176"/>
    <w:rsid w:val="00D677B8"/>
    <w:rsid w:val="00DC1C8C"/>
    <w:rsid w:val="00DE0E37"/>
    <w:rsid w:val="00E05068"/>
    <w:rsid w:val="00E309CC"/>
    <w:rsid w:val="00E43065"/>
    <w:rsid w:val="00E57DC1"/>
    <w:rsid w:val="00E83A95"/>
    <w:rsid w:val="00EB6E68"/>
    <w:rsid w:val="00EC3001"/>
    <w:rsid w:val="00EE0BFA"/>
    <w:rsid w:val="00F0047B"/>
    <w:rsid w:val="00F87020"/>
    <w:rsid w:val="00FB2B83"/>
    <w:rsid w:val="00FC7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256208F"/>
  <w14:defaultImageDpi w14:val="0"/>
  <w15:docId w15:val="{A709451E-D298-4A4D-AEA2-4A90B8814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CA2"/>
    <w:rPr>
      <w:rFonts w:ascii="Times New Roman" w:hAnsi="Times New Roman" w:cs="Times New Roman"/>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43065"/>
    <w:rPr>
      <w:rFonts w:asciiTheme="minorHAnsi" w:hAnsiTheme="minorHAnsi" w:cs="Times New Roman"/>
      <w:color w:val="0000FF"/>
      <w:u w:val="single"/>
    </w:rPr>
  </w:style>
  <w:style w:type="paragraph" w:styleId="NoSpacing">
    <w:name w:val="No Spacing"/>
    <w:uiPriority w:val="1"/>
    <w:qFormat/>
    <w:rsid w:val="003A58C1"/>
    <w:rPr>
      <w:rFonts w:eastAsiaTheme="minorEastAsia" w:cs="Times New Roman"/>
    </w:rPr>
  </w:style>
  <w:style w:type="table" w:customStyle="1" w:styleId="Style1">
    <w:name w:val="Style1"/>
    <w:basedOn w:val="TableNormal"/>
    <w:uiPriority w:val="99"/>
    <w:rsid w:val="002412FE"/>
    <w:rPr>
      <w:rFonts w:eastAsiaTheme="minorEastAsia" w:cs="Times New Roman"/>
      <w:color w:val="000000" w:themeColor="text1"/>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rFonts w:cs="Times New Roman"/>
        <w:b/>
        <w:color w:val="FFFFFF" w:themeColor="background1"/>
      </w:rPr>
      <w:tblPr/>
      <w:tcPr>
        <w:shd w:val="clear" w:color="auto" w:fill="31849B" w:themeFill="accent5" w:themeFillShade="BF"/>
      </w:tcPr>
    </w:tblStylePr>
    <w:tblStylePr w:type="band1Horz">
      <w:rPr>
        <w:rFonts w:cs="Times New Roman"/>
      </w:rPr>
      <w:tblPr/>
      <w:tcPr>
        <w:shd w:val="clear" w:color="auto" w:fill="DAEEF3" w:themeFill="accent5" w:themeFillTint="33"/>
      </w:tcPr>
    </w:tblStylePr>
  </w:style>
  <w:style w:type="table" w:styleId="GridTable4-Accent6">
    <w:name w:val="Grid Table 4 Accent 6"/>
    <w:basedOn w:val="TableNormal"/>
    <w:uiPriority w:val="49"/>
    <w:rsid w:val="00CE15F3"/>
    <w:rPr>
      <w:rFonts w:eastAsiaTheme="minorEastAsia" w:cs="Times New Roma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rFonts w:cs="Times New Roman"/>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rFonts w:cs="Times New Roman"/>
        <w:b/>
        <w:bCs/>
      </w:rPr>
      <w:tblPr/>
      <w:tcPr>
        <w:tcBorders>
          <w:top w:val="double" w:sz="4" w:space="0" w:color="F79646" w:themeColor="accent6"/>
        </w:tcBorders>
      </w:tcPr>
    </w:tblStylePr>
    <w:tblStylePr w:type="firstCol">
      <w:rPr>
        <w:rFonts w:cs="Times New Roman"/>
        <w:b w:val="0"/>
        <w:bCs/>
      </w:rPr>
    </w:tblStylePr>
    <w:tblStylePr w:type="lastCol">
      <w:rPr>
        <w:rFonts w:cs="Times New Roman"/>
        <w:b/>
        <w:bCs/>
      </w:rPr>
    </w:tblStylePr>
    <w:tblStylePr w:type="band1Vert">
      <w:rPr>
        <w:rFonts w:cs="Times New Roman"/>
      </w:rPr>
      <w:tblPr/>
      <w:tcPr>
        <w:shd w:val="clear" w:color="auto" w:fill="FDE9D9" w:themeFill="accent6" w:themeFillTint="33"/>
      </w:tcPr>
    </w:tblStylePr>
    <w:tblStylePr w:type="band1Horz">
      <w:rPr>
        <w:rFonts w:cs="Times New Roman"/>
      </w:rPr>
      <w:tblPr/>
      <w:tcPr>
        <w:shd w:val="clear" w:color="auto" w:fill="FDE9D9" w:themeFill="accent6" w:themeFillTint="33"/>
      </w:tcPr>
    </w:tblStylePr>
  </w:style>
  <w:style w:type="paragraph" w:styleId="Footer">
    <w:name w:val="footer"/>
    <w:basedOn w:val="Normal"/>
    <w:link w:val="FooterChar"/>
    <w:uiPriority w:val="99"/>
    <w:rsid w:val="00C22CA2"/>
    <w:pPr>
      <w:tabs>
        <w:tab w:val="center" w:pos="4320"/>
        <w:tab w:val="right" w:pos="8640"/>
      </w:tabs>
    </w:pPr>
  </w:style>
  <w:style w:type="character" w:customStyle="1" w:styleId="FooterChar">
    <w:name w:val="Footer Char"/>
    <w:basedOn w:val="DefaultParagraphFont"/>
    <w:link w:val="Footer"/>
    <w:uiPriority w:val="99"/>
    <w:locked/>
    <w:rsid w:val="00C22CA2"/>
    <w:rPr>
      <w:rFonts w:ascii="Times New Roman" w:hAnsi="Times New Roman" w:cs="Times New Roman"/>
      <w:sz w:val="20"/>
      <w:szCs w:val="20"/>
    </w:rPr>
  </w:style>
  <w:style w:type="paragraph" w:styleId="Header">
    <w:name w:val="header"/>
    <w:basedOn w:val="Normal"/>
    <w:link w:val="HeaderChar"/>
    <w:uiPriority w:val="99"/>
    <w:rsid w:val="00C22CA2"/>
    <w:pPr>
      <w:tabs>
        <w:tab w:val="center" w:pos="4320"/>
        <w:tab w:val="right" w:pos="8640"/>
      </w:tabs>
    </w:pPr>
  </w:style>
  <w:style w:type="character" w:customStyle="1" w:styleId="HeaderChar">
    <w:name w:val="Header Char"/>
    <w:basedOn w:val="DefaultParagraphFont"/>
    <w:link w:val="Header"/>
    <w:uiPriority w:val="99"/>
    <w:locked/>
    <w:rsid w:val="00C22CA2"/>
    <w:rPr>
      <w:rFonts w:ascii="Times New Roman" w:hAnsi="Times New Roman" w:cs="Times New Roman"/>
      <w:sz w:val="20"/>
      <w:szCs w:val="20"/>
    </w:rPr>
  </w:style>
  <w:style w:type="paragraph" w:styleId="NormalWeb">
    <w:name w:val="Normal (Web)"/>
    <w:basedOn w:val="Normal"/>
    <w:uiPriority w:val="99"/>
    <w:unhideWhenUsed/>
    <w:rsid w:val="00C22CA2"/>
    <w:pPr>
      <w:spacing w:before="100" w:beforeAutospacing="1" w:after="100" w:afterAutospacing="1"/>
    </w:pPr>
    <w:rPr>
      <w:rFonts w:ascii="Calibri" w:hAnsi="Calibri" w:cs="Calibri"/>
      <w:sz w:val="24"/>
      <w:szCs w:val="24"/>
    </w:rPr>
  </w:style>
  <w:style w:type="character" w:styleId="Strong">
    <w:name w:val="Strong"/>
    <w:basedOn w:val="DefaultParagraphFont"/>
    <w:uiPriority w:val="22"/>
    <w:qFormat/>
    <w:rsid w:val="00C22CA2"/>
    <w:rPr>
      <w:b/>
    </w:rPr>
  </w:style>
  <w:style w:type="character" w:styleId="Emphasis">
    <w:name w:val="Emphasis"/>
    <w:basedOn w:val="DefaultParagraphFont"/>
    <w:uiPriority w:val="20"/>
    <w:qFormat/>
    <w:rsid w:val="00C22CA2"/>
    <w:rPr>
      <w:i/>
    </w:rPr>
  </w:style>
  <w:style w:type="character" w:styleId="CommentReference">
    <w:name w:val="annotation reference"/>
    <w:basedOn w:val="DefaultParagraphFont"/>
    <w:uiPriority w:val="99"/>
    <w:semiHidden/>
    <w:unhideWhenUsed/>
    <w:rsid w:val="00DE0E37"/>
    <w:rPr>
      <w:sz w:val="16"/>
      <w:szCs w:val="16"/>
    </w:rPr>
  </w:style>
  <w:style w:type="paragraph" w:styleId="CommentText">
    <w:name w:val="annotation text"/>
    <w:basedOn w:val="Normal"/>
    <w:link w:val="CommentTextChar"/>
    <w:uiPriority w:val="99"/>
    <w:semiHidden/>
    <w:unhideWhenUsed/>
    <w:rsid w:val="00DE0E37"/>
    <w:rPr>
      <w:sz w:val="20"/>
    </w:rPr>
  </w:style>
  <w:style w:type="character" w:customStyle="1" w:styleId="CommentTextChar">
    <w:name w:val="Comment Text Char"/>
    <w:basedOn w:val="DefaultParagraphFont"/>
    <w:link w:val="CommentText"/>
    <w:uiPriority w:val="99"/>
    <w:semiHidden/>
    <w:rsid w:val="00DE0E3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E0E37"/>
    <w:rPr>
      <w:b/>
      <w:bCs/>
    </w:rPr>
  </w:style>
  <w:style w:type="character" w:customStyle="1" w:styleId="CommentSubjectChar">
    <w:name w:val="Comment Subject Char"/>
    <w:basedOn w:val="CommentTextChar"/>
    <w:link w:val="CommentSubject"/>
    <w:uiPriority w:val="99"/>
    <w:semiHidden/>
    <w:rsid w:val="00DE0E37"/>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DE0E37"/>
    <w:rPr>
      <w:rFonts w:ascii="Segoe UI" w:hAnsi="Segoe UI" w:cs="Segoe UI"/>
      <w:szCs w:val="18"/>
    </w:rPr>
  </w:style>
  <w:style w:type="character" w:customStyle="1" w:styleId="BalloonTextChar">
    <w:name w:val="Balloon Text Char"/>
    <w:basedOn w:val="DefaultParagraphFont"/>
    <w:link w:val="BalloonText"/>
    <w:uiPriority w:val="99"/>
    <w:semiHidden/>
    <w:rsid w:val="00DE0E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365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pi.usra.edu/ANGSA/teams/JSC/" TargetMode="External"/><Relationship Id="rId13" Type="http://schemas.openxmlformats.org/officeDocument/2006/relationships/hyperlink" Target="https://www.nasa.gov/feature/nasa-selects-teams-to-study-untouched-moon-samples" TargetMode="External"/><Relationship Id="rId3" Type="http://schemas.openxmlformats.org/officeDocument/2006/relationships/settings" Target="settings.xml"/><Relationship Id="rId7" Type="http://schemas.openxmlformats.org/officeDocument/2006/relationships/hyperlink" Target="https://www.lpi.usra.edu/ANGSA/teams/" TargetMode="External"/><Relationship Id="rId12" Type="http://schemas.openxmlformats.org/officeDocument/2006/relationships/hyperlink" Target="https://nspires.nasaprs.com/external/solicitations/summary!init.do?solId=%7b93410FB8-BE83-5F26-2960-C216730BB3CA%7d&amp;path=ope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36301-CA08-437C-842D-F0D875423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827</Words>
  <Characters>4716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Linda</dc:creator>
  <cp:keywords/>
  <dc:description/>
  <cp:lastModifiedBy>Zeigler, Ryan A. (JSC-XI211)</cp:lastModifiedBy>
  <cp:revision>3</cp:revision>
  <cp:lastPrinted>2020-01-07T22:50:00Z</cp:lastPrinted>
  <dcterms:created xsi:type="dcterms:W3CDTF">2022-01-11T21:46:00Z</dcterms:created>
  <dcterms:modified xsi:type="dcterms:W3CDTF">2022-01-11T22:24:00Z</dcterms:modified>
</cp:coreProperties>
</file>