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C6E64" w14:textId="2AEE7903" w:rsidR="009E3EC7" w:rsidRPr="001C0A5E" w:rsidRDefault="00C9393F">
      <w:pPr>
        <w:jc w:val="center"/>
        <w:rPr>
          <w:b/>
          <w:bCs/>
        </w:rPr>
      </w:pPr>
      <w:r>
        <w:rPr>
          <w:b/>
          <w:bCs/>
        </w:rPr>
        <w:t xml:space="preserve">Understanding </w:t>
      </w:r>
      <w:r w:rsidR="00034F11">
        <w:rPr>
          <w:b/>
          <w:bCs/>
        </w:rPr>
        <w:t xml:space="preserve">Cometary </w:t>
      </w:r>
      <w:r w:rsidR="003F5D60">
        <w:rPr>
          <w:b/>
          <w:bCs/>
        </w:rPr>
        <w:t>Olivine</w:t>
      </w:r>
    </w:p>
    <w:p w14:paraId="73C3B829" w14:textId="77777777" w:rsidR="001C0A5E" w:rsidRPr="001C0A5E" w:rsidRDefault="001C0A5E">
      <w:pPr>
        <w:jc w:val="center"/>
        <w:rPr>
          <w:bCs/>
        </w:rPr>
      </w:pPr>
    </w:p>
    <w:p w14:paraId="27AEC4FE" w14:textId="441C437B" w:rsidR="00A63C4A" w:rsidRDefault="001C0A5E">
      <w:pPr>
        <w:jc w:val="center"/>
        <w:rPr>
          <w:bCs/>
        </w:rPr>
      </w:pPr>
      <w:r w:rsidRPr="001C0A5E">
        <w:rPr>
          <w:bCs/>
        </w:rPr>
        <w:t>Michael Zolensky</w:t>
      </w:r>
      <w:r w:rsidR="00C9393F">
        <w:rPr>
          <w:bCs/>
        </w:rPr>
        <w:t xml:space="preserve">, ARES, </w:t>
      </w:r>
      <w:r w:rsidRPr="001C0A5E">
        <w:rPr>
          <w:bCs/>
        </w:rPr>
        <w:t xml:space="preserve">NASA </w:t>
      </w:r>
      <w:r w:rsidR="00C9393F">
        <w:rPr>
          <w:bCs/>
        </w:rPr>
        <w:t>Johnson Space Center</w:t>
      </w:r>
      <w:r w:rsidRPr="001C0A5E">
        <w:rPr>
          <w:bCs/>
        </w:rPr>
        <w:t>, Houston, TX 77058</w:t>
      </w:r>
      <w:r w:rsidR="00034F11">
        <w:rPr>
          <w:bCs/>
        </w:rPr>
        <w:t>,</w:t>
      </w:r>
      <w:r w:rsidR="00C9393F">
        <w:rPr>
          <w:bCs/>
        </w:rPr>
        <w:t xml:space="preserve"> USA (</w:t>
      </w:r>
      <w:r>
        <w:rPr>
          <w:bCs/>
        </w:rPr>
        <w:t>michael.e.zolensky@nasa.gov</w:t>
      </w:r>
      <w:r w:rsidRPr="001C0A5E">
        <w:rPr>
          <w:bCs/>
        </w:rPr>
        <w:t xml:space="preserve">) </w:t>
      </w:r>
    </w:p>
    <w:p w14:paraId="764461D8" w14:textId="77777777" w:rsidR="00C9393F" w:rsidRPr="001C0A5E" w:rsidRDefault="00C9393F">
      <w:pPr>
        <w:jc w:val="center"/>
        <w:rPr>
          <w:rFonts w:ascii="Book Antiqua" w:hAnsi="Book Antiqua"/>
          <w:bCs/>
          <w:szCs w:val="32"/>
        </w:rPr>
      </w:pPr>
    </w:p>
    <w:p w14:paraId="11B91553" w14:textId="120EC428" w:rsidR="008F7E74" w:rsidRDefault="00E505BD" w:rsidP="00362B94">
      <w:pPr>
        <w:ind w:firstLine="432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There is </w:t>
      </w:r>
      <w:r w:rsidRPr="00821E57">
        <w:t xml:space="preserve">a widespread </w:t>
      </w:r>
      <w:r w:rsidRPr="00A63C4A">
        <w:rPr>
          <w:iCs/>
        </w:rPr>
        <w:t>depletion</w:t>
      </w:r>
      <w:r w:rsidRPr="00821E57">
        <w:t xml:space="preserve"> of Cr from the FeO-rich olivine in </w:t>
      </w:r>
      <w:r w:rsidR="00034F11">
        <w:t xml:space="preserve">comet </w:t>
      </w:r>
      <w:r w:rsidRPr="00821E57">
        <w:t>Wild-2, relative to type IIA chondrules</w:t>
      </w:r>
      <w:r>
        <w:t xml:space="preserve"> </w:t>
      </w:r>
      <w:r w:rsidR="00034F11">
        <w:t>[1], whose</w:t>
      </w:r>
      <w:r w:rsidRPr="00821E57">
        <w:t xml:space="preserve"> degree is akin to that in unequilibrated chondrites such as </w:t>
      </w:r>
      <w:proofErr w:type="spellStart"/>
      <w:r w:rsidRPr="00821E57">
        <w:t>Krymka</w:t>
      </w:r>
      <w:proofErr w:type="spellEnd"/>
      <w:r w:rsidRPr="00821E57">
        <w:t xml:space="preserve"> (LL3.2) or </w:t>
      </w:r>
      <w:r>
        <w:t>Rainbow (</w:t>
      </w:r>
      <w:r w:rsidRPr="00821E57">
        <w:t>CO3.2</w:t>
      </w:r>
      <w:r>
        <w:t>).</w:t>
      </w:r>
      <w:r w:rsidRPr="001F5C3B">
        <w:t xml:space="preserve"> Since Cr is highly mobile under even mild thermal </w:t>
      </w:r>
      <w:r w:rsidRPr="007176A9">
        <w:t xml:space="preserve">metamorphism, it is a sensitive indicator of such an event, showing greater depletion in smaller grains (i.e., matrix vs. chondrules) </w:t>
      </w:r>
      <w:r w:rsidR="00034F11">
        <w:t>[2]</w:t>
      </w:r>
      <w:r w:rsidRPr="007176A9">
        <w:t xml:space="preserve">. </w:t>
      </w:r>
      <w:r w:rsidR="00034F11">
        <w:t>T</w:t>
      </w:r>
      <w:r w:rsidRPr="007176A9">
        <w:t>he distribution of Cr in FeO-rich</w:t>
      </w:r>
      <w:r>
        <w:t xml:space="preserve"> </w:t>
      </w:r>
      <w:r w:rsidRPr="007176A9">
        <w:t>olivine systematically changes as metamorphism increases between type 3.0 and type 3.2</w:t>
      </w:r>
      <w:r w:rsidR="00034F11">
        <w:t xml:space="preserve"> [2]</w:t>
      </w:r>
      <w:r w:rsidRPr="007176A9">
        <w:t xml:space="preserve">. </w:t>
      </w:r>
      <w:r>
        <w:t>Thus, Wild-2 olivine appear</w:t>
      </w:r>
      <w:r w:rsidR="00A63C4A">
        <w:t>s</w:t>
      </w:r>
      <w:r>
        <w:t xml:space="preserve"> to carry evidence of mild thermal metamorphism</w:t>
      </w:r>
      <w:r w:rsidR="00034F11">
        <w:t>, ~300°C</w:t>
      </w:r>
      <w:r>
        <w:t xml:space="preserve">. It </w:t>
      </w:r>
      <w:r w:rsidR="00BA0AE8">
        <w:t>is</w:t>
      </w:r>
      <w:r>
        <w:t xml:space="preserve"> critical to determine whether there </w:t>
      </w:r>
      <w:r w:rsidR="00BA0AE8">
        <w:t>i</w:t>
      </w:r>
      <w:r>
        <w:t>s any evidence for this from samples of other comets</w:t>
      </w:r>
      <w:r w:rsidR="00034F11">
        <w:t>, by</w:t>
      </w:r>
      <w:r>
        <w:rPr>
          <w:color w:val="000000"/>
          <w:shd w:val="clear" w:color="auto" w:fill="FFFFFF"/>
        </w:rPr>
        <w:t xml:space="preserve"> </w:t>
      </w:r>
      <w:r w:rsidR="00BA0AE8">
        <w:rPr>
          <w:color w:val="000000"/>
          <w:shd w:val="clear" w:color="auto" w:fill="FFFFFF"/>
        </w:rPr>
        <w:t>examin</w:t>
      </w:r>
      <w:r w:rsidR="00034F11">
        <w:rPr>
          <w:color w:val="000000"/>
          <w:shd w:val="clear" w:color="auto" w:fill="FFFFFF"/>
        </w:rPr>
        <w:t>ing</w:t>
      </w:r>
      <w:r>
        <w:rPr>
          <w:color w:val="000000"/>
          <w:shd w:val="clear" w:color="auto" w:fill="FFFFFF"/>
        </w:rPr>
        <w:t xml:space="preserve"> anhydrous</w:t>
      </w:r>
      <w:r w:rsidR="00365DD0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chondritic IDPs</w:t>
      </w:r>
      <w:r w:rsidR="00034F11">
        <w:rPr>
          <w:color w:val="000000"/>
          <w:shd w:val="clear" w:color="auto" w:fill="FFFFFF"/>
        </w:rPr>
        <w:t xml:space="preserve"> (some of which must derive from comets)</w:t>
      </w:r>
      <w:r>
        <w:rPr>
          <w:color w:val="000000"/>
          <w:shd w:val="clear" w:color="auto" w:fill="FFFFFF"/>
        </w:rPr>
        <w:t>. Unfortunately,</w:t>
      </w:r>
      <w:r w:rsidRPr="001C0A5E">
        <w:rPr>
          <w:color w:val="000000"/>
          <w:shd w:val="clear" w:color="auto" w:fill="FFFFFF"/>
        </w:rPr>
        <w:t xml:space="preserve"> the data for olivine and pyroxene in IDPs is </w:t>
      </w:r>
      <w:r>
        <w:rPr>
          <w:color w:val="000000"/>
          <w:shd w:val="clear" w:color="auto" w:fill="FFFFFF"/>
        </w:rPr>
        <w:t xml:space="preserve">sparse, </w:t>
      </w:r>
      <w:r w:rsidRPr="001C0A5E">
        <w:rPr>
          <w:color w:val="000000"/>
          <w:shd w:val="clear" w:color="auto" w:fill="FFFFFF"/>
        </w:rPr>
        <w:t xml:space="preserve">mainly </w:t>
      </w:r>
      <w:r>
        <w:rPr>
          <w:color w:val="000000"/>
          <w:shd w:val="clear" w:color="auto" w:fill="FFFFFF"/>
        </w:rPr>
        <w:t xml:space="preserve">decades old </w:t>
      </w:r>
      <w:r w:rsidRPr="001C0A5E">
        <w:rPr>
          <w:color w:val="000000"/>
          <w:shd w:val="clear" w:color="auto" w:fill="FFFFFF"/>
        </w:rPr>
        <w:t xml:space="preserve">and </w:t>
      </w:r>
      <w:r w:rsidR="00E00516">
        <w:rPr>
          <w:color w:val="000000"/>
          <w:shd w:val="clear" w:color="auto" w:fill="FFFFFF"/>
        </w:rPr>
        <w:t xml:space="preserve">typically </w:t>
      </w:r>
      <w:r w:rsidRPr="001C0A5E">
        <w:rPr>
          <w:color w:val="000000"/>
          <w:shd w:val="clear" w:color="auto" w:fill="FFFFFF"/>
        </w:rPr>
        <w:t xml:space="preserve">lacks </w:t>
      </w:r>
      <w:r>
        <w:rPr>
          <w:color w:val="000000"/>
          <w:shd w:val="clear" w:color="auto" w:fill="FFFFFF"/>
        </w:rPr>
        <w:t xml:space="preserve">useful </w:t>
      </w:r>
      <w:r w:rsidRPr="001C0A5E">
        <w:rPr>
          <w:color w:val="000000"/>
          <w:shd w:val="clear" w:color="auto" w:fill="FFFFFF"/>
        </w:rPr>
        <w:t>information on minor elements.</w:t>
      </w:r>
      <w:r>
        <w:rPr>
          <w:color w:val="000000"/>
          <w:shd w:val="clear" w:color="auto" w:fill="FFFFFF"/>
        </w:rPr>
        <w:t xml:space="preserve"> </w:t>
      </w:r>
      <w:r w:rsidR="00034F11">
        <w:rPr>
          <w:color w:val="000000"/>
          <w:shd w:val="clear" w:color="auto" w:fill="FFFFFF"/>
        </w:rPr>
        <w:t>Thus, w</w:t>
      </w:r>
      <w:r w:rsidRPr="001C0A5E">
        <w:rPr>
          <w:color w:val="000000"/>
          <w:shd w:val="clear" w:color="auto" w:fill="FFFFFF"/>
        </w:rPr>
        <w:t xml:space="preserve">e </w:t>
      </w:r>
      <w:r w:rsidR="00BA0AE8">
        <w:rPr>
          <w:color w:val="000000"/>
          <w:shd w:val="clear" w:color="auto" w:fill="FFFFFF"/>
        </w:rPr>
        <w:t>have begun to</w:t>
      </w:r>
      <w:r w:rsidRPr="001C0A5E">
        <w:rPr>
          <w:color w:val="000000"/>
          <w:shd w:val="clear" w:color="auto" w:fill="FFFFFF"/>
        </w:rPr>
        <w:t xml:space="preserve"> collect new compositional data for olivine and pyroxene in chondritic </w:t>
      </w:r>
      <w:r w:rsidR="00034F11">
        <w:rPr>
          <w:color w:val="000000"/>
          <w:shd w:val="clear" w:color="auto" w:fill="FFFFFF"/>
        </w:rPr>
        <w:t>IDPs</w:t>
      </w:r>
      <w:r w:rsidRPr="001C0A5E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  <w:r w:rsidR="001C0A5E" w:rsidRPr="001C0A5E">
        <w:rPr>
          <w:color w:val="000000"/>
          <w:shd w:val="clear" w:color="auto" w:fill="FFFFFF"/>
        </w:rPr>
        <w:t xml:space="preserve">A determination that a comet, or its accretion components, had experienced significant thermal metamorphism would greatly alter models of early solar system history. </w:t>
      </w:r>
    </w:p>
    <w:p w14:paraId="6BA80C1D" w14:textId="5F2E3147" w:rsidR="00E00516" w:rsidRPr="00E00516" w:rsidRDefault="00E00516" w:rsidP="00E00516">
      <w:pPr>
        <w:ind w:firstLine="432"/>
        <w:jc w:val="both"/>
      </w:pPr>
      <w:r>
        <w:rPr>
          <w:rFonts w:eastAsiaTheme="minorEastAsia"/>
          <w:color w:val="000000" w:themeColor="text1"/>
          <w:kern w:val="24"/>
        </w:rPr>
        <w:t xml:space="preserve">Thus far, our minor element data for anhydrous IDP olivine, combined with the </w:t>
      </w:r>
      <w:r w:rsidR="00034F11">
        <w:rPr>
          <w:rFonts w:eastAsiaTheme="minorEastAsia"/>
          <w:color w:val="000000" w:themeColor="text1"/>
          <w:kern w:val="24"/>
        </w:rPr>
        <w:t xml:space="preserve">existing </w:t>
      </w:r>
      <w:r>
        <w:rPr>
          <w:rFonts w:eastAsiaTheme="minorEastAsia"/>
          <w:color w:val="000000" w:themeColor="text1"/>
          <w:kern w:val="24"/>
        </w:rPr>
        <w:t xml:space="preserve">sparse published data for IDPs and </w:t>
      </w:r>
      <w:r w:rsidR="00034F11">
        <w:rPr>
          <w:rFonts w:eastAsiaTheme="minorEastAsia"/>
          <w:color w:val="000000" w:themeColor="text1"/>
          <w:kern w:val="24"/>
        </w:rPr>
        <w:t xml:space="preserve">Antarctic </w:t>
      </w:r>
      <w:r>
        <w:rPr>
          <w:rFonts w:eastAsiaTheme="minorEastAsia"/>
          <w:color w:val="000000" w:themeColor="text1"/>
          <w:kern w:val="24"/>
        </w:rPr>
        <w:t>micrometeorites [</w:t>
      </w:r>
      <w:r w:rsidR="00034F11">
        <w:rPr>
          <w:rFonts w:eastAsiaTheme="minorEastAsia"/>
          <w:color w:val="000000" w:themeColor="text1"/>
          <w:kern w:val="24"/>
        </w:rPr>
        <w:t>3-7</w:t>
      </w:r>
      <w:r>
        <w:rPr>
          <w:rFonts w:eastAsiaTheme="minorEastAsia"/>
          <w:color w:val="000000" w:themeColor="text1"/>
          <w:kern w:val="24"/>
        </w:rPr>
        <w:t xml:space="preserve">], are </w:t>
      </w:r>
      <w:r w:rsidR="00735BEA">
        <w:rPr>
          <w:rFonts w:eastAsiaTheme="minorEastAsia"/>
          <w:color w:val="000000" w:themeColor="text1"/>
          <w:kern w:val="24"/>
        </w:rPr>
        <w:t xml:space="preserve">consistent </w:t>
      </w:r>
      <w:r>
        <w:rPr>
          <w:rFonts w:eastAsiaTheme="minorEastAsia"/>
          <w:color w:val="000000" w:themeColor="text1"/>
          <w:kern w:val="24"/>
        </w:rPr>
        <w:t>with Wild 2. Th</w:t>
      </w:r>
      <w:r w:rsidR="00735BEA">
        <w:rPr>
          <w:rFonts w:eastAsiaTheme="minorEastAsia"/>
          <w:color w:val="000000" w:themeColor="text1"/>
          <w:kern w:val="24"/>
        </w:rPr>
        <w:t>u</w:t>
      </w:r>
      <w:r>
        <w:rPr>
          <w:rFonts w:eastAsiaTheme="minorEastAsia"/>
          <w:color w:val="000000" w:themeColor="text1"/>
          <w:kern w:val="24"/>
        </w:rPr>
        <w:t>s, o</w:t>
      </w:r>
      <w:r w:rsidRPr="00E00516">
        <w:rPr>
          <w:rFonts w:eastAsiaTheme="minorEastAsia"/>
          <w:color w:val="000000" w:themeColor="text1"/>
          <w:kern w:val="24"/>
        </w:rPr>
        <w:t xml:space="preserve">livine in anhydrous chondritic IDPs and </w:t>
      </w:r>
      <w:r w:rsidR="00034F11">
        <w:rPr>
          <w:rFonts w:eastAsiaTheme="minorEastAsia"/>
          <w:color w:val="000000" w:themeColor="text1"/>
          <w:kern w:val="24"/>
        </w:rPr>
        <w:t>m</w:t>
      </w:r>
      <w:r w:rsidRPr="00E00516">
        <w:rPr>
          <w:rFonts w:eastAsiaTheme="minorEastAsia"/>
          <w:color w:val="000000" w:themeColor="text1"/>
          <w:kern w:val="24"/>
        </w:rPr>
        <w:t>icro</w:t>
      </w:r>
      <w:r w:rsidR="00034F11">
        <w:rPr>
          <w:rFonts w:eastAsiaTheme="minorEastAsia"/>
          <w:color w:val="000000" w:themeColor="text1"/>
          <w:kern w:val="24"/>
        </w:rPr>
        <w:t>m</w:t>
      </w:r>
      <w:r w:rsidRPr="00E00516">
        <w:rPr>
          <w:rFonts w:eastAsiaTheme="minorEastAsia"/>
          <w:color w:val="000000" w:themeColor="text1"/>
          <w:kern w:val="24"/>
        </w:rPr>
        <w:t>eteorites appears to have been heated to a similar degree as Wild 2 olivine (~300°C)</w:t>
      </w:r>
      <w:r>
        <w:t xml:space="preserve">. </w:t>
      </w:r>
      <w:r w:rsidRPr="00E00516">
        <w:rPr>
          <w:color w:val="000000" w:themeColor="text1"/>
          <w:kern w:val="24"/>
        </w:rPr>
        <w:t xml:space="preserve">Did Comet materials </w:t>
      </w:r>
      <w:r w:rsidR="00034F11">
        <w:rPr>
          <w:color w:val="000000" w:themeColor="text1"/>
          <w:kern w:val="24"/>
        </w:rPr>
        <w:t xml:space="preserve">really </w:t>
      </w:r>
      <w:r w:rsidRPr="00E00516">
        <w:rPr>
          <w:color w:val="000000" w:themeColor="text1"/>
          <w:kern w:val="24"/>
        </w:rPr>
        <w:t>experience thermal metamorphism?</w:t>
      </w:r>
      <w:r>
        <w:rPr>
          <w:color w:val="000000" w:themeColor="text1"/>
          <w:kern w:val="24"/>
        </w:rPr>
        <w:t xml:space="preserve"> I</w:t>
      </w:r>
      <w:r w:rsidRPr="00E00516">
        <w:rPr>
          <w:color w:val="000000" w:themeColor="text1"/>
          <w:kern w:val="24"/>
        </w:rPr>
        <w:t>f so</w:t>
      </w:r>
      <w:r>
        <w:rPr>
          <w:color w:val="000000" w:themeColor="text1"/>
          <w:kern w:val="24"/>
        </w:rPr>
        <w:t>,</w:t>
      </w:r>
      <w:r w:rsidRPr="00E00516">
        <w:rPr>
          <w:color w:val="000000" w:themeColor="text1"/>
          <w:kern w:val="24"/>
        </w:rPr>
        <w:t xml:space="preserve"> did this occur on the comet or rather in a prior setting?</w:t>
      </w:r>
      <w:r>
        <w:t xml:space="preserve"> </w:t>
      </w:r>
      <w:r>
        <w:rPr>
          <w:color w:val="000000" w:themeColor="text1"/>
          <w:kern w:val="24"/>
        </w:rPr>
        <w:t>Alternatively,</w:t>
      </w:r>
      <w:r w:rsidRPr="00E00516">
        <w:rPr>
          <w:color w:val="000000" w:themeColor="text1"/>
          <w:kern w:val="24"/>
        </w:rPr>
        <w:t xml:space="preserve"> did this heating occur during atmospheric entry or collection?</w:t>
      </w:r>
      <w:r w:rsidR="00034F11">
        <w:rPr>
          <w:color w:val="000000" w:themeColor="text1"/>
          <w:kern w:val="24"/>
        </w:rPr>
        <w:t xml:space="preserve"> Additional data are necessary to properly address these questions.</w:t>
      </w:r>
    </w:p>
    <w:p w14:paraId="7938CB7F" w14:textId="77777777" w:rsidR="00E00516" w:rsidRPr="00E00516" w:rsidRDefault="00E00516" w:rsidP="00362B94">
      <w:pPr>
        <w:ind w:firstLine="432"/>
        <w:jc w:val="both"/>
        <w:rPr>
          <w:color w:val="000000"/>
          <w:shd w:val="clear" w:color="auto" w:fill="FFFFFF"/>
          <w:lang w:val="en-US"/>
        </w:rPr>
      </w:pPr>
    </w:p>
    <w:p w14:paraId="3C8428B6" w14:textId="7E2C8977" w:rsidR="00777E5E" w:rsidRPr="00034F11" w:rsidRDefault="00034F11" w:rsidP="00034F11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bCs/>
        </w:rPr>
        <w:t xml:space="preserve">[1] </w:t>
      </w:r>
      <w:r w:rsidR="00303432" w:rsidRPr="00281052">
        <w:rPr>
          <w:bCs/>
        </w:rPr>
        <w:t>Frank</w:t>
      </w:r>
      <w:r w:rsidR="00777E5E">
        <w:rPr>
          <w:bCs/>
        </w:rPr>
        <w:t xml:space="preserve"> et al.</w:t>
      </w:r>
      <w:r w:rsidR="00303432" w:rsidRPr="00281052">
        <w:rPr>
          <w:bCs/>
        </w:rPr>
        <w:t xml:space="preserve"> (2014) </w:t>
      </w:r>
      <w:r w:rsidR="00777E5E">
        <w:rPr>
          <w:i/>
        </w:rPr>
        <w:t>GCA</w:t>
      </w:r>
      <w:r w:rsidR="00303432" w:rsidRPr="00281052">
        <w:t xml:space="preserve"> </w:t>
      </w:r>
      <w:r w:rsidR="00303432" w:rsidRPr="00281052">
        <w:rPr>
          <w:rFonts w:eastAsia="Arial Unicode MS"/>
          <w:b/>
          <w:bCs/>
        </w:rPr>
        <w:t>126</w:t>
      </w:r>
      <w:r w:rsidR="00303432" w:rsidRPr="00281052">
        <w:rPr>
          <w:rFonts w:eastAsia="Arial Unicode MS"/>
        </w:rPr>
        <w:t>, 284–306</w:t>
      </w:r>
      <w:r w:rsidR="00777E5E">
        <w:rPr>
          <w:rFonts w:eastAsia="Arial Unicode MS"/>
        </w:rPr>
        <w:t>;</w:t>
      </w:r>
      <w:r>
        <w:rPr>
          <w:rFonts w:eastAsia="Arial Unicode MS"/>
        </w:rPr>
        <w:t xml:space="preserve"> </w:t>
      </w:r>
      <w:r>
        <w:rPr>
          <w:lang w:val="en-US" w:eastAsia="en-US"/>
        </w:rPr>
        <w:t xml:space="preserve">[2] </w:t>
      </w:r>
      <w:r w:rsidR="00281052" w:rsidRPr="00281052">
        <w:rPr>
          <w:lang w:val="en-US" w:eastAsia="en-US"/>
        </w:rPr>
        <w:t>Grossman</w:t>
      </w:r>
      <w:r w:rsidR="00777E5E">
        <w:rPr>
          <w:lang w:val="en-US" w:eastAsia="en-US"/>
        </w:rPr>
        <w:t xml:space="preserve">, </w:t>
      </w:r>
      <w:r w:rsidR="00281052" w:rsidRPr="00281052">
        <w:rPr>
          <w:lang w:val="en-US" w:eastAsia="en-US"/>
        </w:rPr>
        <w:t xml:space="preserve">Brearley </w:t>
      </w:r>
      <w:r w:rsidR="00281052">
        <w:rPr>
          <w:lang w:val="en-US" w:eastAsia="en-US"/>
        </w:rPr>
        <w:t>(</w:t>
      </w:r>
      <w:r w:rsidR="00281052" w:rsidRPr="00281052">
        <w:rPr>
          <w:lang w:val="en-US" w:eastAsia="en-US"/>
        </w:rPr>
        <w:t>2005</w:t>
      </w:r>
      <w:r w:rsidR="00281052">
        <w:rPr>
          <w:lang w:val="en-US" w:eastAsia="en-US"/>
        </w:rPr>
        <w:t>)</w:t>
      </w:r>
      <w:r w:rsidR="00281052" w:rsidRPr="00281052">
        <w:rPr>
          <w:lang w:val="en-US" w:eastAsia="en-US"/>
        </w:rPr>
        <w:t xml:space="preserve"> </w:t>
      </w:r>
      <w:r w:rsidR="00777E5E">
        <w:rPr>
          <w:i/>
          <w:iCs/>
          <w:lang w:val="en-US" w:eastAsia="en-US"/>
        </w:rPr>
        <w:t xml:space="preserve">MAPS </w:t>
      </w:r>
      <w:r w:rsidR="00281052" w:rsidRPr="00281052">
        <w:rPr>
          <w:b/>
          <w:bCs/>
          <w:lang w:val="en-US" w:eastAsia="en-US"/>
        </w:rPr>
        <w:t>40</w:t>
      </w:r>
      <w:r w:rsidR="00281052" w:rsidRPr="00281052">
        <w:rPr>
          <w:lang w:val="en-US" w:eastAsia="en-US"/>
        </w:rPr>
        <w:t>, 87-122</w:t>
      </w:r>
      <w:r w:rsidR="00777E5E">
        <w:rPr>
          <w:lang w:val="en-US" w:eastAsia="en-US"/>
        </w:rPr>
        <w:t>;</w:t>
      </w:r>
      <w:r>
        <w:rPr>
          <w:rFonts w:eastAsia="Arial Unicode MS"/>
        </w:rPr>
        <w:t xml:space="preserve"> </w:t>
      </w:r>
      <w:r>
        <w:rPr>
          <w:rFonts w:eastAsiaTheme="minorEastAsia"/>
          <w:color w:val="000000" w:themeColor="text1"/>
          <w:kern w:val="24"/>
          <w:lang w:val="en-US"/>
        </w:rPr>
        <w:t xml:space="preserve">[3] </w:t>
      </w:r>
      <w:r w:rsidR="00777E5E" w:rsidRPr="00777E5E">
        <w:rPr>
          <w:rFonts w:eastAsiaTheme="minorEastAsia"/>
          <w:color w:val="000000" w:themeColor="text1"/>
          <w:kern w:val="24"/>
        </w:rPr>
        <w:t>Christofferson</w:t>
      </w:r>
      <w:r w:rsidR="00777E5E">
        <w:rPr>
          <w:rFonts w:eastAsiaTheme="minorEastAsia"/>
          <w:color w:val="000000" w:themeColor="text1"/>
          <w:kern w:val="24"/>
        </w:rPr>
        <w:t>,</w:t>
      </w:r>
      <w:r w:rsidR="00777E5E" w:rsidRPr="00777E5E">
        <w:rPr>
          <w:rFonts w:eastAsiaTheme="minorEastAsia"/>
          <w:color w:val="000000" w:themeColor="text1"/>
          <w:kern w:val="24"/>
        </w:rPr>
        <w:t xml:space="preserve"> Buseck (1986)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i/>
          <w:iCs/>
          <w:color w:val="000000" w:themeColor="text1"/>
          <w:kern w:val="24"/>
        </w:rPr>
        <w:t>EPSL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b/>
          <w:bCs/>
          <w:color w:val="000000" w:themeColor="text1"/>
          <w:kern w:val="24"/>
        </w:rPr>
        <w:t>78</w:t>
      </w:r>
      <w:r w:rsidR="00777E5E">
        <w:rPr>
          <w:rFonts w:eastAsiaTheme="minorEastAsia"/>
          <w:color w:val="000000" w:themeColor="text1"/>
          <w:kern w:val="24"/>
        </w:rPr>
        <w:t>, 53-66;</w:t>
      </w:r>
      <w:r w:rsidR="00777E5E" w:rsidRPr="00777E5E">
        <w:rPr>
          <w:rFonts w:eastAsiaTheme="minorEastAsia"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 xml:space="preserve">[4] </w:t>
      </w:r>
      <w:proofErr w:type="spellStart"/>
      <w:r w:rsidR="00777E5E" w:rsidRPr="00777E5E">
        <w:rPr>
          <w:rFonts w:eastAsiaTheme="minorEastAsia"/>
          <w:color w:val="000000" w:themeColor="text1"/>
          <w:kern w:val="24"/>
        </w:rPr>
        <w:t>Klöck</w:t>
      </w:r>
      <w:proofErr w:type="spellEnd"/>
      <w:r w:rsidR="00777E5E" w:rsidRPr="00777E5E">
        <w:rPr>
          <w:rFonts w:eastAsiaTheme="minorEastAsia"/>
          <w:color w:val="000000" w:themeColor="text1"/>
          <w:kern w:val="24"/>
        </w:rPr>
        <w:t xml:space="preserve"> et al. (1989)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i/>
          <w:iCs/>
          <w:color w:val="000000" w:themeColor="text1"/>
          <w:kern w:val="24"/>
        </w:rPr>
        <w:t>Nature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b/>
          <w:bCs/>
          <w:color w:val="000000" w:themeColor="text1"/>
          <w:kern w:val="24"/>
        </w:rPr>
        <w:t>339,</w:t>
      </w:r>
      <w:r w:rsidR="00777E5E">
        <w:rPr>
          <w:rFonts w:eastAsiaTheme="minorEastAsia"/>
          <w:color w:val="000000" w:themeColor="text1"/>
          <w:kern w:val="24"/>
        </w:rPr>
        <w:t xml:space="preserve"> 126-128;</w:t>
      </w:r>
      <w:r w:rsidR="00777E5E" w:rsidRPr="00777E5E">
        <w:rPr>
          <w:rFonts w:eastAsiaTheme="minorEastAsia"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 xml:space="preserve">[5] </w:t>
      </w:r>
      <w:r w:rsidR="00777E5E" w:rsidRPr="00777E5E">
        <w:rPr>
          <w:rFonts w:eastAsiaTheme="minorEastAsia"/>
          <w:color w:val="000000" w:themeColor="text1"/>
          <w:kern w:val="24"/>
        </w:rPr>
        <w:t>Zolensky</w:t>
      </w:r>
      <w:r w:rsidR="00777E5E">
        <w:rPr>
          <w:rFonts w:eastAsiaTheme="minorEastAsia"/>
          <w:color w:val="000000" w:themeColor="text1"/>
          <w:kern w:val="24"/>
        </w:rPr>
        <w:t>,</w:t>
      </w:r>
      <w:r w:rsidR="00777E5E" w:rsidRPr="00777E5E">
        <w:rPr>
          <w:rFonts w:eastAsiaTheme="minorEastAsia"/>
          <w:color w:val="000000" w:themeColor="text1"/>
          <w:kern w:val="24"/>
        </w:rPr>
        <w:t xml:space="preserve"> Barrett (1994)</w:t>
      </w:r>
      <w:r w:rsidR="00777E5E">
        <w:rPr>
          <w:rFonts w:eastAsiaTheme="minorEastAsia"/>
          <w:color w:val="000000" w:themeColor="text1"/>
          <w:kern w:val="24"/>
        </w:rPr>
        <w:t xml:space="preserve"> Meteoritics 29, 616-620;</w:t>
      </w:r>
      <w:r w:rsidR="00777E5E" w:rsidRPr="00777E5E">
        <w:rPr>
          <w:rFonts w:eastAsiaTheme="minorEastAsia"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 xml:space="preserve">[6] </w:t>
      </w:r>
      <w:r w:rsidR="00777E5E" w:rsidRPr="00777E5E">
        <w:rPr>
          <w:rFonts w:eastAsiaTheme="minorEastAsia"/>
          <w:color w:val="000000" w:themeColor="text1"/>
          <w:kern w:val="24"/>
        </w:rPr>
        <w:t>Joswiak et al. (2009)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i/>
          <w:iCs/>
          <w:color w:val="000000" w:themeColor="text1"/>
          <w:kern w:val="24"/>
        </w:rPr>
        <w:t>MAPS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b/>
          <w:bCs/>
          <w:color w:val="000000" w:themeColor="text1"/>
          <w:kern w:val="24"/>
        </w:rPr>
        <w:t>44</w:t>
      </w:r>
      <w:r w:rsidR="00777E5E">
        <w:rPr>
          <w:rFonts w:eastAsiaTheme="minorEastAsia"/>
          <w:color w:val="000000" w:themeColor="text1"/>
          <w:kern w:val="24"/>
        </w:rPr>
        <w:t xml:space="preserve">, 1561-1588; </w:t>
      </w:r>
      <w:r>
        <w:rPr>
          <w:rFonts w:eastAsiaTheme="minorEastAsia"/>
          <w:color w:val="000000" w:themeColor="text1"/>
          <w:kern w:val="24"/>
        </w:rPr>
        <w:t xml:space="preserve">[7] </w:t>
      </w:r>
      <w:r w:rsidR="00777E5E">
        <w:rPr>
          <w:rFonts w:eastAsiaTheme="minorEastAsia"/>
          <w:color w:val="000000" w:themeColor="text1"/>
          <w:kern w:val="24"/>
        </w:rPr>
        <w:t xml:space="preserve">Dobrica et al. (2009) </w:t>
      </w:r>
      <w:r w:rsidR="00777E5E" w:rsidRPr="00777E5E">
        <w:rPr>
          <w:rFonts w:eastAsiaTheme="minorEastAsia"/>
          <w:i/>
          <w:iCs/>
          <w:color w:val="000000" w:themeColor="text1"/>
          <w:kern w:val="24"/>
        </w:rPr>
        <w:t>MAPS</w:t>
      </w:r>
      <w:r w:rsidR="00777E5E">
        <w:rPr>
          <w:rFonts w:eastAsiaTheme="minorEastAsia"/>
          <w:color w:val="000000" w:themeColor="text1"/>
          <w:kern w:val="24"/>
        </w:rPr>
        <w:t xml:space="preserve"> </w:t>
      </w:r>
      <w:r w:rsidR="00777E5E" w:rsidRPr="00777E5E">
        <w:rPr>
          <w:rFonts w:eastAsiaTheme="minorEastAsia"/>
          <w:b/>
          <w:bCs/>
          <w:color w:val="000000" w:themeColor="text1"/>
          <w:kern w:val="24"/>
        </w:rPr>
        <w:t>44</w:t>
      </w:r>
      <w:r w:rsidR="00777E5E">
        <w:rPr>
          <w:rFonts w:eastAsiaTheme="minorEastAsia"/>
          <w:color w:val="000000" w:themeColor="text1"/>
          <w:kern w:val="24"/>
        </w:rPr>
        <w:t>, 1643-1661.</w:t>
      </w:r>
    </w:p>
    <w:p w14:paraId="6129A94C" w14:textId="77777777" w:rsidR="00CE61D0" w:rsidRPr="005E28EB" w:rsidRDefault="004E4181" w:rsidP="00CE61D0">
      <w:pPr>
        <w:jc w:val="right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 xml:space="preserve"> </w:t>
      </w:r>
    </w:p>
    <w:sectPr w:rsidR="00CE61D0" w:rsidRPr="005E28EB" w:rsidSect="00CE61D0"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E09E4"/>
    <w:multiLevelType w:val="hybridMultilevel"/>
    <w:tmpl w:val="5C2EEC72"/>
    <w:lvl w:ilvl="0" w:tplc="6D863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BEA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08C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25B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B6F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38E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52E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640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08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E35198C"/>
    <w:multiLevelType w:val="hybridMultilevel"/>
    <w:tmpl w:val="AED81DC4"/>
    <w:lvl w:ilvl="0" w:tplc="29CA85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8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74A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7288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100B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4A93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62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0A6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76D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96B4A10"/>
    <w:multiLevelType w:val="hybridMultilevel"/>
    <w:tmpl w:val="A384873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C16"/>
    <w:rsid w:val="00034F11"/>
    <w:rsid w:val="00060A57"/>
    <w:rsid w:val="00060E8E"/>
    <w:rsid w:val="00133032"/>
    <w:rsid w:val="00174C16"/>
    <w:rsid w:val="001C0A5E"/>
    <w:rsid w:val="00281052"/>
    <w:rsid w:val="002C0689"/>
    <w:rsid w:val="00303432"/>
    <w:rsid w:val="00362B94"/>
    <w:rsid w:val="00365DD0"/>
    <w:rsid w:val="003B217E"/>
    <w:rsid w:val="003F5D60"/>
    <w:rsid w:val="004E4181"/>
    <w:rsid w:val="00555DD2"/>
    <w:rsid w:val="005D591A"/>
    <w:rsid w:val="006309C7"/>
    <w:rsid w:val="00685347"/>
    <w:rsid w:val="006C10A5"/>
    <w:rsid w:val="006F67F0"/>
    <w:rsid w:val="00735BEA"/>
    <w:rsid w:val="00777E5E"/>
    <w:rsid w:val="008F7E74"/>
    <w:rsid w:val="00901B55"/>
    <w:rsid w:val="00974136"/>
    <w:rsid w:val="009E3EC7"/>
    <w:rsid w:val="00A63C4A"/>
    <w:rsid w:val="00AF051D"/>
    <w:rsid w:val="00AF2B23"/>
    <w:rsid w:val="00B31E0C"/>
    <w:rsid w:val="00B72223"/>
    <w:rsid w:val="00BA0AE8"/>
    <w:rsid w:val="00BE313E"/>
    <w:rsid w:val="00C13131"/>
    <w:rsid w:val="00C9393F"/>
    <w:rsid w:val="00CA5F2A"/>
    <w:rsid w:val="00CE1810"/>
    <w:rsid w:val="00CE61D0"/>
    <w:rsid w:val="00DE2F9C"/>
    <w:rsid w:val="00DF7871"/>
    <w:rsid w:val="00E00516"/>
    <w:rsid w:val="00E24A3D"/>
    <w:rsid w:val="00E505BD"/>
    <w:rsid w:val="00E87AE4"/>
    <w:rsid w:val="00FA4C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547DE5"/>
  <w15:chartTrackingRefBased/>
  <w15:docId w15:val="{6CBD4635-7E92-472E-9635-3BC81F2B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Pr>
      <w:rFonts w:ascii="Book Antiqua" w:hAnsi="Book Antiqua"/>
      <w:sz w:val="20"/>
    </w:rPr>
  </w:style>
  <w:style w:type="paragraph" w:styleId="ListParagraph">
    <w:name w:val="List Paragraph"/>
    <w:basedOn w:val="Normal"/>
    <w:uiPriority w:val="34"/>
    <w:qFormat/>
    <w:rsid w:val="00E00516"/>
    <w:pPr>
      <w:ind w:left="720"/>
      <w:contextualSpacing/>
    </w:pPr>
    <w:rPr>
      <w:lang w:val="en-US" w:eastAsia="ko-KR"/>
    </w:rPr>
  </w:style>
  <w:style w:type="paragraph" w:styleId="NormalWeb">
    <w:name w:val="Normal (Web)"/>
    <w:basedOn w:val="Normal"/>
    <w:uiPriority w:val="99"/>
    <w:unhideWhenUsed/>
    <w:rsid w:val="00E00516"/>
    <w:pPr>
      <w:spacing w:before="100" w:beforeAutospacing="1" w:after="100" w:afterAutospacing="1"/>
    </w:pPr>
    <w:rPr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5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620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9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2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request –MNHN Paris</vt:lpstr>
    </vt:vector>
  </TitlesOfParts>
  <Company>CSNSM</Company>
  <LinksUpToDate>false</LinksUpToDate>
  <CharactersWithSpaces>2267</CharactersWithSpaces>
  <SharedDoc>false</SharedDoc>
  <HLinks>
    <vt:vector size="6" baseType="variant">
      <vt:variant>
        <vt:i4>3276819</vt:i4>
      </vt:variant>
      <vt:variant>
        <vt:i4>0</vt:i4>
      </vt:variant>
      <vt:variant>
        <vt:i4>0</vt:i4>
      </vt:variant>
      <vt:variant>
        <vt:i4>5</vt:i4>
      </vt:variant>
      <vt:variant>
        <vt:lpwstr>mailto:meteor@mnhn.fr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request –MNHN Paris</dc:title>
  <dc:subject/>
  <dc:creator>Gounelle</dc:creator>
  <cp:keywords/>
  <cp:lastModifiedBy>Zolensky, Michael E. (JSC-XI211)</cp:lastModifiedBy>
  <cp:revision>2</cp:revision>
  <cp:lastPrinted>2022-03-01T17:16:00Z</cp:lastPrinted>
  <dcterms:created xsi:type="dcterms:W3CDTF">2022-03-01T18:57:00Z</dcterms:created>
  <dcterms:modified xsi:type="dcterms:W3CDTF">2022-03-01T18:57:00Z</dcterms:modified>
</cp:coreProperties>
</file>