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0BDB2" w14:textId="3360B65C" w:rsidR="00C92F6B" w:rsidRDefault="00646B27">
      <w:pPr>
        <w:spacing w:before="80"/>
        <w:ind w:left="100"/>
        <w:jc w:val="center"/>
      </w:pPr>
      <w:r>
        <w:rPr>
          <w:b/>
          <w:bCs/>
          <w:sz w:val="20"/>
          <w:szCs w:val="20"/>
        </w:rPr>
        <w:t>Residence Time and Trajectory as Constraints on Cloud-Based Habitability</w:t>
      </w:r>
    </w:p>
    <w:p w14:paraId="565A447B" w14:textId="2C2852A3" w:rsidR="00C92F6B" w:rsidRDefault="00A75767" w:rsidP="00646B27">
      <w:pPr>
        <w:pStyle w:val="BodyText"/>
        <w:ind w:left="0" w:firstLine="0"/>
        <w:jc w:val="center"/>
      </w:pPr>
      <w:r>
        <w:rPr>
          <w:b/>
        </w:rPr>
        <w:br/>
      </w:r>
      <w:r w:rsidR="00646B27" w:rsidRPr="00E856DB">
        <w:t>D. M. Gentry</w:t>
      </w:r>
      <w:r w:rsidR="00646B27" w:rsidRPr="00E856DB">
        <w:rPr>
          <w:vertAlign w:val="superscript"/>
        </w:rPr>
        <w:t>1</w:t>
      </w:r>
      <w:r w:rsidR="00646B27" w:rsidRPr="00E856DB">
        <w:t>, L. Iraci</w:t>
      </w:r>
      <w:r w:rsidR="00646B27" w:rsidRPr="00E856DB">
        <w:rPr>
          <w:vertAlign w:val="superscript"/>
        </w:rPr>
        <w:t>1</w:t>
      </w:r>
      <w:r w:rsidR="00646B27" w:rsidRPr="00E856DB">
        <w:t>, A. Cassell</w:t>
      </w:r>
      <w:r w:rsidR="00646B27" w:rsidRPr="00E856DB">
        <w:rPr>
          <w:vertAlign w:val="superscript"/>
        </w:rPr>
        <w:t>1</w:t>
      </w:r>
      <w:r w:rsidR="00646B27" w:rsidRPr="00E856DB">
        <w:t>, A. Mattioda</w:t>
      </w:r>
      <w:r w:rsidR="00646B27" w:rsidRPr="00E856DB">
        <w:rPr>
          <w:vertAlign w:val="superscript"/>
        </w:rPr>
        <w:t>1</w:t>
      </w:r>
      <w:r w:rsidR="00646B27" w:rsidRPr="00E856DB">
        <w:t>, A. Brecht</w:t>
      </w:r>
      <w:r w:rsidR="00646B27" w:rsidRPr="00E856DB">
        <w:rPr>
          <w:vertAlign w:val="superscript"/>
        </w:rPr>
        <w:t>1</w:t>
      </w:r>
      <w:r w:rsidR="00646B27" w:rsidRPr="00E856DB">
        <w:t>, K. Simon</w:t>
      </w:r>
      <w:r w:rsidR="00646B27" w:rsidRPr="00E856DB">
        <w:rPr>
          <w:vertAlign w:val="superscript"/>
        </w:rPr>
        <w:t>2</w:t>
      </w:r>
      <w:r w:rsidR="00646B27" w:rsidRPr="00E856DB">
        <w:t>, P. Sobron</w:t>
      </w:r>
      <w:r w:rsidR="00646B27" w:rsidRPr="00E856DB">
        <w:rPr>
          <w:vertAlign w:val="superscript"/>
        </w:rPr>
        <w:t>2</w:t>
      </w:r>
      <w:r w:rsidR="00646B27" w:rsidRPr="00E856DB">
        <w:t>, A. Davila</w:t>
      </w:r>
      <w:r w:rsidR="00646B27" w:rsidRPr="00E856DB">
        <w:rPr>
          <w:vertAlign w:val="superscript"/>
        </w:rPr>
        <w:t>1</w:t>
      </w:r>
    </w:p>
    <w:p w14:paraId="69770049" w14:textId="3B5AE904" w:rsidR="00646B27" w:rsidRDefault="00646B27" w:rsidP="00646B27">
      <w:pPr>
        <w:pStyle w:val="BodyText"/>
        <w:ind w:left="0" w:firstLine="0"/>
        <w:jc w:val="center"/>
      </w:pPr>
      <w:r w:rsidRPr="00E856DB">
        <w:rPr>
          <w:vertAlign w:val="superscript"/>
        </w:rPr>
        <w:t>1</w:t>
      </w:r>
      <w:r w:rsidRPr="00E856DB">
        <w:t>NASA Ames Research Center (</w:t>
      </w:r>
      <w:r w:rsidRPr="00646B27">
        <w:t>diana.gentry@nasa.gov</w:t>
      </w:r>
      <w:r w:rsidRPr="00E856DB">
        <w:t>)</w:t>
      </w:r>
    </w:p>
    <w:p w14:paraId="1A4B4651" w14:textId="188C94DB" w:rsidR="00646B27" w:rsidRDefault="00646B27" w:rsidP="00646B27">
      <w:pPr>
        <w:pStyle w:val="BodyText"/>
        <w:ind w:left="0" w:firstLine="0"/>
        <w:jc w:val="center"/>
      </w:pPr>
      <w:r w:rsidRPr="00E856DB">
        <w:rPr>
          <w:vertAlign w:val="superscript"/>
        </w:rPr>
        <w:t>2</w:t>
      </w:r>
      <w:r w:rsidRPr="00E856DB">
        <w:t>Impossible Sensing.</w:t>
      </w:r>
    </w:p>
    <w:p w14:paraId="381E13C9" w14:textId="77777777" w:rsidR="00C92F6B" w:rsidRDefault="00C92F6B">
      <w:pPr>
        <w:pStyle w:val="BodyText"/>
        <w:ind w:left="0" w:firstLine="0"/>
        <w:jc w:val="center"/>
      </w:pPr>
    </w:p>
    <w:p w14:paraId="74E9DD88" w14:textId="77777777" w:rsidR="00C92F6B" w:rsidRDefault="00C92F6B">
      <w:pPr>
        <w:sectPr w:rsidR="00C92F6B">
          <w:pgSz w:w="12240" w:h="15840"/>
          <w:pgMar w:top="1360" w:right="1320" w:bottom="280" w:left="1340" w:header="0" w:footer="0" w:gutter="0"/>
          <w:cols w:space="720"/>
          <w:formProt w:val="0"/>
          <w:docGrid w:linePitch="600" w:charSpace="36864"/>
        </w:sectPr>
      </w:pPr>
    </w:p>
    <w:p w14:paraId="5F5D6B08" w14:textId="3451ECBE" w:rsidR="00646B27" w:rsidRDefault="00646B27" w:rsidP="00646B27">
      <w:pPr>
        <w:pStyle w:val="BodyText"/>
        <w:spacing w:line="247" w:lineRule="auto"/>
      </w:pPr>
      <w:r w:rsidRPr="004933A9">
        <w:rPr>
          <w:b/>
        </w:rPr>
        <w:t>Introduction:</w:t>
      </w:r>
      <w:r>
        <w:rPr>
          <w:b/>
        </w:rPr>
        <w:t xml:space="preserve"> </w:t>
      </w:r>
      <w:r>
        <w:rPr>
          <w:bCs/>
        </w:rPr>
        <w:t>Rocky,</w:t>
      </w:r>
      <w:r w:rsidRPr="004933A9">
        <w:rPr>
          <w:b/>
        </w:rPr>
        <w:t xml:space="preserve"> </w:t>
      </w:r>
      <w:r>
        <w:rPr>
          <w:bCs/>
        </w:rPr>
        <w:t xml:space="preserve">geologically active </w:t>
      </w:r>
      <w:r>
        <w:t>worlds with water, including Venus, are often considered potential origins for Earthlike biochemistries.  They are also some of the likeliest worlds to have clouds.  Yet the requirements for cloud</w:t>
      </w:r>
      <w:r>
        <w:t xml:space="preserve"> habitability</w:t>
      </w:r>
      <w:r>
        <w:t xml:space="preserve"> – the potential for aerobiospheres – is rarely studied.  </w:t>
      </w:r>
      <w:r w:rsidRPr="00AF06FE">
        <w:t xml:space="preserve">Earth's clouds carry significant </w:t>
      </w:r>
      <w:r>
        <w:t xml:space="preserve">numbers of </w:t>
      </w:r>
      <w:r w:rsidRPr="00AF06FE">
        <w:t xml:space="preserve">active microbes </w:t>
      </w:r>
      <w:r w:rsidRPr="00AF06FE">
        <w:fldChar w:fldCharType="begin"/>
      </w:r>
      <w:r>
        <w:instrText xml:space="preserve"> ADDIN ZOTERO_ITEM CSL_CITATION {"citationID":"VmStZZJl","properties":{"formattedCitation":"(Amato et al., 2017)","plainCitation":"(Amato et al., 2017)","noteIndex":0},"citationItems":[{"id":3138,"uris":["http://zotero.org/users/local/J93KqeAa/items/NTBW759R"],"uri":["http://zotero.org/users/local/J93KqeAa/items/NTBW759R"],"itemData":{"id":3138,"type":"article-journal","container-title":"PloS one","DOI":"10.1371/journal.pone.0182869","issue":"8","page":"e0182869","source":"Google Scholar","title":"Active microorganisms thrive among extremely diverse communities in cloud water","volume":"12","author":[{"family":"Amato","given":"Pierre"},{"family":"Joly","given":"Muriel"},{"family":"Besaury","given":"Ludovic"},{"family":"Oudart","given":"Anne"},{"family":"Taib","given":"Najwa"},{"family":"Moné","given":"Anne I."},{"family":"Deguillaume","given":"Laurent"},{"family":"Delort","given":"Anne-Marie"},{"family":"Debroas","given":"Didier"}],"issued":{"date-parts":[["2017"]]},"citation-key":"Amato_2017"}}],"schema":"https://github.com/citation-style-language/schema/raw/master/csl-citation.json"} </w:instrText>
      </w:r>
      <w:r w:rsidRPr="00AF06FE">
        <w:fldChar w:fldCharType="separate"/>
      </w:r>
      <w:r>
        <w:t>(Amato et al., 2017)</w:t>
      </w:r>
      <w:r w:rsidRPr="00AF06FE">
        <w:fldChar w:fldCharType="end"/>
      </w:r>
      <w:r>
        <w:t xml:space="preserve">, which affect planetary </w:t>
      </w:r>
      <w:r w:rsidRPr="00AF06FE">
        <w:t xml:space="preserve">weather (as condensation and ice nuclei), climate (alteration of cloud and surface albedo), and water and air chemistry (through metabolic processing) </w:t>
      </w:r>
      <w:r w:rsidRPr="00AF06FE">
        <w:fldChar w:fldCharType="begin"/>
      </w:r>
      <w:r>
        <w:instrText xml:space="preserve"> ADDIN ZOTERO_ITEM CSL_CITATION {"citationID":"F18eawVW","properties":{"formattedCitation":"(Delort et al., 2010)","plainCitation":"(Delort et al., 2010)","noteIndex":0},"citationItems":[{"id":2305,"uris":["http://zotero.org/users/local/J93KqeAa/items/E2N55MKW"],"uri":["http://zotero.org/users/local/J93KqeAa/items/E2N55MKW"],"itemData":{"id":2305,"type":"article-journal","container-title":"Atmospheric Research","DOI":"10.1016/j.atmosres.2010.07.004","ISSN":"01698095","issue":"2-4","language":"en","page":"249-260","source":"CrossRef","title":"A short overview of the microbial population in clouds: Potential roles in atmospheric chemistry and nucleation processes","title-short":"A short overview of the microbial population in clouds","volume":"98","author":[{"family":"Delort","given":"Anne-Marie"},{"family":"Vaïtilingom","given":"Mickael"},{"family":"Amato","given":"Pierre"},{"family":"Sancelme","given":"Martine"},{"family":"Parazols","given":"Marius"},{"family":"Mailhot","given":"Gilles"},{"family":"Laj","given":"Paolo"},{"family":"Deguillaume","given":"Laurent"}],"issued":{"date-parts":[["2010",11]]},"citation-key":"Delort_2010"}}],"schema":"https://github.com/citation-style-language/schema/raw/master/csl-citation.json"} </w:instrText>
      </w:r>
      <w:r w:rsidRPr="00AF06FE">
        <w:fldChar w:fldCharType="separate"/>
      </w:r>
      <w:r>
        <w:t>(</w:t>
      </w:r>
      <w:proofErr w:type="spellStart"/>
      <w:r>
        <w:t>Delort</w:t>
      </w:r>
      <w:proofErr w:type="spellEnd"/>
      <w:r>
        <w:t xml:space="preserve"> et al., 2010)</w:t>
      </w:r>
      <w:r w:rsidRPr="00AF06FE">
        <w:fldChar w:fldCharType="end"/>
      </w:r>
      <w:r>
        <w:t xml:space="preserve">.  </w:t>
      </w:r>
      <w:r w:rsidRPr="00AF06FE">
        <w:t xml:space="preserve">However, </w:t>
      </w:r>
      <w:r>
        <w:t>w</w:t>
      </w:r>
      <w:r w:rsidRPr="00AF06FE">
        <w:t xml:space="preserve">e have not yet observed airborne microbial reproduction in the field, and one likely reason is that microbes </w:t>
      </w:r>
      <w:r>
        <w:t xml:space="preserve">suspended in clouds </w:t>
      </w:r>
      <w:r w:rsidRPr="00AF06FE">
        <w:t xml:space="preserve">on Earth </w:t>
      </w:r>
      <w:r>
        <w:t>have residence times at best equivalent</w:t>
      </w:r>
      <w:r w:rsidRPr="00AF06FE">
        <w:t xml:space="preserve"> to typical generation times</w:t>
      </w:r>
      <w:r>
        <w:t xml:space="preserve"> – hours to days</w:t>
      </w:r>
      <w:r w:rsidRPr="00AF06FE">
        <w:t>.</w:t>
      </w:r>
    </w:p>
    <w:p w14:paraId="1DDFF39D" w14:textId="3F134426" w:rsidR="00646B27" w:rsidRDefault="00646B27" w:rsidP="00646B27">
      <w:pPr>
        <w:pStyle w:val="BodyText"/>
        <w:spacing w:line="247" w:lineRule="auto"/>
      </w:pPr>
      <w:r>
        <w:rPr>
          <w:b/>
        </w:rPr>
        <w:t xml:space="preserve">Basic habitability: </w:t>
      </w:r>
      <w:r>
        <w:t>The requirements for Earthlike life are often categorized as: (1) available water, as the overall solvent; (2) bioavailable nutrients – C, H, N, O, P, and S, plus trace elements like Fe; (3) an energy source, chemical and/or photonic; and (4) a generally stable environment, without too much or too little heat, pH, radiation, etc.  Microenvironments matter</w:t>
      </w:r>
      <w:r>
        <w:t>:</w:t>
      </w:r>
      <w:r>
        <w:t xml:space="preserve"> for example, </w:t>
      </w:r>
      <w:r w:rsidRPr="00D93392">
        <w:t xml:space="preserve">Earth's atmosphere </w:t>
      </w:r>
      <w:r>
        <w:t>has an overall water activity (~0.4) below the observed limit for microbial growth (~0.6), so while</w:t>
      </w:r>
      <w:r w:rsidRPr="00D93392">
        <w:t xml:space="preserve"> the majority of aerosolized microbes are rapidly, and fatally, desiccated</w:t>
      </w:r>
      <w:r>
        <w:t>, water clouds function as local water hot spots with 10</w:t>
      </w:r>
      <w:r>
        <w:rPr>
          <w:vertAlign w:val="superscript"/>
        </w:rPr>
        <w:t xml:space="preserve">4 </w:t>
      </w:r>
      <w:r>
        <w:t>– 10</w:t>
      </w:r>
      <w:r w:rsidRPr="00D93392">
        <w:rPr>
          <w:vertAlign w:val="superscript"/>
        </w:rPr>
        <w:t>8</w:t>
      </w:r>
      <w:r>
        <w:t xml:space="preserve"> viable cells per </w:t>
      </w:r>
      <w:proofErr w:type="spellStart"/>
      <w:r>
        <w:t>mL.</w:t>
      </w:r>
      <w:proofErr w:type="spellEnd"/>
      <w:r>
        <w:t xml:space="preserve">  Life often creates its own microenvironments; for instance, a tendency to form small cell clumps can result in interior cells being protected from UV radiation or desiccation.</w:t>
      </w:r>
    </w:p>
    <w:p w14:paraId="3391A27B" w14:textId="77777777" w:rsidR="00646B27" w:rsidRPr="0033501B" w:rsidRDefault="00646B27" w:rsidP="00646B27">
      <w:pPr>
        <w:pStyle w:val="BodyText"/>
        <w:spacing w:line="247" w:lineRule="auto"/>
        <w:rPr>
          <w:b/>
        </w:rPr>
      </w:pPr>
      <w:r w:rsidRPr="0033501B">
        <w:rPr>
          <w:b/>
        </w:rPr>
        <w:t>Residence time constraints:</w:t>
      </w:r>
      <w:r>
        <w:rPr>
          <w:b/>
        </w:rPr>
        <w:t xml:space="preserve"> </w:t>
      </w:r>
      <w:r>
        <w:rPr>
          <w:bCs/>
        </w:rPr>
        <w:t>Long-term stability of a</w:t>
      </w:r>
      <w:r w:rsidRPr="00925C0B">
        <w:rPr>
          <w:bCs/>
        </w:rPr>
        <w:t xml:space="preserve"> biosphere </w:t>
      </w:r>
      <w:r>
        <w:rPr>
          <w:bCs/>
        </w:rPr>
        <w:t>requires that</w:t>
      </w:r>
      <w:r w:rsidRPr="00925C0B">
        <w:rPr>
          <w:bCs/>
        </w:rPr>
        <w:t xml:space="preserve"> population gains must outweigh its losses.  </w:t>
      </w:r>
      <w:r>
        <w:rPr>
          <w:bCs/>
        </w:rPr>
        <w:t>Airborne h</w:t>
      </w:r>
      <w:r w:rsidRPr="00925C0B">
        <w:rPr>
          <w:bCs/>
        </w:rPr>
        <w:t xml:space="preserve">abitability therefore </w:t>
      </w:r>
      <w:r>
        <w:rPr>
          <w:bCs/>
        </w:rPr>
        <w:t>requires that the mean time aloft (</w:t>
      </w:r>
      <w:r w:rsidRPr="00925C0B">
        <w:rPr>
          <w:bCs/>
        </w:rPr>
        <w:t>r</w:t>
      </w:r>
      <w:r>
        <w:rPr>
          <w:bCs/>
        </w:rPr>
        <w:t>esidence time)</w:t>
      </w:r>
      <w:r w:rsidRPr="00925C0B">
        <w:rPr>
          <w:bCs/>
        </w:rPr>
        <w:t xml:space="preserve"> of the population must be </w:t>
      </w:r>
      <w:r>
        <w:rPr>
          <w:bCs/>
        </w:rPr>
        <w:t>longer</w:t>
      </w:r>
      <w:r w:rsidRPr="00925C0B">
        <w:rPr>
          <w:bCs/>
        </w:rPr>
        <w:t xml:space="preserve"> than the </w:t>
      </w:r>
      <w:r>
        <w:rPr>
          <w:bCs/>
        </w:rPr>
        <w:t>generation time</w:t>
      </w:r>
      <w:r w:rsidRPr="00925C0B">
        <w:rPr>
          <w:bCs/>
        </w:rPr>
        <w:t xml:space="preserve"> (</w:t>
      </w:r>
      <w:proofErr w:type="spellStart"/>
      <w:r w:rsidRPr="00925C0B">
        <w:rPr>
          <w:bCs/>
          <w:i/>
          <w:iCs/>
        </w:rPr>
        <w:t>t</w:t>
      </w:r>
      <w:r w:rsidRPr="00925C0B">
        <w:rPr>
          <w:bCs/>
          <w:i/>
          <w:iCs/>
          <w:vertAlign w:val="subscript"/>
        </w:rPr>
        <w:t>g</w:t>
      </w:r>
      <w:proofErr w:type="spellEnd"/>
      <w:r w:rsidRPr="00925C0B">
        <w:rPr>
          <w:bCs/>
          <w:i/>
          <w:iCs/>
        </w:rPr>
        <w:t xml:space="preserve"> &lt; t</w:t>
      </w:r>
      <w:r w:rsidRPr="00925C0B">
        <w:rPr>
          <w:bCs/>
          <w:i/>
          <w:iCs/>
          <w:vertAlign w:val="subscript"/>
        </w:rPr>
        <w:t>r</w:t>
      </w:r>
      <w:r w:rsidRPr="00925C0B">
        <w:rPr>
          <w:bCs/>
        </w:rPr>
        <w:t>)</w:t>
      </w:r>
      <w:r>
        <w:rPr>
          <w:bCs/>
        </w:rPr>
        <w:t>.</w:t>
      </w:r>
      <w:r w:rsidRPr="00925C0B">
        <w:rPr>
          <w:bCs/>
        </w:rPr>
        <w:t xml:space="preserve">  </w:t>
      </w:r>
      <w:r>
        <w:rPr>
          <w:bCs/>
        </w:rPr>
        <w:t>The residence time of c</w:t>
      </w:r>
      <w:r w:rsidRPr="00925C0B">
        <w:rPr>
          <w:bCs/>
        </w:rPr>
        <w:t>ell-size particles or aggregates</w:t>
      </w:r>
      <w:r>
        <w:rPr>
          <w:bCs/>
        </w:rPr>
        <w:t xml:space="preserve"> is determined </w:t>
      </w:r>
      <w:r w:rsidRPr="00925C0B">
        <w:rPr>
          <w:bCs/>
        </w:rPr>
        <w:t>by a combination of gravity, air density and viscosity,</w:t>
      </w:r>
      <w:r>
        <w:rPr>
          <w:bCs/>
        </w:rPr>
        <w:t xml:space="preserve"> thermal lofting, gravity waves, scavenging due to precipitation, other airflow patterns,</w:t>
      </w:r>
      <w:r w:rsidRPr="00925C0B">
        <w:rPr>
          <w:bCs/>
        </w:rPr>
        <w:t xml:space="preserve"> </w:t>
      </w:r>
      <w:r>
        <w:rPr>
          <w:bCs/>
        </w:rPr>
        <w:t xml:space="preserve">as well as </w:t>
      </w:r>
      <w:r w:rsidRPr="00925C0B">
        <w:rPr>
          <w:bCs/>
        </w:rPr>
        <w:t xml:space="preserve">effective </w:t>
      </w:r>
      <w:r>
        <w:rPr>
          <w:bCs/>
        </w:rPr>
        <w:t xml:space="preserve">particle </w:t>
      </w:r>
      <w:r w:rsidRPr="00925C0B">
        <w:rPr>
          <w:bCs/>
        </w:rPr>
        <w:t>radius and electrical charge.</w:t>
      </w:r>
      <w:r>
        <w:rPr>
          <w:bCs/>
        </w:rPr>
        <w:t xml:space="preserve">  </w:t>
      </w:r>
    </w:p>
    <w:p w14:paraId="7513175B" w14:textId="31E03E5C" w:rsidR="00646B27" w:rsidRDefault="00646B27" w:rsidP="00646B27">
      <w:pPr>
        <w:pStyle w:val="BodyText"/>
        <w:spacing w:line="247" w:lineRule="auto"/>
        <w:rPr>
          <w:bCs/>
        </w:rPr>
      </w:pPr>
      <w:r w:rsidRPr="0033501B">
        <w:rPr>
          <w:b/>
        </w:rPr>
        <w:t>Generation time limits:</w:t>
      </w:r>
      <w:r>
        <w:rPr>
          <w:bCs/>
        </w:rPr>
        <w:t xml:space="preserve"> The other side of the equation is the typical generation time of the potential airborne organisms.  In general, this </w:t>
      </w:r>
      <w:r>
        <w:rPr>
          <w:bCs/>
        </w:rPr>
        <w:t>is</w:t>
      </w:r>
      <w:r>
        <w:rPr>
          <w:bCs/>
        </w:rPr>
        <w:t xml:space="preserve"> </w:t>
      </w:r>
      <w:r>
        <w:rPr>
          <w:bCs/>
        </w:rPr>
        <w:t xml:space="preserve">constrained by the </w:t>
      </w:r>
      <w:r>
        <w:rPr>
          <w:bCs/>
        </w:rPr>
        <w:t xml:space="preserve">energy available to primary producers (phototrophs, lithotrophs, chemotrophs, etc.), although different metabolic strategies vary widely in rate and efficiency (methanogenesis, sulfur oxidation, oxygenic photosynthesis, etc.). Environmental stress, such as radiation, osmotic, temperature, or pH extremes, will further slow growth as organisms spend proportionally </w:t>
      </w:r>
      <w:r>
        <w:rPr>
          <w:bCs/>
        </w:rPr>
        <w:t>more energy on protection or repair.  Lastly, although many extremophiles have adapted to form tough, protective, inactive forms – endospores, cysts, akinetes, and the like – to survive temporary periods of otherwise uninhabitable conditions, inactive microbes are still subject to settling, and thus this strategy has its limits in allowing atmospheric habitability.</w:t>
      </w:r>
    </w:p>
    <w:p w14:paraId="7873F39E" w14:textId="77777777" w:rsidR="00646B27" w:rsidRDefault="00646B27" w:rsidP="00646B27">
      <w:pPr>
        <w:pStyle w:val="BodyText"/>
        <w:spacing w:line="247" w:lineRule="auto"/>
        <w:rPr>
          <w:bCs/>
        </w:rPr>
      </w:pPr>
      <w:r w:rsidRPr="0033501B">
        <w:rPr>
          <w:b/>
        </w:rPr>
        <w:t xml:space="preserve">Trajectory considerations: </w:t>
      </w:r>
      <w:r>
        <w:rPr>
          <w:bCs/>
        </w:rPr>
        <w:t xml:space="preserve">Taken together, the small-scale factors affecting residence time and generation time imply the importance of understanding the typical trajectory of airborne microbes.  As described above, individual periods of inactivity extend mean generation times, and thus require greater mean residence times for long-term biosphere habitability; however, repeated cycles of stress can be even more damaging than the sum of the individual exposures.  </w:t>
      </w:r>
      <w:r>
        <w:t xml:space="preserve">Biomolecular damage is incurred during the process of generating dormant forms – for example, order of magnitude or more reductions are not uncommon in microbes surviving freeze/thaw or dehydration/rehydration – and will continue to accumulate while inactive.  If the incurred damage is greater or more frequent than what microbes </w:t>
      </w:r>
      <w:proofErr w:type="gramStart"/>
      <w:r>
        <w:t>are able to</w:t>
      </w:r>
      <w:proofErr w:type="gramEnd"/>
      <w:r>
        <w:t xml:space="preserve"> repair during their active stages, life will not persist, even in environments which continue to have clement periods.  </w:t>
      </w:r>
    </w:p>
    <w:p w14:paraId="1355F474" w14:textId="0433CDE3" w:rsidR="00646B27" w:rsidRDefault="00646B27" w:rsidP="00646B27">
      <w:pPr>
        <w:pStyle w:val="BodyText"/>
        <w:spacing w:line="247" w:lineRule="auto"/>
        <w:ind w:left="90" w:firstLine="360"/>
        <w:rPr>
          <w:bCs/>
        </w:rPr>
      </w:pPr>
      <w:r>
        <w:rPr>
          <w:b/>
        </w:rPr>
        <w:t>Recommended observations:</w:t>
      </w:r>
      <w:r>
        <w:rPr>
          <w:bCs/>
        </w:rPr>
        <w:t xml:space="preserve"> </w:t>
      </w:r>
      <w:r w:rsidRPr="00AF2D1C">
        <w:rPr>
          <w:bCs/>
        </w:rPr>
        <w:t>Understanding the</w:t>
      </w:r>
      <w:r>
        <w:rPr>
          <w:bCs/>
        </w:rPr>
        <w:t xml:space="preserve"> interplay of these </w:t>
      </w:r>
      <w:r w:rsidRPr="00AF2D1C">
        <w:rPr>
          <w:bCs/>
        </w:rPr>
        <w:t>factors</w:t>
      </w:r>
      <w:r>
        <w:rPr>
          <w:bCs/>
        </w:rPr>
        <w:t>, for Venus and for potential Earth- or Venus-like exoplanets,</w:t>
      </w:r>
      <w:r w:rsidRPr="00AF2D1C">
        <w:rPr>
          <w:bCs/>
        </w:rPr>
        <w:t xml:space="preserve"> is key to evaluating the basic potential for an airborne biosphere</w:t>
      </w:r>
      <w:r>
        <w:rPr>
          <w:bCs/>
        </w:rPr>
        <w:t xml:space="preserve">.  Developing such a model </w:t>
      </w:r>
      <w:r w:rsidRPr="00AF2D1C">
        <w:rPr>
          <w:bCs/>
        </w:rPr>
        <w:t>require</w:t>
      </w:r>
      <w:r>
        <w:rPr>
          <w:bCs/>
        </w:rPr>
        <w:t>s</w:t>
      </w:r>
      <w:r w:rsidRPr="00AF2D1C">
        <w:rPr>
          <w:bCs/>
        </w:rPr>
        <w:t xml:space="preserve"> </w:t>
      </w:r>
      <w:proofErr w:type="gramStart"/>
      <w:r w:rsidRPr="00AF2D1C">
        <w:rPr>
          <w:bCs/>
        </w:rPr>
        <w:t>a number of</w:t>
      </w:r>
      <w:proofErr w:type="gramEnd"/>
      <w:r w:rsidRPr="00AF2D1C">
        <w:rPr>
          <w:bCs/>
        </w:rPr>
        <w:t xml:space="preserve"> micro- and macro-scale </w:t>
      </w:r>
      <w:r>
        <w:rPr>
          <w:bCs/>
        </w:rPr>
        <w:t xml:space="preserve">remote and </w:t>
      </w:r>
      <w:r>
        <w:rPr>
          <w:bCs/>
          <w:i/>
          <w:iCs/>
        </w:rPr>
        <w:t xml:space="preserve">in situ </w:t>
      </w:r>
      <w:r w:rsidRPr="00AF2D1C">
        <w:rPr>
          <w:bCs/>
        </w:rPr>
        <w:t>measurements</w:t>
      </w:r>
      <w:r>
        <w:rPr>
          <w:bCs/>
        </w:rPr>
        <w:t xml:space="preserve">: for instance, atmospheric dynamics, surface-atmosphere fluxes, and cloud and aerosol microphysics.  Complementarily, </w:t>
      </w:r>
      <w:r w:rsidRPr="00217217">
        <w:rPr>
          <w:bCs/>
        </w:rPr>
        <w:t>Earth’s atmosphere is significantly underexplored</w:t>
      </w:r>
      <w:r>
        <w:rPr>
          <w:bCs/>
        </w:rPr>
        <w:t xml:space="preserve"> from a biological perspective </w:t>
      </w:r>
      <w:r w:rsidRPr="00217217">
        <w:rPr>
          <w:bCs/>
        </w:rPr>
        <w:t>compared to its land, oceans, and even subsurface biospheres</w:t>
      </w:r>
      <w:r>
        <w:rPr>
          <w:bCs/>
        </w:rPr>
        <w:t xml:space="preserve">; a greater understanding of the diversity and activity of airborne life, both in the warm, wet troposphere and the much drier and colder stratosphere is needed.  </w:t>
      </w:r>
      <w:proofErr w:type="gramStart"/>
      <w:r>
        <w:rPr>
          <w:bCs/>
        </w:rPr>
        <w:t>In particular, Earth’s</w:t>
      </w:r>
      <w:proofErr w:type="gramEnd"/>
      <w:r>
        <w:rPr>
          <w:bCs/>
        </w:rPr>
        <w:t xml:space="preserve"> stratospheric sulfate layer is in many aspects a decent science analog for Venus.  Finally, laboratory work understanding the generation times of likely microbial analogs, and how these are affected by different combinations of stressors, will also fill a key knowledge gap</w:t>
      </w:r>
      <w:r>
        <w:rPr>
          <w:bCs/>
        </w:rPr>
        <w:t>.</w:t>
      </w:r>
    </w:p>
    <w:p w14:paraId="638FC9F3" w14:textId="77777777" w:rsidR="00646B27" w:rsidRDefault="00646B27" w:rsidP="00646B27">
      <w:pPr>
        <w:pStyle w:val="BodyText"/>
        <w:spacing w:line="247" w:lineRule="auto"/>
        <w:ind w:left="90" w:firstLine="360"/>
        <w:rPr>
          <w:bCs/>
        </w:rPr>
      </w:pPr>
      <w:r w:rsidRPr="00B35F88">
        <w:rPr>
          <w:b/>
        </w:rPr>
        <w:t>Acknowledgments:</w:t>
      </w:r>
      <w:r>
        <w:rPr>
          <w:bCs/>
        </w:rPr>
        <w:t xml:space="preserve"> Funding provided by a NASA Ames Center Innovation Fund award.</w:t>
      </w:r>
    </w:p>
    <w:p w14:paraId="1E4357E1" w14:textId="77777777" w:rsidR="00646B27" w:rsidRPr="004933A9" w:rsidRDefault="00646B27" w:rsidP="00646B27">
      <w:pPr>
        <w:pStyle w:val="BodyText"/>
        <w:spacing w:line="247" w:lineRule="auto"/>
        <w:ind w:right="118"/>
      </w:pPr>
      <w:r w:rsidRPr="004933A9">
        <w:rPr>
          <w:b/>
        </w:rPr>
        <w:t xml:space="preserve">References: </w:t>
      </w:r>
    </w:p>
    <w:p w14:paraId="188F1C19" w14:textId="77777777" w:rsidR="00646B27" w:rsidRPr="00232653" w:rsidRDefault="00646B27" w:rsidP="00646B27">
      <w:pPr>
        <w:pStyle w:val="Bibliography"/>
        <w:tabs>
          <w:tab w:val="left" w:pos="90"/>
        </w:tabs>
        <w:ind w:left="360" w:hanging="270"/>
        <w:rPr>
          <w:sz w:val="20"/>
        </w:rPr>
      </w:pPr>
      <w:r>
        <w:fldChar w:fldCharType="begin"/>
      </w:r>
      <w:r>
        <w:instrText xml:space="preserve"> ADDIN ZOTERO_BIBL {"uncited":[],"omitted":[],"custom":[]} CSL_BIBLIOGRAPHY </w:instrText>
      </w:r>
      <w:r>
        <w:fldChar w:fldCharType="separate"/>
      </w:r>
      <w:r w:rsidRPr="00232653">
        <w:rPr>
          <w:sz w:val="20"/>
        </w:rPr>
        <w:t xml:space="preserve">Amato, P. et al. 2017. </w:t>
      </w:r>
      <w:proofErr w:type="spellStart"/>
      <w:r w:rsidRPr="00232653">
        <w:rPr>
          <w:i/>
          <w:iCs/>
          <w:sz w:val="20"/>
        </w:rPr>
        <w:t>PloS</w:t>
      </w:r>
      <w:proofErr w:type="spellEnd"/>
      <w:r w:rsidRPr="00232653">
        <w:rPr>
          <w:i/>
          <w:iCs/>
          <w:sz w:val="20"/>
        </w:rPr>
        <w:t xml:space="preserve"> one</w:t>
      </w:r>
      <w:r w:rsidRPr="00232653">
        <w:rPr>
          <w:sz w:val="20"/>
        </w:rPr>
        <w:t>. DOI:</w:t>
      </w:r>
      <w:r>
        <w:rPr>
          <w:sz w:val="20"/>
        </w:rPr>
        <w:t xml:space="preserve"> </w:t>
      </w:r>
      <w:r w:rsidRPr="00232653">
        <w:rPr>
          <w:sz w:val="20"/>
        </w:rPr>
        <w:t>10.1371/journal.pone.0182869.</w:t>
      </w:r>
    </w:p>
    <w:p w14:paraId="453597E4" w14:textId="77777777" w:rsidR="00646B27" w:rsidRPr="00232653" w:rsidRDefault="00646B27" w:rsidP="00646B27">
      <w:pPr>
        <w:pStyle w:val="Bibliography"/>
        <w:ind w:left="360" w:hanging="270"/>
        <w:rPr>
          <w:sz w:val="20"/>
        </w:rPr>
      </w:pPr>
      <w:proofErr w:type="spellStart"/>
      <w:r w:rsidRPr="00232653">
        <w:rPr>
          <w:sz w:val="20"/>
        </w:rPr>
        <w:t>Delort</w:t>
      </w:r>
      <w:proofErr w:type="spellEnd"/>
      <w:r w:rsidRPr="00232653">
        <w:rPr>
          <w:sz w:val="20"/>
        </w:rPr>
        <w:t xml:space="preserve">, A.-M. et al. 2010. </w:t>
      </w:r>
      <w:r w:rsidRPr="00232653">
        <w:rPr>
          <w:i/>
          <w:iCs/>
          <w:sz w:val="20"/>
        </w:rPr>
        <w:t>Atmospheric Research</w:t>
      </w:r>
      <w:r w:rsidRPr="00232653">
        <w:rPr>
          <w:sz w:val="20"/>
        </w:rPr>
        <w:t>. DOI:</w:t>
      </w:r>
      <w:r>
        <w:rPr>
          <w:sz w:val="20"/>
        </w:rPr>
        <w:t xml:space="preserve"> </w:t>
      </w:r>
      <w:r w:rsidRPr="00232653">
        <w:rPr>
          <w:sz w:val="20"/>
        </w:rPr>
        <w:t>10.1016/j.atmosres.2010.07.004.</w:t>
      </w:r>
    </w:p>
    <w:p w14:paraId="236C41F3" w14:textId="3410D122" w:rsidR="00C92F6B" w:rsidRDefault="00646B27" w:rsidP="00646B27">
      <w:pPr>
        <w:sectPr w:rsidR="00C92F6B">
          <w:type w:val="continuous"/>
          <w:pgSz w:w="12240" w:h="15840"/>
          <w:pgMar w:top="1360" w:right="1320" w:bottom="280" w:left="1340" w:header="0" w:footer="0" w:gutter="0"/>
          <w:cols w:num="2" w:space="720" w:equalWidth="0">
            <w:col w:w="4543" w:space="376"/>
            <w:col w:w="4661"/>
          </w:cols>
          <w:formProt w:val="0"/>
          <w:docGrid w:linePitch="600" w:charSpace="36864"/>
        </w:sectPr>
      </w:pPr>
      <w:r>
        <w:rPr>
          <w:sz w:val="20"/>
          <w:szCs w:val="20"/>
        </w:rPr>
        <w:fldChar w:fldCharType="end"/>
      </w:r>
    </w:p>
    <w:p w14:paraId="0B2ABF1A" w14:textId="77777777" w:rsidR="00E83B54" w:rsidRDefault="00E83B54"/>
    <w:sectPr w:rsidR="00E83B54">
      <w:type w:val="continuous"/>
      <w:pgSz w:w="12240" w:h="15840"/>
      <w:pgMar w:top="1360" w:right="1320" w:bottom="280" w:left="1340"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Source Han Sans CN Regular">
    <w:panose1 w:val="020B0604020202020204"/>
    <w:charset w:val="00"/>
    <w:family w:val="roman"/>
    <w:notTrueType/>
    <w:pitch w:val="default"/>
  </w:font>
  <w:font w:name="Lohit Devanagari">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F6B"/>
    <w:rsid w:val="00627EC8"/>
    <w:rsid w:val="00646B27"/>
    <w:rsid w:val="00A75767"/>
    <w:rsid w:val="00C92F6B"/>
    <w:rsid w:val="00DB6E24"/>
    <w:rsid w:val="00E71645"/>
    <w:rsid w:val="00E83B5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A911"/>
  <w15:docId w15:val="{AEE8916F-9A74-4056-A831-2B63E882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color w:val="993333"/>
      <w:u w:val="single" w:color="993333"/>
    </w:rPr>
  </w:style>
  <w:style w:type="character" w:customStyle="1" w:styleId="InternetLink">
    <w:name w:val="Internet Link"/>
    <w:rPr>
      <w:color w:val="000080"/>
      <w:u w:val="single"/>
    </w:rPr>
  </w:style>
  <w:style w:type="character" w:customStyle="1" w:styleId="ListLabel2">
    <w:name w:val="ListLabel 2"/>
    <w:qFormat/>
    <w:rPr>
      <w:color w:val="993333"/>
      <w:u w:val="single" w:color="993333"/>
    </w:rPr>
  </w:style>
  <w:style w:type="character" w:customStyle="1" w:styleId="ListLabel3">
    <w:name w:val="ListLabel 3"/>
    <w:qFormat/>
    <w:rPr>
      <w:color w:val="993333"/>
      <w:u w:val="single" w:color="993333"/>
    </w:rPr>
  </w:style>
  <w:style w:type="character" w:customStyle="1" w:styleId="ListLabel4">
    <w:name w:val="ListLabel 4"/>
    <w:qFormat/>
    <w:rPr>
      <w:color w:val="993333"/>
      <w:u w:val="single" w:color="993333"/>
    </w:rPr>
  </w:style>
  <w:style w:type="character" w:customStyle="1" w:styleId="ListLabel5">
    <w:name w:val="ListLabel 5"/>
    <w:qFormat/>
    <w:rPr>
      <w:color w:val="993333"/>
      <w:u w:val="single" w:color="993333"/>
    </w:rPr>
  </w:style>
  <w:style w:type="paragraph" w:customStyle="1" w:styleId="Heading">
    <w:name w:val="Heading"/>
    <w:basedOn w:val="Normal"/>
    <w:next w:val="BodyText"/>
    <w:qFormat/>
    <w:pPr>
      <w:keepNext/>
      <w:spacing w:before="240" w:after="120"/>
    </w:pPr>
    <w:rPr>
      <w:rFonts w:ascii="Liberation Sans" w:eastAsia="Source Han Sans CN Regular" w:hAnsi="Liberation Sans" w:cs="Lohit Devanagari"/>
      <w:sz w:val="28"/>
      <w:szCs w:val="28"/>
    </w:rPr>
  </w:style>
  <w:style w:type="paragraph" w:styleId="BodyText">
    <w:name w:val="Body Text"/>
    <w:basedOn w:val="Normal"/>
    <w:uiPriority w:val="1"/>
    <w:qFormat/>
    <w:pPr>
      <w:ind w:left="100" w:firstLine="288"/>
      <w:jc w:val="both"/>
    </w:pPr>
    <w:rPr>
      <w:sz w:val="20"/>
      <w:szCs w:val="20"/>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46B27"/>
    <w:rPr>
      <w:color w:val="0000FF" w:themeColor="hyperlink"/>
      <w:u w:val="single"/>
    </w:rPr>
  </w:style>
  <w:style w:type="character" w:styleId="UnresolvedMention">
    <w:name w:val="Unresolved Mention"/>
    <w:basedOn w:val="DefaultParagraphFont"/>
    <w:uiPriority w:val="99"/>
    <w:semiHidden/>
    <w:unhideWhenUsed/>
    <w:rsid w:val="00646B27"/>
    <w:rPr>
      <w:color w:val="605E5C"/>
      <w:shd w:val="clear" w:color="auto" w:fill="E1DFDD"/>
    </w:rPr>
  </w:style>
  <w:style w:type="paragraph" w:styleId="Bibliography">
    <w:name w:val="Bibliography"/>
    <w:basedOn w:val="Normal"/>
    <w:next w:val="Normal"/>
    <w:uiPriority w:val="37"/>
    <w:semiHidden/>
    <w:unhideWhenUsed/>
    <w:rsid w:val="00646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1192</Words>
  <Characters>6798</Characters>
  <Application>Microsoft Office Word</Application>
  <DocSecurity>0</DocSecurity>
  <Lines>56</Lines>
  <Paragraphs>15</Paragraphs>
  <ScaleCrop>false</ScaleCrop>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AbSciCon2019 Abstract</dc:title>
  <dc:subject>Astrobiology</dc:subject>
  <dc:creator>LPI</dc:creator>
  <dc:description/>
  <cp:lastModifiedBy>Gentry, Diana M. (ARC-SGE)</cp:lastModifiedBy>
  <cp:revision>2</cp:revision>
  <dcterms:created xsi:type="dcterms:W3CDTF">2022-01-20T02:38:00Z</dcterms:created>
  <dcterms:modified xsi:type="dcterms:W3CDTF">2022-01-20T02:38:00Z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