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43C61" w14:textId="1A8AEAE3" w:rsidR="008F28C9" w:rsidRPr="009E02B5" w:rsidRDefault="008F28C9" w:rsidP="00F74762">
      <w:pPr>
        <w:pStyle w:val="Heading1"/>
        <w:rPr>
          <w:rFonts w:eastAsia="Calibri"/>
        </w:rPr>
      </w:pPr>
      <w:r w:rsidRPr="009E02B5">
        <w:rPr>
          <w:rFonts w:eastAsia="Calibri"/>
        </w:rPr>
        <w:t>PERSPECTIVE</w:t>
      </w:r>
      <w:r w:rsidRPr="009E02B5">
        <w:rPr>
          <w:rFonts w:eastAsia="Calibri"/>
        </w:rPr>
        <w:tab/>
        <w:t>OPEN</w:t>
      </w:r>
    </w:p>
    <w:p w14:paraId="3F30ED70" w14:textId="3CB7039D" w:rsidR="008F28C9" w:rsidRDefault="00BF58B4" w:rsidP="00F74762">
      <w:pPr>
        <w:pStyle w:val="Heading1"/>
        <w:rPr>
          <w:rFonts w:eastAsia="Calibri"/>
        </w:rPr>
      </w:pPr>
      <w:r w:rsidRPr="009E02B5">
        <w:rPr>
          <w:rFonts w:eastAsia="Calibri"/>
        </w:rPr>
        <w:t xml:space="preserve">The Value of a Spaceflight </w:t>
      </w:r>
      <w:r w:rsidR="008F28C9" w:rsidRPr="009E02B5">
        <w:rPr>
          <w:rFonts w:eastAsia="Calibri"/>
        </w:rPr>
        <w:t xml:space="preserve">Clinical </w:t>
      </w:r>
      <w:r w:rsidRPr="009E02B5">
        <w:rPr>
          <w:rFonts w:eastAsia="Calibri"/>
        </w:rPr>
        <w:t xml:space="preserve">Decision Support System </w:t>
      </w:r>
      <w:r w:rsidR="00372585" w:rsidRPr="009E02B5">
        <w:rPr>
          <w:rFonts w:eastAsia="Calibri"/>
        </w:rPr>
        <w:t xml:space="preserve">for </w:t>
      </w:r>
      <w:r w:rsidR="00B739AD">
        <w:rPr>
          <w:rFonts w:eastAsia="Calibri"/>
        </w:rPr>
        <w:t>Earth-Independent Medical</w:t>
      </w:r>
      <w:r w:rsidRPr="009E02B5">
        <w:rPr>
          <w:rFonts w:eastAsia="Calibri"/>
        </w:rPr>
        <w:t xml:space="preserve"> Operations</w:t>
      </w:r>
    </w:p>
    <w:p w14:paraId="541282AA" w14:textId="77777777" w:rsidR="00F74762" w:rsidRPr="00F74762" w:rsidRDefault="00F74762" w:rsidP="00F74762">
      <w:pPr>
        <w:rPr>
          <w:lang w:eastAsia="de-DE" w:bidi="en-US"/>
        </w:rPr>
      </w:pPr>
    </w:p>
    <w:p w14:paraId="4FC0992A" w14:textId="3DC232A8" w:rsidR="003169A3" w:rsidRPr="00415F83" w:rsidRDefault="008F28C9" w:rsidP="002C3B40">
      <w:pPr>
        <w:rPr>
          <w:color w:val="auto"/>
        </w:rPr>
      </w:pPr>
      <w:r w:rsidRPr="009E02B5">
        <w:rPr>
          <w:color w:val="auto"/>
        </w:rPr>
        <w:t xml:space="preserve">Brian </w:t>
      </w:r>
      <w:r w:rsidR="00FD436E" w:rsidRPr="009E02B5">
        <w:rPr>
          <w:color w:val="auto"/>
        </w:rPr>
        <w:t xml:space="preserve">K. </w:t>
      </w:r>
      <w:r w:rsidRPr="009E02B5">
        <w:rPr>
          <w:color w:val="auto"/>
        </w:rPr>
        <w:t>Russell</w:t>
      </w:r>
      <w:proofErr w:type="gramStart"/>
      <w:r w:rsidRPr="009E02B5">
        <w:rPr>
          <w:color w:val="auto"/>
          <w:vertAlign w:val="superscript"/>
        </w:rPr>
        <w:t>1</w:t>
      </w:r>
      <w:r w:rsidR="00AA3CE7">
        <w:rPr>
          <w:color w:val="auto"/>
          <w:vertAlign w:val="superscript"/>
        </w:rPr>
        <w:t>,*</w:t>
      </w:r>
      <w:proofErr w:type="gramEnd"/>
      <w:r w:rsidRPr="009E02B5">
        <w:rPr>
          <w:color w:val="auto"/>
        </w:rPr>
        <w:t xml:space="preserve">, Barbara </w:t>
      </w:r>
      <w:r w:rsidR="00FD436E" w:rsidRPr="009E02B5">
        <w:rPr>
          <w:color w:val="auto"/>
        </w:rPr>
        <w:t xml:space="preserve">K. </w:t>
      </w:r>
      <w:r w:rsidRPr="009E02B5">
        <w:rPr>
          <w:color w:val="auto"/>
        </w:rPr>
        <w:t>Burian</w:t>
      </w:r>
      <w:r w:rsidRPr="009E02B5">
        <w:rPr>
          <w:color w:val="auto"/>
          <w:vertAlign w:val="superscript"/>
        </w:rPr>
        <w:t>2</w:t>
      </w:r>
      <w:r w:rsidRPr="009E02B5">
        <w:rPr>
          <w:color w:val="auto"/>
        </w:rPr>
        <w:t>,</w:t>
      </w:r>
      <w:r w:rsidR="00F66F54" w:rsidRPr="009E02B5">
        <w:rPr>
          <w:color w:val="auto"/>
        </w:rPr>
        <w:t xml:space="preserve"> </w:t>
      </w:r>
      <w:r w:rsidRPr="009E02B5">
        <w:rPr>
          <w:color w:val="auto"/>
        </w:rPr>
        <w:t xml:space="preserve">David </w:t>
      </w:r>
      <w:r w:rsidR="00FD436E" w:rsidRPr="009E02B5">
        <w:rPr>
          <w:color w:val="auto"/>
        </w:rPr>
        <w:t xml:space="preserve">C. </w:t>
      </w:r>
      <w:r w:rsidRPr="009E02B5">
        <w:rPr>
          <w:color w:val="auto"/>
        </w:rPr>
        <w:t>Hilmers</w:t>
      </w:r>
      <w:r w:rsidRPr="009E02B5">
        <w:rPr>
          <w:color w:val="auto"/>
          <w:vertAlign w:val="superscript"/>
        </w:rPr>
        <w:t>3,4</w:t>
      </w:r>
      <w:r w:rsidRPr="009E02B5">
        <w:rPr>
          <w:color w:val="auto"/>
        </w:rPr>
        <w:t xml:space="preserve">, </w:t>
      </w:r>
      <w:r w:rsidR="003169A3" w:rsidRPr="009E02B5">
        <w:rPr>
          <w:color w:val="auto"/>
        </w:rPr>
        <w:t>Bet</w:t>
      </w:r>
      <w:r w:rsidR="00F66F54" w:rsidRPr="009E02B5">
        <w:rPr>
          <w:color w:val="auto"/>
        </w:rPr>
        <w:t>t</w:t>
      </w:r>
      <w:r w:rsidR="003169A3" w:rsidRPr="009E02B5">
        <w:rPr>
          <w:color w:val="auto"/>
        </w:rPr>
        <w:t xml:space="preserve">ina </w:t>
      </w:r>
      <w:r w:rsidR="00F66F54" w:rsidRPr="009E02B5">
        <w:rPr>
          <w:color w:val="auto"/>
        </w:rPr>
        <w:t xml:space="preserve">L. </w:t>
      </w:r>
      <w:r w:rsidR="003169A3" w:rsidRPr="009E02B5">
        <w:rPr>
          <w:color w:val="auto"/>
        </w:rPr>
        <w:t>Beard</w:t>
      </w:r>
      <w:r w:rsidR="003169A3" w:rsidRPr="009E02B5">
        <w:rPr>
          <w:color w:val="auto"/>
          <w:vertAlign w:val="superscript"/>
        </w:rPr>
        <w:t>2</w:t>
      </w:r>
      <w:r w:rsidR="003169A3" w:rsidRPr="009E02B5">
        <w:rPr>
          <w:color w:val="auto"/>
        </w:rPr>
        <w:t>, Kara Martin</w:t>
      </w:r>
      <w:r w:rsidR="003169A3" w:rsidRPr="009E02B5">
        <w:rPr>
          <w:color w:val="auto"/>
          <w:vertAlign w:val="superscript"/>
        </w:rPr>
        <w:t>2</w:t>
      </w:r>
      <w:r w:rsidR="003169A3" w:rsidRPr="009E02B5">
        <w:rPr>
          <w:color w:val="auto"/>
        </w:rPr>
        <w:t xml:space="preserve">, David </w:t>
      </w:r>
      <w:r w:rsidR="00FD436E" w:rsidRPr="009E02B5">
        <w:rPr>
          <w:color w:val="auto"/>
        </w:rPr>
        <w:t xml:space="preserve">L. </w:t>
      </w:r>
      <w:r w:rsidR="003169A3" w:rsidRPr="009E02B5">
        <w:rPr>
          <w:color w:val="auto"/>
        </w:rPr>
        <w:t>Pletcher</w:t>
      </w:r>
      <w:r w:rsidR="003169A3" w:rsidRPr="009E02B5">
        <w:rPr>
          <w:color w:val="auto"/>
          <w:vertAlign w:val="superscript"/>
        </w:rPr>
        <w:t>2</w:t>
      </w:r>
      <w:r w:rsidR="003169A3" w:rsidRPr="009E02B5">
        <w:rPr>
          <w:color w:val="auto"/>
        </w:rPr>
        <w:t>, S</w:t>
      </w:r>
      <w:r w:rsidR="00C32B3F">
        <w:rPr>
          <w:color w:val="auto"/>
        </w:rPr>
        <w:t>h</w:t>
      </w:r>
      <w:r w:rsidR="003169A3" w:rsidRPr="009E02B5">
        <w:rPr>
          <w:color w:val="auto"/>
        </w:rPr>
        <w:t>ean Phelps</w:t>
      </w:r>
      <w:r w:rsidR="003169A3" w:rsidRPr="009E02B5">
        <w:rPr>
          <w:color w:val="auto"/>
          <w:vertAlign w:val="superscript"/>
        </w:rPr>
        <w:t>3</w:t>
      </w:r>
      <w:r w:rsidR="003169A3" w:rsidRPr="009E02B5">
        <w:rPr>
          <w:color w:val="auto"/>
        </w:rPr>
        <w:t>, Ben Easter</w:t>
      </w:r>
      <w:r w:rsidR="003169A3" w:rsidRPr="009E02B5">
        <w:rPr>
          <w:color w:val="auto"/>
          <w:vertAlign w:val="superscript"/>
        </w:rPr>
        <w:t>3</w:t>
      </w:r>
      <w:r w:rsidR="003169A3" w:rsidRPr="009E02B5">
        <w:rPr>
          <w:color w:val="auto"/>
        </w:rPr>
        <w:t xml:space="preserve">, </w:t>
      </w:r>
      <w:r w:rsidR="001F2A7B">
        <w:rPr>
          <w:color w:val="auto"/>
        </w:rPr>
        <w:t xml:space="preserve">Kris </w:t>
      </w:r>
      <w:r w:rsidR="001F2A7B" w:rsidRPr="001F2A7B">
        <w:rPr>
          <w:color w:val="auto"/>
        </w:rPr>
        <w:t>Lehnhardt</w:t>
      </w:r>
      <w:r w:rsidR="001F2A7B" w:rsidRPr="00FC0BEF">
        <w:rPr>
          <w:color w:val="auto"/>
          <w:vertAlign w:val="superscript"/>
        </w:rPr>
        <w:t>3</w:t>
      </w:r>
      <w:r w:rsidR="003808B6">
        <w:rPr>
          <w:color w:val="auto"/>
          <w:vertAlign w:val="superscript"/>
        </w:rPr>
        <w:t>,4</w:t>
      </w:r>
      <w:r w:rsidR="001F2A7B">
        <w:rPr>
          <w:color w:val="auto"/>
        </w:rPr>
        <w:t xml:space="preserve">, </w:t>
      </w:r>
      <w:r w:rsidR="003169A3" w:rsidRPr="001F2A7B">
        <w:rPr>
          <w:color w:val="auto"/>
        </w:rPr>
        <w:t>Dana</w:t>
      </w:r>
      <w:r w:rsidR="003169A3" w:rsidRPr="009E02B5">
        <w:rPr>
          <w:color w:val="auto"/>
        </w:rPr>
        <w:t xml:space="preserve"> Levin</w:t>
      </w:r>
      <w:r w:rsidR="003169A3" w:rsidRPr="009E02B5">
        <w:rPr>
          <w:color w:val="auto"/>
          <w:vertAlign w:val="superscript"/>
        </w:rPr>
        <w:t>3,5</w:t>
      </w:r>
    </w:p>
    <w:p w14:paraId="69656672" w14:textId="77777777" w:rsidR="008F28C9" w:rsidRPr="009E02B5" w:rsidRDefault="008F28C9" w:rsidP="00415F83">
      <w:pPr>
        <w:spacing w:after="0"/>
        <w:rPr>
          <w:color w:val="auto"/>
        </w:rPr>
      </w:pPr>
      <w:r w:rsidRPr="009E02B5">
        <w:rPr>
          <w:color w:val="auto"/>
          <w:vertAlign w:val="superscript"/>
        </w:rPr>
        <w:t>1</w:t>
      </w:r>
      <w:r w:rsidRPr="009E02B5">
        <w:rPr>
          <w:color w:val="auto"/>
        </w:rPr>
        <w:t xml:space="preserve"> Auckland University of Technology, Auckland, New Zealand</w:t>
      </w:r>
    </w:p>
    <w:p w14:paraId="72181FF1" w14:textId="33EEE373" w:rsidR="008F28C9" w:rsidRPr="009E02B5" w:rsidRDefault="008F28C9" w:rsidP="00415F83">
      <w:pPr>
        <w:spacing w:after="0"/>
        <w:rPr>
          <w:color w:val="auto"/>
        </w:rPr>
      </w:pPr>
      <w:r w:rsidRPr="009E02B5">
        <w:rPr>
          <w:color w:val="auto"/>
          <w:vertAlign w:val="superscript"/>
        </w:rPr>
        <w:t>2</w:t>
      </w:r>
      <w:r w:rsidRPr="009E02B5">
        <w:rPr>
          <w:color w:val="auto"/>
        </w:rPr>
        <w:t xml:space="preserve"> NASA Ames Research Center, </w:t>
      </w:r>
      <w:r w:rsidR="00F66F54" w:rsidRPr="009E02B5">
        <w:rPr>
          <w:color w:val="auto"/>
        </w:rPr>
        <w:t xml:space="preserve">Moffett Field, </w:t>
      </w:r>
      <w:r w:rsidRPr="009E02B5">
        <w:rPr>
          <w:color w:val="auto"/>
        </w:rPr>
        <w:t>California</w:t>
      </w:r>
    </w:p>
    <w:p w14:paraId="228E5C69" w14:textId="3D80EA34" w:rsidR="008F28C9" w:rsidRPr="009E02B5" w:rsidRDefault="008F28C9" w:rsidP="00415F83">
      <w:pPr>
        <w:spacing w:after="0"/>
        <w:rPr>
          <w:color w:val="auto"/>
        </w:rPr>
      </w:pPr>
      <w:r w:rsidRPr="009E02B5">
        <w:rPr>
          <w:color w:val="auto"/>
          <w:vertAlign w:val="superscript"/>
        </w:rPr>
        <w:t>3</w:t>
      </w:r>
      <w:r w:rsidRPr="009E02B5">
        <w:rPr>
          <w:color w:val="auto"/>
        </w:rPr>
        <w:t xml:space="preserve"> NASA Johnson Space Center, </w:t>
      </w:r>
      <w:r w:rsidR="00F66F54" w:rsidRPr="009E02B5">
        <w:rPr>
          <w:color w:val="auto"/>
        </w:rPr>
        <w:t>Houston</w:t>
      </w:r>
      <w:r w:rsidRPr="009E02B5">
        <w:rPr>
          <w:color w:val="auto"/>
        </w:rPr>
        <w:t>, Texas</w:t>
      </w:r>
    </w:p>
    <w:p w14:paraId="4A7BE55C" w14:textId="314F4CD4" w:rsidR="008F28C9" w:rsidRPr="009E02B5" w:rsidRDefault="008F28C9" w:rsidP="00415F83">
      <w:pPr>
        <w:spacing w:after="0"/>
        <w:rPr>
          <w:color w:val="auto"/>
        </w:rPr>
      </w:pPr>
      <w:r w:rsidRPr="009E02B5">
        <w:rPr>
          <w:color w:val="auto"/>
          <w:vertAlign w:val="superscript"/>
        </w:rPr>
        <w:t>4</w:t>
      </w:r>
      <w:r w:rsidRPr="009E02B5">
        <w:rPr>
          <w:color w:val="auto"/>
        </w:rPr>
        <w:t xml:space="preserve"> Baylor College of Medicine, </w:t>
      </w:r>
      <w:r w:rsidR="00F66F54" w:rsidRPr="009E02B5">
        <w:rPr>
          <w:color w:val="auto"/>
        </w:rPr>
        <w:t>Houston</w:t>
      </w:r>
      <w:r w:rsidRPr="009E02B5">
        <w:rPr>
          <w:color w:val="auto"/>
        </w:rPr>
        <w:t>, Texas</w:t>
      </w:r>
    </w:p>
    <w:p w14:paraId="32FA7811" w14:textId="39057564" w:rsidR="008F28C9" w:rsidRDefault="008F28C9" w:rsidP="00415F83">
      <w:pPr>
        <w:spacing w:after="0"/>
        <w:rPr>
          <w:color w:val="auto"/>
        </w:rPr>
      </w:pPr>
      <w:r w:rsidRPr="009E02B5">
        <w:rPr>
          <w:color w:val="auto"/>
          <w:vertAlign w:val="superscript"/>
        </w:rPr>
        <w:t>5</w:t>
      </w:r>
      <w:r w:rsidRPr="009E02B5">
        <w:rPr>
          <w:color w:val="auto"/>
        </w:rPr>
        <w:t xml:space="preserve"> Columbia University, </w:t>
      </w:r>
      <w:r w:rsidR="00F66F54" w:rsidRPr="009E02B5">
        <w:rPr>
          <w:color w:val="auto"/>
        </w:rPr>
        <w:t>New York</w:t>
      </w:r>
      <w:r w:rsidRPr="009E02B5">
        <w:rPr>
          <w:color w:val="auto"/>
        </w:rPr>
        <w:t>, New York</w:t>
      </w:r>
    </w:p>
    <w:p w14:paraId="323ECCD1" w14:textId="77777777" w:rsidR="00415F83" w:rsidRPr="009E02B5" w:rsidRDefault="00415F83" w:rsidP="00415F83">
      <w:pPr>
        <w:spacing w:after="0"/>
        <w:rPr>
          <w:color w:val="auto"/>
        </w:rPr>
      </w:pPr>
    </w:p>
    <w:p w14:paraId="4DDCF27A" w14:textId="0899103B" w:rsidR="008F28C9" w:rsidRPr="009E02B5" w:rsidRDefault="00AA3CE7" w:rsidP="002C3B40">
      <w:pPr>
        <w:rPr>
          <w:color w:val="auto"/>
        </w:rPr>
      </w:pPr>
      <w:r>
        <w:rPr>
          <w:color w:val="auto"/>
        </w:rPr>
        <w:t>*</w:t>
      </w:r>
      <w:r w:rsidR="008F28C9" w:rsidRPr="009E02B5">
        <w:rPr>
          <w:color w:val="auto"/>
        </w:rPr>
        <w:t>Corresponding author</w:t>
      </w:r>
    </w:p>
    <w:p w14:paraId="62813EDA" w14:textId="38803FC1" w:rsidR="008F28C9" w:rsidRPr="009E02B5" w:rsidRDefault="00980807" w:rsidP="002C3B40">
      <w:pPr>
        <w:rPr>
          <w:color w:val="auto"/>
        </w:rPr>
      </w:pPr>
      <w:r>
        <w:rPr>
          <w:color w:val="auto"/>
        </w:rPr>
        <w:t>b</w:t>
      </w:r>
      <w:r w:rsidR="008F28C9" w:rsidRPr="009E02B5">
        <w:rPr>
          <w:color w:val="auto"/>
        </w:rPr>
        <w:t>rian.</w:t>
      </w:r>
      <w:r>
        <w:rPr>
          <w:color w:val="auto"/>
        </w:rPr>
        <w:t>r</w:t>
      </w:r>
      <w:r w:rsidR="008F28C9" w:rsidRPr="009E02B5">
        <w:rPr>
          <w:color w:val="auto"/>
        </w:rPr>
        <w:t>ussell@aut.ac.nz</w:t>
      </w:r>
    </w:p>
    <w:p w14:paraId="13551275" w14:textId="1360C3F9" w:rsidR="008F28C9" w:rsidRPr="009E02B5" w:rsidRDefault="008F28C9" w:rsidP="00F74762">
      <w:pPr>
        <w:pStyle w:val="Heading1"/>
        <w:rPr>
          <w:rFonts w:eastAsia="Calibri"/>
        </w:rPr>
      </w:pPr>
      <w:r w:rsidRPr="009E02B5">
        <w:rPr>
          <w:rFonts w:eastAsia="Calibri"/>
        </w:rPr>
        <w:t>A</w:t>
      </w:r>
      <w:r w:rsidR="002008DA">
        <w:rPr>
          <w:rFonts w:eastAsia="Calibri"/>
        </w:rPr>
        <w:t>bstract</w:t>
      </w:r>
    </w:p>
    <w:p w14:paraId="41B1BD23" w14:textId="1C9586E7" w:rsidR="008F28C9" w:rsidRDefault="00BC48DC" w:rsidP="002C3B40">
      <w:pPr>
        <w:rPr>
          <w:color w:val="auto"/>
        </w:rPr>
      </w:pPr>
      <w:r w:rsidRPr="009E02B5">
        <w:rPr>
          <w:color w:val="auto"/>
        </w:rPr>
        <w:t xml:space="preserve">As NASA prepares for </w:t>
      </w:r>
      <w:r w:rsidR="003844B2">
        <w:rPr>
          <w:color w:val="auto"/>
        </w:rPr>
        <w:t>crewed</w:t>
      </w:r>
      <w:r w:rsidR="003844B2" w:rsidRPr="009E02B5">
        <w:rPr>
          <w:color w:val="auto"/>
        </w:rPr>
        <w:t xml:space="preserve"> </w:t>
      </w:r>
      <w:r w:rsidRPr="009E02B5">
        <w:rPr>
          <w:color w:val="auto"/>
        </w:rPr>
        <w:t xml:space="preserve">Lunar missions </w:t>
      </w:r>
      <w:r w:rsidR="0073301E">
        <w:rPr>
          <w:color w:val="auto"/>
        </w:rPr>
        <w:t>over</w:t>
      </w:r>
      <w:r w:rsidRPr="009E02B5">
        <w:rPr>
          <w:color w:val="auto"/>
        </w:rPr>
        <w:t xml:space="preserve"> the next </w:t>
      </w:r>
      <w:r w:rsidR="00A52330">
        <w:rPr>
          <w:color w:val="auto"/>
        </w:rPr>
        <w:t>several years</w:t>
      </w:r>
      <w:r w:rsidR="004B7780">
        <w:rPr>
          <w:color w:val="auto"/>
        </w:rPr>
        <w:t>,</w:t>
      </w:r>
      <w:r w:rsidRPr="009E02B5">
        <w:rPr>
          <w:color w:val="auto"/>
        </w:rPr>
        <w:t xml:space="preserve"> plans are also underway to journey f</w:t>
      </w:r>
      <w:r w:rsidR="00A52330">
        <w:rPr>
          <w:color w:val="auto"/>
        </w:rPr>
        <w:t>a</w:t>
      </w:r>
      <w:r w:rsidRPr="009E02B5">
        <w:rPr>
          <w:color w:val="auto"/>
        </w:rPr>
        <w:t>rther into deep space</w:t>
      </w:r>
      <w:r w:rsidR="0073301E">
        <w:rPr>
          <w:color w:val="auto"/>
        </w:rPr>
        <w:t xml:space="preserve">. </w:t>
      </w:r>
      <w:r w:rsidR="008C25E2">
        <w:rPr>
          <w:color w:val="auto"/>
        </w:rPr>
        <w:t>Deep space exploration will require</w:t>
      </w:r>
      <w:r w:rsidRPr="009E02B5">
        <w:rPr>
          <w:color w:val="auto"/>
        </w:rPr>
        <w:t xml:space="preserve"> </w:t>
      </w:r>
      <w:r w:rsidR="00580DF5" w:rsidRPr="009E02B5">
        <w:rPr>
          <w:color w:val="auto"/>
        </w:rPr>
        <w:t xml:space="preserve">a paradigm shift in </w:t>
      </w:r>
      <w:r w:rsidR="0073301E">
        <w:rPr>
          <w:color w:val="auto"/>
        </w:rPr>
        <w:t xml:space="preserve">astronaut </w:t>
      </w:r>
      <w:r w:rsidR="00CB792A" w:rsidRPr="009E02B5">
        <w:rPr>
          <w:color w:val="auto"/>
        </w:rPr>
        <w:t>medical</w:t>
      </w:r>
      <w:r w:rsidR="00580DF5" w:rsidRPr="009E02B5">
        <w:rPr>
          <w:color w:val="auto"/>
        </w:rPr>
        <w:t xml:space="preserve"> support </w:t>
      </w:r>
      <w:r w:rsidR="00A52330">
        <w:rPr>
          <w:color w:val="auto"/>
        </w:rPr>
        <w:t xml:space="preserve">toward </w:t>
      </w:r>
      <w:r w:rsidR="003808B6">
        <w:rPr>
          <w:color w:val="auto"/>
        </w:rPr>
        <w:t xml:space="preserve">progressively </w:t>
      </w:r>
      <w:r w:rsidR="00A52330">
        <w:rPr>
          <w:color w:val="auto"/>
        </w:rPr>
        <w:t>Earth-</w:t>
      </w:r>
      <w:r w:rsidR="003808B6">
        <w:rPr>
          <w:color w:val="auto"/>
        </w:rPr>
        <w:t>I</w:t>
      </w:r>
      <w:r w:rsidR="00A52330">
        <w:rPr>
          <w:color w:val="auto"/>
        </w:rPr>
        <w:t xml:space="preserve">ndependent </w:t>
      </w:r>
      <w:r w:rsidR="00F32156">
        <w:rPr>
          <w:color w:val="auto"/>
        </w:rPr>
        <w:t>M</w:t>
      </w:r>
      <w:r w:rsidR="00A52330">
        <w:rPr>
          <w:color w:val="auto"/>
        </w:rPr>
        <w:t xml:space="preserve">edical </w:t>
      </w:r>
      <w:r w:rsidR="00F32156">
        <w:rPr>
          <w:color w:val="auto"/>
        </w:rPr>
        <w:t>O</w:t>
      </w:r>
      <w:r w:rsidR="00A52330">
        <w:rPr>
          <w:color w:val="auto"/>
        </w:rPr>
        <w:t>perations</w:t>
      </w:r>
      <w:r w:rsidR="003808B6">
        <w:rPr>
          <w:color w:val="auto"/>
        </w:rPr>
        <w:t xml:space="preserve"> (</w:t>
      </w:r>
      <w:r w:rsidR="00F32156">
        <w:rPr>
          <w:color w:val="auto"/>
        </w:rPr>
        <w:t>EIMO</w:t>
      </w:r>
      <w:r w:rsidR="003808B6">
        <w:rPr>
          <w:color w:val="auto"/>
        </w:rPr>
        <w:t>)</w:t>
      </w:r>
      <w:r w:rsidR="008C25E2">
        <w:rPr>
          <w:color w:val="auto"/>
        </w:rPr>
        <w:t>.</w:t>
      </w:r>
      <w:r w:rsidR="003844B2">
        <w:rPr>
          <w:color w:val="auto"/>
        </w:rPr>
        <w:t xml:space="preserve"> </w:t>
      </w:r>
      <w:r w:rsidRPr="009E02B5">
        <w:rPr>
          <w:color w:val="auto"/>
        </w:rPr>
        <w:t xml:space="preserve">The Exploration Medical Capability </w:t>
      </w:r>
      <w:r w:rsidR="0047509C">
        <w:rPr>
          <w:color w:val="auto"/>
        </w:rPr>
        <w:t xml:space="preserve">(ExMC) </w:t>
      </w:r>
      <w:r w:rsidR="003808B6">
        <w:rPr>
          <w:color w:val="auto"/>
        </w:rPr>
        <w:t>E</w:t>
      </w:r>
      <w:r w:rsidRPr="009E02B5">
        <w:rPr>
          <w:color w:val="auto"/>
        </w:rPr>
        <w:t>lement of NASA</w:t>
      </w:r>
      <w:r w:rsidR="008C25E2">
        <w:rPr>
          <w:color w:val="auto"/>
        </w:rPr>
        <w:t>’s</w:t>
      </w:r>
      <w:r w:rsidRPr="009E02B5">
        <w:rPr>
          <w:color w:val="auto"/>
        </w:rPr>
        <w:t xml:space="preserve"> Human Research Program</w:t>
      </w:r>
      <w:r w:rsidR="0047509C">
        <w:rPr>
          <w:color w:val="auto"/>
        </w:rPr>
        <w:t xml:space="preserve"> (HRP)</w:t>
      </w:r>
      <w:r w:rsidR="009F0F84">
        <w:rPr>
          <w:color w:val="auto"/>
        </w:rPr>
        <w:t xml:space="preserve"> is</w:t>
      </w:r>
      <w:r w:rsidRPr="009E02B5">
        <w:rPr>
          <w:color w:val="auto"/>
        </w:rPr>
        <w:t xml:space="preserve"> investigating the feasibility and value of advanced capabilities to </w:t>
      </w:r>
      <w:r w:rsidR="009F0F84">
        <w:rPr>
          <w:color w:val="auto"/>
        </w:rPr>
        <w:t>promote and enhance</w:t>
      </w:r>
      <w:r w:rsidR="003808B6">
        <w:rPr>
          <w:color w:val="auto"/>
        </w:rPr>
        <w:t xml:space="preserve"> </w:t>
      </w:r>
      <w:r w:rsidR="008C25E2">
        <w:rPr>
          <w:color w:val="auto"/>
        </w:rPr>
        <w:t xml:space="preserve">EIMO. </w:t>
      </w:r>
      <w:r w:rsidRPr="009E02B5">
        <w:rPr>
          <w:color w:val="auto"/>
        </w:rPr>
        <w:t>Currently</w:t>
      </w:r>
      <w:r w:rsidR="003808B6">
        <w:rPr>
          <w:color w:val="auto"/>
        </w:rPr>
        <w:t>,</w:t>
      </w:r>
      <w:r w:rsidRPr="009E02B5">
        <w:rPr>
          <w:color w:val="auto"/>
        </w:rPr>
        <w:t xml:space="preserve"> </w:t>
      </w:r>
      <w:r w:rsidR="003808B6">
        <w:rPr>
          <w:color w:val="auto"/>
        </w:rPr>
        <w:t>astronauts</w:t>
      </w:r>
      <w:r w:rsidR="003808B6" w:rsidRPr="009E02B5">
        <w:rPr>
          <w:color w:val="auto"/>
        </w:rPr>
        <w:t xml:space="preserve"> </w:t>
      </w:r>
      <w:r w:rsidRPr="009E02B5">
        <w:rPr>
          <w:color w:val="auto"/>
        </w:rPr>
        <w:t>rel</w:t>
      </w:r>
      <w:r w:rsidR="003844B2">
        <w:rPr>
          <w:color w:val="auto"/>
        </w:rPr>
        <w:t>y</w:t>
      </w:r>
      <w:r w:rsidRPr="009E02B5">
        <w:rPr>
          <w:color w:val="auto"/>
        </w:rPr>
        <w:t xml:space="preserve"> on </w:t>
      </w:r>
      <w:r w:rsidR="005C0D65" w:rsidRPr="009E02B5">
        <w:rPr>
          <w:color w:val="auto"/>
        </w:rPr>
        <w:t xml:space="preserve">real-time communication </w:t>
      </w:r>
      <w:r w:rsidR="0098216C">
        <w:rPr>
          <w:color w:val="auto"/>
        </w:rPr>
        <w:t>with</w:t>
      </w:r>
      <w:r w:rsidR="009F0F84">
        <w:rPr>
          <w:color w:val="auto"/>
        </w:rPr>
        <w:t xml:space="preserve"> </w:t>
      </w:r>
      <w:r w:rsidR="005C0D65" w:rsidRPr="009E02B5">
        <w:rPr>
          <w:color w:val="auto"/>
        </w:rPr>
        <w:t xml:space="preserve">ground-based medical providers. </w:t>
      </w:r>
      <w:r w:rsidRPr="009E02B5">
        <w:rPr>
          <w:color w:val="auto"/>
        </w:rPr>
        <w:t xml:space="preserve">However, as </w:t>
      </w:r>
      <w:r w:rsidR="007F51FB">
        <w:rPr>
          <w:color w:val="auto"/>
        </w:rPr>
        <w:t xml:space="preserve">the </w:t>
      </w:r>
      <w:r w:rsidRPr="009E02B5">
        <w:rPr>
          <w:color w:val="auto"/>
        </w:rPr>
        <w:t>distance from Earth increases</w:t>
      </w:r>
      <w:r w:rsidR="00366D75" w:rsidRPr="009E02B5">
        <w:rPr>
          <w:color w:val="auto"/>
        </w:rPr>
        <w:t>,</w:t>
      </w:r>
      <w:r w:rsidRPr="009E02B5">
        <w:rPr>
          <w:color w:val="auto"/>
        </w:rPr>
        <w:t xml:space="preserve"> so do communication delays and disruptions.</w:t>
      </w:r>
      <w:r w:rsidR="00A52330">
        <w:rPr>
          <w:color w:val="auto"/>
        </w:rPr>
        <w:t xml:space="preserve"> Moreover, resupply and evacuation will become increasingly </w:t>
      </w:r>
      <w:r w:rsidR="00AB7FE8">
        <w:rPr>
          <w:color w:val="auto"/>
        </w:rPr>
        <w:t>complex</w:t>
      </w:r>
      <w:r w:rsidR="00A52330">
        <w:rPr>
          <w:color w:val="auto"/>
        </w:rPr>
        <w:t>, if not impossible</w:t>
      </w:r>
      <w:r w:rsidR="00AB7FE8">
        <w:rPr>
          <w:color w:val="auto"/>
        </w:rPr>
        <w:t xml:space="preserve">, </w:t>
      </w:r>
      <w:r w:rsidR="007F51FB">
        <w:rPr>
          <w:color w:val="auto"/>
        </w:rPr>
        <w:t xml:space="preserve">on </w:t>
      </w:r>
      <w:r w:rsidR="003808B6">
        <w:rPr>
          <w:color w:val="auto"/>
        </w:rPr>
        <w:t>deep space missions</w:t>
      </w:r>
      <w:r w:rsidR="00A52330">
        <w:rPr>
          <w:color w:val="auto"/>
        </w:rPr>
        <w:t>.</w:t>
      </w:r>
      <w:r w:rsidRPr="009E02B5">
        <w:rPr>
          <w:color w:val="auto"/>
        </w:rPr>
        <w:t xml:space="preserve"> </w:t>
      </w:r>
      <w:r w:rsidR="00A52330">
        <w:rPr>
          <w:color w:val="auto"/>
        </w:rPr>
        <w:t>In contrast to today’s missions</w:t>
      </w:r>
      <w:r w:rsidR="003808B6">
        <w:rPr>
          <w:color w:val="auto"/>
        </w:rPr>
        <w:t xml:space="preserve"> in </w:t>
      </w:r>
      <w:r w:rsidR="007F51FB">
        <w:rPr>
          <w:color w:val="auto"/>
        </w:rPr>
        <w:t>L</w:t>
      </w:r>
      <w:r w:rsidR="003808B6">
        <w:rPr>
          <w:color w:val="auto"/>
        </w:rPr>
        <w:t xml:space="preserve">ow Earth </w:t>
      </w:r>
      <w:r w:rsidR="007F51FB">
        <w:rPr>
          <w:color w:val="auto"/>
        </w:rPr>
        <w:t>O</w:t>
      </w:r>
      <w:r w:rsidR="003808B6">
        <w:rPr>
          <w:color w:val="auto"/>
        </w:rPr>
        <w:t>rbit (LEO)</w:t>
      </w:r>
      <w:r w:rsidR="00A52330">
        <w:rPr>
          <w:color w:val="auto"/>
        </w:rPr>
        <w:t>, where most medical expertise and decision-making is ground</w:t>
      </w:r>
      <w:r w:rsidR="008C25E2">
        <w:rPr>
          <w:color w:val="auto"/>
        </w:rPr>
        <w:t>-based</w:t>
      </w:r>
      <w:r w:rsidR="00A52330">
        <w:rPr>
          <w:color w:val="auto"/>
        </w:rPr>
        <w:t>, an exploration</w:t>
      </w:r>
      <w:r w:rsidRPr="009E02B5">
        <w:rPr>
          <w:color w:val="auto"/>
        </w:rPr>
        <w:t xml:space="preserve"> crew will need to autonomously detect, diagnose, treat</w:t>
      </w:r>
      <w:r w:rsidR="003844B2">
        <w:rPr>
          <w:color w:val="auto"/>
        </w:rPr>
        <w:t>,</w:t>
      </w:r>
      <w:r w:rsidRPr="009E02B5">
        <w:rPr>
          <w:color w:val="auto"/>
        </w:rPr>
        <w:t xml:space="preserve"> and </w:t>
      </w:r>
      <w:r w:rsidR="00B2747F" w:rsidRPr="009E02B5">
        <w:rPr>
          <w:color w:val="auto"/>
        </w:rPr>
        <w:t xml:space="preserve">prevent </w:t>
      </w:r>
      <w:r w:rsidRPr="009E02B5">
        <w:rPr>
          <w:color w:val="auto"/>
        </w:rPr>
        <w:t>medical events. Due to the she</w:t>
      </w:r>
      <w:r w:rsidR="005C0D65" w:rsidRPr="009E02B5">
        <w:rPr>
          <w:color w:val="auto"/>
        </w:rPr>
        <w:t>e</w:t>
      </w:r>
      <w:r w:rsidRPr="009E02B5">
        <w:rPr>
          <w:color w:val="auto"/>
        </w:rPr>
        <w:t>r</w:t>
      </w:r>
      <w:r w:rsidR="005C0D65" w:rsidRPr="009E02B5">
        <w:rPr>
          <w:color w:val="auto"/>
        </w:rPr>
        <w:t xml:space="preserve"> amount</w:t>
      </w:r>
      <w:r w:rsidRPr="009E02B5">
        <w:rPr>
          <w:color w:val="auto"/>
        </w:rPr>
        <w:t xml:space="preserve"> of </w:t>
      </w:r>
      <w:r w:rsidR="005C0D65" w:rsidRPr="009E02B5">
        <w:rPr>
          <w:color w:val="auto"/>
        </w:rPr>
        <w:t xml:space="preserve">pre-mission </w:t>
      </w:r>
      <w:r w:rsidRPr="009E02B5">
        <w:rPr>
          <w:color w:val="auto"/>
        </w:rPr>
        <w:t xml:space="preserve">training </w:t>
      </w:r>
      <w:r w:rsidR="005C0D65" w:rsidRPr="009E02B5">
        <w:rPr>
          <w:color w:val="auto"/>
        </w:rPr>
        <w:t>required</w:t>
      </w:r>
      <w:r w:rsidR="003808B6">
        <w:rPr>
          <w:color w:val="auto"/>
        </w:rPr>
        <w:t xml:space="preserve"> to execute a human spaceflight mission</w:t>
      </w:r>
      <w:r w:rsidRPr="009E02B5">
        <w:rPr>
          <w:color w:val="auto"/>
        </w:rPr>
        <w:t xml:space="preserve">, there is </w:t>
      </w:r>
      <w:r w:rsidR="003808B6">
        <w:rPr>
          <w:color w:val="auto"/>
        </w:rPr>
        <w:t xml:space="preserve">often </w:t>
      </w:r>
      <w:r w:rsidRPr="009E02B5">
        <w:rPr>
          <w:color w:val="auto"/>
        </w:rPr>
        <w:t xml:space="preserve">little time to devote </w:t>
      </w:r>
      <w:r w:rsidR="003808B6">
        <w:rPr>
          <w:color w:val="auto"/>
        </w:rPr>
        <w:t xml:space="preserve">exclusively </w:t>
      </w:r>
      <w:r w:rsidRPr="009E02B5">
        <w:rPr>
          <w:color w:val="auto"/>
        </w:rPr>
        <w:t xml:space="preserve">to </w:t>
      </w:r>
      <w:r w:rsidR="00B2747F" w:rsidRPr="009E02B5">
        <w:rPr>
          <w:color w:val="auto"/>
        </w:rPr>
        <w:t>medical</w:t>
      </w:r>
      <w:r w:rsidRPr="009E02B5">
        <w:rPr>
          <w:color w:val="auto"/>
        </w:rPr>
        <w:t xml:space="preserve"> training. One </w:t>
      </w:r>
      <w:r w:rsidR="003808B6">
        <w:rPr>
          <w:color w:val="auto"/>
        </w:rPr>
        <w:t xml:space="preserve">potential </w:t>
      </w:r>
      <w:r w:rsidRPr="009E02B5">
        <w:rPr>
          <w:color w:val="auto"/>
        </w:rPr>
        <w:t xml:space="preserve">solution is to </w:t>
      </w:r>
      <w:r w:rsidR="007629B7">
        <w:rPr>
          <w:color w:val="auto"/>
        </w:rPr>
        <w:t xml:space="preserve">augment the </w:t>
      </w:r>
      <w:r w:rsidR="00512F55">
        <w:rPr>
          <w:color w:val="auto"/>
        </w:rPr>
        <w:t xml:space="preserve">long duration exploration </w:t>
      </w:r>
      <w:r w:rsidR="00AB7FE8">
        <w:rPr>
          <w:color w:val="auto"/>
        </w:rPr>
        <w:t xml:space="preserve">crew’s </w:t>
      </w:r>
      <w:r w:rsidR="007629B7">
        <w:rPr>
          <w:color w:val="auto"/>
        </w:rPr>
        <w:t>knowledge, skills</w:t>
      </w:r>
      <w:r w:rsidR="003808B6">
        <w:rPr>
          <w:color w:val="auto"/>
        </w:rPr>
        <w:t>,</w:t>
      </w:r>
      <w:r w:rsidR="007629B7">
        <w:rPr>
          <w:color w:val="auto"/>
        </w:rPr>
        <w:t xml:space="preserve"> and abilities </w:t>
      </w:r>
      <w:r w:rsidR="00512F55">
        <w:rPr>
          <w:color w:val="auto"/>
        </w:rPr>
        <w:t xml:space="preserve">with a </w:t>
      </w:r>
      <w:r w:rsidR="007F51FB">
        <w:rPr>
          <w:color w:val="auto"/>
        </w:rPr>
        <w:t>C</w:t>
      </w:r>
      <w:r w:rsidR="00512F55">
        <w:rPr>
          <w:color w:val="auto"/>
        </w:rPr>
        <w:t xml:space="preserve">linical </w:t>
      </w:r>
      <w:r w:rsidR="007F51FB">
        <w:rPr>
          <w:color w:val="auto"/>
        </w:rPr>
        <w:t>D</w:t>
      </w:r>
      <w:r w:rsidR="00512F55">
        <w:rPr>
          <w:color w:val="auto"/>
        </w:rPr>
        <w:t xml:space="preserve">ecision </w:t>
      </w:r>
      <w:r w:rsidR="007F51FB">
        <w:rPr>
          <w:color w:val="auto"/>
        </w:rPr>
        <w:t>S</w:t>
      </w:r>
      <w:r w:rsidR="00512F55">
        <w:rPr>
          <w:color w:val="auto"/>
        </w:rPr>
        <w:t xml:space="preserve">upport </w:t>
      </w:r>
      <w:r w:rsidR="007F51FB">
        <w:rPr>
          <w:color w:val="auto"/>
        </w:rPr>
        <w:t>S</w:t>
      </w:r>
      <w:r w:rsidR="00512F55">
        <w:rPr>
          <w:color w:val="auto"/>
        </w:rPr>
        <w:t>ystem (CDSS)</w:t>
      </w:r>
      <w:r w:rsidR="007F51FB">
        <w:rPr>
          <w:color w:val="auto"/>
        </w:rPr>
        <w:t>.</w:t>
      </w:r>
      <w:r w:rsidR="00B2747F" w:rsidRPr="009E02B5">
        <w:rPr>
          <w:color w:val="auto"/>
        </w:rPr>
        <w:t xml:space="preserve"> </w:t>
      </w:r>
      <w:r w:rsidR="00535F5E">
        <w:rPr>
          <w:color w:val="auto"/>
        </w:rPr>
        <w:t>A</w:t>
      </w:r>
      <w:r w:rsidR="009C66BD">
        <w:rPr>
          <w:color w:val="auto"/>
        </w:rPr>
        <w:t>n</w:t>
      </w:r>
      <w:r w:rsidR="008C25E2">
        <w:rPr>
          <w:color w:val="auto"/>
        </w:rPr>
        <w:t xml:space="preserve"> </w:t>
      </w:r>
      <w:r w:rsidR="00535F5E">
        <w:rPr>
          <w:color w:val="auto"/>
        </w:rPr>
        <w:t>a</w:t>
      </w:r>
      <w:r w:rsidR="00B2747F" w:rsidRPr="009E02B5">
        <w:rPr>
          <w:color w:val="auto"/>
        </w:rPr>
        <w:t>nalysis</w:t>
      </w:r>
      <w:r w:rsidR="009C66BD">
        <w:rPr>
          <w:color w:val="auto"/>
        </w:rPr>
        <w:t xml:space="preserve"> of preliminary data</w:t>
      </w:r>
      <w:r w:rsidR="00B2747F" w:rsidRPr="009E02B5">
        <w:rPr>
          <w:color w:val="auto"/>
        </w:rPr>
        <w:t xml:space="preserve"> </w:t>
      </w:r>
      <w:r w:rsidR="009C66BD">
        <w:rPr>
          <w:color w:val="auto"/>
        </w:rPr>
        <w:t>indicates</w:t>
      </w:r>
      <w:r w:rsidRPr="009E02B5">
        <w:rPr>
          <w:color w:val="auto"/>
        </w:rPr>
        <w:t xml:space="preserve"> </w:t>
      </w:r>
      <w:r w:rsidR="003808B6">
        <w:rPr>
          <w:color w:val="auto"/>
        </w:rPr>
        <w:t xml:space="preserve">potential </w:t>
      </w:r>
      <w:r w:rsidRPr="009E02B5">
        <w:rPr>
          <w:color w:val="auto"/>
        </w:rPr>
        <w:t>benefit</w:t>
      </w:r>
      <w:r w:rsidR="00FD436E" w:rsidRPr="009E02B5">
        <w:rPr>
          <w:color w:val="auto"/>
        </w:rPr>
        <w:t>s</w:t>
      </w:r>
      <w:r w:rsidRPr="009E02B5">
        <w:rPr>
          <w:color w:val="auto"/>
        </w:rPr>
        <w:t xml:space="preserve"> of </w:t>
      </w:r>
      <w:r w:rsidR="00FD436E" w:rsidRPr="009E02B5">
        <w:rPr>
          <w:color w:val="auto"/>
        </w:rPr>
        <w:t xml:space="preserve">a </w:t>
      </w:r>
      <w:r w:rsidR="003A04EE">
        <w:rPr>
          <w:color w:val="auto"/>
        </w:rPr>
        <w:t>CDSS</w:t>
      </w:r>
      <w:r w:rsidR="00FD436E" w:rsidRPr="009E02B5">
        <w:rPr>
          <w:color w:val="auto"/>
        </w:rPr>
        <w:t xml:space="preserve"> </w:t>
      </w:r>
      <w:r w:rsidR="004A4A7A">
        <w:rPr>
          <w:color w:val="auto"/>
        </w:rPr>
        <w:t xml:space="preserve">to mission outcomes </w:t>
      </w:r>
      <w:r w:rsidR="00813EDF">
        <w:rPr>
          <w:color w:val="auto"/>
        </w:rPr>
        <w:t xml:space="preserve">when augmenting cognitive and </w:t>
      </w:r>
      <w:r w:rsidR="00AB317C">
        <w:rPr>
          <w:color w:val="auto"/>
        </w:rPr>
        <w:t>procedural</w:t>
      </w:r>
      <w:r w:rsidR="00813EDF">
        <w:rPr>
          <w:color w:val="auto"/>
        </w:rPr>
        <w:t xml:space="preserve"> performance of an</w:t>
      </w:r>
      <w:r w:rsidR="00FD436E" w:rsidRPr="009E02B5">
        <w:rPr>
          <w:color w:val="auto"/>
        </w:rPr>
        <w:t xml:space="preserve"> autonomous crew </w:t>
      </w:r>
      <w:r w:rsidR="00813EDF">
        <w:rPr>
          <w:color w:val="auto"/>
        </w:rPr>
        <w:t xml:space="preserve">performing </w:t>
      </w:r>
      <w:r w:rsidR="003A04EE">
        <w:rPr>
          <w:color w:val="auto"/>
        </w:rPr>
        <w:t xml:space="preserve">medical </w:t>
      </w:r>
      <w:r w:rsidR="00FD436E" w:rsidRPr="009E02B5">
        <w:rPr>
          <w:color w:val="auto"/>
        </w:rPr>
        <w:t>operations</w:t>
      </w:r>
      <w:r w:rsidR="001607C2">
        <w:rPr>
          <w:color w:val="auto"/>
        </w:rPr>
        <w:t xml:space="preserve"> and we provide an illustrative scenario of how such a CDSS might </w:t>
      </w:r>
      <w:r w:rsidR="009C66BD">
        <w:rPr>
          <w:color w:val="auto"/>
        </w:rPr>
        <w:t>function</w:t>
      </w:r>
      <w:r w:rsidR="006E3666">
        <w:rPr>
          <w:color w:val="auto"/>
        </w:rPr>
        <w:t>.</w:t>
      </w:r>
    </w:p>
    <w:p w14:paraId="6E063993" w14:textId="1D0DD36E" w:rsidR="008F28C9" w:rsidRPr="009E02B5" w:rsidRDefault="008F28C9" w:rsidP="00F74762">
      <w:pPr>
        <w:pStyle w:val="Heading1"/>
        <w:rPr>
          <w:rFonts w:eastAsia="Calibri"/>
        </w:rPr>
      </w:pPr>
      <w:r w:rsidRPr="009E02B5">
        <w:rPr>
          <w:rFonts w:eastAsia="Calibri"/>
        </w:rPr>
        <w:t>K</w:t>
      </w:r>
      <w:r w:rsidR="002008DA">
        <w:rPr>
          <w:rFonts w:eastAsia="Calibri"/>
        </w:rPr>
        <w:t>eywords</w:t>
      </w:r>
    </w:p>
    <w:p w14:paraId="7FDBA838" w14:textId="4917DE54" w:rsidR="008F28C9" w:rsidRPr="009E02B5" w:rsidRDefault="008F28C9" w:rsidP="002C3B40">
      <w:pPr>
        <w:rPr>
          <w:color w:val="auto"/>
        </w:rPr>
      </w:pPr>
      <w:r w:rsidRPr="009E02B5">
        <w:rPr>
          <w:color w:val="auto"/>
        </w:rPr>
        <w:t xml:space="preserve">Clinical decision support, </w:t>
      </w:r>
      <w:r w:rsidR="00F24EA5">
        <w:rPr>
          <w:color w:val="auto"/>
        </w:rPr>
        <w:t>E</w:t>
      </w:r>
      <w:r w:rsidRPr="009E02B5">
        <w:rPr>
          <w:color w:val="auto"/>
        </w:rPr>
        <w:t>arth</w:t>
      </w:r>
      <w:r w:rsidR="00F24EA5">
        <w:rPr>
          <w:color w:val="auto"/>
        </w:rPr>
        <w:t>-</w:t>
      </w:r>
      <w:r w:rsidRPr="009E02B5">
        <w:rPr>
          <w:color w:val="auto"/>
        </w:rPr>
        <w:t xml:space="preserve">independent </w:t>
      </w:r>
      <w:r w:rsidR="008003C5">
        <w:rPr>
          <w:color w:val="auto"/>
        </w:rPr>
        <w:t>M</w:t>
      </w:r>
      <w:r w:rsidRPr="009E02B5">
        <w:rPr>
          <w:color w:val="auto"/>
        </w:rPr>
        <w:t xml:space="preserve">edical </w:t>
      </w:r>
      <w:r w:rsidR="008003C5">
        <w:rPr>
          <w:color w:val="auto"/>
        </w:rPr>
        <w:t>O</w:t>
      </w:r>
      <w:r w:rsidRPr="009E02B5">
        <w:rPr>
          <w:color w:val="auto"/>
        </w:rPr>
        <w:t xml:space="preserve">perations, deep space, long duration, Mars, </w:t>
      </w:r>
      <w:r w:rsidR="00F66F54" w:rsidRPr="009E02B5">
        <w:rPr>
          <w:color w:val="auto"/>
        </w:rPr>
        <w:t>autonomy</w:t>
      </w:r>
      <w:r w:rsidR="00825704" w:rsidRPr="009E02B5">
        <w:rPr>
          <w:color w:val="auto"/>
        </w:rPr>
        <w:t>, paradigm shift</w:t>
      </w:r>
      <w:r w:rsidR="00F24EA5">
        <w:rPr>
          <w:color w:val="auto"/>
        </w:rPr>
        <w:t>, space medicine</w:t>
      </w:r>
      <w:r w:rsidR="00401020">
        <w:rPr>
          <w:color w:val="auto"/>
        </w:rPr>
        <w:t>.</w:t>
      </w:r>
    </w:p>
    <w:p w14:paraId="23EAA60D" w14:textId="77777777" w:rsidR="00D738BB" w:rsidRDefault="007D3111" w:rsidP="00D738BB">
      <w:pPr>
        <w:spacing w:after="120"/>
        <w:rPr>
          <w:b/>
          <w:bCs/>
        </w:rPr>
      </w:pPr>
      <w:r w:rsidRPr="009E02B5">
        <w:rPr>
          <w:color w:val="auto"/>
        </w:rPr>
        <w:br w:type="page"/>
      </w:r>
    </w:p>
    <w:p w14:paraId="5672DEF9" w14:textId="7586C7C9" w:rsidR="00D769DA" w:rsidRDefault="00D769DA" w:rsidP="0023615B">
      <w:pPr>
        <w:pStyle w:val="Heading1"/>
      </w:pPr>
      <w:r>
        <w:lastRenderedPageBreak/>
        <w:t>Introduction</w:t>
      </w:r>
    </w:p>
    <w:p w14:paraId="47E2AB35" w14:textId="5A97682C" w:rsidR="00014D6A" w:rsidRDefault="00A41A75" w:rsidP="00014D6A">
      <w:pPr>
        <w:spacing w:after="120"/>
        <w:rPr>
          <w:color w:val="auto"/>
        </w:rPr>
      </w:pPr>
      <w:r>
        <w:t>W</w:t>
      </w:r>
      <w:r w:rsidRPr="00301730">
        <w:t xml:space="preserve">hen living and working in </w:t>
      </w:r>
      <w:r>
        <w:t xml:space="preserve">Low Earth Orbit (LEO), astronauts are exposed to radiation, isolation, confinement, altered gravity fields, and a hostile closed environment. </w:t>
      </w:r>
      <w:r w:rsidR="00BB5EC4">
        <w:t xml:space="preserve">Despite a rigorous selection process and </w:t>
      </w:r>
      <w:r w:rsidR="00AF212F">
        <w:t>exceptional</w:t>
      </w:r>
      <w:r w:rsidR="00BB5EC4">
        <w:t xml:space="preserve"> pre-flight health and conditioning status, the International Space Station</w:t>
      </w:r>
      <w:r w:rsidR="008003C5">
        <w:t>’s</w:t>
      </w:r>
      <w:r w:rsidR="00BB5EC4">
        <w:t xml:space="preserve"> (ISS) 's rotating crew</w:t>
      </w:r>
      <w:r w:rsidR="00BB5EC4" w:rsidRPr="009E02B5">
        <w:rPr>
          <w:color w:val="auto"/>
        </w:rPr>
        <w:t xml:space="preserve"> </w:t>
      </w:r>
      <w:r w:rsidR="00BB5EC4">
        <w:t>encounter</w:t>
      </w:r>
      <w:r w:rsidR="00BB5EC4" w:rsidRPr="00301730">
        <w:t xml:space="preserve"> </w:t>
      </w:r>
      <w:r w:rsidR="00BB5EC4">
        <w:t>a myriad of</w:t>
      </w:r>
      <w:r w:rsidR="00BB5EC4" w:rsidRPr="00301730">
        <w:t xml:space="preserve"> health challenges</w:t>
      </w:r>
      <w:r w:rsidR="00BB5EC4">
        <w:t xml:space="preserve"> on-orbit and following return to Earth.</w:t>
      </w:r>
      <w:r w:rsidR="00BB5EC4" w:rsidRPr="00301730">
        <w:t xml:space="preserve"> </w:t>
      </w:r>
      <w:r w:rsidR="00BB5EC4">
        <w:t>As a result, s</w:t>
      </w:r>
      <w:r w:rsidR="00014D6A">
        <w:t xml:space="preserve">pace agencies have ongoing research into </w:t>
      </w:r>
      <w:r w:rsidR="00100DD1">
        <w:t>-</w:t>
      </w:r>
      <w:r w:rsidR="00014D6A">
        <w:rPr>
          <w:color w:val="auto"/>
        </w:rPr>
        <w:t xml:space="preserve">concerns such as </w:t>
      </w:r>
      <w:r w:rsidR="00014D6A" w:rsidRPr="009E02B5">
        <w:rPr>
          <w:color w:val="auto"/>
        </w:rPr>
        <w:t>radiation carcinogenesis, Spaceflight Associated Neuro-ocular Syndrome</w:t>
      </w:r>
      <w:r w:rsidR="00BB5EC4">
        <w:rPr>
          <w:color w:val="auto"/>
        </w:rPr>
        <w:t xml:space="preserve"> (SANS)</w:t>
      </w:r>
      <w:r w:rsidR="00F05737">
        <w:rPr>
          <w:color w:val="auto"/>
        </w:rPr>
        <w:t xml:space="preserve"> </w:t>
      </w:r>
      <w:r w:rsidR="00F05737">
        <w:rPr>
          <w:color w:val="auto"/>
        </w:rPr>
        <w:fldChar w:fldCharType="begin" w:fldLock="1"/>
      </w:r>
      <w:r w:rsidR="00AB11FE">
        <w:rPr>
          <w:color w:val="auto"/>
        </w:rPr>
        <w:instrText>ADDIN CSL_CITATION {"citationItems":[{"id":"ITEM-1","itemData":{"DOI":"10.1038/s41526-020-0097-9","ISSN":"23738065","abstract":"Prolonged microgravity exposure during long-duration spaceflight (LDSF) produces unusual physiologic and pathologic neuro-ophthalmic findings in astronauts. These microgravity associated findings collectively define the “Spaceflight Associated Neuro-ocular Syndrome” (SANS). We compare and contrast prior published work on SANS by the National Aeronautics and Space Administration’s (NASA) Space Medicine Operations Division with retrospective and prospective studies from other research groups. In this manuscript, we update and review the clinical manifestations of SANS including: unilateral and bilateral optic disc edema, globe flattening, choroidal and retinal folds, hyperopic refractive error shifts, and focal areas of ischemic retina (i.e., cotton wool spots). We also discuss the knowledge gaps for in-flight and terrestrial human research including potential countermeasures for future study. We recommend that NASA and its research partners continue to study SANS in preparation for future longer duration manned space missions.","author":[{"dropping-particle":"","family":"Lee","given":"Andrew G.","non-dropping-particle":"","parse-names":false,"suffix":""},{"dropping-particle":"","family":"Mader","given":"Thomas H.","non-dropping-particle":"","parse-names":false,"suffix":""},{"dropping-particle":"","family":"Gibson","given":"C. Robert","non-dropping-particle":"","parse-names":false,"suffix":""},{"dropping-particle":"","family":"Tarver","given":"William","non-dropping-particle":"","parse-names":false,"suffix":""},{"dropping-particle":"","family":"Rabiei","given":"Pejman","non-dropping-particle":"","parse-names":false,"suffix":""},{"dropping-particle":"","family":"Riascos","given":"Roy F.","non-dropping-particle":"","parse-names":false,"suffix":""},{"dropping-particle":"","family":"Galdamez","given":"Laura A.","non-dropping-particle":"","parse-names":false,"suffix":""},{"dropping-particle":"","family":"Brunstetter","given":"Tyson","non-dropping-particle":"","parse-names":false,"suffix":""}],"container-title":"NPJ Microgravity","id":"ITEM-1","issue":"1","issued":{"date-parts":[["2020"]]},"title":"Spaceflight associated neuro-ocular syndrome (SANS) and the neuro-ophthalmologic effects of microgravity: a review and an update","type":"article-journal","volume":"6"},"uris":["http://www.mendeley.com/documents/?uuid=d5068e8c-18f4-4b24-a05b-5d795abf8cd1"]}],"mendeley":{"formattedCitation":"[1]","plainTextFormattedCitation":"[1]","previouslyFormattedCitation":"[1]"},"properties":{"noteIndex":0},"schema":"https://github.com/citation-style-language/schema/raw/master/csl-citation.json"}</w:instrText>
      </w:r>
      <w:r w:rsidR="00F05737">
        <w:rPr>
          <w:color w:val="auto"/>
        </w:rPr>
        <w:fldChar w:fldCharType="separate"/>
      </w:r>
      <w:r w:rsidR="00F05737" w:rsidRPr="00F05737">
        <w:rPr>
          <w:noProof/>
          <w:color w:val="auto"/>
        </w:rPr>
        <w:t>[1]</w:t>
      </w:r>
      <w:r w:rsidR="00F05737">
        <w:rPr>
          <w:color w:val="auto"/>
        </w:rPr>
        <w:fldChar w:fldCharType="end"/>
      </w:r>
      <w:r w:rsidR="00014D6A" w:rsidRPr="009E02B5">
        <w:rPr>
          <w:color w:val="auto"/>
        </w:rPr>
        <w:t>, muscle changes, renal stone formation</w:t>
      </w:r>
      <w:r w:rsidR="00F05737">
        <w:rPr>
          <w:color w:val="auto"/>
        </w:rPr>
        <w:t xml:space="preserve"> </w:t>
      </w:r>
      <w:r w:rsidR="00F05737">
        <w:rPr>
          <w:color w:val="auto"/>
        </w:rPr>
        <w:fldChar w:fldCharType="begin" w:fldLock="1"/>
      </w:r>
      <w:r w:rsidR="00AB11FE">
        <w:rPr>
          <w:color w:val="auto"/>
        </w:rPr>
        <w:instrText>ADDIN CSL_CITATION {"citationItems":[{"id":"ITEM-1","itemData":{"DOI":"10.1038/s41526-021-00187-z","ISSN":"23738065","abstract":"Changes in urine chemistry potentially alter the risk of renal stone formation in astronauts. Quantifying spaceflight renal stone incidence risk compared to pre-flight levels remains a significant challenge for assessing the appropriate vehicle, mission, and countermeasure design. A computational biochemistry model representing CaOx crystal precipitation, growth, and agglomeration is combined with a probabilistic analysis to predict the in- and post-flight CaOx renal stone incidence risk ratio (IRR) relative to pre-flight values using 1517 astronaut 24-h urine chemistries. Our simulations predict that in-flight fluid intake alone would need to increase from current prescriptions of 2.0–2.5 L/day to ~3.2 L/day to approach the CaOx IRR of the pre-flight population. Bone protective interventions would reduce CaOx risk to pre-flight levels if Ca excretion alone is reduced to &lt;150 mg/day or if current levels are diminished to 190 mg/day in combination with increasing fluid intake to 2.5–2.7 L/day. This analysis provides a quantitative risk assessment that can influence the critical balance between engineering and astronaut health requirements.","author":[{"dropping-particle":"","family":"Goodenow-Messman","given":"Debra A.","non-dropping-particle":"","parse-names":false,"suffix":""},{"dropping-particle":"","family":"Gokoglu","given":"Suleyman A.","non-dropping-particle":"","parse-names":false,"suffix":""},{"dropping-particle":"","family":"Kassemi","given":"Mohammad","non-dropping-particle":"","parse-names":false,"suffix":""},{"dropping-particle":"","family":"Myers","given":"Jerry G.","non-dropping-particle":"","parse-names":false,"suffix":""}],"container-title":"NPJ Microgravity","id":"ITEM-1","issue":"1","issued":{"date-parts":[["2022"]]},"page":"1-17","title":"Numerical characterization of astronaut CaOx renal stone incidence rates to quantify in-flight and post-flight relative risk","type":"article-journal","volume":"8"},"uris":["http://www.mendeley.com/documents/?uuid=a263e80a-0622-4e32-b000-f54a4bcdbc44"]}],"mendeley":{"formattedCitation":"[2]","plainTextFormattedCitation":"[2]","previouslyFormattedCitation":"[2]"},"properties":{"noteIndex":0},"schema":"https://github.com/citation-style-language/schema/raw/master/csl-citation.json"}</w:instrText>
      </w:r>
      <w:r w:rsidR="00F05737">
        <w:rPr>
          <w:color w:val="auto"/>
        </w:rPr>
        <w:fldChar w:fldCharType="separate"/>
      </w:r>
      <w:r w:rsidR="00F05737" w:rsidRPr="00F05737">
        <w:rPr>
          <w:noProof/>
          <w:color w:val="auto"/>
        </w:rPr>
        <w:t>[2]</w:t>
      </w:r>
      <w:r w:rsidR="00F05737">
        <w:rPr>
          <w:color w:val="auto"/>
        </w:rPr>
        <w:fldChar w:fldCharType="end"/>
      </w:r>
      <w:r w:rsidR="00014D6A" w:rsidRPr="009E02B5">
        <w:rPr>
          <w:color w:val="auto"/>
        </w:rPr>
        <w:t xml:space="preserve">, </w:t>
      </w:r>
      <w:r w:rsidR="00014D6A">
        <w:rPr>
          <w:color w:val="auto"/>
        </w:rPr>
        <w:t xml:space="preserve">and </w:t>
      </w:r>
      <w:r w:rsidR="00014D6A" w:rsidRPr="009E02B5">
        <w:rPr>
          <w:color w:val="auto"/>
        </w:rPr>
        <w:t>bone fracture</w:t>
      </w:r>
      <w:r w:rsidR="009E7EF9">
        <w:rPr>
          <w:color w:val="auto"/>
        </w:rPr>
        <w:t xml:space="preserve"> </w:t>
      </w:r>
      <w:r w:rsidR="009E7EF9">
        <w:rPr>
          <w:color w:val="auto"/>
        </w:rPr>
        <w:fldChar w:fldCharType="begin" w:fldLock="1"/>
      </w:r>
      <w:r w:rsidR="00AB11FE">
        <w:rPr>
          <w:color w:val="auto"/>
        </w:rPr>
        <w:instrText>ADDIN CSL_CITATION {"citationItems":[{"id":"ITEM-1","itemData":{"DOI":"10.1038/s41526-020-0103-2","ISBN":"4152602001032","ISSN":"23738065","abstract":"Bone loss in space travelers is a major challenge for long-duration space exploration. To quantify microgravity-induced bone loss in humans, we performed a meta-analysis of studies systematically identified from searching Medline, Embase, Web of Science, BIOSIS, NASA Technical reports, and HathiTrust, with the last update in November 2019. From 25 articles selected to minimize the overlap between reported populations, we extracted post-flight bone density values for 148 individuals, and in-flight and post-flight biochemical bone marker values for 124 individuals. A percentage difference in bone density relative to pre-flight was positive in the skull, +2.2% [95% confidence interval: +1.1, +3.3]; neutral in the thorax/upper limbs, −0.7% [−1.3, −0.2]; and negative in the lumbar spine/pelvis, −6.2 [−6.7, −5.6], and lower limbs, −5.4% [−6.0, −4.9]. In the lower limb region, the rate of bone loss was −0.8% [−1.1, −0.5] per month. Bone resorption markers increased hyperbolically with a time to half-max of 11 days [9, 13] and plateaued at 113% [108, 117] above pre-flight levels. Bone formation markers remained unchanged during the first 30 days and increased thereafter at 7% [5, 10] per month. Upon landing, resorption markers decreased to pre-flight levels at an exponential rate that was faster after longer flights, while formation markers increased linearly at 84% [39, 129] per month for 3–5 months post-flight. Microgravity-induced bone changes depend on the skeletal-site position relative to the gravitational vector. Post-flight recovery depends on spaceflight duration and is limited to a short post-flight period during which bone formation exceeds resorption.","author":[{"dropping-particle":"","family":"Stavnichuk","given":"Mariya","non-dropping-particle":"","parse-names":false,"suffix":""},{"dropping-particle":"","family":"Mikolajewicz","given":"Nicholas","non-dropping-particle":"","parse-names":false,"suffix":""},{"dropping-particle":"","family":"Corlett","given":"Tatsuya","non-dropping-particle":"","parse-names":false,"suffix":""},{"dropping-particle":"","family":"Morris","given":"Martin","non-dropping-particle":"","parse-names":false,"suffix":""},{"dropping-particle":"V.","family":"Komarova","given":"Svetlana","non-dropping-particle":"","parse-names":false,"suffix":""}],"container-title":"NPJ bMicrogravity","id":"ITEM-1","issue":"1","issued":{"date-parts":[["2020"]]},"title":"A systematic review and meta-analysis of bone loss in space travelers","type":"article-journal","volume":"6"},"uris":["http://www.mendeley.com/documents/?uuid=6b09598e-5ee5-45ca-a752-b14261c129aa"]}],"mendeley":{"formattedCitation":"[3]","plainTextFormattedCitation":"[3]","previouslyFormattedCitation":"[3]"},"properties":{"noteIndex":0},"schema":"https://github.com/citation-style-language/schema/raw/master/csl-citation.json"}</w:instrText>
      </w:r>
      <w:r w:rsidR="009E7EF9">
        <w:rPr>
          <w:color w:val="auto"/>
        </w:rPr>
        <w:fldChar w:fldCharType="separate"/>
      </w:r>
      <w:r w:rsidR="00F05737" w:rsidRPr="00F05737">
        <w:rPr>
          <w:noProof/>
          <w:color w:val="auto"/>
        </w:rPr>
        <w:t>[3]</w:t>
      </w:r>
      <w:r w:rsidR="009E7EF9">
        <w:rPr>
          <w:color w:val="auto"/>
        </w:rPr>
        <w:fldChar w:fldCharType="end"/>
      </w:r>
      <w:r w:rsidR="00014D6A">
        <w:rPr>
          <w:color w:val="auto"/>
        </w:rPr>
        <w:t>.</w:t>
      </w:r>
    </w:p>
    <w:p w14:paraId="1C314129" w14:textId="6159097E" w:rsidR="00B12C6F" w:rsidRDefault="00B12C6F" w:rsidP="00B12C6F">
      <w:pPr>
        <w:spacing w:after="120"/>
      </w:pPr>
      <w:r>
        <w:t>Health care and medical evaluation on the ISS are managed primarily by a team of clinical practitioners on Earth. Each mission is assigned a dedicated, console certified</w:t>
      </w:r>
      <w:r w:rsidR="00017B85">
        <w:t>,</w:t>
      </w:r>
      <w:r>
        <w:t xml:space="preserve"> </w:t>
      </w:r>
      <w:r w:rsidR="003054F4">
        <w:t>f</w:t>
      </w:r>
      <w:r>
        <w:t xml:space="preserve">light </w:t>
      </w:r>
      <w:r w:rsidR="003054F4">
        <w:t>s</w:t>
      </w:r>
      <w:r>
        <w:t>urgeon (</w:t>
      </w:r>
      <w:r w:rsidRPr="000343B7">
        <w:t>see Figure 1a</w:t>
      </w:r>
      <w:r>
        <w:t xml:space="preserve">) who maintains direct communication capability with the ISS crew and conducts weekly personal medical conferences (PMCs) with each crew member. The Flight Surgeon </w:t>
      </w:r>
      <w:r w:rsidR="008003C5">
        <w:t xml:space="preserve">(FS) </w:t>
      </w:r>
      <w:r>
        <w:t xml:space="preserve">monitors and guides </w:t>
      </w:r>
      <w:r w:rsidR="00C74286">
        <w:t xml:space="preserve">the </w:t>
      </w:r>
      <w:r>
        <w:t>crew through both the mundane and complex medical procedures that arise in real time during the astronauts</w:t>
      </w:r>
      <w:r w:rsidR="00C74286">
        <w:t>’</w:t>
      </w:r>
      <w:r>
        <w:t xml:space="preserve"> mission. </w:t>
      </w:r>
      <w:r w:rsidR="001403D4">
        <w:t xml:space="preserve">The </w:t>
      </w:r>
      <w:r w:rsidR="008003C5">
        <w:t>F</w:t>
      </w:r>
      <w:r w:rsidR="001403D4">
        <w:t>S</w:t>
      </w:r>
      <w:r>
        <w:t xml:space="preserve"> also travel</w:t>
      </w:r>
      <w:r w:rsidR="001403D4">
        <w:t>s</w:t>
      </w:r>
      <w:r>
        <w:t xml:space="preserve"> to launch and landing sites to support the crew and help astronauts manage the extreme stressors and medical issues that emerge. </w:t>
      </w:r>
      <w:r w:rsidR="001403D4">
        <w:t>A Biomedical</w:t>
      </w:r>
      <w:r w:rsidR="000B438C">
        <w:t xml:space="preserve"> Engineer</w:t>
      </w:r>
      <w:r w:rsidR="001403D4">
        <w:t xml:space="preserve"> (BME) </w:t>
      </w:r>
      <w:r w:rsidR="00FD1C91">
        <w:t xml:space="preserve">Flight Controller </w:t>
      </w:r>
      <w:r w:rsidR="001403D4">
        <w:t xml:space="preserve">sits </w:t>
      </w:r>
      <w:r w:rsidR="0021763C">
        <w:t xml:space="preserve">to the left of </w:t>
      </w:r>
      <w:r w:rsidR="001403D4">
        <w:t>the FS performing real-time monitoring of bioenvironmental data, downlinking and distributing detailed physiological data and scheduling medical activities, among other critical duties.</w:t>
      </w:r>
      <w:r w:rsidR="0021763C" w:rsidRPr="0021763C">
        <w:rPr>
          <w:noProof/>
          <w:sz w:val="21"/>
          <w:szCs w:val="21"/>
        </w:rPr>
        <w:t xml:space="preserve"> </w:t>
      </w:r>
      <w:r w:rsidR="001C772A">
        <w:rPr>
          <w:noProof/>
          <w:sz w:val="21"/>
          <w:szCs w:val="21"/>
        </w:rPr>
        <w:drawing>
          <wp:inline distT="0" distB="0" distL="0" distR="0" wp14:anchorId="2FCE0350" wp14:editId="33F37AC4">
            <wp:extent cx="6645910" cy="2237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237740"/>
                    </a:xfrm>
                    <a:prstGeom prst="rect">
                      <a:avLst/>
                    </a:prstGeom>
                  </pic:spPr>
                </pic:pic>
              </a:graphicData>
            </a:graphic>
          </wp:inline>
        </w:drawing>
      </w:r>
    </w:p>
    <w:p w14:paraId="1FBB3574" w14:textId="6AC4FC48" w:rsidR="0021763C" w:rsidRPr="00132B11" w:rsidRDefault="0021763C" w:rsidP="0021763C">
      <w:pPr>
        <w:spacing w:after="120"/>
        <w:ind w:left="360" w:right="386"/>
        <w:rPr>
          <w:i/>
          <w:iCs/>
          <w:sz w:val="20"/>
          <w:szCs w:val="20"/>
        </w:rPr>
      </w:pPr>
      <w:r w:rsidRPr="00132B11">
        <w:rPr>
          <w:i/>
          <w:iCs/>
          <w:sz w:val="20"/>
          <w:szCs w:val="20"/>
        </w:rPr>
        <w:t xml:space="preserve">Figure 1. (a) At the NASA International Space Station (ISS) Mission Control Center (MCC) in Houston, TX, the Flight </w:t>
      </w:r>
      <w:r>
        <w:rPr>
          <w:i/>
          <w:iCs/>
          <w:sz w:val="20"/>
          <w:szCs w:val="20"/>
        </w:rPr>
        <w:t>Surgeon</w:t>
      </w:r>
      <w:r w:rsidRPr="00132B11">
        <w:rPr>
          <w:i/>
          <w:iCs/>
          <w:sz w:val="20"/>
          <w:szCs w:val="20"/>
        </w:rPr>
        <w:t xml:space="preserve"> </w:t>
      </w:r>
      <w:r w:rsidR="0019150D">
        <w:rPr>
          <w:i/>
          <w:iCs/>
          <w:sz w:val="20"/>
          <w:szCs w:val="20"/>
        </w:rPr>
        <w:t xml:space="preserve">(FS) </w:t>
      </w:r>
      <w:r w:rsidRPr="00132B11">
        <w:rPr>
          <w:i/>
          <w:iCs/>
          <w:sz w:val="20"/>
          <w:szCs w:val="20"/>
        </w:rPr>
        <w:t xml:space="preserve">has a dedicated console position labelled </w:t>
      </w:r>
      <w:r w:rsidRPr="00A674B4">
        <w:rPr>
          <w:i/>
          <w:iCs/>
          <w:sz w:val="20"/>
          <w:szCs w:val="20"/>
        </w:rPr>
        <w:t>SURGEON</w:t>
      </w:r>
      <w:r w:rsidRPr="00132B11">
        <w:rPr>
          <w:i/>
          <w:iCs/>
          <w:sz w:val="20"/>
          <w:szCs w:val="20"/>
        </w:rPr>
        <w:t xml:space="preserve">. </w:t>
      </w:r>
      <w:r>
        <w:rPr>
          <w:i/>
          <w:iCs/>
          <w:sz w:val="20"/>
          <w:szCs w:val="20"/>
        </w:rPr>
        <w:t>Sitting to his left is the Biomedical (BME) Flight Controller. T</w:t>
      </w:r>
      <w:r w:rsidRPr="00132B11">
        <w:rPr>
          <w:i/>
          <w:iCs/>
          <w:sz w:val="20"/>
          <w:szCs w:val="20"/>
        </w:rPr>
        <w:t>here is often a second medical doctor on console</w:t>
      </w:r>
      <w:r w:rsidRPr="00847C27">
        <w:rPr>
          <w:i/>
          <w:iCs/>
          <w:sz w:val="20"/>
          <w:szCs w:val="20"/>
        </w:rPr>
        <w:t xml:space="preserve"> </w:t>
      </w:r>
      <w:r>
        <w:rPr>
          <w:i/>
          <w:iCs/>
          <w:sz w:val="20"/>
          <w:szCs w:val="20"/>
        </w:rPr>
        <w:t>d</w:t>
      </w:r>
      <w:r w:rsidRPr="00132B11">
        <w:rPr>
          <w:i/>
          <w:iCs/>
          <w:sz w:val="20"/>
          <w:szCs w:val="20"/>
        </w:rPr>
        <w:t xml:space="preserve">uring safety critical operations. (b) The </w:t>
      </w:r>
      <w:r w:rsidR="0019150D">
        <w:rPr>
          <w:i/>
          <w:iCs/>
          <w:sz w:val="20"/>
          <w:szCs w:val="20"/>
        </w:rPr>
        <w:t>FS</w:t>
      </w:r>
      <w:r w:rsidRPr="00132B11">
        <w:rPr>
          <w:i/>
          <w:iCs/>
          <w:sz w:val="20"/>
          <w:szCs w:val="20"/>
        </w:rPr>
        <w:t xml:space="preserve"> </w:t>
      </w:r>
      <w:r>
        <w:rPr>
          <w:i/>
          <w:iCs/>
          <w:sz w:val="20"/>
          <w:szCs w:val="20"/>
        </w:rPr>
        <w:t xml:space="preserve">is supported by </w:t>
      </w:r>
      <w:r w:rsidR="0019150D">
        <w:rPr>
          <w:i/>
          <w:iCs/>
          <w:sz w:val="20"/>
          <w:szCs w:val="20"/>
        </w:rPr>
        <w:t>numerous</w:t>
      </w:r>
      <w:r w:rsidRPr="00132B11">
        <w:rPr>
          <w:i/>
          <w:iCs/>
          <w:sz w:val="20"/>
          <w:szCs w:val="20"/>
        </w:rPr>
        <w:t xml:space="preserve"> personnel</w:t>
      </w:r>
      <w:r>
        <w:rPr>
          <w:i/>
          <w:iCs/>
          <w:sz w:val="20"/>
          <w:szCs w:val="20"/>
        </w:rPr>
        <w:t xml:space="preserve"> assigned to provide backup </w:t>
      </w:r>
      <w:r w:rsidRPr="00132B11">
        <w:rPr>
          <w:i/>
          <w:iCs/>
          <w:sz w:val="20"/>
          <w:szCs w:val="20"/>
        </w:rPr>
        <w:t>depending on the medical issue</w:t>
      </w:r>
      <w:r>
        <w:rPr>
          <w:i/>
          <w:iCs/>
          <w:sz w:val="20"/>
          <w:szCs w:val="20"/>
        </w:rPr>
        <w:t xml:space="preserve">. These support personnel include </w:t>
      </w:r>
      <w:r w:rsidRPr="00132B11">
        <w:rPr>
          <w:i/>
          <w:iCs/>
          <w:sz w:val="20"/>
          <w:szCs w:val="20"/>
        </w:rPr>
        <w:t>physicians</w:t>
      </w:r>
      <w:r>
        <w:rPr>
          <w:i/>
          <w:iCs/>
          <w:sz w:val="20"/>
          <w:szCs w:val="20"/>
        </w:rPr>
        <w:t xml:space="preserve"> (</w:t>
      </w:r>
      <w:r w:rsidRPr="00132B11">
        <w:rPr>
          <w:i/>
          <w:iCs/>
          <w:sz w:val="20"/>
          <w:szCs w:val="20"/>
        </w:rPr>
        <w:t xml:space="preserve">with an array of </w:t>
      </w:r>
      <w:r>
        <w:rPr>
          <w:i/>
          <w:iCs/>
          <w:sz w:val="20"/>
          <w:szCs w:val="20"/>
        </w:rPr>
        <w:t xml:space="preserve">subspecialty </w:t>
      </w:r>
      <w:r w:rsidRPr="00132B11">
        <w:rPr>
          <w:i/>
          <w:iCs/>
          <w:sz w:val="20"/>
          <w:szCs w:val="20"/>
        </w:rPr>
        <w:t>expertise</w:t>
      </w:r>
      <w:r>
        <w:rPr>
          <w:i/>
          <w:iCs/>
          <w:sz w:val="20"/>
          <w:szCs w:val="20"/>
        </w:rPr>
        <w:t>)</w:t>
      </w:r>
      <w:r w:rsidRPr="00132B11">
        <w:rPr>
          <w:i/>
          <w:iCs/>
          <w:sz w:val="20"/>
          <w:szCs w:val="20"/>
        </w:rPr>
        <w:t xml:space="preserve">, nurses, and engineers </w:t>
      </w:r>
      <w:r>
        <w:rPr>
          <w:i/>
          <w:iCs/>
          <w:sz w:val="20"/>
          <w:szCs w:val="20"/>
        </w:rPr>
        <w:t>(</w:t>
      </w:r>
      <w:r w:rsidRPr="00132B11">
        <w:rPr>
          <w:i/>
          <w:iCs/>
          <w:sz w:val="20"/>
          <w:szCs w:val="20"/>
        </w:rPr>
        <w:t>responsible for</w:t>
      </w:r>
      <w:r>
        <w:rPr>
          <w:i/>
          <w:iCs/>
          <w:sz w:val="20"/>
          <w:szCs w:val="20"/>
        </w:rPr>
        <w:t xml:space="preserve"> addressing</w:t>
      </w:r>
      <w:r w:rsidRPr="00132B11">
        <w:rPr>
          <w:i/>
          <w:iCs/>
          <w:sz w:val="20"/>
          <w:szCs w:val="20"/>
        </w:rPr>
        <w:t xml:space="preserve"> life support capabilities</w:t>
      </w:r>
      <w:r>
        <w:rPr>
          <w:i/>
          <w:iCs/>
          <w:sz w:val="20"/>
          <w:szCs w:val="20"/>
        </w:rPr>
        <w:t>)</w:t>
      </w:r>
      <w:r w:rsidRPr="00132B11">
        <w:rPr>
          <w:i/>
          <w:iCs/>
          <w:sz w:val="20"/>
          <w:szCs w:val="20"/>
        </w:rPr>
        <w:t xml:space="preserve">. The </w:t>
      </w:r>
      <w:r w:rsidR="0019150D">
        <w:rPr>
          <w:i/>
          <w:iCs/>
          <w:sz w:val="20"/>
          <w:szCs w:val="20"/>
        </w:rPr>
        <w:t>FS</w:t>
      </w:r>
      <w:r w:rsidRPr="00132B11">
        <w:rPr>
          <w:i/>
          <w:iCs/>
          <w:sz w:val="20"/>
          <w:szCs w:val="20"/>
        </w:rPr>
        <w:t xml:space="preserve"> communicate</w:t>
      </w:r>
      <w:r>
        <w:rPr>
          <w:i/>
          <w:iCs/>
          <w:sz w:val="20"/>
          <w:szCs w:val="20"/>
        </w:rPr>
        <w:t>s</w:t>
      </w:r>
      <w:r w:rsidRPr="00132B11">
        <w:rPr>
          <w:i/>
          <w:iCs/>
          <w:sz w:val="20"/>
          <w:szCs w:val="20"/>
        </w:rPr>
        <w:t xml:space="preserve"> directly to a Crew Medical Officer </w:t>
      </w:r>
      <w:r>
        <w:rPr>
          <w:i/>
          <w:iCs/>
          <w:sz w:val="20"/>
          <w:szCs w:val="20"/>
        </w:rPr>
        <w:t xml:space="preserve">(CMO) </w:t>
      </w:r>
      <w:r w:rsidRPr="00132B11">
        <w:rPr>
          <w:i/>
          <w:iCs/>
          <w:sz w:val="20"/>
          <w:szCs w:val="20"/>
        </w:rPr>
        <w:t>onboard the ISS.</w:t>
      </w:r>
    </w:p>
    <w:p w14:paraId="34F67FEC" w14:textId="14DFB10D" w:rsidR="001403D4" w:rsidRPr="000343B7" w:rsidRDefault="00D738BB" w:rsidP="00B42FEE">
      <w:r>
        <w:t xml:space="preserve">The </w:t>
      </w:r>
      <w:r w:rsidR="001403D4">
        <w:rPr>
          <w:sz w:val="21"/>
          <w:szCs w:val="21"/>
        </w:rPr>
        <w:t>FS</w:t>
      </w:r>
      <w:r w:rsidR="001403D4">
        <w:t xml:space="preserve"> </w:t>
      </w:r>
      <w:r w:rsidR="00017B85">
        <w:t xml:space="preserve">and BME </w:t>
      </w:r>
      <w:r>
        <w:t xml:space="preserve">on </w:t>
      </w:r>
      <w:r w:rsidR="00096FBC">
        <w:t xml:space="preserve">the </w:t>
      </w:r>
      <w:r>
        <w:t xml:space="preserve">console </w:t>
      </w:r>
      <w:r w:rsidR="00096FBC">
        <w:t xml:space="preserve">represent </w:t>
      </w:r>
      <w:r>
        <w:t>just the visible p</w:t>
      </w:r>
      <w:r w:rsidR="00096FBC">
        <w:t>ortion</w:t>
      </w:r>
      <w:r>
        <w:t xml:space="preserve"> of</w:t>
      </w:r>
      <w:r w:rsidR="00096FBC">
        <w:t xml:space="preserve"> the</w:t>
      </w:r>
      <w:r>
        <w:t xml:space="preserve"> </w:t>
      </w:r>
      <w:r w:rsidR="00014D6A">
        <w:t>ISS</w:t>
      </w:r>
      <w:r>
        <w:t xml:space="preserve"> </w:t>
      </w:r>
      <w:r w:rsidR="0019150D">
        <w:t xml:space="preserve">ground-based </w:t>
      </w:r>
      <w:r>
        <w:t>medical support</w:t>
      </w:r>
      <w:r w:rsidR="00535E0D">
        <w:t xml:space="preserve"> </w:t>
      </w:r>
      <w:r w:rsidR="00096FBC">
        <w:t>system</w:t>
      </w:r>
      <w:r>
        <w:t xml:space="preserve"> (see Figure 1b)</w:t>
      </w:r>
      <w:r w:rsidR="001403D4">
        <w:t xml:space="preserve">. </w:t>
      </w:r>
      <w:r w:rsidR="0019150D">
        <w:t xml:space="preserve">Since over </w:t>
      </w:r>
      <w:r>
        <w:t xml:space="preserve">100 spaceflight-relevant medical conditions have been identified </w:t>
      </w:r>
      <w:r w:rsidR="00CB2A38">
        <w:fldChar w:fldCharType="begin" w:fldLock="1"/>
      </w:r>
      <w:r w:rsidR="00AB11FE">
        <w:instrText>ADDIN CSL_CITATION {"citationItems":[{"id":"ITEM-1","itemData":{"author":[{"dropping-particle":"","family":"Blue","given":"Rebecca S.","non-dropping-particle":"","parse-names":false,"suffix":""},{"dropping-particle":"","family":"Bridge","given":"Laura M.","non-dropping-particle":"","parse-names":false,"suffix":""},{"dropping-particle":"","family":"Chough","given":"Natasha G.","non-dropping-particle":"","parse-names":false,"suffix":""},{"dropping-particle":"","family":"Cushman","given":"James","non-dropping-particle":"","parse-names":false,"suffix":""},{"dropping-particle":"","family":"Khpal","given":"Muska","non-dropping-particle":"","parse-names":false,"suffix":""},{"dropping-particle":"","family":"Watkins","given":"Sharmi","non-dropping-particle":"","parse-names":false,"suffix":""}],"container-title":"Nasa","id":"ITEM-1","issue":"January","issued":{"date-parts":[["2014"]]},"title":"Identification of medical training methods for exploration missions","type":"report"},"uris":["http://www.mendeley.com/documents/?uuid=26db7115-bff5-4a9a-b13e-afbd25530c67"]}],"mendeley":{"formattedCitation":"[4]","plainTextFormattedCitation":"[4]","previouslyFormattedCitation":"[4]"},"properties":{"noteIndex":0},"schema":"https://github.com/citation-style-language/schema/raw/master/csl-citation.json"}</w:instrText>
      </w:r>
      <w:r w:rsidR="00CB2A38">
        <w:fldChar w:fldCharType="separate"/>
      </w:r>
      <w:r w:rsidR="00F05737" w:rsidRPr="00F05737">
        <w:rPr>
          <w:noProof/>
        </w:rPr>
        <w:t>[4]</w:t>
      </w:r>
      <w:r w:rsidR="00CB2A38">
        <w:fldChar w:fldCharType="end"/>
      </w:r>
      <w:r>
        <w:t xml:space="preserve">, </w:t>
      </w:r>
      <w:r w:rsidR="00B7406A">
        <w:t>a large team of medical experts with</w:t>
      </w:r>
      <w:r w:rsidR="000528EC">
        <w:t xml:space="preserve"> </w:t>
      </w:r>
      <w:r>
        <w:t xml:space="preserve">a </w:t>
      </w:r>
      <w:r w:rsidR="00096FBC">
        <w:t xml:space="preserve">wide </w:t>
      </w:r>
      <w:r w:rsidR="000528EC">
        <w:t xml:space="preserve">range </w:t>
      </w:r>
      <w:r>
        <w:t xml:space="preserve">of </w:t>
      </w:r>
      <w:r w:rsidR="00096FBC">
        <w:t xml:space="preserve">subject matter </w:t>
      </w:r>
      <w:r>
        <w:t xml:space="preserve">expertise </w:t>
      </w:r>
      <w:r w:rsidR="00B7406A">
        <w:t xml:space="preserve">support real-time diagnosis and treatment decisions. Their expertise includes </w:t>
      </w:r>
      <w:r>
        <w:t>exercise</w:t>
      </w:r>
      <w:r w:rsidR="000528EC">
        <w:t xml:space="preserve">, </w:t>
      </w:r>
      <w:r>
        <w:t>physiolog</w:t>
      </w:r>
      <w:r w:rsidR="00096FBC">
        <w:t>y</w:t>
      </w:r>
      <w:r>
        <w:t>, psycholo</w:t>
      </w:r>
      <w:r w:rsidR="000528EC">
        <w:t>g</w:t>
      </w:r>
      <w:r w:rsidR="00096FBC">
        <w:t>y</w:t>
      </w:r>
      <w:r>
        <w:t xml:space="preserve">, </w:t>
      </w:r>
      <w:r w:rsidR="0054519D">
        <w:t>dentist</w:t>
      </w:r>
      <w:r w:rsidR="00096FBC">
        <w:t>ry</w:t>
      </w:r>
      <w:r w:rsidR="000528EC">
        <w:t xml:space="preserve"> and </w:t>
      </w:r>
      <w:r w:rsidR="001C772A">
        <w:t xml:space="preserve">a </w:t>
      </w:r>
      <w:r w:rsidR="000528EC">
        <w:t xml:space="preserve">broad range of medical </w:t>
      </w:r>
      <w:proofErr w:type="gramStart"/>
      <w:r w:rsidR="000528EC">
        <w:t>s</w:t>
      </w:r>
      <w:r w:rsidR="005A2B77">
        <w:t>ub s</w:t>
      </w:r>
      <w:r w:rsidR="000528EC">
        <w:t>pecialties</w:t>
      </w:r>
      <w:proofErr w:type="gramEnd"/>
      <w:r>
        <w:t xml:space="preserve">. Environmental control and life support engineers </w:t>
      </w:r>
      <w:r w:rsidR="00096FBC">
        <w:t xml:space="preserve">constantly </w:t>
      </w:r>
      <w:r>
        <w:t xml:space="preserve">monitor and maintain clean air and water. </w:t>
      </w:r>
      <w:r w:rsidR="00096FBC">
        <w:t>Although</w:t>
      </w:r>
      <w:r w:rsidR="003A04EE">
        <w:t xml:space="preserve"> a Crew Medical Officer (CMO) </w:t>
      </w:r>
      <w:r w:rsidR="001A61F9">
        <w:t xml:space="preserve">is continuously </w:t>
      </w:r>
      <w:r w:rsidR="003A04EE">
        <w:t>on the ISS</w:t>
      </w:r>
      <w:r w:rsidR="003A04EE">
        <w:rPr>
          <w:rFonts w:ascii="Calibri" w:hAnsi="Calibri" w:cs="Calibri"/>
        </w:rPr>
        <w:t>—</w:t>
      </w:r>
      <w:r w:rsidR="003A04EE">
        <w:t xml:space="preserve">who is either a physician or a </w:t>
      </w:r>
      <w:r w:rsidR="00144CF9">
        <w:t xml:space="preserve">non-physician astronaut </w:t>
      </w:r>
      <w:r w:rsidR="003A04EE">
        <w:t xml:space="preserve">with </w:t>
      </w:r>
      <w:r w:rsidR="00144CF9">
        <w:t xml:space="preserve">approximately </w:t>
      </w:r>
      <w:r w:rsidR="003A04EE">
        <w:t>40 hours of medical training</w:t>
      </w:r>
      <w:r w:rsidR="001C772A">
        <w:t xml:space="preserve">, is continuously on the ISS, </w:t>
      </w:r>
      <w:r w:rsidR="003A04EE">
        <w:t>t</w:t>
      </w:r>
      <w:r>
        <w:t xml:space="preserve">he crew </w:t>
      </w:r>
      <w:r w:rsidR="00096FBC">
        <w:t>is</w:t>
      </w:r>
      <w:r>
        <w:t xml:space="preserve"> effectively Earth-dependent for their health care.</w:t>
      </w:r>
      <w:r w:rsidR="00427D08" w:rsidRPr="00427D08">
        <w:rPr>
          <w:noProof/>
          <w:sz w:val="21"/>
          <w:szCs w:val="21"/>
        </w:rPr>
        <w:t xml:space="preserve"> </w:t>
      </w:r>
    </w:p>
    <w:p w14:paraId="3F53C81B" w14:textId="77777777" w:rsidR="00D769DA" w:rsidRPr="00F74762" w:rsidRDefault="00D769DA" w:rsidP="00D769DA">
      <w:pPr>
        <w:pStyle w:val="Heading1"/>
      </w:pPr>
      <w:r w:rsidRPr="00F74762">
        <w:lastRenderedPageBreak/>
        <w:t>Paradigm Shift in Medical Operations</w:t>
      </w:r>
    </w:p>
    <w:p w14:paraId="7C688A64" w14:textId="788E37B2" w:rsidR="00D738BB" w:rsidRDefault="00B7406A" w:rsidP="001403D4">
      <w:pPr>
        <w:spacing w:after="120"/>
      </w:pPr>
      <w:r>
        <w:t>Unlike ISS operations in LEO, f</w:t>
      </w:r>
      <w:r w:rsidR="00D738BB">
        <w:t xml:space="preserve">uture </w:t>
      </w:r>
      <w:r w:rsidR="00717BE6">
        <w:t>journeys traveling</w:t>
      </w:r>
      <w:r w:rsidR="00D738BB">
        <w:t xml:space="preserve"> </w:t>
      </w:r>
      <w:r w:rsidR="00717BE6">
        <w:t xml:space="preserve">deeper into space </w:t>
      </w:r>
      <w:r w:rsidR="00D738BB">
        <w:t xml:space="preserve">will require </w:t>
      </w:r>
      <w:r w:rsidR="00847C27">
        <w:t xml:space="preserve">an increased reliance on the ability to conduct </w:t>
      </w:r>
      <w:r w:rsidR="00D738BB">
        <w:t>Earth-Independent Medical Operations (EIMO)</w:t>
      </w:r>
      <w:r w:rsidR="00717BE6">
        <w:t xml:space="preserve">. </w:t>
      </w:r>
      <w:r w:rsidR="00D738BB">
        <w:t>Depending on the orbital positions of Earth and Mars</w:t>
      </w:r>
      <w:r w:rsidR="0042773B">
        <w:t xml:space="preserve"> </w:t>
      </w:r>
      <w:r w:rsidR="00D738BB">
        <w:t xml:space="preserve">when the crew reach Mars, one-way communication delays can </w:t>
      </w:r>
      <w:r w:rsidR="002F3436">
        <w:t xml:space="preserve">be more than </w:t>
      </w:r>
      <w:r w:rsidR="00D738BB">
        <w:t>20 min</w:t>
      </w:r>
      <w:r w:rsidR="00301771">
        <w:t>utes</w:t>
      </w:r>
      <w:r w:rsidR="006E1F68">
        <w:t xml:space="preserve"> </w:t>
      </w:r>
      <w:r w:rsidR="006E1F68">
        <w:fldChar w:fldCharType="begin" w:fldLock="1"/>
      </w:r>
      <w:r w:rsidR="00AB11FE">
        <w:instrText>ADDIN CSL_CITATION {"citationItems":[{"id":"ITEM-1","itemData":{"author":[{"dropping-particle":"","family":"Krihak","given":"Michael","non-dropping-particle":"","parse-names":false,"suffix":""},{"dropping-particle":"","family":"Ph","given":"D","non-dropping-particle":"","parse-names":false,"suffix":""},{"dropping-particle":"","family":"Middour","given":"Christopher","non-dropping-particle":"","parse-names":false,"suffix":""},{"dropping-particle":"","family":"Antonsen","given":"Erik","non-dropping-particle":"","parse-names":false,"suffix":""},{"dropping-particle":"","family":"Ph","given":"D","non-dropping-particle":"","parse-names":false,"suffix":""}],"id":"ITEM-1","issue":"August","issued":{"date-parts":[["2019"]]},"title":"Communication bandwidth considerations for exploration medical care during space missions","type":"article-journal"},"uris":["http://www.mendeley.com/documents/?uuid=9f77f301-c2eb-4a3d-9ff9-16ab6c43bea1"]}],"mendeley":{"formattedCitation":"[5]","plainTextFormattedCitation":"[5]","previouslyFormattedCitation":"[5]"},"properties":{"noteIndex":0},"schema":"https://github.com/citation-style-language/schema/raw/master/csl-citation.json"}</w:instrText>
      </w:r>
      <w:r w:rsidR="006E1F68">
        <w:fldChar w:fldCharType="separate"/>
      </w:r>
      <w:r w:rsidR="00F05737" w:rsidRPr="00F05737">
        <w:rPr>
          <w:noProof/>
        </w:rPr>
        <w:t>[5]</w:t>
      </w:r>
      <w:r w:rsidR="006E1F68">
        <w:fldChar w:fldCharType="end"/>
      </w:r>
      <w:r w:rsidR="00D738BB">
        <w:t xml:space="preserve">. These communication delays will require the crew to detect, diagnose, and treat time-critical medical issues autonomously. Autonomous operation is defined here as performing self-directed clinical tasks without </w:t>
      </w:r>
      <w:r w:rsidR="00C37CA6">
        <w:t xml:space="preserve">realtime </w:t>
      </w:r>
      <w:r w:rsidR="00717BE6">
        <w:t>Mission Control Center (</w:t>
      </w:r>
      <w:r w:rsidR="00B55734">
        <w:t>MCC</w:t>
      </w:r>
      <w:r w:rsidR="00717BE6">
        <w:t>)</w:t>
      </w:r>
      <w:r w:rsidR="00B55734">
        <w:t xml:space="preserve"> </w:t>
      </w:r>
      <w:r w:rsidR="00D738BB">
        <w:t>support</w:t>
      </w:r>
      <w:r w:rsidR="00085593">
        <w:t xml:space="preserve">. </w:t>
      </w:r>
      <w:r w:rsidR="00A73DC2">
        <w:t>I</w:t>
      </w:r>
      <w:r w:rsidR="00D738BB">
        <w:t xml:space="preserve">n an emergency medical situation (acute and life threatening), </w:t>
      </w:r>
      <w:r w:rsidR="00970EBD">
        <w:t xml:space="preserve">the </w:t>
      </w:r>
      <w:r w:rsidR="00D738BB">
        <w:t xml:space="preserve">crew will need to react swiftly, using locally available information. </w:t>
      </w:r>
      <w:r w:rsidR="00A73DC2">
        <w:t>Preventative and routine health care may be a hybrid system with autonomous data collection and in</w:t>
      </w:r>
      <w:r w:rsidR="00717BE6">
        <w:t>-</w:t>
      </w:r>
      <w:r w:rsidR="00A73DC2">
        <w:t xml:space="preserve">vehicle decision support </w:t>
      </w:r>
      <w:r w:rsidR="00B730E9">
        <w:t xml:space="preserve">to </w:t>
      </w:r>
      <w:r w:rsidR="00970EBD">
        <w:t>assist</w:t>
      </w:r>
      <w:r w:rsidR="00B730E9">
        <w:t xml:space="preserve"> workflow</w:t>
      </w:r>
      <w:r w:rsidR="00A73DC2">
        <w:t xml:space="preserve"> or </w:t>
      </w:r>
      <w:r w:rsidR="00B730E9">
        <w:t>more critical</w:t>
      </w:r>
      <w:r w:rsidR="00970EBD">
        <w:t>ly during</w:t>
      </w:r>
      <w:r w:rsidR="00B730E9">
        <w:t xml:space="preserve"> </w:t>
      </w:r>
      <w:r w:rsidR="00A73DC2">
        <w:t xml:space="preserve">periodic lack of communication from </w:t>
      </w:r>
      <w:r w:rsidR="008375DA">
        <w:t>planetary</w:t>
      </w:r>
      <w:r w:rsidR="00A73DC2">
        <w:t xml:space="preserve"> alignment, solar </w:t>
      </w:r>
      <w:proofErr w:type="gramStart"/>
      <w:r w:rsidR="00A73DC2">
        <w:t>wind</w:t>
      </w:r>
      <w:proofErr w:type="gramEnd"/>
      <w:r w:rsidR="00A73DC2">
        <w:t xml:space="preserve"> or equipment failure.  </w:t>
      </w:r>
      <w:r w:rsidR="00D738BB">
        <w:t xml:space="preserve">Medical inventory will </w:t>
      </w:r>
      <w:r w:rsidR="009F0BCC">
        <w:t xml:space="preserve">also </w:t>
      </w:r>
      <w:r w:rsidR="00D738BB">
        <w:t>need to be used strategically in the absence of resupply missions or early return to Earth.</w:t>
      </w:r>
    </w:p>
    <w:p w14:paraId="701A8C52" w14:textId="50EF498F" w:rsidR="00CB1A1C" w:rsidRDefault="00144CF9" w:rsidP="00D738BB">
      <w:pPr>
        <w:spacing w:after="120"/>
        <w:rPr>
          <w:rFonts w:ascii="Calibri" w:eastAsia="Calibri" w:hAnsi="Calibri" w:cs="Calibri"/>
        </w:rPr>
      </w:pPr>
      <w:r>
        <w:rPr>
          <w:rFonts w:ascii="Calibri" w:eastAsia="Calibri" w:hAnsi="Calibri" w:cs="Calibri"/>
        </w:rPr>
        <w:t>A physician</w:t>
      </w:r>
      <w:r w:rsidR="00D738BB">
        <w:rPr>
          <w:rFonts w:ascii="Calibri" w:eastAsia="Calibri" w:hAnsi="Calibri" w:cs="Calibri"/>
        </w:rPr>
        <w:t xml:space="preserve"> astronaut could be included as </w:t>
      </w:r>
      <w:r>
        <w:rPr>
          <w:rFonts w:ascii="Calibri" w:eastAsia="Calibri" w:hAnsi="Calibri" w:cs="Calibri"/>
        </w:rPr>
        <w:t xml:space="preserve">a </w:t>
      </w:r>
      <w:r w:rsidR="00D738BB">
        <w:rPr>
          <w:rFonts w:ascii="Calibri" w:eastAsia="Calibri" w:hAnsi="Calibri" w:cs="Calibri"/>
        </w:rPr>
        <w:t>crew</w:t>
      </w:r>
      <w:r>
        <w:rPr>
          <w:rFonts w:ascii="Calibri" w:eastAsia="Calibri" w:hAnsi="Calibri" w:cs="Calibri"/>
        </w:rPr>
        <w:t>member on a deep space mission</w:t>
      </w:r>
      <w:r w:rsidR="00D738BB">
        <w:rPr>
          <w:rFonts w:ascii="Calibri" w:eastAsia="Calibri" w:hAnsi="Calibri" w:cs="Calibri"/>
        </w:rPr>
        <w:t>, but</w:t>
      </w:r>
      <w:r w:rsidR="00D738BB" w:rsidRPr="005126BA">
        <w:rPr>
          <w:rFonts w:ascii="Calibri" w:eastAsia="Calibri" w:hAnsi="Calibri" w:cs="Calibri"/>
        </w:rPr>
        <w:t xml:space="preserve"> even two or three physicians </w:t>
      </w:r>
      <w:r w:rsidR="002B7E70">
        <w:rPr>
          <w:rFonts w:ascii="Calibri" w:eastAsia="Calibri" w:hAnsi="Calibri" w:cs="Calibri"/>
        </w:rPr>
        <w:t>would</w:t>
      </w:r>
      <w:r w:rsidR="002B7E70" w:rsidRPr="005126BA">
        <w:rPr>
          <w:rFonts w:ascii="Calibri" w:eastAsia="Calibri" w:hAnsi="Calibri" w:cs="Calibri"/>
        </w:rPr>
        <w:t xml:space="preserve"> </w:t>
      </w:r>
      <w:r w:rsidR="00D738BB" w:rsidRPr="005126BA">
        <w:rPr>
          <w:rFonts w:ascii="Calibri" w:eastAsia="Calibri" w:hAnsi="Calibri" w:cs="Calibri"/>
        </w:rPr>
        <w:t>not have the breadth o</w:t>
      </w:r>
      <w:r w:rsidR="009F0BCC">
        <w:rPr>
          <w:rFonts w:ascii="Calibri" w:eastAsia="Calibri" w:hAnsi="Calibri" w:cs="Calibri"/>
        </w:rPr>
        <w:t>f</w:t>
      </w:r>
      <w:r w:rsidR="00D738BB" w:rsidRPr="005126BA">
        <w:rPr>
          <w:rFonts w:ascii="Calibri" w:eastAsia="Calibri" w:hAnsi="Calibri" w:cs="Calibri"/>
        </w:rPr>
        <w:t xml:space="preserve"> expertise necessary for addressing the full range of </w:t>
      </w:r>
      <w:r w:rsidR="00D738BB">
        <w:rPr>
          <w:rFonts w:ascii="Calibri" w:eastAsia="Calibri" w:hAnsi="Calibri" w:cs="Calibri"/>
        </w:rPr>
        <w:t xml:space="preserve">potential </w:t>
      </w:r>
      <w:r w:rsidR="00F0122D">
        <w:rPr>
          <w:rFonts w:ascii="Calibri" w:eastAsia="Calibri" w:hAnsi="Calibri" w:cs="Calibri"/>
        </w:rPr>
        <w:t>health-related issues</w:t>
      </w:r>
      <w:r w:rsidR="002B7E70">
        <w:rPr>
          <w:rFonts w:ascii="Calibri" w:eastAsia="Calibri" w:hAnsi="Calibri" w:cs="Calibri"/>
        </w:rPr>
        <w:t xml:space="preserve"> on a multi-year mission</w:t>
      </w:r>
      <w:r w:rsidR="00D738BB">
        <w:rPr>
          <w:rFonts w:ascii="Calibri" w:eastAsia="Calibri" w:hAnsi="Calibri" w:cs="Calibri"/>
        </w:rPr>
        <w:t xml:space="preserve">. Moreover, if pre-flight crew training </w:t>
      </w:r>
      <w:r w:rsidR="009F0BCC">
        <w:rPr>
          <w:rFonts w:ascii="Calibri" w:eastAsia="Calibri" w:hAnsi="Calibri" w:cs="Calibri"/>
        </w:rPr>
        <w:t>is</w:t>
      </w:r>
      <w:r w:rsidR="00D738BB">
        <w:rPr>
          <w:rFonts w:ascii="Calibri" w:eastAsia="Calibri" w:hAnsi="Calibri" w:cs="Calibri"/>
        </w:rPr>
        <w:t xml:space="preserve"> viewed as a fixed resource, additional medical training </w:t>
      </w:r>
      <w:r w:rsidR="002B7E70">
        <w:rPr>
          <w:rFonts w:ascii="Calibri" w:eastAsia="Calibri" w:hAnsi="Calibri" w:cs="Calibri"/>
        </w:rPr>
        <w:t xml:space="preserve">before a mission </w:t>
      </w:r>
      <w:r w:rsidR="00D738BB">
        <w:rPr>
          <w:rFonts w:ascii="Calibri" w:eastAsia="Calibri" w:hAnsi="Calibri" w:cs="Calibri"/>
        </w:rPr>
        <w:t xml:space="preserve">means less </w:t>
      </w:r>
      <w:r w:rsidR="009F0BCC">
        <w:rPr>
          <w:rFonts w:ascii="Calibri" w:eastAsia="Calibri" w:hAnsi="Calibri" w:cs="Calibri"/>
        </w:rPr>
        <w:t xml:space="preserve">training </w:t>
      </w:r>
      <w:r w:rsidR="00D738BB">
        <w:rPr>
          <w:rFonts w:ascii="Calibri" w:eastAsia="Calibri" w:hAnsi="Calibri" w:cs="Calibri"/>
        </w:rPr>
        <w:t xml:space="preserve">time devoted to other critical domains, such as extravehicular activity, </w:t>
      </w:r>
      <w:r w:rsidR="002B7E70">
        <w:rPr>
          <w:rFonts w:ascii="Calibri" w:eastAsia="Calibri" w:hAnsi="Calibri" w:cs="Calibri"/>
        </w:rPr>
        <w:t xml:space="preserve">spacecraft systems </w:t>
      </w:r>
      <w:r w:rsidR="00D738BB">
        <w:rPr>
          <w:rFonts w:ascii="Calibri" w:eastAsia="Calibri" w:hAnsi="Calibri" w:cs="Calibri"/>
        </w:rPr>
        <w:t>maintenance, or scien</w:t>
      </w:r>
      <w:r w:rsidR="002B7E70">
        <w:rPr>
          <w:rFonts w:ascii="Calibri" w:eastAsia="Calibri" w:hAnsi="Calibri" w:cs="Calibri"/>
        </w:rPr>
        <w:t>tific research</w:t>
      </w:r>
      <w:r w:rsidR="00D738BB">
        <w:rPr>
          <w:rFonts w:ascii="Calibri" w:eastAsia="Calibri" w:hAnsi="Calibri" w:cs="Calibri"/>
        </w:rPr>
        <w:t>.</w:t>
      </w:r>
      <w:r w:rsidR="00D738BB" w:rsidRPr="005126BA">
        <w:rPr>
          <w:rFonts w:ascii="Calibri" w:eastAsia="Calibri" w:hAnsi="Calibri" w:cs="Calibri"/>
        </w:rPr>
        <w:t xml:space="preserve"> </w:t>
      </w:r>
      <w:r w:rsidR="00D738BB">
        <w:rPr>
          <w:rFonts w:ascii="Calibri" w:eastAsia="Calibri" w:hAnsi="Calibri" w:cs="Calibri"/>
        </w:rPr>
        <w:t>Furthermore, t</w:t>
      </w:r>
      <w:r w:rsidR="00D738BB" w:rsidRPr="005126BA">
        <w:rPr>
          <w:rFonts w:ascii="Calibri" w:eastAsia="Calibri" w:hAnsi="Calibri" w:cs="Calibri"/>
        </w:rPr>
        <w:t xml:space="preserve">here will </w:t>
      </w:r>
      <w:r w:rsidR="002B7E70">
        <w:rPr>
          <w:rFonts w:ascii="Calibri" w:eastAsia="Calibri" w:hAnsi="Calibri" w:cs="Calibri"/>
        </w:rPr>
        <w:t>likely</w:t>
      </w:r>
      <w:r w:rsidR="002B7E70" w:rsidRPr="005126BA">
        <w:rPr>
          <w:rFonts w:ascii="Calibri" w:eastAsia="Calibri" w:hAnsi="Calibri" w:cs="Calibri"/>
        </w:rPr>
        <w:t xml:space="preserve"> </w:t>
      </w:r>
      <w:r w:rsidR="00D738BB" w:rsidRPr="005126BA">
        <w:rPr>
          <w:rFonts w:ascii="Calibri" w:eastAsia="Calibri" w:hAnsi="Calibri" w:cs="Calibri"/>
        </w:rPr>
        <w:t xml:space="preserve">be situations in </w:t>
      </w:r>
      <w:r w:rsidR="002B7E70">
        <w:rPr>
          <w:rFonts w:ascii="Calibri" w:eastAsia="Calibri" w:hAnsi="Calibri" w:cs="Calibri"/>
        </w:rPr>
        <w:t>flight where</w:t>
      </w:r>
      <w:r w:rsidR="002B7E70" w:rsidRPr="005126BA">
        <w:rPr>
          <w:rFonts w:ascii="Calibri" w:eastAsia="Calibri" w:hAnsi="Calibri" w:cs="Calibri"/>
        </w:rPr>
        <w:t xml:space="preserve"> </w:t>
      </w:r>
      <w:r w:rsidR="00D738BB">
        <w:rPr>
          <w:rFonts w:ascii="Calibri" w:eastAsia="Calibri" w:hAnsi="Calibri" w:cs="Calibri"/>
        </w:rPr>
        <w:t xml:space="preserve">the CMO </w:t>
      </w:r>
      <w:r w:rsidR="00564C3F">
        <w:rPr>
          <w:rFonts w:ascii="Calibri" w:eastAsia="Calibri" w:hAnsi="Calibri" w:cs="Calibri"/>
        </w:rPr>
        <w:t>i</w:t>
      </w:r>
      <w:r w:rsidR="00F0122D">
        <w:rPr>
          <w:rFonts w:ascii="Calibri" w:eastAsia="Calibri" w:hAnsi="Calibri" w:cs="Calibri"/>
        </w:rPr>
        <w:t>s</w:t>
      </w:r>
      <w:r w:rsidR="00D738BB" w:rsidRPr="005126BA">
        <w:rPr>
          <w:rFonts w:ascii="Calibri" w:eastAsia="Calibri" w:hAnsi="Calibri" w:cs="Calibri"/>
        </w:rPr>
        <w:t xml:space="preserve"> the patient and require</w:t>
      </w:r>
      <w:r w:rsidR="00F0122D">
        <w:rPr>
          <w:rFonts w:ascii="Calibri" w:eastAsia="Calibri" w:hAnsi="Calibri" w:cs="Calibri"/>
        </w:rPr>
        <w:t>s</w:t>
      </w:r>
      <w:r w:rsidR="00D738BB" w:rsidRPr="005126BA">
        <w:rPr>
          <w:rFonts w:ascii="Calibri" w:eastAsia="Calibri" w:hAnsi="Calibri" w:cs="Calibri"/>
        </w:rPr>
        <w:t xml:space="preserve"> care from </w:t>
      </w:r>
      <w:r w:rsidR="00564C3F">
        <w:rPr>
          <w:rFonts w:ascii="Calibri" w:eastAsia="Calibri" w:hAnsi="Calibri" w:cs="Calibri"/>
        </w:rPr>
        <w:t xml:space="preserve">clinically </w:t>
      </w:r>
      <w:r w:rsidR="00D738BB" w:rsidRPr="005126BA">
        <w:rPr>
          <w:rFonts w:ascii="Calibri" w:eastAsia="Calibri" w:hAnsi="Calibri" w:cs="Calibri"/>
        </w:rPr>
        <w:t xml:space="preserve">novice crew members. </w:t>
      </w:r>
      <w:r w:rsidR="00F0122D">
        <w:rPr>
          <w:rFonts w:ascii="Calibri" w:eastAsia="Calibri" w:hAnsi="Calibri" w:cs="Calibri"/>
        </w:rPr>
        <w:t xml:space="preserve">A possible </w:t>
      </w:r>
      <w:r w:rsidR="00564C3F">
        <w:rPr>
          <w:rFonts w:ascii="Calibri" w:eastAsia="Calibri" w:hAnsi="Calibri" w:cs="Calibri"/>
        </w:rPr>
        <w:t>solution</w:t>
      </w:r>
      <w:r w:rsidR="00F0122D">
        <w:rPr>
          <w:rFonts w:ascii="Calibri" w:eastAsia="Calibri" w:hAnsi="Calibri" w:cs="Calibri"/>
        </w:rPr>
        <w:t xml:space="preserve"> </w:t>
      </w:r>
      <w:r w:rsidR="00D738BB" w:rsidRPr="005126BA">
        <w:rPr>
          <w:rFonts w:ascii="Calibri" w:eastAsia="Calibri" w:hAnsi="Calibri" w:cs="Calibri"/>
        </w:rPr>
        <w:t>lies</w:t>
      </w:r>
      <w:r w:rsidR="00D738BB">
        <w:rPr>
          <w:rFonts w:ascii="Calibri" w:eastAsia="Calibri" w:hAnsi="Calibri" w:cs="Calibri"/>
        </w:rPr>
        <w:t xml:space="preserve"> </w:t>
      </w:r>
      <w:r w:rsidR="00D738BB" w:rsidRPr="005126BA">
        <w:rPr>
          <w:rFonts w:ascii="Calibri" w:eastAsia="Calibri" w:hAnsi="Calibri" w:cs="Calibri"/>
        </w:rPr>
        <w:t>in</w:t>
      </w:r>
      <w:r w:rsidR="00D738BB">
        <w:rPr>
          <w:rFonts w:ascii="Calibri" w:eastAsia="Calibri" w:hAnsi="Calibri" w:cs="Calibri"/>
        </w:rPr>
        <w:t xml:space="preserve"> developing </w:t>
      </w:r>
      <w:r w:rsidR="00D738BB" w:rsidRPr="005126BA">
        <w:rPr>
          <w:rFonts w:ascii="Calibri" w:eastAsia="Calibri" w:hAnsi="Calibri" w:cs="Calibri"/>
        </w:rPr>
        <w:t>assistive technology and tools</w:t>
      </w:r>
      <w:r w:rsidR="00D738BB">
        <w:rPr>
          <w:rFonts w:ascii="Calibri" w:eastAsia="Calibri" w:hAnsi="Calibri" w:cs="Calibri"/>
        </w:rPr>
        <w:t xml:space="preserve"> </w:t>
      </w:r>
      <w:r w:rsidR="00D159CE">
        <w:rPr>
          <w:rFonts w:ascii="Calibri" w:eastAsia="Calibri" w:hAnsi="Calibri" w:cs="Calibri"/>
        </w:rPr>
        <w:t xml:space="preserve">to increase </w:t>
      </w:r>
      <w:r w:rsidR="00691F12">
        <w:rPr>
          <w:rFonts w:ascii="Calibri" w:eastAsia="Calibri" w:hAnsi="Calibri" w:cs="Calibri"/>
        </w:rPr>
        <w:t xml:space="preserve">the crew’s medical </w:t>
      </w:r>
      <w:r w:rsidR="00D159CE">
        <w:rPr>
          <w:rFonts w:ascii="Calibri" w:eastAsia="Calibri" w:hAnsi="Calibri" w:cs="Calibri"/>
        </w:rPr>
        <w:t>Scope of Practice (SoP)</w:t>
      </w:r>
      <w:r w:rsidR="00D738BB" w:rsidRPr="005126BA">
        <w:rPr>
          <w:rFonts w:ascii="Calibri" w:eastAsia="Calibri" w:hAnsi="Calibri" w:cs="Calibri"/>
        </w:rPr>
        <w:t>.</w:t>
      </w:r>
      <w:r w:rsidR="00D738BB">
        <w:rPr>
          <w:rFonts w:ascii="Calibri" w:eastAsia="Calibri" w:hAnsi="Calibri" w:cs="Calibri"/>
        </w:rPr>
        <w:t xml:space="preserve"> </w:t>
      </w:r>
      <w:r w:rsidR="005E3E2B">
        <w:rPr>
          <w:rFonts w:ascii="Calibri" w:eastAsia="Calibri" w:hAnsi="Calibri" w:cs="Calibri"/>
        </w:rPr>
        <w:t xml:space="preserve">Here </w:t>
      </w:r>
      <w:r w:rsidR="00947C74">
        <w:rPr>
          <w:rFonts w:ascii="Calibri" w:eastAsia="Calibri" w:hAnsi="Calibri" w:cs="Calibri"/>
        </w:rPr>
        <w:t xml:space="preserve">SoP </w:t>
      </w:r>
      <w:r w:rsidR="00B730E9">
        <w:rPr>
          <w:rFonts w:ascii="Calibri" w:eastAsia="Calibri" w:hAnsi="Calibri" w:cs="Calibri"/>
        </w:rPr>
        <w:t xml:space="preserve">refers to the </w:t>
      </w:r>
      <w:r w:rsidR="005E3E2B">
        <w:rPr>
          <w:rFonts w:ascii="Calibri" w:eastAsia="Calibri" w:hAnsi="Calibri" w:cs="Calibri"/>
        </w:rPr>
        <w:t xml:space="preserve">medical </w:t>
      </w:r>
      <w:r w:rsidR="00B730E9">
        <w:rPr>
          <w:rFonts w:ascii="Calibri" w:eastAsia="Calibri" w:hAnsi="Calibri" w:cs="Calibri"/>
        </w:rPr>
        <w:t xml:space="preserve">procedures, </w:t>
      </w:r>
      <w:proofErr w:type="gramStart"/>
      <w:r w:rsidR="00B730E9">
        <w:rPr>
          <w:rFonts w:ascii="Calibri" w:eastAsia="Calibri" w:hAnsi="Calibri" w:cs="Calibri"/>
        </w:rPr>
        <w:t>processes</w:t>
      </w:r>
      <w:proofErr w:type="gramEnd"/>
      <w:r w:rsidR="00B730E9">
        <w:rPr>
          <w:rFonts w:ascii="Calibri" w:eastAsia="Calibri" w:hAnsi="Calibri" w:cs="Calibri"/>
        </w:rPr>
        <w:t xml:space="preserve"> and actions</w:t>
      </w:r>
      <w:r w:rsidR="005E3E2B">
        <w:rPr>
          <w:rFonts w:ascii="Calibri" w:eastAsia="Calibri" w:hAnsi="Calibri" w:cs="Calibri"/>
        </w:rPr>
        <w:t xml:space="preserve"> that an exploration crew can perform. </w:t>
      </w:r>
    </w:p>
    <w:p w14:paraId="519212EA" w14:textId="49B4FD22" w:rsidR="00D738BB" w:rsidRDefault="00691F12" w:rsidP="00D738BB">
      <w:pPr>
        <w:spacing w:after="120"/>
        <w:rPr>
          <w:rFonts w:ascii="Calibri" w:eastAsia="Calibri" w:hAnsi="Calibri" w:cs="Calibri"/>
        </w:rPr>
      </w:pPr>
      <w:r>
        <w:rPr>
          <w:rFonts w:ascii="Calibri" w:eastAsia="Calibri" w:hAnsi="Calibri" w:cs="Calibri"/>
        </w:rPr>
        <w:t xml:space="preserve">A set of </w:t>
      </w:r>
      <w:r w:rsidR="00CB1A1C">
        <w:rPr>
          <w:rFonts w:ascii="Calibri" w:eastAsia="Calibri" w:hAnsi="Calibri" w:cs="Calibri"/>
        </w:rPr>
        <w:t>specialized</w:t>
      </w:r>
      <w:r>
        <w:rPr>
          <w:rFonts w:ascii="Calibri" w:eastAsia="Calibri" w:hAnsi="Calibri" w:cs="Calibri"/>
        </w:rPr>
        <w:t xml:space="preserve"> assistive technolog</w:t>
      </w:r>
      <w:r w:rsidR="00CB1A1C">
        <w:rPr>
          <w:rFonts w:ascii="Calibri" w:eastAsia="Calibri" w:hAnsi="Calibri" w:cs="Calibri"/>
        </w:rPr>
        <w:t>ies</w:t>
      </w:r>
      <w:r>
        <w:rPr>
          <w:rFonts w:ascii="Calibri" w:eastAsia="Calibri" w:hAnsi="Calibri" w:cs="Calibri"/>
        </w:rPr>
        <w:t xml:space="preserve"> that </w:t>
      </w:r>
      <w:r w:rsidR="00CB1A1C">
        <w:rPr>
          <w:rFonts w:ascii="Calibri" w:eastAsia="Calibri" w:hAnsi="Calibri" w:cs="Calibri"/>
        </w:rPr>
        <w:t>are</w:t>
      </w:r>
      <w:r>
        <w:rPr>
          <w:rFonts w:ascii="Calibri" w:eastAsia="Calibri" w:hAnsi="Calibri" w:cs="Calibri"/>
        </w:rPr>
        <w:t xml:space="preserve"> gaining traction recently are </w:t>
      </w:r>
      <w:r w:rsidR="00D738BB" w:rsidRPr="00893F6E">
        <w:rPr>
          <w:rFonts w:ascii="Calibri" w:eastAsia="Calibri" w:hAnsi="Calibri" w:cs="Calibri"/>
        </w:rPr>
        <w:t xml:space="preserve">Clinical </w:t>
      </w:r>
      <w:r w:rsidR="00D738BB">
        <w:rPr>
          <w:rFonts w:ascii="Calibri" w:eastAsia="Calibri" w:hAnsi="Calibri" w:cs="Calibri"/>
        </w:rPr>
        <w:t>D</w:t>
      </w:r>
      <w:r w:rsidR="00D738BB" w:rsidRPr="00893F6E">
        <w:rPr>
          <w:rFonts w:ascii="Calibri" w:eastAsia="Calibri" w:hAnsi="Calibri" w:cs="Calibri"/>
        </w:rPr>
        <w:t xml:space="preserve">ecision </w:t>
      </w:r>
      <w:r w:rsidR="00D738BB">
        <w:rPr>
          <w:rFonts w:ascii="Calibri" w:eastAsia="Calibri" w:hAnsi="Calibri" w:cs="Calibri"/>
        </w:rPr>
        <w:t>S</w:t>
      </w:r>
      <w:r w:rsidR="00D738BB" w:rsidRPr="00893F6E">
        <w:rPr>
          <w:rFonts w:ascii="Calibri" w:eastAsia="Calibri" w:hAnsi="Calibri" w:cs="Calibri"/>
        </w:rPr>
        <w:t xml:space="preserve">upport </w:t>
      </w:r>
      <w:r w:rsidR="00D738BB">
        <w:rPr>
          <w:rFonts w:ascii="Calibri" w:eastAsia="Calibri" w:hAnsi="Calibri" w:cs="Calibri"/>
        </w:rPr>
        <w:t xml:space="preserve">Systems </w:t>
      </w:r>
      <w:r w:rsidR="00D738BB" w:rsidRPr="00893F6E">
        <w:rPr>
          <w:rFonts w:ascii="Calibri" w:eastAsia="Calibri" w:hAnsi="Calibri" w:cs="Calibri"/>
        </w:rPr>
        <w:t>(CDS</w:t>
      </w:r>
      <w:r w:rsidR="00D738BB">
        <w:rPr>
          <w:rFonts w:ascii="Calibri" w:eastAsia="Calibri" w:hAnsi="Calibri" w:cs="Calibri"/>
        </w:rPr>
        <w:t>S</w:t>
      </w:r>
      <w:r>
        <w:rPr>
          <w:rFonts w:ascii="Calibri" w:eastAsia="Calibri" w:hAnsi="Calibri" w:cs="Calibri"/>
        </w:rPr>
        <w:t>)</w:t>
      </w:r>
      <w:r w:rsidR="005E3E2B">
        <w:rPr>
          <w:rFonts w:ascii="Calibri" w:eastAsia="Calibri" w:hAnsi="Calibri" w:cs="Calibri"/>
        </w:rPr>
        <w:t xml:space="preserve">. </w:t>
      </w:r>
      <w:r w:rsidR="00CB1A1C">
        <w:rPr>
          <w:rFonts w:ascii="Calibri" w:eastAsia="Calibri" w:hAnsi="Calibri" w:cs="Calibri"/>
        </w:rPr>
        <w:t>The remainder of this paper will describe typical CDSS functions, discuss recent evidence that CDSS can increase SoP and provide a use case that illustrates how a spaceflight CDSS might function.</w:t>
      </w:r>
    </w:p>
    <w:p w14:paraId="6BEC8D1F" w14:textId="7E9AFA72" w:rsidR="00D738BB" w:rsidRPr="00893F6E" w:rsidRDefault="00D738BB" w:rsidP="00F74762">
      <w:pPr>
        <w:pStyle w:val="Heading1"/>
        <w:rPr>
          <w:rFonts w:eastAsia="Calibri"/>
        </w:rPr>
      </w:pPr>
      <w:r w:rsidRPr="00893F6E">
        <w:rPr>
          <w:rFonts w:eastAsia="Calibri"/>
        </w:rPr>
        <w:t>A Spaceflight Clinical Decision Support System (CDSS)</w:t>
      </w:r>
    </w:p>
    <w:p w14:paraId="6CEED09A" w14:textId="40C2AB6D" w:rsidR="00D738BB" w:rsidRDefault="00D738BB" w:rsidP="00D738BB">
      <w:pPr>
        <w:spacing w:after="120"/>
        <w:rPr>
          <w:rFonts w:ascii="Calibri" w:eastAsia="Calibri" w:hAnsi="Calibri" w:cs="Calibri"/>
        </w:rPr>
      </w:pPr>
      <w:r>
        <w:rPr>
          <w:rFonts w:ascii="Calibri" w:eastAsia="Calibri" w:hAnsi="Calibri" w:cs="Calibri"/>
        </w:rPr>
        <w:t>CDSS refer</w:t>
      </w:r>
      <w:r w:rsidR="002B7E70">
        <w:rPr>
          <w:rFonts w:ascii="Calibri" w:eastAsia="Calibri" w:hAnsi="Calibri" w:cs="Calibri"/>
        </w:rPr>
        <w:t>s</w:t>
      </w:r>
      <w:r>
        <w:rPr>
          <w:rFonts w:ascii="Calibri" w:eastAsia="Calibri" w:hAnsi="Calibri" w:cs="Calibri"/>
        </w:rPr>
        <w:t xml:space="preserve"> to technological tools that present healthcare information to </w:t>
      </w:r>
      <w:r w:rsidR="005A4ACE">
        <w:rPr>
          <w:rFonts w:ascii="Calibri" w:eastAsia="Calibri" w:hAnsi="Calibri" w:cs="Calibri"/>
        </w:rPr>
        <w:t>users</w:t>
      </w:r>
      <w:r>
        <w:rPr>
          <w:rFonts w:ascii="Calibri" w:eastAsia="Calibri" w:hAnsi="Calibri" w:cs="Calibri"/>
        </w:rPr>
        <w:t xml:space="preserve"> during the clinical workflo</w:t>
      </w:r>
      <w:r w:rsidR="00F74762">
        <w:rPr>
          <w:rFonts w:ascii="Calibri" w:eastAsia="Calibri" w:hAnsi="Calibri" w:cs="Calibri"/>
        </w:rPr>
        <w:t xml:space="preserve">w </w:t>
      </w:r>
      <w:r w:rsidR="00F74762">
        <w:rPr>
          <w:rFonts w:ascii="Calibri" w:eastAsia="Calibri" w:hAnsi="Calibri" w:cs="Calibri"/>
        </w:rPr>
        <w:fldChar w:fldCharType="begin" w:fldLock="1"/>
      </w:r>
      <w:r w:rsidR="00667A0B">
        <w:rPr>
          <w:rFonts w:ascii="Calibri" w:eastAsia="Calibri" w:hAnsi="Calibri" w:cs="Calibri"/>
        </w:rPr>
        <w:instrText>ADDIN CSL_CITATION {"citationItems":[{"id":"ITEM-1","itemData":{"DOI":"10.1016/j.artmed.2019.101762","ISSN":"18732860","PMID":"31980099","abstract":"Motivation: Emergency Departments’ (ED) modern triage systems implemented worldwide are solely based upon medical knowledge and experience. This is a limitation of these systems, since there might be hidden patterns that can be explored in big volumes of clinical historical data. Intelligent techniques can be applied to these data to develop clinical decision support systems (CDSS) thereby providing the health professionals with objective criteria. Therefore, it is of foremost importance to identify what has been hampering the application of such systems for ED triage. Objectives: The objective of this paper is to assess how intelligent CDSS for triage have been contributing to the improvement of quality of care in the ED as well as to identify the challenges they have been facing regarding implementation. Methods: We applied a standard scoping review method with the manual search of 6 digital libraries, namely: ScienceDirect, IEEE Xplore, Google Scholar, Springer, MedlinePlus and Web of Knowledge. Search queries were created and customized for each digital library in order to acquire the information. The core search consisted of searching in the papers’ title, abstract and key words for the topics “triage”, “emergency department”/“emergency room” and concepts within the field of intelligent systems. Results: From the review search, we found that logistic regression was the most frequently used technique for model design and the area under the receiver operating curve (AUC) the most frequently used performance measure. Beside triage priority, the most frequently used variables for modelling were patients’ age, gender, vital signs and chief complaints. The main contributions of the selected papers consisted in the improvement of a patient's prioritization, prediction of need for critical care, hospital or Intensive Care Unit (ICU) admission, ED Length of Stay (LOS) and mortality from information available at the triage. Conclusions: In the papers where CDSS were validated in the ED, the authors found that there was an improvement in the health professionals’ decision-making thereby leading to better clinical management and patients’ outcomes. However, we found that more than half of the studies lacked this implementation phase. We concluded that for these studies, it is necessary to validate the CDSS and to define key performance measures in order to demonstrate the extent to which incorporation of CDSS at triage can actually improve care.","author":[{"dropping-particle":"","family":"Fernandes","given":"Marta","non-dropping-particle":"","parse-names":false,"suffix":""},{"dropping-particle":"","family":"Vieira","given":"Susana M.","non-dropping-particle":"","parse-names":false,"suffix":""},{"dropping-particle":"","family":"Leite","given":"Francisca","non-dropping-particle":"","parse-names":false,"suffix":""},{"dropping-particle":"","family":"Palos","given":"Carlos","non-dropping-particle":"","parse-names":false,"suffix":""},{"dropping-particle":"","family":"Finkelstein","given":"Stan","non-dropping-particle":"","parse-names":false,"suffix":""},{"dropping-particle":"","family":"Sousa","given":"João M.C.","non-dropping-particle":"","parse-names":false,"suffix":""}],"container-title":"Artificial Intelligence in Medicine","id":"ITEM-1","issue":"August 2019","issued":{"date-parts":[["2020"]]},"page":"101762","publisher":"Elsevier","title":"Clinical decision support systems for triage in the emergency department using intelligent systems: a review","type":"article-journal","volume":"102"},"uris":["http://www.mendeley.com/documents/?uuid=7580cf5e-b0d3-41d4-8824-573e97819fc9"]}],"mendeley":{"formattedCitation":"[6]","plainTextFormattedCitation":"[6]","previouslyFormattedCitation":"[6]"},"properties":{"noteIndex":0},"schema":"https://github.com/citation-style-language/schema/raw/master/csl-citation.json"}</w:instrText>
      </w:r>
      <w:r w:rsidR="00F74762">
        <w:rPr>
          <w:rFonts w:ascii="Calibri" w:eastAsia="Calibri" w:hAnsi="Calibri" w:cs="Calibri"/>
        </w:rPr>
        <w:fldChar w:fldCharType="separate"/>
      </w:r>
      <w:r w:rsidR="00667A0B" w:rsidRPr="00667A0B">
        <w:rPr>
          <w:rFonts w:ascii="Calibri" w:eastAsia="Calibri" w:hAnsi="Calibri" w:cs="Calibri"/>
          <w:noProof/>
        </w:rPr>
        <w:t>[6]</w:t>
      </w:r>
      <w:r w:rsidR="00F74762">
        <w:rPr>
          <w:rFonts w:ascii="Calibri" w:eastAsia="Calibri" w:hAnsi="Calibri" w:cs="Calibri"/>
        </w:rPr>
        <w:fldChar w:fldCharType="end"/>
      </w:r>
      <w:r>
        <w:rPr>
          <w:rFonts w:ascii="Calibri" w:eastAsia="Calibri" w:hAnsi="Calibri" w:cs="Calibri"/>
        </w:rPr>
        <w:t>. CDSS</w:t>
      </w:r>
      <w:r w:rsidR="00B91FC7">
        <w:rPr>
          <w:rFonts w:ascii="Calibri" w:eastAsia="Calibri" w:hAnsi="Calibri" w:cs="Calibri"/>
        </w:rPr>
        <w:t xml:space="preserve">’s </w:t>
      </w:r>
      <w:r w:rsidRPr="00601F72">
        <w:rPr>
          <w:rFonts w:ascii="Calibri" w:eastAsia="Calibri" w:hAnsi="Calibri" w:cs="Calibri"/>
        </w:rPr>
        <w:t>ha</w:t>
      </w:r>
      <w:r w:rsidR="00B91FC7">
        <w:rPr>
          <w:rFonts w:ascii="Calibri" w:eastAsia="Calibri" w:hAnsi="Calibri" w:cs="Calibri"/>
        </w:rPr>
        <w:t>ve</w:t>
      </w:r>
      <w:r w:rsidRPr="00601F72">
        <w:rPr>
          <w:rFonts w:ascii="Calibri" w:eastAsia="Calibri" w:hAnsi="Calibri" w:cs="Calibri"/>
        </w:rPr>
        <w:t xml:space="preserve"> been used terrestrially for numerous medical care applications</w:t>
      </w:r>
      <w:r w:rsidR="00EE3F38">
        <w:rPr>
          <w:rFonts w:ascii="Calibri" w:eastAsia="Calibri" w:hAnsi="Calibri" w:cs="Calibri"/>
        </w:rPr>
        <w:t xml:space="preserve"> </w:t>
      </w:r>
      <w:r w:rsidRPr="00601F72">
        <w:rPr>
          <w:rFonts w:ascii="Calibri" w:eastAsia="Calibri" w:hAnsi="Calibri" w:cs="Calibri"/>
        </w:rPr>
        <w:t xml:space="preserve">from preventive to emergent </w:t>
      </w:r>
      <w:r w:rsidRPr="00601F72">
        <w:rPr>
          <w:rFonts w:ascii="Calibri" w:eastAsia="Calibri" w:hAnsi="Calibri" w:cs="Calibri"/>
        </w:rPr>
        <w:fldChar w:fldCharType="begin" w:fldLock="1"/>
      </w:r>
      <w:r w:rsidR="00667A0B">
        <w:rPr>
          <w:rFonts w:ascii="Calibri" w:eastAsia="Calibri" w:hAnsi="Calibri" w:cs="Calibri"/>
        </w:rPr>
        <w:instrText>ADDIN CSL_CITATION {"citationItems":[{"id":"ITEM-1","itemData":{"DOI":"10.3928/19382359-20210514-01","ISSN":"19382359","PMID":"34115562","abstract":"Wilderness medicine is a multifaceted field of medical practice with a long history.[1] Its defi nition must consider concepts of distance and time from typical hospital care, the activity in which an injured or ill person was engaged, the possibility of prolonged environmental exposure, a scarcity of resources, and the risks faced by rescuers and health care providers. A flexible approach to planning, patient assessment, and evacuation © 2014 World Journal of Emergency Medicine is mandatory.[2,3] Howard D. Backer, MD, a past- president of the Wilderness Medical Society, eloquently described wilderness medicine by its remoteness, physiology, need for improvisation, and dependence on clinical examination and judgment.[4] In stark contrast, \"street\" medicine benefits from an abundance of rescue personnel, technologic capability, and rapid ground and air transportation to facilities that can provide defi nitive care. Ongoing basic research and epidemiology continue www.wjem.org 6 Sward et al World J Emerg Med, Vol 5, No 1, 2014 to define and refine wilderness medicine, reporting morbidity and mortality rates from diverse populations and regions. Data from U.S. National Parks indicate that the most common injuries treated by wilderness medicine specialists are soft-tissue lesions, sprains, strains, and lower-extremity fractures","author":[{"dropping-particle":"","family":"Sward","given":"D. G.","non-dropping-particle":"","parse-names":false,"suffix":""},{"dropping-particle":"","family":"Bennet","given":"B. L.","non-dropping-particle":"","parse-names":false,"suffix":""}],"container-title":"World Journal of Emergency Medicine","id":"ITEM-1","issue":"1","issued":{"date-parts":[["2014"]]},"page":"5-15","title":"Wilderness medicine","type":"article-journal","volume":"5"},"uris":["http://www.mendeley.com/documents/?uuid=11cd3099-7a40-4faf-a564-3f0e26270331"]}],"mendeley":{"formattedCitation":"[7]","plainTextFormattedCitation":"[7]","previouslyFormattedCitation":"[7]"},"properties":{"noteIndex":0},"schema":"https://github.com/citation-style-language/schema/raw/master/csl-citation.json"}</w:instrText>
      </w:r>
      <w:r w:rsidRPr="00601F72">
        <w:rPr>
          <w:rFonts w:ascii="Calibri" w:eastAsia="Calibri" w:hAnsi="Calibri" w:cs="Calibri"/>
        </w:rPr>
        <w:fldChar w:fldCharType="separate"/>
      </w:r>
      <w:r w:rsidR="00667A0B" w:rsidRPr="00667A0B">
        <w:rPr>
          <w:rFonts w:ascii="Calibri" w:eastAsia="Calibri" w:hAnsi="Calibri" w:cs="Calibri"/>
          <w:noProof/>
        </w:rPr>
        <w:t>[7]</w:t>
      </w:r>
      <w:r w:rsidRPr="00601F72">
        <w:rPr>
          <w:rFonts w:ascii="Calibri" w:eastAsia="Calibri" w:hAnsi="Calibri" w:cs="Calibri"/>
        </w:rPr>
        <w:fldChar w:fldCharType="end"/>
      </w:r>
      <w:r w:rsidR="00DB13F9">
        <w:rPr>
          <w:rFonts w:ascii="Calibri" w:eastAsia="Calibri" w:hAnsi="Calibri" w:cs="Calibri"/>
        </w:rPr>
        <w:t>, in</w:t>
      </w:r>
      <w:r w:rsidRPr="00601F72">
        <w:rPr>
          <w:rFonts w:ascii="Calibri" w:eastAsia="Calibri" w:hAnsi="Calibri" w:cs="Calibri"/>
        </w:rPr>
        <w:t xml:space="preserve"> wilderness, military </w:t>
      </w:r>
      <w:r w:rsidRPr="00601F72">
        <w:rPr>
          <w:rFonts w:ascii="Calibri" w:eastAsia="Calibri" w:hAnsi="Calibri" w:cs="Calibri"/>
        </w:rPr>
        <w:fldChar w:fldCharType="begin" w:fldLock="1"/>
      </w:r>
      <w:r w:rsidR="00A9328C">
        <w:rPr>
          <w:rFonts w:ascii="Calibri" w:eastAsia="Calibri" w:hAnsi="Calibri" w:cs="Calibri"/>
        </w:rPr>
        <w:instrText>ADDIN CSL_CITATION {"citationItems":[{"id":"ITEM-1","itemData":{"DOI":"10.1038/s41526-019-0089-9","ISSN":"23738065","abstract":"The concept of prolonged field care (PFC), or medical care applied beyond doctrinal planning timelines, is the top priority capability gap across the US Army. PFC is the idea that combat medics must be prepared to provide medical care to serious casualties in the field without the support of robust medical infrastructure or resources in the event of delayed medical evacuation. With limited resources, significant distances to travel before definitive care, and an inability to evacuate in a timely fashion, medical care during exploration spaceflight constitutes the ultimate example PFC. One of the main capability gaps for PFC in both military and spaceflight settings is the need for technologies for individualized monitoring of a patient’s physiological status. A monitoring capability known as the compensatory reserve measurement (CRM) meets such a requirement. CRM is a small, portable, wearable technology that uses a machine learning and feature extraction-based algorithm to assess real-time changes in hundreds of specific features of arterial waveforms. Future development and advancement of CRM still faces engineering challenges to develop ruggedized wearable sensors that can measure waveforms for determining CRM from multiple sites on the body and account for less than optimal conditions (sweat, water, dirt, blood, movement, etc.). We show here the utility of a military wearable technology, CRM, which can be translated to space exploration.","author":[{"dropping-particle":"","family":"Schlotman","given":"Taylor E.","non-dropping-particle":"","parse-names":false,"suffix":""},{"dropping-particle":"","family":"Lehnhardt","given":"Kris R.","non-dropping-particle":"","parse-names":false,"suffix":""},{"dropping-particle":"","family":"Abercromby","given":"Andrew F.","non-dropping-particle":"","parse-names":false,"suffix":""},{"dropping-particle":"","family":"Easter","given":"Benjamin D.","non-dropping-particle":"","parse-names":false,"suffix":""},{"dropping-particle":"","family":"Downs","given":"Meghan E.","non-dropping-particle":"","parse-names":false,"suffix":""},{"dropping-particle":"","family":"Akers","given":"L. T.C.Kevin S.","non-dropping-particle":"","parse-names":false,"suffix":""},{"dropping-particle":"","family":"Convertino","given":"Victor A.","non-dropping-particle":"","parse-names":false,"suffix":""}],"container-title":"NPJ Microgravity","id":"ITEM-1","issue":"1","issued":{"date-parts":[["2019"]]},"page":"1-11","title":"Bridging the gap between military prolonged field care monitoring and exploration spaceflight: The compensatory reserve","type":"article-journal","volume":"5"},"uris":["http://www.mendeley.com/documents/?uuid=982153b8-ad45-421c-8b6d-81784ae92d8c"]},{"id":"ITEM-2","itemData":{"DOI":"https://doi.org/10.1038/s41536-020-00117-9","ISBN":"4153602000117","author":[{"dropping-particle":"","family":"Dolan","given":"C. P.","non-dropping-particle":"","parse-names":false,"suffix":""},{"dropping-particle":"","family":"Valerio","given":"M. S.","non-dropping-particle":"","parse-names":false,"suffix":""},{"dropping-particle":"","family":"Childers","given":"W.L.","non-dropping-particle":"","parse-names":false,"suffix":""},{"dropping-particle":"","family":"Goldman","given":"S. M.","non-dropping-particle":"","parse-names":false,"suffix":""},{"dropping-particle":"","family":"L.","given":"Dearth C.","non-dropping-particle":"","parse-names":false,"suffix":""}],"container-title":"NPJ Regenerative Medicine","id":"ITEM-2","issue":"6","issued":{"date-parts":[["2021"]]},"page":"1-4","title":"Prolonged field care for traumatic extremity injuries: Defining a role for biologically focused technologies","type":"article-journal","volume":"6"},"uris":["http://www.mendeley.com/documents/?uuid=21583567-d4ef-4548-9a64-15c950539784"]}],"mendeley":{"formattedCitation":"[8,9]","plainTextFormattedCitation":"[8,9]","previouslyFormattedCitation":"[8,9]"},"properties":{"noteIndex":0},"schema":"https://github.com/citation-style-language/schema/raw/master/csl-citation.json"}</w:instrText>
      </w:r>
      <w:r w:rsidRPr="00601F72">
        <w:rPr>
          <w:rFonts w:ascii="Calibri" w:eastAsia="Calibri" w:hAnsi="Calibri" w:cs="Calibri"/>
        </w:rPr>
        <w:fldChar w:fldCharType="separate"/>
      </w:r>
      <w:r w:rsidR="00ED09F1" w:rsidRPr="00ED09F1">
        <w:rPr>
          <w:rFonts w:ascii="Calibri" w:eastAsia="Calibri" w:hAnsi="Calibri" w:cs="Calibri"/>
          <w:noProof/>
        </w:rPr>
        <w:t>[8,9]</w:t>
      </w:r>
      <w:r w:rsidRPr="00601F72">
        <w:rPr>
          <w:rFonts w:ascii="Calibri" w:eastAsia="Calibri" w:hAnsi="Calibri" w:cs="Calibri"/>
        </w:rPr>
        <w:fldChar w:fldCharType="end"/>
      </w:r>
      <w:r w:rsidRPr="00601F72">
        <w:rPr>
          <w:rFonts w:ascii="Calibri" w:eastAsia="Calibri" w:hAnsi="Calibri" w:cs="Calibri"/>
        </w:rPr>
        <w:t xml:space="preserve"> and </w:t>
      </w:r>
      <w:r w:rsidR="00A47395">
        <w:rPr>
          <w:rFonts w:ascii="Calibri" w:eastAsia="Calibri" w:hAnsi="Calibri" w:cs="Calibri"/>
        </w:rPr>
        <w:t>inpatient/outpatient clinical</w:t>
      </w:r>
      <w:r w:rsidR="00A47395" w:rsidRPr="00601F72">
        <w:rPr>
          <w:rFonts w:ascii="Calibri" w:eastAsia="Calibri" w:hAnsi="Calibri" w:cs="Calibri"/>
        </w:rPr>
        <w:t xml:space="preserve"> </w:t>
      </w:r>
      <w:r w:rsidRPr="00601F72">
        <w:rPr>
          <w:rFonts w:ascii="Calibri" w:eastAsia="Calibri" w:hAnsi="Calibri" w:cs="Calibri"/>
        </w:rPr>
        <w:t xml:space="preserve">settings </w:t>
      </w:r>
      <w:r w:rsidRPr="00601F72">
        <w:rPr>
          <w:rFonts w:ascii="Calibri" w:eastAsia="Calibri" w:hAnsi="Calibri" w:cs="Calibri"/>
        </w:rPr>
        <w:fldChar w:fldCharType="begin" w:fldLock="1"/>
      </w:r>
      <w:r w:rsidR="00F45C89">
        <w:rPr>
          <w:rFonts w:ascii="Calibri" w:eastAsia="Calibri" w:hAnsi="Calibri" w:cs="Calibri"/>
        </w:rPr>
        <w:instrText>ADDIN CSL_CITATION {"citationItems":[{"id":"ITEM-1","itemData":{"DOI":"10.1177/0300985819829524","ISBN":"0300985819","ISSN":"15442217","PMID":"30866728","abstract":"Machine-learning methods can assist with the medical decision-making processes at the both the clinical and diagnostic levels. In this article, we first review historical milestones and specific applications of computer-based medical decision support tools in both veterinary and human medicine. Next, we take a mechanistic look at 3 archetypal learning algorithms—naive Bayes, decision trees, and neural network—commonly used to power these medical decision support tools. Last, we focus our discussion on the data sets used to train these algorithms and examine methods for validation, data representation, transformation, and feature selection. From this review, the reader should gain some appreciation for how these decision support tools have and can be used in medicine along with insight on their inner workings.","author":[{"dropping-particle":"","family":"Awaysheh","given":"Abdullah","non-dropping-particle":"","parse-names":false,"suffix":""},{"dropping-particle":"","family":"Wilcke","given":"Jeffrey","non-dropping-particle":"","parse-names":false,"suffix":""},{"dropping-particle":"","family":"Elvinger","given":"François","non-dropping-particle":"","parse-names":false,"suffix":""},{"dropping-particle":"","family":"Rees","given":"Loren","non-dropping-particle":"","parse-names":false,"suffix":""},{"dropping-particle":"","family":"Fan","given":"Weiguo","non-dropping-particle":"","parse-names":false,"suffix":""},{"dropping-particle":"","family":"Zimmerman","given":"Kurt L.","non-dropping-particle":"","parse-names":false,"suffix":""}],"container-title":"Veterinary Pathology","id":"ITEM-1","issue":"4","issued":{"date-parts":[["2019"]]},"page":"512-525","title":"Review of medical decision support and machine-learning methods","type":"article-journal","volume":"56"},"uris":["http://www.mendeley.com/documents/?uuid=cc7f17ee-720c-4c06-a4b9-20e00667bc10"]},{"id":"ITEM-2","itemData":{"DOI":"10.1186/s12874-021-01347-1","ISSN":"14712288","PMID":"34332525","abstract":"Background: Unstructured text, including medical records, patient feedback, and social media comments, can be a rich source of data for clinical research. Natural language processing (NLP) describes a set of techniques used to convert passages of written text into interpretable datasets that can be analysed by statistical and machine learning (ML) models. The purpose of this paper is to provide a practical introduction to contemporary techniques for the analysis of text-data, using freely-available software. Methods: We performed three NLP experiments using publicly-available data obtained from medicine review websites. First, we conducted lexicon-based sentiment analysis on open-text patient reviews of four drugs: Levothyroxine, Viagra, Oseltamivir and Apixaban. Next, we used unsupervised ML (latent Dirichlet allocation, LDA) to identify similar drugs in the dataset, based solely on their reviews. Finally, we developed three supervised ML algorithms to predict whether a drug review was associated with a positive or negative rating. These algorithms were: a regularised logistic regression, a support vector machine (SVM), and an artificial neural network (ANN). We compared the performance of these algorithms in terms of classification accuracy, area under the receiver operating characteristic curve (AUC), sensitivity and specificity. Results: Levothyroxine and Viagra were reviewed with a higher proportion of positive sentiments than Oseltamivir and Apixaban. One of the three LDA clusters clearly represented drugs used to treat mental health problems. A common theme suggested by this cluster was drugs taking weeks or months to work. Another cluster clearly represented drugs used as contraceptives. Supervised machine learning algorithms predicted positive or negative drug ratings with classification accuracies ranging from 0.664, 95% CI [0.608, 0.716] for the regularised regression to 0.720, 95% CI [0.664,0.776] for the SVM. Conclusions: In this paper, we present a conceptual overview of common techniques used to analyse large volumes of text, and provide reproducible code that can be readily applied to other research studies using open-source software.","author":[{"dropping-particle":"","family":"Harrison","given":"Conrad J.","non-dropping-particle":"","parse-names":false,"suffix":""},{"dropping-particle":"","family":"Sidey-Gibbons","given":"Chris J.","non-dropping-particle":"","parse-names":false,"suffix":""}],"container-title":"BMC Medical Research Methodology","id":"ITEM-2","issue":"1","issued":{"date-parts":[["2021"]]},"page":"1-18","title":"Machine learning in medicine: a practical introduction to natural language processing","type":"article-journal","volume":"21"},"uris":["http://www.mendeley.com/documents/?uuid=803420fe-ebc1-40b7-a01a-09bee901e832"]},{"id":"ITEM-3","itemData":{"DOI":"10.1093/jamia/ocx100","ISSN":"1527974X","PMID":"29036406","abstract":"Objectives: To systematically classify the clinical impact of computerized clinical decision support systems (CDSSs) in inpatient care. Materials and Methods: Medline, Cochrane Trials, and Cochrane Reviews were searched for CDSS studies that assessed patient outcomes in inpatient settings. For each study, 2 physicians independently mapped patient outcome effects to a predefined medical effect score to assess the clinical impact of reported outcome effects. Disagreements were measured by using weighted kappa and solved by consensus. An example set of promising disease entities was generated based on medical effect scores and risk of bias assessment. To summarize technical characteristics of the systems, reported input variables and algorithm types were extracted as well. Results: Seventy studies were included. Five (7%) reported reduced mortality, 16 (23%) reduced life-threatening events, and 28 (40%) reduced non–life-threatening events, 20 (29%) had no significant impact on patient outcomes, and 1 showed a negative effect (weighted j: 0.72, P &lt; .001). Six of 24 disease entity settings showed high effect scores with medium or low risk of bias: blood glucose management, blood transfusion management, physiologic deterioration prevention, pressure ulcer prevention, acute kidney injury prevention, and venous thromboembolism prophylaxis. Most of the implemented algorithms (72%) were rule-based. Reported input variables are shared as standardized models on a metadata repository. Discussion and Conclusion: Most of the included CDSS studies were associated with positive patient outcomes effects but with substantial differences regarding the clinical impact. A subset of 6 disease entities could be filtered in which CDSS should be given special consideration at sites where computer-assisted decision-making is deemed to be underutilized.","author":[{"dropping-particle":"","family":"Varghese","given":"Julian","non-dropping-particle":"","parse-names":false,"suffix":""},{"dropping-particle":"","family":"Kleine","given":"Maren","non-dropping-particle":"","parse-names":false,"suffix":""},{"dropping-particle":"","family":"Gessner","given":"Sophia Isabella","non-dropping-particle":"","parse-names":false,"suffix":""},{"dropping-particle":"","family":"Sandmann","given":"Sarah","non-dropping-particle":"","parse-names":false,"suffix":""},{"dropping-particle":"","family":"Dugas","given":"Martin","non-dropping-particle":"","parse-names":false,"suffix":""}],"container-title":"Journal of the American Medical Informatics Association","id":"ITEM-3","issue":"5","issued":{"date-parts":[["2018"]]},"page":"593-602","title":"Effects of computerized decision support system implementations on patient outcomes in inpatient care: a systematic review","type":"article-journal","volume":"25"},"uris":["http://www.mendeley.com/documents/?uuid=77dc3728-4203-48d3-9814-6f8facdb5ad8"]}],"mendeley":{"formattedCitation":"[10–12]","plainTextFormattedCitation":"[10–12]","previouslyFormattedCitation":"[10–12]"},"properties":{"noteIndex":0},"schema":"https://github.com/citation-style-language/schema/raw/master/csl-citation.json"}</w:instrText>
      </w:r>
      <w:r w:rsidRPr="00601F72">
        <w:rPr>
          <w:rFonts w:ascii="Calibri" w:eastAsia="Calibri" w:hAnsi="Calibri" w:cs="Calibri"/>
        </w:rPr>
        <w:fldChar w:fldCharType="separate"/>
      </w:r>
      <w:r w:rsidR="00F45C89" w:rsidRPr="00F45C89">
        <w:rPr>
          <w:rFonts w:ascii="Calibri" w:eastAsia="Calibri" w:hAnsi="Calibri" w:cs="Calibri"/>
          <w:noProof/>
        </w:rPr>
        <w:t>[10–12]</w:t>
      </w:r>
      <w:r w:rsidRPr="00601F72">
        <w:rPr>
          <w:rFonts w:ascii="Calibri" w:eastAsia="Calibri" w:hAnsi="Calibri" w:cs="Calibri"/>
        </w:rPr>
        <w:fldChar w:fldCharType="end"/>
      </w:r>
      <w:r w:rsidRPr="00601F72">
        <w:rPr>
          <w:rFonts w:ascii="Calibri" w:eastAsia="Calibri" w:hAnsi="Calibri" w:cs="Calibri"/>
        </w:rPr>
        <w:t>. When applied appropriately</w:t>
      </w:r>
      <w:r w:rsidR="00D35CDA">
        <w:rPr>
          <w:rFonts w:ascii="Calibri" w:eastAsia="Calibri" w:hAnsi="Calibri" w:cs="Calibri"/>
        </w:rPr>
        <w:t xml:space="preserve"> </w:t>
      </w:r>
      <w:r w:rsidR="00D35CDA">
        <w:rPr>
          <w:rFonts w:ascii="Calibri" w:eastAsia="Calibri" w:hAnsi="Calibri" w:cs="Calibri"/>
        </w:rPr>
        <w:fldChar w:fldCharType="begin" w:fldLock="1"/>
      </w:r>
      <w:r w:rsidR="00F45C89">
        <w:rPr>
          <w:rFonts w:ascii="Calibri" w:eastAsia="Calibri" w:hAnsi="Calibri" w:cs="Calibri"/>
        </w:rPr>
        <w:instrText>ADDIN CSL_CITATION {"citationItems":[{"id":"ITEM-1","itemData":{"ISSN":"1546-170X","author":[{"dropping-particle":"","family":"Topol","given":"Eric J","non-dropping-particle":"","parse-names":false,"suffix":""}],"container-title":"Nature Medicine","id":"ITEM-1","issue":"January","issued":{"date-parts":[["2019"]]},"title":"Review Article | FOCUS human and artificial intelligence","type":"article-journal","volume":"25"},"uris":["http://www.mendeley.com/documents/?uuid=1de3647e-eb1e-401f-8024-50e7fdf59664"]}],"mendeley":{"formattedCitation":"[13]","plainTextFormattedCitation":"[13]","previouslyFormattedCitation":"[13]"},"properties":{"noteIndex":0},"schema":"https://github.com/citation-style-language/schema/raw/master/csl-citation.json"}</w:instrText>
      </w:r>
      <w:r w:rsidR="00D35CDA">
        <w:rPr>
          <w:rFonts w:ascii="Calibri" w:eastAsia="Calibri" w:hAnsi="Calibri" w:cs="Calibri"/>
        </w:rPr>
        <w:fldChar w:fldCharType="separate"/>
      </w:r>
      <w:r w:rsidR="00F45C89" w:rsidRPr="00F45C89">
        <w:rPr>
          <w:rFonts w:ascii="Calibri" w:eastAsia="Calibri" w:hAnsi="Calibri" w:cs="Calibri"/>
          <w:noProof/>
        </w:rPr>
        <w:t>[13]</w:t>
      </w:r>
      <w:r w:rsidR="00D35CDA">
        <w:rPr>
          <w:rFonts w:ascii="Calibri" w:eastAsia="Calibri" w:hAnsi="Calibri" w:cs="Calibri"/>
        </w:rPr>
        <w:fldChar w:fldCharType="end"/>
      </w:r>
      <w:r w:rsidRPr="00601F72">
        <w:rPr>
          <w:rFonts w:ascii="Calibri" w:eastAsia="Calibri" w:hAnsi="Calibri" w:cs="Calibri"/>
        </w:rPr>
        <w:t xml:space="preserve">, CDSS </w:t>
      </w:r>
      <w:r>
        <w:rPr>
          <w:rFonts w:ascii="Calibri" w:eastAsia="Calibri" w:hAnsi="Calibri" w:cs="Calibri"/>
        </w:rPr>
        <w:t>have</w:t>
      </w:r>
      <w:r w:rsidRPr="00601F72">
        <w:rPr>
          <w:rFonts w:ascii="Calibri" w:eastAsia="Calibri" w:hAnsi="Calibri" w:cs="Calibri"/>
        </w:rPr>
        <w:t xml:space="preserve"> </w:t>
      </w:r>
      <w:r>
        <w:rPr>
          <w:rFonts w:ascii="Calibri" w:eastAsia="Calibri" w:hAnsi="Calibri" w:cs="Calibri"/>
        </w:rPr>
        <w:t>prevented medical errors and improved health outcomes</w:t>
      </w:r>
      <w:r w:rsidRPr="00601F72">
        <w:rPr>
          <w:rFonts w:ascii="Calibri" w:eastAsia="Calibri" w:hAnsi="Calibri" w:cs="Calibri"/>
        </w:rPr>
        <w:t xml:space="preserve"> </w:t>
      </w:r>
      <w:r w:rsidRPr="00601F72">
        <w:rPr>
          <w:rFonts w:ascii="Calibri" w:eastAsia="Calibri" w:hAnsi="Calibri" w:cs="Calibri"/>
        </w:rPr>
        <w:fldChar w:fldCharType="begin" w:fldLock="1"/>
      </w:r>
      <w:r w:rsidR="00D90B4A">
        <w:rPr>
          <w:rFonts w:ascii="Calibri" w:eastAsia="Calibri" w:hAnsi="Calibri" w:cs="Calibri"/>
        </w:rPr>
        <w:instrText>ADDIN CSL_CITATION {"citationItems":[{"id":"ITEM-1","itemData":{"DOI":"10.1016/j.artmed.2019.101762","ISSN":"18732860","PMID":"31980099","abstract":"Motivation: Emergency Departments’ (ED) modern triage systems implemented worldwide are solely based upon medical knowledge and experience. This is a limitation of these systems, since there might be hidden patterns that can be explored in big volumes of clinical historical data. Intelligent techniques can be applied to these data to develop clinical decision support systems (CDSS) thereby providing the health professionals with objective criteria. Therefore, it is of foremost importance to identify what has been hampering the application of such systems for ED triage. Objectives: The objective of this paper is to assess how intelligent CDSS for triage have been contributing to the improvement of quality of care in the ED as well as to identify the challenges they have been facing regarding implementation. Methods: We applied a standard scoping review method with the manual search of 6 digital libraries, namely: ScienceDirect, IEEE Xplore, Google Scholar, Springer, MedlinePlus and Web of Knowledge. Search queries were created and customized for each digital library in order to acquire the information. The core search consisted of searching in the papers’ title, abstract and key words for the topics “triage”, “emergency department”/“emergency room” and concepts within the field of intelligent systems. Results: From the review search, we found that logistic regression was the most frequently used technique for model design and the area under the receiver operating curve (AUC) the most frequently used performance measure. Beside triage priority, the most frequently used variables for modelling were patients’ age, gender, vital signs and chief complaints. The main contributions of the selected papers consisted in the improvement of a patient's prioritization, prediction of need for critical care, hospital or Intensive Care Unit (ICU) admission, ED Length of Stay (LOS) and mortality from information available at the triage. Conclusions: In the papers where CDSS were validated in the ED, the authors found that there was an improvement in the health professionals’ decision-making thereby leading to better clinical management and patients’ outcomes. However, we found that more than half of the studies lacked this implementation phase. We concluded that for these studies, it is necessary to validate the CDSS and to define key performance measures in order to demonstrate the extent to which incorporation of CDSS at triage can actually improve care.","author":[{"dropping-particle":"","family":"Fernandes","given":"Marta","non-dropping-particle":"","parse-names":false,"suffix":""},{"dropping-particle":"","family":"Vieira","given":"Susana M.","non-dropping-particle":"","parse-names":false,"suffix":""},{"dropping-particle":"","family":"Leite","given":"Francisca","non-dropping-particle":"","parse-names":false,"suffix":""},{"dropping-particle":"","family":"Palos","given":"Carlos","non-dropping-particle":"","parse-names":false,"suffix":""},{"dropping-particle":"","family":"Finkelstein","given":"Stan","non-dropping-particle":"","parse-names":false,"suffix":""},{"dropping-particle":"","family":"Sousa","given":"João M.C.","non-dropping-particle":"","parse-names":false,"suffix":""}],"container-title":"Artificial Intelligence in Medicine","id":"ITEM-1","issue":"August 2019","issued":{"date-parts":[["2020"]]},"page":"101762","publisher":"Elsevier","title":"Clinical decision support systems for triage in the emergency department using intelligent systems: a review","type":"article-journal","volume":"102"},"uris":["http://www.mendeley.com/documents/?uuid=7580cf5e-b0d3-41d4-8824-573e97819fc9"]},{"id":"ITEM-2","itemData":{"DOI":"10.1055/s-0041-1722916","ISSN":"18690327","PMID":"33730757","abstract":"Objective Increasingly, pharmacists provide team-based care that impacts patient care; however, the extent of recent clinical decision support (CDS), targeted to support the evolving roles of pharmacists, is unknown. Our objective was to evaluate the literature to understand the impact of clinical pharmacists using CDS. Methods We searched MEDLINE, EMBASE, and Cochrane Central for randomized controlled trials, nonrandomized trials, and quasi-experimental studies which evaluated CDS tools that were developed for inpatient pharmacists as a target user. The primary outcome of our analysis was the impact of CDS on patient safety, quality use of medication, and quality of care. Outcomes were scored as positive, negative, or neutral. The secondary outcome was the proportion of CDS developed for tasks other than medication order verification. Study quality was assessed using the Newcastle-Ottawa Scale. Results Of 4,365 potentially relevant articles, 15 were included. Five studies were randomized controlled trials. All included studies were rated as good quality. Of the studies evaluating inpatient pharmacists using a CDS tool, four showed significantly improved quality use of medications, four showed significantly improved patient safety, and three showed significantly improved quality of care. Six studies (40%) supported expanded roles of clinical pharmacists. Conclusion These results suggest that CDS can support clinical inpatient pharmacists in preventing medication errors and optimizing pharmacotherapy. Moreover, an increasing number of CDS tools have been developed for pharmacists' roles outside of order verification, whereby further supporting and establishing pharmacists as leaders in safe and effective pharmacotherapy.","author":[{"dropping-particle":"","family":"Yan","given":"Liang","non-dropping-particle":"","parse-names":false,"suffix":""},{"dropping-particle":"","family":"Reese","given":"Thomas","non-dropping-particle":"","parse-names":false,"suffix":""},{"dropping-particle":"","family":"Nelson","given":"Scott D.","non-dropping-particle":"","parse-names":false,"suffix":""}],"container-title":"Applied Clinical Informatics","id":"ITEM-2","issue":"2","issued":{"date-parts":[["2021"]]},"page":"199-207","title":"A Narrative Review of Clinical Decision Support for Inpatient Clinical Pharmacists","type":"article-journal","volume":"12"},"uris":["http://www.mendeley.com/documents/?uuid=824267f8-adbe-4ccf-92dd-62cc89d54aa4"]}],"mendeley":{"formattedCitation":"[6,14]","plainTextFormattedCitation":"[6,14]","previouslyFormattedCitation":"[6,14]"},"properties":{"noteIndex":0},"schema":"https://github.com/citation-style-language/schema/raw/master/csl-citation.json"}</w:instrText>
      </w:r>
      <w:r w:rsidRPr="00601F72">
        <w:rPr>
          <w:rFonts w:ascii="Calibri" w:eastAsia="Calibri" w:hAnsi="Calibri" w:cs="Calibri"/>
        </w:rPr>
        <w:fldChar w:fldCharType="separate"/>
      </w:r>
      <w:r w:rsidR="00F45C89" w:rsidRPr="00F45C89">
        <w:rPr>
          <w:rFonts w:ascii="Calibri" w:eastAsia="Calibri" w:hAnsi="Calibri" w:cs="Calibri"/>
          <w:noProof/>
        </w:rPr>
        <w:t>[6,14]</w:t>
      </w:r>
      <w:r w:rsidRPr="00601F72">
        <w:rPr>
          <w:rFonts w:ascii="Calibri" w:eastAsia="Calibri" w:hAnsi="Calibri" w:cs="Calibri"/>
        </w:rPr>
        <w:fldChar w:fldCharType="end"/>
      </w:r>
      <w:r>
        <w:rPr>
          <w:rFonts w:ascii="Calibri" w:eastAsia="Calibri" w:hAnsi="Calibri" w:cs="Calibri"/>
        </w:rPr>
        <w:t>. Examples of terrestrial CDSS functionalities include:</w:t>
      </w:r>
    </w:p>
    <w:p w14:paraId="44AA120B" w14:textId="453E743B" w:rsidR="001F4F0D" w:rsidRDefault="001F4F0D" w:rsidP="001F4F0D">
      <w:pPr>
        <w:pStyle w:val="ListParagraph"/>
        <w:numPr>
          <w:ilvl w:val="0"/>
          <w:numId w:val="15"/>
        </w:numPr>
        <w:autoSpaceDE/>
        <w:autoSpaceDN/>
        <w:adjustRightInd/>
        <w:spacing w:after="120"/>
        <w:rPr>
          <w:rFonts w:ascii="Calibri" w:eastAsia="Calibri" w:hAnsi="Calibri" w:cs="Calibri"/>
        </w:rPr>
      </w:pPr>
      <w:r>
        <w:rPr>
          <w:rFonts w:ascii="Calibri" w:eastAsia="Calibri" w:hAnsi="Calibri" w:cs="Calibri"/>
        </w:rPr>
        <w:t xml:space="preserve">Medication administration improvements – e.g., reduces prescribing and dosing errors, contraindications through automated warnings and drug-event monitoring </w:t>
      </w:r>
      <w:r>
        <w:rPr>
          <w:rFonts w:ascii="Calibri" w:eastAsia="Calibri" w:hAnsi="Calibri" w:cs="Calibri"/>
        </w:rPr>
        <w:fldChar w:fldCharType="begin" w:fldLock="1"/>
      </w:r>
      <w:r w:rsidR="00D90B4A">
        <w:rPr>
          <w:rFonts w:ascii="Calibri" w:eastAsia="Calibri" w:hAnsi="Calibri" w:cs="Calibri"/>
        </w:rPr>
        <w:instrText>ADDIN CSL_CITATION {"citationItems":[{"id":"ITEM-1","itemData":{"DOI":"10.1371/journal.pone.0167683","ISSN":"19326203","PMID":"27977697","abstract":"Background: The clinical decision support system(CDSS) has potential to improving medication safety. However, the effects of the intervention were conflicting and uncertain. Meanwhile, the reporting and methodological quality of this field were unknown. Objective: The aim of this overview is to evaluate the effects of CDSS on medication safety and to examine the methodological and reporting quality. Methods: PubMed, Embase and Cochrane Library were searched to August 2015. Systematic reviews (SRs) investigating the effects of CDSS on medication safety were included. Outcomes were determined in advance and assessed separately for process of care and patient outcomes. The methodological quality was assessed by Assessment of Multiple Systematic Reviews (AMSTAR) and the reporting quality was examined by Preferred Reporting Items for Systematic Reviews and Meta-Analyses (PRISMA). Results: Twenty systematic reviews, consisting of 237 unique randomized controlled trials(RCTs) and 176 non-RCTs were included. Evidence that CDSS significantly impacted process of care was found in 108 out of 143 unique studies of the 16 SRs examining this effect (75%). Only 18 out of 90 unique studies of the 13 SRs reported significantly evidence that CDSS positively impacted patient outcomes (20%). Ratings for the overall scores of AMSTAR resulted in a mean score of 8.3 with a range of scores from 7.5 to 10.5. The reporting quality was varied. Some contents were particularly strong. However, some contents were poor. Conclusions: CDSS reduces medication error by obviously improving process of care and inconsistently improving patient outcomes. Larger samples and longer-term studies are required to ensure more reliable evidence base on the effects of CDSS on patient outcomes. The methodological and reporting quality were varied and some realms need to be improved.","author":[{"dropping-particle":"","family":"Jia","given":"Pengli","non-dropping-particle":"","parse-names":false,"suffix":""},{"dropping-particle":"","family":"Zhang","given":"Longhao","non-dropping-particle":"","parse-names":false,"suffix":""},{"dropping-particle":"","family":"Chen","given":"Jingjing","non-dropping-particle":"","parse-names":false,"suffix":""},{"dropping-particle":"","family":"Zhao","given":"Pujing","non-dropping-particle":"","parse-names":false,"suffix":""},{"dropping-particle":"","family":"Zhang","given":"Mingming","non-dropping-particle":"","parse-names":false,"suffix":""}],"container-title":"PLoS ONE","id":"ITEM-1","issue":"12","issued":{"date-parts":[["2016"]]},"page":"1-17","title":"The effects of clinical decision support systems on medication safety: An overview","type":"article-journal","volume":"11"},"uris":["http://www.mendeley.com/documents/?uuid=e78d7777-0316-4667-98ff-ef621f8d3c26"]},{"id":"ITEM-2","itemData":{"DOI":"10.1097/OGX.0b013e3182021fe9","ISSN":"00297828","author":[{"dropping-particle":"","family":"Poon","given":"Eric G.","non-dropping-particle":"","parse-names":false,"suffix":""},{"dropping-particle":"","family":"Keohane","given":"Carol A.","non-dropping-particle":"","parse-names":false,"suffix":""},{"dropping-particle":"","family":"Yoon","given":"Catherine S.","non-dropping-particle":"","parse-names":false,"suffix":""},{"dropping-particle":"","family":"Ditmore","given":"Matthew","non-dropping-particle":"","parse-names":false,"suffix":""},{"dropping-particle":"","family":"Bane","given":"Anne","non-dropping-particle":"","parse-names":false,"suffix":""},{"dropping-particle":"","family":"Levtzion-Korach","given":"Osnat","non-dropping-particle":"","parse-names":false,"suffix":""},{"dropping-particle":"","family":"Moniz","given":"Thomas","non-dropping-particle":"","parse-names":false,"suffix":""},{"dropping-particle":"","family":"Rothschild","given":"Jeffrey M.","non-dropping-particle":"","parse-names":false,"suffix":""},{"dropping-particle":"","family":"Kachalia","given":"Allen B.","non-dropping-particle":"","parse-names":false,"suffix":""},{"dropping-particle":"","family":"Hayes","given":"Judy","non-dropping-particle":"","parse-names":false,"suffix":""},{"dropping-particle":"","family":"Churchill","given":"William W.","non-dropping-particle":"","parse-names":false,"suffix":""},{"dropping-particle":"","family":"Lipsitz","given":"Stuart","non-dropping-particle":"","parse-names":false,"suffix":""},{"dropping-particle":"","family":"Whittemore","given":"Anthony D.","non-dropping-particle":"","parse-names":false,"suffix":""},{"dropping-particle":"","family":"Bates","given":"David W.","non-dropping-particle":"","parse-names":false,"suffix":""},{"dropping-particle":"","family":"Gandhi","given":"Tejal K.","non-dropping-particle":"","parse-names":false,"suffix":""}],"container-title":"Obstetrical and Gynecological Survey","id":"ITEM-2","issue":"10","issued":{"date-parts":[["2010"]]},"page":"629-630","title":"Effect of bar-code technology on the safety of medication administration","type":"article-journal","volume":"65"},"uris":["http://www.mendeley.com/documents/?uuid=e3525ba3-3b7f-4569-9a04-ea298fc92a83"]}],"mendeley":{"formattedCitation":"[15,16]","plainTextFormattedCitation":"[15,16]","previouslyFormattedCitation":"[15,16]"},"properties":{"noteIndex":0},"schema":"https://github.com/citation-style-language/schema/raw/master/csl-citation.json"}</w:instrText>
      </w:r>
      <w:r>
        <w:rPr>
          <w:rFonts w:ascii="Calibri" w:eastAsia="Calibri" w:hAnsi="Calibri" w:cs="Calibri"/>
        </w:rPr>
        <w:fldChar w:fldCharType="separate"/>
      </w:r>
      <w:r w:rsidR="00F45C89" w:rsidRPr="00F45C89">
        <w:rPr>
          <w:rFonts w:ascii="Calibri" w:eastAsia="Calibri" w:hAnsi="Calibri" w:cs="Calibri"/>
          <w:noProof/>
        </w:rPr>
        <w:t>[15,16]</w:t>
      </w:r>
      <w:r>
        <w:rPr>
          <w:rFonts w:ascii="Calibri" w:eastAsia="Calibri" w:hAnsi="Calibri" w:cs="Calibri"/>
        </w:rPr>
        <w:fldChar w:fldCharType="end"/>
      </w:r>
      <w:r w:rsidR="00EE3F38">
        <w:rPr>
          <w:rFonts w:ascii="Calibri" w:eastAsia="Calibri" w:hAnsi="Calibri" w:cs="Calibri"/>
        </w:rPr>
        <w:t>;</w:t>
      </w:r>
    </w:p>
    <w:p w14:paraId="4B83196B" w14:textId="60942D81" w:rsidR="001F4F0D" w:rsidRDefault="001F4F0D" w:rsidP="001F4F0D">
      <w:pPr>
        <w:pStyle w:val="ListParagraph"/>
        <w:numPr>
          <w:ilvl w:val="0"/>
          <w:numId w:val="15"/>
        </w:numPr>
        <w:autoSpaceDE/>
        <w:autoSpaceDN/>
        <w:adjustRightInd/>
        <w:spacing w:after="120"/>
        <w:rPr>
          <w:rFonts w:ascii="Calibri" w:eastAsia="Calibri" w:hAnsi="Calibri" w:cs="Calibri"/>
        </w:rPr>
      </w:pPr>
      <w:r w:rsidRPr="00893F6E">
        <w:rPr>
          <w:rFonts w:ascii="Calibri" w:eastAsia="Calibri" w:hAnsi="Calibri" w:cs="Calibri"/>
        </w:rPr>
        <w:t xml:space="preserve">Rapid interpretation of large volumes of data – e.g., </w:t>
      </w:r>
      <w:r>
        <w:rPr>
          <w:rFonts w:ascii="Calibri" w:eastAsia="Calibri" w:hAnsi="Calibri" w:cs="Calibri"/>
        </w:rPr>
        <w:t xml:space="preserve">performs </w:t>
      </w:r>
      <w:r w:rsidRPr="00893F6E">
        <w:rPr>
          <w:rFonts w:ascii="Calibri" w:eastAsia="Calibri" w:hAnsi="Calibri" w:cs="Calibri"/>
        </w:rPr>
        <w:t xml:space="preserve">complex differential diagnosis, patient probabilistic analysis, </w:t>
      </w:r>
      <w:r>
        <w:rPr>
          <w:rFonts w:ascii="Calibri" w:eastAsia="Calibri" w:hAnsi="Calibri" w:cs="Calibri"/>
        </w:rPr>
        <w:t xml:space="preserve">provides </w:t>
      </w:r>
      <w:r w:rsidRPr="00893F6E">
        <w:rPr>
          <w:rFonts w:ascii="Calibri" w:eastAsia="Calibri" w:hAnsi="Calibri" w:cs="Calibri"/>
        </w:rPr>
        <w:t>treatment options</w:t>
      </w:r>
      <w:r w:rsidR="00DB13F9">
        <w:rPr>
          <w:rFonts w:ascii="Calibri" w:eastAsia="Calibri" w:hAnsi="Calibri" w:cs="Calibri"/>
        </w:rPr>
        <w:t xml:space="preserve"> and</w:t>
      </w:r>
      <w:r w:rsidRPr="00893F6E">
        <w:rPr>
          <w:rFonts w:ascii="Calibri" w:eastAsia="Calibri" w:hAnsi="Calibri" w:cs="Calibri"/>
        </w:rPr>
        <w:t xml:space="preserve"> triage based on predicted use of limited resources</w:t>
      </w:r>
      <w:r>
        <w:rPr>
          <w:rFonts w:ascii="Calibri" w:eastAsia="Calibri" w:hAnsi="Calibri" w:cs="Calibri"/>
        </w:rPr>
        <w:t xml:space="preserve"> </w:t>
      </w:r>
      <w:r w:rsidRPr="009E02B5">
        <w:rPr>
          <w:color w:val="auto"/>
        </w:rPr>
        <w:fldChar w:fldCharType="begin" w:fldLock="1"/>
      </w:r>
      <w:r w:rsidR="00D90B4A">
        <w:rPr>
          <w:color w:val="auto"/>
        </w:rPr>
        <w:instrText>ADDIN CSL_CITATION {"citationItems":[{"id":"ITEM-1","itemData":{"author":[{"dropping-particle":"","family":"Sutton","given":"Reed T","non-dropping-particle":"","parse-names":false,"suffix":""}],"container-title":"NPJ Digital Medicine","id":"ITEM-1","issued":{"date-parts":[["2020"]]},"page":"1-10","title":"An overview of clinical decision support systems: benefits , risks , and strategies for success","type":"article-journal"},"uris":["http://www.mendeley.com/documents/?uuid=180408ac-e5eb-4cf6-84c3-8eb8335b647a"]}],"mendeley":{"formattedCitation":"[17]","plainTextFormattedCitation":"[17]","previouslyFormattedCitation":"[17]"},"properties":{"noteIndex":0},"schema":"https://github.com/citation-style-language/schema/raw/master/csl-citation.json"}</w:instrText>
      </w:r>
      <w:r w:rsidRPr="009E02B5">
        <w:rPr>
          <w:color w:val="auto"/>
        </w:rPr>
        <w:fldChar w:fldCharType="separate"/>
      </w:r>
      <w:r w:rsidR="00F45C89" w:rsidRPr="00F45C89">
        <w:rPr>
          <w:noProof/>
          <w:color w:val="auto"/>
        </w:rPr>
        <w:t>[17]</w:t>
      </w:r>
      <w:r w:rsidRPr="009E02B5">
        <w:rPr>
          <w:color w:val="auto"/>
        </w:rPr>
        <w:fldChar w:fldCharType="end"/>
      </w:r>
      <w:r w:rsidR="00EE3F38">
        <w:rPr>
          <w:color w:val="auto"/>
        </w:rPr>
        <w:t>;</w:t>
      </w:r>
      <w:r w:rsidRPr="00910F28">
        <w:rPr>
          <w:color w:val="auto"/>
        </w:rPr>
        <w:t xml:space="preserve"> </w:t>
      </w:r>
    </w:p>
    <w:p w14:paraId="7F730D83" w14:textId="1FD752F2" w:rsidR="001F4F0D" w:rsidRPr="00132B11" w:rsidRDefault="001F4F0D" w:rsidP="001F4F0D">
      <w:pPr>
        <w:pStyle w:val="ListParagraph"/>
        <w:numPr>
          <w:ilvl w:val="0"/>
          <w:numId w:val="15"/>
        </w:numPr>
        <w:autoSpaceDE/>
        <w:autoSpaceDN/>
        <w:adjustRightInd/>
        <w:spacing w:after="120"/>
      </w:pPr>
      <w:r w:rsidRPr="00893F6E">
        <w:rPr>
          <w:rFonts w:ascii="Calibri" w:eastAsia="Calibri" w:hAnsi="Calibri" w:cs="Calibri"/>
        </w:rPr>
        <w:t xml:space="preserve">Streamline documentation processes </w:t>
      </w:r>
      <w:r>
        <w:rPr>
          <w:rFonts w:ascii="Calibri" w:eastAsia="Calibri" w:hAnsi="Calibri" w:cs="Calibri"/>
        </w:rPr>
        <w:t>–</w:t>
      </w:r>
      <w:r w:rsidRPr="00893F6E">
        <w:rPr>
          <w:rFonts w:ascii="Calibri" w:eastAsia="Calibri" w:hAnsi="Calibri" w:cs="Calibri"/>
        </w:rPr>
        <w:t xml:space="preserve"> </w:t>
      </w:r>
      <w:r>
        <w:rPr>
          <w:rFonts w:ascii="Calibri" w:eastAsia="Calibri" w:hAnsi="Calibri" w:cs="Calibri"/>
        </w:rPr>
        <w:t>e.g., a</w:t>
      </w:r>
      <w:r w:rsidRPr="00893F6E">
        <w:rPr>
          <w:rFonts w:ascii="Calibri" w:eastAsia="Calibri" w:hAnsi="Calibri" w:cs="Calibri"/>
        </w:rPr>
        <w:t>utomatically populating clinical notes</w:t>
      </w:r>
      <w:r>
        <w:rPr>
          <w:rFonts w:ascii="Calibri" w:eastAsia="Calibri" w:hAnsi="Calibri" w:cs="Calibri"/>
        </w:rPr>
        <w:t xml:space="preserve">, </w:t>
      </w:r>
      <w:r w:rsidRPr="00893F6E">
        <w:rPr>
          <w:rFonts w:ascii="Calibri" w:eastAsia="Calibri" w:hAnsi="Calibri" w:cs="Calibri"/>
        </w:rPr>
        <w:t>constructing auto text shortcuts for lab result interpretation</w:t>
      </w:r>
      <w:r>
        <w:rPr>
          <w:rFonts w:ascii="Calibri" w:eastAsia="Calibri" w:hAnsi="Calibri" w:cs="Calibri"/>
        </w:rPr>
        <w:t xml:space="preserve"> </w:t>
      </w:r>
      <w:r>
        <w:rPr>
          <w:rFonts w:ascii="Calibri" w:eastAsia="Calibri" w:hAnsi="Calibri" w:cs="Calibri"/>
        </w:rPr>
        <w:fldChar w:fldCharType="begin" w:fldLock="1"/>
      </w:r>
      <w:r w:rsidR="00D90B4A">
        <w:rPr>
          <w:rFonts w:ascii="Calibri" w:eastAsia="Calibri" w:hAnsi="Calibri" w:cs="Calibri"/>
        </w:rPr>
        <w:instrText>ADDIN CSL_CITATION {"citationItems":[{"id":"ITEM-1","itemData":{"DOI":"10.1016/j.ijmedinf.2010.10.008","ISSN":"13865056","PMID":"21112242","abstract":"Errors involving medication administration can be costly, both in financial and in human terms. Indeed, there is much potential for errors due to the complexity of the medication administration process. Nurses are often singled out as the only responsible of these errors because they are in charge of drug administration. Nevertheless, the interventions of every actor involved in the process and the system design itself contribute to errors (Wakefield et al. (1998) [23]). Proper inpatient medication safety systems can help to reduce such errors in hospitals. In this paper, we review in depth two recent proposals (Chien et al. (2010) [7]; Huang and Ku (2009) [12]) that pursue the aforementioned objective. Unfortunately, they fail in their attempt mainly due to their security faults but interesting ideas can be drawn from both. These security faults refer to impersonation and replay attacks that could produce the generation of a forged proof stating that certain medication was administered to an inpatient when it was not. We propose a leading-edge solution to enhance inpatient medication safety based on RFID technology that overcomes these weaknesses. Our solution, named Inpatient Safety RFID system (IS-RFID), takes into account the Information Technology (IT) infrastructure of a hospital and covers every phase of the drug administration process. From a practical perspective, our system can be easily integrated within hospital IT infrastructures, has a moderate cost, is very ease to use and deals with security aspects as a key point. © 2010 Elsevier Ireland Ltd.","author":[{"dropping-particle":"","family":"Peris-Lopez","given":"Pedro","non-dropping-particle":"","parse-names":false,"suffix":""},{"dropping-particle":"","family":"Orfila","given":"Agustin","non-dropping-particle":"","parse-names":false,"suffix":""},{"dropping-particle":"","family":"Mitrokotsa","given":"Aikaterini","non-dropping-particle":"","parse-names":false,"suffix":""},{"dropping-particle":"","family":"Lubbe","given":"Jan C.A.","non-dropping-particle":"van der","parse-names":false,"suffix":""}],"container-title":"International Journal of Medical Informatics","id":"ITEM-1","issue":"1","issued":{"date-parts":[["2011"]]},"page":"13-24","title":"A comprehensive RFID solution to enhance inpatient medication safety","type":"article-journal","volume":"80"},"uris":["http://www.mendeley.com/documents/?uuid=2a1d70e0-2381-4ab0-bcb5-fb29457f5c40"]}],"mendeley":{"formattedCitation":"[18]","plainTextFormattedCitation":"[18]","previouslyFormattedCitation":"[18]"},"properties":{"noteIndex":0},"schema":"https://github.com/citation-style-language/schema/raw/master/csl-citation.json"}</w:instrText>
      </w:r>
      <w:r>
        <w:rPr>
          <w:rFonts w:ascii="Calibri" w:eastAsia="Calibri" w:hAnsi="Calibri" w:cs="Calibri"/>
        </w:rPr>
        <w:fldChar w:fldCharType="separate"/>
      </w:r>
      <w:r w:rsidR="00F45C89" w:rsidRPr="00F45C89">
        <w:rPr>
          <w:rFonts w:ascii="Calibri" w:eastAsia="Calibri" w:hAnsi="Calibri" w:cs="Calibri"/>
          <w:noProof/>
        </w:rPr>
        <w:t>[18]</w:t>
      </w:r>
      <w:r>
        <w:rPr>
          <w:rFonts w:ascii="Calibri" w:eastAsia="Calibri" w:hAnsi="Calibri" w:cs="Calibri"/>
        </w:rPr>
        <w:fldChar w:fldCharType="end"/>
      </w:r>
      <w:r w:rsidR="00EE3F38">
        <w:rPr>
          <w:rFonts w:ascii="Calibri" w:eastAsia="Calibri" w:hAnsi="Calibri" w:cs="Calibri"/>
        </w:rPr>
        <w:t>;</w:t>
      </w:r>
    </w:p>
    <w:p w14:paraId="7BDA4D27" w14:textId="5EEEC097" w:rsidR="001F4F0D" w:rsidRPr="00132B11" w:rsidRDefault="001F4F0D" w:rsidP="001F4F0D">
      <w:pPr>
        <w:pStyle w:val="ListParagraph"/>
        <w:numPr>
          <w:ilvl w:val="0"/>
          <w:numId w:val="15"/>
        </w:numPr>
        <w:autoSpaceDE/>
        <w:autoSpaceDN/>
        <w:adjustRightInd/>
        <w:spacing w:after="120"/>
      </w:pPr>
      <w:r w:rsidRPr="00132B11">
        <w:rPr>
          <w:rFonts w:ascii="Calibri" w:eastAsia="Calibri" w:hAnsi="Calibri" w:cs="Calibri"/>
        </w:rPr>
        <w:t xml:space="preserve">Just-in-time training </w:t>
      </w:r>
      <w:r>
        <w:rPr>
          <w:rFonts w:ascii="Calibri" w:eastAsia="Calibri" w:hAnsi="Calibri" w:cs="Calibri"/>
        </w:rPr>
        <w:fldChar w:fldCharType="begin" w:fldLock="1"/>
      </w:r>
      <w:r w:rsidR="00D90B4A">
        <w:rPr>
          <w:rFonts w:ascii="Calibri" w:eastAsia="Calibri" w:hAnsi="Calibri" w:cs="Calibri"/>
        </w:rPr>
        <w:instrText>ADDIN CSL_CITATION {"citationItems":[{"id":"ITEM-1","itemData":{"DOI":"10.1111/acem.14002","ISSN":"15532712","PMID":"32352206","abstract":"Objectives: Adoption of emergency department (ED) initiation of buprenorphine (BUP) for opioid use disorder (OUD) into routine emergency care has been slow, partly due to clinicians’ unfamiliarity with this practice and perceptions that it is complicated and time-consuming. To address these barriers and guide emergency clinicians through the process of BUP initiation, we implemented a user-centered computerized clinical decision support system (CDS). This study was conducted to assess the feasibility of implementation and to evaluate the preliminary efficacy of the intervention to increase the rate of ED-initiated BUP. Methods: An interrupted time series study was conducted in an urban, academic ED from April 2018 to February 2019 (preimplementation phase), March 2019 to August 2019 (implementation phase), and September 2019 to December 2019 (maintenance phase) to study the effect of the intervention on adult ED patients identified by a validated electronic health record (EHR)-based computable phenotype consisting of structured data consistent with potential cases of OUD who would benefit from BUP treatment. The intervention offers flexible CDS for identification of OUD, assessment of opioid withdrawal, and motivation of readiness to start treatment and automates EHR activities related to ED initiation of BUP (including documentation, orders, prescribing, and referral). The primary outcome was the rate of ED-initiated BUP. Secondary outcomes were launch of the intervention, prescription for naloxone at ED discharge, and referral for ongoing addiction treatment. Results: Of the 141,041 unique patients presenting to the ED over the preimplementation and implementation phases (i.e., the phases used in primary analysis), 906 (574 preimplementation and 332 implementation) met OUD phenotype and inclusion criteria. The rate of BUP initiation increased from 3.5% (20/574) in the preimplementation phase to 6.6% (22/332) in the implementation phase (p = 0.03). After the temporal trend of the number of physician's with X-waiver training and other covariates were adjusted for, the relative risk of BUP initiation rate was 2.73 (95% confidence interval [CI] = 0.62 to 12.0, p = 0.18). Similarly, the number of unique attendings who initiated BUP increased modestly 7/53 (13.0%) to 13/57 (22.8%, p = 0.10) after offering just-in-time training during the implementation period. The rate of naloxone prescribed at discharge also increased (6.5% preimplementation and 11.5% impl…","author":[{"dropping-particle":"","family":"Holland","given":"Wesley C.","non-dropping-particle":"","parse-names":false,"suffix":""},{"dropping-particle":"","family":"Nath","given":"Bidisha","non-dropping-particle":"","parse-names":false,"suffix":""},{"dropping-particle":"","family":"Li","given":"Fangyong","non-dropping-particle":"","parse-names":false,"suffix":""},{"dropping-particle":"","family":"Maciejewski","given":"Kaitlin","non-dropping-particle":"","parse-names":false,"suffix":""},{"dropping-particle":"","family":"Paek","given":"Hyung","non-dropping-particle":"","parse-names":false,"suffix":""},{"dropping-particle":"","family":"Dziura","given":"James","non-dropping-particle":"","parse-names":false,"suffix":""},{"dropping-particle":"","family":"Rajeevan","given":"Haseena","non-dropping-particle":"","parse-names":false,"suffix":""},{"dropping-particle":"","family":"Lu","given":"Charles C.","non-dropping-particle":"","parse-names":false,"suffix":""},{"dropping-particle":"","family":"Katsovich","given":"Liliya","non-dropping-particle":"","parse-names":false,"suffix":""},{"dropping-particle":"","family":"D'Onofrio","given":"Gail","non-dropping-particle":"","parse-names":false,"suffix":""},{"dropping-particle":"","family":"Melnick","given":"Edward R.","non-dropping-particle":"","parse-names":false,"suffix":""}],"container-title":"Academic Emergency Medicine","id":"ITEM-1","issue":"8","issued":{"date-parts":[["2020"]]},"page":"753-763","title":"Interrupted time series of user-centered clinical decision support implementation for emergency department–initiated buprenorphine for opioid use disorder","type":"article-journal","volume":"27"},"uris":["http://www.mendeley.com/documents/?uuid=57b05cb3-fc75-48cb-8e43-1a665776765a"]}],"mendeley":{"formattedCitation":"[19]","plainTextFormattedCitation":"[19]","previouslyFormattedCitation":"[19]"},"properties":{"noteIndex":0},"schema":"https://github.com/citation-style-language/schema/raw/master/csl-citation.json"}</w:instrText>
      </w:r>
      <w:r>
        <w:rPr>
          <w:rFonts w:ascii="Calibri" w:eastAsia="Calibri" w:hAnsi="Calibri" w:cs="Calibri"/>
        </w:rPr>
        <w:fldChar w:fldCharType="separate"/>
      </w:r>
      <w:r w:rsidR="00F45C89" w:rsidRPr="00F45C89">
        <w:rPr>
          <w:rFonts w:ascii="Calibri" w:eastAsia="Calibri" w:hAnsi="Calibri" w:cs="Calibri"/>
          <w:noProof/>
        </w:rPr>
        <w:t>[19]</w:t>
      </w:r>
      <w:r>
        <w:rPr>
          <w:rFonts w:ascii="Calibri" w:eastAsia="Calibri" w:hAnsi="Calibri" w:cs="Calibri"/>
        </w:rPr>
        <w:fldChar w:fldCharType="end"/>
      </w:r>
      <w:r w:rsidRPr="00132B11">
        <w:rPr>
          <w:rFonts w:ascii="Calibri" w:eastAsia="Calibri" w:hAnsi="Calibri" w:cs="Calibri"/>
        </w:rPr>
        <w:t xml:space="preserve"> tailored to the user’s skill</w:t>
      </w:r>
      <w:r w:rsidR="00EE3F38">
        <w:rPr>
          <w:rFonts w:ascii="Calibri" w:eastAsia="Calibri" w:hAnsi="Calibri" w:cs="Calibri"/>
        </w:rPr>
        <w:t>; and</w:t>
      </w:r>
    </w:p>
    <w:p w14:paraId="00CEC709" w14:textId="4C9EC6D3" w:rsidR="001F4F0D" w:rsidRPr="00132B11" w:rsidRDefault="001F4F0D" w:rsidP="001F4F0D">
      <w:pPr>
        <w:pStyle w:val="ListParagraph"/>
        <w:numPr>
          <w:ilvl w:val="0"/>
          <w:numId w:val="15"/>
        </w:numPr>
        <w:autoSpaceDE/>
        <w:autoSpaceDN/>
        <w:adjustRightInd/>
        <w:spacing w:after="120"/>
      </w:pPr>
      <w:r w:rsidRPr="00132B11">
        <w:rPr>
          <w:rFonts w:ascii="Calibri" w:eastAsia="Calibri" w:hAnsi="Calibri" w:cs="Calibri"/>
        </w:rPr>
        <w:t xml:space="preserve">Concise logical interactions detailing what to do now, why to do it, how the decision was reached, and what to expect next </w:t>
      </w:r>
      <w:r>
        <w:rPr>
          <w:rFonts w:ascii="Calibri" w:eastAsia="Calibri" w:hAnsi="Calibri" w:cs="Calibri"/>
        </w:rPr>
        <w:fldChar w:fldCharType="begin" w:fldLock="1"/>
      </w:r>
      <w:r w:rsidR="00D90B4A">
        <w:rPr>
          <w:rFonts w:ascii="Calibri" w:eastAsia="Calibri" w:hAnsi="Calibri" w:cs="Calibri"/>
        </w:rPr>
        <w:instrText>ADDIN CSL_CITATION {"citationItems":[{"id":"ITEM-1","itemData":{"author":[{"dropping-particle":"","family":"Babione","given":"Julie","non-dropping-particle":"","parse-names":false,"suffix":""},{"dropping-particle":"","family":"Ocampo","given":"Wrechelle","non-dropping-particle":"","parse-names":false,"suffix":""},{"dropping-particle":"","family":"Haubrich","given":"Sydney","non-dropping-particle":"","parse-names":false,"suffix":""},{"dropping-particle":"","family":"Yang","given":"COnnie","non-dropping-particle":"","parse-names":false,"suffix":""},{"dropping-particle":"","family":"Zuk","given":"Torre","non-dropping-particle":"","parse-names":false,"suffix":""},{"dropping-particle":"","family":"Kaufman","given":"Jaime","non-dropping-particle":"","parse-names":false,"suffix":""},{"dropping-particle":"","family":"Carpendale","given":"Sheelagh","non-dropping-particle":"","parse-names":false,"suffix":""},{"dropping-particle":"","family":"Ghali","given":"William","non-dropping-particle":"","parse-names":false,"suffix":""},{"dropping-particle":"","family":"Altabbaa","given":"Ghazwan","non-dropping-particle":"","parse-names":false,"suffix":""}],"container-title":"International Journal of Medical Informatics","id":"ITEM-1","issue":"February","issued":{"date-parts":[["2020"]]},"title":"International Journal of Medical Informatics Erratum to “ Human-centred design processes for clinical decision support :","type":"article-journal","volume":"148"},"uris":["http://www.mendeley.com/documents/?uuid=dd1421c5-6ec1-4c44-b7db-d7c7bce549c0"]}],"mendeley":{"formattedCitation":"[20]","plainTextFormattedCitation":"[20]","previouslyFormattedCitation":"[20]"},"properties":{"noteIndex":0},"schema":"https://github.com/citation-style-language/schema/raw/master/csl-citation.json"}</w:instrText>
      </w:r>
      <w:r>
        <w:rPr>
          <w:rFonts w:ascii="Calibri" w:eastAsia="Calibri" w:hAnsi="Calibri" w:cs="Calibri"/>
        </w:rPr>
        <w:fldChar w:fldCharType="separate"/>
      </w:r>
      <w:r w:rsidR="00F45C89" w:rsidRPr="00F45C89">
        <w:rPr>
          <w:rFonts w:ascii="Calibri" w:eastAsia="Calibri" w:hAnsi="Calibri" w:cs="Calibri"/>
          <w:noProof/>
        </w:rPr>
        <w:t>[20]</w:t>
      </w:r>
      <w:r>
        <w:rPr>
          <w:rFonts w:ascii="Calibri" w:eastAsia="Calibri" w:hAnsi="Calibri" w:cs="Calibri"/>
        </w:rPr>
        <w:fldChar w:fldCharType="end"/>
      </w:r>
    </w:p>
    <w:p w14:paraId="11749615" w14:textId="101C0BE3" w:rsidR="00132B11" w:rsidRDefault="00014D6A" w:rsidP="00132B11">
      <w:pPr>
        <w:autoSpaceDE/>
        <w:autoSpaceDN/>
        <w:adjustRightInd/>
        <w:spacing w:after="120"/>
      </w:pPr>
      <w:r w:rsidRPr="00132B11">
        <w:rPr>
          <w:color w:val="auto"/>
        </w:rPr>
        <w:t xml:space="preserve">Long-duration </w:t>
      </w:r>
      <w:r>
        <w:t>exploration</w:t>
      </w:r>
      <w:r w:rsidRPr="00132B11">
        <w:rPr>
          <w:color w:val="auto"/>
        </w:rPr>
        <w:t xml:space="preserve"> missions </w:t>
      </w:r>
      <w:r>
        <w:t xml:space="preserve">(LDEM) </w:t>
      </w:r>
      <w:r w:rsidRPr="00132B11">
        <w:rPr>
          <w:color w:val="auto"/>
        </w:rPr>
        <w:t>present several unique challenges for a CDSS</w:t>
      </w:r>
      <w:r w:rsidR="00D770CF">
        <w:rPr>
          <w:rFonts w:ascii="Calibri" w:hAnsi="Calibri" w:cs="Calibri"/>
        </w:rPr>
        <w:t xml:space="preserve">; </w:t>
      </w:r>
      <w:r>
        <w:t>LDEM are defined here as missions into deep space lasting longer than 30 days</w:t>
      </w:r>
      <w:r w:rsidR="000248AB">
        <w:t xml:space="preserve"> </w:t>
      </w:r>
      <w:r w:rsidR="000248AB">
        <w:fldChar w:fldCharType="begin" w:fldLock="1"/>
      </w:r>
      <w:r w:rsidR="00D90B4A">
        <w:instrText>ADDIN CSL_CITATION {"citationItems":[{"id":"ITEM-1","itemData":{"ISBN":"9780309296571","author":[{"dropping-particle":"","family":"Kahn","given":"Jeffrey","non-dropping-particle":"","parse-names":false,"suffix":""},{"dropping-particle":"","family":"Liverman","given":"Catharyn T","non-dropping-particle":"","parse-names":false,"suffix":""},{"dropping-particle":"","family":"Mccoy","given":"Margaret A","non-dropping-particle":"","parse-names":false,"suffix":""}],"id":"ITEM-1","issued":{"date-parts":[["2014"]]},"title":"Health standards for long duration and exploration spaceflights","type":"report"},"uris":["http://www.mendeley.com/documents/?uuid=1a69e593-2b36-4512-b540-3d4338a3043e"]}],"mendeley":{"formattedCitation":"[21]","plainTextFormattedCitation":"[21]","previouslyFormattedCitation":"[21]"},"properties":{"noteIndex":0},"schema":"https://github.com/citation-style-language/schema/raw/master/csl-citation.json"}</w:instrText>
      </w:r>
      <w:r w:rsidR="000248AB">
        <w:fldChar w:fldCharType="separate"/>
      </w:r>
      <w:r w:rsidR="00F45C89" w:rsidRPr="00F45C89">
        <w:rPr>
          <w:noProof/>
        </w:rPr>
        <w:t>[21]</w:t>
      </w:r>
      <w:r w:rsidR="000248AB">
        <w:fldChar w:fldCharType="end"/>
      </w:r>
      <w:r>
        <w:t xml:space="preserve">. </w:t>
      </w:r>
      <w:r w:rsidR="00E50034">
        <w:t>First,</w:t>
      </w:r>
      <w:r w:rsidR="007C7BC3">
        <w:t xml:space="preserve"> a</w:t>
      </w:r>
      <w:r w:rsidR="003A70B2">
        <w:t>lthough</w:t>
      </w:r>
      <w:r>
        <w:t xml:space="preserve"> </w:t>
      </w:r>
      <w:r w:rsidR="00FD68EA">
        <w:t xml:space="preserve">there </w:t>
      </w:r>
      <w:r w:rsidR="003A70B2">
        <w:t>are</w:t>
      </w:r>
      <w:r>
        <w:t xml:space="preserve"> some medical data </w:t>
      </w:r>
      <w:r w:rsidR="00D770CF">
        <w:t>from</w:t>
      </w:r>
      <w:r>
        <w:t xml:space="preserve"> short-duration missions to the Moon from the Apollo program (the longest lunar mission was ~12 days), experience with </w:t>
      </w:r>
      <w:r w:rsidR="00AA686E">
        <w:lastRenderedPageBreak/>
        <w:t xml:space="preserve">LDEM </w:t>
      </w:r>
      <w:r w:rsidR="00E91E36">
        <w:t>is lacking</w:t>
      </w:r>
      <w:r w:rsidR="001C2EDE">
        <w:t xml:space="preserve"> </w:t>
      </w:r>
      <w:r w:rsidR="001C2EDE">
        <w:fldChar w:fldCharType="begin" w:fldLock="1"/>
      </w:r>
      <w:r w:rsidR="00A32873">
        <w:instrText>ADDIN CSL_CITATION {"citationItems":[{"id":"ITEM-1","itemData":{"DOI":"10.1038/s41526-022-00193-9","author":[{"dropping-particle":"","family":"Antonsen","given":"Erik L","non-dropping-particle":"","parse-names":false,"suffix":""},{"dropping-particle":"","family":"Myers","given":"Jerry G","non-dropping-particle":"","parse-names":false,"suffix":""}],"container-title":"NPJ Microgravity","id":"ITEM-1","issued":{"date-parts":[["2022"]]},"page":"1-8","title":"Estimating medical risk in human space flight","type":"article-journal","volume":"8"},"uris":["http://www.mendeley.com/documents/?uuid=28577a09-171f-4959-ac1a-bd36df2a96a1"]}],"mendeley":{"formattedCitation":"[22]","plainTextFormattedCitation":"[22]","previouslyFormattedCitation":"[22]"},"properties":{"noteIndex":0},"schema":"https://github.com/citation-style-language/schema/raw/master/csl-citation.json"}</w:instrText>
      </w:r>
      <w:r w:rsidR="001C2EDE">
        <w:fldChar w:fldCharType="separate"/>
      </w:r>
      <w:r w:rsidR="00F45C89" w:rsidRPr="00F45C89">
        <w:rPr>
          <w:noProof/>
        </w:rPr>
        <w:t>[22]</w:t>
      </w:r>
      <w:r w:rsidR="001C2EDE">
        <w:fldChar w:fldCharType="end"/>
      </w:r>
      <w:r w:rsidR="00E91E36">
        <w:t xml:space="preserve">. </w:t>
      </w:r>
      <w:r w:rsidR="007C7BC3">
        <w:rPr>
          <w:color w:val="auto"/>
        </w:rPr>
        <w:t>Second,</w:t>
      </w:r>
      <w:r w:rsidRPr="00132B11">
        <w:rPr>
          <w:color w:val="auto"/>
        </w:rPr>
        <w:t xml:space="preserve"> a </w:t>
      </w:r>
      <w:r w:rsidR="00170818">
        <w:rPr>
          <w:color w:val="auto"/>
        </w:rPr>
        <w:t>CDSS</w:t>
      </w:r>
      <w:r w:rsidRPr="00132B11">
        <w:rPr>
          <w:color w:val="auto"/>
        </w:rPr>
        <w:t xml:space="preserve"> must provide real-time support to </w:t>
      </w:r>
      <w:r w:rsidR="00AA686E">
        <w:rPr>
          <w:color w:val="auto"/>
        </w:rPr>
        <w:t xml:space="preserve">effectively </w:t>
      </w:r>
      <w:r w:rsidRPr="00132B11">
        <w:rPr>
          <w:color w:val="auto"/>
        </w:rPr>
        <w:t xml:space="preserve">enable increased crew autonomy for managing anticipated and unanticipated medical conditions. Unanticipated conditions include medical events </w:t>
      </w:r>
      <w:r w:rsidR="008A6CB7">
        <w:rPr>
          <w:color w:val="auto"/>
        </w:rPr>
        <w:t>not previously observed</w:t>
      </w:r>
      <w:r w:rsidRPr="00132B11">
        <w:rPr>
          <w:color w:val="auto"/>
        </w:rPr>
        <w:t xml:space="preserve"> </w:t>
      </w:r>
      <w:r w:rsidR="008A6CB7">
        <w:rPr>
          <w:color w:val="auto"/>
        </w:rPr>
        <w:t>in space or on</w:t>
      </w:r>
      <w:r w:rsidRPr="00132B11">
        <w:rPr>
          <w:color w:val="auto"/>
        </w:rPr>
        <w:t xml:space="preserve"> earth, un-planned, un-resourced or simply </w:t>
      </w:r>
      <w:r w:rsidR="008A6CB7">
        <w:rPr>
          <w:color w:val="auto"/>
        </w:rPr>
        <w:t xml:space="preserve">not </w:t>
      </w:r>
      <w:r w:rsidRPr="00132B11">
        <w:rPr>
          <w:color w:val="auto"/>
        </w:rPr>
        <w:t>expected at the time of occurrence.</w:t>
      </w:r>
      <w:r>
        <w:t xml:space="preserve"> </w:t>
      </w:r>
      <w:r w:rsidR="00E50034">
        <w:t>Third</w:t>
      </w:r>
      <w:r>
        <w:t xml:space="preserve">, the CMO may, or may not, have the expertise required to detect, diagnose, and treat emergent medical conditions. A </w:t>
      </w:r>
      <w:r w:rsidR="00170818">
        <w:t>CDSS</w:t>
      </w:r>
      <w:r>
        <w:t xml:space="preserve"> should act as a teaming intelligence </w:t>
      </w:r>
      <w:r>
        <w:fldChar w:fldCharType="begin" w:fldLock="1"/>
      </w:r>
      <w:r w:rsidR="00D90B4A">
        <w:instrText>ADDIN CSL_CITATION {"citationItems":[{"id":"ITEM-1","itemData":{"DOI":"10.1609/aimag.v40i1.2842","ISSN":"07384602","abstract":"n The purpose of this article is to draw attention to an aspect of intelligence that has not yet received significant attention from the AI community, but that plays a crucial role in a technology’s effectiveness in the world, namely teaming intelligence. We propose that Al will reach its full potential only if, as part of its intelligence, it also has enough teaming intelligence to work well with people. Although seemingly counterintuitive, the more intelligent the technological system, the greater the need for collaborative skills. This paper will argue why teaming intelligence is important to AI, provide a general structure for AI researchers to use in developing intelligent systems that team well, assess the current state of the art and, in doing so, suggest a path forward for future AI systems. This is not a call to develop a new capability, but rather, an approach to what AI capabilities should be built, and how, so as to imbue intelligent systems with teaming competence.","author":[{"dropping-particle":"","family":"Johnson","given":"Matthew","non-dropping-particle":"","parse-names":false,"suffix":""},{"dropping-particle":"","family":"Vera","given":"Alonso H.","non-dropping-particle":"","parse-names":false,"suffix":""}],"container-title":"AI Magazine","id":"ITEM-1","issue":"1","issued":{"date-parts":[["2019"]]},"page":"16-28","title":"No Ai is an island: The case for teaming intelligence","type":"article-magazine","volume":"40"},"uris":["http://www.mendeley.com/documents/?uuid=c4cf6ab9-2a81-4750-8867-8accd9db0b48"]}],"mendeley":{"formattedCitation":"[23]","plainTextFormattedCitation":"[23]","previouslyFormattedCitation":"[23]"},"properties":{"noteIndex":0},"schema":"https://github.com/citation-style-language/schema/raw/master/csl-citation.json"}</w:instrText>
      </w:r>
      <w:r>
        <w:fldChar w:fldCharType="separate"/>
      </w:r>
      <w:r w:rsidR="00F45C89" w:rsidRPr="00F45C89">
        <w:rPr>
          <w:noProof/>
        </w:rPr>
        <w:t>[23]</w:t>
      </w:r>
      <w:r>
        <w:fldChar w:fldCharType="end"/>
      </w:r>
      <w:r>
        <w:t xml:space="preserve"> to assist the CMO</w:t>
      </w:r>
      <w:r w:rsidR="003F05B7">
        <w:t xml:space="preserve"> or any user</w:t>
      </w:r>
      <w:r>
        <w:t xml:space="preserve"> in dynamic, highly complex scenarios, adapting to the acuity of each situation. </w:t>
      </w:r>
      <w:r w:rsidR="00370153">
        <w:t xml:space="preserve">Capabilities </w:t>
      </w:r>
      <w:r>
        <w:t xml:space="preserve">for a </w:t>
      </w:r>
      <w:r w:rsidR="00170818">
        <w:t>CDSS</w:t>
      </w:r>
      <w:r>
        <w:t xml:space="preserve"> </w:t>
      </w:r>
      <w:r w:rsidR="00370153">
        <w:t xml:space="preserve">could </w:t>
      </w:r>
      <w:r>
        <w:t xml:space="preserve">include assistive data collection, probabilistic diagnostics, focused </w:t>
      </w:r>
      <w:r w:rsidR="00501825">
        <w:t>real-time guidance</w:t>
      </w:r>
      <w:r>
        <w:t xml:space="preserve">, and the provision of diagnostic and therapeutic </w:t>
      </w:r>
      <w:r w:rsidR="00370153">
        <w:t>recommendations</w:t>
      </w:r>
      <w:r>
        <w:t xml:space="preserve">. </w:t>
      </w:r>
      <w:r w:rsidR="00E50034">
        <w:t>Fourth</w:t>
      </w:r>
      <w:r>
        <w:t xml:space="preserve">, spaceflight stressors such as </w:t>
      </w:r>
      <w:r w:rsidRPr="00132B11">
        <w:rPr>
          <w:color w:val="auto"/>
        </w:rPr>
        <w:t>auditory overload, musculoskeletal pain, circadian disruptions</w:t>
      </w:r>
      <w:r w:rsidR="001C2EDE">
        <w:rPr>
          <w:color w:val="auto"/>
        </w:rPr>
        <w:t xml:space="preserve"> </w:t>
      </w:r>
      <w:r w:rsidR="001C2EDE">
        <w:rPr>
          <w:color w:val="auto"/>
        </w:rPr>
        <w:fldChar w:fldCharType="begin" w:fldLock="1"/>
      </w:r>
      <w:r w:rsidR="00D90B4A">
        <w:rPr>
          <w:color w:val="auto"/>
        </w:rPr>
        <w:instrText>ADDIN CSL_CITATION {"citationItems":[{"id":"ITEM-1","itemData":{"DOI":"10.1038/npjmgrav.2015.19","ISSN":"23738065","abstract":"Sleep deficiency and the use of sleep-promoting medication are prevalent during spaceflight. Operations frequently dictate work during the biological night and sleep during the biological day, which contribute to circadian misalignment. We investigated whether circadian misalignment was associated with adverse sleep outcomes before (preflight) and during spaceflight missions aboard the International Space Station (ISS). Actigraphy and photometry data for 21 astronauts were collected over 3,248 days of long-duration spaceflight on the ISS and 11 days prior to launch (n = 231 days). Sleep logs, collected one out of every 3 weeks in flight and daily on Earth, were used to determine medication use and subjective ratings of sleep quality. Actigraphy and photometry data were processed using Circadian Performance Simulation Software to calculate the estimated endogenous circadian temperature minimum. Sleep episodes were classified as aligned or misaligned relative to the estimated endogenous circadian temperature minimum. Mixed-effects regression models accounting for repeated measures were computed by data collection interval (preflight, flight) and circadian alignment status. The estimated endogenous circadian temperature minimum occurred outside sleep episodes on 13% of sleep episodes during preflight and on 19% of sleep episodes during spaceflight. The mean sleep duration in low-Earth orbit on the ISS was 6.4 ± 1.2 h during aligned and 5.4 ± 1.4 h (P&lt;0.01) during misaligned sleep episodes. During aligned sleep episodes, astronauts rated their sleep quality as significantly better than during misaligned sleep episodes (66.8 ± 17.7 vs. 60.2 ± 21.0, P&lt;0.01). Sleep-promoting medication use was significantly higher during misaligned (24%) compared with aligned (11%) sleep episodes (P&lt;0.01). Use of any medication was significantly higher on days when sleep episodes were misaligned (63%) compared with when sleep episodes were aligned (49%; P&lt;0.01). Circadian misalignment is associated with sleep deficiency and increased medication use during spaceflight. These findings suggest that there is an immediate need to deploy and assess effective countermeasures to minimize circadian misalignment and consequent adverse sleep outcomes both before and during spaceflight.","author":[{"dropping-particle":"","family":"Flynn-Evans","given":"Erin E.","non-dropping-particle":"","parse-names":false,"suffix":""},{"dropping-particle":"","family":"Barger","given":"Laura K.","non-dropping-particle":"","parse-names":false,"suffix":""},{"dropping-particle":"","family":"Kubey","given":"Alan A.","non-dropping-particle":"","parse-names":false,"suffix":""},{"dropping-particle":"","family":"Sullivan","given":"Jason P.","non-dropping-particle":"","parse-names":false,"suffix":""},{"dropping-particle":"","family":"Czeisler","given":"Charles A.","non-dropping-particle":"","parse-names":false,"suffix":""}],"container-title":"npj Microgravity","id":"ITEM-1","issue":"May 2015","issued":{"date-parts":[["2016"]]},"page":"1-6","title":"Circadian misalignment affects sleep and medication use before and during spaceflight","type":"article-journal","volume":"2"},"uris":["http://www.mendeley.com/documents/?uuid=67f070c8-eb6b-4e63-8d18-3667497456d4"]}],"mendeley":{"formattedCitation":"[24]","plainTextFormattedCitation":"[24]","previouslyFormattedCitation":"[24]"},"properties":{"noteIndex":0},"schema":"https://github.com/citation-style-language/schema/raw/master/csl-citation.json"}</w:instrText>
      </w:r>
      <w:r w:rsidR="001C2EDE">
        <w:rPr>
          <w:color w:val="auto"/>
        </w:rPr>
        <w:fldChar w:fldCharType="separate"/>
      </w:r>
      <w:r w:rsidR="00F45C89" w:rsidRPr="00F45C89">
        <w:rPr>
          <w:noProof/>
          <w:color w:val="auto"/>
        </w:rPr>
        <w:t>[24]</w:t>
      </w:r>
      <w:r w:rsidR="001C2EDE">
        <w:rPr>
          <w:color w:val="auto"/>
        </w:rPr>
        <w:fldChar w:fldCharType="end"/>
      </w:r>
      <w:r w:rsidRPr="00132B11">
        <w:rPr>
          <w:color w:val="auto"/>
        </w:rPr>
        <w:t xml:space="preserve">, confinement, cultural differences, and elevated carbon dioxide levels all affect cognitive processes </w:t>
      </w:r>
      <w:r w:rsidRPr="00132B11">
        <w:rPr>
          <w:color w:val="auto"/>
        </w:rPr>
        <w:fldChar w:fldCharType="begin" w:fldLock="1"/>
      </w:r>
      <w:r w:rsidR="00D90B4A">
        <w:rPr>
          <w:color w:val="auto"/>
        </w:rPr>
        <w:instrText>ADDIN CSL_CITATION {"citationItems":[{"id":"ITEM-1","itemData":{"DOI":"10.1038/s41526-019-0071-6","ISSN":"23738065","abstract":"Acute exposure to carbon dioxide (CO2) concentrations below those found on the International Space Station are reported to deteriorate complex decision-making. Effective decision-making is critical to human spaceflight, especially during an emergency response. Therefore, effects of acutely elevated CO2 on decision-making competency and various cognitive domains were assessed in astronaut-like subjects by the Strategic Management Simulation (SMS) and Cognition test batteries. The double-blind cross-over study included 22 participants at the Johnson Space Center randomly assigned to one of four groups. Each group was exposed to a different sequence of four concentrations of CO2 (600, 1200, 2500, 5000 ppm). Subjects performed Cognition before entering the chamber, 15 min and 2.5 h after entering the chamber, and 15 min after exiting the chamber. The SMS was administered 30 min after subjects entered the chamber. There were no clear dose–response patterns for performance on either SMS or Cognition. Performance on most SMS measures and aggregate speed, accuracy, and efficiency scores across Cognition tests were lower at 1200 ppm than at baseline (600 ppm); however, at higher CO2 concentrations performance was similar to or exceeded baseline for most measures. These outcomes, which conflict with those of other studies, likely indicate differing characteristics of the various subject populations and differences in the aggregation of unrecognized stressors, in addition to CO2, are responsible for disparate outcomes among studies. Studies with longer exposure durations are needed to verify that cognitive impairment does not develop over time in crew-like subjects.","author":[{"dropping-particle":"","family":"Scully","given":"Robert R.","non-dropping-particle":"","parse-names":false,"suffix":""},{"dropping-particle":"","family":"Basner","given":"Mathias","non-dropping-particle":"","parse-names":false,"suffix":""},{"dropping-particle":"","family":"Nasrini","given":"Jad","non-dropping-particle":"","parse-names":false,"suffix":""},{"dropping-particle":"","family":"Lam","given":"Chiu wing","non-dropping-particle":"","parse-names":false,"suffix":""},{"dropping-particle":"","family":"Hermosillo","given":"Emanuel","non-dropping-particle":"","parse-names":false,"suffix":""},{"dropping-particle":"","family":"Gur","given":"Ruben C.","non-dropping-particle":"","parse-names":false,"suffix":""},{"dropping-particle":"","family":"Moore","given":"Tyler","non-dropping-particle":"","parse-names":false,"suffix":""},{"dropping-particle":"","family":"Alexander","given":"David J.","non-dropping-particle":"","parse-names":false,"suffix":""},{"dropping-particle":"","family":"Satish","given":"Usha","non-dropping-particle":"","parse-names":false,"suffix":""},{"dropping-particle":"","family":"Ryder","given":"Valerie E.","non-dropping-particle":"","parse-names":false,"suffix":""}],"container-title":"NPJ Microgravity","id":"ITEM-1","issue":"1","issued":{"date-parts":[["2019"]]},"title":"Effects of acute exposures to carbon dioxide on decision making and cognition in astronaut-like subjects","type":"article-journal","volume":"5"},"uris":["http://www.mendeley.com/documents/?uuid=2c773c88-3af9-4ba4-b1c7-0d6d57bb23cb"]}],"mendeley":{"formattedCitation":"[25]","plainTextFormattedCitation":"[25]","previouslyFormattedCitation":"[25]"},"properties":{"noteIndex":0},"schema":"https://github.com/citation-style-language/schema/raw/master/csl-citation.json"}</w:instrText>
      </w:r>
      <w:r w:rsidRPr="00132B11">
        <w:rPr>
          <w:color w:val="auto"/>
        </w:rPr>
        <w:fldChar w:fldCharType="separate"/>
      </w:r>
      <w:r w:rsidR="00D90B4A" w:rsidRPr="00D90B4A">
        <w:rPr>
          <w:noProof/>
          <w:color w:val="auto"/>
        </w:rPr>
        <w:t>[25]</w:t>
      </w:r>
      <w:r w:rsidRPr="00132B11">
        <w:rPr>
          <w:color w:val="auto"/>
        </w:rPr>
        <w:fldChar w:fldCharType="end"/>
      </w:r>
      <w:r w:rsidRPr="00132B11">
        <w:rPr>
          <w:color w:val="auto"/>
        </w:rPr>
        <w:t xml:space="preserve"> </w:t>
      </w:r>
      <w:r w:rsidR="003F05B7">
        <w:rPr>
          <w:color w:val="auto"/>
        </w:rPr>
        <w:t>which</w:t>
      </w:r>
      <w:r w:rsidRPr="00132B11">
        <w:rPr>
          <w:color w:val="auto"/>
        </w:rPr>
        <w:t xml:space="preserve"> could affect the</w:t>
      </w:r>
      <w:r w:rsidR="003F05B7">
        <w:rPr>
          <w:color w:val="auto"/>
        </w:rPr>
        <w:t xml:space="preserve"> crew’s</w:t>
      </w:r>
      <w:r w:rsidRPr="00132B11">
        <w:rPr>
          <w:color w:val="auto"/>
        </w:rPr>
        <w:t xml:space="preserve"> ability to respond to medical </w:t>
      </w:r>
      <w:r w:rsidR="00370153">
        <w:rPr>
          <w:color w:val="auto"/>
        </w:rPr>
        <w:t>events</w:t>
      </w:r>
      <w:r w:rsidRPr="00132B11">
        <w:rPr>
          <w:color w:val="auto"/>
        </w:rPr>
        <w:t xml:space="preserve">. The </w:t>
      </w:r>
      <w:r w:rsidR="00170818">
        <w:rPr>
          <w:color w:val="auto"/>
        </w:rPr>
        <w:t>CDSS</w:t>
      </w:r>
      <w:r w:rsidRPr="00132B11">
        <w:rPr>
          <w:color w:val="auto"/>
        </w:rPr>
        <w:t xml:space="preserve"> must help th</w:t>
      </w:r>
      <w:r w:rsidR="003F05B7">
        <w:rPr>
          <w:color w:val="auto"/>
        </w:rPr>
        <w:t>e</w:t>
      </w:r>
      <w:r w:rsidR="00370153">
        <w:rPr>
          <w:color w:val="auto"/>
        </w:rPr>
        <w:t xml:space="preserve"> astronauts</w:t>
      </w:r>
      <w:r w:rsidR="003F05B7">
        <w:rPr>
          <w:color w:val="auto"/>
        </w:rPr>
        <w:t xml:space="preserve"> address</w:t>
      </w:r>
      <w:r w:rsidRPr="00132B11">
        <w:rPr>
          <w:color w:val="auto"/>
        </w:rPr>
        <w:t xml:space="preserve"> a broad range of clinical conditions and must be equipped with a robust data system to augment the</w:t>
      </w:r>
      <w:r w:rsidR="003F05B7">
        <w:rPr>
          <w:color w:val="auto"/>
        </w:rPr>
        <w:t xml:space="preserve"> users’</w:t>
      </w:r>
      <w:r w:rsidRPr="00132B11">
        <w:rPr>
          <w:color w:val="auto"/>
        </w:rPr>
        <w:t xml:space="preserve"> knowledge, skills and abilities (KSA)</w:t>
      </w:r>
      <w:r w:rsidR="00E91E36">
        <w:rPr>
          <w:color w:val="auto"/>
        </w:rPr>
        <w:t xml:space="preserve"> to increase their SoP</w:t>
      </w:r>
      <w:r w:rsidRPr="00132B11">
        <w:rPr>
          <w:color w:val="auto"/>
        </w:rPr>
        <w:t xml:space="preserve"> </w:t>
      </w:r>
      <w:r w:rsidRPr="00132B11">
        <w:rPr>
          <w:color w:val="auto"/>
        </w:rPr>
        <w:fldChar w:fldCharType="begin" w:fldLock="1"/>
      </w:r>
      <w:r w:rsidR="00D90B4A">
        <w:rPr>
          <w:color w:val="auto"/>
        </w:rPr>
        <w:instrText>ADDIN CSL_CITATION {"citationItems":[{"id":"ITEM-1","itemData":{"author":[{"dropping-particle":"","family":"Krihak","given":"M","non-dropping-particle":"","parse-names":false,"suffix":""},{"dropping-particle":"","family":"Schmitt","given":"B","non-dropping-particle":"","parse-names":false,"suffix":""},{"dropping-particle":"","family":"Noel","given":"J","non-dropping-particle":"","parse-names":false,"suffix":""},{"dropping-particle":"","family":"Winther","given":"S","non-dropping-particle":"","parse-names":false,"suffix":""},{"dropping-particle":"","family":"Toscano","given":"W","non-dropping-particle":"","parse-names":false,"suffix":""},{"dropping-particle":"","family":"Bardina","given":"J","non-dropping-particle":"","parse-names":false,"suffix":""},{"dropping-particle":"","family":"Shetye","given":"S","non-dropping-particle":"","parse-names":false,"suffix":""},{"dropping-particle":"","family":"Shaw","given":"T","non-dropping-particle":"","parse-names":false,"suffix":""}],"container-title":"NASA Human Research Program Investigators Work Shop","id":"ITEM-1","issued":{"date-parts":[["2020","1","1"]]},"publisher-place":"Glaverston, USA","title":"Medical data architecture platform and recommended requirements for a medical data system for exploration missions","type":"paper-conference"},"uris":["http://www.mendeley.com/documents/?uuid=b46221af-0681-4fad-b5d4-e65ee9d07b9a"]}],"mendeley":{"formattedCitation":"[26]","plainTextFormattedCitation":"[26]","previouslyFormattedCitation":"[26]"},"properties":{"noteIndex":0},"schema":"https://github.com/citation-style-language/schema/raw/master/csl-citation.json"}</w:instrText>
      </w:r>
      <w:r w:rsidRPr="00132B11">
        <w:rPr>
          <w:color w:val="auto"/>
        </w:rPr>
        <w:fldChar w:fldCharType="separate"/>
      </w:r>
      <w:r w:rsidR="00D90B4A" w:rsidRPr="00D90B4A">
        <w:rPr>
          <w:noProof/>
          <w:color w:val="auto"/>
        </w:rPr>
        <w:t>[26]</w:t>
      </w:r>
      <w:r w:rsidRPr="00132B11">
        <w:rPr>
          <w:color w:val="auto"/>
        </w:rPr>
        <w:fldChar w:fldCharType="end"/>
      </w:r>
      <w:r w:rsidR="007419E2">
        <w:rPr>
          <w:color w:val="auto"/>
        </w:rPr>
        <w:t>.</w:t>
      </w:r>
      <w:r>
        <w:t xml:space="preserve"> A f</w:t>
      </w:r>
      <w:r w:rsidR="00E50034">
        <w:t>ifth</w:t>
      </w:r>
      <w:r>
        <w:t xml:space="preserve"> unique challenge for a </w:t>
      </w:r>
      <w:r w:rsidR="00170818">
        <w:t>CDSS</w:t>
      </w:r>
      <w:r>
        <w:t xml:space="preserve"> is that it should </w:t>
      </w:r>
      <w:r w:rsidR="00370153">
        <w:t xml:space="preserve">be </w:t>
      </w:r>
      <w:r w:rsidR="006F1BDA">
        <w:t>designed to operate with</w:t>
      </w:r>
      <w:r>
        <w:t xml:space="preserve"> distance</w:t>
      </w:r>
      <w:r w:rsidR="00F87D46">
        <w:t>-</w:t>
      </w:r>
      <w:r w:rsidR="00D770CF">
        <w:t>c</w:t>
      </w:r>
      <w:r>
        <w:t>reated communication lags</w:t>
      </w:r>
      <w:r w:rsidR="00607910">
        <w:t xml:space="preserve"> </w:t>
      </w:r>
      <w:r>
        <w:t xml:space="preserve">and vehicle </w:t>
      </w:r>
      <w:r w:rsidR="00F87D46">
        <w:t>-</w:t>
      </w:r>
      <w:r w:rsidR="008375DA">
        <w:t>i</w:t>
      </w:r>
      <w:r>
        <w:t>mposed restrictions on</w:t>
      </w:r>
      <w:r w:rsidRPr="00B5041C">
        <w:t xml:space="preserve"> computing power, </w:t>
      </w:r>
      <w:r>
        <w:t>mass</w:t>
      </w:r>
      <w:r w:rsidR="00370153">
        <w:t xml:space="preserve">, </w:t>
      </w:r>
      <w:r>
        <w:t xml:space="preserve">volume, and electrical power </w:t>
      </w:r>
      <w:r>
        <w:fldChar w:fldCharType="begin" w:fldLock="1"/>
      </w:r>
      <w:r w:rsidR="00D90B4A">
        <w:instrText>ADDIN CSL_CITATION {"citationItems":[{"id":"ITEM-1","itemData":{"author":[{"dropping-particle":"","family":"Fong","given":"Terry","non-dropping-particle":"","parse-names":false,"suffix":""}],"id":"ITEM-1","issued":{"date-parts":[["2018"]]},"page":"1-26","title":"Autonomous systems NASA capability overview","type":"article-journal"},"uris":["http://www.mendeley.com/documents/?uuid=572c0f5f-0b7d-4e32-a091-881cc708d735"]},{"id":"ITEM-2","itemData":{"author":[{"dropping-particle":"","family":"Easter","given":"Benjamin","non-dropping-particle":"","parse-names":false,"suffix":""}],"id":"ITEM-2","issued":{"date-parts":[["2019"]]},"title":"Medical risks and capabilities for human exploration spaceflight","type":"article-journal"},"uris":["http://www.mendeley.com/documents/?uuid=ed0e5645-5049-4e82-bffe-3c3796645436"]},{"id":"ITEM-3","itemData":{"author":[{"dropping-particle":"","family":"Krihak","given":"Michael","non-dropping-particle":"","parse-names":false,"suffix":""},{"dropping-particle":"","family":"Ph","given":"D","non-dropping-particle":"","parse-names":false,"suffix":""},{"dropping-particle":"","family":"Middour","given":"Christopher","non-dropping-particle":"","parse-names":false,"suffix":""},{"dropping-particle":"","family":"Antonsen","given":"Erik","non-dropping-particle":"","parse-names":false,"suffix":""},{"dropping-particle":"","family":"Ph","given":"D","non-dropping-particle":"","parse-names":false,"suffix":""}],"id":"ITEM-3","issue":"August","issued":{"date-parts":[["2019"]]},"title":"Communication bandwidth considerations for exploration medical care during space missions","type":"article-journal"},"uris":["http://www.mendeley.com/documents/?uuid=9f77f301-c2eb-4a3d-9ff9-16ab6c43bea1"]}],"mendeley":{"formattedCitation":"[5,27,28]","plainTextFormattedCitation":"[5,27,28]","previouslyFormattedCitation":"[5,27,28]"},"properties":{"noteIndex":0},"schema":"https://github.com/citation-style-language/schema/raw/master/csl-citation.json"}</w:instrText>
      </w:r>
      <w:r>
        <w:fldChar w:fldCharType="separate"/>
      </w:r>
      <w:r w:rsidR="00D90B4A" w:rsidRPr="00D90B4A">
        <w:rPr>
          <w:noProof/>
        </w:rPr>
        <w:t>[5,27,28]</w:t>
      </w:r>
      <w:r>
        <w:fldChar w:fldCharType="end"/>
      </w:r>
      <w:r>
        <w:t>.</w:t>
      </w:r>
      <w:r w:rsidR="007C7BC3">
        <w:t xml:space="preserve"> </w:t>
      </w:r>
    </w:p>
    <w:p w14:paraId="760C0215" w14:textId="73D1736A" w:rsidR="00E91E36" w:rsidRDefault="00014D6A" w:rsidP="00132B11">
      <w:pPr>
        <w:rPr>
          <w:lang w:eastAsia="de-DE" w:bidi="en-US"/>
        </w:rPr>
      </w:pPr>
      <w:r w:rsidRPr="00132B11">
        <w:rPr>
          <w:color w:val="auto"/>
        </w:rPr>
        <w:t xml:space="preserve">A </w:t>
      </w:r>
      <w:r w:rsidR="00170818">
        <w:rPr>
          <w:color w:val="auto"/>
        </w:rPr>
        <w:t>CDSS</w:t>
      </w:r>
      <w:r w:rsidR="003F05B7">
        <w:rPr>
          <w:color w:val="auto"/>
        </w:rPr>
        <w:t xml:space="preserve"> </w:t>
      </w:r>
      <w:r w:rsidR="00E91E36">
        <w:rPr>
          <w:color w:val="auto"/>
        </w:rPr>
        <w:t xml:space="preserve">can </w:t>
      </w:r>
      <w:r w:rsidRPr="00132B11">
        <w:rPr>
          <w:color w:val="auto"/>
        </w:rPr>
        <w:t xml:space="preserve">increase autonomy by </w:t>
      </w:r>
      <w:r w:rsidR="00D40141">
        <w:rPr>
          <w:color w:val="auto"/>
        </w:rPr>
        <w:t>enhancing</w:t>
      </w:r>
      <w:r w:rsidR="00D40141" w:rsidRPr="00132B11">
        <w:rPr>
          <w:color w:val="auto"/>
        </w:rPr>
        <w:t xml:space="preserve"> </w:t>
      </w:r>
      <w:r w:rsidRPr="00132B11">
        <w:rPr>
          <w:color w:val="auto"/>
        </w:rPr>
        <w:t xml:space="preserve">the </w:t>
      </w:r>
      <w:r w:rsidR="003F05B7">
        <w:rPr>
          <w:color w:val="auto"/>
        </w:rPr>
        <w:t>user</w:t>
      </w:r>
      <w:r w:rsidRPr="00132B11">
        <w:rPr>
          <w:color w:val="auto"/>
        </w:rPr>
        <w:t xml:space="preserve">’s ability to </w:t>
      </w:r>
      <w:proofErr w:type="gramStart"/>
      <w:r w:rsidR="00370153">
        <w:rPr>
          <w:color w:val="auto"/>
        </w:rPr>
        <w:t xml:space="preserve">independently and </w:t>
      </w:r>
      <w:r w:rsidRPr="00132B11">
        <w:rPr>
          <w:color w:val="auto"/>
        </w:rPr>
        <w:t>appropriately respond to medical events</w:t>
      </w:r>
      <w:proofErr w:type="gramEnd"/>
      <w:r w:rsidRPr="00132B11">
        <w:rPr>
          <w:color w:val="auto"/>
        </w:rPr>
        <w:t xml:space="preserve">. It should reduce </w:t>
      </w:r>
      <w:r w:rsidR="003F05B7">
        <w:rPr>
          <w:color w:val="auto"/>
        </w:rPr>
        <w:t>user</w:t>
      </w:r>
      <w:r w:rsidRPr="00132B11">
        <w:rPr>
          <w:color w:val="auto"/>
        </w:rPr>
        <w:t xml:space="preserve"> cognitive workload, help </w:t>
      </w:r>
      <w:r w:rsidR="00E91E36">
        <w:rPr>
          <w:color w:val="auto"/>
        </w:rPr>
        <w:t>to</w:t>
      </w:r>
      <w:r w:rsidR="00E91E36" w:rsidRPr="00132B11">
        <w:rPr>
          <w:color w:val="auto"/>
        </w:rPr>
        <w:t xml:space="preserve"> </w:t>
      </w:r>
      <w:r w:rsidRPr="00132B11">
        <w:rPr>
          <w:color w:val="auto"/>
        </w:rPr>
        <w:t xml:space="preserve">maintain situational awareness, and support </w:t>
      </w:r>
      <w:r w:rsidR="00D40141">
        <w:rPr>
          <w:color w:val="auto"/>
        </w:rPr>
        <w:t xml:space="preserve">the </w:t>
      </w:r>
      <w:r w:rsidRPr="00132B11">
        <w:rPr>
          <w:color w:val="auto"/>
        </w:rPr>
        <w:t>ability to triage and treat the condition</w:t>
      </w:r>
      <w:r w:rsidR="006A2969">
        <w:rPr>
          <w:color w:val="auto"/>
        </w:rPr>
        <w:t>s encountered</w:t>
      </w:r>
      <w:r w:rsidRPr="00132B11">
        <w:rPr>
          <w:color w:val="auto"/>
        </w:rPr>
        <w:t xml:space="preserve">. The envisioned system should support the diagnostic and treatment workflow, provide </w:t>
      </w:r>
      <w:r w:rsidR="00FF0845">
        <w:rPr>
          <w:color w:val="auto"/>
        </w:rPr>
        <w:t xml:space="preserve">management of alerts </w:t>
      </w:r>
      <w:r w:rsidR="000E72FA">
        <w:rPr>
          <w:color w:val="auto"/>
        </w:rPr>
        <w:t xml:space="preserve">filtering non-critical events </w:t>
      </w:r>
      <w:r w:rsidRPr="00132B11">
        <w:rPr>
          <w:color w:val="auto"/>
        </w:rPr>
        <w:t xml:space="preserve">and </w:t>
      </w:r>
      <w:r w:rsidR="006A2969">
        <w:rPr>
          <w:color w:val="auto"/>
        </w:rPr>
        <w:t xml:space="preserve">tailor </w:t>
      </w:r>
      <w:r w:rsidRPr="00132B11">
        <w:rPr>
          <w:color w:val="auto"/>
        </w:rPr>
        <w:t xml:space="preserve">assessments or recommendations </w:t>
      </w:r>
      <w:r w:rsidR="006A2969">
        <w:rPr>
          <w:color w:val="auto"/>
        </w:rPr>
        <w:t>to specific</w:t>
      </w:r>
      <w:r w:rsidRPr="00132B11">
        <w:rPr>
          <w:color w:val="auto"/>
        </w:rPr>
        <w:t xml:space="preserve"> patient</w:t>
      </w:r>
      <w:r w:rsidR="006A2969">
        <w:rPr>
          <w:color w:val="auto"/>
        </w:rPr>
        <w:t xml:space="preserve">s, aligned with their </w:t>
      </w:r>
      <w:r w:rsidRPr="00132B11">
        <w:rPr>
          <w:color w:val="auto"/>
        </w:rPr>
        <w:t>medical histor</w:t>
      </w:r>
      <w:r w:rsidR="006A2969">
        <w:rPr>
          <w:color w:val="auto"/>
        </w:rPr>
        <w:t>ies</w:t>
      </w:r>
      <w:r w:rsidRPr="00132B11">
        <w:rPr>
          <w:color w:val="auto"/>
        </w:rPr>
        <w:t xml:space="preserve">. A </w:t>
      </w:r>
      <w:r w:rsidR="00170818">
        <w:rPr>
          <w:color w:val="auto"/>
        </w:rPr>
        <w:t>CDSS</w:t>
      </w:r>
      <w:r w:rsidRPr="00132B11">
        <w:rPr>
          <w:color w:val="auto"/>
        </w:rPr>
        <w:t xml:space="preserve"> should use communication technologies, data, associated documents and reports, and computational models to assist the CMO. Finally, the system should provide health maintenance guidance to maintain or improve the crew’s quality of life</w:t>
      </w:r>
      <w:r w:rsidR="00370153">
        <w:rPr>
          <w:color w:val="auto"/>
        </w:rPr>
        <w:t xml:space="preserve"> while also preventing illness and injury</w:t>
      </w:r>
      <w:r w:rsidRPr="00132B11">
        <w:rPr>
          <w:color w:val="auto"/>
        </w:rPr>
        <w:t>.</w:t>
      </w:r>
      <w:r w:rsidRPr="00600E6A">
        <w:rPr>
          <w:lang w:eastAsia="de-DE" w:bidi="en-US"/>
        </w:rPr>
        <w:t xml:space="preserve"> </w:t>
      </w:r>
    </w:p>
    <w:p w14:paraId="56620A4E" w14:textId="711B80C5" w:rsidR="00014D6A" w:rsidRDefault="00014D6A" w:rsidP="00132B11">
      <w:pPr>
        <w:rPr>
          <w:color w:val="auto"/>
        </w:rPr>
      </w:pPr>
      <w:r>
        <w:rPr>
          <w:lang w:eastAsia="de-DE" w:bidi="en-US"/>
        </w:rPr>
        <w:t>In</w:t>
      </w:r>
      <w:r w:rsidR="00160A4B">
        <w:rPr>
          <w:lang w:eastAsia="de-DE" w:bidi="en-US"/>
        </w:rPr>
        <w:t xml:space="preserve"> </w:t>
      </w:r>
      <w:r w:rsidR="00160A4B">
        <w:rPr>
          <w:lang w:eastAsia="de-DE" w:bidi="en-US"/>
        </w:rPr>
        <w:fldChar w:fldCharType="begin"/>
      </w:r>
      <w:r w:rsidR="00160A4B">
        <w:rPr>
          <w:lang w:eastAsia="de-DE" w:bidi="en-US"/>
        </w:rPr>
        <w:instrText xml:space="preserve"> REF _Ref102458840 \h </w:instrText>
      </w:r>
      <w:r w:rsidR="00160A4B">
        <w:rPr>
          <w:lang w:eastAsia="de-DE" w:bidi="en-US"/>
        </w:rPr>
      </w:r>
      <w:r w:rsidR="00160A4B">
        <w:rPr>
          <w:lang w:eastAsia="de-DE" w:bidi="en-US"/>
        </w:rPr>
        <w:fldChar w:fldCharType="separate"/>
      </w:r>
      <w:r w:rsidR="00160A4B">
        <w:t xml:space="preserve">Table </w:t>
      </w:r>
      <w:r w:rsidR="00160A4B">
        <w:rPr>
          <w:noProof/>
        </w:rPr>
        <w:t>1</w:t>
      </w:r>
      <w:r w:rsidR="00160A4B">
        <w:rPr>
          <w:lang w:eastAsia="de-DE" w:bidi="en-US"/>
        </w:rPr>
        <w:fldChar w:fldCharType="end"/>
      </w:r>
      <w:r>
        <w:rPr>
          <w:lang w:eastAsia="de-DE" w:bidi="en-US"/>
        </w:rPr>
        <w:t xml:space="preserve">, </w:t>
      </w:r>
      <w:r w:rsidR="00AE23E0">
        <w:rPr>
          <w:lang w:eastAsia="de-DE" w:bidi="en-US"/>
        </w:rPr>
        <w:t xml:space="preserve">some example </w:t>
      </w:r>
      <w:r>
        <w:rPr>
          <w:lang w:eastAsia="de-DE" w:bidi="en-US"/>
        </w:rPr>
        <w:t xml:space="preserve">functions of </w:t>
      </w:r>
      <w:r w:rsidR="00860BF7">
        <w:rPr>
          <w:lang w:eastAsia="de-DE" w:bidi="en-US"/>
        </w:rPr>
        <w:t xml:space="preserve">a CDSS for </w:t>
      </w:r>
      <w:r>
        <w:rPr>
          <w:lang w:eastAsia="de-DE" w:bidi="en-US"/>
        </w:rPr>
        <w:t xml:space="preserve">EIMO are </w:t>
      </w:r>
      <w:r w:rsidRPr="00132B11">
        <w:rPr>
          <w:color w:val="auto"/>
        </w:rPr>
        <w:t xml:space="preserve">categorized by acuity level </w:t>
      </w:r>
      <w:r w:rsidR="00AE23E0">
        <w:rPr>
          <w:color w:val="auto"/>
        </w:rPr>
        <w:t>(</w:t>
      </w:r>
      <w:r w:rsidR="00AE1BC6" w:rsidRPr="00132B11">
        <w:rPr>
          <w:color w:val="auto"/>
        </w:rPr>
        <w:t>emergency, routine, and preventative</w:t>
      </w:r>
      <w:r w:rsidR="00AE1BC6">
        <w:rPr>
          <w:color w:val="auto"/>
        </w:rPr>
        <w:t>)</w:t>
      </w:r>
      <w:r w:rsidRPr="00132B11">
        <w:rPr>
          <w:color w:val="auto"/>
        </w:rPr>
        <w:t xml:space="preserve">. </w:t>
      </w:r>
      <w:r w:rsidR="00AE1BC6">
        <w:rPr>
          <w:color w:val="auto"/>
        </w:rPr>
        <w:t>For each acuity level a sample scenario is provided, the main goals of care, example CDSS capabilities and the rationale for CDSS support are provided</w:t>
      </w:r>
      <w:r w:rsidRPr="00132B11">
        <w:rPr>
          <w:color w:val="auto"/>
        </w:rPr>
        <w:t xml:space="preserve">. </w:t>
      </w:r>
      <w:r w:rsidR="00B627EC">
        <w:rPr>
          <w:color w:val="auto"/>
        </w:rPr>
        <w:t xml:space="preserve">Emergency scenarios require clear instructions with priorities decided ahead of time. The Airway, Breathing, Circulation, </w:t>
      </w:r>
      <w:r w:rsidR="004860F5">
        <w:rPr>
          <w:color w:val="auto"/>
        </w:rPr>
        <w:t>Disability</w:t>
      </w:r>
      <w:r w:rsidR="00B627EC">
        <w:rPr>
          <w:color w:val="auto"/>
        </w:rPr>
        <w:t xml:space="preserve"> and Exposure</w:t>
      </w:r>
      <w:r w:rsidR="00860BF7">
        <w:rPr>
          <w:color w:val="auto"/>
        </w:rPr>
        <w:t xml:space="preserve"> (</w:t>
      </w:r>
      <w:r w:rsidR="00B627EC">
        <w:rPr>
          <w:color w:val="auto"/>
        </w:rPr>
        <w:t>ABCDE</w:t>
      </w:r>
      <w:r w:rsidR="00860BF7">
        <w:rPr>
          <w:color w:val="auto"/>
        </w:rPr>
        <w:t>)</w:t>
      </w:r>
      <w:r w:rsidR="00B627EC">
        <w:rPr>
          <w:color w:val="auto"/>
        </w:rPr>
        <w:t xml:space="preserve"> </w:t>
      </w:r>
      <w:r w:rsidR="00054863">
        <w:rPr>
          <w:color w:val="auto"/>
        </w:rPr>
        <w:t xml:space="preserve">approach </w:t>
      </w:r>
      <w:r w:rsidR="00B627EC">
        <w:rPr>
          <w:color w:val="auto"/>
        </w:rPr>
        <w:t xml:space="preserve">is one example of </w:t>
      </w:r>
      <w:r w:rsidR="00860BF7">
        <w:rPr>
          <w:color w:val="auto"/>
        </w:rPr>
        <w:t xml:space="preserve">an </w:t>
      </w:r>
      <w:r w:rsidR="00B627EC">
        <w:rPr>
          <w:color w:val="auto"/>
        </w:rPr>
        <w:t>emergency protocol</w:t>
      </w:r>
      <w:r w:rsidR="00054863">
        <w:rPr>
          <w:color w:val="auto"/>
        </w:rPr>
        <w:t>.</w:t>
      </w:r>
      <w:r w:rsidR="00B627EC">
        <w:rPr>
          <w:color w:val="auto"/>
        </w:rPr>
        <w:t xml:space="preserve"> </w:t>
      </w:r>
      <w:r w:rsidR="00054863">
        <w:rPr>
          <w:color w:val="auto"/>
        </w:rPr>
        <w:t>I</w:t>
      </w:r>
      <w:r w:rsidR="00B627EC">
        <w:rPr>
          <w:color w:val="auto"/>
        </w:rPr>
        <w:t xml:space="preserve">t is anticipated </w:t>
      </w:r>
      <w:r w:rsidR="00054863">
        <w:rPr>
          <w:color w:val="auto"/>
        </w:rPr>
        <w:t xml:space="preserve">that </w:t>
      </w:r>
      <w:r w:rsidR="00B627EC">
        <w:rPr>
          <w:color w:val="auto"/>
        </w:rPr>
        <w:t xml:space="preserve">a customized version will exist for </w:t>
      </w:r>
      <w:r w:rsidR="00860BF7">
        <w:rPr>
          <w:color w:val="auto"/>
        </w:rPr>
        <w:t>EIMO</w:t>
      </w:r>
      <w:r w:rsidR="00B627EC">
        <w:rPr>
          <w:color w:val="auto"/>
        </w:rPr>
        <w:t xml:space="preserve"> taking into account the unique risks for scene safety</w:t>
      </w:r>
      <w:r w:rsidR="00860BF7">
        <w:rPr>
          <w:color w:val="auto"/>
        </w:rPr>
        <w:t xml:space="preserve"> and vehicular environment</w:t>
      </w:r>
      <w:r w:rsidR="00667A0B">
        <w:rPr>
          <w:color w:val="auto"/>
        </w:rPr>
        <w:t xml:space="preserve"> </w:t>
      </w:r>
      <w:r w:rsidR="00667A0B">
        <w:rPr>
          <w:color w:val="auto"/>
        </w:rPr>
        <w:fldChar w:fldCharType="begin" w:fldLock="1"/>
      </w:r>
      <w:r w:rsidR="00D90B4A">
        <w:rPr>
          <w:color w:val="auto"/>
        </w:rPr>
        <w:instrText>ADDIN CSL_CITATION {"citationItems":[{"id":"ITEM-1","itemData":{"DOI":"10.1186/s13049-020-00793-y","ISBN":"1304902000793","ISSN":"17577241","PMID":"33138865","abstract":"Background: With the “Artemis”-mission mankind will return to the Moon by 2024. Prolonged periods in space will not only present physical and psychological challenges to the astronauts, but also pose risks concerning the medical treatment capabilities of the crew. So far, no guideline exists for the treatment of severe medical emergencies in microgravity. We, as a international group of researchers related to the field of aerospace medicine and critical care, took on the challenge and developed a an evidence-based guideline for the arguably most severe medical emergency – cardiac arrest. Methods: After the creation of said international group, PICO questions regarding the topic cardiopulmonary resuscitation in microgravity were developed to guide the systematic literature research. Afterwards a precise search strategy was compiled which was then applied to “MEDLINE”. Four thousand one hundred sixty-five findings were retrieved and consecutively screened by at least 2 reviewers. This led to 88 original publications that were acquired in full-text version and then critically appraised using the GRADE methodology. Those studies formed to basis for the guideline recommendations that were designed by at least 2 experts on the given field. Afterwards those recommendations were subject to a consensus finding process according to the DELPHI-methodology. Results: We recommend a differentiated approach to CPR in microgravity with a division into basic life support (BLS) and advanced life support (ALS) similar to the Earth-based guidelines. In immediate BLS, the chest compression method of choice is the Evetts-Russomano method (ER), whereas in an ALS scenario, with the patient being restrained on the Crew Medical Restraint System, the handstand method (HS) should be applied. Airway management should only be performed if at least two rescuers are present and the patient has been restrained. A supraglottic airway device should be used for airway management where crew members untrained in tracheal intubation (TI) are involved. Discussion: CPR in microgravity is feasible and should be applied according to the Earth-based guidelines of the AHA/ERC in relation to fundamental statements, like urgent recognition and action, focus on high-quality chest compressions, compression depth and compression-ventilation ratio. However, the special circumstances presented by microgravity and spaceflight must be considered concerning central points such as rescuer position and method…","author":[{"dropping-particle":"","family":"Hinkelbein","given":"Jochen","non-dropping-particle":"","parse-names":false,"suffix":""},{"dropping-particle":"","family":"Kerkhoff","given":"Steffen","non-dropping-particle":"","parse-names":false,"suffix":""},{"dropping-particle":"","family":"Adler","given":"Christoph","non-dropping-particle":"","parse-names":false,"suffix":""},{"dropping-particle":"","family":"Ahlbäck","given":"Anton","non-dropping-particle":"","parse-names":false,"suffix":""},{"dropping-particle":"","family":"Braunecker","given":"Stefan","non-dropping-particle":"","parse-names":false,"suffix":""},{"dropping-particle":"","family":"Burgard","given":"Daniel","non-dropping-particle":"","parse-names":false,"suffix":""},{"dropping-particle":"","family":"Cirillo","given":"Fabrizio","non-dropping-particle":"","parse-names":false,"suffix":""},{"dropping-particle":"","family":"Robertis","given":"Edoardo","non-dropping-particle":"De","parse-names":false,"suffix":""},{"dropping-particle":"","family":"Glaser","given":"Eckard","non-dropping-particle":"","parse-names":false,"suffix":""},{"dropping-particle":"","family":"Haidl","given":"Theresa K.","non-dropping-particle":"","parse-names":false,"suffix":""},{"dropping-particle":"","family":"Hodkinson","given":"Pete","non-dropping-particle":"","parse-names":false,"suffix":""},{"dropping-particle":"","family":"Iovino","given":"Ivan Zefiro","non-dropping-particle":"","parse-names":false,"suffix":""},{"dropping-particle":"","family":"Jansen","given":"Stefanie","non-dropping-particle":"","parse-names":false,"suffix":""},{"dropping-particle":"","family":"Johnson","given":"Kolaparambil Varghese Lydia","non-dropping-particle":"","parse-names":false,"suffix":""},{"dropping-particle":"","family":"Jünger","given":"Saskia","non-dropping-particle":"","parse-names":false,"suffix":""},{"dropping-particle":"","family":"Komorowski","given":"Matthieu","non-dropping-particle":"","parse-names":false,"suffix":""},{"dropping-particle":"","family":"Leary","given":"Marion","non-dropping-particle":"","parse-names":false,"suffix":""},{"dropping-particle":"","family":"Mackaill","given":"Christina","non-dropping-particle":"","parse-names":false,"suffix":""},{"dropping-particle":"","family":"Nagrebetsky","given":"Alexander","non-dropping-particle":"","parse-names":false,"suffix":""},{"dropping-particle":"","family":"Neuhaus","given":"Christopher","non-dropping-particle":"","parse-names":false,"suffix":""},{"dropping-particle":"","family":"Rehnberg","given":"Lucas","non-dropping-particle":"","parse-names":false,"suffix":""},{"dropping-particle":"","family":"Romano","given":"Giovanni Marco","non-dropping-particle":"","parse-names":false,"suffix":""},{"dropping-particle":"","family":"Russomano","given":"Thais","non-dropping-particle":"","parse-names":false,"suffix":""},{"dropping-particle":"","family":"Schmitz","given":"Jan","non-dropping-particle":"","parse-names":false,"suffix":""},{"dropping-particle":"","family":"Spelten","given":"Oliver","non-dropping-particle":"","parse-names":false,"suffix":""},{"dropping-particle":"","family":"Starck","given":"Clément","non-dropping-particle":"","parse-names":false,"suffix":""},{"dropping-particle":"","family":"Thierry","given":"Seamus","non-dropping-particle":"","parse-names":false,"suffix":""},{"dropping-particle":"","family":"Velho","given":"Rochelle","non-dropping-particle":"","parse-names":false,"suffix":""},{"dropping-particle":"","family":"Warnecke","given":"Tobias","non-dropping-particle":"","parse-names":false,"suffix":""}],"container-title":"Scandinavian Journal of Trauma, Resuscitation and Emergency Medicine","id":"ITEM-1","issue":"1","issued":{"date-parts":[["2020"]]},"page":"1-18","title":"Cardiopulmonary resuscitation (CPR) during spaceflight - a guideline for CPR in microgravity from the German Society of Aerospace Medicine (DGLRM) and the European Society of Aerospace Medicine Space Medicine Group (ESAM-SMG)","type":"article-journal","volume":"28"},"uris":["http://www.mendeley.com/documents/?uuid=8d93d01b-a375-4a94-a6f0-6a7952be9a1c"]}],"mendeley":{"formattedCitation":"[29]","plainTextFormattedCitation":"[29]","previouslyFormattedCitation":"[29]"},"properties":{"noteIndex":0},"schema":"https://github.com/citation-style-language/schema/raw/master/csl-citation.json"}</w:instrText>
      </w:r>
      <w:r w:rsidR="00667A0B">
        <w:rPr>
          <w:color w:val="auto"/>
        </w:rPr>
        <w:fldChar w:fldCharType="separate"/>
      </w:r>
      <w:r w:rsidR="00D90B4A" w:rsidRPr="00D90B4A">
        <w:rPr>
          <w:noProof/>
          <w:color w:val="auto"/>
        </w:rPr>
        <w:t>[29]</w:t>
      </w:r>
      <w:r w:rsidR="00667A0B">
        <w:rPr>
          <w:color w:val="auto"/>
        </w:rPr>
        <w:fldChar w:fldCharType="end"/>
      </w:r>
      <w:r w:rsidR="00B627EC">
        <w:rPr>
          <w:color w:val="auto"/>
        </w:rPr>
        <w:t xml:space="preserve">. Routine clinical treatment is </w:t>
      </w:r>
      <w:r w:rsidR="00054863">
        <w:rPr>
          <w:color w:val="auto"/>
        </w:rPr>
        <w:t>a</w:t>
      </w:r>
      <w:r w:rsidR="00B627EC">
        <w:rPr>
          <w:color w:val="auto"/>
        </w:rPr>
        <w:t xml:space="preserve"> demanding application for CDSS as cognitive assistance is required </w:t>
      </w:r>
      <w:r w:rsidR="00632FA9">
        <w:rPr>
          <w:color w:val="auto"/>
        </w:rPr>
        <w:t>for</w:t>
      </w:r>
      <w:r w:rsidR="00B627EC">
        <w:rPr>
          <w:color w:val="auto"/>
        </w:rPr>
        <w:t xml:space="preserve"> problem solving </w:t>
      </w:r>
      <w:r w:rsidR="00632FA9">
        <w:rPr>
          <w:color w:val="auto"/>
        </w:rPr>
        <w:t>during diagnosis</w:t>
      </w:r>
      <w:r w:rsidR="00BD1474">
        <w:rPr>
          <w:color w:val="auto"/>
        </w:rPr>
        <w:t xml:space="preserve"> and treatment</w:t>
      </w:r>
      <w:r w:rsidR="00632FA9">
        <w:rPr>
          <w:color w:val="auto"/>
        </w:rPr>
        <w:t>. Probabilistic models using Bayes</w:t>
      </w:r>
      <w:r w:rsidR="00C80F74">
        <w:rPr>
          <w:color w:val="auto"/>
        </w:rPr>
        <w:t>ian</w:t>
      </w:r>
      <w:r w:rsidR="00632FA9">
        <w:rPr>
          <w:color w:val="auto"/>
        </w:rPr>
        <w:t xml:space="preserve"> theory </w:t>
      </w:r>
      <w:r w:rsidR="00054863">
        <w:rPr>
          <w:color w:val="auto"/>
        </w:rPr>
        <w:t xml:space="preserve">are </w:t>
      </w:r>
      <w:r w:rsidR="00632FA9">
        <w:rPr>
          <w:color w:val="auto"/>
        </w:rPr>
        <w:t xml:space="preserve">typically applied to </w:t>
      </w:r>
      <w:r w:rsidR="00BD1474">
        <w:rPr>
          <w:color w:val="auto"/>
        </w:rPr>
        <w:t xml:space="preserve">existing </w:t>
      </w:r>
      <w:r w:rsidR="00632FA9">
        <w:rPr>
          <w:color w:val="auto"/>
        </w:rPr>
        <w:t xml:space="preserve">clinical workflows to approach the problem in a natural manner.  Prevention is challenging for the crew as information is required to inform digital models </w:t>
      </w:r>
      <w:r w:rsidR="00051893">
        <w:rPr>
          <w:color w:val="auto"/>
        </w:rPr>
        <w:t>potentially taking time and attention away from other mission ta</w:t>
      </w:r>
      <w:r w:rsidR="00054863">
        <w:rPr>
          <w:color w:val="auto"/>
        </w:rPr>
        <w:t>s</w:t>
      </w:r>
      <w:r w:rsidR="00051893">
        <w:rPr>
          <w:color w:val="auto"/>
        </w:rPr>
        <w:t>ks. These preventative models cover</w:t>
      </w:r>
      <w:r w:rsidR="00632FA9">
        <w:rPr>
          <w:color w:val="auto"/>
        </w:rPr>
        <w:t xml:space="preserve"> various </w:t>
      </w:r>
      <w:r w:rsidR="00B45E13">
        <w:rPr>
          <w:color w:val="auto"/>
        </w:rPr>
        <w:t xml:space="preserve">human systems (e.g. </w:t>
      </w:r>
      <w:r w:rsidR="007A2192">
        <w:rPr>
          <w:color w:val="auto"/>
        </w:rPr>
        <w:t>renal</w:t>
      </w:r>
      <w:r w:rsidR="00B45E13">
        <w:rPr>
          <w:color w:val="auto"/>
        </w:rPr>
        <w:t xml:space="preserve">, cardiorespiratory, </w:t>
      </w:r>
      <w:r w:rsidR="007A2192">
        <w:rPr>
          <w:color w:val="auto"/>
        </w:rPr>
        <w:t xml:space="preserve">skeletal, </w:t>
      </w:r>
      <w:proofErr w:type="spellStart"/>
      <w:r w:rsidR="007A2192">
        <w:rPr>
          <w:color w:val="auto"/>
        </w:rPr>
        <w:t>etc</w:t>
      </w:r>
      <w:proofErr w:type="spellEnd"/>
      <w:r w:rsidR="00B45E13">
        <w:rPr>
          <w:color w:val="auto"/>
        </w:rPr>
        <w:t xml:space="preserve">)  </w:t>
      </w:r>
      <w:r w:rsidR="00632FA9">
        <w:rPr>
          <w:color w:val="auto"/>
        </w:rPr>
        <w:t xml:space="preserve">or exposure risk to determine </w:t>
      </w:r>
      <w:r w:rsidR="004E2679">
        <w:rPr>
          <w:color w:val="auto"/>
        </w:rPr>
        <w:t xml:space="preserve">the </w:t>
      </w:r>
      <w:r w:rsidR="00632FA9">
        <w:rPr>
          <w:color w:val="auto"/>
        </w:rPr>
        <w:t xml:space="preserve">likelihood of disease, </w:t>
      </w:r>
      <w:r w:rsidR="004E2679">
        <w:rPr>
          <w:color w:val="auto"/>
        </w:rPr>
        <w:t xml:space="preserve">such as </w:t>
      </w:r>
      <w:r w:rsidR="00632FA9">
        <w:rPr>
          <w:color w:val="auto"/>
        </w:rPr>
        <w:t>modelling kidney stone risk</w:t>
      </w:r>
      <w:r w:rsidR="00B23434">
        <w:rPr>
          <w:color w:val="auto"/>
        </w:rPr>
        <w:t xml:space="preserve"> </w:t>
      </w:r>
      <w:r w:rsidR="00B23434">
        <w:rPr>
          <w:color w:val="auto"/>
        </w:rPr>
        <w:fldChar w:fldCharType="begin" w:fldLock="1"/>
      </w:r>
      <w:r w:rsidR="00667A0B">
        <w:rPr>
          <w:color w:val="auto"/>
        </w:rPr>
        <w:instrText>ADDIN CSL_CITATION {"citationItems":[{"id":"ITEM-1","itemData":{"DOI":"10.1038/s41526-021-00187-z","ISSN":"23738065","abstract":"Changes in urine chemistry potentially alter the risk of renal stone formation in astronauts. Quantifying spaceflight renal stone incidence risk compared to pre-flight levels remains a significant challenge for assessing the appropriate vehicle, mission, and countermeasure design. A computational biochemistry model representing CaOx crystal precipitation, growth, and agglomeration is combined with a probabilistic analysis to predict the in- and post-flight CaOx renal stone incidence risk ratio (IRR) relative to pre-flight values using 1517 astronaut 24-h urine chemistries. Our simulations predict that in-flight fluid intake alone would need to increase from current prescriptions of 2.0–2.5 L/day to ~3.2 L/day to approach the CaOx IRR of the pre-flight population. Bone protective interventions would reduce CaOx risk to pre-flight levels if Ca excretion alone is reduced to &lt;150 mg/day or if current levels are diminished to 190 mg/day in combination with increasing fluid intake to 2.5–2.7 L/day. This analysis provides a quantitative risk assessment that can influence the critical balance between engineering and astronaut health requirements.","author":[{"dropping-particle":"","family":"Goodenow-Messman","given":"Debra A.","non-dropping-particle":"","parse-names":false,"suffix":""},{"dropping-particle":"","family":"Gokoglu","given":"Suleyman A.","non-dropping-particle":"","parse-names":false,"suffix":""},{"dropping-particle":"","family":"Kassemi","given":"Mohammad","non-dropping-particle":"","parse-names":false,"suffix":""},{"dropping-particle":"","family":"Myers","given":"Jerry G.","non-dropping-particle":"","parse-names":false,"suffix":""}],"container-title":"NPJ Microgravity","id":"ITEM-1","issue":"1","issued":{"date-parts":[["2022"]]},"page":"1-17","title":"Numerical characterization of astronaut CaOx renal stone incidence rates to quantify in-flight and post-flight relative risk","type":"article-journal","volume":"8"},"uris":["http://www.mendeley.com/documents/?uuid=a263e80a-0622-4e32-b000-f54a4bcdbc44"]}],"mendeley":{"formattedCitation":"[2]","plainTextFormattedCitation":"[2]","previouslyFormattedCitation":"[2]"},"properties":{"noteIndex":0},"schema":"https://github.com/citation-style-language/schema/raw/master/csl-citation.json"}</w:instrText>
      </w:r>
      <w:r w:rsidR="00B23434">
        <w:rPr>
          <w:color w:val="auto"/>
        </w:rPr>
        <w:fldChar w:fldCharType="separate"/>
      </w:r>
      <w:r w:rsidR="00667A0B" w:rsidRPr="00667A0B">
        <w:rPr>
          <w:noProof/>
          <w:color w:val="auto"/>
        </w:rPr>
        <w:t>[2]</w:t>
      </w:r>
      <w:r w:rsidR="00B23434">
        <w:rPr>
          <w:color w:val="auto"/>
        </w:rPr>
        <w:fldChar w:fldCharType="end"/>
      </w:r>
      <w:r w:rsidR="00632FA9">
        <w:rPr>
          <w:color w:val="auto"/>
        </w:rPr>
        <w:t xml:space="preserve"> or cognitive performance. Ambient detection can be used for prevention to gather information passively</w:t>
      </w:r>
      <w:r w:rsidR="00051893">
        <w:rPr>
          <w:color w:val="auto"/>
        </w:rPr>
        <w:t xml:space="preserve"> thus reducing interaction burden with the crew</w:t>
      </w:r>
      <w:r w:rsidR="00B23434">
        <w:rPr>
          <w:color w:val="auto"/>
        </w:rPr>
        <w:t xml:space="preserve">, </w:t>
      </w:r>
      <w:r w:rsidR="004E2679">
        <w:rPr>
          <w:color w:val="auto"/>
        </w:rPr>
        <w:t>for example</w:t>
      </w:r>
      <w:r w:rsidR="00B23434">
        <w:rPr>
          <w:color w:val="auto"/>
        </w:rPr>
        <w:t xml:space="preserve">, </w:t>
      </w:r>
      <w:r w:rsidR="001A218C">
        <w:rPr>
          <w:color w:val="auto"/>
        </w:rPr>
        <w:t>measuring movement during task performance</w:t>
      </w:r>
      <w:r w:rsidR="005A3739">
        <w:rPr>
          <w:color w:val="auto"/>
        </w:rPr>
        <w:fldChar w:fldCharType="begin" w:fldLock="1"/>
      </w:r>
      <w:r w:rsidR="00D90B4A">
        <w:rPr>
          <w:color w:val="auto"/>
        </w:rPr>
        <w:instrText>ADDIN CSL_CITATION {"citationItems":[{"id":"ITEM-1","itemData":{"DOI":"10.3390/s21165","author":[{"dropping-particle":"","family":"Russell","given":"Brian","non-dropping-particle":"","parse-names":false,"suffix":""},{"dropping-particle":"","family":"Mcdaid","given":"Andrew","non-dropping-particle":"","parse-names":false,"suffix":""},{"dropping-particle":"","family":"Toscano","given":"William","non-dropping-particle":"","parse-names":false,"suffix":""},{"dropping-particle":"","family":"Hume","given":"Patria","non-dropping-particle":"","parse-names":false,"suffix":""}],"container-title":"Sensors","id":"ITEM-1","issue":"5442","issued":{"date-parts":[["2021"]]},"title":"Predicting fatigue in long duration mountain events with a single sensor and deep learning model","type":"article-journal","volume":"21"},"uris":["http://www.mendeley.com/documents/?uuid=178174c8-d3b0-4c28-931a-88cff82dd107"]}],"mendeley":{"formattedCitation":"[30]","plainTextFormattedCitation":"[30]","previouslyFormattedCitation":"[30]"},"properties":{"noteIndex":0},"schema":"https://github.com/citation-style-language/schema/raw/master/csl-citation.json"}</w:instrText>
      </w:r>
      <w:r w:rsidR="005A3739">
        <w:rPr>
          <w:color w:val="auto"/>
        </w:rPr>
        <w:fldChar w:fldCharType="separate"/>
      </w:r>
      <w:r w:rsidR="00D90B4A" w:rsidRPr="00D90B4A">
        <w:rPr>
          <w:noProof/>
          <w:color w:val="auto"/>
        </w:rPr>
        <w:t>[30]</w:t>
      </w:r>
      <w:r w:rsidR="005A3739">
        <w:rPr>
          <w:color w:val="auto"/>
        </w:rPr>
        <w:fldChar w:fldCharType="end"/>
      </w:r>
      <w:r w:rsidR="001A218C">
        <w:rPr>
          <w:color w:val="auto"/>
        </w:rPr>
        <w:t xml:space="preserve"> or</w:t>
      </w:r>
      <w:r w:rsidR="00B23434">
        <w:rPr>
          <w:color w:val="auto"/>
        </w:rPr>
        <w:t xml:space="preserve"> keyboard timing </w:t>
      </w:r>
      <w:r w:rsidR="00E111AF">
        <w:rPr>
          <w:color w:val="auto"/>
        </w:rPr>
        <w:t xml:space="preserve">metrics </w:t>
      </w:r>
      <w:r w:rsidR="00B23434">
        <w:rPr>
          <w:color w:val="auto"/>
        </w:rPr>
        <w:t xml:space="preserve">to assess cognitive performance </w:t>
      </w:r>
      <w:r w:rsidR="00B23434">
        <w:rPr>
          <w:color w:val="auto"/>
        </w:rPr>
        <w:fldChar w:fldCharType="begin" w:fldLock="1"/>
      </w:r>
      <w:r w:rsidR="00D90B4A">
        <w:rPr>
          <w:color w:val="auto"/>
        </w:rPr>
        <w:instrText>ADDIN CSL_CITATION {"citationItems":[{"id":"ITEM-1","itemData":{"DOI":"10.1007/s41133-019-0023-4","ISBN":"0123456789","ISSN":"2365-4317","abstract":"Technological advances in healthcare have saved innumerable patients and are continuously improving our quality of life. Fatigue among health indicators of individuals has become significant due to its association with cognitive performance and health outcomes and, is one of the major factors contributing to the degradation of performance in daily life. This review serves as a source of studies which helped in better understanding of fatigue and also gave significant detection methods and systematic approaches to figure out the impacts and causes of fatigue. Artificial intelligence was turned out to be one of the essential tactics to detect or monitor fatigue. Artificial neural network, wavelet transform, data analysis of mouse interaction and keyboard patterns, image analysis, kernel learning algorithms, relation of fatigue and anxiety, and heart rate data examination studies were used in this paper to precisely assess the source, factors and features which influenced the recognition of fatigue.","author":[{"dropping-particle":"","family":"Parekh","given":"Vidhi","non-dropping-particle":"","parse-names":false,"suffix":""},{"dropping-particle":"","family":"Shah","given":"Darshan","non-dropping-particle":"","parse-names":false,"suffix":""},{"dropping-particle":"","family":"Shah","given":"Manan","non-dropping-particle":"","parse-names":false,"suffix":""}],"container-title":"Augmented Human Research","id":"ITEM-1","issue":"1","issued":{"date-parts":[["2020"]]},"title":"Fatigue Detection Using Artificial Intelligence Framework","type":"article-journal","volume":"5"},"uris":["http://www.mendeley.com/documents/?uuid=98288515-e281-4e45-bb1f-85df03f05815"]}],"mendeley":{"formattedCitation":"[31]","plainTextFormattedCitation":"[31]","previouslyFormattedCitation":"[31]"},"properties":{"noteIndex":0},"schema":"https://github.com/citation-style-language/schema/raw/master/csl-citation.json"}</w:instrText>
      </w:r>
      <w:r w:rsidR="00B23434">
        <w:rPr>
          <w:color w:val="auto"/>
        </w:rPr>
        <w:fldChar w:fldCharType="separate"/>
      </w:r>
      <w:r w:rsidR="00D90B4A" w:rsidRPr="00D90B4A">
        <w:rPr>
          <w:noProof/>
          <w:color w:val="auto"/>
        </w:rPr>
        <w:t>[31]</w:t>
      </w:r>
      <w:r w:rsidR="00B23434">
        <w:rPr>
          <w:color w:val="auto"/>
        </w:rPr>
        <w:fldChar w:fldCharType="end"/>
      </w:r>
      <w:r w:rsidR="00B23434">
        <w:rPr>
          <w:color w:val="auto"/>
        </w:rPr>
        <w:t xml:space="preserve">. </w:t>
      </w:r>
    </w:p>
    <w:p w14:paraId="46FDCC71" w14:textId="77777777" w:rsidR="002E6873" w:rsidRDefault="002E6873" w:rsidP="00132B11"/>
    <w:p w14:paraId="36476F76" w14:textId="47280731" w:rsidR="009A6ACE" w:rsidRDefault="009A6ACE" w:rsidP="009A6ACE">
      <w:pPr>
        <w:pStyle w:val="Caption"/>
        <w:keepNext/>
      </w:pPr>
      <w:bookmarkStart w:id="0" w:name="_Ref102458840"/>
      <w:r>
        <w:lastRenderedPageBreak/>
        <w:t xml:space="preserve">Table </w:t>
      </w:r>
      <w:r>
        <w:fldChar w:fldCharType="begin"/>
      </w:r>
      <w:r>
        <w:instrText xml:space="preserve"> SEQ Table \* ARABIC </w:instrText>
      </w:r>
      <w:r>
        <w:fldChar w:fldCharType="separate"/>
      </w:r>
      <w:r w:rsidR="00E93F26">
        <w:rPr>
          <w:noProof/>
        </w:rPr>
        <w:t>1</w:t>
      </w:r>
      <w:r>
        <w:fldChar w:fldCharType="end"/>
      </w:r>
      <w:bookmarkEnd w:id="0"/>
      <w:r>
        <w:t xml:space="preserve"> Clinical scenario grouped by acuity level with example CDSS assistive functionality </w:t>
      </w:r>
      <w:proofErr w:type="spellStart"/>
      <w:r>
        <w:rPr>
          <w:vertAlign w:val="superscript"/>
        </w:rPr>
        <w:t>a</w:t>
      </w:r>
      <w:r>
        <w:t>Acronyms</w:t>
      </w:r>
      <w:proofErr w:type="spellEnd"/>
      <w:r>
        <w:t xml:space="preserve">: ABCDE - </w:t>
      </w:r>
      <w:r w:rsidRPr="00423F1E">
        <w:t xml:space="preserve">Airway, Breathing, Circulation, </w:t>
      </w:r>
      <w:r w:rsidR="004860F5" w:rsidRPr="00423F1E">
        <w:t>Disability</w:t>
      </w:r>
      <w:r w:rsidRPr="00423F1E">
        <w:t xml:space="preserve"> and Exposur</w:t>
      </w:r>
      <w:r>
        <w:t xml:space="preserve">e; </w:t>
      </w:r>
      <w:proofErr w:type="spellStart"/>
      <w:r>
        <w:rPr>
          <w:vertAlign w:val="superscript"/>
        </w:rPr>
        <w:t>b</w:t>
      </w:r>
      <w:r>
        <w:t>comms</w:t>
      </w:r>
      <w:proofErr w:type="spellEnd"/>
      <w:r>
        <w:t xml:space="preserve"> - communications; </w:t>
      </w:r>
      <w:proofErr w:type="spellStart"/>
      <w:r>
        <w:rPr>
          <w:vertAlign w:val="superscript"/>
        </w:rPr>
        <w:t>c</w:t>
      </w:r>
      <w:r>
        <w:t>Vital</w:t>
      </w:r>
      <w:proofErr w:type="spellEnd"/>
      <w:r>
        <w:t xml:space="preserve"> signs include body temperature, pulse rate, respiration rate and blood pressure; </w:t>
      </w:r>
      <w:proofErr w:type="spellStart"/>
      <w:r w:rsidRPr="003D4A5A">
        <w:rPr>
          <w:vertAlign w:val="superscript"/>
        </w:rPr>
        <w:t>d</w:t>
      </w:r>
      <w:r>
        <w:t>PMC</w:t>
      </w:r>
      <w:proofErr w:type="spellEnd"/>
      <w:r>
        <w:t xml:space="preserve"> – Private Medical </w:t>
      </w:r>
      <w:proofErr w:type="gramStart"/>
      <w:r>
        <w:t>Conference;</w:t>
      </w:r>
      <w:proofErr w:type="gramEnd"/>
      <w:r>
        <w:t xml:space="preserve"> </w:t>
      </w:r>
    </w:p>
    <w:tbl>
      <w:tblPr>
        <w:tblStyle w:val="TableGrid"/>
        <w:tblW w:w="9783" w:type="dxa"/>
        <w:tblInd w:w="562" w:type="dxa"/>
        <w:tblLook w:val="04A0" w:firstRow="1" w:lastRow="0" w:firstColumn="1" w:lastColumn="0" w:noHBand="0" w:noVBand="1"/>
      </w:tblPr>
      <w:tblGrid>
        <w:gridCol w:w="2445"/>
        <w:gridCol w:w="2446"/>
        <w:gridCol w:w="2446"/>
        <w:gridCol w:w="2446"/>
      </w:tblGrid>
      <w:tr w:rsidR="000247AE" w:rsidRPr="00A64A1C" w14:paraId="6FE2DEA9" w14:textId="77777777" w:rsidTr="000247AE">
        <w:tc>
          <w:tcPr>
            <w:tcW w:w="2445" w:type="dxa"/>
            <w:shd w:val="clear" w:color="auto" w:fill="000000" w:themeFill="text1"/>
          </w:tcPr>
          <w:p w14:paraId="75CBDB8C" w14:textId="381BA1D0" w:rsidR="000247AE" w:rsidRPr="00A64A1C" w:rsidRDefault="000247AE" w:rsidP="000247AE">
            <w:pPr>
              <w:rPr>
                <w:b/>
                <w:bCs/>
                <w:color w:val="FFFFFF" w:themeColor="background1"/>
              </w:rPr>
            </w:pPr>
            <w:r w:rsidRPr="00A64A1C">
              <w:rPr>
                <w:b/>
                <w:bCs/>
                <w:color w:val="FFFFFF" w:themeColor="background1"/>
              </w:rPr>
              <w:t>Scenario</w:t>
            </w:r>
          </w:p>
        </w:tc>
        <w:tc>
          <w:tcPr>
            <w:tcW w:w="2446" w:type="dxa"/>
            <w:shd w:val="clear" w:color="auto" w:fill="000000" w:themeFill="text1"/>
          </w:tcPr>
          <w:p w14:paraId="64533A63" w14:textId="587551F4" w:rsidR="000247AE" w:rsidRPr="00A64A1C" w:rsidRDefault="000247AE" w:rsidP="000247AE">
            <w:pPr>
              <w:jc w:val="center"/>
              <w:rPr>
                <w:b/>
                <w:bCs/>
                <w:color w:val="FFFFFF" w:themeColor="background1"/>
              </w:rPr>
            </w:pPr>
            <w:proofErr w:type="gramStart"/>
            <w:r>
              <w:rPr>
                <w:b/>
                <w:bCs/>
                <w:color w:val="FFFFFF" w:themeColor="background1"/>
              </w:rPr>
              <w:t>C</w:t>
            </w:r>
            <w:r w:rsidR="005D585F">
              <w:rPr>
                <w:b/>
                <w:bCs/>
                <w:color w:val="FFFFFF" w:themeColor="background1"/>
              </w:rPr>
              <w:t xml:space="preserve">MO </w:t>
            </w:r>
            <w:r>
              <w:rPr>
                <w:b/>
                <w:bCs/>
                <w:color w:val="FFFFFF" w:themeColor="background1"/>
              </w:rPr>
              <w:t xml:space="preserve"> Goals</w:t>
            </w:r>
            <w:proofErr w:type="gramEnd"/>
            <w:r>
              <w:rPr>
                <w:b/>
                <w:bCs/>
                <w:color w:val="FFFFFF" w:themeColor="background1"/>
              </w:rPr>
              <w:t xml:space="preserve"> of Care</w:t>
            </w:r>
          </w:p>
        </w:tc>
        <w:tc>
          <w:tcPr>
            <w:tcW w:w="2446" w:type="dxa"/>
            <w:shd w:val="clear" w:color="auto" w:fill="000000" w:themeFill="text1"/>
          </w:tcPr>
          <w:p w14:paraId="67F3DE33" w14:textId="563067E2" w:rsidR="000247AE" w:rsidRPr="00A64A1C" w:rsidRDefault="000247AE" w:rsidP="000247AE">
            <w:pPr>
              <w:rPr>
                <w:b/>
                <w:bCs/>
                <w:color w:val="FFFFFF" w:themeColor="background1"/>
              </w:rPr>
            </w:pPr>
            <w:r w:rsidRPr="00A64A1C">
              <w:rPr>
                <w:b/>
                <w:bCs/>
                <w:color w:val="FFFFFF" w:themeColor="background1"/>
              </w:rPr>
              <w:t>CDSS</w:t>
            </w:r>
            <w:r w:rsidR="005D585F">
              <w:rPr>
                <w:b/>
                <w:bCs/>
                <w:color w:val="FFFFFF" w:themeColor="background1"/>
              </w:rPr>
              <w:t xml:space="preserve"> Assistance</w:t>
            </w:r>
          </w:p>
        </w:tc>
        <w:tc>
          <w:tcPr>
            <w:tcW w:w="2446" w:type="dxa"/>
            <w:shd w:val="clear" w:color="auto" w:fill="000000" w:themeFill="text1"/>
          </w:tcPr>
          <w:p w14:paraId="11A03C7F" w14:textId="6ECB3C1D" w:rsidR="000247AE" w:rsidRPr="00A64A1C" w:rsidRDefault="000247AE" w:rsidP="000247AE">
            <w:pPr>
              <w:rPr>
                <w:b/>
                <w:bCs/>
                <w:color w:val="FFFFFF" w:themeColor="background1"/>
              </w:rPr>
            </w:pPr>
            <w:r w:rsidRPr="00A64A1C">
              <w:rPr>
                <w:b/>
                <w:bCs/>
                <w:color w:val="FFFFFF" w:themeColor="background1"/>
              </w:rPr>
              <w:t>Rationale</w:t>
            </w:r>
          </w:p>
        </w:tc>
      </w:tr>
      <w:tr w:rsidR="0069121B" w:rsidRPr="00740AF0" w14:paraId="5134E618" w14:textId="77777777" w:rsidTr="0069121B">
        <w:tc>
          <w:tcPr>
            <w:tcW w:w="2445" w:type="dxa"/>
            <w:vMerge w:val="restart"/>
          </w:tcPr>
          <w:p w14:paraId="141DB17A" w14:textId="77777777" w:rsidR="0069121B" w:rsidRDefault="0069121B" w:rsidP="00144CF9">
            <w:pPr>
              <w:rPr>
                <w:b/>
                <w:bCs/>
              </w:rPr>
            </w:pPr>
            <w:r w:rsidRPr="00DB48DA">
              <w:rPr>
                <w:b/>
                <w:bCs/>
              </w:rPr>
              <w:t xml:space="preserve">Emergency </w:t>
            </w:r>
          </w:p>
          <w:p w14:paraId="522E42BA" w14:textId="1A4E064B" w:rsidR="0069121B" w:rsidRDefault="0069121B" w:rsidP="00144CF9">
            <w:pPr>
              <w:rPr>
                <w:b/>
                <w:bCs/>
              </w:rPr>
            </w:pPr>
            <w:proofErr w:type="gramStart"/>
            <w:r w:rsidRPr="00187B84">
              <w:t>e.g.</w:t>
            </w:r>
            <w:proofErr w:type="gramEnd"/>
            <w:r w:rsidRPr="00187B84">
              <w:t xml:space="preserve"> Cardiac Arrest</w:t>
            </w:r>
            <w:r>
              <w:t>, unexpected life threats</w:t>
            </w:r>
          </w:p>
          <w:p w14:paraId="53C2B641" w14:textId="5199AE5A" w:rsidR="0069121B" w:rsidRDefault="0069121B" w:rsidP="00144CF9">
            <w:r w:rsidRPr="00DB48DA">
              <w:t>Delayed comms</w:t>
            </w:r>
            <w:r w:rsidR="004860F5">
              <w:t xml:space="preserve"> </w:t>
            </w:r>
            <w:r w:rsidR="005B5665">
              <w:rPr>
                <w:vertAlign w:val="superscript"/>
              </w:rPr>
              <w:t>b</w:t>
            </w:r>
            <w:r w:rsidRPr="00DB48DA">
              <w:t xml:space="preserve"> to MCC makes this a priority</w:t>
            </w:r>
          </w:p>
          <w:p w14:paraId="6FD6CFE6" w14:textId="77777777" w:rsidR="0069121B" w:rsidRPr="009372D4" w:rsidRDefault="0069121B" w:rsidP="00144CF9"/>
        </w:tc>
        <w:tc>
          <w:tcPr>
            <w:tcW w:w="2446" w:type="dxa"/>
          </w:tcPr>
          <w:p w14:paraId="4DFADE50" w14:textId="030A849A" w:rsidR="0069121B" w:rsidRDefault="0069121B" w:rsidP="00144CF9">
            <w:r>
              <w:t xml:space="preserve">Stabilize patient to </w:t>
            </w:r>
            <w:r w:rsidR="00370153">
              <w:t xml:space="preserve">allow </w:t>
            </w:r>
            <w:r>
              <w:t>time for full analysis by CDSS, crew, and ground teams and allow further complex treatment</w:t>
            </w:r>
          </w:p>
          <w:p w14:paraId="2C2F818C" w14:textId="2CB839B4" w:rsidR="0069121B" w:rsidRPr="00DB48DA" w:rsidRDefault="0069121B" w:rsidP="00144CF9">
            <w:r>
              <w:t xml:space="preserve">Reduce crew </w:t>
            </w:r>
            <w:r w:rsidR="00BB6450">
              <w:t>workload</w:t>
            </w:r>
          </w:p>
        </w:tc>
        <w:tc>
          <w:tcPr>
            <w:tcW w:w="2446" w:type="dxa"/>
          </w:tcPr>
          <w:p w14:paraId="077936B9" w14:textId="41CBF60C" w:rsidR="00EA2A64" w:rsidRDefault="0069121B" w:rsidP="00144CF9">
            <w:r w:rsidRPr="00DB48DA">
              <w:t xml:space="preserve">Easy to </w:t>
            </w:r>
            <w:r w:rsidR="003D4A5A">
              <w:t xml:space="preserve">access and </w:t>
            </w:r>
            <w:proofErr w:type="gramStart"/>
            <w:r w:rsidR="003D4A5A">
              <w:t xml:space="preserve">follow </w:t>
            </w:r>
            <w:r w:rsidR="003D4A5A" w:rsidRPr="00DB48DA">
              <w:t xml:space="preserve"> </w:t>
            </w:r>
            <w:r w:rsidRPr="00DB48DA">
              <w:t>protocols</w:t>
            </w:r>
            <w:proofErr w:type="gramEnd"/>
          </w:p>
          <w:p w14:paraId="3589B393" w14:textId="166D7899" w:rsidR="0069121B" w:rsidRPr="00DB48DA" w:rsidRDefault="00BB6450" w:rsidP="00144CF9">
            <w:r>
              <w:t xml:space="preserve">Prioritized and </w:t>
            </w:r>
            <w:r w:rsidRPr="00DB48DA">
              <w:t>clutter</w:t>
            </w:r>
            <w:r w:rsidR="00983AB7">
              <w:t>-</w:t>
            </w:r>
            <w:r w:rsidRPr="00DB48DA">
              <w:t>free essential information</w:t>
            </w:r>
          </w:p>
        </w:tc>
        <w:tc>
          <w:tcPr>
            <w:tcW w:w="2446" w:type="dxa"/>
          </w:tcPr>
          <w:p w14:paraId="7EBACE76" w14:textId="3AD2552F" w:rsidR="0069121B" w:rsidRPr="00DB48DA" w:rsidRDefault="00BB6450" w:rsidP="00144CF9">
            <w:r>
              <w:t>P</w:t>
            </w:r>
            <w:r w:rsidR="0069121B">
              <w:t xml:space="preserve">redetermined protocols </w:t>
            </w:r>
            <w:r>
              <w:t>for</w:t>
            </w:r>
            <w:r w:rsidR="0069121B">
              <w:t xml:space="preserve"> </w:t>
            </w:r>
            <w:r>
              <w:t xml:space="preserve">fast-paced, life-threatening </w:t>
            </w:r>
            <w:r w:rsidR="0069121B">
              <w:t xml:space="preserve">scenarios, </w:t>
            </w:r>
            <w:r w:rsidR="00FF0845">
              <w:t xml:space="preserve">e.g., </w:t>
            </w:r>
            <w:r w:rsidR="0069121B" w:rsidRPr="00DB48DA">
              <w:t xml:space="preserve"> ABCDE</w:t>
            </w:r>
            <w:r w:rsidR="004860F5">
              <w:t xml:space="preserve"> </w:t>
            </w:r>
            <w:r w:rsidR="005B5665">
              <w:rPr>
                <w:vertAlign w:val="superscript"/>
              </w:rPr>
              <w:t>a</w:t>
            </w:r>
            <w:r w:rsidR="00FF0845">
              <w:t xml:space="preserve"> </w:t>
            </w:r>
            <w:r w:rsidR="00FF0845">
              <w:fldChar w:fldCharType="begin" w:fldLock="1"/>
            </w:r>
            <w:r w:rsidR="00D90B4A">
              <w:instrText>ADDIN CSL_CITATION {"citationItems":[{"id":"ITEM-1","itemData":{"DOI":"10.2147/IJGM.S28478","ISSN":"11787074","PMID":"22319249","abstract":"The Airway, Breathing, Circulation, Disability, Exposure (ABCDE) approach is applicable in all clinical emergencies for immediate assessment and treatment. The approach is widely accepted by experts in emergency medicine and likely improves outcomes by helping health care professionals focusing on the most life-threatening clinical problems. In an acute setting, high-quality ABCDE skills among all treating team members can save valuable time and improve team performance. Dissemination of knowledge and skills related to the ABCDE approach are therefore needed. This paper offers a practical \"how-to\" description of the ABCDE approach. © 2012 Thim et al, publisher and licensee Dove Medical Press Ltd.","author":[{"dropping-particle":"","family":"Thim","given":"Troels","non-dropping-particle":"","parse-names":false,"suffix":""},{"dropping-particle":"","family":"Krarup","given":"Niels Henrik Vinther","non-dropping-particle":"","parse-names":false,"suffix":""},{"dropping-particle":"","family":"Grove","given":"Erik Lerkevang","non-dropping-particle":"","parse-names":false,"suffix":""},{"dropping-particle":"","family":"Rohde","given":"Claus Valter","non-dropping-particle":"","parse-names":false,"suffix":""},{"dropping-particle":"","family":"Lofgren","given":"Bo","non-dropping-particle":"","parse-names":false,"suffix":""}],"container-title":"International Journal of General Medicine","id":"ITEM-1","issued":{"date-parts":[["2012"]]},"page":"117-121","title":"Initial assessment and treatment with the Airway, Breathing, Circulation, Disability, Exposure (ABCDE) approach","type":"article-journal","volume":"5"},"uris":["http://www.mendeley.com/documents/?uuid=bd2ed6f5-1e0a-4f84-a38f-3db0b5414efa"]}],"mendeley":{"formattedCitation":"[32]","plainTextFormattedCitation":"[32]","previouslyFormattedCitation":"[32]"},"properties":{"noteIndex":0},"schema":"https://github.com/citation-style-language/schema/raw/master/csl-citation.json"}</w:instrText>
            </w:r>
            <w:r w:rsidR="00FF0845">
              <w:fldChar w:fldCharType="separate"/>
            </w:r>
            <w:r w:rsidR="00D90B4A" w:rsidRPr="00D90B4A">
              <w:rPr>
                <w:noProof/>
              </w:rPr>
              <w:t>[32]</w:t>
            </w:r>
            <w:r w:rsidR="00FF0845">
              <w:fldChar w:fldCharType="end"/>
            </w:r>
            <w:r w:rsidR="0069121B">
              <w:t xml:space="preserve">. </w:t>
            </w:r>
          </w:p>
        </w:tc>
      </w:tr>
      <w:tr w:rsidR="00EA2A64" w:rsidRPr="00740AF0" w14:paraId="3AEBBFDE" w14:textId="77777777" w:rsidTr="0069121B">
        <w:tc>
          <w:tcPr>
            <w:tcW w:w="2445" w:type="dxa"/>
            <w:vMerge/>
          </w:tcPr>
          <w:p w14:paraId="47AC22C4" w14:textId="77777777" w:rsidR="00EA2A64" w:rsidRPr="00DB48DA" w:rsidRDefault="00EA2A64" w:rsidP="00144CF9">
            <w:pPr>
              <w:rPr>
                <w:b/>
                <w:bCs/>
              </w:rPr>
            </w:pPr>
          </w:p>
        </w:tc>
        <w:tc>
          <w:tcPr>
            <w:tcW w:w="2446" w:type="dxa"/>
          </w:tcPr>
          <w:p w14:paraId="31BE97D7" w14:textId="3875AA46" w:rsidR="00EA7D3A" w:rsidRDefault="00EA7D3A" w:rsidP="00144CF9">
            <w:r>
              <w:t xml:space="preserve">Perform </w:t>
            </w:r>
            <w:r w:rsidR="007B7614">
              <w:t>p</w:t>
            </w:r>
            <w:r>
              <w:t>rocedures correctly</w:t>
            </w:r>
          </w:p>
        </w:tc>
        <w:tc>
          <w:tcPr>
            <w:tcW w:w="2446" w:type="dxa"/>
          </w:tcPr>
          <w:p w14:paraId="730174ED" w14:textId="77777777" w:rsidR="00AB7E33" w:rsidRDefault="00AB7E33" w:rsidP="00144CF9">
            <w:r>
              <w:t xml:space="preserve">Electronic </w:t>
            </w:r>
            <w:proofErr w:type="gramStart"/>
            <w:r>
              <w:t>procedures;</w:t>
            </w:r>
            <w:proofErr w:type="gramEnd"/>
          </w:p>
          <w:p w14:paraId="77D3D663" w14:textId="2382FBC5" w:rsidR="00EA2A64" w:rsidRPr="00DB48DA" w:rsidRDefault="00EA2A64" w:rsidP="00144CF9">
            <w:r>
              <w:t>Just in Time Training</w:t>
            </w:r>
          </w:p>
        </w:tc>
        <w:tc>
          <w:tcPr>
            <w:tcW w:w="2446" w:type="dxa"/>
          </w:tcPr>
          <w:p w14:paraId="14D49884" w14:textId="24194483" w:rsidR="00EA2A64" w:rsidRDefault="00EA2A64" w:rsidP="00144CF9">
            <w:r>
              <w:t>Assist with procedures as required. e.g., intubation</w:t>
            </w:r>
          </w:p>
        </w:tc>
      </w:tr>
      <w:tr w:rsidR="0069121B" w:rsidRPr="00740AF0" w14:paraId="3461A5A4" w14:textId="77777777" w:rsidTr="0069121B">
        <w:tc>
          <w:tcPr>
            <w:tcW w:w="2445" w:type="dxa"/>
            <w:vMerge/>
          </w:tcPr>
          <w:p w14:paraId="21AE6151" w14:textId="77777777" w:rsidR="0069121B" w:rsidRPr="00DB48DA" w:rsidRDefault="0069121B" w:rsidP="00144CF9"/>
        </w:tc>
        <w:tc>
          <w:tcPr>
            <w:tcW w:w="2446" w:type="dxa"/>
          </w:tcPr>
          <w:p w14:paraId="3588482A" w14:textId="20EF909F" w:rsidR="00EA7D3A" w:rsidRPr="00DB48DA" w:rsidRDefault="00EA7D3A" w:rsidP="00144CF9">
            <w:r>
              <w:t>Acquire and comprehend data from multiple sources</w:t>
            </w:r>
          </w:p>
        </w:tc>
        <w:tc>
          <w:tcPr>
            <w:tcW w:w="2446" w:type="dxa"/>
          </w:tcPr>
          <w:p w14:paraId="484536FE" w14:textId="31B60417" w:rsidR="0069121B" w:rsidRPr="00DB48DA" w:rsidRDefault="0069121B" w:rsidP="00144CF9">
            <w:r w:rsidRPr="00DB48DA">
              <w:t>Vital signs</w:t>
            </w:r>
            <w:r w:rsidR="004860F5">
              <w:t xml:space="preserve"> </w:t>
            </w:r>
            <w:r w:rsidR="00BB6450">
              <w:rPr>
                <w:vertAlign w:val="superscript"/>
              </w:rPr>
              <w:t>c</w:t>
            </w:r>
            <w:r w:rsidRPr="00DB48DA">
              <w:t xml:space="preserve"> collection and display</w:t>
            </w:r>
          </w:p>
        </w:tc>
        <w:tc>
          <w:tcPr>
            <w:tcW w:w="2446" w:type="dxa"/>
          </w:tcPr>
          <w:p w14:paraId="225B8FE8" w14:textId="532F9726" w:rsidR="0069121B" w:rsidRPr="00DB48DA" w:rsidRDefault="0069121B" w:rsidP="00144CF9">
            <w:r w:rsidRPr="00DB48DA">
              <w:t xml:space="preserve">Feedback on success of treatment to inform </w:t>
            </w:r>
            <w:r w:rsidR="00DD460D">
              <w:t>next step in protocol</w:t>
            </w:r>
          </w:p>
        </w:tc>
      </w:tr>
      <w:tr w:rsidR="0069121B" w:rsidRPr="00740AF0" w14:paraId="2E88CAB6" w14:textId="77777777" w:rsidTr="0069121B">
        <w:tc>
          <w:tcPr>
            <w:tcW w:w="2445" w:type="dxa"/>
          </w:tcPr>
          <w:p w14:paraId="4E6DD946" w14:textId="77777777" w:rsidR="0069121B" w:rsidRDefault="0069121B" w:rsidP="00144CF9">
            <w:pPr>
              <w:rPr>
                <w:b/>
                <w:bCs/>
              </w:rPr>
            </w:pPr>
            <w:r w:rsidRPr="00E20BE3">
              <w:rPr>
                <w:b/>
                <w:bCs/>
              </w:rPr>
              <w:t xml:space="preserve">Routine </w:t>
            </w:r>
            <w:r>
              <w:rPr>
                <w:b/>
                <w:bCs/>
              </w:rPr>
              <w:t xml:space="preserve">– </w:t>
            </w:r>
            <w:r w:rsidRPr="00E20BE3">
              <w:rPr>
                <w:b/>
                <w:bCs/>
              </w:rPr>
              <w:t>Diagnosis</w:t>
            </w:r>
          </w:p>
          <w:p w14:paraId="67352141" w14:textId="4AA8CE94" w:rsidR="0069121B" w:rsidRPr="000A1A13" w:rsidRDefault="0069121B" w:rsidP="00144CF9">
            <w:proofErr w:type="gramStart"/>
            <w:r w:rsidRPr="000A1A13">
              <w:t>e.g.</w:t>
            </w:r>
            <w:proofErr w:type="gramEnd"/>
            <w:r w:rsidRPr="000A1A13">
              <w:t xml:space="preserve"> Headache</w:t>
            </w:r>
            <w:r w:rsidR="00C14131">
              <w:t>, Lower back pain</w:t>
            </w:r>
          </w:p>
          <w:p w14:paraId="7C4997BF" w14:textId="4F32DAA3" w:rsidR="0069121B" w:rsidRPr="00DB48DA" w:rsidRDefault="00370153" w:rsidP="00144CF9">
            <w:r>
              <w:t>Problematic communication</w:t>
            </w:r>
            <w:r w:rsidR="0069121B" w:rsidRPr="00DB48DA">
              <w:t xml:space="preserve"> </w:t>
            </w:r>
            <w:r w:rsidR="00D9458F">
              <w:t>delay between each question and answer during a</w:t>
            </w:r>
            <w:r>
              <w:t xml:space="preserve"> </w:t>
            </w:r>
            <w:r w:rsidR="00983AB7">
              <w:t>PMC</w:t>
            </w:r>
            <w:r w:rsidR="004860F5">
              <w:t xml:space="preserve"> </w:t>
            </w:r>
            <w:r w:rsidR="005B5665" w:rsidRPr="009F1436">
              <w:rPr>
                <w:vertAlign w:val="superscript"/>
              </w:rPr>
              <w:t>d</w:t>
            </w:r>
            <w:r>
              <w:t xml:space="preserve"> with Earth</w:t>
            </w:r>
          </w:p>
        </w:tc>
        <w:tc>
          <w:tcPr>
            <w:tcW w:w="2446" w:type="dxa"/>
          </w:tcPr>
          <w:p w14:paraId="38D9F34B" w14:textId="296327AB" w:rsidR="0069121B" w:rsidRDefault="0069121B" w:rsidP="00144CF9">
            <w:r>
              <w:t>Assess severity</w:t>
            </w:r>
          </w:p>
          <w:p w14:paraId="5BF59F7D" w14:textId="1C846EB9" w:rsidR="0069121B" w:rsidRDefault="0069121B" w:rsidP="00144CF9">
            <w:r>
              <w:t>Perform a differential diagnosis</w:t>
            </w:r>
          </w:p>
          <w:p w14:paraId="1C574A88" w14:textId="5DBE9454" w:rsidR="0069121B" w:rsidRDefault="0069121B" w:rsidP="00144CF9">
            <w:r>
              <w:t>Determine highest probability condition</w:t>
            </w:r>
          </w:p>
          <w:p w14:paraId="5BD3056B" w14:textId="77777777" w:rsidR="0069121B" w:rsidRPr="00DB48DA" w:rsidRDefault="0069121B" w:rsidP="00144CF9"/>
        </w:tc>
        <w:tc>
          <w:tcPr>
            <w:tcW w:w="2446" w:type="dxa"/>
          </w:tcPr>
          <w:p w14:paraId="12515FE2" w14:textId="70B02D4B" w:rsidR="00983AB7" w:rsidRDefault="00983AB7" w:rsidP="00144CF9">
            <w:r>
              <w:t>Supports clinical workflow</w:t>
            </w:r>
          </w:p>
          <w:p w14:paraId="69DCC25C" w14:textId="4F7C133D" w:rsidR="00983AB7" w:rsidRDefault="00983AB7" w:rsidP="00144CF9">
            <w:r>
              <w:t>Dynamically adjusts</w:t>
            </w:r>
            <w:r w:rsidR="0069121B" w:rsidRPr="00DB48DA">
              <w:t xml:space="preserve"> to novice or expert user</w:t>
            </w:r>
          </w:p>
          <w:p w14:paraId="4983B4AF" w14:textId="3EF5E903" w:rsidR="0069121B" w:rsidRPr="00DB48DA" w:rsidRDefault="0069121B" w:rsidP="00144CF9">
            <w:r w:rsidRPr="00DB48DA">
              <w:t>Probabilistic engine calculates next best question with highest positive predictive value</w:t>
            </w:r>
          </w:p>
        </w:tc>
        <w:tc>
          <w:tcPr>
            <w:tcW w:w="2446" w:type="dxa"/>
          </w:tcPr>
          <w:p w14:paraId="18D35113" w14:textId="6207AD66" w:rsidR="0069121B" w:rsidRDefault="00983AB7" w:rsidP="00144CF9">
            <w:r>
              <w:t>Diagnosis is a complex task</w:t>
            </w:r>
          </w:p>
          <w:p w14:paraId="5CB77D1B" w14:textId="15CE75C7" w:rsidR="00C14131" w:rsidRPr="00DB48DA" w:rsidRDefault="00C14131" w:rsidP="00144CF9">
            <w:r>
              <w:t>System should support caregiver’s mental model</w:t>
            </w:r>
          </w:p>
        </w:tc>
      </w:tr>
      <w:tr w:rsidR="0069121B" w:rsidRPr="00740AF0" w14:paraId="44575923" w14:textId="77777777" w:rsidTr="0069121B">
        <w:tc>
          <w:tcPr>
            <w:tcW w:w="2445" w:type="dxa"/>
            <w:vMerge w:val="restart"/>
          </w:tcPr>
          <w:p w14:paraId="7C0800CA" w14:textId="77777777" w:rsidR="0069121B" w:rsidRPr="00E20BE3" w:rsidRDefault="0069121B" w:rsidP="00144CF9">
            <w:pPr>
              <w:rPr>
                <w:b/>
                <w:bCs/>
              </w:rPr>
            </w:pPr>
            <w:r w:rsidRPr="00E20BE3">
              <w:rPr>
                <w:b/>
                <w:bCs/>
              </w:rPr>
              <w:t>Routine -</w:t>
            </w:r>
            <w:r>
              <w:rPr>
                <w:b/>
                <w:bCs/>
              </w:rPr>
              <w:t xml:space="preserve"> </w:t>
            </w:r>
            <w:r w:rsidRPr="00E20BE3">
              <w:rPr>
                <w:b/>
                <w:bCs/>
              </w:rPr>
              <w:t>Treatment</w:t>
            </w:r>
          </w:p>
          <w:p w14:paraId="1364141E" w14:textId="77777777" w:rsidR="00C14131" w:rsidRPr="000A1A13" w:rsidRDefault="00C14131" w:rsidP="00C14131">
            <w:proofErr w:type="gramStart"/>
            <w:r w:rsidRPr="000A1A13">
              <w:t>e.g.</w:t>
            </w:r>
            <w:proofErr w:type="gramEnd"/>
            <w:r w:rsidRPr="000A1A13">
              <w:t xml:space="preserve"> Headache</w:t>
            </w:r>
            <w:r>
              <w:t>, Lower back pain</w:t>
            </w:r>
          </w:p>
          <w:p w14:paraId="5A133014" w14:textId="6139F621" w:rsidR="0069121B" w:rsidRPr="00DB48DA" w:rsidRDefault="0069121B" w:rsidP="00144CF9">
            <w:r w:rsidRPr="00DB48DA">
              <w:t xml:space="preserve">Delayed comms </w:t>
            </w:r>
            <w:proofErr w:type="gramStart"/>
            <w:r w:rsidRPr="00DB48DA">
              <w:t>make</w:t>
            </w:r>
            <w:proofErr w:type="gramEnd"/>
            <w:r w:rsidRPr="00DB48DA">
              <w:t xml:space="preserve"> this </w:t>
            </w:r>
            <w:r>
              <w:t>problematic</w:t>
            </w:r>
          </w:p>
        </w:tc>
        <w:tc>
          <w:tcPr>
            <w:tcW w:w="2446" w:type="dxa"/>
          </w:tcPr>
          <w:p w14:paraId="014F3708" w14:textId="5C4F3705" w:rsidR="0069121B" w:rsidRDefault="00C14131" w:rsidP="00144CF9">
            <w:r>
              <w:t>T</w:t>
            </w:r>
            <w:r w:rsidR="0069121B">
              <w:t>reatment and care plan</w:t>
            </w:r>
          </w:p>
          <w:p w14:paraId="56FEDD56" w14:textId="65FE98ED" w:rsidR="0069121B" w:rsidRPr="00DB48DA" w:rsidRDefault="0069121B" w:rsidP="00144CF9">
            <w:r w:rsidRPr="00DB48DA">
              <w:t xml:space="preserve">Treat with best practice and </w:t>
            </w:r>
            <w:r w:rsidR="00C14131" w:rsidRPr="00DB48DA">
              <w:t>minim</w:t>
            </w:r>
            <w:r w:rsidR="00C14131">
              <w:t>al</w:t>
            </w:r>
            <w:r w:rsidR="00C14131" w:rsidRPr="00DB48DA">
              <w:t xml:space="preserve"> </w:t>
            </w:r>
            <w:r w:rsidRPr="00DB48DA">
              <w:t>use of resources</w:t>
            </w:r>
          </w:p>
        </w:tc>
        <w:tc>
          <w:tcPr>
            <w:tcW w:w="2446" w:type="dxa"/>
          </w:tcPr>
          <w:p w14:paraId="0A7E0543" w14:textId="733D9B54" w:rsidR="0069121B" w:rsidRPr="00DB48DA" w:rsidRDefault="0069121B" w:rsidP="00144CF9">
            <w:r w:rsidRPr="00DB48DA">
              <w:t xml:space="preserve">Therapeutic advice based on evidence with </w:t>
            </w:r>
            <w:r>
              <w:t xml:space="preserve">ranked </w:t>
            </w:r>
            <w:r w:rsidRPr="00DB48DA">
              <w:t>options crew can choose from</w:t>
            </w:r>
          </w:p>
        </w:tc>
        <w:tc>
          <w:tcPr>
            <w:tcW w:w="2446" w:type="dxa"/>
          </w:tcPr>
          <w:p w14:paraId="1F9C9231" w14:textId="03F775F1" w:rsidR="0069121B" w:rsidRPr="00DB48DA" w:rsidRDefault="003D4A5A" w:rsidP="00144CF9">
            <w:r>
              <w:t xml:space="preserve">A large </w:t>
            </w:r>
            <w:r w:rsidR="0069121B" w:rsidRPr="00DB48DA">
              <w:t xml:space="preserve">knowledge base in </w:t>
            </w:r>
            <w:r w:rsidR="00370153">
              <w:t>CDSS</w:t>
            </w:r>
            <w:r w:rsidR="00370153" w:rsidRPr="00DB48DA">
              <w:t xml:space="preserve"> </w:t>
            </w:r>
            <w:r>
              <w:t>is required to give all possible options</w:t>
            </w:r>
            <w:r w:rsidR="0069121B" w:rsidRPr="00DB48DA">
              <w:t xml:space="preserve"> (</w:t>
            </w:r>
            <w:proofErr w:type="gramStart"/>
            <w:r w:rsidR="0069121B" w:rsidRPr="00DB48DA">
              <w:t>e.g.</w:t>
            </w:r>
            <w:proofErr w:type="gramEnd"/>
            <w:r w:rsidR="0069121B" w:rsidRPr="00DB48DA">
              <w:t xml:space="preserve"> M</w:t>
            </w:r>
            <w:r w:rsidR="0069121B">
              <w:t>erck</w:t>
            </w:r>
            <w:r w:rsidR="0069121B" w:rsidRPr="00DB48DA">
              <w:t xml:space="preserve"> manual</w:t>
            </w:r>
            <w:r w:rsidR="0069121B" w:rsidRPr="00725433">
              <w:rPr>
                <w:rStyle w:val="FootnoteReference"/>
              </w:rPr>
              <w:footnoteReference w:id="2"/>
            </w:r>
            <w:r w:rsidR="0069121B" w:rsidRPr="00DB48DA">
              <w:t>) supplied as needed based on diagnosis</w:t>
            </w:r>
          </w:p>
        </w:tc>
      </w:tr>
      <w:tr w:rsidR="0069121B" w:rsidRPr="00740AF0" w14:paraId="580AF13D" w14:textId="77777777" w:rsidTr="0069121B">
        <w:tc>
          <w:tcPr>
            <w:tcW w:w="2445" w:type="dxa"/>
            <w:vMerge/>
          </w:tcPr>
          <w:p w14:paraId="4280990D" w14:textId="77777777" w:rsidR="0069121B" w:rsidRPr="00DB48DA" w:rsidRDefault="0069121B" w:rsidP="00144CF9"/>
        </w:tc>
        <w:tc>
          <w:tcPr>
            <w:tcW w:w="2446" w:type="dxa"/>
          </w:tcPr>
          <w:p w14:paraId="7180D9EE" w14:textId="2A25F3A3" w:rsidR="0069121B" w:rsidRPr="00DB48DA" w:rsidRDefault="0069121B" w:rsidP="00144CF9">
            <w:r>
              <w:t>Manage medications</w:t>
            </w:r>
          </w:p>
        </w:tc>
        <w:tc>
          <w:tcPr>
            <w:tcW w:w="2446" w:type="dxa"/>
          </w:tcPr>
          <w:p w14:paraId="77356B48" w14:textId="4774467D" w:rsidR="0069121B" w:rsidRPr="00DB48DA" w:rsidRDefault="0069121B" w:rsidP="00144CF9">
            <w:r w:rsidRPr="00DB48DA">
              <w:t xml:space="preserve">Offer a variety of </w:t>
            </w:r>
            <w:r>
              <w:t>pharmacologic</w:t>
            </w:r>
            <w:r w:rsidRPr="00DB48DA">
              <w:t xml:space="preserve"> and alternative treatments </w:t>
            </w:r>
          </w:p>
        </w:tc>
        <w:tc>
          <w:tcPr>
            <w:tcW w:w="2446" w:type="dxa"/>
          </w:tcPr>
          <w:p w14:paraId="76697175" w14:textId="38F505F6" w:rsidR="007A75B2" w:rsidRDefault="007A75B2" w:rsidP="00144CF9">
            <w:r>
              <w:t>Crew</w:t>
            </w:r>
            <w:r w:rsidR="0069121B" w:rsidRPr="00DB48DA">
              <w:t xml:space="preserve"> personal preferences </w:t>
            </w:r>
          </w:p>
          <w:p w14:paraId="37DD4C64" w14:textId="2AF288E2" w:rsidR="0069121B" w:rsidRDefault="007A75B2" w:rsidP="00144CF9">
            <w:r>
              <w:t>T</w:t>
            </w:r>
            <w:r w:rsidR="0069121B" w:rsidRPr="00DB48DA">
              <w:t>rade</w:t>
            </w:r>
            <w:r w:rsidR="0069121B">
              <w:t>-</w:t>
            </w:r>
            <w:r w:rsidR="0069121B" w:rsidRPr="00DB48DA">
              <w:t>off side effects or performance deficits</w:t>
            </w:r>
          </w:p>
          <w:p w14:paraId="576191AE" w14:textId="42112CD7" w:rsidR="007A75B2" w:rsidRPr="00DB48DA" w:rsidRDefault="007A75B2" w:rsidP="00144CF9">
            <w:r>
              <w:t>Options dependent upon limited supply</w:t>
            </w:r>
          </w:p>
        </w:tc>
      </w:tr>
      <w:tr w:rsidR="0069121B" w:rsidRPr="00740AF0" w14:paraId="0AFE4927" w14:textId="77777777" w:rsidTr="0069121B">
        <w:tc>
          <w:tcPr>
            <w:tcW w:w="2445" w:type="dxa"/>
            <w:vMerge/>
          </w:tcPr>
          <w:p w14:paraId="14479C88" w14:textId="77777777" w:rsidR="0069121B" w:rsidRPr="00DB48DA" w:rsidRDefault="0069121B" w:rsidP="00144CF9"/>
        </w:tc>
        <w:tc>
          <w:tcPr>
            <w:tcW w:w="2446" w:type="dxa"/>
          </w:tcPr>
          <w:p w14:paraId="36E08378" w14:textId="77777777" w:rsidR="0069121B" w:rsidRDefault="0069121B" w:rsidP="00144CF9">
            <w:r>
              <w:t>Manage patient records</w:t>
            </w:r>
          </w:p>
          <w:p w14:paraId="10760E69" w14:textId="792E94FE" w:rsidR="0069121B" w:rsidRPr="00DB48DA" w:rsidRDefault="0069121B" w:rsidP="00144CF9">
            <w:r>
              <w:lastRenderedPageBreak/>
              <w:t>Ensure tailored, precision-based medicine</w:t>
            </w:r>
          </w:p>
        </w:tc>
        <w:tc>
          <w:tcPr>
            <w:tcW w:w="2446" w:type="dxa"/>
          </w:tcPr>
          <w:p w14:paraId="1C13901D" w14:textId="1582AB29" w:rsidR="0069121B" w:rsidRPr="00DB48DA" w:rsidRDefault="0069121B" w:rsidP="00144CF9">
            <w:r w:rsidRPr="00DB48DA">
              <w:lastRenderedPageBreak/>
              <w:t xml:space="preserve">Automatic patient record retrieval including allergies, </w:t>
            </w:r>
            <w:r w:rsidRPr="00DB48DA">
              <w:lastRenderedPageBreak/>
              <w:t xml:space="preserve">existing </w:t>
            </w:r>
            <w:proofErr w:type="gramStart"/>
            <w:r w:rsidRPr="00DB48DA">
              <w:t>treatment</w:t>
            </w:r>
            <w:proofErr w:type="gramEnd"/>
            <w:r w:rsidRPr="00DB48DA">
              <w:t xml:space="preserve"> and conditions</w:t>
            </w:r>
          </w:p>
        </w:tc>
        <w:tc>
          <w:tcPr>
            <w:tcW w:w="2446" w:type="dxa"/>
          </w:tcPr>
          <w:p w14:paraId="358C6454" w14:textId="50ECF246" w:rsidR="0069121B" w:rsidRPr="00DB48DA" w:rsidRDefault="0069121B" w:rsidP="00144CF9">
            <w:r w:rsidRPr="00DB48DA">
              <w:lastRenderedPageBreak/>
              <w:t xml:space="preserve">Medical errors can easily be mitigated with </w:t>
            </w:r>
            <w:r w:rsidRPr="00DB48DA">
              <w:lastRenderedPageBreak/>
              <w:t>automatic record retrieval and checking</w:t>
            </w:r>
          </w:p>
        </w:tc>
      </w:tr>
      <w:tr w:rsidR="0069121B" w:rsidRPr="00740AF0" w14:paraId="214FF668" w14:textId="77777777" w:rsidTr="0069121B">
        <w:tc>
          <w:tcPr>
            <w:tcW w:w="2445" w:type="dxa"/>
            <w:vMerge/>
          </w:tcPr>
          <w:p w14:paraId="06BBEC19" w14:textId="77777777" w:rsidR="0069121B" w:rsidRPr="00DB48DA" w:rsidRDefault="0069121B" w:rsidP="00144CF9"/>
        </w:tc>
        <w:tc>
          <w:tcPr>
            <w:tcW w:w="2446" w:type="dxa"/>
          </w:tcPr>
          <w:p w14:paraId="7A8E041A" w14:textId="54CEF651" w:rsidR="0069121B" w:rsidRPr="00DB48DA" w:rsidRDefault="0069121B" w:rsidP="00144CF9">
            <w:pPr>
              <w:rPr>
                <w:lang w:val="en-AU"/>
              </w:rPr>
            </w:pPr>
            <w:r>
              <w:rPr>
                <w:lang w:val="en-AU"/>
              </w:rPr>
              <w:t xml:space="preserve">Facilitate efficient and </w:t>
            </w:r>
            <w:r w:rsidR="002E6873">
              <w:rPr>
                <w:lang w:val="en-AU"/>
              </w:rPr>
              <w:t xml:space="preserve">prompt </w:t>
            </w:r>
            <w:r>
              <w:rPr>
                <w:lang w:val="en-AU"/>
              </w:rPr>
              <w:t>care</w:t>
            </w:r>
          </w:p>
        </w:tc>
        <w:tc>
          <w:tcPr>
            <w:tcW w:w="2446" w:type="dxa"/>
          </w:tcPr>
          <w:p w14:paraId="35405A8C" w14:textId="22CC6D06" w:rsidR="0069121B" w:rsidRPr="00DB48DA" w:rsidRDefault="0069121B" w:rsidP="00144CF9">
            <w:pPr>
              <w:rPr>
                <w:color w:val="auto"/>
              </w:rPr>
            </w:pPr>
            <w:r w:rsidRPr="00DB48DA">
              <w:rPr>
                <w:lang w:val="en-AU"/>
              </w:rPr>
              <w:t xml:space="preserve">Provide </w:t>
            </w:r>
            <w:r w:rsidR="00D323A2">
              <w:rPr>
                <w:lang w:val="en-AU"/>
              </w:rPr>
              <w:t>information</w:t>
            </w:r>
            <w:r w:rsidR="00D323A2" w:rsidRPr="00DB48DA">
              <w:rPr>
                <w:lang w:val="en-AU"/>
              </w:rPr>
              <w:t xml:space="preserve"> </w:t>
            </w:r>
            <w:r w:rsidRPr="00DB48DA">
              <w:rPr>
                <w:lang w:val="en-AU"/>
              </w:rPr>
              <w:t>on stowage location of medications, supplies, equipment</w:t>
            </w:r>
          </w:p>
        </w:tc>
        <w:tc>
          <w:tcPr>
            <w:tcW w:w="2446" w:type="dxa"/>
          </w:tcPr>
          <w:p w14:paraId="00DE8581" w14:textId="177F52BA" w:rsidR="0069121B" w:rsidRPr="00DB48DA" w:rsidRDefault="0069121B" w:rsidP="00144CF9">
            <w:pPr>
              <w:rPr>
                <w:lang w:val="en-AU"/>
              </w:rPr>
            </w:pPr>
            <w:r w:rsidRPr="00DB48DA">
              <w:rPr>
                <w:lang w:val="en-AU"/>
              </w:rPr>
              <w:t>A simple and extremely valuable task in a space vehicle full of equipment</w:t>
            </w:r>
          </w:p>
        </w:tc>
      </w:tr>
      <w:tr w:rsidR="0069121B" w:rsidRPr="00740AF0" w14:paraId="181D03DF" w14:textId="77777777" w:rsidTr="0069121B">
        <w:tc>
          <w:tcPr>
            <w:tcW w:w="2445" w:type="dxa"/>
          </w:tcPr>
          <w:p w14:paraId="6824D82A" w14:textId="77777777" w:rsidR="0069121B" w:rsidRPr="00E20BE3" w:rsidRDefault="0069121B" w:rsidP="00144CF9">
            <w:pPr>
              <w:rPr>
                <w:b/>
                <w:bCs/>
              </w:rPr>
            </w:pPr>
            <w:r w:rsidRPr="00E20BE3">
              <w:rPr>
                <w:b/>
                <w:bCs/>
              </w:rPr>
              <w:t>Routine -</w:t>
            </w:r>
            <w:r>
              <w:rPr>
                <w:b/>
                <w:bCs/>
              </w:rPr>
              <w:t xml:space="preserve"> </w:t>
            </w:r>
            <w:r w:rsidRPr="00E20BE3">
              <w:rPr>
                <w:b/>
                <w:bCs/>
              </w:rPr>
              <w:t>Observation</w:t>
            </w:r>
          </w:p>
          <w:p w14:paraId="23C3AC21" w14:textId="77777777" w:rsidR="007A75B2" w:rsidRDefault="0069121B" w:rsidP="00144CF9">
            <w:r w:rsidRPr="00DB48DA">
              <w:t xml:space="preserve">Rich data best analyzed on vehicle due to low </w:t>
            </w:r>
            <w:r w:rsidR="00D323A2">
              <w:t xml:space="preserve">transmission </w:t>
            </w:r>
            <w:r w:rsidRPr="00DB48DA">
              <w:t>bandwidth</w:t>
            </w:r>
          </w:p>
          <w:p w14:paraId="6885BD77" w14:textId="25D55881" w:rsidR="0069121B" w:rsidRPr="00DB48DA" w:rsidRDefault="007A75B2" w:rsidP="00144CF9">
            <w:r>
              <w:t>Prompt response to emerging issue</w:t>
            </w:r>
          </w:p>
        </w:tc>
        <w:tc>
          <w:tcPr>
            <w:tcW w:w="2446" w:type="dxa"/>
          </w:tcPr>
          <w:p w14:paraId="55320B45" w14:textId="77777777" w:rsidR="0069121B" w:rsidRDefault="0069121B" w:rsidP="00144CF9">
            <w:pPr>
              <w:rPr>
                <w:lang w:val="en-AU"/>
              </w:rPr>
            </w:pPr>
            <w:r>
              <w:rPr>
                <w:lang w:val="en-AU"/>
              </w:rPr>
              <w:t>Assess initial care plan effectiveness</w:t>
            </w:r>
          </w:p>
          <w:p w14:paraId="7BE72CC1" w14:textId="77777777" w:rsidR="0069121B" w:rsidRPr="00DB48DA" w:rsidRDefault="0069121B" w:rsidP="00144CF9">
            <w:pPr>
              <w:rPr>
                <w:lang w:val="en-AU"/>
              </w:rPr>
            </w:pPr>
            <w:r>
              <w:rPr>
                <w:lang w:val="en-AU"/>
              </w:rPr>
              <w:t>Recognize change in status to higher or lower acuity and adapt plan as needed</w:t>
            </w:r>
          </w:p>
        </w:tc>
        <w:tc>
          <w:tcPr>
            <w:tcW w:w="2446" w:type="dxa"/>
          </w:tcPr>
          <w:p w14:paraId="6EACEE62" w14:textId="222A63FC" w:rsidR="0069121B" w:rsidRPr="00DB48DA" w:rsidRDefault="0069121B" w:rsidP="00144CF9">
            <w:r w:rsidRPr="00DB48DA">
              <w:rPr>
                <w:lang w:val="en-AU"/>
              </w:rPr>
              <w:t>Update previous decisions based on new observations</w:t>
            </w:r>
          </w:p>
        </w:tc>
        <w:tc>
          <w:tcPr>
            <w:tcW w:w="2446" w:type="dxa"/>
          </w:tcPr>
          <w:p w14:paraId="7B42129E" w14:textId="2879167F" w:rsidR="0069121B" w:rsidRPr="00DB48DA" w:rsidRDefault="0069121B" w:rsidP="00144CF9">
            <w:pPr>
              <w:rPr>
                <w:lang w:val="en-AU"/>
              </w:rPr>
            </w:pPr>
            <w:r w:rsidRPr="00DB48DA">
              <w:rPr>
                <w:lang w:val="en-AU"/>
              </w:rPr>
              <w:t>Clinical practice treats ‘most likely</w:t>
            </w:r>
            <w:r w:rsidR="00D131E4">
              <w:rPr>
                <w:lang w:val="en-AU"/>
              </w:rPr>
              <w:t xml:space="preserve">/severe </w:t>
            </w:r>
            <w:r w:rsidRPr="00DB48DA">
              <w:rPr>
                <w:lang w:val="en-AU"/>
              </w:rPr>
              <w:t>diagnos</w:t>
            </w:r>
            <w:r w:rsidR="00D131E4">
              <w:rPr>
                <w:lang w:val="en-AU"/>
              </w:rPr>
              <w:t>i</w:t>
            </w:r>
            <w:r w:rsidRPr="00DB48DA">
              <w:rPr>
                <w:lang w:val="en-AU"/>
              </w:rPr>
              <w:t>s.</w:t>
            </w:r>
            <w:r>
              <w:rPr>
                <w:lang w:val="en-AU"/>
              </w:rPr>
              <w:t>’</w:t>
            </w:r>
            <w:r w:rsidRPr="00DB48DA">
              <w:rPr>
                <w:lang w:val="en-AU"/>
              </w:rPr>
              <w:t xml:space="preserve"> New or persisten</w:t>
            </w:r>
            <w:r>
              <w:rPr>
                <w:lang w:val="en-AU"/>
              </w:rPr>
              <w:t>t</w:t>
            </w:r>
            <w:r w:rsidRPr="00DB48DA">
              <w:rPr>
                <w:lang w:val="en-AU"/>
              </w:rPr>
              <w:t xml:space="preserve"> symptoms can offer information for new diagnosis or change to emergency scenario</w:t>
            </w:r>
          </w:p>
        </w:tc>
      </w:tr>
      <w:tr w:rsidR="0069121B" w:rsidRPr="00740AF0" w14:paraId="07F61F4B" w14:textId="77777777" w:rsidTr="0069121B">
        <w:tc>
          <w:tcPr>
            <w:tcW w:w="2445" w:type="dxa"/>
            <w:vMerge w:val="restart"/>
          </w:tcPr>
          <w:p w14:paraId="66F84D8D" w14:textId="77777777" w:rsidR="0069121B" w:rsidRDefault="0069121B" w:rsidP="00144CF9">
            <w:pPr>
              <w:rPr>
                <w:b/>
                <w:bCs/>
                <w:lang w:val="en-AU"/>
              </w:rPr>
            </w:pPr>
            <w:r w:rsidRPr="00E20BE3">
              <w:rPr>
                <w:b/>
                <w:bCs/>
                <w:lang w:val="en-AU"/>
              </w:rPr>
              <w:t>Prevention</w:t>
            </w:r>
          </w:p>
          <w:p w14:paraId="5EC3FE7A" w14:textId="77777777" w:rsidR="0069121B" w:rsidRPr="00951B42" w:rsidRDefault="0069121B" w:rsidP="00144CF9">
            <w:pPr>
              <w:rPr>
                <w:lang w:val="en-AU"/>
              </w:rPr>
            </w:pPr>
            <w:proofErr w:type="gramStart"/>
            <w:r w:rsidRPr="00951B42">
              <w:rPr>
                <w:lang w:val="en-AU"/>
              </w:rPr>
              <w:t>e.g.</w:t>
            </w:r>
            <w:proofErr w:type="gramEnd"/>
            <w:r w:rsidRPr="00951B42">
              <w:rPr>
                <w:lang w:val="en-AU"/>
              </w:rPr>
              <w:t xml:space="preserve"> Kidney Stones</w:t>
            </w:r>
          </w:p>
          <w:p w14:paraId="20066983" w14:textId="4860BCE9" w:rsidR="0069121B" w:rsidRPr="00DB48DA" w:rsidRDefault="0069121B" w:rsidP="00144CF9">
            <w:pPr>
              <w:rPr>
                <w:lang w:val="en-AU"/>
              </w:rPr>
            </w:pPr>
            <w:r w:rsidRPr="00DB48DA">
              <w:rPr>
                <w:lang w:val="en-AU"/>
              </w:rPr>
              <w:t xml:space="preserve">Rich datasets </w:t>
            </w:r>
            <w:r w:rsidR="00D131E4">
              <w:rPr>
                <w:lang w:val="en-AU"/>
              </w:rPr>
              <w:t xml:space="preserve">created on vehicle </w:t>
            </w:r>
            <w:r w:rsidRPr="00DB48DA">
              <w:rPr>
                <w:lang w:val="en-AU"/>
              </w:rPr>
              <w:t xml:space="preserve">best </w:t>
            </w:r>
            <w:r>
              <w:rPr>
                <w:lang w:val="en-AU"/>
              </w:rPr>
              <w:t>residing</w:t>
            </w:r>
            <w:r w:rsidRPr="00DB48DA">
              <w:rPr>
                <w:lang w:val="en-AU"/>
              </w:rPr>
              <w:t xml:space="preserve"> locally due to narrow comms bandwidth</w:t>
            </w:r>
          </w:p>
        </w:tc>
        <w:tc>
          <w:tcPr>
            <w:tcW w:w="2446" w:type="dxa"/>
          </w:tcPr>
          <w:p w14:paraId="7A4D0C18" w14:textId="21470D54" w:rsidR="0069121B" w:rsidRDefault="0069121B" w:rsidP="00144CF9">
            <w:pPr>
              <w:rPr>
                <w:lang w:val="en-AU"/>
              </w:rPr>
            </w:pPr>
            <w:r>
              <w:rPr>
                <w:lang w:val="en-AU"/>
              </w:rPr>
              <w:t>Anticipate threats to health to reduce medical events over time</w:t>
            </w:r>
          </w:p>
          <w:p w14:paraId="78D5F00C" w14:textId="04B11E77" w:rsidR="0069121B" w:rsidRPr="00DB48DA" w:rsidRDefault="00C773C8" w:rsidP="00144CF9">
            <w:pPr>
              <w:rPr>
                <w:lang w:val="en-AU"/>
              </w:rPr>
            </w:pPr>
            <w:r>
              <w:rPr>
                <w:lang w:val="en-AU"/>
              </w:rPr>
              <w:t>M</w:t>
            </w:r>
            <w:r w:rsidR="0069121B">
              <w:rPr>
                <w:lang w:val="en-AU"/>
              </w:rPr>
              <w:t>itigation strategies to enhance and/or prevent decrements in performance</w:t>
            </w:r>
          </w:p>
        </w:tc>
        <w:tc>
          <w:tcPr>
            <w:tcW w:w="2446" w:type="dxa"/>
          </w:tcPr>
          <w:p w14:paraId="4266FBF6" w14:textId="19EA674A" w:rsidR="0069121B" w:rsidRPr="00DB48DA" w:rsidRDefault="0069121B" w:rsidP="00144CF9">
            <w:pPr>
              <w:rPr>
                <w:lang w:val="en-AU"/>
              </w:rPr>
            </w:pPr>
            <w:r w:rsidRPr="00DB48DA">
              <w:rPr>
                <w:lang w:val="en-AU"/>
              </w:rPr>
              <w:t>Prediction</w:t>
            </w:r>
            <w:r w:rsidR="00D131E4">
              <w:rPr>
                <w:lang w:val="en-AU"/>
              </w:rPr>
              <w:t xml:space="preserve"> </w:t>
            </w:r>
            <w:r w:rsidR="00C773C8">
              <w:rPr>
                <w:lang w:val="en-AU"/>
              </w:rPr>
              <w:t xml:space="preserve">of </w:t>
            </w:r>
            <w:r w:rsidR="00D131E4">
              <w:rPr>
                <w:lang w:val="en-AU"/>
              </w:rPr>
              <w:t>performance decrements or potential medical events</w:t>
            </w:r>
          </w:p>
        </w:tc>
        <w:tc>
          <w:tcPr>
            <w:tcW w:w="2446" w:type="dxa"/>
          </w:tcPr>
          <w:p w14:paraId="03DCF319" w14:textId="293065E0" w:rsidR="0069121B" w:rsidRPr="00DB48DA" w:rsidRDefault="0069121B" w:rsidP="00144CF9">
            <w:pPr>
              <w:rPr>
                <w:color w:val="FF0000"/>
                <w:lang w:val="en-AU"/>
              </w:rPr>
            </w:pPr>
            <w:r w:rsidRPr="00DB48DA">
              <w:rPr>
                <w:lang w:val="en-AU"/>
              </w:rPr>
              <w:t xml:space="preserve">Long term issues </w:t>
            </w:r>
            <w:r>
              <w:rPr>
                <w:lang w:val="en-AU"/>
              </w:rPr>
              <w:t>such as k</w:t>
            </w:r>
            <w:r w:rsidRPr="00D66A0A">
              <w:rPr>
                <w:lang w:val="en-AU"/>
              </w:rPr>
              <w:t>idney stone</w:t>
            </w:r>
            <w:r>
              <w:rPr>
                <w:lang w:val="en-AU"/>
              </w:rPr>
              <w:t>s</w:t>
            </w:r>
            <w:r w:rsidRPr="00D66A0A">
              <w:rPr>
                <w:lang w:val="en-AU"/>
              </w:rPr>
              <w:t xml:space="preserve">, bone loss, </w:t>
            </w:r>
            <w:r w:rsidR="004860F5" w:rsidRPr="00D66A0A">
              <w:rPr>
                <w:lang w:val="en-AU"/>
              </w:rPr>
              <w:t>behavioural</w:t>
            </w:r>
            <w:r w:rsidRPr="00D66A0A">
              <w:rPr>
                <w:lang w:val="en-AU"/>
              </w:rPr>
              <w:t xml:space="preserve"> and cogniti</w:t>
            </w:r>
            <w:r>
              <w:rPr>
                <w:lang w:val="en-AU"/>
              </w:rPr>
              <w:t>ve</w:t>
            </w:r>
            <w:r w:rsidRPr="00D66A0A">
              <w:rPr>
                <w:lang w:val="en-AU"/>
              </w:rPr>
              <w:t xml:space="preserve"> deficit</w:t>
            </w:r>
            <w:r>
              <w:rPr>
                <w:lang w:val="en-AU"/>
              </w:rPr>
              <w:t xml:space="preserve">s </w:t>
            </w:r>
            <w:r w:rsidRPr="00DB48DA">
              <w:rPr>
                <w:lang w:val="en-AU"/>
              </w:rPr>
              <w:t>can be mitigated with diet, sleep, exercise</w:t>
            </w:r>
          </w:p>
        </w:tc>
      </w:tr>
      <w:tr w:rsidR="0069121B" w:rsidRPr="00740AF0" w14:paraId="4CF41B63" w14:textId="77777777" w:rsidTr="0069121B">
        <w:tc>
          <w:tcPr>
            <w:tcW w:w="2445" w:type="dxa"/>
            <w:vMerge/>
          </w:tcPr>
          <w:p w14:paraId="561492AE" w14:textId="77777777" w:rsidR="0069121B" w:rsidRPr="00DB48DA" w:rsidRDefault="0069121B" w:rsidP="00144CF9">
            <w:pPr>
              <w:rPr>
                <w:lang w:val="en-AU"/>
              </w:rPr>
            </w:pPr>
          </w:p>
        </w:tc>
        <w:tc>
          <w:tcPr>
            <w:tcW w:w="2446" w:type="dxa"/>
          </w:tcPr>
          <w:p w14:paraId="310AC1A0" w14:textId="40C113F9" w:rsidR="009148B8" w:rsidRDefault="009148B8" w:rsidP="009148B8">
            <w:pPr>
              <w:rPr>
                <w:lang w:val="en-AU"/>
              </w:rPr>
            </w:pPr>
            <w:r w:rsidRPr="009F1436">
              <w:rPr>
                <w:lang w:val="en-AU"/>
              </w:rPr>
              <w:t xml:space="preserve">Measure the crew with least possible </w:t>
            </w:r>
            <w:r w:rsidR="004860F5" w:rsidRPr="009F1436">
              <w:rPr>
                <w:lang w:val="en-AU"/>
              </w:rPr>
              <w:t>distractions</w:t>
            </w:r>
            <w:r w:rsidRPr="009F1436">
              <w:rPr>
                <w:lang w:val="en-AU"/>
              </w:rPr>
              <w:t xml:space="preserve"> to operational activities</w:t>
            </w:r>
          </w:p>
          <w:p w14:paraId="757C466F" w14:textId="783F5773" w:rsidR="000B5246" w:rsidRPr="000B5246" w:rsidRDefault="000B5246" w:rsidP="009148B8">
            <w:pPr>
              <w:rPr>
                <w:lang w:val="en-AU"/>
              </w:rPr>
            </w:pPr>
            <w:r w:rsidRPr="009F1436">
              <w:rPr>
                <w:lang w:val="en-AU"/>
              </w:rPr>
              <w:t xml:space="preserve">Accurately </w:t>
            </w:r>
            <w:r>
              <w:rPr>
                <w:lang w:val="en-AU"/>
              </w:rPr>
              <w:t>r</w:t>
            </w:r>
            <w:r w:rsidRPr="009F1436">
              <w:rPr>
                <w:lang w:val="en-AU"/>
              </w:rPr>
              <w:t>ecord data in medical records</w:t>
            </w:r>
          </w:p>
        </w:tc>
        <w:tc>
          <w:tcPr>
            <w:tcW w:w="2446" w:type="dxa"/>
          </w:tcPr>
          <w:p w14:paraId="314210D4" w14:textId="69006917" w:rsidR="0069121B" w:rsidRDefault="0069121B" w:rsidP="00144CF9">
            <w:pPr>
              <w:rPr>
                <w:lang w:val="en-AU"/>
              </w:rPr>
            </w:pPr>
            <w:r w:rsidRPr="00DB48DA">
              <w:rPr>
                <w:lang w:val="en-AU"/>
              </w:rPr>
              <w:t xml:space="preserve">Ambient Monitoring </w:t>
            </w:r>
            <w:r w:rsidRPr="00DB48DA">
              <w:rPr>
                <w:lang w:val="en-AU"/>
              </w:rPr>
              <w:fldChar w:fldCharType="begin" w:fldLock="1"/>
            </w:r>
            <w:r w:rsidR="00D90B4A">
              <w:rPr>
                <w:lang w:val="en-AU"/>
              </w:rPr>
              <w:instrText>ADDIN CSL_CITATION {"citationItems":[{"id":"ITEM-1","itemData":{"author":[{"dropping-particle":"","family":"Beard","given":"Bettina L","non-dropping-particle":"","parse-names":false,"suffix":""},{"dropping-particle":"","family":"Russell","given":"Brian K","non-dropping-particle":"","parse-names":false,"suffix":""},{"dropping-particle":"","family":"Krihak","given":"Michael","non-dropping-particle":"","parse-names":false,"suffix":""},{"dropping-particle":"","family":"Burian","given":"Barbara K","non-dropping-particle":"","parse-names":false,"suffix":""},{"dropping-particle":"","family":"Noel","given":"Jeremy","non-dropping-particle":"","parse-names":false,"suffix":""},{"dropping-particle":"","family":"Shaw","given":"Tianna","non-dropping-particle":"","parse-names":false,"suffix":""},{"dropping-particle":"","family":"Pletcher","given":"David","non-dropping-particle":"","parse-names":false,"suffix":""},{"dropping-particle":"","family":"Martin","given":"Kara","non-dropping-particle":"","parse-names":false,"suffix":""}],"container-title":"International Association of Advancement of Sapce Safety","id":"ITEM-1","issue":"1","issued":{"date-parts":[["2021","10","21"]]},"publisher":"IAASS","publisher-place":"California, USA","title":"Supporting crew medical decisions on deep space missions : A real-time performance monitoring capability","type":"paper-conference"},"uris":["http://www.mendeley.com/documents/?uuid=008d8a29-2f97-42b7-a998-4144ee43bac8"]}],"mendeley":{"formattedCitation":"[33]","plainTextFormattedCitation":"[33]","previouslyFormattedCitation":"[33]"},"properties":{"noteIndex":0},"schema":"https://github.com/citation-style-language/schema/raw/master/csl-citation.json"}</w:instrText>
            </w:r>
            <w:r w:rsidRPr="00DB48DA">
              <w:rPr>
                <w:lang w:val="en-AU"/>
              </w:rPr>
              <w:fldChar w:fldCharType="separate"/>
            </w:r>
            <w:r w:rsidR="00D90B4A" w:rsidRPr="00D90B4A">
              <w:rPr>
                <w:noProof/>
                <w:lang w:val="en-AU"/>
              </w:rPr>
              <w:t>[33]</w:t>
            </w:r>
            <w:r w:rsidRPr="00DB48DA">
              <w:rPr>
                <w:lang w:val="en-AU"/>
              </w:rPr>
              <w:fldChar w:fldCharType="end"/>
            </w:r>
          </w:p>
          <w:p w14:paraId="3BA6F40E" w14:textId="1B62C360" w:rsidR="000B5246" w:rsidRPr="00DB48DA" w:rsidRDefault="000B5246" w:rsidP="00144CF9">
            <w:pPr>
              <w:rPr>
                <w:color w:val="FF0000"/>
                <w:lang w:val="en-AU"/>
              </w:rPr>
            </w:pPr>
            <w:r>
              <w:rPr>
                <w:lang w:val="en-AU"/>
              </w:rPr>
              <w:t>Automated record keeping</w:t>
            </w:r>
          </w:p>
        </w:tc>
        <w:tc>
          <w:tcPr>
            <w:tcW w:w="2446" w:type="dxa"/>
          </w:tcPr>
          <w:p w14:paraId="0EED8DF0" w14:textId="54AD98A1" w:rsidR="0069121B" w:rsidRPr="00DB48DA" w:rsidRDefault="0069121B" w:rsidP="00144CF9">
            <w:pPr>
              <w:rPr>
                <w:color w:val="FF0000"/>
                <w:sz w:val="16"/>
                <w:szCs w:val="16"/>
                <w:lang w:val="en-AU"/>
              </w:rPr>
            </w:pPr>
            <w:r w:rsidRPr="003E08B6">
              <w:rPr>
                <w:lang w:val="en-AU"/>
              </w:rPr>
              <w:t xml:space="preserve">Ambient monitoring data collection and analysis </w:t>
            </w:r>
            <w:r w:rsidR="00C773C8">
              <w:rPr>
                <w:lang w:val="en-AU"/>
              </w:rPr>
              <w:t>reduces workload</w:t>
            </w:r>
          </w:p>
        </w:tc>
      </w:tr>
    </w:tbl>
    <w:p w14:paraId="0B4FC8D3" w14:textId="77777777" w:rsidR="00D769DA" w:rsidRDefault="00D769DA" w:rsidP="00C32FD7">
      <w:pPr>
        <w:rPr>
          <w:color w:val="auto"/>
        </w:rPr>
      </w:pPr>
    </w:p>
    <w:p w14:paraId="598CE4A1" w14:textId="3F460EDF" w:rsidR="00D769DA" w:rsidRDefault="00D769DA" w:rsidP="0023615B">
      <w:pPr>
        <w:pStyle w:val="Heading1"/>
        <w:rPr>
          <w:color w:val="auto"/>
        </w:rPr>
      </w:pPr>
      <w:r>
        <w:t xml:space="preserve">Quantifying the </w:t>
      </w:r>
      <w:r w:rsidRPr="009E02B5">
        <w:t>Benefit</w:t>
      </w:r>
      <w:r>
        <w:t>s</w:t>
      </w:r>
      <w:r w:rsidRPr="009E02B5">
        <w:t xml:space="preserve"> of a CDSS in </w:t>
      </w:r>
      <w:r>
        <w:t>EIMO</w:t>
      </w:r>
    </w:p>
    <w:p w14:paraId="53066458" w14:textId="62884A5E" w:rsidR="00D769DA" w:rsidRDefault="00E439E9" w:rsidP="009F1436">
      <w:pPr>
        <w:rPr>
          <w:color w:val="auto"/>
        </w:rPr>
      </w:pPr>
      <w:r>
        <w:rPr>
          <w:color w:val="auto"/>
        </w:rPr>
        <w:t xml:space="preserve">It is possible </w:t>
      </w:r>
      <w:proofErr w:type="gramStart"/>
      <w:r>
        <w:rPr>
          <w:color w:val="auto"/>
        </w:rPr>
        <w:t>to  e</w:t>
      </w:r>
      <w:r w:rsidR="00D769DA">
        <w:rPr>
          <w:color w:val="auto"/>
        </w:rPr>
        <w:t>stimate</w:t>
      </w:r>
      <w:proofErr w:type="gramEnd"/>
      <w:r w:rsidR="00D60DB6">
        <w:rPr>
          <w:color w:val="auto"/>
        </w:rPr>
        <w:t xml:space="preserve"> the </w:t>
      </w:r>
      <w:r w:rsidR="00D769DA">
        <w:rPr>
          <w:color w:val="auto"/>
        </w:rPr>
        <w:t xml:space="preserve">effect a CDSS might have on </w:t>
      </w:r>
      <w:r w:rsidR="00B57D06">
        <w:rPr>
          <w:color w:val="auto"/>
        </w:rPr>
        <w:t>mission risk</w:t>
      </w:r>
      <w:r w:rsidR="00D769DA">
        <w:rPr>
          <w:color w:val="auto"/>
        </w:rPr>
        <w:t xml:space="preserve"> </w:t>
      </w:r>
      <w:r w:rsidR="00654E4B">
        <w:rPr>
          <w:color w:val="auto"/>
        </w:rPr>
        <w:t>metrics</w:t>
      </w:r>
      <w:r w:rsidR="00D769DA">
        <w:rPr>
          <w:color w:val="auto"/>
        </w:rPr>
        <w:t xml:space="preserve"> by investigating how </w:t>
      </w:r>
      <w:r w:rsidR="00D60DB6">
        <w:rPr>
          <w:color w:val="auto"/>
        </w:rPr>
        <w:t>medical outcomes are affected by increasing the operator</w:t>
      </w:r>
      <w:r w:rsidR="004E2679">
        <w:rPr>
          <w:color w:val="auto"/>
        </w:rPr>
        <w:t>-</w:t>
      </w:r>
      <w:r w:rsidR="005736C0">
        <w:rPr>
          <w:color w:val="auto"/>
        </w:rPr>
        <w:t>appropriate</w:t>
      </w:r>
      <w:r w:rsidR="00446678">
        <w:rPr>
          <w:color w:val="auto"/>
        </w:rPr>
        <w:t xml:space="preserve"> KSA </w:t>
      </w:r>
      <w:r w:rsidR="00D60DB6">
        <w:rPr>
          <w:color w:val="auto"/>
        </w:rPr>
        <w:t>level</w:t>
      </w:r>
      <w:r w:rsidR="00446678">
        <w:rPr>
          <w:color w:val="auto"/>
        </w:rPr>
        <w:t xml:space="preserve">s using </w:t>
      </w:r>
      <w:r w:rsidR="005736C0">
        <w:rPr>
          <w:color w:val="auto"/>
        </w:rPr>
        <w:t xml:space="preserve">equivalent terrestrial </w:t>
      </w:r>
      <w:proofErr w:type="spellStart"/>
      <w:r w:rsidR="00D769DA">
        <w:rPr>
          <w:color w:val="auto"/>
        </w:rPr>
        <w:t>SoP</w:t>
      </w:r>
      <w:proofErr w:type="spellEnd"/>
      <w:r w:rsidR="009F1436">
        <w:rPr>
          <w:color w:val="auto"/>
        </w:rPr>
        <w:t>,</w:t>
      </w:r>
      <w:r w:rsidR="00D769DA">
        <w:rPr>
          <w:color w:val="auto"/>
        </w:rPr>
        <w:t xml:space="preserve"> </w:t>
      </w:r>
      <w:r w:rsidR="005736C0">
        <w:rPr>
          <w:color w:val="auto"/>
        </w:rPr>
        <w:t>shown in</w:t>
      </w:r>
      <w:r w:rsidR="00D60DB6">
        <w:rPr>
          <w:color w:val="auto"/>
        </w:rPr>
        <w:t xml:space="preserve">  </w:t>
      </w:r>
      <w:r w:rsidR="00D60DB6">
        <w:rPr>
          <w:color w:val="auto"/>
        </w:rPr>
        <w:fldChar w:fldCharType="begin"/>
      </w:r>
      <w:r w:rsidR="00D60DB6">
        <w:rPr>
          <w:color w:val="auto"/>
        </w:rPr>
        <w:instrText xml:space="preserve"> REF _Ref102393779 \h </w:instrText>
      </w:r>
      <w:r w:rsidR="00D60DB6">
        <w:rPr>
          <w:color w:val="auto"/>
        </w:rPr>
      </w:r>
      <w:r w:rsidR="00D60DB6">
        <w:rPr>
          <w:color w:val="auto"/>
        </w:rPr>
        <w:fldChar w:fldCharType="separate"/>
      </w:r>
      <w:r w:rsidR="00160A4B">
        <w:t xml:space="preserve">Table </w:t>
      </w:r>
      <w:r w:rsidR="00160A4B">
        <w:rPr>
          <w:noProof/>
        </w:rPr>
        <w:t>2</w:t>
      </w:r>
      <w:r w:rsidR="00D60DB6">
        <w:rPr>
          <w:color w:val="auto"/>
        </w:rPr>
        <w:fldChar w:fldCharType="end"/>
      </w:r>
      <w:r w:rsidR="00D60DB6">
        <w:rPr>
          <w:color w:val="auto"/>
        </w:rPr>
        <w:t>.</w:t>
      </w:r>
      <w:r w:rsidR="00AD720B">
        <w:rPr>
          <w:color w:val="auto"/>
        </w:rPr>
        <w:t xml:space="preserve"> </w:t>
      </w:r>
      <w:r w:rsidR="004E2679">
        <w:rPr>
          <w:color w:val="auto"/>
        </w:rPr>
        <w:t xml:space="preserve">Further analysis is shown in appendix A below. </w:t>
      </w:r>
      <w:r w:rsidR="00D769DA">
        <w:rPr>
          <w:color w:val="auto"/>
        </w:rPr>
        <w:t xml:space="preserve">NASA’s program for Informing Mission Planning via Analysis of Complex Trade-spaces Medical Database project (IMPACT-MD) uses probabilistic risk assessment (PRA) methodology to estimate mission </w:t>
      </w:r>
      <w:r w:rsidR="004D0D64">
        <w:rPr>
          <w:color w:val="auto"/>
        </w:rPr>
        <w:t>risk</w:t>
      </w:r>
      <w:r w:rsidR="004E2679">
        <w:rPr>
          <w:color w:val="auto"/>
        </w:rPr>
        <w:t xml:space="preserve"> </w:t>
      </w:r>
      <w:r w:rsidR="00D769DA">
        <w:rPr>
          <w:color w:val="auto"/>
        </w:rPr>
        <w:t xml:space="preserve">based on medical condition incidence and the on board ability to treat </w:t>
      </w:r>
      <w:r w:rsidR="00D869DB">
        <w:rPr>
          <w:color w:val="auto"/>
        </w:rPr>
        <w:t xml:space="preserve">patients </w:t>
      </w:r>
      <w:r w:rsidR="00D769DA" w:rsidRPr="009E02B5">
        <w:rPr>
          <w:color w:val="auto"/>
        </w:rPr>
        <w:fldChar w:fldCharType="begin" w:fldLock="1"/>
      </w:r>
      <w:r w:rsidR="009A6ACE">
        <w:rPr>
          <w:color w:val="auto"/>
        </w:rPr>
        <w:instrText>ADDIN CSL_CITATION {"citationItems":[{"id":"ITEM-1","itemData":{"author":[{"dropping-particle":"","family":"McPhee","given":"","non-dropping-particle":"","parse-names":false,"suffix":""}],"id":"ITEM-1","issued":{"date-parts":[["2009"]]},"title":"Human health and performance risks of space exploration missions","type":"chapter"},"uris":["http://www.mendeley.com/documents/?uuid=2b553b12-e03f-4f77-aeeb-e031e12e01d8"]},{"id":"ITEM-2","itemData":{"author":[{"dropping-particle":"","family":"Levin","given":"Dana","non-dropping-particle":"","parse-names":false,"suffix":""}],"id":"ITEM-2","issued":{"date-parts":[["2021"]]},"title":"NASA 2021 HRP-48036 Methods for Creating Clinical Evidence Library.pdf","type":"legislation"},"uris":["http://www.mendeley.com/documents/?uuid=cebdaf6d-00c9-44a8-b160-bc1a5ba55c5e"]},{"id":"ITEM-3","itemData":{"DOI":"10.1038/s41526-022-00193-9","author":[{"dropping-particle":"","family":"Antonsen","given":"Erik L","non-dropping-particle":"","parse-names":false,"suffix":""},{"dropping-particle":"","family":"Myers","given":"Jerry G","non-dropping-particle":"","parse-names":false,"suffix":""}],"container-title":"NPJ Microgravity","id":"ITEM-3","issued":{"date-parts":[["2022"]]},"page":"1-8","title":"Estimating medical risk in human space flight","type":"article-journal","volume":"8"},"uris":["http://www.mendeley.com/documents/?uuid=28577a09-171f-4959-ac1a-bd36df2a96a1"]}],"mendeley":{"formattedCitation":"[22,34,35]","plainTextFormattedCitation":"[22,34,35]","previouslyFormattedCitation":"[22,34,35]"},"properties":{"noteIndex":0},"schema":"https://github.com/citation-style-language/schema/raw/master/csl-citation.json"}</w:instrText>
      </w:r>
      <w:r w:rsidR="00D769DA" w:rsidRPr="009E02B5">
        <w:rPr>
          <w:color w:val="auto"/>
        </w:rPr>
        <w:fldChar w:fldCharType="separate"/>
      </w:r>
      <w:r w:rsidR="00A32873" w:rsidRPr="00A32873">
        <w:rPr>
          <w:noProof/>
          <w:color w:val="auto"/>
        </w:rPr>
        <w:t>[22,34,35]</w:t>
      </w:r>
      <w:r w:rsidR="00D769DA" w:rsidRPr="009E02B5">
        <w:rPr>
          <w:color w:val="auto"/>
        </w:rPr>
        <w:fldChar w:fldCharType="end"/>
      </w:r>
      <w:r w:rsidR="00D131E4">
        <w:rPr>
          <w:color w:val="auto"/>
        </w:rPr>
        <w:t xml:space="preserve">. </w:t>
      </w:r>
      <w:r w:rsidR="005736C0">
        <w:rPr>
          <w:color w:val="auto"/>
        </w:rPr>
        <w:t>The c</w:t>
      </w:r>
      <w:r w:rsidR="006D4097">
        <w:rPr>
          <w:color w:val="auto"/>
        </w:rPr>
        <w:t>apabilit</w:t>
      </w:r>
      <w:r w:rsidR="00F61F46">
        <w:rPr>
          <w:color w:val="auto"/>
        </w:rPr>
        <w:t xml:space="preserve">y to treat </w:t>
      </w:r>
      <w:r w:rsidR="006D4097">
        <w:rPr>
          <w:color w:val="auto"/>
        </w:rPr>
        <w:t>in this analysis w</w:t>
      </w:r>
      <w:r w:rsidR="00DA0238">
        <w:rPr>
          <w:color w:val="auto"/>
        </w:rPr>
        <w:t>as</w:t>
      </w:r>
      <w:r w:rsidR="006D4097">
        <w:rPr>
          <w:color w:val="auto"/>
        </w:rPr>
        <w:t xml:space="preserve"> assumed to be limited by </w:t>
      </w:r>
      <w:r w:rsidR="00DA0238">
        <w:rPr>
          <w:color w:val="auto"/>
        </w:rPr>
        <w:t xml:space="preserve">the </w:t>
      </w:r>
      <w:r w:rsidR="006D4097">
        <w:rPr>
          <w:color w:val="auto"/>
        </w:rPr>
        <w:t xml:space="preserve">maximum level of SoP for cognitive and </w:t>
      </w:r>
      <w:r w:rsidR="00AB317C">
        <w:rPr>
          <w:color w:val="auto"/>
        </w:rPr>
        <w:t>procedural</w:t>
      </w:r>
      <w:r w:rsidR="006D4097">
        <w:rPr>
          <w:color w:val="auto"/>
        </w:rPr>
        <w:t xml:space="preserve"> execution skills</w:t>
      </w:r>
      <w:r w:rsidR="00F61F46">
        <w:rPr>
          <w:color w:val="auto"/>
        </w:rPr>
        <w:t xml:space="preserve">. A cognitive skill is categorized as requiring problem solving including decision making. A </w:t>
      </w:r>
      <w:r w:rsidR="00AB317C">
        <w:rPr>
          <w:color w:val="auto"/>
        </w:rPr>
        <w:t>procedural</w:t>
      </w:r>
      <w:r w:rsidR="00F61F46">
        <w:rPr>
          <w:color w:val="auto"/>
        </w:rPr>
        <w:t xml:space="preserve"> skill requires a </w:t>
      </w:r>
      <w:r w:rsidR="00D869DB">
        <w:rPr>
          <w:color w:val="auto"/>
        </w:rPr>
        <w:t xml:space="preserve">caregiver </w:t>
      </w:r>
      <w:r w:rsidR="00F61F46">
        <w:rPr>
          <w:color w:val="auto"/>
        </w:rPr>
        <w:t xml:space="preserve">to perform a physical task </w:t>
      </w:r>
      <w:proofErr w:type="gramStart"/>
      <w:r w:rsidR="00F61F46">
        <w:rPr>
          <w:color w:val="auto"/>
        </w:rPr>
        <w:t>following  a</w:t>
      </w:r>
      <w:proofErr w:type="gramEnd"/>
      <w:r w:rsidR="00F61F46">
        <w:rPr>
          <w:color w:val="auto"/>
        </w:rPr>
        <w:t xml:space="preserve"> prescribed procedure, e.g., inserting an intubation tube.</w:t>
      </w:r>
      <w:r w:rsidR="00384B54">
        <w:rPr>
          <w:color w:val="auto"/>
        </w:rPr>
        <w:t xml:space="preserve"> </w:t>
      </w:r>
      <w:r w:rsidR="007703F0">
        <w:rPr>
          <w:color w:val="auto"/>
        </w:rPr>
        <w:t>The analysis showed</w:t>
      </w:r>
      <w:r w:rsidR="000B718C">
        <w:rPr>
          <w:color w:val="auto"/>
        </w:rPr>
        <w:t xml:space="preserve"> that increasing </w:t>
      </w:r>
      <w:r w:rsidR="007A6F48">
        <w:rPr>
          <w:color w:val="auto"/>
        </w:rPr>
        <w:t xml:space="preserve">SoP </w:t>
      </w:r>
      <w:r w:rsidR="000B718C">
        <w:rPr>
          <w:color w:val="auto"/>
        </w:rPr>
        <w:t xml:space="preserve">reduces </w:t>
      </w:r>
      <w:r w:rsidR="007703F0">
        <w:rPr>
          <w:color w:val="auto"/>
        </w:rPr>
        <w:t>mission risk metrics</w:t>
      </w:r>
      <w:r w:rsidR="00D869DB">
        <w:rPr>
          <w:color w:val="auto"/>
        </w:rPr>
        <w:t xml:space="preserve">. In </w:t>
      </w:r>
      <w:proofErr w:type="gramStart"/>
      <w:r w:rsidR="00D869DB">
        <w:rPr>
          <w:color w:val="auto"/>
        </w:rPr>
        <w:t xml:space="preserve">addition, </w:t>
      </w:r>
      <w:r w:rsidR="007703F0">
        <w:rPr>
          <w:color w:val="auto"/>
        </w:rPr>
        <w:t xml:space="preserve"> </w:t>
      </w:r>
      <w:r w:rsidR="00F23F31">
        <w:rPr>
          <w:color w:val="auto"/>
        </w:rPr>
        <w:t>cognitive</w:t>
      </w:r>
      <w:proofErr w:type="gramEnd"/>
      <w:r w:rsidR="00F23F31">
        <w:rPr>
          <w:color w:val="auto"/>
        </w:rPr>
        <w:t xml:space="preserve"> skills </w:t>
      </w:r>
      <w:r w:rsidR="00C029AE">
        <w:rPr>
          <w:color w:val="auto"/>
        </w:rPr>
        <w:t>ha</w:t>
      </w:r>
      <w:r w:rsidR="00D869DB">
        <w:rPr>
          <w:color w:val="auto"/>
        </w:rPr>
        <w:t>d</w:t>
      </w:r>
      <w:r w:rsidR="00C029AE">
        <w:rPr>
          <w:color w:val="auto"/>
        </w:rPr>
        <w:t xml:space="preserve"> </w:t>
      </w:r>
      <w:r w:rsidR="00F23F31">
        <w:rPr>
          <w:color w:val="auto"/>
        </w:rPr>
        <w:t xml:space="preserve">a greater effect on outcomes than </w:t>
      </w:r>
      <w:r w:rsidR="00AB317C">
        <w:rPr>
          <w:color w:val="auto"/>
        </w:rPr>
        <w:t>procedural</w:t>
      </w:r>
      <w:r w:rsidR="00F23F31">
        <w:rPr>
          <w:color w:val="auto"/>
        </w:rPr>
        <w:t xml:space="preserve"> skills</w:t>
      </w:r>
      <w:r w:rsidR="00AA0CA7">
        <w:rPr>
          <w:color w:val="auto"/>
        </w:rPr>
        <w:t xml:space="preserve">, </w:t>
      </w:r>
      <w:r w:rsidR="00F54616">
        <w:rPr>
          <w:color w:val="auto"/>
        </w:rPr>
        <w:t xml:space="preserve">as demonstrated in the use case below where lack of early </w:t>
      </w:r>
      <w:r w:rsidR="004860F5">
        <w:rPr>
          <w:color w:val="auto"/>
        </w:rPr>
        <w:t>diagnosis</w:t>
      </w:r>
      <w:r w:rsidR="00F54616">
        <w:rPr>
          <w:color w:val="auto"/>
        </w:rPr>
        <w:t xml:space="preserve"> could be the difference between an untreated severe con</w:t>
      </w:r>
      <w:r w:rsidR="004860F5">
        <w:rPr>
          <w:color w:val="auto"/>
        </w:rPr>
        <w:t>d</w:t>
      </w:r>
      <w:r w:rsidR="00F54616">
        <w:rPr>
          <w:color w:val="auto"/>
        </w:rPr>
        <w:t>ition or a quick resolution</w:t>
      </w:r>
      <w:r w:rsidR="00F23F31">
        <w:rPr>
          <w:color w:val="auto"/>
        </w:rPr>
        <w:t xml:space="preserve">. </w:t>
      </w:r>
      <w:r w:rsidR="007703F0">
        <w:rPr>
          <w:color w:val="auto"/>
        </w:rPr>
        <w:t xml:space="preserve">If a CDSS increases SoP it follows that it will also reduce mission risk. </w:t>
      </w:r>
      <w:r w:rsidR="00053222">
        <w:rPr>
          <w:color w:val="auto"/>
        </w:rPr>
        <w:t xml:space="preserve">For example, with a C-SoP of </w:t>
      </w:r>
      <w:r w:rsidR="00C86770">
        <w:rPr>
          <w:color w:val="auto"/>
        </w:rPr>
        <w:t>1</w:t>
      </w:r>
      <w:r w:rsidR="00053222">
        <w:rPr>
          <w:color w:val="auto"/>
        </w:rPr>
        <w:t xml:space="preserve"> and P-SoP of </w:t>
      </w:r>
      <w:r w:rsidR="00C86770">
        <w:rPr>
          <w:color w:val="auto"/>
        </w:rPr>
        <w:t>1, roughly equivalent to ISS CMO training,</w:t>
      </w:r>
      <w:r w:rsidR="00053222">
        <w:rPr>
          <w:color w:val="auto"/>
        </w:rPr>
        <w:t xml:space="preserve"> our simulation reference mission of 26 months had </w:t>
      </w:r>
      <w:r w:rsidR="00C86770">
        <w:rPr>
          <w:color w:val="auto"/>
        </w:rPr>
        <w:t>up to</w:t>
      </w:r>
      <w:r w:rsidR="00053222">
        <w:rPr>
          <w:color w:val="auto"/>
        </w:rPr>
        <w:t xml:space="preserve"> 3 deaths, but </w:t>
      </w:r>
      <w:r w:rsidR="00C86770">
        <w:rPr>
          <w:color w:val="auto"/>
        </w:rPr>
        <w:t xml:space="preserve">if </w:t>
      </w:r>
      <w:r w:rsidR="00C86770">
        <w:rPr>
          <w:color w:val="auto"/>
        </w:rPr>
        <w:lastRenderedPageBreak/>
        <w:t xml:space="preserve">CDSS can increase C-SoP and P-SoP to level 5 this can be reduced </w:t>
      </w:r>
      <w:r w:rsidR="006729B2">
        <w:rPr>
          <w:color w:val="auto"/>
        </w:rPr>
        <w:t>by a minimum of 34%</w:t>
      </w:r>
      <w:r w:rsidR="00C86770">
        <w:rPr>
          <w:color w:val="auto"/>
        </w:rPr>
        <w:t>.</w:t>
      </w:r>
      <w:r w:rsidR="00053222">
        <w:rPr>
          <w:color w:val="auto"/>
        </w:rPr>
        <w:t xml:space="preserve"> </w:t>
      </w:r>
      <w:r w:rsidR="007703F0">
        <w:rPr>
          <w:color w:val="auto"/>
        </w:rPr>
        <w:t xml:space="preserve">The analysis results showed that cognitive SoP above level 3, </w:t>
      </w:r>
      <w:r w:rsidR="009218E9">
        <w:rPr>
          <w:color w:val="auto"/>
        </w:rPr>
        <w:t xml:space="preserve">i.e., </w:t>
      </w:r>
      <w:r w:rsidR="007703F0">
        <w:rPr>
          <w:color w:val="auto"/>
        </w:rPr>
        <w:t xml:space="preserve">medical </w:t>
      </w:r>
      <w:r w:rsidR="009218E9">
        <w:rPr>
          <w:color w:val="auto"/>
        </w:rPr>
        <w:t xml:space="preserve">school graduate, </w:t>
      </w:r>
      <w:r w:rsidR="007703F0">
        <w:rPr>
          <w:color w:val="auto"/>
        </w:rPr>
        <w:t>is required to substantially reduce m</w:t>
      </w:r>
      <w:r w:rsidR="009218E9">
        <w:rPr>
          <w:color w:val="auto"/>
        </w:rPr>
        <w:t>i</w:t>
      </w:r>
      <w:r w:rsidR="007703F0">
        <w:rPr>
          <w:color w:val="auto"/>
        </w:rPr>
        <w:t>ssi</w:t>
      </w:r>
      <w:r w:rsidR="009218E9">
        <w:rPr>
          <w:color w:val="auto"/>
        </w:rPr>
        <w:t>o</w:t>
      </w:r>
      <w:r w:rsidR="007703F0">
        <w:rPr>
          <w:color w:val="auto"/>
        </w:rPr>
        <w:t xml:space="preserve">n risk in human LDEMs. </w:t>
      </w:r>
      <w:r w:rsidR="009218E9">
        <w:rPr>
          <w:color w:val="auto"/>
        </w:rPr>
        <w:t xml:space="preserve">It is highly likely a CDSS is required to achieve this level of SoP given the </w:t>
      </w:r>
      <w:r w:rsidR="004860F5">
        <w:rPr>
          <w:color w:val="auto"/>
        </w:rPr>
        <w:t>restrictions</w:t>
      </w:r>
      <w:r w:rsidR="009218E9">
        <w:rPr>
          <w:color w:val="auto"/>
        </w:rPr>
        <w:t xml:space="preserve"> discussed</w:t>
      </w:r>
      <w:r w:rsidR="00C029AE">
        <w:rPr>
          <w:color w:val="auto"/>
        </w:rPr>
        <w:t xml:space="preserve"> previ</w:t>
      </w:r>
      <w:r w:rsidR="00563271">
        <w:rPr>
          <w:color w:val="auto"/>
        </w:rPr>
        <w:t>o</w:t>
      </w:r>
      <w:r w:rsidR="00C029AE">
        <w:rPr>
          <w:color w:val="auto"/>
        </w:rPr>
        <w:t>usly</w:t>
      </w:r>
      <w:r w:rsidR="009218E9">
        <w:rPr>
          <w:color w:val="auto"/>
        </w:rPr>
        <w:t xml:space="preserve">. </w:t>
      </w:r>
    </w:p>
    <w:p w14:paraId="2E4ACC46" w14:textId="13A60AF4" w:rsidR="009F1436" w:rsidRDefault="009F1436" w:rsidP="009F1436">
      <w:pPr>
        <w:pStyle w:val="Caption"/>
        <w:keepNext/>
      </w:pPr>
      <w:bookmarkStart w:id="1" w:name="_Ref102393779"/>
      <w:r>
        <w:t xml:space="preserve">Table </w:t>
      </w:r>
      <w:r>
        <w:fldChar w:fldCharType="begin"/>
      </w:r>
      <w:r>
        <w:instrText xml:space="preserve"> SEQ Table \* ARABIC </w:instrText>
      </w:r>
      <w:r>
        <w:fldChar w:fldCharType="separate"/>
      </w:r>
      <w:r w:rsidR="00E93F26">
        <w:rPr>
          <w:noProof/>
        </w:rPr>
        <w:t>2</w:t>
      </w:r>
      <w:r>
        <w:fldChar w:fldCharType="end"/>
      </w:r>
      <w:bookmarkEnd w:id="1"/>
      <w:r>
        <w:t xml:space="preserve"> </w:t>
      </w:r>
      <w:r w:rsidRPr="003D7CC4">
        <w:t>Scope of Practice scale.</w:t>
      </w:r>
    </w:p>
    <w:tbl>
      <w:tblPr>
        <w:tblStyle w:val="TableGrid"/>
        <w:tblW w:w="0" w:type="auto"/>
        <w:jc w:val="center"/>
        <w:tblLook w:val="04A0" w:firstRow="1" w:lastRow="0" w:firstColumn="1" w:lastColumn="0" w:noHBand="0" w:noVBand="1"/>
      </w:tblPr>
      <w:tblGrid>
        <w:gridCol w:w="905"/>
        <w:gridCol w:w="5397"/>
      </w:tblGrid>
      <w:tr w:rsidR="009F1436" w:rsidRPr="004B02B1" w14:paraId="242E8179" w14:textId="77777777" w:rsidTr="00C32B3F">
        <w:trPr>
          <w:trHeight w:val="44"/>
          <w:jc w:val="center"/>
        </w:trPr>
        <w:tc>
          <w:tcPr>
            <w:tcW w:w="0" w:type="auto"/>
            <w:shd w:val="clear" w:color="auto" w:fill="E7E6E6" w:themeFill="background2"/>
          </w:tcPr>
          <w:p w14:paraId="068B5633" w14:textId="2199EE2A" w:rsidR="009F1436" w:rsidRPr="00F86B40" w:rsidRDefault="00053222" w:rsidP="00C32B3F">
            <w:pPr>
              <w:spacing w:after="100"/>
              <w:jc w:val="center"/>
              <w:rPr>
                <w:color w:val="auto"/>
                <w:sz w:val="18"/>
                <w:szCs w:val="18"/>
              </w:rPr>
            </w:pPr>
            <w:r>
              <w:rPr>
                <w:color w:val="auto"/>
                <w:sz w:val="18"/>
                <w:szCs w:val="18"/>
              </w:rPr>
              <w:t>SoP</w:t>
            </w:r>
            <w:r w:rsidRPr="00F86B40">
              <w:rPr>
                <w:color w:val="auto"/>
                <w:sz w:val="18"/>
                <w:szCs w:val="18"/>
              </w:rPr>
              <w:t xml:space="preserve"> </w:t>
            </w:r>
            <w:r w:rsidR="009F1436" w:rsidRPr="00F86B40">
              <w:rPr>
                <w:color w:val="auto"/>
                <w:sz w:val="18"/>
                <w:szCs w:val="18"/>
              </w:rPr>
              <w:t>Level</w:t>
            </w:r>
          </w:p>
        </w:tc>
        <w:tc>
          <w:tcPr>
            <w:tcW w:w="0" w:type="auto"/>
            <w:shd w:val="clear" w:color="auto" w:fill="E7E6E6" w:themeFill="background2"/>
          </w:tcPr>
          <w:p w14:paraId="2A76A1EB" w14:textId="77777777" w:rsidR="009F1436" w:rsidRPr="00F86B40" w:rsidRDefault="009F1436" w:rsidP="00C32B3F">
            <w:pPr>
              <w:spacing w:after="100"/>
              <w:jc w:val="center"/>
              <w:rPr>
                <w:color w:val="auto"/>
                <w:sz w:val="18"/>
                <w:szCs w:val="18"/>
              </w:rPr>
            </w:pPr>
            <w:r w:rsidRPr="00F86B40">
              <w:rPr>
                <w:color w:val="auto"/>
                <w:sz w:val="18"/>
                <w:szCs w:val="18"/>
              </w:rPr>
              <w:t>Description</w:t>
            </w:r>
          </w:p>
        </w:tc>
      </w:tr>
      <w:tr w:rsidR="009F1436" w:rsidRPr="004B02B1" w14:paraId="7804F02E" w14:textId="77777777" w:rsidTr="00C32B3F">
        <w:trPr>
          <w:jc w:val="center"/>
        </w:trPr>
        <w:tc>
          <w:tcPr>
            <w:tcW w:w="0" w:type="auto"/>
          </w:tcPr>
          <w:p w14:paraId="2729D547" w14:textId="77777777" w:rsidR="009F1436" w:rsidRPr="00F86B40" w:rsidRDefault="009F1436" w:rsidP="00C32B3F">
            <w:pPr>
              <w:spacing w:after="100"/>
              <w:jc w:val="center"/>
              <w:rPr>
                <w:color w:val="auto"/>
                <w:sz w:val="18"/>
                <w:szCs w:val="18"/>
              </w:rPr>
            </w:pPr>
            <w:r>
              <w:rPr>
                <w:color w:val="auto"/>
                <w:sz w:val="18"/>
                <w:szCs w:val="18"/>
              </w:rPr>
              <w:t>0</w:t>
            </w:r>
          </w:p>
        </w:tc>
        <w:tc>
          <w:tcPr>
            <w:tcW w:w="0" w:type="auto"/>
          </w:tcPr>
          <w:p w14:paraId="0AE7C1DD" w14:textId="77777777" w:rsidR="009F1436" w:rsidRPr="00F86B40" w:rsidRDefault="009F1436" w:rsidP="00C32B3F">
            <w:pPr>
              <w:spacing w:after="100"/>
              <w:rPr>
                <w:color w:val="auto"/>
                <w:sz w:val="18"/>
                <w:szCs w:val="18"/>
              </w:rPr>
            </w:pPr>
            <w:r>
              <w:rPr>
                <w:color w:val="auto"/>
                <w:sz w:val="18"/>
                <w:szCs w:val="18"/>
              </w:rPr>
              <w:t xml:space="preserve">“No medical </w:t>
            </w:r>
            <w:proofErr w:type="gramStart"/>
            <w:r>
              <w:rPr>
                <w:color w:val="auto"/>
                <w:sz w:val="18"/>
                <w:szCs w:val="18"/>
              </w:rPr>
              <w:t>training”  as</w:t>
            </w:r>
            <w:proofErr w:type="gramEnd"/>
            <w:r>
              <w:rPr>
                <w:color w:val="auto"/>
                <w:sz w:val="18"/>
                <w:szCs w:val="18"/>
              </w:rPr>
              <w:t xml:space="preserve"> a reference for analysis</w:t>
            </w:r>
          </w:p>
        </w:tc>
      </w:tr>
      <w:tr w:rsidR="009F1436" w:rsidRPr="004B02B1" w14:paraId="36341135" w14:textId="77777777" w:rsidTr="00C32B3F">
        <w:trPr>
          <w:jc w:val="center"/>
        </w:trPr>
        <w:tc>
          <w:tcPr>
            <w:tcW w:w="0" w:type="auto"/>
          </w:tcPr>
          <w:p w14:paraId="707F1E0D" w14:textId="77777777" w:rsidR="009F1436" w:rsidRPr="00F86B40" w:rsidRDefault="009F1436" w:rsidP="00C32B3F">
            <w:pPr>
              <w:spacing w:after="100"/>
              <w:jc w:val="center"/>
              <w:rPr>
                <w:color w:val="auto"/>
                <w:sz w:val="18"/>
                <w:szCs w:val="18"/>
              </w:rPr>
            </w:pPr>
            <w:r w:rsidRPr="00F86B40">
              <w:rPr>
                <w:color w:val="auto"/>
                <w:sz w:val="18"/>
                <w:szCs w:val="18"/>
              </w:rPr>
              <w:t>1</w:t>
            </w:r>
          </w:p>
        </w:tc>
        <w:tc>
          <w:tcPr>
            <w:tcW w:w="0" w:type="auto"/>
          </w:tcPr>
          <w:p w14:paraId="57B0D6FA" w14:textId="5BD0BC68" w:rsidR="009F1436" w:rsidRPr="00F86B40" w:rsidRDefault="009F1436" w:rsidP="00C32B3F">
            <w:pPr>
              <w:spacing w:after="100"/>
              <w:rPr>
                <w:color w:val="auto"/>
                <w:sz w:val="18"/>
                <w:szCs w:val="18"/>
              </w:rPr>
            </w:pPr>
            <w:r>
              <w:rPr>
                <w:color w:val="auto"/>
                <w:sz w:val="18"/>
                <w:szCs w:val="18"/>
              </w:rPr>
              <w:t xml:space="preserve">United States National Registry </w:t>
            </w:r>
            <w:r w:rsidRPr="00F86B40">
              <w:rPr>
                <w:color w:val="auto"/>
                <w:sz w:val="18"/>
                <w:szCs w:val="18"/>
              </w:rPr>
              <w:t xml:space="preserve">Emergency Medicine </w:t>
            </w:r>
            <w:r w:rsidR="004860F5" w:rsidRPr="00F86B40">
              <w:rPr>
                <w:color w:val="auto"/>
                <w:sz w:val="18"/>
                <w:szCs w:val="18"/>
              </w:rPr>
              <w:t>Technici</w:t>
            </w:r>
            <w:r w:rsidR="004860F5">
              <w:rPr>
                <w:color w:val="auto"/>
                <w:sz w:val="18"/>
                <w:szCs w:val="18"/>
              </w:rPr>
              <w:t>an</w:t>
            </w:r>
            <w:r>
              <w:rPr>
                <w:color w:val="auto"/>
                <w:sz w:val="18"/>
                <w:szCs w:val="18"/>
              </w:rPr>
              <w:t xml:space="preserve"> - Basic</w:t>
            </w:r>
            <w:r w:rsidRPr="00F86B40">
              <w:rPr>
                <w:color w:val="auto"/>
                <w:sz w:val="18"/>
                <w:szCs w:val="18"/>
              </w:rPr>
              <w:t xml:space="preserve"> </w:t>
            </w:r>
          </w:p>
        </w:tc>
      </w:tr>
      <w:tr w:rsidR="009F1436" w:rsidRPr="004B02B1" w14:paraId="021333CD" w14:textId="77777777" w:rsidTr="00C32B3F">
        <w:trPr>
          <w:jc w:val="center"/>
        </w:trPr>
        <w:tc>
          <w:tcPr>
            <w:tcW w:w="0" w:type="auto"/>
          </w:tcPr>
          <w:p w14:paraId="0684F6AC" w14:textId="77777777" w:rsidR="009F1436" w:rsidRPr="00F86B40" w:rsidRDefault="009F1436" w:rsidP="00C32B3F">
            <w:pPr>
              <w:spacing w:after="100"/>
              <w:jc w:val="center"/>
              <w:rPr>
                <w:color w:val="auto"/>
                <w:sz w:val="18"/>
                <w:szCs w:val="18"/>
              </w:rPr>
            </w:pPr>
            <w:r w:rsidRPr="00F86B40">
              <w:rPr>
                <w:color w:val="auto"/>
                <w:sz w:val="18"/>
                <w:szCs w:val="18"/>
              </w:rPr>
              <w:t>2</w:t>
            </w:r>
          </w:p>
        </w:tc>
        <w:tc>
          <w:tcPr>
            <w:tcW w:w="0" w:type="auto"/>
          </w:tcPr>
          <w:p w14:paraId="35F7E4D9" w14:textId="77777777" w:rsidR="009F1436" w:rsidRPr="00F86B40" w:rsidRDefault="009F1436" w:rsidP="00C32B3F">
            <w:pPr>
              <w:spacing w:after="100"/>
              <w:rPr>
                <w:color w:val="auto"/>
                <w:sz w:val="18"/>
                <w:szCs w:val="18"/>
              </w:rPr>
            </w:pPr>
            <w:r>
              <w:rPr>
                <w:color w:val="auto"/>
                <w:sz w:val="18"/>
                <w:szCs w:val="18"/>
              </w:rPr>
              <w:t xml:space="preserve">United States National Registry </w:t>
            </w:r>
            <w:r w:rsidRPr="00F86B40">
              <w:rPr>
                <w:color w:val="auto"/>
                <w:sz w:val="18"/>
                <w:szCs w:val="18"/>
              </w:rPr>
              <w:t>Paramedic</w:t>
            </w:r>
          </w:p>
        </w:tc>
      </w:tr>
      <w:tr w:rsidR="009F1436" w:rsidRPr="004B02B1" w14:paraId="65606301" w14:textId="77777777" w:rsidTr="00C32B3F">
        <w:trPr>
          <w:jc w:val="center"/>
        </w:trPr>
        <w:tc>
          <w:tcPr>
            <w:tcW w:w="0" w:type="auto"/>
          </w:tcPr>
          <w:p w14:paraId="35B6E038" w14:textId="77777777" w:rsidR="009F1436" w:rsidRPr="00F86B40" w:rsidRDefault="009F1436" w:rsidP="00C32B3F">
            <w:pPr>
              <w:spacing w:after="100"/>
              <w:jc w:val="center"/>
              <w:rPr>
                <w:color w:val="auto"/>
                <w:sz w:val="18"/>
                <w:szCs w:val="18"/>
              </w:rPr>
            </w:pPr>
            <w:r w:rsidRPr="00F86B40">
              <w:rPr>
                <w:color w:val="auto"/>
                <w:sz w:val="18"/>
                <w:szCs w:val="18"/>
              </w:rPr>
              <w:t>3</w:t>
            </w:r>
          </w:p>
        </w:tc>
        <w:tc>
          <w:tcPr>
            <w:tcW w:w="0" w:type="auto"/>
          </w:tcPr>
          <w:p w14:paraId="43C48648" w14:textId="77777777" w:rsidR="009F1436" w:rsidRPr="00F86B40" w:rsidRDefault="009F1436" w:rsidP="00C32B3F">
            <w:pPr>
              <w:spacing w:after="100"/>
              <w:rPr>
                <w:color w:val="auto"/>
                <w:sz w:val="18"/>
                <w:szCs w:val="18"/>
              </w:rPr>
            </w:pPr>
            <w:r>
              <w:rPr>
                <w:color w:val="auto"/>
                <w:sz w:val="18"/>
                <w:szCs w:val="18"/>
              </w:rPr>
              <w:t>Certified Emergency Registered Nurse</w:t>
            </w:r>
          </w:p>
        </w:tc>
      </w:tr>
      <w:tr w:rsidR="009F1436" w:rsidRPr="004B02B1" w14:paraId="06F62B9D" w14:textId="77777777" w:rsidTr="00C32B3F">
        <w:trPr>
          <w:jc w:val="center"/>
        </w:trPr>
        <w:tc>
          <w:tcPr>
            <w:tcW w:w="0" w:type="auto"/>
          </w:tcPr>
          <w:p w14:paraId="3DC2F7F4" w14:textId="77777777" w:rsidR="009F1436" w:rsidRPr="00F86B40" w:rsidRDefault="009F1436" w:rsidP="00C32B3F">
            <w:pPr>
              <w:spacing w:after="100"/>
              <w:jc w:val="center"/>
              <w:rPr>
                <w:color w:val="auto"/>
                <w:sz w:val="18"/>
                <w:szCs w:val="18"/>
              </w:rPr>
            </w:pPr>
            <w:r w:rsidRPr="00F86B40">
              <w:rPr>
                <w:color w:val="auto"/>
                <w:sz w:val="18"/>
                <w:szCs w:val="18"/>
              </w:rPr>
              <w:t>4</w:t>
            </w:r>
          </w:p>
        </w:tc>
        <w:tc>
          <w:tcPr>
            <w:tcW w:w="0" w:type="auto"/>
          </w:tcPr>
          <w:p w14:paraId="7BAF1644" w14:textId="77777777" w:rsidR="009F1436" w:rsidRPr="00F86B40" w:rsidRDefault="009F1436" w:rsidP="00C32B3F">
            <w:pPr>
              <w:spacing w:after="100"/>
              <w:rPr>
                <w:color w:val="auto"/>
                <w:sz w:val="18"/>
                <w:szCs w:val="18"/>
              </w:rPr>
            </w:pPr>
            <w:r>
              <w:rPr>
                <w:color w:val="auto"/>
                <w:sz w:val="18"/>
                <w:szCs w:val="18"/>
              </w:rPr>
              <w:t>Medical School Graduate During a Rotating Intern Year (PGY-1)</w:t>
            </w:r>
          </w:p>
        </w:tc>
      </w:tr>
      <w:tr w:rsidR="009F1436" w:rsidRPr="004B02B1" w14:paraId="3402071A" w14:textId="77777777" w:rsidTr="00C32B3F">
        <w:trPr>
          <w:jc w:val="center"/>
        </w:trPr>
        <w:tc>
          <w:tcPr>
            <w:tcW w:w="0" w:type="auto"/>
          </w:tcPr>
          <w:p w14:paraId="2CF3D1B8" w14:textId="77777777" w:rsidR="009F1436" w:rsidRPr="00F86B40" w:rsidRDefault="009F1436" w:rsidP="00C32B3F">
            <w:pPr>
              <w:spacing w:after="100"/>
              <w:jc w:val="center"/>
              <w:rPr>
                <w:color w:val="auto"/>
                <w:sz w:val="18"/>
                <w:szCs w:val="18"/>
              </w:rPr>
            </w:pPr>
            <w:r w:rsidRPr="00F86B40">
              <w:rPr>
                <w:color w:val="auto"/>
                <w:sz w:val="18"/>
                <w:szCs w:val="18"/>
              </w:rPr>
              <w:t>5</w:t>
            </w:r>
          </w:p>
        </w:tc>
        <w:tc>
          <w:tcPr>
            <w:tcW w:w="0" w:type="auto"/>
          </w:tcPr>
          <w:p w14:paraId="20C155B7" w14:textId="77777777" w:rsidR="009F1436" w:rsidRPr="00F86B40" w:rsidRDefault="009F1436" w:rsidP="00C32B3F">
            <w:pPr>
              <w:spacing w:after="100"/>
              <w:rPr>
                <w:color w:val="auto"/>
                <w:sz w:val="18"/>
                <w:szCs w:val="18"/>
              </w:rPr>
            </w:pPr>
            <w:r>
              <w:rPr>
                <w:color w:val="auto"/>
                <w:sz w:val="18"/>
                <w:szCs w:val="18"/>
              </w:rPr>
              <w:t>Experienced Attending</w:t>
            </w:r>
            <w:r w:rsidRPr="00F86B40">
              <w:rPr>
                <w:color w:val="auto"/>
                <w:sz w:val="18"/>
                <w:szCs w:val="18"/>
              </w:rPr>
              <w:t xml:space="preserve"> Physician</w:t>
            </w:r>
          </w:p>
        </w:tc>
      </w:tr>
    </w:tbl>
    <w:p w14:paraId="70A29594" w14:textId="77777777" w:rsidR="009F1436" w:rsidRPr="00951911" w:rsidRDefault="009F1436" w:rsidP="009F1436"/>
    <w:p w14:paraId="69F4C0FF" w14:textId="0E13D01F" w:rsidR="007321D0" w:rsidRDefault="00BF58B4" w:rsidP="009F1436">
      <w:pPr>
        <w:autoSpaceDE/>
        <w:autoSpaceDN/>
        <w:adjustRightInd/>
        <w:spacing w:after="0"/>
      </w:pPr>
      <w:r w:rsidRPr="009E02B5">
        <w:rPr>
          <w:color w:val="auto"/>
        </w:rPr>
        <w:t xml:space="preserve">In the following section, a </w:t>
      </w:r>
      <w:r w:rsidR="00091D1B">
        <w:rPr>
          <w:color w:val="auto"/>
        </w:rPr>
        <w:t>u</w:t>
      </w:r>
      <w:r w:rsidRPr="009E02B5">
        <w:rPr>
          <w:color w:val="auto"/>
        </w:rPr>
        <w:t xml:space="preserve">se </w:t>
      </w:r>
      <w:r w:rsidR="00091D1B">
        <w:rPr>
          <w:color w:val="auto"/>
        </w:rPr>
        <w:t>c</w:t>
      </w:r>
      <w:r w:rsidRPr="009E02B5">
        <w:rPr>
          <w:color w:val="auto"/>
        </w:rPr>
        <w:t>ase</w:t>
      </w:r>
      <w:r w:rsidR="00E65F3A">
        <w:rPr>
          <w:color w:val="auto"/>
        </w:rPr>
        <w:t xml:space="preserve"> example</w:t>
      </w:r>
      <w:r w:rsidRPr="009E02B5">
        <w:rPr>
          <w:color w:val="auto"/>
        </w:rPr>
        <w:t xml:space="preserve"> involving a sudden medical issue is provided to illustrate how a space</w:t>
      </w:r>
      <w:r w:rsidR="0063149C">
        <w:rPr>
          <w:color w:val="auto"/>
        </w:rPr>
        <w:t>flight</w:t>
      </w:r>
      <w:r w:rsidRPr="009E02B5">
        <w:rPr>
          <w:color w:val="auto"/>
        </w:rPr>
        <w:t xml:space="preserve"> CDSS could be </w:t>
      </w:r>
      <w:r w:rsidR="001C5B71" w:rsidRPr="009E02B5">
        <w:rPr>
          <w:color w:val="auto"/>
        </w:rPr>
        <w:t>beneficial to</w:t>
      </w:r>
      <w:r w:rsidRPr="009E02B5">
        <w:rPr>
          <w:color w:val="auto"/>
        </w:rPr>
        <w:t xml:space="preserve"> an autonomous crew.</w:t>
      </w:r>
      <w:r w:rsidR="00A03E72">
        <w:rPr>
          <w:color w:val="auto"/>
        </w:rPr>
        <w:t xml:space="preserve"> </w:t>
      </w:r>
    </w:p>
    <w:p w14:paraId="7C35DAE3" w14:textId="62E89C51" w:rsidR="00DB48DA" w:rsidRPr="009E02B5" w:rsidRDefault="00DB48DA" w:rsidP="00F74762">
      <w:pPr>
        <w:pStyle w:val="Heading1"/>
      </w:pPr>
      <w:r w:rsidRPr="009E02B5">
        <w:t>CDSS Use Case Example</w:t>
      </w:r>
    </w:p>
    <w:p w14:paraId="279A9A6E" w14:textId="43AFA868" w:rsidR="00DB48DA" w:rsidRPr="009E02B5" w:rsidRDefault="00DB48DA" w:rsidP="002C3B40">
      <w:pPr>
        <w:rPr>
          <w:b/>
          <w:bCs/>
          <w:color w:val="auto"/>
        </w:rPr>
      </w:pPr>
      <w:r w:rsidRPr="009E02B5">
        <w:rPr>
          <w:color w:val="auto"/>
        </w:rPr>
        <w:t xml:space="preserve">While exercising, a </w:t>
      </w:r>
      <w:r w:rsidR="007D12E9">
        <w:rPr>
          <w:color w:val="auto"/>
        </w:rPr>
        <w:t>c</w:t>
      </w:r>
      <w:r w:rsidR="00907679" w:rsidRPr="009E02B5">
        <w:rPr>
          <w:color w:val="auto"/>
        </w:rPr>
        <w:t xml:space="preserve">rew </w:t>
      </w:r>
      <w:r w:rsidR="007D12E9">
        <w:rPr>
          <w:color w:val="auto"/>
        </w:rPr>
        <w:t>m</w:t>
      </w:r>
      <w:r w:rsidR="00907679" w:rsidRPr="009E02B5">
        <w:rPr>
          <w:color w:val="auto"/>
        </w:rPr>
        <w:t>ember</w:t>
      </w:r>
      <w:r w:rsidR="006F1FB9" w:rsidRPr="009E02B5">
        <w:rPr>
          <w:color w:val="auto"/>
        </w:rPr>
        <w:t xml:space="preserve"> (</w:t>
      </w:r>
      <w:r w:rsidRPr="009E02B5">
        <w:rPr>
          <w:color w:val="auto"/>
        </w:rPr>
        <w:t>CM</w:t>
      </w:r>
      <w:r w:rsidR="006F1FB9" w:rsidRPr="009E02B5">
        <w:rPr>
          <w:color w:val="auto"/>
        </w:rPr>
        <w:t>)</w:t>
      </w:r>
      <w:r w:rsidRPr="009E02B5">
        <w:rPr>
          <w:color w:val="auto"/>
        </w:rPr>
        <w:t xml:space="preserve"> is accidentally struck on the chest</w:t>
      </w:r>
      <w:r w:rsidR="00723D77">
        <w:rPr>
          <w:color w:val="auto"/>
        </w:rPr>
        <w:t xml:space="preserve"> </w:t>
      </w:r>
      <w:r w:rsidR="00F87CCE">
        <w:rPr>
          <w:color w:val="auto"/>
        </w:rPr>
        <w:t xml:space="preserve">due to </w:t>
      </w:r>
      <w:r w:rsidR="00723D77">
        <w:rPr>
          <w:color w:val="auto"/>
        </w:rPr>
        <w:t>equipment</w:t>
      </w:r>
      <w:r w:rsidR="00F87CCE">
        <w:rPr>
          <w:color w:val="auto"/>
        </w:rPr>
        <w:t xml:space="preserve"> failure</w:t>
      </w:r>
      <w:r w:rsidRPr="009E02B5">
        <w:rPr>
          <w:color w:val="auto"/>
        </w:rPr>
        <w:t xml:space="preserve">. She activates </w:t>
      </w:r>
      <w:r w:rsidR="00D869DB">
        <w:rPr>
          <w:color w:val="auto"/>
        </w:rPr>
        <w:t xml:space="preserve">the </w:t>
      </w:r>
      <w:r w:rsidRPr="009E02B5">
        <w:rPr>
          <w:color w:val="auto"/>
        </w:rPr>
        <w:t xml:space="preserve">CDSS which prompts, “Please state the nature of the medical emergency.” The CM selects “pain” and “left chest.” CDSS identifies several potential diagnoses and </w:t>
      </w:r>
      <w:r w:rsidR="002224A2">
        <w:rPr>
          <w:color w:val="auto"/>
        </w:rPr>
        <w:t xml:space="preserve">precedes </w:t>
      </w:r>
      <w:r w:rsidRPr="009E02B5">
        <w:rPr>
          <w:color w:val="auto"/>
        </w:rPr>
        <w:t>to narrow the differential</w:t>
      </w:r>
      <w:r w:rsidR="002224A2">
        <w:rPr>
          <w:color w:val="auto"/>
        </w:rPr>
        <w:t xml:space="preserve"> </w:t>
      </w:r>
      <w:r w:rsidR="00AC4A7C">
        <w:rPr>
          <w:color w:val="auto"/>
        </w:rPr>
        <w:t>asking</w:t>
      </w:r>
      <w:r w:rsidR="002224A2">
        <w:rPr>
          <w:color w:val="auto"/>
        </w:rPr>
        <w:t xml:space="preserve"> the minimum number of questions. </w:t>
      </w:r>
    </w:p>
    <w:p w14:paraId="6EE2D389" w14:textId="545AAE6D" w:rsidR="00DB48DA" w:rsidRPr="009E02B5" w:rsidRDefault="0008753F" w:rsidP="002C3B40">
      <w:pPr>
        <w:rPr>
          <w:color w:val="auto"/>
        </w:rPr>
      </w:pPr>
      <w:r>
        <w:rPr>
          <w:color w:val="auto"/>
        </w:rPr>
        <w:t>CDSS observes elevated heart rate using ambient sensors,</w:t>
      </w:r>
      <w:r w:rsidR="00DB48DA" w:rsidRPr="009E02B5">
        <w:rPr>
          <w:color w:val="auto"/>
        </w:rPr>
        <w:t xml:space="preserve"> queries medical records</w:t>
      </w:r>
      <w:r w:rsidR="00971738">
        <w:rPr>
          <w:color w:val="auto"/>
        </w:rPr>
        <w:t xml:space="preserve"> and</w:t>
      </w:r>
      <w:r>
        <w:rPr>
          <w:color w:val="auto"/>
        </w:rPr>
        <w:t xml:space="preserve"> calculates </w:t>
      </w:r>
      <w:r w:rsidR="00DB48DA" w:rsidRPr="009E02B5">
        <w:rPr>
          <w:color w:val="auto"/>
        </w:rPr>
        <w:t xml:space="preserve">a low </w:t>
      </w:r>
      <w:r w:rsidR="00D323A2">
        <w:rPr>
          <w:color w:val="auto"/>
        </w:rPr>
        <w:t xml:space="preserve">predicted </w:t>
      </w:r>
      <w:r w:rsidR="00DB48DA" w:rsidRPr="009E02B5">
        <w:rPr>
          <w:color w:val="auto"/>
        </w:rPr>
        <w:t>risk for heart disease. CDSS</w:t>
      </w:r>
      <w:r w:rsidR="004616F2">
        <w:rPr>
          <w:color w:val="auto"/>
        </w:rPr>
        <w:t xml:space="preserve"> </w:t>
      </w:r>
      <w:r w:rsidR="00D323A2">
        <w:rPr>
          <w:color w:val="auto"/>
        </w:rPr>
        <w:t>requires additional</w:t>
      </w:r>
      <w:r w:rsidR="00D323A2" w:rsidRPr="009E02B5">
        <w:rPr>
          <w:color w:val="auto"/>
        </w:rPr>
        <w:t xml:space="preserve"> </w:t>
      </w:r>
      <w:r w:rsidR="00DB48DA" w:rsidRPr="009E02B5">
        <w:rPr>
          <w:color w:val="auto"/>
        </w:rPr>
        <w:t xml:space="preserve">information and </w:t>
      </w:r>
      <w:r w:rsidR="00971738">
        <w:rPr>
          <w:color w:val="auto"/>
        </w:rPr>
        <w:t>alerts</w:t>
      </w:r>
      <w:r w:rsidR="00DB48DA" w:rsidRPr="009E02B5">
        <w:rPr>
          <w:color w:val="auto"/>
        </w:rPr>
        <w:t xml:space="preserve"> the CMO to obtain</w:t>
      </w:r>
      <w:r w:rsidR="004455F7">
        <w:rPr>
          <w:color w:val="auto"/>
        </w:rPr>
        <w:t xml:space="preserve"> vitals and</w:t>
      </w:r>
      <w:r w:rsidR="00DB48DA" w:rsidRPr="009E02B5">
        <w:rPr>
          <w:color w:val="auto"/>
        </w:rPr>
        <w:t xml:space="preserve"> an </w:t>
      </w:r>
      <w:r w:rsidR="00366D75" w:rsidRPr="009E02B5">
        <w:rPr>
          <w:color w:val="auto"/>
        </w:rPr>
        <w:t>electrocardiogram (</w:t>
      </w:r>
      <w:r w:rsidR="00DB48DA" w:rsidRPr="009E02B5">
        <w:rPr>
          <w:color w:val="auto"/>
        </w:rPr>
        <w:t>ECG</w:t>
      </w:r>
      <w:r w:rsidR="00366D75" w:rsidRPr="009E02B5">
        <w:rPr>
          <w:color w:val="auto"/>
        </w:rPr>
        <w:t>)</w:t>
      </w:r>
      <w:r>
        <w:rPr>
          <w:color w:val="auto"/>
        </w:rPr>
        <w:t xml:space="preserve"> with guidance</w:t>
      </w:r>
      <w:r w:rsidR="00DB48DA" w:rsidRPr="009E02B5">
        <w:rPr>
          <w:color w:val="auto"/>
        </w:rPr>
        <w:t xml:space="preserve">. CDSS instructs the vehicle communication system to prioritize medical data and alerts </w:t>
      </w:r>
      <w:r w:rsidR="00366D75" w:rsidRPr="009E02B5">
        <w:rPr>
          <w:color w:val="auto"/>
        </w:rPr>
        <w:t xml:space="preserve">the </w:t>
      </w:r>
      <w:r w:rsidR="00DB48DA" w:rsidRPr="009E02B5">
        <w:rPr>
          <w:color w:val="auto"/>
        </w:rPr>
        <w:t>MCC to stand</w:t>
      </w:r>
      <w:r w:rsidR="006F1FB9" w:rsidRPr="009E02B5">
        <w:rPr>
          <w:color w:val="auto"/>
        </w:rPr>
        <w:t xml:space="preserve"> </w:t>
      </w:r>
      <w:r w:rsidR="00DB48DA" w:rsidRPr="009E02B5">
        <w:rPr>
          <w:color w:val="auto"/>
        </w:rPr>
        <w:t>by.</w:t>
      </w:r>
    </w:p>
    <w:p w14:paraId="5EE20AE6" w14:textId="71D8C9C7" w:rsidR="00DB48DA" w:rsidRPr="009E02B5" w:rsidRDefault="00DB48DA" w:rsidP="002C3B40">
      <w:pPr>
        <w:rPr>
          <w:color w:val="auto"/>
        </w:rPr>
      </w:pPr>
      <w:r w:rsidRPr="009E02B5">
        <w:rPr>
          <w:color w:val="auto"/>
        </w:rPr>
        <w:t xml:space="preserve">The CMO records “Bruise, Left Chest,” uploads a photograph, and places the </w:t>
      </w:r>
      <w:r w:rsidR="00366D75" w:rsidRPr="009E02B5">
        <w:rPr>
          <w:color w:val="auto"/>
        </w:rPr>
        <w:t xml:space="preserve">ECG </w:t>
      </w:r>
      <w:r w:rsidRPr="009E02B5">
        <w:rPr>
          <w:color w:val="auto"/>
        </w:rPr>
        <w:t xml:space="preserve">leads. CDSS interprets </w:t>
      </w:r>
      <w:r w:rsidR="00B74AA3">
        <w:rPr>
          <w:color w:val="auto"/>
        </w:rPr>
        <w:t>an</w:t>
      </w:r>
      <w:r w:rsidR="00D869DB">
        <w:rPr>
          <w:color w:val="auto"/>
        </w:rPr>
        <w:t>d</w:t>
      </w:r>
      <w:r w:rsidR="00B74AA3">
        <w:rPr>
          <w:color w:val="auto"/>
        </w:rPr>
        <w:t xml:space="preserve"> displays </w:t>
      </w:r>
      <w:r w:rsidRPr="009E02B5">
        <w:rPr>
          <w:color w:val="auto"/>
        </w:rPr>
        <w:t xml:space="preserve">the rhythm as “sinus tachycardia,” </w:t>
      </w:r>
      <w:r w:rsidR="00366D75" w:rsidRPr="009E02B5">
        <w:rPr>
          <w:color w:val="auto"/>
        </w:rPr>
        <w:t>to</w:t>
      </w:r>
      <w:r w:rsidRPr="009E02B5">
        <w:rPr>
          <w:color w:val="auto"/>
        </w:rPr>
        <w:t xml:space="preserve"> the CMO, and transmits </w:t>
      </w:r>
      <w:r w:rsidR="00B74AA3">
        <w:rPr>
          <w:color w:val="auto"/>
        </w:rPr>
        <w:t xml:space="preserve">results </w:t>
      </w:r>
      <w:r w:rsidRPr="009E02B5">
        <w:rPr>
          <w:color w:val="auto"/>
        </w:rPr>
        <w:t xml:space="preserve">to the MCC. </w:t>
      </w:r>
      <w:r w:rsidR="000F46C9">
        <w:rPr>
          <w:color w:val="auto"/>
        </w:rPr>
        <w:t xml:space="preserve">The </w:t>
      </w:r>
      <w:r w:rsidRPr="009E02B5">
        <w:rPr>
          <w:color w:val="auto"/>
        </w:rPr>
        <w:t>CDSS reports the most probable diagnosis as chest wall contusion</w:t>
      </w:r>
      <w:r w:rsidR="006F1FB9" w:rsidRPr="009E02B5">
        <w:rPr>
          <w:color w:val="auto"/>
        </w:rPr>
        <w:t>;</w:t>
      </w:r>
      <w:r w:rsidRPr="009E02B5">
        <w:rPr>
          <w:color w:val="auto"/>
        </w:rPr>
        <w:t xml:space="preserve"> however, </w:t>
      </w:r>
      <w:r w:rsidR="0076730C">
        <w:rPr>
          <w:color w:val="auto"/>
        </w:rPr>
        <w:t>a</w:t>
      </w:r>
      <w:r w:rsidRPr="009E02B5">
        <w:rPr>
          <w:color w:val="auto"/>
        </w:rPr>
        <w:t xml:space="preserve">cute </w:t>
      </w:r>
      <w:r w:rsidR="0076730C">
        <w:rPr>
          <w:color w:val="auto"/>
        </w:rPr>
        <w:t>c</w:t>
      </w:r>
      <w:r w:rsidRPr="009E02B5">
        <w:rPr>
          <w:color w:val="auto"/>
        </w:rPr>
        <w:t xml:space="preserve">oronary </w:t>
      </w:r>
      <w:r w:rsidR="0076730C">
        <w:rPr>
          <w:color w:val="auto"/>
        </w:rPr>
        <w:t>s</w:t>
      </w:r>
      <w:r w:rsidRPr="009E02B5">
        <w:rPr>
          <w:color w:val="auto"/>
        </w:rPr>
        <w:t xml:space="preserve">yndrome (ACS) remains above the </w:t>
      </w:r>
      <w:r w:rsidR="00D323A2">
        <w:rPr>
          <w:color w:val="auto"/>
        </w:rPr>
        <w:t xml:space="preserve">acceptable </w:t>
      </w:r>
      <w:r w:rsidRPr="009E02B5">
        <w:rPr>
          <w:color w:val="auto"/>
        </w:rPr>
        <w:t>risk threshold</w:t>
      </w:r>
      <w:r w:rsidR="006F1FB9" w:rsidRPr="009E02B5">
        <w:rPr>
          <w:color w:val="auto"/>
        </w:rPr>
        <w:t>,</w:t>
      </w:r>
      <w:r w:rsidRPr="009E02B5">
        <w:rPr>
          <w:color w:val="auto"/>
        </w:rPr>
        <w:t xml:space="preserve"> and </w:t>
      </w:r>
      <w:r w:rsidR="000F46C9">
        <w:rPr>
          <w:color w:val="auto"/>
        </w:rPr>
        <w:t xml:space="preserve">the </w:t>
      </w:r>
      <w:r w:rsidRPr="009E02B5">
        <w:rPr>
          <w:color w:val="auto"/>
        </w:rPr>
        <w:t xml:space="preserve">CDSS recommends a </w:t>
      </w:r>
      <w:r w:rsidR="00D323A2">
        <w:rPr>
          <w:color w:val="auto"/>
        </w:rPr>
        <w:t xml:space="preserve">heart muscle protein blood </w:t>
      </w:r>
      <w:r w:rsidRPr="009E02B5">
        <w:rPr>
          <w:color w:val="auto"/>
        </w:rPr>
        <w:t>test</w:t>
      </w:r>
      <w:r w:rsidR="00D323A2">
        <w:rPr>
          <w:color w:val="auto"/>
        </w:rPr>
        <w:t xml:space="preserve"> </w:t>
      </w:r>
      <w:r w:rsidR="00216179">
        <w:rPr>
          <w:color w:val="auto"/>
        </w:rPr>
        <w:t xml:space="preserve">for </w:t>
      </w:r>
      <w:r w:rsidR="00D323A2" w:rsidRPr="009E02B5">
        <w:rPr>
          <w:color w:val="auto"/>
        </w:rPr>
        <w:t>troponin</w:t>
      </w:r>
      <w:r w:rsidRPr="009E02B5">
        <w:rPr>
          <w:color w:val="auto"/>
        </w:rPr>
        <w:t xml:space="preserve"> </w:t>
      </w:r>
      <w:r w:rsidR="00216179">
        <w:rPr>
          <w:color w:val="auto"/>
        </w:rPr>
        <w:t>levels</w:t>
      </w:r>
      <w:r w:rsidRPr="009E02B5">
        <w:rPr>
          <w:color w:val="auto"/>
        </w:rPr>
        <w:t xml:space="preserve">. </w:t>
      </w:r>
      <w:r w:rsidR="00366D75" w:rsidRPr="009E02B5">
        <w:rPr>
          <w:color w:val="auto"/>
        </w:rPr>
        <w:t xml:space="preserve">The CDSS </w:t>
      </w:r>
      <w:r w:rsidR="00C66951">
        <w:rPr>
          <w:color w:val="auto"/>
        </w:rPr>
        <w:t>checks for</w:t>
      </w:r>
      <w:r w:rsidR="00C66951" w:rsidRPr="009E02B5">
        <w:rPr>
          <w:color w:val="auto"/>
        </w:rPr>
        <w:t xml:space="preserve"> </w:t>
      </w:r>
      <w:r w:rsidR="00366D75" w:rsidRPr="009E02B5">
        <w:rPr>
          <w:color w:val="auto"/>
        </w:rPr>
        <w:t>allergies and future resource needs</w:t>
      </w:r>
      <w:r w:rsidR="0057422D">
        <w:rPr>
          <w:color w:val="auto"/>
        </w:rPr>
        <w:t>,</w:t>
      </w:r>
      <w:r w:rsidR="006F1FB9" w:rsidRPr="009E02B5">
        <w:rPr>
          <w:color w:val="auto"/>
        </w:rPr>
        <w:t xml:space="preserve"> </w:t>
      </w:r>
      <w:r w:rsidR="00366D75" w:rsidRPr="009E02B5">
        <w:rPr>
          <w:color w:val="auto"/>
        </w:rPr>
        <w:t>recommend</w:t>
      </w:r>
      <w:r w:rsidR="0057422D">
        <w:rPr>
          <w:color w:val="auto"/>
        </w:rPr>
        <w:t>ing</w:t>
      </w:r>
      <w:r w:rsidR="00366D75" w:rsidRPr="009E02B5">
        <w:rPr>
          <w:color w:val="auto"/>
        </w:rPr>
        <w:t xml:space="preserve"> </w:t>
      </w:r>
      <w:r w:rsidR="006D765B">
        <w:rPr>
          <w:color w:val="auto"/>
        </w:rPr>
        <w:t xml:space="preserve">an </w:t>
      </w:r>
      <w:r w:rsidR="00D323A2">
        <w:rPr>
          <w:color w:val="auto"/>
        </w:rPr>
        <w:t>anti-inflammatory medication</w:t>
      </w:r>
      <w:r w:rsidR="00C66951">
        <w:rPr>
          <w:color w:val="auto"/>
        </w:rPr>
        <w:t>,</w:t>
      </w:r>
      <w:r w:rsidR="000F46C9">
        <w:rPr>
          <w:color w:val="auto"/>
        </w:rPr>
        <w:t xml:space="preserve"> </w:t>
      </w:r>
      <w:r w:rsidR="006D765B">
        <w:rPr>
          <w:color w:val="auto"/>
        </w:rPr>
        <w:t>naproxen</w:t>
      </w:r>
      <w:r w:rsidR="00C66951">
        <w:rPr>
          <w:color w:val="auto"/>
        </w:rPr>
        <w:t>,</w:t>
      </w:r>
      <w:r w:rsidR="00D323A2" w:rsidRPr="009E02B5">
        <w:rPr>
          <w:color w:val="auto"/>
        </w:rPr>
        <w:t xml:space="preserve"> </w:t>
      </w:r>
      <w:r w:rsidR="00366D75" w:rsidRPr="009E02B5">
        <w:rPr>
          <w:color w:val="auto"/>
        </w:rPr>
        <w:t xml:space="preserve">and a cold pack </w:t>
      </w:r>
      <w:r w:rsidR="00BD6C74">
        <w:rPr>
          <w:color w:val="auto"/>
        </w:rPr>
        <w:t>for pain management</w:t>
      </w:r>
      <w:r w:rsidR="00C66951">
        <w:rPr>
          <w:color w:val="auto"/>
        </w:rPr>
        <w:t>,</w:t>
      </w:r>
      <w:r w:rsidR="00D323A2" w:rsidRPr="009E02B5">
        <w:rPr>
          <w:color w:val="auto"/>
        </w:rPr>
        <w:t xml:space="preserve"> </w:t>
      </w:r>
      <w:r w:rsidR="00C66951">
        <w:rPr>
          <w:color w:val="auto"/>
        </w:rPr>
        <w:t xml:space="preserve">also </w:t>
      </w:r>
      <w:r w:rsidR="00366D75" w:rsidRPr="009E02B5">
        <w:rPr>
          <w:color w:val="auto"/>
        </w:rPr>
        <w:t>indicat</w:t>
      </w:r>
      <w:r w:rsidR="00D323A2">
        <w:rPr>
          <w:color w:val="auto"/>
        </w:rPr>
        <w:t>ing</w:t>
      </w:r>
      <w:r w:rsidR="00366D75" w:rsidRPr="009E02B5">
        <w:rPr>
          <w:color w:val="auto"/>
        </w:rPr>
        <w:t xml:space="preserve"> storage location</w:t>
      </w:r>
      <w:r w:rsidR="00BD6C74">
        <w:rPr>
          <w:color w:val="auto"/>
        </w:rPr>
        <w:t>s</w:t>
      </w:r>
      <w:r w:rsidR="00366D75" w:rsidRPr="009E02B5">
        <w:rPr>
          <w:color w:val="auto"/>
        </w:rPr>
        <w:t xml:space="preserve">. </w:t>
      </w:r>
      <w:r w:rsidRPr="009E02B5">
        <w:rPr>
          <w:color w:val="auto"/>
        </w:rPr>
        <w:t xml:space="preserve">The CMO draws </w:t>
      </w:r>
      <w:r w:rsidR="00053417" w:rsidRPr="009E02B5">
        <w:rPr>
          <w:color w:val="auto"/>
        </w:rPr>
        <w:t>blood</w:t>
      </w:r>
      <w:r w:rsidR="00B74AA3">
        <w:rPr>
          <w:color w:val="auto"/>
        </w:rPr>
        <w:t xml:space="preserve"> and</w:t>
      </w:r>
      <w:r w:rsidRPr="009E02B5">
        <w:rPr>
          <w:color w:val="auto"/>
        </w:rPr>
        <w:t xml:space="preserve"> </w:t>
      </w:r>
      <w:r w:rsidR="00D323A2">
        <w:rPr>
          <w:color w:val="auto"/>
        </w:rPr>
        <w:t xml:space="preserve">places </w:t>
      </w:r>
      <w:r w:rsidR="00B74AA3">
        <w:rPr>
          <w:color w:val="auto"/>
        </w:rPr>
        <w:t>it</w:t>
      </w:r>
      <w:r w:rsidR="00D323A2">
        <w:rPr>
          <w:color w:val="auto"/>
        </w:rPr>
        <w:t xml:space="preserve"> in </w:t>
      </w:r>
      <w:r w:rsidR="00C66951">
        <w:rPr>
          <w:color w:val="auto"/>
        </w:rPr>
        <w:t>the</w:t>
      </w:r>
      <w:r w:rsidR="00D323A2">
        <w:rPr>
          <w:color w:val="auto"/>
        </w:rPr>
        <w:t xml:space="preserve"> blood </w:t>
      </w:r>
      <w:r w:rsidR="004860F5">
        <w:rPr>
          <w:color w:val="auto"/>
        </w:rPr>
        <w:t>analyzer</w:t>
      </w:r>
      <w:r w:rsidR="00B74AA3">
        <w:rPr>
          <w:color w:val="auto"/>
        </w:rPr>
        <w:t xml:space="preserve">. </w:t>
      </w:r>
      <w:proofErr w:type="gramStart"/>
      <w:r w:rsidR="00B74AA3">
        <w:rPr>
          <w:color w:val="auto"/>
        </w:rPr>
        <w:t>The</w:t>
      </w:r>
      <w:r w:rsidR="00C66951">
        <w:rPr>
          <w:color w:val="auto"/>
        </w:rPr>
        <w:t xml:space="preserve"> </w:t>
      </w:r>
      <w:r w:rsidR="00D323A2">
        <w:rPr>
          <w:color w:val="auto"/>
        </w:rPr>
        <w:t xml:space="preserve"> </w:t>
      </w:r>
      <w:r w:rsidR="006338C3">
        <w:rPr>
          <w:color w:val="auto"/>
        </w:rPr>
        <w:t>CDSS</w:t>
      </w:r>
      <w:proofErr w:type="gramEnd"/>
      <w:r w:rsidR="00D323A2">
        <w:rPr>
          <w:color w:val="auto"/>
        </w:rPr>
        <w:t xml:space="preserve"> </w:t>
      </w:r>
      <w:r w:rsidR="00C66951">
        <w:rPr>
          <w:color w:val="auto"/>
        </w:rPr>
        <w:t>considers</w:t>
      </w:r>
      <w:r w:rsidRPr="009E02B5">
        <w:rPr>
          <w:color w:val="auto"/>
        </w:rPr>
        <w:t xml:space="preserve"> </w:t>
      </w:r>
      <w:r w:rsidR="0044582F">
        <w:rPr>
          <w:color w:val="auto"/>
        </w:rPr>
        <w:t>results</w:t>
      </w:r>
      <w:r w:rsidR="00B74AA3">
        <w:rPr>
          <w:color w:val="auto"/>
        </w:rPr>
        <w:t xml:space="preserve"> </w:t>
      </w:r>
      <w:r w:rsidRPr="009E02B5">
        <w:rPr>
          <w:color w:val="auto"/>
        </w:rPr>
        <w:t>normal</w:t>
      </w:r>
      <w:r w:rsidR="00B74AA3">
        <w:rPr>
          <w:color w:val="auto"/>
        </w:rPr>
        <w:t xml:space="preserve"> and</w:t>
      </w:r>
      <w:r w:rsidRPr="009E02B5">
        <w:rPr>
          <w:color w:val="auto"/>
        </w:rPr>
        <w:t xml:space="preserve"> recommends against a second troponin</w:t>
      </w:r>
      <w:r w:rsidR="00D323A2">
        <w:rPr>
          <w:color w:val="auto"/>
        </w:rPr>
        <w:t xml:space="preserve"> </w:t>
      </w:r>
      <w:r w:rsidR="00C66951">
        <w:rPr>
          <w:color w:val="auto"/>
        </w:rPr>
        <w:t xml:space="preserve">test to </w:t>
      </w:r>
      <w:r w:rsidR="00C93937">
        <w:rPr>
          <w:color w:val="auto"/>
        </w:rPr>
        <w:t>p</w:t>
      </w:r>
      <w:r w:rsidR="00C66951">
        <w:rPr>
          <w:color w:val="auto"/>
        </w:rPr>
        <w:t>reserve resources</w:t>
      </w:r>
      <w:r w:rsidRPr="009E02B5">
        <w:rPr>
          <w:color w:val="auto"/>
        </w:rPr>
        <w:t xml:space="preserve">. </w:t>
      </w:r>
    </w:p>
    <w:p w14:paraId="59C948DE" w14:textId="5E8334E9" w:rsidR="00DB48DA" w:rsidRPr="009E02B5" w:rsidRDefault="00DB48DA" w:rsidP="002C3B40">
      <w:pPr>
        <w:rPr>
          <w:color w:val="auto"/>
        </w:rPr>
      </w:pPr>
      <w:r w:rsidRPr="009E02B5">
        <w:rPr>
          <w:color w:val="auto"/>
        </w:rPr>
        <w:t>Thirty minutes later</w:t>
      </w:r>
      <w:r w:rsidR="00366D75" w:rsidRPr="009E02B5">
        <w:rPr>
          <w:color w:val="auto"/>
        </w:rPr>
        <w:t>,</w:t>
      </w:r>
      <w:r w:rsidRPr="009E02B5">
        <w:rPr>
          <w:color w:val="auto"/>
        </w:rPr>
        <w:t xml:space="preserve"> </w:t>
      </w:r>
      <w:r w:rsidR="000F46C9">
        <w:rPr>
          <w:color w:val="auto"/>
        </w:rPr>
        <w:t xml:space="preserve">the </w:t>
      </w:r>
      <w:r w:rsidRPr="009E02B5">
        <w:rPr>
          <w:color w:val="auto"/>
        </w:rPr>
        <w:t xml:space="preserve">CDSS </w:t>
      </w:r>
      <w:r w:rsidR="004455F7">
        <w:rPr>
          <w:color w:val="auto"/>
        </w:rPr>
        <w:t>sends</w:t>
      </w:r>
      <w:r w:rsidRPr="009E02B5">
        <w:rPr>
          <w:color w:val="auto"/>
        </w:rPr>
        <w:t xml:space="preserve"> a reassessment </w:t>
      </w:r>
      <w:r w:rsidR="00BA38E0">
        <w:rPr>
          <w:color w:val="auto"/>
        </w:rPr>
        <w:t>message</w:t>
      </w:r>
      <w:r w:rsidRPr="009E02B5">
        <w:rPr>
          <w:color w:val="auto"/>
        </w:rPr>
        <w:t xml:space="preserve"> to the CM’s tablet asking if symptoms have improved. The </w:t>
      </w:r>
      <w:r w:rsidR="00CC0A8E">
        <w:rPr>
          <w:color w:val="auto"/>
        </w:rPr>
        <w:t>CM</w:t>
      </w:r>
      <w:r w:rsidRPr="009E02B5">
        <w:rPr>
          <w:color w:val="auto"/>
        </w:rPr>
        <w:t xml:space="preserve"> selects “no</w:t>
      </w:r>
      <w:r w:rsidR="002149B6">
        <w:rPr>
          <w:color w:val="auto"/>
        </w:rPr>
        <w:t>,</w:t>
      </w:r>
      <w:r w:rsidRPr="009E02B5">
        <w:rPr>
          <w:color w:val="auto"/>
        </w:rPr>
        <w:t>” and CDSS responds</w:t>
      </w:r>
      <w:r w:rsidR="000A6D7A" w:rsidRPr="009E02B5">
        <w:rPr>
          <w:color w:val="auto"/>
        </w:rPr>
        <w:t xml:space="preserve">: </w:t>
      </w:r>
      <w:r w:rsidRPr="009E02B5">
        <w:rPr>
          <w:color w:val="auto"/>
        </w:rPr>
        <w:t>“</w:t>
      </w:r>
      <w:r w:rsidR="00466D74">
        <w:rPr>
          <w:color w:val="auto"/>
        </w:rPr>
        <w:t xml:space="preserve">Please </w:t>
      </w:r>
      <w:r w:rsidR="00A438C8">
        <w:rPr>
          <w:color w:val="auto"/>
        </w:rPr>
        <w:t xml:space="preserve">put on a blood pressure cuff and oxygen saturation </w:t>
      </w:r>
      <w:r w:rsidRPr="009E02B5">
        <w:rPr>
          <w:color w:val="auto"/>
        </w:rPr>
        <w:t xml:space="preserve">monitor and tell me what’s wrong.” The CM reports </w:t>
      </w:r>
      <w:r w:rsidR="00CC0A8E">
        <w:rPr>
          <w:color w:val="auto"/>
        </w:rPr>
        <w:t>“</w:t>
      </w:r>
      <w:r w:rsidRPr="009E02B5">
        <w:rPr>
          <w:color w:val="auto"/>
        </w:rPr>
        <w:t>pain</w:t>
      </w:r>
      <w:r w:rsidR="00CC0A8E">
        <w:rPr>
          <w:color w:val="auto"/>
        </w:rPr>
        <w:t>”</w:t>
      </w:r>
      <w:r w:rsidRPr="009E02B5">
        <w:rPr>
          <w:color w:val="auto"/>
        </w:rPr>
        <w:t xml:space="preserve"> is the same</w:t>
      </w:r>
      <w:r w:rsidR="00530600">
        <w:rPr>
          <w:color w:val="auto"/>
        </w:rPr>
        <w:t>,</w:t>
      </w:r>
      <w:r w:rsidRPr="009E02B5">
        <w:rPr>
          <w:color w:val="auto"/>
        </w:rPr>
        <w:t xml:space="preserve"> but a new symptom, </w:t>
      </w:r>
      <w:r w:rsidR="00CC0A8E">
        <w:rPr>
          <w:color w:val="auto"/>
        </w:rPr>
        <w:t>“</w:t>
      </w:r>
      <w:r w:rsidRPr="009E02B5">
        <w:rPr>
          <w:color w:val="auto"/>
        </w:rPr>
        <w:t>shortness of breath</w:t>
      </w:r>
      <w:r w:rsidR="00CC0A8E">
        <w:rPr>
          <w:color w:val="auto"/>
        </w:rPr>
        <w:t>”</w:t>
      </w:r>
      <w:r w:rsidRPr="009E02B5">
        <w:rPr>
          <w:color w:val="auto"/>
        </w:rPr>
        <w:t xml:space="preserve">. CDSS notes </w:t>
      </w:r>
      <w:r w:rsidR="00466D74">
        <w:rPr>
          <w:color w:val="auto"/>
        </w:rPr>
        <w:t xml:space="preserve">decreased </w:t>
      </w:r>
      <w:r w:rsidR="00C762AA">
        <w:rPr>
          <w:color w:val="auto"/>
        </w:rPr>
        <w:t>oxygen saturation (</w:t>
      </w:r>
      <w:r w:rsidRPr="009E02B5">
        <w:rPr>
          <w:color w:val="auto"/>
        </w:rPr>
        <w:t>SpO</w:t>
      </w:r>
      <w:r w:rsidRPr="009E02B5">
        <w:rPr>
          <w:color w:val="auto"/>
          <w:vertAlign w:val="subscript"/>
        </w:rPr>
        <w:t>2</w:t>
      </w:r>
      <w:r w:rsidR="00466D74">
        <w:rPr>
          <w:color w:val="auto"/>
        </w:rPr>
        <w:t xml:space="preserve">) </w:t>
      </w:r>
      <w:r w:rsidRPr="009E02B5">
        <w:rPr>
          <w:color w:val="auto"/>
        </w:rPr>
        <w:t xml:space="preserve">and </w:t>
      </w:r>
      <w:r w:rsidR="00466D74">
        <w:rPr>
          <w:color w:val="auto"/>
        </w:rPr>
        <w:t xml:space="preserve">increased </w:t>
      </w:r>
      <w:r w:rsidRPr="009E02B5">
        <w:rPr>
          <w:color w:val="auto"/>
        </w:rPr>
        <w:t>heart rate.</w:t>
      </w:r>
    </w:p>
    <w:p w14:paraId="2820B192" w14:textId="0AFFBDAB" w:rsidR="00DB48DA" w:rsidRPr="009E02B5" w:rsidRDefault="000F46C9" w:rsidP="002C3B40">
      <w:pPr>
        <w:rPr>
          <w:color w:val="auto"/>
        </w:rPr>
      </w:pPr>
      <w:r>
        <w:rPr>
          <w:color w:val="auto"/>
        </w:rPr>
        <w:t xml:space="preserve">The </w:t>
      </w:r>
      <w:r w:rsidR="00DB48DA" w:rsidRPr="009E02B5">
        <w:rPr>
          <w:color w:val="auto"/>
        </w:rPr>
        <w:t xml:space="preserve">CDSS activates emergency mode, sets vehicle </w:t>
      </w:r>
      <w:r w:rsidR="00902FE0" w:rsidRPr="009E02B5">
        <w:rPr>
          <w:color w:val="auto"/>
        </w:rPr>
        <w:t xml:space="preserve">illumination </w:t>
      </w:r>
      <w:r w:rsidR="00DB48DA" w:rsidRPr="009E02B5">
        <w:rPr>
          <w:color w:val="auto"/>
        </w:rPr>
        <w:t>to “high,” notifies the CMO and MCC</w:t>
      </w:r>
      <w:r w:rsidR="00727CB7">
        <w:rPr>
          <w:color w:val="auto"/>
        </w:rPr>
        <w:t>,</w:t>
      </w:r>
      <w:r w:rsidR="00C762AA">
        <w:rPr>
          <w:color w:val="auto"/>
        </w:rPr>
        <w:t xml:space="preserve"> </w:t>
      </w:r>
      <w:r w:rsidR="00DB48DA" w:rsidRPr="009E02B5">
        <w:rPr>
          <w:color w:val="auto"/>
        </w:rPr>
        <w:t>recommend</w:t>
      </w:r>
      <w:r w:rsidR="008361F3">
        <w:rPr>
          <w:color w:val="auto"/>
        </w:rPr>
        <w:t>s</w:t>
      </w:r>
      <w:r w:rsidR="00DB48DA" w:rsidRPr="009E02B5">
        <w:rPr>
          <w:color w:val="auto"/>
        </w:rPr>
        <w:t xml:space="preserve"> supplemental oxygen and lung ultrasound to evaluate for a </w:t>
      </w:r>
      <w:r w:rsidR="00D323A2">
        <w:rPr>
          <w:color w:val="auto"/>
        </w:rPr>
        <w:t>collapsed lung</w:t>
      </w:r>
      <w:r w:rsidR="008C1338">
        <w:rPr>
          <w:color w:val="auto"/>
        </w:rPr>
        <w:t xml:space="preserve">, </w:t>
      </w:r>
      <w:r w:rsidR="00DB48DA" w:rsidRPr="009E02B5">
        <w:rPr>
          <w:color w:val="auto"/>
        </w:rPr>
        <w:t>pneumothorax (PTX)</w:t>
      </w:r>
      <w:r w:rsidR="00C762AA">
        <w:rPr>
          <w:color w:val="auto"/>
        </w:rPr>
        <w:t xml:space="preserve"> </w:t>
      </w:r>
      <w:r w:rsidR="00104271">
        <w:rPr>
          <w:color w:val="auto"/>
        </w:rPr>
        <w:t>or</w:t>
      </w:r>
      <w:r w:rsidR="007321D0">
        <w:rPr>
          <w:color w:val="auto"/>
        </w:rPr>
        <w:t xml:space="preserve"> </w:t>
      </w:r>
      <w:r w:rsidR="008C1338">
        <w:rPr>
          <w:color w:val="auto"/>
        </w:rPr>
        <w:t xml:space="preserve">potentially deadly </w:t>
      </w:r>
      <w:r w:rsidR="007321D0">
        <w:rPr>
          <w:color w:val="auto"/>
        </w:rPr>
        <w:t>hemothorax</w:t>
      </w:r>
      <w:r w:rsidR="00DB48DA" w:rsidRPr="009E02B5">
        <w:rPr>
          <w:color w:val="auto"/>
        </w:rPr>
        <w:t xml:space="preserve">. </w:t>
      </w:r>
      <w:r w:rsidR="00BA38E0">
        <w:rPr>
          <w:color w:val="auto"/>
        </w:rPr>
        <w:t xml:space="preserve">The </w:t>
      </w:r>
      <w:r w:rsidR="00DB48DA" w:rsidRPr="009E02B5">
        <w:rPr>
          <w:color w:val="auto"/>
        </w:rPr>
        <w:t xml:space="preserve">CDSS guides the CMO through these procedures, notes vital signs have improved </w:t>
      </w:r>
      <w:proofErr w:type="gramStart"/>
      <w:r w:rsidR="00DB48DA" w:rsidRPr="009E02B5">
        <w:rPr>
          <w:color w:val="auto"/>
        </w:rPr>
        <w:t xml:space="preserve">and  </w:t>
      </w:r>
      <w:r w:rsidR="002731C8">
        <w:rPr>
          <w:color w:val="auto"/>
        </w:rPr>
        <w:t>that</w:t>
      </w:r>
      <w:proofErr w:type="gramEnd"/>
      <w:r w:rsidR="002731C8">
        <w:rPr>
          <w:color w:val="auto"/>
        </w:rPr>
        <w:t xml:space="preserve"> </w:t>
      </w:r>
      <w:r w:rsidR="00DB48DA" w:rsidRPr="009E02B5">
        <w:rPr>
          <w:color w:val="auto"/>
        </w:rPr>
        <w:lastRenderedPageBreak/>
        <w:t xml:space="preserve">ultrasound shows no </w:t>
      </w:r>
      <w:r w:rsidR="00984515">
        <w:rPr>
          <w:color w:val="auto"/>
        </w:rPr>
        <w:t xml:space="preserve">evidence of </w:t>
      </w:r>
      <w:r w:rsidR="00DB48DA" w:rsidRPr="009E02B5">
        <w:rPr>
          <w:color w:val="auto"/>
        </w:rPr>
        <w:t>lung sliding on the left</w:t>
      </w:r>
      <w:r w:rsidR="00984515">
        <w:rPr>
          <w:color w:val="auto"/>
        </w:rPr>
        <w:t xml:space="preserve"> side</w:t>
      </w:r>
      <w:r w:rsidR="00BA38E0">
        <w:rPr>
          <w:color w:val="auto"/>
        </w:rPr>
        <w:t xml:space="preserve">, suggesting </w:t>
      </w:r>
      <w:r w:rsidR="007231C6">
        <w:rPr>
          <w:color w:val="auto"/>
        </w:rPr>
        <w:t>PTX</w:t>
      </w:r>
      <w:r w:rsidR="00DB48DA" w:rsidRPr="009E02B5">
        <w:rPr>
          <w:color w:val="auto"/>
        </w:rPr>
        <w:t>.</w:t>
      </w:r>
      <w:r w:rsidR="00BA38E0">
        <w:rPr>
          <w:color w:val="auto"/>
        </w:rPr>
        <w:t xml:space="preserve"> The</w:t>
      </w:r>
      <w:r w:rsidR="00DB48DA" w:rsidRPr="009E02B5">
        <w:rPr>
          <w:color w:val="auto"/>
        </w:rPr>
        <w:t xml:space="preserve"> CDSS </w:t>
      </w:r>
      <w:r w:rsidR="008C1338">
        <w:rPr>
          <w:color w:val="auto"/>
        </w:rPr>
        <w:t>suspends all CM</w:t>
      </w:r>
      <w:r w:rsidR="00DB48DA" w:rsidRPr="009E02B5">
        <w:rPr>
          <w:color w:val="auto"/>
        </w:rPr>
        <w:t xml:space="preserve"> duties and</w:t>
      </w:r>
      <w:r>
        <w:rPr>
          <w:color w:val="auto"/>
        </w:rPr>
        <w:t xml:space="preserve"> suggests</w:t>
      </w:r>
      <w:r w:rsidR="008C1338">
        <w:rPr>
          <w:color w:val="auto"/>
        </w:rPr>
        <w:t xml:space="preserve"> </w:t>
      </w:r>
      <w:r w:rsidR="00DB48DA" w:rsidRPr="009E02B5">
        <w:rPr>
          <w:color w:val="auto"/>
        </w:rPr>
        <w:t>continuous monitoring</w:t>
      </w:r>
      <w:r w:rsidR="008C1338">
        <w:rPr>
          <w:color w:val="auto"/>
        </w:rPr>
        <w:t xml:space="preserve"> in the medical bay</w:t>
      </w:r>
      <w:r w:rsidR="00DB48DA" w:rsidRPr="009E02B5">
        <w:rPr>
          <w:color w:val="auto"/>
        </w:rPr>
        <w:t xml:space="preserve">. CDSS informs the CMO to await </w:t>
      </w:r>
      <w:r w:rsidR="0023550E">
        <w:rPr>
          <w:color w:val="auto"/>
        </w:rPr>
        <w:t>recommendations</w:t>
      </w:r>
      <w:r w:rsidR="0023550E" w:rsidRPr="009E02B5">
        <w:rPr>
          <w:color w:val="auto"/>
        </w:rPr>
        <w:t xml:space="preserve"> </w:t>
      </w:r>
      <w:r w:rsidR="00DB48DA" w:rsidRPr="009E02B5">
        <w:rPr>
          <w:color w:val="auto"/>
        </w:rPr>
        <w:t>from MCC</w:t>
      </w:r>
      <w:r w:rsidR="008C1338">
        <w:rPr>
          <w:color w:val="auto"/>
        </w:rPr>
        <w:t xml:space="preserve"> and</w:t>
      </w:r>
      <w:r w:rsidR="00105EB0">
        <w:rPr>
          <w:color w:val="auto"/>
        </w:rPr>
        <w:t xml:space="preserve"> recommends </w:t>
      </w:r>
      <w:r w:rsidR="00240ECF">
        <w:rPr>
          <w:color w:val="auto"/>
        </w:rPr>
        <w:t>just-in-time training</w:t>
      </w:r>
      <w:r w:rsidR="00105EB0">
        <w:rPr>
          <w:color w:val="auto"/>
        </w:rPr>
        <w:t xml:space="preserve"> </w:t>
      </w:r>
      <w:r>
        <w:rPr>
          <w:color w:val="auto"/>
        </w:rPr>
        <w:t xml:space="preserve">(JITT) </w:t>
      </w:r>
      <w:r w:rsidR="001B198F">
        <w:rPr>
          <w:color w:val="auto"/>
        </w:rPr>
        <w:t xml:space="preserve">including </w:t>
      </w:r>
      <w:r w:rsidR="00105EB0">
        <w:rPr>
          <w:color w:val="auto"/>
        </w:rPr>
        <w:t>“needle decompression</w:t>
      </w:r>
      <w:r w:rsidR="001B198F">
        <w:rPr>
          <w:color w:val="auto"/>
        </w:rPr>
        <w:t xml:space="preserve">” </w:t>
      </w:r>
    </w:p>
    <w:p w14:paraId="4EE8D521" w14:textId="04A980ED" w:rsidR="00DB48DA" w:rsidRDefault="001B198F" w:rsidP="002C3B40">
      <w:pPr>
        <w:rPr>
          <w:color w:val="auto"/>
        </w:rPr>
      </w:pPr>
      <w:r>
        <w:rPr>
          <w:color w:val="auto"/>
        </w:rPr>
        <w:t xml:space="preserve">On </w:t>
      </w:r>
      <w:r w:rsidR="00A83D5F">
        <w:rPr>
          <w:color w:val="auto"/>
        </w:rPr>
        <w:t>E</w:t>
      </w:r>
      <w:r>
        <w:rPr>
          <w:color w:val="auto"/>
        </w:rPr>
        <w:t>arth,</w:t>
      </w:r>
      <w:r w:rsidR="00DF7E42">
        <w:rPr>
          <w:color w:val="auto"/>
        </w:rPr>
        <w:t xml:space="preserve"> </w:t>
      </w:r>
      <w:r w:rsidR="00B0400A">
        <w:rPr>
          <w:color w:val="auto"/>
        </w:rPr>
        <w:t xml:space="preserve">the </w:t>
      </w:r>
      <w:r w:rsidR="00DB48DA" w:rsidRPr="009E02B5">
        <w:rPr>
          <w:color w:val="auto"/>
        </w:rPr>
        <w:t xml:space="preserve">MCC receives the initial “chest pain” alert from </w:t>
      </w:r>
      <w:r w:rsidR="000F46C9">
        <w:rPr>
          <w:color w:val="auto"/>
        </w:rPr>
        <w:t xml:space="preserve">the </w:t>
      </w:r>
      <w:r w:rsidR="00DB48DA" w:rsidRPr="009E02B5">
        <w:rPr>
          <w:color w:val="auto"/>
        </w:rPr>
        <w:t>CDSS and the FS</w:t>
      </w:r>
      <w:r w:rsidR="00B0400A">
        <w:rPr>
          <w:color w:val="auto"/>
        </w:rPr>
        <w:t xml:space="preserve"> </w:t>
      </w:r>
      <w:r w:rsidR="00DB48DA" w:rsidRPr="009E02B5">
        <w:rPr>
          <w:color w:val="auto"/>
        </w:rPr>
        <w:t xml:space="preserve">notifies the on-call cardiologist. </w:t>
      </w:r>
      <w:r>
        <w:rPr>
          <w:color w:val="auto"/>
        </w:rPr>
        <w:t>B</w:t>
      </w:r>
      <w:r w:rsidR="00DB48DA" w:rsidRPr="009E02B5">
        <w:rPr>
          <w:color w:val="auto"/>
        </w:rPr>
        <w:t xml:space="preserve">oth review </w:t>
      </w:r>
      <w:r w:rsidR="00B0400A">
        <w:rPr>
          <w:color w:val="auto"/>
        </w:rPr>
        <w:t xml:space="preserve">the </w:t>
      </w:r>
      <w:r>
        <w:rPr>
          <w:color w:val="auto"/>
        </w:rPr>
        <w:t xml:space="preserve">ECG </w:t>
      </w:r>
      <w:r w:rsidR="00DB48DA" w:rsidRPr="009E02B5">
        <w:rPr>
          <w:color w:val="auto"/>
        </w:rPr>
        <w:t xml:space="preserve">and </w:t>
      </w:r>
      <w:r w:rsidR="00CF2A17" w:rsidRPr="009E02B5">
        <w:rPr>
          <w:color w:val="auto"/>
        </w:rPr>
        <w:t>notify</w:t>
      </w:r>
      <w:r w:rsidR="00DB48DA" w:rsidRPr="009E02B5">
        <w:rPr>
          <w:color w:val="auto"/>
        </w:rPr>
        <w:t xml:space="preserve"> the crew they agree with the plan. After the emergency alert</w:t>
      </w:r>
      <w:r w:rsidR="00366D75" w:rsidRPr="009E02B5">
        <w:rPr>
          <w:color w:val="auto"/>
        </w:rPr>
        <w:t>,</w:t>
      </w:r>
      <w:r w:rsidR="00DB48DA" w:rsidRPr="009E02B5">
        <w:rPr>
          <w:color w:val="auto"/>
        </w:rPr>
        <w:t xml:space="preserve"> the FS activates the trauma team. </w:t>
      </w:r>
      <w:r>
        <w:rPr>
          <w:color w:val="auto"/>
        </w:rPr>
        <w:t>Ultrasound</w:t>
      </w:r>
      <w:r w:rsidR="00DB48DA" w:rsidRPr="009E02B5">
        <w:rPr>
          <w:color w:val="auto"/>
        </w:rPr>
        <w:t xml:space="preserve"> images are received</w:t>
      </w:r>
      <w:r>
        <w:rPr>
          <w:color w:val="auto"/>
        </w:rPr>
        <w:t xml:space="preserve"> and</w:t>
      </w:r>
      <w:r w:rsidR="00DB48DA" w:rsidRPr="009E02B5">
        <w:rPr>
          <w:color w:val="auto"/>
        </w:rPr>
        <w:t xml:space="preserve"> </w:t>
      </w:r>
      <w:r w:rsidR="00B0400A">
        <w:rPr>
          <w:color w:val="auto"/>
        </w:rPr>
        <w:t>reviewed</w:t>
      </w:r>
      <w:r w:rsidR="00DB48DA" w:rsidRPr="009E02B5">
        <w:rPr>
          <w:color w:val="auto"/>
        </w:rPr>
        <w:t xml:space="preserve">. </w:t>
      </w:r>
      <w:r>
        <w:rPr>
          <w:color w:val="auto"/>
        </w:rPr>
        <w:t>The</w:t>
      </w:r>
      <w:r w:rsidR="00971738">
        <w:rPr>
          <w:color w:val="auto"/>
        </w:rPr>
        <w:t>y</w:t>
      </w:r>
      <w:r w:rsidR="00DB48DA" w:rsidRPr="009E02B5">
        <w:rPr>
          <w:color w:val="auto"/>
        </w:rPr>
        <w:t xml:space="preserve"> recommend serial ultrasounds and 100% oxygen for 48 hour</w:t>
      </w:r>
      <w:r w:rsidR="00BD096F">
        <w:rPr>
          <w:color w:val="auto"/>
        </w:rPr>
        <w:t>s</w:t>
      </w:r>
      <w:r w:rsidR="00DB48DA" w:rsidRPr="009E02B5">
        <w:rPr>
          <w:color w:val="auto"/>
        </w:rPr>
        <w:t xml:space="preserve">. </w:t>
      </w:r>
      <w:r w:rsidR="000F46C9">
        <w:rPr>
          <w:color w:val="auto"/>
        </w:rPr>
        <w:t xml:space="preserve">The </w:t>
      </w:r>
      <w:r w:rsidR="00DB48DA" w:rsidRPr="009E02B5">
        <w:rPr>
          <w:color w:val="auto"/>
        </w:rPr>
        <w:t>CDSS</w:t>
      </w:r>
      <w:r w:rsidR="007321D0">
        <w:rPr>
          <w:color w:val="auto"/>
        </w:rPr>
        <w:t xml:space="preserve"> provides </w:t>
      </w:r>
      <w:proofErr w:type="gramStart"/>
      <w:r w:rsidR="007321D0">
        <w:rPr>
          <w:color w:val="auto"/>
        </w:rPr>
        <w:t>JITT</w:t>
      </w:r>
      <w:proofErr w:type="gramEnd"/>
      <w:r w:rsidR="007321D0">
        <w:rPr>
          <w:color w:val="auto"/>
        </w:rPr>
        <w:t xml:space="preserve"> and s</w:t>
      </w:r>
      <w:r w:rsidR="00DB48DA" w:rsidRPr="009E02B5">
        <w:rPr>
          <w:color w:val="auto"/>
        </w:rPr>
        <w:t xml:space="preserve">chedules reassessment alerts and monitors vital signs, enabling the CMO to continue normal mission operations between reassessments. MCC monitors </w:t>
      </w:r>
      <w:r w:rsidR="00BA38E0">
        <w:rPr>
          <w:color w:val="auto"/>
        </w:rPr>
        <w:t xml:space="preserve">patient </w:t>
      </w:r>
      <w:proofErr w:type="gramStart"/>
      <w:r w:rsidR="00BA38E0">
        <w:rPr>
          <w:color w:val="auto"/>
        </w:rPr>
        <w:t>vitals</w:t>
      </w:r>
      <w:proofErr w:type="gramEnd"/>
      <w:r w:rsidR="00DB48DA" w:rsidRPr="009E02B5">
        <w:rPr>
          <w:color w:val="auto"/>
        </w:rPr>
        <w:t xml:space="preserve"> and the trauma team prepares contingency plans. The FS also meets with mission schedulers</w:t>
      </w:r>
      <w:r w:rsidR="00366D75" w:rsidRPr="009E02B5">
        <w:rPr>
          <w:color w:val="auto"/>
        </w:rPr>
        <w:t xml:space="preserve"> to adjust the CM</w:t>
      </w:r>
      <w:r w:rsidR="000A6D7A" w:rsidRPr="009E02B5">
        <w:rPr>
          <w:color w:val="auto"/>
        </w:rPr>
        <w:t>’</w:t>
      </w:r>
      <w:r w:rsidR="00366D75" w:rsidRPr="009E02B5">
        <w:rPr>
          <w:color w:val="auto"/>
        </w:rPr>
        <w:t>s duties</w:t>
      </w:r>
      <w:r w:rsidR="00DB48DA" w:rsidRPr="009E02B5">
        <w:rPr>
          <w:color w:val="auto"/>
        </w:rPr>
        <w:t>.</w:t>
      </w:r>
      <w:r w:rsidR="006D330C">
        <w:rPr>
          <w:color w:val="auto"/>
        </w:rPr>
        <w:t xml:space="preserve"> </w:t>
      </w:r>
    </w:p>
    <w:p w14:paraId="19A01CED" w14:textId="5FE4A793" w:rsidR="00AF4B79" w:rsidRPr="009E02B5" w:rsidRDefault="00366D75" w:rsidP="002C3B40">
      <w:pPr>
        <w:rPr>
          <w:color w:val="auto"/>
        </w:rPr>
      </w:pPr>
      <w:r w:rsidRPr="009E02B5">
        <w:rPr>
          <w:color w:val="auto"/>
        </w:rPr>
        <w:t>Forty-eight</w:t>
      </w:r>
      <w:r w:rsidR="00DB48DA" w:rsidRPr="009E02B5">
        <w:rPr>
          <w:color w:val="auto"/>
        </w:rPr>
        <w:t xml:space="preserve"> hours later, the CM has </w:t>
      </w:r>
      <w:r w:rsidR="00053417" w:rsidRPr="009E02B5">
        <w:rPr>
          <w:color w:val="auto"/>
        </w:rPr>
        <w:t>improved,</w:t>
      </w:r>
      <w:r w:rsidR="00DB48DA" w:rsidRPr="009E02B5">
        <w:rPr>
          <w:color w:val="auto"/>
        </w:rPr>
        <w:t xml:space="preserve"> and lung sliding has returned. The FS clears the CM for limited duty. CDSS closes the encounter and logs the data in the patient’s chart.</w:t>
      </w:r>
    </w:p>
    <w:p w14:paraId="7920CD99" w14:textId="2CDE30BB" w:rsidR="00982FC2" w:rsidRDefault="001A60CF" w:rsidP="00C21B4E">
      <w:pPr>
        <w:autoSpaceDE/>
        <w:autoSpaceDN/>
        <w:adjustRightInd/>
        <w:spacing w:after="0"/>
        <w:rPr>
          <w:color w:val="auto"/>
        </w:rPr>
      </w:pPr>
      <w:r>
        <w:rPr>
          <w:color w:val="auto"/>
        </w:rPr>
        <w:t>This</w:t>
      </w:r>
      <w:r w:rsidR="00FD436E" w:rsidRPr="009E02B5">
        <w:rPr>
          <w:color w:val="auto"/>
        </w:rPr>
        <w:t xml:space="preserve"> </w:t>
      </w:r>
      <w:r w:rsidR="00C0729E">
        <w:rPr>
          <w:color w:val="auto"/>
        </w:rPr>
        <w:t>u</w:t>
      </w:r>
      <w:r w:rsidR="00FD436E" w:rsidRPr="009E02B5">
        <w:rPr>
          <w:color w:val="auto"/>
        </w:rPr>
        <w:t xml:space="preserve">se </w:t>
      </w:r>
      <w:r w:rsidR="00C0729E">
        <w:rPr>
          <w:color w:val="auto"/>
        </w:rPr>
        <w:t>c</w:t>
      </w:r>
      <w:r w:rsidR="00FD436E" w:rsidRPr="009E02B5">
        <w:rPr>
          <w:color w:val="auto"/>
        </w:rPr>
        <w:t>ase</w:t>
      </w:r>
      <w:r>
        <w:rPr>
          <w:color w:val="auto"/>
        </w:rPr>
        <w:t xml:space="preserve"> highlights </w:t>
      </w:r>
      <w:r w:rsidR="00FD436E" w:rsidRPr="009E02B5">
        <w:rPr>
          <w:color w:val="auto"/>
        </w:rPr>
        <w:t>t</w:t>
      </w:r>
      <w:r w:rsidR="00366D75" w:rsidRPr="009E02B5">
        <w:rPr>
          <w:color w:val="auto"/>
        </w:rPr>
        <w:t>he constant interaction between the CDSS, the CM, MCC, the CMO and other habitat resources (e.g., the communication system, lighting system, scheduler)</w:t>
      </w:r>
      <w:r>
        <w:rPr>
          <w:color w:val="auto"/>
        </w:rPr>
        <w:t>. It</w:t>
      </w:r>
      <w:r w:rsidR="00366D75" w:rsidRPr="009E02B5">
        <w:rPr>
          <w:color w:val="auto"/>
        </w:rPr>
        <w:t xml:space="preserve"> </w:t>
      </w:r>
      <w:r w:rsidR="00FD436E" w:rsidRPr="009E02B5">
        <w:rPr>
          <w:color w:val="auto"/>
        </w:rPr>
        <w:t>illustrate</w:t>
      </w:r>
      <w:r w:rsidR="00366D75" w:rsidRPr="009E02B5">
        <w:rPr>
          <w:color w:val="auto"/>
        </w:rPr>
        <w:t xml:space="preserve">s the real-time information </w:t>
      </w:r>
      <w:r w:rsidR="007D4FAB" w:rsidRPr="009E02B5">
        <w:rPr>
          <w:color w:val="auto"/>
        </w:rPr>
        <w:t>flow</w:t>
      </w:r>
      <w:r>
        <w:rPr>
          <w:color w:val="auto"/>
        </w:rPr>
        <w:t xml:space="preserve">, </w:t>
      </w:r>
      <w:r w:rsidR="00366D75" w:rsidRPr="009E02B5">
        <w:rPr>
          <w:color w:val="auto"/>
        </w:rPr>
        <w:t>workload</w:t>
      </w:r>
      <w:r w:rsidR="00FD436E" w:rsidRPr="009E02B5">
        <w:rPr>
          <w:color w:val="auto"/>
        </w:rPr>
        <w:t>-</w:t>
      </w:r>
      <w:r w:rsidR="00366D75" w:rsidRPr="009E02B5">
        <w:rPr>
          <w:color w:val="auto"/>
        </w:rPr>
        <w:t>reduction</w:t>
      </w:r>
      <w:r>
        <w:rPr>
          <w:color w:val="auto"/>
        </w:rPr>
        <w:t>, integrating CDSS into MCC medical operations.</w:t>
      </w:r>
    </w:p>
    <w:p w14:paraId="54A6D4F3" w14:textId="4FB4D8C9" w:rsidR="00105EB0" w:rsidRDefault="00105EB0" w:rsidP="00901A05">
      <w:pPr>
        <w:autoSpaceDE/>
        <w:autoSpaceDN/>
        <w:adjustRightInd/>
        <w:spacing w:after="0"/>
        <w:rPr>
          <w:lang w:eastAsia="de-DE" w:bidi="en-US"/>
        </w:rPr>
      </w:pPr>
    </w:p>
    <w:p w14:paraId="14034443" w14:textId="4C46521E" w:rsidR="008278F3" w:rsidRDefault="00105EB0" w:rsidP="00901A05">
      <w:pPr>
        <w:rPr>
          <w:lang w:eastAsia="de-DE" w:bidi="en-US"/>
        </w:rPr>
      </w:pPr>
      <w:r>
        <w:rPr>
          <w:lang w:eastAsia="de-DE" w:bidi="en-US"/>
        </w:rPr>
        <w:t xml:space="preserve">Without a CDSS </w:t>
      </w:r>
      <w:r w:rsidR="00C72A8B">
        <w:rPr>
          <w:lang w:eastAsia="de-DE" w:bidi="en-US"/>
        </w:rPr>
        <w:t>the CMO needs</w:t>
      </w:r>
      <w:r>
        <w:rPr>
          <w:lang w:eastAsia="de-DE" w:bidi="en-US"/>
        </w:rPr>
        <w:t xml:space="preserve"> significantly </w:t>
      </w:r>
      <w:r w:rsidR="00C72A8B">
        <w:rPr>
          <w:lang w:eastAsia="de-DE" w:bidi="en-US"/>
        </w:rPr>
        <w:t xml:space="preserve">more </w:t>
      </w:r>
      <w:proofErr w:type="gramStart"/>
      <w:r w:rsidR="00C72A8B">
        <w:rPr>
          <w:lang w:eastAsia="de-DE" w:bidi="en-US"/>
        </w:rPr>
        <w:t>expertise</w:t>
      </w:r>
      <w:proofErr w:type="gramEnd"/>
      <w:r w:rsidR="00C72A8B">
        <w:rPr>
          <w:lang w:eastAsia="de-DE" w:bidi="en-US"/>
        </w:rPr>
        <w:t xml:space="preserve"> </w:t>
      </w:r>
      <w:r w:rsidR="00240ECF">
        <w:rPr>
          <w:lang w:eastAsia="de-DE" w:bidi="en-US"/>
        </w:rPr>
        <w:t>and</w:t>
      </w:r>
      <w:r w:rsidR="00F334BE">
        <w:rPr>
          <w:lang w:eastAsia="de-DE" w:bidi="en-US"/>
        </w:rPr>
        <w:t xml:space="preserve"> this scenario</w:t>
      </w:r>
      <w:r w:rsidR="00240ECF">
        <w:rPr>
          <w:lang w:eastAsia="de-DE" w:bidi="en-US"/>
        </w:rPr>
        <w:t xml:space="preserve"> </w:t>
      </w:r>
      <w:r w:rsidR="00B45D91">
        <w:rPr>
          <w:lang w:eastAsia="de-DE" w:bidi="en-US"/>
        </w:rPr>
        <w:t xml:space="preserve">would </w:t>
      </w:r>
      <w:r w:rsidR="00D27512">
        <w:rPr>
          <w:lang w:eastAsia="de-DE" w:bidi="en-US"/>
        </w:rPr>
        <w:t>evolve</w:t>
      </w:r>
      <w:r w:rsidR="00F334BE">
        <w:rPr>
          <w:lang w:eastAsia="de-DE" w:bidi="en-US"/>
        </w:rPr>
        <w:t xml:space="preserve"> very differently</w:t>
      </w:r>
      <w:r w:rsidR="00C72A8B">
        <w:rPr>
          <w:lang w:eastAsia="de-DE" w:bidi="en-US"/>
        </w:rPr>
        <w:t>.</w:t>
      </w:r>
      <w:r w:rsidR="00F334BE">
        <w:rPr>
          <w:lang w:eastAsia="de-DE" w:bidi="en-US"/>
        </w:rPr>
        <w:t xml:space="preserve"> </w:t>
      </w:r>
      <w:r w:rsidR="00114764">
        <w:rPr>
          <w:lang w:eastAsia="de-DE" w:bidi="en-US"/>
        </w:rPr>
        <w:t xml:space="preserve"> </w:t>
      </w:r>
      <w:r w:rsidR="00AC66EE">
        <w:rPr>
          <w:lang w:eastAsia="de-DE" w:bidi="en-US"/>
        </w:rPr>
        <w:t>For example, t</w:t>
      </w:r>
      <w:r w:rsidR="00114764">
        <w:rPr>
          <w:lang w:eastAsia="de-DE" w:bidi="en-US"/>
        </w:rPr>
        <w:t xml:space="preserve">he </w:t>
      </w:r>
      <w:r w:rsidR="00C72A8B">
        <w:rPr>
          <w:lang w:eastAsia="de-DE" w:bidi="en-US"/>
        </w:rPr>
        <w:t xml:space="preserve">initial CM request for help </w:t>
      </w:r>
      <w:r w:rsidR="00114764">
        <w:rPr>
          <w:lang w:eastAsia="de-DE" w:bidi="en-US"/>
        </w:rPr>
        <w:t>pull</w:t>
      </w:r>
      <w:r w:rsidR="00AC66EE">
        <w:rPr>
          <w:lang w:eastAsia="de-DE" w:bidi="en-US"/>
        </w:rPr>
        <w:t>s</w:t>
      </w:r>
      <w:r w:rsidR="00114764">
        <w:rPr>
          <w:lang w:eastAsia="de-DE" w:bidi="en-US"/>
        </w:rPr>
        <w:t xml:space="preserve"> both </w:t>
      </w:r>
      <w:r w:rsidR="00C72A8B">
        <w:rPr>
          <w:lang w:eastAsia="de-DE" w:bidi="en-US"/>
        </w:rPr>
        <w:t>CM and CMO</w:t>
      </w:r>
      <w:r w:rsidR="00114764">
        <w:rPr>
          <w:lang w:eastAsia="de-DE" w:bidi="en-US"/>
        </w:rPr>
        <w:t xml:space="preserve"> </w:t>
      </w:r>
      <w:proofErr w:type="gramStart"/>
      <w:r w:rsidR="00114764">
        <w:rPr>
          <w:lang w:eastAsia="de-DE" w:bidi="en-US"/>
        </w:rPr>
        <w:t xml:space="preserve">off </w:t>
      </w:r>
      <w:r w:rsidR="00990E3C">
        <w:rPr>
          <w:lang w:eastAsia="de-DE" w:bidi="en-US"/>
        </w:rPr>
        <w:t>of</w:t>
      </w:r>
      <w:proofErr w:type="gramEnd"/>
      <w:r w:rsidR="00990E3C">
        <w:rPr>
          <w:lang w:eastAsia="de-DE" w:bidi="en-US"/>
        </w:rPr>
        <w:t xml:space="preserve"> </w:t>
      </w:r>
      <w:r w:rsidR="00114764">
        <w:rPr>
          <w:lang w:eastAsia="de-DE" w:bidi="en-US"/>
        </w:rPr>
        <w:t>scheduled tasks</w:t>
      </w:r>
      <w:r w:rsidR="00C72A8B">
        <w:rPr>
          <w:lang w:eastAsia="de-DE" w:bidi="en-US"/>
        </w:rPr>
        <w:t>.</w:t>
      </w:r>
      <w:r w:rsidR="00114764">
        <w:rPr>
          <w:lang w:eastAsia="de-DE" w:bidi="en-US"/>
        </w:rPr>
        <w:t xml:space="preserve"> </w:t>
      </w:r>
      <w:r w:rsidR="00C72A8B">
        <w:rPr>
          <w:lang w:eastAsia="de-DE" w:bidi="en-US"/>
        </w:rPr>
        <w:t xml:space="preserve">The </w:t>
      </w:r>
      <w:r w:rsidR="00114764">
        <w:rPr>
          <w:lang w:eastAsia="de-DE" w:bidi="en-US"/>
        </w:rPr>
        <w:t xml:space="preserve">CMO would reference a </w:t>
      </w:r>
      <w:r w:rsidR="00C72A8B">
        <w:rPr>
          <w:lang w:eastAsia="de-DE" w:bidi="en-US"/>
        </w:rPr>
        <w:t xml:space="preserve">database of </w:t>
      </w:r>
      <w:r w:rsidR="00114764">
        <w:rPr>
          <w:lang w:eastAsia="de-DE" w:bidi="en-US"/>
        </w:rPr>
        <w:t>medical protocol</w:t>
      </w:r>
      <w:r w:rsidR="00C72A8B">
        <w:rPr>
          <w:lang w:eastAsia="de-DE" w:bidi="en-US"/>
        </w:rPr>
        <w:t>s</w:t>
      </w:r>
      <w:r w:rsidR="00114764">
        <w:rPr>
          <w:lang w:eastAsia="de-DE" w:bidi="en-US"/>
        </w:rPr>
        <w:t xml:space="preserve"> </w:t>
      </w:r>
      <w:r w:rsidR="00E30AEF">
        <w:rPr>
          <w:lang w:eastAsia="de-DE" w:bidi="en-US"/>
        </w:rPr>
        <w:t xml:space="preserve">for </w:t>
      </w:r>
      <w:r w:rsidR="00AC66EE">
        <w:rPr>
          <w:lang w:eastAsia="de-DE" w:bidi="en-US"/>
        </w:rPr>
        <w:t xml:space="preserve">one that fits the scenario, </w:t>
      </w:r>
      <w:r w:rsidR="00114764">
        <w:rPr>
          <w:lang w:eastAsia="de-DE" w:bidi="en-US"/>
        </w:rPr>
        <w:t>record a message for mission control</w:t>
      </w:r>
      <w:r w:rsidR="00C72A8B">
        <w:rPr>
          <w:lang w:eastAsia="de-DE" w:bidi="en-US"/>
        </w:rPr>
        <w:t>,</w:t>
      </w:r>
      <w:r w:rsidR="00957BA9">
        <w:rPr>
          <w:lang w:eastAsia="de-DE" w:bidi="en-US"/>
        </w:rPr>
        <w:t xml:space="preserve"> </w:t>
      </w:r>
      <w:r w:rsidR="00C72A8B">
        <w:rPr>
          <w:lang w:eastAsia="de-DE" w:bidi="en-US"/>
        </w:rPr>
        <w:t>locate</w:t>
      </w:r>
      <w:r w:rsidR="00957BA9">
        <w:rPr>
          <w:lang w:eastAsia="de-DE" w:bidi="en-US"/>
        </w:rPr>
        <w:t xml:space="preserve"> the injured CMs medical record</w:t>
      </w:r>
      <w:r w:rsidR="00C72A8B">
        <w:rPr>
          <w:lang w:eastAsia="de-DE" w:bidi="en-US"/>
        </w:rPr>
        <w:t xml:space="preserve">s, and read through them </w:t>
      </w:r>
      <w:r w:rsidR="008278F3">
        <w:rPr>
          <w:lang w:eastAsia="de-DE" w:bidi="en-US"/>
        </w:rPr>
        <w:t>for any “red flags</w:t>
      </w:r>
      <w:r w:rsidR="00AC66EE">
        <w:rPr>
          <w:lang w:eastAsia="de-DE" w:bidi="en-US"/>
        </w:rPr>
        <w:t>.</w:t>
      </w:r>
      <w:r w:rsidR="008278F3">
        <w:rPr>
          <w:lang w:eastAsia="de-DE" w:bidi="en-US"/>
        </w:rPr>
        <w:t>”</w:t>
      </w:r>
      <w:r w:rsidR="00E30AEF">
        <w:rPr>
          <w:lang w:eastAsia="de-DE" w:bidi="en-US"/>
        </w:rPr>
        <w:t xml:space="preserve"> </w:t>
      </w:r>
      <w:r w:rsidR="00AC66EE">
        <w:rPr>
          <w:lang w:eastAsia="de-DE" w:bidi="en-US"/>
        </w:rPr>
        <w:t>Depending on the chosen protocol, some diagnostic testing may be missed</w:t>
      </w:r>
      <w:r w:rsidR="008278F3">
        <w:rPr>
          <w:lang w:eastAsia="de-DE" w:bidi="en-US"/>
        </w:rPr>
        <w:t>.</w:t>
      </w:r>
    </w:p>
    <w:p w14:paraId="4B93797F" w14:textId="7A36FAAB" w:rsidR="00E30AEF" w:rsidRDefault="008278F3" w:rsidP="00901A05">
      <w:pPr>
        <w:rPr>
          <w:lang w:eastAsia="de-DE" w:bidi="en-US"/>
        </w:rPr>
      </w:pPr>
      <w:r>
        <w:rPr>
          <w:lang w:eastAsia="de-DE" w:bidi="en-US"/>
        </w:rPr>
        <w:t>When the CMO’s transmission is received, g</w:t>
      </w:r>
      <w:r w:rsidR="00E30AEF">
        <w:rPr>
          <w:lang w:eastAsia="de-DE" w:bidi="en-US"/>
        </w:rPr>
        <w:t>round teams may or may not have</w:t>
      </w:r>
      <w:r w:rsidR="00AC66EE">
        <w:rPr>
          <w:lang w:eastAsia="de-DE" w:bidi="en-US"/>
        </w:rPr>
        <w:t xml:space="preserve"> all the information they need (</w:t>
      </w:r>
      <w:proofErr w:type="gramStart"/>
      <w:r w:rsidR="00AC66EE">
        <w:rPr>
          <w:lang w:eastAsia="de-DE" w:bidi="en-US"/>
        </w:rPr>
        <w:t>e.g.</w:t>
      </w:r>
      <w:proofErr w:type="gramEnd"/>
      <w:r w:rsidR="00AC66EE">
        <w:rPr>
          <w:lang w:eastAsia="de-DE" w:bidi="en-US"/>
        </w:rPr>
        <w:t xml:space="preserve"> the</w:t>
      </w:r>
      <w:r w:rsidR="00E30AEF">
        <w:rPr>
          <w:lang w:eastAsia="de-DE" w:bidi="en-US"/>
        </w:rPr>
        <w:t xml:space="preserve"> ECG and </w:t>
      </w:r>
      <w:r w:rsidR="00501B06">
        <w:rPr>
          <w:lang w:eastAsia="de-DE" w:bidi="en-US"/>
        </w:rPr>
        <w:t>t</w:t>
      </w:r>
      <w:r w:rsidR="00E30AEF">
        <w:rPr>
          <w:lang w:eastAsia="de-DE" w:bidi="en-US"/>
        </w:rPr>
        <w:t>roponin</w:t>
      </w:r>
      <w:r w:rsidR="00DB2305">
        <w:rPr>
          <w:lang w:eastAsia="de-DE" w:bidi="en-US"/>
        </w:rPr>
        <w:t xml:space="preserve"> test results</w:t>
      </w:r>
      <w:r w:rsidR="00AC66EE">
        <w:rPr>
          <w:lang w:eastAsia="de-DE" w:bidi="en-US"/>
        </w:rPr>
        <w:t xml:space="preserve">). Rather than </w:t>
      </w:r>
      <w:r w:rsidR="004947A0">
        <w:rPr>
          <w:lang w:eastAsia="de-DE" w:bidi="en-US"/>
        </w:rPr>
        <w:t>activating on</w:t>
      </w:r>
      <w:r w:rsidR="00D27512">
        <w:rPr>
          <w:lang w:eastAsia="de-DE" w:bidi="en-US"/>
        </w:rPr>
        <w:t>-</w:t>
      </w:r>
      <w:r w:rsidR="004947A0">
        <w:rPr>
          <w:lang w:eastAsia="de-DE" w:bidi="en-US"/>
        </w:rPr>
        <w:t>call specialists and recommending treatment, they may need to request additional testing and provide limited treatment advi</w:t>
      </w:r>
      <w:r w:rsidR="00AE5EAB">
        <w:rPr>
          <w:lang w:eastAsia="de-DE" w:bidi="en-US"/>
        </w:rPr>
        <w:t>c</w:t>
      </w:r>
      <w:r w:rsidR="004947A0">
        <w:rPr>
          <w:lang w:eastAsia="de-DE" w:bidi="en-US"/>
        </w:rPr>
        <w:t xml:space="preserve">e. </w:t>
      </w:r>
      <w:r>
        <w:rPr>
          <w:lang w:eastAsia="de-DE" w:bidi="en-US"/>
        </w:rPr>
        <w:t xml:space="preserve">Depending on perceived severity and available bandwidth, the response may </w:t>
      </w:r>
      <w:r w:rsidR="004947A0">
        <w:rPr>
          <w:lang w:eastAsia="de-DE" w:bidi="en-US"/>
        </w:rPr>
        <w:t>take anywhere from</w:t>
      </w:r>
      <w:r>
        <w:rPr>
          <w:lang w:eastAsia="de-DE" w:bidi="en-US"/>
        </w:rPr>
        <w:t xml:space="preserve"> 45 minutes to several hours </w:t>
      </w:r>
      <w:r w:rsidR="004947A0">
        <w:rPr>
          <w:lang w:eastAsia="de-DE" w:bidi="en-US"/>
        </w:rPr>
        <w:t>to reach the crew</w:t>
      </w:r>
      <w:r>
        <w:rPr>
          <w:lang w:eastAsia="de-DE" w:bidi="en-US"/>
        </w:rPr>
        <w:t>.</w:t>
      </w:r>
    </w:p>
    <w:p w14:paraId="74CC4427" w14:textId="17DD7DAE" w:rsidR="00FF1914" w:rsidRDefault="00957BA9" w:rsidP="00901A05">
      <w:pPr>
        <w:rPr>
          <w:lang w:eastAsia="de-DE" w:bidi="en-US"/>
        </w:rPr>
      </w:pPr>
      <w:r>
        <w:rPr>
          <w:lang w:eastAsia="de-DE" w:bidi="en-US"/>
        </w:rPr>
        <w:t xml:space="preserve">At this point the </w:t>
      </w:r>
      <w:r w:rsidR="00D84E3E">
        <w:rPr>
          <w:lang w:eastAsia="de-DE" w:bidi="en-US"/>
        </w:rPr>
        <w:t xml:space="preserve">patient’s condition </w:t>
      </w:r>
      <w:r w:rsidR="004947A0">
        <w:rPr>
          <w:lang w:eastAsia="de-DE" w:bidi="en-US"/>
        </w:rPr>
        <w:t>is</w:t>
      </w:r>
      <w:r w:rsidR="00D84E3E">
        <w:rPr>
          <w:lang w:eastAsia="de-DE" w:bidi="en-US"/>
        </w:rPr>
        <w:t xml:space="preserve"> deteriorating.</w:t>
      </w:r>
      <w:r>
        <w:rPr>
          <w:lang w:eastAsia="de-DE" w:bidi="en-US"/>
        </w:rPr>
        <w:t xml:space="preserve"> The CMO would</w:t>
      </w:r>
      <w:r w:rsidR="004E6C04">
        <w:rPr>
          <w:lang w:eastAsia="de-DE" w:bidi="en-US"/>
        </w:rPr>
        <w:t xml:space="preserve"> need to </w:t>
      </w:r>
      <w:r w:rsidR="008278F3">
        <w:rPr>
          <w:lang w:eastAsia="de-DE" w:bidi="en-US"/>
        </w:rPr>
        <w:t>reassess the CM</w:t>
      </w:r>
      <w:r w:rsidR="004E6C04">
        <w:rPr>
          <w:lang w:eastAsia="de-DE" w:bidi="en-US"/>
        </w:rPr>
        <w:t>,</w:t>
      </w:r>
      <w:r>
        <w:rPr>
          <w:lang w:eastAsia="de-DE" w:bidi="en-US"/>
        </w:rPr>
        <w:t xml:space="preserve"> </w:t>
      </w:r>
      <w:r w:rsidR="00D84E3E">
        <w:rPr>
          <w:lang w:eastAsia="de-DE" w:bidi="en-US"/>
        </w:rPr>
        <w:t>search</w:t>
      </w:r>
      <w:r>
        <w:rPr>
          <w:lang w:eastAsia="de-DE" w:bidi="en-US"/>
        </w:rPr>
        <w:t xml:space="preserve"> for </w:t>
      </w:r>
      <w:r w:rsidR="004947A0">
        <w:rPr>
          <w:lang w:eastAsia="de-DE" w:bidi="en-US"/>
        </w:rPr>
        <w:t>new</w:t>
      </w:r>
      <w:r>
        <w:rPr>
          <w:lang w:eastAsia="de-DE" w:bidi="en-US"/>
        </w:rPr>
        <w:t xml:space="preserve"> protocols</w:t>
      </w:r>
      <w:r w:rsidR="004E6C04">
        <w:rPr>
          <w:lang w:eastAsia="de-DE" w:bidi="en-US"/>
        </w:rPr>
        <w:t>,</w:t>
      </w:r>
      <w:r w:rsidR="008278F3">
        <w:rPr>
          <w:lang w:eastAsia="de-DE" w:bidi="en-US"/>
        </w:rPr>
        <w:t xml:space="preserve"> </w:t>
      </w:r>
      <w:r w:rsidR="00FF1914">
        <w:rPr>
          <w:lang w:eastAsia="de-DE" w:bidi="en-US"/>
        </w:rPr>
        <w:t xml:space="preserve">choose which to follow, update ground control, </w:t>
      </w:r>
      <w:r w:rsidR="004E6C04">
        <w:rPr>
          <w:lang w:eastAsia="de-DE" w:bidi="en-US"/>
        </w:rPr>
        <w:t>ask other CMs to stop their duties and assist</w:t>
      </w:r>
      <w:r w:rsidR="00FF1914">
        <w:rPr>
          <w:lang w:eastAsia="de-DE" w:bidi="en-US"/>
        </w:rPr>
        <w:t xml:space="preserve">, and </w:t>
      </w:r>
      <w:r w:rsidR="004947A0">
        <w:rPr>
          <w:lang w:eastAsia="de-DE" w:bidi="en-US"/>
        </w:rPr>
        <w:t>monitor for the</w:t>
      </w:r>
      <w:r w:rsidR="00FF1914">
        <w:rPr>
          <w:lang w:eastAsia="de-DE" w:bidi="en-US"/>
        </w:rPr>
        <w:t xml:space="preserve"> ground team</w:t>
      </w:r>
      <w:r w:rsidR="004947A0">
        <w:rPr>
          <w:lang w:eastAsia="de-DE" w:bidi="en-US"/>
        </w:rPr>
        <w:t>’s</w:t>
      </w:r>
      <w:r w:rsidR="00FF1914">
        <w:rPr>
          <w:lang w:eastAsia="de-DE" w:bidi="en-US"/>
        </w:rPr>
        <w:t xml:space="preserve"> response while the patient struggles to breath</w:t>
      </w:r>
      <w:r w:rsidR="006D0C44">
        <w:rPr>
          <w:lang w:eastAsia="de-DE" w:bidi="en-US"/>
        </w:rPr>
        <w:t>e</w:t>
      </w:r>
      <w:r w:rsidR="00FF1914">
        <w:rPr>
          <w:lang w:eastAsia="de-DE" w:bidi="en-US"/>
        </w:rPr>
        <w:t>, and suffers increasing pain</w:t>
      </w:r>
      <w:r w:rsidR="004E6C04">
        <w:rPr>
          <w:lang w:eastAsia="de-DE" w:bidi="en-US"/>
        </w:rPr>
        <w:t xml:space="preserve">. </w:t>
      </w:r>
    </w:p>
    <w:p w14:paraId="73AB3F7B" w14:textId="6B1A67D0" w:rsidR="00106E92" w:rsidRDefault="004947A0" w:rsidP="00901A05">
      <w:pPr>
        <w:rPr>
          <w:lang w:eastAsia="de-DE" w:bidi="en-US"/>
        </w:rPr>
      </w:pPr>
      <w:r>
        <w:rPr>
          <w:lang w:eastAsia="de-DE" w:bidi="en-US"/>
        </w:rPr>
        <w:t>Any new</w:t>
      </w:r>
      <w:r w:rsidR="00FF1914">
        <w:rPr>
          <w:lang w:eastAsia="de-DE" w:bidi="en-US"/>
        </w:rPr>
        <w:t xml:space="preserve"> protocol</w:t>
      </w:r>
      <w:r>
        <w:rPr>
          <w:lang w:eastAsia="de-DE" w:bidi="en-US"/>
        </w:rPr>
        <w:t xml:space="preserve"> for the worsened symptoms</w:t>
      </w:r>
      <w:r w:rsidR="00D84E3E">
        <w:rPr>
          <w:lang w:eastAsia="de-DE" w:bidi="en-US"/>
        </w:rPr>
        <w:t xml:space="preserve"> </w:t>
      </w:r>
      <w:r w:rsidR="004E6C04">
        <w:rPr>
          <w:lang w:eastAsia="de-DE" w:bidi="en-US"/>
        </w:rPr>
        <w:t>w</w:t>
      </w:r>
      <w:r w:rsidR="004325D4">
        <w:rPr>
          <w:lang w:eastAsia="de-DE" w:bidi="en-US"/>
        </w:rPr>
        <w:t>ould</w:t>
      </w:r>
      <w:r w:rsidR="004E6C04">
        <w:rPr>
          <w:lang w:eastAsia="de-DE" w:bidi="en-US"/>
        </w:rPr>
        <w:t xml:space="preserve"> </w:t>
      </w:r>
      <w:r w:rsidR="00EF6CEB">
        <w:rPr>
          <w:lang w:eastAsia="de-DE" w:bidi="en-US"/>
        </w:rPr>
        <w:t>require</w:t>
      </w:r>
      <w:r w:rsidR="004E6C04">
        <w:rPr>
          <w:lang w:eastAsia="de-DE" w:bidi="en-US"/>
        </w:rPr>
        <w:t xml:space="preserve"> a</w:t>
      </w:r>
      <w:r w:rsidR="00D84E3E">
        <w:rPr>
          <w:lang w:eastAsia="de-DE" w:bidi="en-US"/>
        </w:rPr>
        <w:t xml:space="preserve"> broad range of testing and treatment</w:t>
      </w:r>
      <w:r>
        <w:rPr>
          <w:lang w:eastAsia="de-DE" w:bidi="en-US"/>
        </w:rPr>
        <w:t>,</w:t>
      </w:r>
      <w:r w:rsidR="004E6C04">
        <w:rPr>
          <w:lang w:eastAsia="de-DE" w:bidi="en-US"/>
        </w:rPr>
        <w:t xml:space="preserve"> </w:t>
      </w:r>
      <w:r w:rsidR="00AE5EAB">
        <w:rPr>
          <w:lang w:eastAsia="de-DE" w:bidi="en-US"/>
        </w:rPr>
        <w:t>decrementing</w:t>
      </w:r>
      <w:r w:rsidR="004E6C04">
        <w:rPr>
          <w:lang w:eastAsia="de-DE" w:bidi="en-US"/>
        </w:rPr>
        <w:t xml:space="preserve"> limited on</w:t>
      </w:r>
      <w:r w:rsidR="004325D4">
        <w:rPr>
          <w:lang w:eastAsia="de-DE" w:bidi="en-US"/>
        </w:rPr>
        <w:t>-</w:t>
      </w:r>
      <w:r w:rsidR="004E6C04">
        <w:rPr>
          <w:lang w:eastAsia="de-DE" w:bidi="en-US"/>
        </w:rPr>
        <w:t>board resources</w:t>
      </w:r>
      <w:r w:rsidR="00FF1914">
        <w:rPr>
          <w:lang w:eastAsia="de-DE" w:bidi="en-US"/>
        </w:rPr>
        <w:t xml:space="preserve">. </w:t>
      </w:r>
      <w:r w:rsidR="00D84E3E">
        <w:rPr>
          <w:lang w:eastAsia="de-DE" w:bidi="en-US"/>
        </w:rPr>
        <w:t xml:space="preserve">When </w:t>
      </w:r>
      <w:r w:rsidR="00D9458F">
        <w:rPr>
          <w:lang w:eastAsia="de-DE" w:bidi="en-US"/>
        </w:rPr>
        <w:t>advice</w:t>
      </w:r>
      <w:r w:rsidR="00D84E3E">
        <w:rPr>
          <w:lang w:eastAsia="de-DE" w:bidi="en-US"/>
        </w:rPr>
        <w:t xml:space="preserve"> from</w:t>
      </w:r>
      <w:r>
        <w:rPr>
          <w:lang w:eastAsia="de-DE" w:bidi="en-US"/>
        </w:rPr>
        <w:t xml:space="preserve"> the</w:t>
      </w:r>
      <w:r w:rsidR="00D84E3E">
        <w:rPr>
          <w:lang w:eastAsia="de-DE" w:bidi="en-US"/>
        </w:rPr>
        <w:t xml:space="preserve"> ground </w:t>
      </w:r>
      <w:r w:rsidR="00984515">
        <w:rPr>
          <w:lang w:eastAsia="de-DE" w:bidi="en-US"/>
        </w:rPr>
        <w:t xml:space="preserve">is </w:t>
      </w:r>
      <w:r w:rsidR="00D84E3E">
        <w:rPr>
          <w:lang w:eastAsia="de-DE" w:bidi="en-US"/>
        </w:rPr>
        <w:t>received</w:t>
      </w:r>
      <w:r w:rsidR="00FF1914">
        <w:rPr>
          <w:lang w:eastAsia="de-DE" w:bidi="en-US"/>
        </w:rPr>
        <w:t>,</w:t>
      </w:r>
      <w:r w:rsidR="00D84E3E">
        <w:rPr>
          <w:lang w:eastAsia="de-DE" w:bidi="en-US"/>
        </w:rPr>
        <w:t xml:space="preserve"> the CMO w</w:t>
      </w:r>
      <w:r w:rsidR="004325D4">
        <w:rPr>
          <w:lang w:eastAsia="de-DE" w:bidi="en-US"/>
        </w:rPr>
        <w:t>ould</w:t>
      </w:r>
      <w:r w:rsidR="00D84E3E">
        <w:rPr>
          <w:lang w:eastAsia="de-DE" w:bidi="en-US"/>
        </w:rPr>
        <w:t xml:space="preserve"> need to stop patient care</w:t>
      </w:r>
      <w:r w:rsidR="00EF6CEB">
        <w:rPr>
          <w:lang w:eastAsia="de-DE" w:bidi="en-US"/>
        </w:rPr>
        <w:t xml:space="preserve"> and </w:t>
      </w:r>
      <w:r w:rsidR="00957BA9">
        <w:rPr>
          <w:lang w:eastAsia="de-DE" w:bidi="en-US"/>
        </w:rPr>
        <w:t>decide</w:t>
      </w:r>
      <w:r w:rsidR="00D84E3E">
        <w:rPr>
          <w:lang w:eastAsia="de-DE" w:bidi="en-US"/>
        </w:rPr>
        <w:t xml:space="preserve"> </w:t>
      </w:r>
      <w:r w:rsidR="00957BA9">
        <w:rPr>
          <w:lang w:eastAsia="de-DE" w:bidi="en-US"/>
        </w:rPr>
        <w:t xml:space="preserve">whether to </w:t>
      </w:r>
      <w:r w:rsidR="00FF1914">
        <w:rPr>
          <w:lang w:eastAsia="de-DE" w:bidi="en-US"/>
        </w:rPr>
        <w:t xml:space="preserve">follow the </w:t>
      </w:r>
      <w:r w:rsidR="00957BA9">
        <w:rPr>
          <w:lang w:eastAsia="de-DE" w:bidi="en-US"/>
        </w:rPr>
        <w:t>advice</w:t>
      </w:r>
      <w:r w:rsidR="00FF1914">
        <w:rPr>
          <w:lang w:eastAsia="de-DE" w:bidi="en-US"/>
        </w:rPr>
        <w:t xml:space="preserve">, </w:t>
      </w:r>
      <w:r w:rsidR="00EF6CEB">
        <w:rPr>
          <w:lang w:eastAsia="de-DE" w:bidi="en-US"/>
        </w:rPr>
        <w:t xml:space="preserve">their chosen </w:t>
      </w:r>
      <w:r w:rsidR="00957BA9">
        <w:rPr>
          <w:lang w:eastAsia="de-DE" w:bidi="en-US"/>
        </w:rPr>
        <w:t>protocol</w:t>
      </w:r>
      <w:r w:rsidR="00FF1914">
        <w:rPr>
          <w:lang w:eastAsia="de-DE" w:bidi="en-US"/>
        </w:rPr>
        <w:t xml:space="preserve">, or a combination. If combining </w:t>
      </w:r>
      <w:r w:rsidR="009715DD">
        <w:rPr>
          <w:lang w:eastAsia="de-DE" w:bidi="en-US"/>
        </w:rPr>
        <w:t>advice</w:t>
      </w:r>
      <w:r w:rsidR="00FF1914">
        <w:rPr>
          <w:lang w:eastAsia="de-DE" w:bidi="en-US"/>
        </w:rPr>
        <w:t xml:space="preserve">, the CMO </w:t>
      </w:r>
      <w:r w:rsidR="004325D4">
        <w:rPr>
          <w:lang w:eastAsia="de-DE" w:bidi="en-US"/>
        </w:rPr>
        <w:t xml:space="preserve">would </w:t>
      </w:r>
      <w:r w:rsidR="00FF1914">
        <w:rPr>
          <w:lang w:eastAsia="de-DE" w:bidi="en-US"/>
        </w:rPr>
        <w:t xml:space="preserve">need to decide </w:t>
      </w:r>
      <w:r w:rsidR="00EF6CEB">
        <w:rPr>
          <w:lang w:eastAsia="de-DE" w:bidi="en-US"/>
        </w:rPr>
        <w:t>what to do first</w:t>
      </w:r>
      <w:r w:rsidR="00FF1914">
        <w:rPr>
          <w:lang w:eastAsia="de-DE" w:bidi="en-US"/>
        </w:rPr>
        <w:t>.</w:t>
      </w:r>
      <w:r w:rsidR="004E6C04">
        <w:rPr>
          <w:lang w:eastAsia="de-DE" w:bidi="en-US"/>
        </w:rPr>
        <w:t xml:space="preserve"> </w:t>
      </w:r>
      <w:r w:rsidR="00EF6CEB">
        <w:rPr>
          <w:lang w:eastAsia="de-DE" w:bidi="en-US"/>
        </w:rPr>
        <w:t xml:space="preserve">This is a </w:t>
      </w:r>
      <w:proofErr w:type="gramStart"/>
      <w:r w:rsidR="00EF6CEB">
        <w:rPr>
          <w:lang w:eastAsia="de-DE" w:bidi="en-US"/>
        </w:rPr>
        <w:t>life threatening</w:t>
      </w:r>
      <w:proofErr w:type="gramEnd"/>
      <w:r w:rsidR="00EF6CEB">
        <w:rPr>
          <w:lang w:eastAsia="de-DE" w:bidi="en-US"/>
        </w:rPr>
        <w:t xml:space="preserve"> scenario</w:t>
      </w:r>
      <w:r w:rsidR="00505ADD">
        <w:rPr>
          <w:lang w:eastAsia="de-DE" w:bidi="en-US"/>
        </w:rPr>
        <w:t>;</w:t>
      </w:r>
      <w:r w:rsidR="00971738">
        <w:rPr>
          <w:lang w:eastAsia="de-DE" w:bidi="en-US"/>
        </w:rPr>
        <w:t xml:space="preserve"> </w:t>
      </w:r>
      <w:r w:rsidR="00106E92">
        <w:rPr>
          <w:lang w:eastAsia="de-DE" w:bidi="en-US"/>
        </w:rPr>
        <w:t>if these</w:t>
      </w:r>
      <w:r w:rsidR="00EF6CEB">
        <w:rPr>
          <w:lang w:eastAsia="de-DE" w:bidi="en-US"/>
        </w:rPr>
        <w:t xml:space="preserve"> </w:t>
      </w:r>
      <w:r w:rsidR="00D84E3E">
        <w:rPr>
          <w:lang w:eastAsia="de-DE" w:bidi="en-US"/>
        </w:rPr>
        <w:t>decision</w:t>
      </w:r>
      <w:r w:rsidR="00106E92">
        <w:rPr>
          <w:lang w:eastAsia="de-DE" w:bidi="en-US"/>
        </w:rPr>
        <w:t>s</w:t>
      </w:r>
      <w:r w:rsidR="00D84E3E">
        <w:rPr>
          <w:lang w:eastAsia="de-DE" w:bidi="en-US"/>
        </w:rPr>
        <w:t xml:space="preserve"> </w:t>
      </w:r>
      <w:r w:rsidR="00106E92">
        <w:rPr>
          <w:lang w:eastAsia="de-DE" w:bidi="en-US"/>
        </w:rPr>
        <w:t xml:space="preserve">are incorrect, or </w:t>
      </w:r>
      <w:r w:rsidR="00971738">
        <w:rPr>
          <w:lang w:eastAsia="de-DE" w:bidi="en-US"/>
        </w:rPr>
        <w:t>slow</w:t>
      </w:r>
      <w:r w:rsidR="00106E92">
        <w:rPr>
          <w:lang w:eastAsia="de-DE" w:bidi="en-US"/>
        </w:rPr>
        <w:t>,</w:t>
      </w:r>
      <w:r w:rsidR="00D84E3E">
        <w:rPr>
          <w:lang w:eastAsia="de-DE" w:bidi="en-US"/>
        </w:rPr>
        <w:t xml:space="preserve"> </w:t>
      </w:r>
      <w:r w:rsidR="004E6C04">
        <w:rPr>
          <w:lang w:eastAsia="de-DE" w:bidi="en-US"/>
        </w:rPr>
        <w:t>the patient</w:t>
      </w:r>
      <w:r w:rsidR="00971738">
        <w:rPr>
          <w:lang w:eastAsia="de-DE" w:bidi="en-US"/>
        </w:rPr>
        <w:t xml:space="preserve"> </w:t>
      </w:r>
      <w:r w:rsidR="00D84E3E">
        <w:rPr>
          <w:lang w:eastAsia="de-DE" w:bidi="en-US"/>
        </w:rPr>
        <w:t xml:space="preserve">could deteriorate into </w:t>
      </w:r>
      <w:r w:rsidR="004E6C04">
        <w:rPr>
          <w:lang w:eastAsia="de-DE" w:bidi="en-US"/>
        </w:rPr>
        <w:t xml:space="preserve">respiratory distress </w:t>
      </w:r>
      <w:r w:rsidR="00106E92">
        <w:rPr>
          <w:lang w:eastAsia="de-DE" w:bidi="en-US"/>
        </w:rPr>
        <w:t>and die</w:t>
      </w:r>
      <w:r w:rsidR="00FF1914">
        <w:rPr>
          <w:lang w:eastAsia="de-DE" w:bidi="en-US"/>
        </w:rPr>
        <w:t>.</w:t>
      </w:r>
    </w:p>
    <w:p w14:paraId="47EFAB94" w14:textId="108149B7" w:rsidR="00D769DA" w:rsidRPr="0023615B" w:rsidRDefault="006A0B3E" w:rsidP="00586172">
      <w:pPr>
        <w:pStyle w:val="Heading2"/>
        <w:rPr>
          <w:color w:val="auto"/>
        </w:rPr>
      </w:pPr>
      <w:r w:rsidRPr="009E02B5">
        <w:rPr>
          <w:color w:val="auto"/>
        </w:rPr>
        <w:t xml:space="preserve">Conclusion: A </w:t>
      </w:r>
      <w:r w:rsidR="00C41066" w:rsidRPr="009E02B5">
        <w:rPr>
          <w:color w:val="auto"/>
        </w:rPr>
        <w:t>Para</w:t>
      </w:r>
      <w:r w:rsidR="00C41066" w:rsidRPr="009E02B5">
        <w:rPr>
          <w:rStyle w:val="Heading1Char"/>
          <w:color w:val="auto"/>
        </w:rPr>
        <w:t>d</w:t>
      </w:r>
      <w:r w:rsidR="00C41066" w:rsidRPr="009E02B5">
        <w:rPr>
          <w:color w:val="auto"/>
        </w:rPr>
        <w:t>igm Shift</w:t>
      </w:r>
      <w:r w:rsidR="00BF58B4" w:rsidRPr="009E02B5">
        <w:rPr>
          <w:color w:val="auto"/>
        </w:rPr>
        <w:t xml:space="preserve"> from Earth Dependent to Earth Independent Clinical Decision Support</w:t>
      </w:r>
    </w:p>
    <w:p w14:paraId="0E8DC06C" w14:textId="77777777" w:rsidR="004C6942" w:rsidRDefault="00C44ACB" w:rsidP="004C6942">
      <w:r w:rsidRPr="009E02B5">
        <w:rPr>
          <w:lang w:eastAsia="de-DE" w:bidi="en-US"/>
        </w:rPr>
        <w:t xml:space="preserve">The crew of </w:t>
      </w:r>
      <w:r w:rsidRPr="009E02B5">
        <w:t xml:space="preserve">LDEMs </w:t>
      </w:r>
      <w:r w:rsidR="00990E3C">
        <w:t>into deep space must</w:t>
      </w:r>
      <w:r w:rsidR="00990E3C" w:rsidRPr="009E02B5">
        <w:t xml:space="preserve"> </w:t>
      </w:r>
      <w:r w:rsidR="007A1A2C" w:rsidRPr="009E02B5">
        <w:t>operat</w:t>
      </w:r>
      <w:r w:rsidRPr="009E02B5">
        <w:t>e</w:t>
      </w:r>
      <w:r w:rsidR="00CC6193">
        <w:t xml:space="preserve"> more</w:t>
      </w:r>
      <w:r w:rsidR="007A1A2C" w:rsidRPr="009E02B5">
        <w:t xml:space="preserve"> independently</w:t>
      </w:r>
      <w:r w:rsidR="00990E3C">
        <w:t xml:space="preserve"> than in any previous space mission. </w:t>
      </w:r>
      <w:r w:rsidR="00CC6193">
        <w:t>This necessitates</w:t>
      </w:r>
      <w:r w:rsidR="00CC6193" w:rsidRPr="009E02B5">
        <w:t xml:space="preserve"> </w:t>
      </w:r>
      <w:r w:rsidR="000F383C" w:rsidRPr="009E02B5">
        <w:t xml:space="preserve">a shift from the </w:t>
      </w:r>
      <w:r w:rsidR="007A1A2C" w:rsidRPr="009E02B5">
        <w:t xml:space="preserve">current </w:t>
      </w:r>
      <w:r w:rsidR="00332D3D">
        <w:t xml:space="preserve">real-time </w:t>
      </w:r>
      <w:proofErr w:type="gramStart"/>
      <w:r w:rsidR="00D15C7F">
        <w:t>ground-based</w:t>
      </w:r>
      <w:proofErr w:type="gramEnd"/>
      <w:r w:rsidR="00D15C7F">
        <w:t xml:space="preserve"> </w:t>
      </w:r>
      <w:r w:rsidR="000F383C" w:rsidRPr="009E02B5">
        <w:t>MCC</w:t>
      </w:r>
      <w:r w:rsidR="007A1A2C" w:rsidRPr="009E02B5">
        <w:t xml:space="preserve"> </w:t>
      </w:r>
      <w:r w:rsidR="00CD7C5A">
        <w:t>response to</w:t>
      </w:r>
      <w:r w:rsidR="00220FC6" w:rsidRPr="009E02B5">
        <w:t xml:space="preserve"> </w:t>
      </w:r>
      <w:r w:rsidR="00AA3AE8" w:rsidRPr="009E02B5">
        <w:t>medical events</w:t>
      </w:r>
      <w:r w:rsidR="007A1A2C" w:rsidRPr="009E02B5">
        <w:t xml:space="preserve">. </w:t>
      </w:r>
      <w:r w:rsidR="00AA3AE8" w:rsidRPr="009E02B5">
        <w:t xml:space="preserve">Medical </w:t>
      </w:r>
      <w:r w:rsidR="0043369B">
        <w:t>event</w:t>
      </w:r>
      <w:r w:rsidR="00CC6193">
        <w:t xml:space="preserve"> risk</w:t>
      </w:r>
      <w:r w:rsidR="0043369B">
        <w:t xml:space="preserve"> increase</w:t>
      </w:r>
      <w:r w:rsidR="00CC6193">
        <w:t>s</w:t>
      </w:r>
      <w:r w:rsidR="0043369B">
        <w:t xml:space="preserve"> with</w:t>
      </w:r>
      <w:r w:rsidR="002577E0">
        <w:t xml:space="preserve"> longer</w:t>
      </w:r>
      <w:r w:rsidR="007A1A2C" w:rsidRPr="009E02B5">
        <w:t xml:space="preserve"> </w:t>
      </w:r>
      <w:r w:rsidR="00A03921" w:rsidRPr="009E02B5">
        <w:t xml:space="preserve">mission </w:t>
      </w:r>
      <w:r w:rsidR="007A1A2C" w:rsidRPr="009E02B5">
        <w:t>duration</w:t>
      </w:r>
      <w:r w:rsidR="00354480">
        <w:t>, mandating</w:t>
      </w:r>
      <w:r w:rsidR="00911100">
        <w:t xml:space="preserve"> a concomitant </w:t>
      </w:r>
      <w:r w:rsidR="00D15C7F">
        <w:t>increase</w:t>
      </w:r>
      <w:r w:rsidR="00115769">
        <w:t xml:space="preserve"> in </w:t>
      </w:r>
      <w:r w:rsidR="00220FC6" w:rsidRPr="009E02B5">
        <w:t xml:space="preserve">the crews’ </w:t>
      </w:r>
      <w:r w:rsidR="00F75B55">
        <w:t>SoP</w:t>
      </w:r>
      <w:r w:rsidR="001E5840">
        <w:t xml:space="preserve">. </w:t>
      </w:r>
      <w:r w:rsidR="00D208DA" w:rsidRPr="009E02B5">
        <w:t xml:space="preserve">Increasing the </w:t>
      </w:r>
      <w:r w:rsidR="00F75B55">
        <w:t>SoP</w:t>
      </w:r>
      <w:r w:rsidR="00F75B55" w:rsidRPr="009E02B5">
        <w:t xml:space="preserve"> </w:t>
      </w:r>
      <w:r w:rsidR="00D208DA" w:rsidRPr="009E02B5">
        <w:t>of the crew with cognitive assista</w:t>
      </w:r>
      <w:r w:rsidR="006D0C44">
        <w:t>nce</w:t>
      </w:r>
      <w:r w:rsidR="00D208DA" w:rsidRPr="009E02B5">
        <w:t xml:space="preserve"> is a logical step to </w:t>
      </w:r>
      <w:r w:rsidR="00A00B16">
        <w:t>enhance</w:t>
      </w:r>
      <w:r w:rsidR="00A00B16" w:rsidRPr="009E02B5">
        <w:t xml:space="preserve"> </w:t>
      </w:r>
      <w:r w:rsidR="00D208DA" w:rsidRPr="009E02B5">
        <w:t>autonom</w:t>
      </w:r>
      <w:r w:rsidR="004C3F22">
        <w:t>y</w:t>
      </w:r>
      <w:r w:rsidR="006F1BDA">
        <w:t>.</w:t>
      </w:r>
      <w:r w:rsidR="00D208DA" w:rsidRPr="009E02B5">
        <w:t xml:space="preserve"> </w:t>
      </w:r>
      <w:r w:rsidR="00220FC6" w:rsidRPr="009E02B5">
        <w:t xml:space="preserve">The crew </w:t>
      </w:r>
      <w:r w:rsidR="00E765E9">
        <w:t xml:space="preserve">capacity </w:t>
      </w:r>
      <w:r w:rsidR="00220FC6" w:rsidRPr="009E02B5">
        <w:t xml:space="preserve">to perform required tasks on a mission will be dramatically </w:t>
      </w:r>
      <w:r w:rsidR="00C7465A">
        <w:t>increased</w:t>
      </w:r>
      <w:r w:rsidR="00C7465A" w:rsidRPr="009E02B5">
        <w:t xml:space="preserve"> </w:t>
      </w:r>
      <w:r w:rsidR="00220FC6" w:rsidRPr="009E02B5">
        <w:t xml:space="preserve">if medical conditions are detected quickly, diagnosed </w:t>
      </w:r>
      <w:r w:rsidR="00CA7124" w:rsidRPr="009E02B5">
        <w:t>correctly,</w:t>
      </w:r>
      <w:r w:rsidR="00220FC6" w:rsidRPr="009E02B5">
        <w:t xml:space="preserve"> and </w:t>
      </w:r>
      <w:r w:rsidR="00220FC6" w:rsidRPr="009E02B5">
        <w:lastRenderedPageBreak/>
        <w:t xml:space="preserve">treated with a minimum of resources. </w:t>
      </w:r>
      <w:r w:rsidR="000F383C" w:rsidRPr="009E02B5">
        <w:t xml:space="preserve">The gaps in </w:t>
      </w:r>
      <w:r w:rsidR="00F75B55">
        <w:t>SoP</w:t>
      </w:r>
      <w:r w:rsidR="00F75B55" w:rsidRPr="009E02B5">
        <w:t xml:space="preserve"> </w:t>
      </w:r>
      <w:r w:rsidR="00C75475" w:rsidRPr="009E02B5">
        <w:t>for</w:t>
      </w:r>
      <w:r w:rsidR="000F383C" w:rsidRPr="009E02B5">
        <w:t xml:space="preserve"> expert </w:t>
      </w:r>
      <w:r w:rsidR="00C75475" w:rsidRPr="009E02B5">
        <w:t>clinical</w:t>
      </w:r>
      <w:r w:rsidR="000F383C" w:rsidRPr="009E02B5">
        <w:t xml:space="preserve"> practice </w:t>
      </w:r>
      <w:r w:rsidR="00220FC6" w:rsidRPr="009E02B5">
        <w:t xml:space="preserve">across a large conditions list </w:t>
      </w:r>
      <w:r w:rsidR="000F383C" w:rsidRPr="009E02B5">
        <w:t>can be filled with a CDSS to assist the CMO</w:t>
      </w:r>
      <w:r w:rsidR="00EF5C9E">
        <w:t xml:space="preserve"> and crew</w:t>
      </w:r>
      <w:r w:rsidR="000F383C" w:rsidRPr="009E02B5">
        <w:t>.</w:t>
      </w:r>
      <w:r w:rsidR="00F10242" w:rsidRPr="00F10242">
        <w:t xml:space="preserve"> </w:t>
      </w:r>
    </w:p>
    <w:p w14:paraId="7EA1142B" w14:textId="77777777" w:rsidR="004C6942" w:rsidRDefault="004C6942">
      <w:pPr>
        <w:autoSpaceDE/>
        <w:autoSpaceDN/>
        <w:adjustRightInd/>
        <w:spacing w:after="0"/>
        <w:rPr>
          <w:rFonts w:ascii="Palatino Linotype" w:eastAsia="Times New Roman" w:hAnsi="Palatino Linotype" w:cs="Times New Roman"/>
          <w:b/>
          <w:snapToGrid w:val="0"/>
          <w:color w:val="auto"/>
          <w:sz w:val="20"/>
          <w:lang w:eastAsia="de-DE" w:bidi="en-US"/>
        </w:rPr>
      </w:pPr>
      <w:r>
        <w:rPr>
          <w:color w:val="auto"/>
        </w:rPr>
        <w:br w:type="page"/>
      </w:r>
    </w:p>
    <w:p w14:paraId="23353AF5" w14:textId="7C2A5237" w:rsidR="00F10242" w:rsidRDefault="00F10242" w:rsidP="00F10242">
      <w:pPr>
        <w:pStyle w:val="Heading2"/>
        <w:rPr>
          <w:color w:val="auto"/>
        </w:rPr>
      </w:pPr>
      <w:r>
        <w:rPr>
          <w:color w:val="auto"/>
        </w:rPr>
        <w:lastRenderedPageBreak/>
        <w:t>References</w:t>
      </w:r>
    </w:p>
    <w:p w14:paraId="1CA59693" w14:textId="22E2D035" w:rsidR="009A6ACE" w:rsidRPr="009A6ACE" w:rsidRDefault="00F10242" w:rsidP="009A6ACE">
      <w:pPr>
        <w:widowControl w:val="0"/>
        <w:spacing w:after="180"/>
        <w:ind w:left="640" w:hanging="640"/>
        <w:rPr>
          <w:rFonts w:ascii="Calibri" w:hAnsi="Calibri" w:cs="Calibri"/>
          <w:noProof/>
          <w:lang w:val="en-GB"/>
        </w:rPr>
      </w:pPr>
      <w:r>
        <w:rPr>
          <w:lang w:eastAsia="de-DE" w:bidi="en-US"/>
        </w:rPr>
        <w:fldChar w:fldCharType="begin" w:fldLock="1"/>
      </w:r>
      <w:r>
        <w:rPr>
          <w:lang w:eastAsia="de-DE" w:bidi="en-US"/>
        </w:rPr>
        <w:instrText xml:space="preserve">ADDIN Mendeley Bibliography CSL_BIBLIOGRAPHY </w:instrText>
      </w:r>
      <w:r>
        <w:rPr>
          <w:lang w:eastAsia="de-DE" w:bidi="en-US"/>
        </w:rPr>
        <w:fldChar w:fldCharType="separate"/>
      </w:r>
      <w:r w:rsidR="009A6ACE" w:rsidRPr="009A6ACE">
        <w:rPr>
          <w:rFonts w:ascii="Calibri" w:hAnsi="Calibri" w:cs="Calibri"/>
          <w:noProof/>
          <w:lang w:val="en-GB"/>
        </w:rPr>
        <w:t>[1]</w:t>
      </w:r>
      <w:r w:rsidR="009A6ACE" w:rsidRPr="009A6ACE">
        <w:rPr>
          <w:rFonts w:ascii="Calibri" w:hAnsi="Calibri" w:cs="Calibri"/>
          <w:noProof/>
          <w:lang w:val="en-GB"/>
        </w:rPr>
        <w:tab/>
        <w:t>A.G. Lee, T.H. Mader, C.R. Gibson, W. Tarver, P. Rabiei, R.F. Riascos, L.A. Galdamez, T. Brunstetter, Spaceflight associated neuro-ocular syndrome (SANS) and the neuro-ophthalmologic effects of microgravity: a review and an update, NPJ Microgravity. 6 (2020). https://doi.org/10.1038/s41526-020-0097-9.</w:t>
      </w:r>
    </w:p>
    <w:p w14:paraId="178E3B34"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w:t>
      </w:r>
      <w:r w:rsidRPr="009A6ACE">
        <w:rPr>
          <w:rFonts w:ascii="Calibri" w:hAnsi="Calibri" w:cs="Calibri"/>
          <w:noProof/>
          <w:lang w:val="en-GB"/>
        </w:rPr>
        <w:tab/>
        <w:t>D.A. Goodenow-Messman, S.A. Gokoglu, M. Kassemi, J.G. Myers, Numerical characterization of astronaut CaOx renal stone incidence rates to quantify in-flight and post-flight relative risk, NPJ Microgravity. 8 (2022) 1–17. https://doi.org/10.1038/s41526-021-00187-z.</w:t>
      </w:r>
    </w:p>
    <w:p w14:paraId="4681FD67"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[3]</w:t>
      </w:r>
      <w:r w:rsidRPr="009A6ACE">
        <w:rPr>
          <w:rFonts w:ascii="Calibri" w:hAnsi="Calibri" w:cs="Calibri"/>
          <w:noProof/>
          <w:lang w:val="en-GB"/>
        </w:rPr>
        <w:tab/>
        <w:t>M. Stavnichuk, N. Mikolajewicz, T. Corlett, M. Morris, S. V. Komarova, A systematic review and meta-analysis of bone loss in space travelers, NPJ BMicrogravity. 6 (2020). https://doi.org/10.1038/s41526-020-0103-2.</w:t>
      </w:r>
    </w:p>
    <w:p w14:paraId="03E32526"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[4]</w:t>
      </w:r>
      <w:r w:rsidRPr="009A6ACE">
        <w:rPr>
          <w:rFonts w:ascii="Calibri" w:hAnsi="Calibri" w:cs="Calibri"/>
          <w:noProof/>
          <w:lang w:val="en-GB"/>
        </w:rPr>
        <w:tab/>
        <w:t>R.S. Blue, L.M. Bridge, N.G. Chough, J. Cushman, M. Khpal, S. Watkins, Identification of medical training methods for exploration missions, 2014. https://ntrs.nasa.gov/api/citations/20130013532/downloads/20130013532_Final.pdf.</w:t>
      </w:r>
    </w:p>
    <w:p w14:paraId="3C14D648"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[5]</w:t>
      </w:r>
      <w:r w:rsidRPr="009A6ACE">
        <w:rPr>
          <w:rFonts w:ascii="Calibri" w:hAnsi="Calibri" w:cs="Calibri"/>
          <w:noProof/>
          <w:lang w:val="en-GB"/>
        </w:rPr>
        <w:tab/>
        <w:t>M. Krihak, D. Ph, C. Middour, E. Antonsen, D. Ph, Communication bandwidth considerations for exploration medical care during space missions, (2019). https://ntrs.nasa.gov/citations/20200001702.</w:t>
      </w:r>
    </w:p>
    <w:p w14:paraId="066D59D5"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[6]</w:t>
      </w:r>
      <w:r w:rsidRPr="009A6ACE">
        <w:rPr>
          <w:rFonts w:ascii="Calibri" w:hAnsi="Calibri" w:cs="Calibri"/>
          <w:noProof/>
          <w:lang w:val="en-GB"/>
        </w:rPr>
        <w:tab/>
        <w:t>M. Fernandes, S.M. Vieira, F. Leite, C. Palos, S. Finkelstein, J.M.C. Sousa, Clinical decision support systems for triage in the emergency department using intelligent systems: a review, Artif. Intell. Med. 102 (2020) 101762. https://doi.org/10.1016/j.artmed.2019.101762.</w:t>
      </w:r>
    </w:p>
    <w:p w14:paraId="2C1BF368"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[7]</w:t>
      </w:r>
      <w:r w:rsidRPr="009A6ACE">
        <w:rPr>
          <w:rFonts w:ascii="Calibri" w:hAnsi="Calibri" w:cs="Calibri"/>
          <w:noProof/>
          <w:lang w:val="en-GB"/>
        </w:rPr>
        <w:tab/>
        <w:t>D.G. Sward, B.L. Bennet, Wilderness medicine, World J. Emerg. Med. 5 (2014) 5–15. https://doi.org/10.3928/19382359-20210514-01.</w:t>
      </w:r>
    </w:p>
    <w:p w14:paraId="4755AB02"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[8]</w:t>
      </w:r>
      <w:r w:rsidRPr="009A6ACE">
        <w:rPr>
          <w:rFonts w:ascii="Calibri" w:hAnsi="Calibri" w:cs="Calibri"/>
          <w:noProof/>
          <w:lang w:val="en-GB"/>
        </w:rPr>
        <w:tab/>
        <w:t>T.E. Schlotman, K.R. Lehnhardt, A.F. Abercromby, B.D. Easter, M.E. Downs, L.T.C.K.S. Akers, V.A. Convertino, Bridging the gap between military prolonged field care monitoring and exploration spaceflight: The compensatory reserve, NPJ Microgravity. 5 (2019) 1–11. https://doi.org/10.1038/s41526-019-0089-9.</w:t>
      </w:r>
    </w:p>
    <w:p w14:paraId="3C8E377B"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[9]</w:t>
      </w:r>
      <w:r w:rsidRPr="009A6ACE">
        <w:rPr>
          <w:rFonts w:ascii="Calibri" w:hAnsi="Calibri" w:cs="Calibri"/>
          <w:noProof/>
          <w:lang w:val="en-GB"/>
        </w:rPr>
        <w:tab/>
        <w:t>C.P. Dolan, M.S. Valerio, W.L. Childers, S.M. Goldman, D.C. L., Prolonged field care for traumatic extremity injuries: Defining a role for biologically focused technologies, NPJ Regen. Med. 6 (2021) 1–4. https://doi.org/https://doi.org/10.1038/s41536-020-00117-9.</w:t>
      </w:r>
    </w:p>
    <w:p w14:paraId="36F335A9"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[10]</w:t>
      </w:r>
      <w:r w:rsidRPr="009A6ACE">
        <w:rPr>
          <w:rFonts w:ascii="Calibri" w:hAnsi="Calibri" w:cs="Calibri"/>
          <w:noProof/>
          <w:lang w:val="en-GB"/>
        </w:rPr>
        <w:tab/>
        <w:t>A. Awaysheh, J. Wilcke, F. Elvinger, L. Rees, W. Fan, K.L. Zimmerman, Review of medical decision support and machine-learning methods, Vet. Pathol. 56 (2019) 512–525. https://doi.org/10.1177/0300985819829524.</w:t>
      </w:r>
    </w:p>
    <w:p w14:paraId="2B5E7547"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[11]</w:t>
      </w:r>
      <w:r w:rsidRPr="009A6ACE">
        <w:rPr>
          <w:rFonts w:ascii="Calibri" w:hAnsi="Calibri" w:cs="Calibri"/>
          <w:noProof/>
          <w:lang w:val="en-GB"/>
        </w:rPr>
        <w:tab/>
        <w:t>C.J. Harrison, C.J. Sidey-Gibbons, Machine learning in medicine: a practical introduction to natural language processing, BMC Med. Res. Methodol. 21 (2021) 1–18. https://doi.org/10.1186/s12874-021-01347-1.</w:t>
      </w:r>
    </w:p>
    <w:p w14:paraId="61C5F94F"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[12]</w:t>
      </w:r>
      <w:r w:rsidRPr="009A6ACE">
        <w:rPr>
          <w:rFonts w:ascii="Calibri" w:hAnsi="Calibri" w:cs="Calibri"/>
          <w:noProof/>
          <w:lang w:val="en-GB"/>
        </w:rPr>
        <w:tab/>
        <w:t>J. Varghese, M. Kleine, S.I. Gessner, S. Sandmann, M. Dugas, Effects of computerized decision support system implementations on patient outcomes in inpatient care: a systematic review, J. Am. Med. Informatics Assoc. 25 (2018) 593–602. https://doi.org/10.1093/jamia/ocx100.</w:t>
      </w:r>
    </w:p>
    <w:p w14:paraId="02FA47B6"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[13]</w:t>
      </w:r>
      <w:r w:rsidRPr="009A6ACE">
        <w:rPr>
          <w:rFonts w:ascii="Calibri" w:hAnsi="Calibri" w:cs="Calibri"/>
          <w:noProof/>
          <w:lang w:val="en-GB"/>
        </w:rPr>
        <w:tab/>
        <w:t>E.J. Topol, Review Article | FOCUS human and artificial intelligence, Nat. Med. 25 (2019). http://dx.doi.org/10.1038/s41591-018-0300-7.</w:t>
      </w:r>
    </w:p>
    <w:p w14:paraId="569DB5D5"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[14]</w:t>
      </w:r>
      <w:r w:rsidRPr="009A6ACE">
        <w:rPr>
          <w:rFonts w:ascii="Calibri" w:hAnsi="Calibri" w:cs="Calibri"/>
          <w:noProof/>
          <w:lang w:val="en-GB"/>
        </w:rPr>
        <w:tab/>
        <w:t>L. Yan, T. Reese, S.D. Nelson, A Narrative Review of Clinical Decision Support for Inpatient Clinical Pharmacists, Appl. Clin. Inform. 12 (2021) 199–207. https://doi.org/10.1055/s-0041-1722916.</w:t>
      </w:r>
    </w:p>
    <w:p w14:paraId="7B55865E"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lastRenderedPageBreak/>
        <w:t>[15]</w:t>
      </w:r>
      <w:r w:rsidRPr="009A6ACE">
        <w:rPr>
          <w:rFonts w:ascii="Calibri" w:hAnsi="Calibri" w:cs="Calibri"/>
          <w:noProof/>
          <w:lang w:val="en-GB"/>
        </w:rPr>
        <w:tab/>
        <w:t>P. Jia, L. Zhang, J. Chen, P. Zhao, M. Zhang, The effects of clinical decision support systems on medication safety: An overview, PLoS One. 11 (2016) 1–17. https://doi.org/10.1371/journal.pone.0167683.</w:t>
      </w:r>
    </w:p>
    <w:p w14:paraId="1B10BAC3"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[16]</w:t>
      </w:r>
      <w:r w:rsidRPr="009A6ACE">
        <w:rPr>
          <w:rFonts w:ascii="Calibri" w:hAnsi="Calibri" w:cs="Calibri"/>
          <w:noProof/>
          <w:lang w:val="en-GB"/>
        </w:rPr>
        <w:tab/>
        <w:t>E.G. Poon, C.A. Keohane, C.S. Yoon, M. Ditmore, A. Bane, O. Levtzion-Korach, T. Moniz, J.M. Rothschild, A.B. Kachalia, J. Hayes, W.W. Churchill, S. Lipsitz, A.D. Whittemore, D.W. Bates, T.K. Gandhi, Effect of bar-code technology on the safety of medication administration, Obstet. Gynecol. Surv. 65 (2010) 629–630. https://doi.org/10.1097/OGX.0b013e3182021fe9.</w:t>
      </w:r>
    </w:p>
    <w:p w14:paraId="6BD992FE"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[17]</w:t>
      </w:r>
      <w:r w:rsidRPr="009A6ACE">
        <w:rPr>
          <w:rFonts w:ascii="Calibri" w:hAnsi="Calibri" w:cs="Calibri"/>
          <w:noProof/>
          <w:lang w:val="en-GB"/>
        </w:rPr>
        <w:tab/>
        <w:t>R.T. Sutton, An overview of clinical decision support systems: benefits , risks , and strategies for success, NPJ Digit. Med. (2020) 1–10. https://ntrs.nasa.gov/citations/20200001702.</w:t>
      </w:r>
    </w:p>
    <w:p w14:paraId="14E91768"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[18]</w:t>
      </w:r>
      <w:r w:rsidRPr="009A6ACE">
        <w:rPr>
          <w:rFonts w:ascii="Calibri" w:hAnsi="Calibri" w:cs="Calibri"/>
          <w:noProof/>
          <w:lang w:val="en-GB"/>
        </w:rPr>
        <w:tab/>
        <w:t>P. Peris-Lopez, A. Orfila, A. Mitrokotsa, J.C.A. van der Lubbe, A comprehensive RFID solution to enhance inpatient medication safety, Int. J. Med. Inform. 80 (2011) 13–24. https://doi.org/10.1016/j.ijmedinf.2010.10.008.</w:t>
      </w:r>
    </w:p>
    <w:p w14:paraId="4D33B172"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[19]</w:t>
      </w:r>
      <w:r w:rsidRPr="009A6ACE">
        <w:rPr>
          <w:rFonts w:ascii="Calibri" w:hAnsi="Calibri" w:cs="Calibri"/>
          <w:noProof/>
          <w:lang w:val="en-GB"/>
        </w:rPr>
        <w:tab/>
        <w:t>W.C. Holland, B. Nath, F. Li, K. Maciejewski, H. Paek, J. Dziura, H. Rajeevan, C.C. Lu, L. Katsovich, G. D’Onofrio, E.R. Melnick, Interrupted time series of user-centered clinical decision support implementation for emergency department–initiated buprenorphine for opioid use disorder, Acad. Emerg. Med. 27 (2020) 753–763. https://doi.org/10.1111/acem.14002.</w:t>
      </w:r>
    </w:p>
    <w:p w14:paraId="532B32E3"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[20]</w:t>
      </w:r>
      <w:r w:rsidRPr="009A6ACE">
        <w:rPr>
          <w:rFonts w:ascii="Calibri" w:hAnsi="Calibri" w:cs="Calibri"/>
          <w:noProof/>
          <w:lang w:val="en-GB"/>
        </w:rPr>
        <w:tab/>
        <w:t>J. Babione, W. Ocampo, S. Haubrich, Co. Yang, T. Zuk, J. Kaufman, S. Carpendale, W. Ghali, G. Altabbaa, International Journal of Medical Informatics Erratum to “ Human-centred design processes for clinical decision support :, Int. J. Med. Inform. 148 (2020).</w:t>
      </w:r>
    </w:p>
    <w:p w14:paraId="3B4C0B74"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[21]</w:t>
      </w:r>
      <w:r w:rsidRPr="009A6ACE">
        <w:rPr>
          <w:rFonts w:ascii="Calibri" w:hAnsi="Calibri" w:cs="Calibri"/>
          <w:noProof/>
          <w:lang w:val="en-GB"/>
        </w:rPr>
        <w:tab/>
        <w:t>J. Kahn, C.T. Liverman, M.A. Mccoy, Health standards for long duration and exploration spaceflights, 2014. http://www.nap.edu/catalog.php?record_id=18576.</w:t>
      </w:r>
    </w:p>
    <w:p w14:paraId="6F602493"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[22]</w:t>
      </w:r>
      <w:r w:rsidRPr="009A6ACE">
        <w:rPr>
          <w:rFonts w:ascii="Calibri" w:hAnsi="Calibri" w:cs="Calibri"/>
          <w:noProof/>
          <w:lang w:val="en-GB"/>
        </w:rPr>
        <w:tab/>
        <w:t>E.L. Antonsen, J.G. Myers, Estimating medical risk in human space flight, NPJ Microgravity. 8 (2022) 1–8. https://doi.org/10.1038/s41526-022-00193-9.</w:t>
      </w:r>
    </w:p>
    <w:p w14:paraId="56680786"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[23]</w:t>
      </w:r>
      <w:r w:rsidRPr="009A6ACE">
        <w:rPr>
          <w:rFonts w:ascii="Calibri" w:hAnsi="Calibri" w:cs="Calibri"/>
          <w:noProof/>
          <w:lang w:val="en-GB"/>
        </w:rPr>
        <w:tab/>
        <w:t>M. Johnson, A.H. Vera, No Ai is an island: The case for teaming intelligence, AI Mag. 40 (2019) 16–28. https://doi.org/10.1609/aimag.v40i1.2842.</w:t>
      </w:r>
    </w:p>
    <w:p w14:paraId="6FF57DB6"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[24]</w:t>
      </w:r>
      <w:r w:rsidRPr="009A6ACE">
        <w:rPr>
          <w:rFonts w:ascii="Calibri" w:hAnsi="Calibri" w:cs="Calibri"/>
          <w:noProof/>
          <w:lang w:val="en-GB"/>
        </w:rPr>
        <w:tab/>
        <w:t>E.E. Flynn-Evans, L.K. Barger, A.A. Kubey, J.P. Sullivan, C.A. Czeisler, Circadian misalignment affects sleep and medication use before and during spaceflight, Npj Microgravity. 2 (2016) 1–6. https://doi.org/10.1038/npjmgrav.2015.19.</w:t>
      </w:r>
    </w:p>
    <w:p w14:paraId="37E4ADBF"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[25]</w:t>
      </w:r>
      <w:r w:rsidRPr="009A6ACE">
        <w:rPr>
          <w:rFonts w:ascii="Calibri" w:hAnsi="Calibri" w:cs="Calibri"/>
          <w:noProof/>
          <w:lang w:val="en-GB"/>
        </w:rPr>
        <w:tab/>
        <w:t>R.R. Scully, M. Basner, J. Nasrini, C. wing Lam, E. Hermosillo, R.C. Gur, T. Moore, D.J. Alexander, U. Satish, V.E. Ryder, Effects of acute exposures to carbon dioxide on decision making and cognition in astronaut-like subjects, NPJ Microgravity. 5 (2019). https://doi.org/10.1038/s41526-019-0071-6.</w:t>
      </w:r>
    </w:p>
    <w:p w14:paraId="5AEA5153"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[26]</w:t>
      </w:r>
      <w:r w:rsidRPr="009A6ACE">
        <w:rPr>
          <w:rFonts w:ascii="Calibri" w:hAnsi="Calibri" w:cs="Calibri"/>
          <w:noProof/>
          <w:lang w:val="en-GB"/>
        </w:rPr>
        <w:tab/>
        <w:t>M. Krihak, B. Schmitt, J. Noel, S. Winther, W. Toscano, J. Bardina, S. Shetye, T. Shaw, Medical data architecture platform and recommended requirements for a medical data system for exploration missions, in: NASA Hum. Res. Progr. Investig. Work Shop, Glaverston, USA, 2020. https://ntrs.nasa.gov/search.jsp?R=20200000569.</w:t>
      </w:r>
    </w:p>
    <w:p w14:paraId="6A3ECE4B"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[27]</w:t>
      </w:r>
      <w:r w:rsidRPr="009A6ACE">
        <w:rPr>
          <w:rFonts w:ascii="Calibri" w:hAnsi="Calibri" w:cs="Calibri"/>
          <w:noProof/>
          <w:lang w:val="en-GB"/>
        </w:rPr>
        <w:tab/>
        <w:t>T. Fong, Autonomous systems NASA capability overview, (2018) 1–26. https://www.nasa.gov/sites/default/files/atoms/files/nac_tie_aug2018_tfong_tagged.pdf.</w:t>
      </w:r>
    </w:p>
    <w:p w14:paraId="067CF7BB"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lastRenderedPageBreak/>
        <w:t>[28]</w:t>
      </w:r>
      <w:r w:rsidRPr="009A6ACE">
        <w:rPr>
          <w:rFonts w:ascii="Calibri" w:hAnsi="Calibri" w:cs="Calibri"/>
          <w:noProof/>
          <w:lang w:val="en-GB"/>
        </w:rPr>
        <w:tab/>
        <w:t>B. Easter, Medical risks and capabilities for human exploration spaceflight, (2019). https://ntrs.nasa.gov/api/citations/20190025249/downloads/20190025249.pdf.</w:t>
      </w:r>
    </w:p>
    <w:p w14:paraId="0338644E" w14:textId="10B2F485"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[29]</w:t>
      </w:r>
      <w:r w:rsidRPr="009A6ACE">
        <w:rPr>
          <w:rFonts w:ascii="Calibri" w:hAnsi="Calibri" w:cs="Calibri"/>
          <w:noProof/>
          <w:lang w:val="en-GB"/>
        </w:rPr>
        <w:tab/>
        <w:t xml:space="preserve">J. Hinkelbein, </w:t>
      </w:r>
      <w:r w:rsidR="00295476">
        <w:rPr>
          <w:rFonts w:ascii="Calibri" w:hAnsi="Calibri" w:cs="Calibri"/>
          <w:noProof/>
          <w:lang w:val="en-GB"/>
        </w:rPr>
        <w:t>et al,</w:t>
      </w:r>
      <w:r w:rsidRPr="009A6ACE">
        <w:rPr>
          <w:rFonts w:ascii="Calibri" w:hAnsi="Calibri" w:cs="Calibri"/>
          <w:noProof/>
          <w:lang w:val="en-GB"/>
        </w:rPr>
        <w:t xml:space="preserve"> Cardiopulmonary resuscitation (CPR) during spaceflight - a guideline for CPR in microgravity from the German Society of Aerospace Medicine (DGLRM) and the European Society of Aerospace Medicine Space Medicine Group (ESAM-SMG), Scand. J. Trauma. Resusc. Emerg. Med. 28 (2020) 1–18. https://doi.org/10.1186/s13049-020-00793-y.</w:t>
      </w:r>
    </w:p>
    <w:p w14:paraId="256CADA0"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[30]</w:t>
      </w:r>
      <w:r w:rsidRPr="009A6ACE">
        <w:rPr>
          <w:rFonts w:ascii="Calibri" w:hAnsi="Calibri" w:cs="Calibri"/>
          <w:noProof/>
          <w:lang w:val="en-GB"/>
        </w:rPr>
        <w:tab/>
        <w:t>B. Russell, A. Mcdaid, W. Toscano, P. Hume, Predicting fatigue in long duration mountain events with a single sensor and deep learning model, Sensors. 21 (2021). https://doi.org/10.3390/s21165.</w:t>
      </w:r>
    </w:p>
    <w:p w14:paraId="554D89D3"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[31]</w:t>
      </w:r>
      <w:r w:rsidRPr="009A6ACE">
        <w:rPr>
          <w:rFonts w:ascii="Calibri" w:hAnsi="Calibri" w:cs="Calibri"/>
          <w:noProof/>
          <w:lang w:val="en-GB"/>
        </w:rPr>
        <w:tab/>
        <w:t>V. Parekh, D. Shah, M. Shah, Fatigue Detection Using Artificial Intelligence Framework, Augment. Hum. Res. 5 (2020). https://doi.org/10.1007/s41133-019-0023-4.</w:t>
      </w:r>
    </w:p>
    <w:p w14:paraId="1AAD4510"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[32]</w:t>
      </w:r>
      <w:r w:rsidRPr="009A6ACE">
        <w:rPr>
          <w:rFonts w:ascii="Calibri" w:hAnsi="Calibri" w:cs="Calibri"/>
          <w:noProof/>
          <w:lang w:val="en-GB"/>
        </w:rPr>
        <w:tab/>
        <w:t>T. Thim, N.H.V. Krarup, E.L. Grove, C.V. Rohde, B. Lofgren, Initial assessment and treatment with the Airway, Breathing, Circulation, Disability, Exposure (ABCDE) approach, Int. J. Gen. Med. 5 (2012) 117–121. https://doi.org/10.2147/IJGM.S28478.</w:t>
      </w:r>
    </w:p>
    <w:p w14:paraId="043F2F63"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[33]</w:t>
      </w:r>
      <w:r w:rsidRPr="009A6ACE">
        <w:rPr>
          <w:rFonts w:ascii="Calibri" w:hAnsi="Calibri" w:cs="Calibri"/>
          <w:noProof/>
          <w:lang w:val="en-GB"/>
        </w:rPr>
        <w:tab/>
        <w:t>B.L. Beard, B.K. Russell, M. Krihak, B.K. Burian, J. Noel, T. Shaw, D. Pletcher, K. Martin, Supporting crew medical decisions on deep space missions : A real-time performance monitoring capability, in: Int. Assoc. Adv. Sapce Saf., IAASS, California, USA, 2021. http://iaassconference2021.space-safety.org.</w:t>
      </w:r>
    </w:p>
    <w:p w14:paraId="0709A1C4" w14:textId="77777777" w:rsidR="009A6ACE" w:rsidRPr="009A6ACE" w:rsidRDefault="009A6ACE" w:rsidP="009A6ACE">
      <w:pPr>
        <w:widowControl w:val="0"/>
        <w:spacing w:after="180"/>
        <w:ind w:left="640" w:hanging="640"/>
        <w:rPr>
          <w:rFonts w:ascii="Calibri" w:hAnsi="Calibri" w:cs="Calibri"/>
          <w:noProof/>
          <w:lang w:val="en-GB"/>
        </w:rPr>
      </w:pPr>
      <w:r w:rsidRPr="009A6ACE">
        <w:rPr>
          <w:rFonts w:ascii="Calibri" w:hAnsi="Calibri" w:cs="Calibri"/>
          <w:noProof/>
          <w:lang w:val="en-GB"/>
        </w:rPr>
        <w:t>[34]</w:t>
      </w:r>
      <w:r w:rsidRPr="009A6ACE">
        <w:rPr>
          <w:rFonts w:ascii="Calibri" w:hAnsi="Calibri" w:cs="Calibri"/>
          <w:noProof/>
          <w:lang w:val="en-GB"/>
        </w:rPr>
        <w:tab/>
        <w:t>McPhee, Human health and performance risks of space exploration missions, in: 2009. https://humanresearchroadmap.nasa.gov/Evidence/reports/EvidenceBook.pdf.</w:t>
      </w:r>
    </w:p>
    <w:p w14:paraId="178F838B" w14:textId="77777777" w:rsidR="009A6ACE" w:rsidRPr="009A6ACE" w:rsidRDefault="009A6ACE" w:rsidP="009A6ACE">
      <w:pPr>
        <w:widowControl w:val="0"/>
        <w:spacing w:after="180"/>
        <w:ind w:left="640" w:hanging="640"/>
        <w:rPr>
          <w:rFonts w:ascii="Calibri" w:hAnsi="Calibri" w:cs="Calibri"/>
          <w:noProof/>
        </w:rPr>
      </w:pPr>
      <w:r w:rsidRPr="009A6ACE">
        <w:rPr>
          <w:rFonts w:ascii="Calibri" w:hAnsi="Calibri" w:cs="Calibri"/>
          <w:noProof/>
          <w:lang w:val="en-GB"/>
        </w:rPr>
        <w:t>[35]</w:t>
      </w:r>
      <w:r w:rsidRPr="009A6ACE">
        <w:rPr>
          <w:rFonts w:ascii="Calibri" w:hAnsi="Calibri" w:cs="Calibri"/>
          <w:noProof/>
          <w:lang w:val="en-GB"/>
        </w:rPr>
        <w:tab/>
        <w:t>D. Levin, NASA 2021 HRP-48036 Methods for Creating Clinical Evidence Library.pdf, 2021.</w:t>
      </w:r>
    </w:p>
    <w:p w14:paraId="385462FE" w14:textId="77B62CD5" w:rsidR="00A92CEE" w:rsidRDefault="00F10242" w:rsidP="009A6ACE">
      <w:pPr>
        <w:widowControl w:val="0"/>
        <w:spacing w:after="180"/>
        <w:ind w:left="640" w:hanging="640"/>
        <w:rPr>
          <w:lang w:eastAsia="de-DE" w:bidi="en-US"/>
        </w:rPr>
      </w:pPr>
      <w:r>
        <w:rPr>
          <w:lang w:eastAsia="de-DE" w:bidi="en-US"/>
        </w:rPr>
        <w:fldChar w:fldCharType="end"/>
      </w:r>
    </w:p>
    <w:p w14:paraId="42D2838E" w14:textId="77777777" w:rsidR="00A92CEE" w:rsidRDefault="00A92CEE">
      <w:pPr>
        <w:autoSpaceDE/>
        <w:autoSpaceDN/>
        <w:adjustRightInd/>
        <w:spacing w:after="0"/>
        <w:rPr>
          <w:lang w:eastAsia="de-DE" w:bidi="en-US"/>
        </w:rPr>
      </w:pPr>
      <w:r>
        <w:rPr>
          <w:lang w:eastAsia="de-DE" w:bidi="en-US"/>
        </w:rPr>
        <w:br w:type="page"/>
      </w:r>
    </w:p>
    <w:p w14:paraId="759E510B" w14:textId="77777777" w:rsidR="0075562E" w:rsidRDefault="0075562E" w:rsidP="00A32873">
      <w:pPr>
        <w:widowControl w:val="0"/>
        <w:spacing w:after="180"/>
        <w:ind w:left="640" w:hanging="640"/>
        <w:rPr>
          <w:rFonts w:ascii="Palatino Linotype" w:eastAsia="Times New Roman" w:hAnsi="Palatino Linotype" w:cs="Times New Roman"/>
          <w:b/>
          <w:snapToGrid w:val="0"/>
          <w:color w:val="000000"/>
          <w:sz w:val="20"/>
          <w:lang w:eastAsia="de-DE" w:bidi="en-US"/>
        </w:rPr>
      </w:pPr>
    </w:p>
    <w:p w14:paraId="7BA1D72F" w14:textId="176928F1" w:rsidR="008011E6" w:rsidRPr="000245FB" w:rsidRDefault="00916BB1" w:rsidP="00F74762">
      <w:pPr>
        <w:pStyle w:val="Heading1"/>
      </w:pPr>
      <w:r>
        <w:t>Appendix</w:t>
      </w:r>
      <w:r w:rsidR="008011E6">
        <w:t xml:space="preserve"> A</w:t>
      </w:r>
      <w:r>
        <w:t xml:space="preserve">: Quantifying the </w:t>
      </w:r>
      <w:r w:rsidRPr="009E02B5">
        <w:t>Benefit</w:t>
      </w:r>
      <w:r>
        <w:t>s</w:t>
      </w:r>
      <w:r w:rsidRPr="009E02B5">
        <w:t xml:space="preserve"> of a CDSS in LDEM</w:t>
      </w:r>
    </w:p>
    <w:p w14:paraId="3F855C84" w14:textId="24C1DBFE" w:rsidR="008011E6" w:rsidRPr="00DC7DC4" w:rsidRDefault="008011E6" w:rsidP="008011E6">
      <w:pPr>
        <w:rPr>
          <w:color w:val="auto"/>
        </w:rPr>
      </w:pPr>
      <w:r>
        <w:rPr>
          <w:lang w:eastAsia="de-DE" w:bidi="en-US"/>
        </w:rPr>
        <w:t xml:space="preserve">The analysis described below </w:t>
      </w:r>
      <w:r w:rsidR="00041B40">
        <w:rPr>
          <w:lang w:eastAsia="de-DE" w:bidi="en-US"/>
        </w:rPr>
        <w:t>suggests</w:t>
      </w:r>
      <w:r>
        <w:rPr>
          <w:lang w:eastAsia="de-DE" w:bidi="en-US"/>
        </w:rPr>
        <w:t xml:space="preserve"> an estimate of how </w:t>
      </w:r>
      <w:r w:rsidR="0075562E">
        <w:rPr>
          <w:color w:val="auto"/>
        </w:rPr>
        <w:t xml:space="preserve">SoP levels </w:t>
      </w:r>
      <w:r>
        <w:rPr>
          <w:color w:val="auto"/>
        </w:rPr>
        <w:t xml:space="preserve">might reduce LDEM medical risk using data from </w:t>
      </w:r>
      <w:r w:rsidRPr="009E02B5">
        <w:rPr>
          <w:color w:val="auto"/>
        </w:rPr>
        <w:t xml:space="preserve">NASA’s </w:t>
      </w:r>
      <w:r>
        <w:rPr>
          <w:color w:val="auto"/>
        </w:rPr>
        <w:t xml:space="preserve">Informing Mission Planning via Analysis of Complex Trade-spaces Medical Database project (IMPACT-MD) </w:t>
      </w:r>
      <w:r w:rsidRPr="009E02B5">
        <w:rPr>
          <w:color w:val="auto"/>
        </w:rPr>
        <w:fldChar w:fldCharType="begin" w:fldLock="1"/>
      </w:r>
      <w:r w:rsidR="00D90B4A">
        <w:rPr>
          <w:color w:val="auto"/>
        </w:rPr>
        <w:instrText>ADDIN CSL_CITATION {"citationItems":[{"id":"ITEM-1","itemData":{"author":[{"dropping-particle":"","family":"McPhee","given":"","non-dropping-particle":"","parse-names":false,"suffix":""}],"id":"ITEM-1","issued":{"date-parts":[["2009"]]},"title":"Human health and performance risks of space exploration missions","type":"chapter"},"uris":["http://www.mendeley.com/documents/?uuid=2b553b12-e03f-4f77-aeeb-e031e12e01d8"]},{"id":"ITEM-2","itemData":{"author":[{"dropping-particle":"","family":"Levin","given":"Dana","non-dropping-particle":"","parse-names":false,"suffix":""}],"id":"ITEM-2","issued":{"date-parts":[["2021"]]},"title":"NASA 2021 HRP-48036 Methods for Creating Clinical Evidence Library.pdf","type":"legislation"},"uris":["http://www.mendeley.com/documents/?uuid=cebdaf6d-00c9-44a8-b160-bc1a5ba55c5e"]}],"mendeley":{"formattedCitation":"[34,35]","plainTextFormattedCitation":"[34,35]","previouslyFormattedCitation":"[34,35]"},"properties":{"noteIndex":0},"schema":"https://github.com/citation-style-language/schema/raw/master/csl-citation.json"}</w:instrText>
      </w:r>
      <w:r w:rsidRPr="009E02B5">
        <w:rPr>
          <w:color w:val="auto"/>
        </w:rPr>
        <w:fldChar w:fldCharType="separate"/>
      </w:r>
      <w:r w:rsidR="00D90B4A" w:rsidRPr="00D90B4A">
        <w:rPr>
          <w:noProof/>
          <w:color w:val="auto"/>
        </w:rPr>
        <w:t>[34,35]</w:t>
      </w:r>
      <w:r w:rsidRPr="009E02B5">
        <w:rPr>
          <w:color w:val="auto"/>
        </w:rPr>
        <w:fldChar w:fldCharType="end"/>
      </w:r>
      <w:r>
        <w:rPr>
          <w:color w:val="auto"/>
        </w:rPr>
        <w:t xml:space="preserve">. </w:t>
      </w:r>
      <w:r w:rsidR="00844664">
        <w:rPr>
          <w:color w:val="auto"/>
        </w:rPr>
        <w:t>A</w:t>
      </w:r>
      <w:r w:rsidR="0075562E">
        <w:rPr>
          <w:color w:val="auto"/>
        </w:rPr>
        <w:t xml:space="preserve"> </w:t>
      </w:r>
      <w:r w:rsidR="004860F5">
        <w:rPr>
          <w:color w:val="auto"/>
        </w:rPr>
        <w:t>Clinical</w:t>
      </w:r>
      <w:r w:rsidR="00844664">
        <w:rPr>
          <w:color w:val="auto"/>
        </w:rPr>
        <w:t xml:space="preserve"> Decision Support System (</w:t>
      </w:r>
      <w:r w:rsidR="0075562E">
        <w:rPr>
          <w:color w:val="auto"/>
        </w:rPr>
        <w:t>CDSS</w:t>
      </w:r>
      <w:r w:rsidR="00844664">
        <w:rPr>
          <w:color w:val="auto"/>
        </w:rPr>
        <w:t>)</w:t>
      </w:r>
      <w:r w:rsidR="0075562E">
        <w:rPr>
          <w:color w:val="auto"/>
        </w:rPr>
        <w:t xml:space="preserve"> </w:t>
      </w:r>
      <w:r w:rsidR="00844664">
        <w:rPr>
          <w:color w:val="auto"/>
        </w:rPr>
        <w:t xml:space="preserve">which </w:t>
      </w:r>
      <w:r w:rsidR="0075562E">
        <w:rPr>
          <w:color w:val="auto"/>
        </w:rPr>
        <w:t xml:space="preserve">increases the SoP </w:t>
      </w:r>
      <w:r w:rsidR="00844664">
        <w:rPr>
          <w:color w:val="auto"/>
        </w:rPr>
        <w:t>for the crew will directly</w:t>
      </w:r>
      <w:r w:rsidR="0075562E">
        <w:rPr>
          <w:color w:val="auto"/>
        </w:rPr>
        <w:t xml:space="preserve"> contribute t</w:t>
      </w:r>
      <w:r w:rsidR="00844664">
        <w:rPr>
          <w:color w:val="auto"/>
        </w:rPr>
        <w:t>o</w:t>
      </w:r>
      <w:r w:rsidR="0075562E">
        <w:rPr>
          <w:color w:val="auto"/>
        </w:rPr>
        <w:t xml:space="preserve"> the reduction in medical risk by alleviating the need </w:t>
      </w:r>
      <w:r w:rsidR="00276F85">
        <w:rPr>
          <w:color w:val="auto"/>
        </w:rPr>
        <w:t>for</w:t>
      </w:r>
      <w:r w:rsidR="0075562E">
        <w:rPr>
          <w:color w:val="auto"/>
        </w:rPr>
        <w:t xml:space="preserve"> a medical </w:t>
      </w:r>
      <w:r w:rsidR="00B43DC3">
        <w:rPr>
          <w:color w:val="auto"/>
        </w:rPr>
        <w:t xml:space="preserve">sub-specialist </w:t>
      </w:r>
      <w:r w:rsidR="0075562E">
        <w:rPr>
          <w:color w:val="auto"/>
        </w:rPr>
        <w:t xml:space="preserve">across many </w:t>
      </w:r>
      <w:r w:rsidR="00B43DC3">
        <w:rPr>
          <w:color w:val="auto"/>
        </w:rPr>
        <w:t xml:space="preserve">medical </w:t>
      </w:r>
      <w:r w:rsidR="0075562E">
        <w:rPr>
          <w:color w:val="auto"/>
        </w:rPr>
        <w:t>conditions.</w:t>
      </w:r>
    </w:p>
    <w:p w14:paraId="0AC6A07A" w14:textId="3C216D20" w:rsidR="001430AA" w:rsidRDefault="001430AA" w:rsidP="00916BB1">
      <w:pPr>
        <w:rPr>
          <w:color w:val="auto"/>
        </w:rPr>
      </w:pPr>
      <w:r>
        <w:rPr>
          <w:color w:val="auto"/>
        </w:rPr>
        <w:t xml:space="preserve">These results are based on preliminary data from the IMPACT-MD project which is undergoing validation and verification at the time of this publication. </w:t>
      </w:r>
      <w:r w:rsidR="00916BB1">
        <w:rPr>
          <w:color w:val="auto"/>
        </w:rPr>
        <w:t xml:space="preserve">A full description of the IMPACT-MD methods </w:t>
      </w:r>
      <w:r>
        <w:rPr>
          <w:color w:val="auto"/>
        </w:rPr>
        <w:t xml:space="preserve">will be </w:t>
      </w:r>
      <w:r w:rsidR="004860F5">
        <w:rPr>
          <w:color w:val="auto"/>
        </w:rPr>
        <w:t>publicly</w:t>
      </w:r>
      <w:r>
        <w:rPr>
          <w:color w:val="auto"/>
        </w:rPr>
        <w:t xml:space="preserve"> available through NASA once this process has been completed. This appendix summarizes the methods used to collect the data informing the estimation of risk reduction based on SoP.</w:t>
      </w:r>
    </w:p>
    <w:p w14:paraId="5AC18AF4" w14:textId="02334363" w:rsidR="00916BB1" w:rsidRDefault="00916BB1" w:rsidP="0023615B">
      <w:pPr>
        <w:rPr>
          <w:color w:val="auto"/>
        </w:rPr>
      </w:pPr>
      <w:r>
        <w:rPr>
          <w:color w:val="auto"/>
        </w:rPr>
        <w:t>IMPACT-MD is a repository of incidence/outcome data, treatment methodology, and medical system resources data for 12</w:t>
      </w:r>
      <w:r w:rsidR="006F77A3">
        <w:rPr>
          <w:color w:val="auto"/>
        </w:rPr>
        <w:t>0</w:t>
      </w:r>
      <w:r>
        <w:rPr>
          <w:color w:val="auto"/>
        </w:rPr>
        <w:t xml:space="preserve"> medical conditions considered </w:t>
      </w:r>
      <w:r w:rsidR="00784561">
        <w:rPr>
          <w:color w:val="auto"/>
        </w:rPr>
        <w:t xml:space="preserve">to be </w:t>
      </w:r>
      <w:r>
        <w:rPr>
          <w:color w:val="auto"/>
        </w:rPr>
        <w:t xml:space="preserve">high likelihood and/or </w:t>
      </w:r>
      <w:r w:rsidR="00784561">
        <w:rPr>
          <w:color w:val="auto"/>
        </w:rPr>
        <w:t xml:space="preserve">of </w:t>
      </w:r>
      <w:r>
        <w:rPr>
          <w:color w:val="auto"/>
        </w:rPr>
        <w:t xml:space="preserve">high consequence for LDEMs. It is intended to support the IMPACT probabilistic risk assessment tool for LDEM medical system design and was compiled over 2 years by a team of </w:t>
      </w:r>
      <w:r w:rsidR="009A38D1">
        <w:rPr>
          <w:color w:val="auto"/>
        </w:rPr>
        <w:t>physicians and other</w:t>
      </w:r>
      <w:r>
        <w:rPr>
          <w:color w:val="auto"/>
        </w:rPr>
        <w:t xml:space="preserve"> specialties</w:t>
      </w:r>
      <w:r w:rsidR="009A38D1">
        <w:rPr>
          <w:color w:val="auto"/>
        </w:rPr>
        <w:t xml:space="preserve"> including</w:t>
      </w:r>
      <w:r>
        <w:rPr>
          <w:color w:val="auto"/>
        </w:rPr>
        <w:t xml:space="preserve">, epidemiologists, data scientists, biostatisticians, computational modelers, software engineers, and </w:t>
      </w:r>
      <w:r w:rsidR="00206913">
        <w:rPr>
          <w:color w:val="auto"/>
        </w:rPr>
        <w:t xml:space="preserve">systems </w:t>
      </w:r>
      <w:r>
        <w:rPr>
          <w:color w:val="auto"/>
        </w:rPr>
        <w:t>engineers. This team reviewed medical literature, terrestrial practice guidelines, spaceflight analogue environment medical data, and medical provider training curricula to develop a list of anticipated LDEM medical conditions, estimate how often each condition might occur and adapt terrestrial standard</w:t>
      </w:r>
      <w:r w:rsidR="00206913">
        <w:rPr>
          <w:color w:val="auto"/>
        </w:rPr>
        <w:t>s</w:t>
      </w:r>
      <w:r>
        <w:rPr>
          <w:color w:val="auto"/>
        </w:rPr>
        <w:t xml:space="preserve"> of care to the LDEM environment.</w:t>
      </w:r>
    </w:p>
    <w:p w14:paraId="02ADC127" w14:textId="23A0BDED" w:rsidR="000F4F84" w:rsidRDefault="00916BB1" w:rsidP="000F4F84">
      <w:pPr>
        <w:rPr>
          <w:color w:val="auto"/>
        </w:rPr>
      </w:pPr>
      <w:r>
        <w:rPr>
          <w:color w:val="auto"/>
        </w:rPr>
        <w:t xml:space="preserve">Condition outcomes </w:t>
      </w:r>
      <w:r w:rsidR="00BD1614">
        <w:rPr>
          <w:color w:val="auto"/>
        </w:rPr>
        <w:t>a</w:t>
      </w:r>
      <w:r w:rsidR="00616C57">
        <w:rPr>
          <w:color w:val="auto"/>
        </w:rPr>
        <w:t xml:space="preserve">ffect </w:t>
      </w:r>
      <w:r>
        <w:rPr>
          <w:color w:val="auto"/>
        </w:rPr>
        <w:t xml:space="preserve">mission specific </w:t>
      </w:r>
      <w:r w:rsidR="00616C57">
        <w:rPr>
          <w:color w:val="auto"/>
        </w:rPr>
        <w:t xml:space="preserve">metrics including </w:t>
      </w:r>
      <w:r w:rsidR="00816D41">
        <w:rPr>
          <w:color w:val="auto"/>
        </w:rPr>
        <w:t>T</w:t>
      </w:r>
      <w:r>
        <w:rPr>
          <w:color w:val="auto"/>
        </w:rPr>
        <w:t xml:space="preserve">ask </w:t>
      </w:r>
      <w:r w:rsidR="00816D41">
        <w:rPr>
          <w:color w:val="auto"/>
        </w:rPr>
        <w:t>T</w:t>
      </w:r>
      <w:r>
        <w:rPr>
          <w:color w:val="auto"/>
        </w:rPr>
        <w:t xml:space="preserve">ime </w:t>
      </w:r>
      <w:r w:rsidR="00816D41">
        <w:rPr>
          <w:color w:val="auto"/>
        </w:rPr>
        <w:t>L</w:t>
      </w:r>
      <w:r>
        <w:rPr>
          <w:color w:val="auto"/>
        </w:rPr>
        <w:t>ost (TTL)</w:t>
      </w:r>
      <w:r w:rsidR="0082584B">
        <w:rPr>
          <w:color w:val="auto"/>
        </w:rPr>
        <w:t xml:space="preserve"> by the affected crew member</w:t>
      </w:r>
      <w:r w:rsidR="00206913">
        <w:rPr>
          <w:color w:val="auto"/>
        </w:rPr>
        <w:t xml:space="preserve"> </w:t>
      </w:r>
      <w:r w:rsidR="00031245">
        <w:rPr>
          <w:color w:val="auto"/>
        </w:rPr>
        <w:t>and</w:t>
      </w:r>
      <w:r w:rsidR="00206913">
        <w:rPr>
          <w:color w:val="auto"/>
        </w:rPr>
        <w:t xml:space="preserve"> </w:t>
      </w:r>
      <w:r w:rsidR="0082584B">
        <w:rPr>
          <w:color w:val="auto"/>
        </w:rPr>
        <w:t>does not include the CMO’s time</w:t>
      </w:r>
      <w:r>
        <w:rPr>
          <w:color w:val="auto"/>
        </w:rPr>
        <w:t xml:space="preserve">, </w:t>
      </w:r>
      <w:r w:rsidR="00816D41">
        <w:rPr>
          <w:color w:val="auto"/>
        </w:rPr>
        <w:t>L</w:t>
      </w:r>
      <w:r>
        <w:rPr>
          <w:color w:val="auto"/>
        </w:rPr>
        <w:t xml:space="preserve">oss of </w:t>
      </w:r>
      <w:r w:rsidR="00816D41">
        <w:rPr>
          <w:color w:val="auto"/>
        </w:rPr>
        <w:t>C</w:t>
      </w:r>
      <w:r>
        <w:rPr>
          <w:color w:val="auto"/>
        </w:rPr>
        <w:t>rew</w:t>
      </w:r>
      <w:r w:rsidR="00DD1E2F">
        <w:rPr>
          <w:color w:val="auto"/>
        </w:rPr>
        <w:t xml:space="preserve"> Li</w:t>
      </w:r>
      <w:r>
        <w:rPr>
          <w:color w:val="auto"/>
        </w:rPr>
        <w:t xml:space="preserve">fe (LOCL), and the probability that a patient will need to return to definitive care (RTDC) </w:t>
      </w:r>
      <w:r w:rsidR="001C7C60">
        <w:rPr>
          <w:color w:val="auto"/>
        </w:rPr>
        <w:t>i.e., evacuation. Each condition was ident</w:t>
      </w:r>
      <w:r>
        <w:rPr>
          <w:color w:val="auto"/>
        </w:rPr>
        <w:t xml:space="preserve">ified by literature review for both the treated and untreated states. </w:t>
      </w:r>
      <w:r w:rsidR="00426CAD">
        <w:rPr>
          <w:color w:val="auto"/>
        </w:rPr>
        <w:t xml:space="preserve">Capabilities were adapted by </w:t>
      </w:r>
      <w:r w:rsidR="00031245">
        <w:rPr>
          <w:color w:val="auto"/>
        </w:rPr>
        <w:t>subject matter experts (</w:t>
      </w:r>
      <w:r w:rsidR="00426CAD">
        <w:rPr>
          <w:color w:val="auto"/>
        </w:rPr>
        <w:t>SMEs</w:t>
      </w:r>
      <w:r w:rsidR="00031245">
        <w:rPr>
          <w:color w:val="auto"/>
        </w:rPr>
        <w:t>)</w:t>
      </w:r>
      <w:r w:rsidR="00426CAD">
        <w:rPr>
          <w:color w:val="auto"/>
        </w:rPr>
        <w:t xml:space="preserve"> from terrestrial practice standards and assigned a </w:t>
      </w:r>
      <w:r w:rsidR="00CD1648">
        <w:rPr>
          <w:color w:val="auto"/>
        </w:rPr>
        <w:t xml:space="preserve">SoP </w:t>
      </w:r>
      <w:r w:rsidR="00426CAD">
        <w:rPr>
          <w:color w:val="auto"/>
        </w:rPr>
        <w:t xml:space="preserve">value by consensus among at least 3 </w:t>
      </w:r>
      <w:proofErr w:type="gramStart"/>
      <w:r w:rsidR="00426CAD">
        <w:rPr>
          <w:color w:val="auto"/>
        </w:rPr>
        <w:t>clinicians</w:t>
      </w:r>
      <w:proofErr w:type="gramEnd"/>
      <w:r w:rsidR="00426CAD">
        <w:rPr>
          <w:color w:val="auto"/>
        </w:rPr>
        <w:t xml:space="preserve"> expert in the specific capability. The SoP was guided by established terrestrial training curricula outlined in</w:t>
      </w:r>
      <w:r w:rsidR="00DC4EE9">
        <w:rPr>
          <w:color w:val="auto"/>
        </w:rPr>
        <w:t xml:space="preserve"> </w:t>
      </w:r>
      <w:r w:rsidR="00DC4EE9">
        <w:rPr>
          <w:color w:val="auto"/>
        </w:rPr>
        <w:fldChar w:fldCharType="begin"/>
      </w:r>
      <w:r w:rsidR="00DC4EE9">
        <w:rPr>
          <w:color w:val="auto"/>
        </w:rPr>
        <w:instrText xml:space="preserve"> REF _Ref102393779 \h </w:instrText>
      </w:r>
      <w:r w:rsidR="00DC4EE9">
        <w:rPr>
          <w:color w:val="auto"/>
        </w:rPr>
      </w:r>
      <w:r w:rsidR="00DC4EE9">
        <w:rPr>
          <w:color w:val="auto"/>
        </w:rPr>
        <w:fldChar w:fldCharType="separate"/>
      </w:r>
      <w:r w:rsidR="00DC4EE9">
        <w:t xml:space="preserve">Table </w:t>
      </w:r>
      <w:r w:rsidR="00DC4EE9">
        <w:rPr>
          <w:noProof/>
        </w:rPr>
        <w:t>2</w:t>
      </w:r>
      <w:r w:rsidR="00DC4EE9">
        <w:rPr>
          <w:color w:val="auto"/>
        </w:rPr>
        <w:fldChar w:fldCharType="end"/>
      </w:r>
      <w:r w:rsidR="00DC4EE9">
        <w:rPr>
          <w:color w:val="auto"/>
        </w:rPr>
        <w:t>.</w:t>
      </w:r>
      <w:r w:rsidR="00FA03ED">
        <w:rPr>
          <w:color w:val="auto"/>
        </w:rPr>
        <w:t xml:space="preserve"> </w:t>
      </w:r>
      <w:r w:rsidR="00426CAD">
        <w:rPr>
          <w:color w:val="auto"/>
        </w:rPr>
        <w:t>(</w:t>
      </w:r>
      <w:proofErr w:type="gramStart"/>
      <w:r w:rsidR="00426CAD">
        <w:rPr>
          <w:color w:val="auto"/>
        </w:rPr>
        <w:t>e.g.</w:t>
      </w:r>
      <w:proofErr w:type="gramEnd"/>
      <w:r w:rsidR="00426CAD">
        <w:rPr>
          <w:color w:val="auto"/>
        </w:rPr>
        <w:t xml:space="preserve"> a Primary Assessment is SoP 1 while management decisions for refractory Sepsis are SoP 5</w:t>
      </w:r>
      <w:r w:rsidR="001554BC">
        <w:rPr>
          <w:color w:val="auto"/>
        </w:rPr>
        <w:t>)</w:t>
      </w:r>
      <w:r w:rsidR="00426CAD">
        <w:rPr>
          <w:color w:val="auto"/>
        </w:rPr>
        <w:t xml:space="preserve">. </w:t>
      </w:r>
      <w:r w:rsidR="008A62EE">
        <w:rPr>
          <w:color w:val="auto"/>
        </w:rPr>
        <w:t xml:space="preserve">SoP classification values outlined in </w:t>
      </w:r>
      <w:r w:rsidR="00281289">
        <w:rPr>
          <w:color w:val="auto"/>
        </w:rPr>
        <w:fldChar w:fldCharType="begin"/>
      </w:r>
      <w:r w:rsidR="00281289">
        <w:rPr>
          <w:color w:val="auto"/>
        </w:rPr>
        <w:instrText xml:space="preserve"> REF _Ref102393779 \h </w:instrText>
      </w:r>
      <w:r w:rsidR="00281289">
        <w:rPr>
          <w:color w:val="auto"/>
        </w:rPr>
      </w:r>
      <w:r w:rsidR="00281289">
        <w:rPr>
          <w:color w:val="auto"/>
        </w:rPr>
        <w:fldChar w:fldCharType="separate"/>
      </w:r>
      <w:r w:rsidR="00281289">
        <w:t xml:space="preserve">Table </w:t>
      </w:r>
      <w:r w:rsidR="00281289">
        <w:rPr>
          <w:noProof/>
        </w:rPr>
        <w:t>2</w:t>
      </w:r>
      <w:r w:rsidR="00281289">
        <w:rPr>
          <w:color w:val="auto"/>
        </w:rPr>
        <w:fldChar w:fldCharType="end"/>
      </w:r>
      <w:r w:rsidR="00281289">
        <w:rPr>
          <w:color w:val="auto"/>
        </w:rPr>
        <w:t xml:space="preserve"> </w:t>
      </w:r>
      <w:r w:rsidR="008A62EE">
        <w:rPr>
          <w:color w:val="auto"/>
        </w:rPr>
        <w:t xml:space="preserve">are based on well established, curricular requirements for terrestrial providers including national registry emergency medical technician, national registry paramedic, certified emergency registered nurse, first year medical resident, and attending physician. </w:t>
      </w:r>
      <w:r w:rsidR="00AE3EF3">
        <w:rPr>
          <w:color w:val="auto"/>
        </w:rPr>
        <w:t>Capabilities were also categorized as procedure execution skills (e.g., performing an ultrasound or inserting a chest tube) or cognitive skills (</w:t>
      </w:r>
      <w:proofErr w:type="gramStart"/>
      <w:r w:rsidR="00AE3EF3">
        <w:rPr>
          <w:color w:val="auto"/>
        </w:rPr>
        <w:t>e.g.</w:t>
      </w:r>
      <w:proofErr w:type="gramEnd"/>
      <w:r w:rsidR="00AE3EF3">
        <w:rPr>
          <w:color w:val="auto"/>
        </w:rPr>
        <w:t xml:space="preserve"> interpreting ultrasound images or performing a differential diagnosis). The method made a conservative simplification and assumes a condition can only be treated if all its associated capabilities can be performed by a provider of equal or greater SoP level.</w:t>
      </w:r>
    </w:p>
    <w:p w14:paraId="02ADF2F9" w14:textId="77777777" w:rsidR="001430AA" w:rsidRDefault="001430AA" w:rsidP="00916BB1">
      <w:pPr>
        <w:rPr>
          <w:color w:val="auto"/>
        </w:rPr>
      </w:pPr>
    </w:p>
    <w:p w14:paraId="516040E6" w14:textId="6A0D7CD6" w:rsidR="00916BB1" w:rsidRDefault="00916BB1" w:rsidP="00916BB1">
      <w:pPr>
        <w:rPr>
          <w:color w:val="auto"/>
        </w:rPr>
      </w:pPr>
      <w:r>
        <w:rPr>
          <w:color w:val="auto"/>
        </w:rPr>
        <w:t xml:space="preserve">Each outcome metric </w:t>
      </w:r>
      <w:r w:rsidR="00096383">
        <w:rPr>
          <w:color w:val="auto"/>
        </w:rPr>
        <w:t>(</w:t>
      </w:r>
      <w:proofErr w:type="gramStart"/>
      <w:r w:rsidR="00096383">
        <w:rPr>
          <w:color w:val="auto"/>
        </w:rPr>
        <w:t>e.g.</w:t>
      </w:r>
      <w:proofErr w:type="gramEnd"/>
      <w:r w:rsidR="00096383">
        <w:rPr>
          <w:color w:val="auto"/>
        </w:rPr>
        <w:t xml:space="preserve"> LOCL) </w:t>
      </w:r>
      <w:r>
        <w:rPr>
          <w:color w:val="auto"/>
        </w:rPr>
        <w:t xml:space="preserve">was summed across all conditions </w:t>
      </w:r>
      <w:r w:rsidR="00096383">
        <w:rPr>
          <w:color w:val="auto"/>
        </w:rPr>
        <w:t xml:space="preserve">based </w:t>
      </w:r>
      <w:r w:rsidR="0009396A">
        <w:rPr>
          <w:color w:val="auto"/>
        </w:rPr>
        <w:t>upon</w:t>
      </w:r>
      <w:r w:rsidR="00096383">
        <w:rPr>
          <w:color w:val="auto"/>
        </w:rPr>
        <w:t xml:space="preserve"> their treated or untreated values </w:t>
      </w:r>
      <w:r>
        <w:rPr>
          <w:color w:val="auto"/>
        </w:rPr>
        <w:t xml:space="preserve">to estimate the outcome’s total mission risk. Both the on-board </w:t>
      </w:r>
      <w:r w:rsidR="00096383">
        <w:rPr>
          <w:color w:val="auto"/>
        </w:rPr>
        <w:t>Cognitive SoP (</w:t>
      </w:r>
      <w:r>
        <w:rPr>
          <w:color w:val="auto"/>
        </w:rPr>
        <w:t>C-SoP</w:t>
      </w:r>
      <w:r w:rsidR="00096383">
        <w:rPr>
          <w:color w:val="auto"/>
        </w:rPr>
        <w:t>)</w:t>
      </w:r>
      <w:r>
        <w:rPr>
          <w:color w:val="auto"/>
        </w:rPr>
        <w:t xml:space="preserve"> and </w:t>
      </w:r>
      <w:r w:rsidR="00096383">
        <w:rPr>
          <w:color w:val="auto"/>
        </w:rPr>
        <w:t>Procedural SoP (</w:t>
      </w:r>
      <w:r>
        <w:rPr>
          <w:color w:val="auto"/>
        </w:rPr>
        <w:t>P-SoP</w:t>
      </w:r>
      <w:r w:rsidR="00096383">
        <w:rPr>
          <w:color w:val="auto"/>
        </w:rPr>
        <w:t>)</w:t>
      </w:r>
      <w:r>
        <w:rPr>
          <w:color w:val="auto"/>
        </w:rPr>
        <w:t xml:space="preserve"> </w:t>
      </w:r>
      <w:r w:rsidR="00096383">
        <w:rPr>
          <w:color w:val="auto"/>
        </w:rPr>
        <w:t>and each condition requires multiple tasks of varying SoP level.</w:t>
      </w:r>
      <w:r w:rsidR="004860F5">
        <w:rPr>
          <w:color w:val="auto"/>
        </w:rPr>
        <w:t xml:space="preserve"> </w:t>
      </w:r>
      <w:r w:rsidR="00096383">
        <w:rPr>
          <w:color w:val="auto"/>
        </w:rPr>
        <w:t xml:space="preserve">Both C-SoP and P-SoP </w:t>
      </w:r>
      <w:r>
        <w:rPr>
          <w:color w:val="auto"/>
        </w:rPr>
        <w:t xml:space="preserve">had to equal or exceed </w:t>
      </w:r>
      <w:r w:rsidR="00F20A4C">
        <w:rPr>
          <w:color w:val="auto"/>
        </w:rPr>
        <w:t xml:space="preserve">the maximum value </w:t>
      </w:r>
      <w:r>
        <w:rPr>
          <w:color w:val="auto"/>
        </w:rPr>
        <w:t xml:space="preserve">required by the condition </w:t>
      </w:r>
      <w:r w:rsidR="00096383">
        <w:rPr>
          <w:color w:val="auto"/>
        </w:rPr>
        <w:t>to be considered as ‘treated’</w:t>
      </w:r>
      <w:r>
        <w:rPr>
          <w:color w:val="auto"/>
        </w:rPr>
        <w:t xml:space="preserve">. If one or </w:t>
      </w:r>
      <w:proofErr w:type="gramStart"/>
      <w:r>
        <w:rPr>
          <w:color w:val="auto"/>
        </w:rPr>
        <w:t>both of the on-board</w:t>
      </w:r>
      <w:proofErr w:type="gramEnd"/>
      <w:r>
        <w:rPr>
          <w:color w:val="auto"/>
        </w:rPr>
        <w:t xml:space="preserve"> SoP scores were less than the conditions’ </w:t>
      </w:r>
      <w:r w:rsidR="00F20A4C">
        <w:rPr>
          <w:color w:val="auto"/>
        </w:rPr>
        <w:t xml:space="preserve">maximum value </w:t>
      </w:r>
      <w:r>
        <w:rPr>
          <w:color w:val="auto"/>
        </w:rPr>
        <w:t xml:space="preserve">required </w:t>
      </w:r>
      <w:proofErr w:type="spellStart"/>
      <w:r>
        <w:rPr>
          <w:color w:val="auto"/>
        </w:rPr>
        <w:t>SoPs</w:t>
      </w:r>
      <w:proofErr w:type="spellEnd"/>
      <w:r>
        <w:rPr>
          <w:color w:val="auto"/>
        </w:rPr>
        <w:t>, the untreated values were used. A table was generated for each C-</w:t>
      </w:r>
      <w:proofErr w:type="spellStart"/>
      <w:r>
        <w:rPr>
          <w:color w:val="auto"/>
        </w:rPr>
        <w:t>SoP</w:t>
      </w:r>
      <w:proofErr w:type="spellEnd"/>
      <w:r w:rsidR="00FB774E">
        <w:rPr>
          <w:color w:val="auto"/>
        </w:rPr>
        <w:t xml:space="preserve"> and </w:t>
      </w:r>
      <w:r>
        <w:rPr>
          <w:color w:val="auto"/>
        </w:rPr>
        <w:t>P-</w:t>
      </w:r>
      <w:proofErr w:type="spellStart"/>
      <w:r>
        <w:rPr>
          <w:color w:val="auto"/>
        </w:rPr>
        <w:t>SoP</w:t>
      </w:r>
      <w:proofErr w:type="spellEnd"/>
      <w:r>
        <w:rPr>
          <w:color w:val="auto"/>
        </w:rPr>
        <w:t xml:space="preserve"> </w:t>
      </w:r>
      <w:r w:rsidR="00952EB0">
        <w:rPr>
          <w:color w:val="auto"/>
        </w:rPr>
        <w:t xml:space="preserve">combination </w:t>
      </w:r>
      <w:r>
        <w:rPr>
          <w:color w:val="auto"/>
        </w:rPr>
        <w:t>for each outcome</w:t>
      </w:r>
      <w:r w:rsidR="00AD5AA1">
        <w:rPr>
          <w:color w:val="auto"/>
        </w:rPr>
        <w:t>,</w:t>
      </w:r>
      <w:r>
        <w:rPr>
          <w:color w:val="auto"/>
        </w:rPr>
        <w:t xml:space="preserve"> and relative risk reduction was calculated using the following equation</w:t>
      </w:r>
      <w:r w:rsidR="009E2745">
        <w:rPr>
          <w:color w:val="auto"/>
        </w:rPr>
        <w:t>. Equation 1 applies to TTL</w:t>
      </w:r>
      <w:r w:rsidR="005F7455">
        <w:rPr>
          <w:color w:val="auto"/>
        </w:rPr>
        <w:t>, RTDC</w:t>
      </w:r>
      <w:r w:rsidR="009E2745">
        <w:rPr>
          <w:color w:val="auto"/>
        </w:rPr>
        <w:t xml:space="preserve"> and RTDC.</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72"/>
        <w:gridCol w:w="1384"/>
      </w:tblGrid>
      <w:tr w:rsidR="00F20A4C" w14:paraId="58DB4861" w14:textId="77777777" w:rsidTr="00A41A75">
        <w:tc>
          <w:tcPr>
            <w:tcW w:w="9072" w:type="dxa"/>
          </w:tcPr>
          <w:p w14:paraId="2206454C" w14:textId="3EDF4436" w:rsidR="00F20A4C" w:rsidRPr="009F1436" w:rsidRDefault="00E11F7B" w:rsidP="00A41A75">
            <w:pPr>
              <w:jc w:val="center"/>
              <w:rPr>
                <w:color w:val="auto"/>
                <w:lang w:val="pt-BR"/>
              </w:rPr>
            </w:pPr>
            <m:oMathPara>
              <m:oMath>
                <m:r>
                  <w:rPr>
                    <w:rFonts w:ascii="Cambria Math" w:hAnsi="Cambria Math"/>
                    <w:color w:val="auto"/>
                  </w:rPr>
                  <w:lastRenderedPageBreak/>
                  <m:t>Relative</m:t>
                </m:r>
                <m:r>
                  <w:rPr>
                    <w:rFonts w:ascii="Cambria Math" w:hAnsi="Cambria Math"/>
                    <w:color w:val="auto"/>
                    <w:lang w:val="pt-BR"/>
                  </w:rPr>
                  <m:t>_</m:t>
                </m:r>
                <m:r>
                  <w:rPr>
                    <w:rFonts w:ascii="Cambria Math" w:hAnsi="Cambria Math"/>
                    <w:color w:val="auto"/>
                  </w:rPr>
                  <m:t>mission_metric</m:t>
                </m:r>
                <m:r>
                  <w:rPr>
                    <w:rFonts w:ascii="Cambria Math" w:hAnsi="Cambria Math"/>
                    <w:color w:val="auto"/>
                    <w:lang w:val="pt-BR"/>
                  </w:rPr>
                  <m:t>(</m:t>
                </m:r>
                <m:r>
                  <w:rPr>
                    <w:rFonts w:ascii="Cambria Math" w:hAnsi="Cambria Math"/>
                    <w:color w:val="auto"/>
                  </w:rPr>
                  <m:t>c</m:t>
                </m:r>
                <m:r>
                  <w:rPr>
                    <w:rFonts w:ascii="Cambria Math" w:hAnsi="Cambria Math"/>
                    <w:color w:val="auto"/>
                    <w:lang w:val="pt-BR"/>
                  </w:rPr>
                  <m:t>,</m:t>
                </m:r>
                <m:r>
                  <w:rPr>
                    <w:rFonts w:ascii="Cambria Math" w:hAnsi="Cambria Math"/>
                    <w:color w:val="auto"/>
                  </w:rPr>
                  <m:t>p</m:t>
                </m:r>
                <m:r>
                  <w:rPr>
                    <w:rFonts w:ascii="Cambria Math" w:hAnsi="Cambria Math"/>
                    <w:color w:val="auto"/>
                    <w:lang w:val="pt-BR"/>
                  </w:rPr>
                  <m:t xml:space="preserve">)= 1- </m:t>
                </m:r>
                <m:f>
                  <m:fPr>
                    <m:ctrlPr>
                      <w:rPr>
                        <w:rFonts w:ascii="Cambria Math" w:hAnsi="Cambria Math"/>
                        <w:i/>
                        <w:color w:val="auto"/>
                      </w:rPr>
                    </m:ctrlPr>
                  </m:fPr>
                  <m:num>
                    <m:r>
                      <m:rPr>
                        <m:nor/>
                      </m:rPr>
                      <w:rPr>
                        <w:rFonts w:ascii="Cambria Math" w:hAnsi="Cambria Math"/>
                        <w:color w:val="auto"/>
                        <w:lang w:val="pt-BR"/>
                      </w:rPr>
                      <m:t>mission_metric(c,p)</m:t>
                    </m:r>
                  </m:num>
                  <m:den>
                    <m:r>
                      <m:rPr>
                        <m:nor/>
                      </m:rPr>
                      <w:rPr>
                        <w:rFonts w:ascii="Cambria Math" w:hAnsi="Cambria Math"/>
                        <w:color w:val="auto"/>
                        <w:lang w:val="pt-BR"/>
                      </w:rPr>
                      <m:t>mission_metric(0,0)</m:t>
                    </m:r>
                  </m:den>
                </m:f>
              </m:oMath>
            </m:oMathPara>
          </w:p>
        </w:tc>
        <w:tc>
          <w:tcPr>
            <w:tcW w:w="1384" w:type="dxa"/>
          </w:tcPr>
          <w:p w14:paraId="659D2682" w14:textId="705D243A" w:rsidR="00F20A4C" w:rsidRDefault="00F20A4C" w:rsidP="00A41A75">
            <w:pPr>
              <w:jc w:val="right"/>
              <w:rPr>
                <w:color w:val="auto"/>
              </w:rPr>
            </w:pPr>
            <w:r>
              <w:rPr>
                <w:color w:val="auto"/>
              </w:rPr>
              <w:t>Equation (1)</w:t>
            </w:r>
          </w:p>
        </w:tc>
      </w:tr>
    </w:tbl>
    <w:p w14:paraId="160DFF39" w14:textId="7ECE2BD0" w:rsidR="00F20A4C" w:rsidRDefault="00F20A4C" w:rsidP="00916BB1">
      <w:pPr>
        <w:rPr>
          <w:color w:val="auto"/>
        </w:rPr>
      </w:pPr>
    </w:p>
    <w:p w14:paraId="56A430D8" w14:textId="77777777" w:rsidR="00E11F7B" w:rsidRDefault="00E11F7B" w:rsidP="00916BB1">
      <w:pPr>
        <w:rPr>
          <w:color w:val="auto"/>
        </w:rPr>
      </w:pPr>
      <w:r>
        <w:rPr>
          <w:color w:val="auto"/>
        </w:rPr>
        <w:tab/>
        <w:t>Where:</w:t>
      </w:r>
    </w:p>
    <w:p w14:paraId="1EB2B55D" w14:textId="77777777" w:rsidR="00E11F7B" w:rsidRDefault="00E11F7B" w:rsidP="00E11F7B">
      <w:pPr>
        <w:ind w:left="720" w:firstLine="720"/>
        <w:rPr>
          <w:color w:val="auto"/>
        </w:rPr>
      </w:pPr>
      <w:r>
        <w:rPr>
          <w:color w:val="auto"/>
        </w:rPr>
        <w:t>c = C-SoP value</w:t>
      </w:r>
    </w:p>
    <w:p w14:paraId="0292D4DF" w14:textId="77777777" w:rsidR="00E11F7B" w:rsidRDefault="00E11F7B" w:rsidP="00E11F7B">
      <w:pPr>
        <w:ind w:left="720" w:firstLine="720"/>
        <w:rPr>
          <w:color w:val="auto"/>
        </w:rPr>
      </w:pPr>
      <w:r>
        <w:rPr>
          <w:color w:val="auto"/>
        </w:rPr>
        <w:t>p = P-SoP value</w:t>
      </w:r>
    </w:p>
    <w:p w14:paraId="4673B509" w14:textId="227B073E" w:rsidR="00E11F7B" w:rsidRDefault="009F1436" w:rsidP="0023615B">
      <w:pPr>
        <w:ind w:left="720" w:firstLine="720"/>
        <w:rPr>
          <w:color w:val="auto"/>
        </w:rPr>
      </w:pPr>
      <w:proofErr w:type="spellStart"/>
      <w:r>
        <w:rPr>
          <w:color w:val="auto"/>
        </w:rPr>
        <w:t>mission_metric</w:t>
      </w:r>
      <w:proofErr w:type="spellEnd"/>
      <w:r w:rsidR="00E11F7B">
        <w:rPr>
          <w:color w:val="auto"/>
        </w:rPr>
        <w:t xml:space="preserve"> (c,</w:t>
      </w:r>
      <w:r w:rsidR="004860F5">
        <w:rPr>
          <w:color w:val="auto"/>
        </w:rPr>
        <w:t xml:space="preserve"> </w:t>
      </w:r>
      <w:r w:rsidR="00E11F7B">
        <w:rPr>
          <w:color w:val="auto"/>
        </w:rPr>
        <w:t xml:space="preserve">p) is calculated for C-SoP = c and P-SoP = </w:t>
      </w:r>
      <w:proofErr w:type="gramStart"/>
      <w:r w:rsidR="00E11F7B">
        <w:rPr>
          <w:color w:val="auto"/>
        </w:rPr>
        <w:t xml:space="preserve">p </w:t>
      </w:r>
      <w:r>
        <w:rPr>
          <w:color w:val="auto"/>
        </w:rPr>
        <w:t>,</w:t>
      </w:r>
      <w:proofErr w:type="gramEnd"/>
    </w:p>
    <w:p w14:paraId="2D2AAE0C" w14:textId="3886A5E2" w:rsidR="006A7E7B" w:rsidRDefault="006A7E7B" w:rsidP="0023615B">
      <w:pPr>
        <w:ind w:left="720" w:firstLine="720"/>
        <w:rPr>
          <w:color w:val="auto"/>
        </w:rPr>
      </w:pPr>
      <w:proofErr w:type="spellStart"/>
      <w:r>
        <w:rPr>
          <w:color w:val="auto"/>
        </w:rPr>
        <w:t>mission_metric</w:t>
      </w:r>
      <w:proofErr w:type="spellEnd"/>
      <w:r>
        <w:rPr>
          <w:color w:val="auto"/>
        </w:rPr>
        <w:t xml:space="preserve"> can be LOCL, RTDC, TTL</w:t>
      </w:r>
    </w:p>
    <w:p w14:paraId="6AE9BF53" w14:textId="337B446B" w:rsidR="00916BB1" w:rsidRPr="0023615B" w:rsidRDefault="00916BB1" w:rsidP="0023615B">
      <w:pPr>
        <w:rPr>
          <w:color w:val="auto"/>
        </w:rPr>
      </w:pPr>
      <w:r>
        <w:rPr>
          <w:color w:val="auto"/>
        </w:rPr>
        <w:t>The following a</w:t>
      </w:r>
      <w:r w:rsidRPr="009E02B5">
        <w:rPr>
          <w:color w:val="auto"/>
        </w:rPr>
        <w:t>ssumptions</w:t>
      </w:r>
      <w:r>
        <w:rPr>
          <w:color w:val="auto"/>
        </w:rPr>
        <w:t xml:space="preserve"> and limitations</w:t>
      </w:r>
      <w:r w:rsidRPr="009E02B5">
        <w:rPr>
          <w:color w:val="auto"/>
        </w:rPr>
        <w:t xml:space="preserve"> </w:t>
      </w:r>
      <w:r>
        <w:rPr>
          <w:color w:val="auto"/>
        </w:rPr>
        <w:t>were used to simplify this analysis</w:t>
      </w:r>
      <w:r w:rsidRPr="009E02B5">
        <w:rPr>
          <w:color w:val="auto"/>
        </w:rPr>
        <w:t>:</w:t>
      </w:r>
    </w:p>
    <w:p w14:paraId="245DC74B" w14:textId="1266DC0C" w:rsidR="00916BB1" w:rsidRDefault="00916BB1" w:rsidP="00916BB1">
      <w:pPr>
        <w:pStyle w:val="ListParagraph"/>
        <w:numPr>
          <w:ilvl w:val="0"/>
          <w:numId w:val="13"/>
        </w:numPr>
        <w:rPr>
          <w:color w:val="auto"/>
        </w:rPr>
      </w:pPr>
      <w:r w:rsidRPr="009E02B5">
        <w:rPr>
          <w:color w:val="auto"/>
        </w:rPr>
        <w:t xml:space="preserve">The </w:t>
      </w:r>
      <w:r>
        <w:rPr>
          <w:color w:val="auto"/>
        </w:rPr>
        <w:t>IMPACT-MD was assumed to</w:t>
      </w:r>
      <w:r w:rsidRPr="009E02B5">
        <w:rPr>
          <w:color w:val="auto"/>
        </w:rPr>
        <w:t xml:space="preserve"> represent </w:t>
      </w:r>
      <w:r>
        <w:rPr>
          <w:color w:val="auto"/>
        </w:rPr>
        <w:t>a Mars LDEM even though it was designed for a Lunar LDEM</w:t>
      </w:r>
    </w:p>
    <w:p w14:paraId="3CB350B4" w14:textId="6BAAE97F" w:rsidR="00916BB1" w:rsidRDefault="00916BB1" w:rsidP="00916BB1">
      <w:pPr>
        <w:pStyle w:val="ListParagraph"/>
        <w:numPr>
          <w:ilvl w:val="0"/>
          <w:numId w:val="13"/>
        </w:numPr>
        <w:rPr>
          <w:color w:val="auto"/>
        </w:rPr>
      </w:pPr>
      <w:r>
        <w:rPr>
          <w:color w:val="auto"/>
        </w:rPr>
        <w:t xml:space="preserve">The mission lasts 26 months, </w:t>
      </w:r>
      <w:r w:rsidR="006C5AEF">
        <w:rPr>
          <w:color w:val="auto"/>
        </w:rPr>
        <w:t xml:space="preserve">with </w:t>
      </w:r>
      <w:proofErr w:type="gramStart"/>
      <w:r>
        <w:rPr>
          <w:color w:val="auto"/>
        </w:rPr>
        <w:t>7 month</w:t>
      </w:r>
      <w:proofErr w:type="gramEnd"/>
      <w:r>
        <w:rPr>
          <w:color w:val="auto"/>
        </w:rPr>
        <w:t xml:space="preserve"> transits and 12 months on the Martian surface </w:t>
      </w:r>
    </w:p>
    <w:p w14:paraId="462BD5AB" w14:textId="77777777" w:rsidR="00916BB1" w:rsidRPr="009E02B5" w:rsidRDefault="00916BB1" w:rsidP="00916BB1">
      <w:pPr>
        <w:pStyle w:val="ListParagraph"/>
        <w:numPr>
          <w:ilvl w:val="0"/>
          <w:numId w:val="13"/>
        </w:numPr>
        <w:rPr>
          <w:color w:val="auto"/>
        </w:rPr>
      </w:pPr>
      <w:r>
        <w:rPr>
          <w:color w:val="auto"/>
        </w:rPr>
        <w:t>The mission has 3 male and 3 female crew members</w:t>
      </w:r>
    </w:p>
    <w:p w14:paraId="1AB0D784" w14:textId="376DAF14" w:rsidR="00916BB1" w:rsidRDefault="00916BB1" w:rsidP="00916BB1">
      <w:pPr>
        <w:pStyle w:val="ListParagraph"/>
        <w:numPr>
          <w:ilvl w:val="0"/>
          <w:numId w:val="13"/>
        </w:numPr>
        <w:rPr>
          <w:color w:val="auto"/>
        </w:rPr>
      </w:pPr>
      <w:r>
        <w:rPr>
          <w:color w:val="auto"/>
        </w:rPr>
        <w:t>All c</w:t>
      </w:r>
      <w:r w:rsidRPr="009E02B5">
        <w:rPr>
          <w:color w:val="auto"/>
        </w:rPr>
        <w:t>ondition</w:t>
      </w:r>
      <w:r>
        <w:rPr>
          <w:color w:val="auto"/>
        </w:rPr>
        <w:t>s can occur to any crew member at any point during the mission except</w:t>
      </w:r>
      <w:r w:rsidR="00E36207">
        <w:rPr>
          <w:color w:val="auto"/>
        </w:rPr>
        <w:t>:</w:t>
      </w:r>
    </w:p>
    <w:p w14:paraId="0D48A6FE" w14:textId="1AFC9DC2" w:rsidR="00916BB1" w:rsidRDefault="00916BB1" w:rsidP="00916BB1">
      <w:pPr>
        <w:pStyle w:val="ListParagraph"/>
        <w:numPr>
          <w:ilvl w:val="1"/>
          <w:numId w:val="13"/>
        </w:numPr>
        <w:rPr>
          <w:color w:val="auto"/>
        </w:rPr>
      </w:pPr>
      <w:r>
        <w:rPr>
          <w:color w:val="auto"/>
        </w:rPr>
        <w:t>Extravehicular Activity (EVA): Each crew member performs 1 EVA</w:t>
      </w:r>
      <w:r w:rsidR="00184C73">
        <w:rPr>
          <w:color w:val="auto"/>
        </w:rPr>
        <w:t xml:space="preserve"> per </w:t>
      </w:r>
      <w:r>
        <w:rPr>
          <w:color w:val="auto"/>
        </w:rPr>
        <w:t>week on the destination surface for a total of 624 EVAs. EVA conditions can only occur while on EVA</w:t>
      </w:r>
      <w:r w:rsidR="00E36207">
        <w:rPr>
          <w:color w:val="auto"/>
        </w:rPr>
        <w:t>.</w:t>
      </w:r>
      <w:r>
        <w:rPr>
          <w:color w:val="auto"/>
        </w:rPr>
        <w:t xml:space="preserve"> </w:t>
      </w:r>
    </w:p>
    <w:p w14:paraId="373B0F0D" w14:textId="0C056F05" w:rsidR="00916BB1" w:rsidRDefault="00916BB1" w:rsidP="00916BB1">
      <w:pPr>
        <w:pStyle w:val="ListParagraph"/>
        <w:numPr>
          <w:ilvl w:val="1"/>
          <w:numId w:val="13"/>
        </w:numPr>
        <w:rPr>
          <w:color w:val="auto"/>
        </w:rPr>
      </w:pPr>
      <w:r>
        <w:rPr>
          <w:color w:val="auto"/>
        </w:rPr>
        <w:t xml:space="preserve">Space Adaptation Syndrome conditions can only occur during the </w:t>
      </w:r>
      <w:r w:rsidR="00184C73">
        <w:rPr>
          <w:color w:val="auto"/>
        </w:rPr>
        <w:t xml:space="preserve">first </w:t>
      </w:r>
      <w:r>
        <w:rPr>
          <w:color w:val="auto"/>
        </w:rPr>
        <w:t>5 days after launch from either Earth or the destination.</w:t>
      </w:r>
    </w:p>
    <w:p w14:paraId="6FBD4913" w14:textId="77777777" w:rsidR="00916BB1" w:rsidRDefault="00916BB1" w:rsidP="00916BB1">
      <w:pPr>
        <w:pStyle w:val="ListParagraph"/>
        <w:numPr>
          <w:ilvl w:val="1"/>
          <w:numId w:val="13"/>
        </w:numPr>
        <w:rPr>
          <w:color w:val="auto"/>
        </w:rPr>
      </w:pPr>
      <w:r>
        <w:rPr>
          <w:color w:val="auto"/>
        </w:rPr>
        <w:t>Gravity Well Adaptation Syndrome conditions only occur within 5 days of landing at the destination.</w:t>
      </w:r>
    </w:p>
    <w:p w14:paraId="4BA9588F" w14:textId="77777777" w:rsidR="00916BB1" w:rsidRDefault="00916BB1" w:rsidP="00916BB1">
      <w:pPr>
        <w:pStyle w:val="ListParagraph"/>
        <w:numPr>
          <w:ilvl w:val="1"/>
          <w:numId w:val="13"/>
        </w:numPr>
        <w:rPr>
          <w:color w:val="auto"/>
        </w:rPr>
      </w:pPr>
      <w:r>
        <w:rPr>
          <w:color w:val="auto"/>
        </w:rPr>
        <w:t xml:space="preserve">Surface Operation Conditions only occur during the 12 </w:t>
      </w:r>
      <w:proofErr w:type="gramStart"/>
      <w:r>
        <w:rPr>
          <w:color w:val="auto"/>
        </w:rPr>
        <w:t>month</w:t>
      </w:r>
      <w:proofErr w:type="gramEnd"/>
      <w:r>
        <w:rPr>
          <w:color w:val="auto"/>
        </w:rPr>
        <w:t xml:space="preserve"> stay on the destination surface </w:t>
      </w:r>
    </w:p>
    <w:p w14:paraId="3AB74D20" w14:textId="77777777" w:rsidR="00916BB1" w:rsidRPr="00951911" w:rsidRDefault="00916BB1" w:rsidP="00916BB1">
      <w:pPr>
        <w:pStyle w:val="ListParagraph"/>
        <w:numPr>
          <w:ilvl w:val="1"/>
          <w:numId w:val="13"/>
        </w:numPr>
        <w:rPr>
          <w:color w:val="auto"/>
        </w:rPr>
      </w:pPr>
      <w:r>
        <w:rPr>
          <w:color w:val="auto"/>
        </w:rPr>
        <w:t>Male/Female specific conditions can only occur to 3 of the 6 crew.</w:t>
      </w:r>
    </w:p>
    <w:p w14:paraId="2516A309" w14:textId="3C56C9BF" w:rsidR="00916BB1" w:rsidRPr="009E02B5" w:rsidRDefault="00916BB1" w:rsidP="00916BB1">
      <w:pPr>
        <w:pStyle w:val="ListParagraph"/>
        <w:numPr>
          <w:ilvl w:val="0"/>
          <w:numId w:val="13"/>
        </w:numPr>
        <w:rPr>
          <w:color w:val="auto"/>
        </w:rPr>
      </w:pPr>
      <w:r>
        <w:rPr>
          <w:color w:val="auto"/>
        </w:rPr>
        <w:t>M</w:t>
      </w:r>
      <w:r w:rsidRPr="009E02B5">
        <w:rPr>
          <w:color w:val="auto"/>
        </w:rPr>
        <w:t xml:space="preserve">ean probability </w:t>
      </w:r>
      <w:r w:rsidR="005F2D7C">
        <w:rPr>
          <w:color w:val="auto"/>
        </w:rPr>
        <w:t xml:space="preserve">of a condition occurrence </w:t>
      </w:r>
      <w:r w:rsidRPr="009E02B5">
        <w:rPr>
          <w:color w:val="auto"/>
        </w:rPr>
        <w:t xml:space="preserve">is constant for </w:t>
      </w:r>
      <w:r w:rsidR="007B31E6">
        <w:rPr>
          <w:color w:val="auto"/>
        </w:rPr>
        <w:t xml:space="preserve">the </w:t>
      </w:r>
      <w:r w:rsidRPr="009E02B5">
        <w:rPr>
          <w:color w:val="auto"/>
        </w:rPr>
        <w:t>duration of mission</w:t>
      </w:r>
      <w:r>
        <w:rPr>
          <w:color w:val="auto"/>
        </w:rPr>
        <w:t xml:space="preserve">. </w:t>
      </w:r>
    </w:p>
    <w:p w14:paraId="70796503" w14:textId="683CC9A1" w:rsidR="00916BB1" w:rsidRPr="00951911" w:rsidRDefault="00916BB1" w:rsidP="00916BB1">
      <w:pPr>
        <w:pStyle w:val="ListParagraph"/>
        <w:numPr>
          <w:ilvl w:val="0"/>
          <w:numId w:val="13"/>
        </w:numPr>
        <w:rPr>
          <w:color w:val="auto"/>
        </w:rPr>
      </w:pPr>
      <w:r w:rsidRPr="00951911">
        <w:rPr>
          <w:color w:val="auto"/>
        </w:rPr>
        <w:t xml:space="preserve">Capabilities required to treat a condition can only be performed by a provider </w:t>
      </w:r>
      <w:r w:rsidR="007B31E6">
        <w:rPr>
          <w:color w:val="auto"/>
        </w:rPr>
        <w:t>with</w:t>
      </w:r>
      <w:r w:rsidRPr="00951911">
        <w:rPr>
          <w:color w:val="auto"/>
        </w:rPr>
        <w:t xml:space="preserve"> </w:t>
      </w:r>
      <w:r w:rsidR="00184C73">
        <w:rPr>
          <w:color w:val="auto"/>
        </w:rPr>
        <w:t xml:space="preserve">equal to </w:t>
      </w:r>
      <w:r w:rsidR="00C201DD">
        <w:rPr>
          <w:color w:val="auto"/>
        </w:rPr>
        <w:t xml:space="preserve">or </w:t>
      </w:r>
      <w:r w:rsidR="00184C73">
        <w:rPr>
          <w:color w:val="auto"/>
        </w:rPr>
        <w:t xml:space="preserve">greater </w:t>
      </w:r>
      <w:r w:rsidRPr="00951911">
        <w:rPr>
          <w:color w:val="auto"/>
        </w:rPr>
        <w:t>SoP level</w:t>
      </w:r>
      <w:r w:rsidR="00C201DD">
        <w:rPr>
          <w:color w:val="auto"/>
        </w:rPr>
        <w:t xml:space="preserve"> than the maximum SoP capability required.</w:t>
      </w:r>
      <w:r w:rsidR="00184C73">
        <w:rPr>
          <w:color w:val="auto"/>
        </w:rPr>
        <w:t xml:space="preserve"> CDSS assistance can be included to increase SoP level</w:t>
      </w:r>
      <w:r w:rsidRPr="00951911">
        <w:rPr>
          <w:color w:val="auto"/>
        </w:rPr>
        <w:t>.</w:t>
      </w:r>
    </w:p>
    <w:p w14:paraId="7C250EA2" w14:textId="77777777" w:rsidR="00916BB1" w:rsidRPr="00951911" w:rsidRDefault="00916BB1" w:rsidP="00916BB1">
      <w:pPr>
        <w:pStyle w:val="ListParagraph"/>
        <w:numPr>
          <w:ilvl w:val="0"/>
          <w:numId w:val="13"/>
        </w:numPr>
        <w:rPr>
          <w:color w:val="auto"/>
        </w:rPr>
      </w:pPr>
      <w:r>
        <w:rPr>
          <w:color w:val="auto"/>
        </w:rPr>
        <w:t xml:space="preserve">All capabilities must be performed to treat a condition. </w:t>
      </w:r>
    </w:p>
    <w:p w14:paraId="34AF6872" w14:textId="77777777" w:rsidR="00916BB1" w:rsidRPr="009E02B5" w:rsidRDefault="00916BB1" w:rsidP="00916BB1">
      <w:pPr>
        <w:pStyle w:val="ListParagraph"/>
        <w:numPr>
          <w:ilvl w:val="0"/>
          <w:numId w:val="13"/>
        </w:numPr>
        <w:rPr>
          <w:color w:val="auto"/>
        </w:rPr>
      </w:pPr>
      <w:r>
        <w:rPr>
          <w:color w:val="auto"/>
        </w:rPr>
        <w:t>Treatment r</w:t>
      </w:r>
      <w:r w:rsidRPr="009E02B5">
        <w:rPr>
          <w:color w:val="auto"/>
        </w:rPr>
        <w:t>esource</w:t>
      </w:r>
      <w:r>
        <w:rPr>
          <w:color w:val="auto"/>
        </w:rPr>
        <w:t>s</w:t>
      </w:r>
      <w:r w:rsidRPr="009E02B5">
        <w:rPr>
          <w:color w:val="auto"/>
        </w:rPr>
        <w:t xml:space="preserve"> </w:t>
      </w:r>
      <w:r>
        <w:rPr>
          <w:color w:val="auto"/>
        </w:rPr>
        <w:t>are unlimited</w:t>
      </w:r>
      <w:r w:rsidRPr="009E02B5">
        <w:rPr>
          <w:color w:val="auto"/>
        </w:rPr>
        <w:t>.</w:t>
      </w:r>
    </w:p>
    <w:p w14:paraId="4846A02D" w14:textId="4E895C7C" w:rsidR="00916BB1" w:rsidRPr="00901A05" w:rsidRDefault="00916BB1" w:rsidP="00916BB1">
      <w:pPr>
        <w:pStyle w:val="ListParagraph"/>
        <w:numPr>
          <w:ilvl w:val="0"/>
          <w:numId w:val="13"/>
        </w:numPr>
      </w:pPr>
      <w:r w:rsidRPr="009E02B5">
        <w:rPr>
          <w:color w:val="auto"/>
        </w:rPr>
        <w:t xml:space="preserve">Task impairments sum linearly and are evenly distributed across the crew. </w:t>
      </w:r>
    </w:p>
    <w:p w14:paraId="7755ACF8" w14:textId="1461FBC5" w:rsidR="00E0229C" w:rsidRDefault="00AD5AA1" w:rsidP="0023615B">
      <w:pPr>
        <w:pStyle w:val="ListParagraph"/>
        <w:numPr>
          <w:ilvl w:val="0"/>
          <w:numId w:val="13"/>
        </w:numPr>
        <w:rPr>
          <w:color w:val="auto"/>
        </w:rPr>
      </w:pPr>
      <w:r>
        <w:rPr>
          <w:color w:val="auto"/>
        </w:rPr>
        <w:t>Task impairment only applies to the affected crewmember. It does not include the time lost by the treating CMO.</w:t>
      </w:r>
    </w:p>
    <w:p w14:paraId="7D03C322" w14:textId="050D20B4" w:rsidR="001430AA" w:rsidRPr="00E0229C" w:rsidRDefault="00E0229C" w:rsidP="00E0229C">
      <w:pPr>
        <w:autoSpaceDE/>
        <w:autoSpaceDN/>
        <w:adjustRightInd/>
        <w:spacing w:after="0"/>
        <w:rPr>
          <w:color w:val="auto"/>
        </w:rPr>
      </w:pPr>
      <w:r>
        <w:rPr>
          <w:color w:val="auto"/>
        </w:rPr>
        <w:br w:type="page"/>
      </w:r>
    </w:p>
    <w:p w14:paraId="43855F36" w14:textId="78A4E14C" w:rsidR="00C201DD" w:rsidRDefault="00C201DD" w:rsidP="0023615B">
      <w:pPr>
        <w:pStyle w:val="Caption"/>
        <w:keepNext/>
      </w:pPr>
      <w:bookmarkStart w:id="2" w:name="_Ref101805973"/>
      <w:r>
        <w:lastRenderedPageBreak/>
        <w:t xml:space="preserve">Table </w:t>
      </w:r>
      <w:r>
        <w:fldChar w:fldCharType="begin"/>
      </w:r>
      <w:r>
        <w:instrText xml:space="preserve"> SEQ Table \* ARABIC </w:instrText>
      </w:r>
      <w:r>
        <w:fldChar w:fldCharType="separate"/>
      </w:r>
      <w:r w:rsidR="00E93F26">
        <w:rPr>
          <w:noProof/>
        </w:rPr>
        <w:t>3</w:t>
      </w:r>
      <w:r>
        <w:fldChar w:fldCharType="end"/>
      </w:r>
      <w:bookmarkEnd w:id="2"/>
      <w:r>
        <w:t xml:space="preserve"> </w:t>
      </w:r>
      <w:r w:rsidR="00E93F26">
        <w:t xml:space="preserve">Absolute mission metrics using </w:t>
      </w:r>
      <w:proofErr w:type="gramStart"/>
      <w:r w:rsidR="00E93F26">
        <w:t>on  IMPACT</w:t>
      </w:r>
      <w:proofErr w:type="gramEnd"/>
      <w:r w:rsidR="00E93F26">
        <w:t xml:space="preserve"> simulated outcomes by on-board Scope of Practice level</w:t>
      </w:r>
      <w:r w:rsidR="00E93F26">
        <w:rPr>
          <w:vertAlign w:val="superscript"/>
        </w:rPr>
        <w:t xml:space="preserve"> </w:t>
      </w:r>
    </w:p>
    <w:tbl>
      <w:tblPr>
        <w:tblW w:w="0" w:type="auto"/>
        <w:tblLayout w:type="fixed"/>
        <w:tblLook w:val="04A0" w:firstRow="1" w:lastRow="0" w:firstColumn="1" w:lastColumn="0" w:noHBand="0" w:noVBand="1"/>
      </w:tblPr>
      <w:tblGrid>
        <w:gridCol w:w="423"/>
        <w:gridCol w:w="298"/>
        <w:gridCol w:w="1038"/>
        <w:gridCol w:w="1119"/>
        <w:gridCol w:w="1119"/>
        <w:gridCol w:w="1119"/>
        <w:gridCol w:w="1038"/>
        <w:gridCol w:w="1491"/>
        <w:gridCol w:w="236"/>
      </w:tblGrid>
      <w:tr w:rsidR="00C44CDB" w:rsidRPr="00293A49" w14:paraId="2EA4CBCC" w14:textId="77777777" w:rsidTr="00C44CDB">
        <w:trPr>
          <w:cantSplit/>
          <w:trHeight w:val="144"/>
        </w:trPr>
        <w:tc>
          <w:tcPr>
            <w:tcW w:w="423" w:type="dxa"/>
            <w:tcBorders>
              <w:top w:val="single" w:sz="8" w:space="0" w:color="auto"/>
              <w:left w:val="single" w:sz="8" w:space="0" w:color="auto"/>
              <w:bottom w:val="nil"/>
              <w:right w:val="single" w:sz="8" w:space="0" w:color="auto"/>
            </w:tcBorders>
            <w:shd w:val="clear" w:color="000000" w:fill="000000"/>
            <w:noWrap/>
            <w:vAlign w:val="center"/>
            <w:hideMark/>
          </w:tcPr>
          <w:p w14:paraId="2CD98D6C" w14:textId="77777777" w:rsidR="0092469B" w:rsidRPr="0092469B" w:rsidRDefault="0092469B" w:rsidP="00C32B3F">
            <w:pPr>
              <w:autoSpaceDE/>
              <w:autoSpaceDN/>
              <w:adjustRightInd/>
              <w:spacing w:after="0"/>
              <w:jc w:val="center"/>
              <w:rPr>
                <w:rFonts w:ascii="Calibri" w:eastAsia="Times New Roman" w:hAnsi="Calibri" w:cs="Calibri"/>
                <w:color w:val="000000"/>
                <w:sz w:val="16"/>
                <w:szCs w:val="16"/>
              </w:rPr>
            </w:pPr>
          </w:p>
        </w:tc>
        <w:tc>
          <w:tcPr>
            <w:tcW w:w="7222"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31132E4B" w14:textId="77777777" w:rsidR="0092469B" w:rsidRPr="0092469B" w:rsidRDefault="0092469B" w:rsidP="00C32B3F">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Mean Patient Task Time Lost per Mission by SoP (Hours)</w:t>
            </w:r>
          </w:p>
        </w:tc>
        <w:tc>
          <w:tcPr>
            <w:tcW w:w="222" w:type="dxa"/>
            <w:tcBorders>
              <w:top w:val="nil"/>
              <w:left w:val="nil"/>
              <w:bottom w:val="nil"/>
              <w:right w:val="nil"/>
            </w:tcBorders>
            <w:shd w:val="clear" w:color="auto" w:fill="auto"/>
            <w:noWrap/>
            <w:vAlign w:val="center"/>
            <w:hideMark/>
          </w:tcPr>
          <w:p w14:paraId="47E3C6B7" w14:textId="77777777" w:rsidR="0092469B" w:rsidRPr="0092469B" w:rsidRDefault="0092469B" w:rsidP="00C32B3F">
            <w:pPr>
              <w:autoSpaceDE/>
              <w:autoSpaceDN/>
              <w:adjustRightInd/>
              <w:spacing w:after="0"/>
              <w:jc w:val="center"/>
              <w:rPr>
                <w:rFonts w:ascii="Calibri" w:eastAsia="Times New Roman" w:hAnsi="Calibri" w:cs="Calibri"/>
                <w:color w:val="000000"/>
                <w:sz w:val="16"/>
                <w:szCs w:val="16"/>
              </w:rPr>
            </w:pPr>
          </w:p>
        </w:tc>
      </w:tr>
      <w:tr w:rsidR="00C44CDB" w:rsidRPr="00293A49" w14:paraId="670C602E" w14:textId="77777777" w:rsidTr="00C44CDB">
        <w:trPr>
          <w:cantSplit/>
          <w:trHeight w:val="144"/>
        </w:trPr>
        <w:tc>
          <w:tcPr>
            <w:tcW w:w="42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32B154C" w14:textId="696433E6" w:rsidR="0092469B" w:rsidRPr="0092469B" w:rsidRDefault="004860F5"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Cognitive</w:t>
            </w:r>
            <w:r w:rsidR="0092469B" w:rsidRPr="0092469B">
              <w:rPr>
                <w:rFonts w:ascii="Calibri" w:eastAsia="Times New Roman" w:hAnsi="Calibri" w:cs="Calibri"/>
                <w:color w:val="000000"/>
                <w:sz w:val="16"/>
                <w:szCs w:val="16"/>
              </w:rPr>
              <w:t xml:space="preserve"> SoP</w:t>
            </w:r>
          </w:p>
        </w:tc>
        <w:tc>
          <w:tcPr>
            <w:tcW w:w="7222" w:type="dxa"/>
            <w:gridSpan w:val="7"/>
            <w:tcBorders>
              <w:top w:val="nil"/>
              <w:left w:val="nil"/>
              <w:bottom w:val="single" w:sz="8" w:space="0" w:color="auto"/>
              <w:right w:val="single" w:sz="8" w:space="0" w:color="000000"/>
            </w:tcBorders>
            <w:shd w:val="clear" w:color="auto" w:fill="auto"/>
            <w:noWrap/>
            <w:vAlign w:val="center"/>
            <w:hideMark/>
          </w:tcPr>
          <w:p w14:paraId="26DCC35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Procedural SoP</w:t>
            </w:r>
          </w:p>
        </w:tc>
        <w:tc>
          <w:tcPr>
            <w:tcW w:w="222" w:type="dxa"/>
            <w:tcBorders>
              <w:top w:val="nil"/>
              <w:left w:val="nil"/>
              <w:bottom w:val="nil"/>
              <w:right w:val="nil"/>
            </w:tcBorders>
            <w:shd w:val="clear" w:color="auto" w:fill="auto"/>
            <w:noWrap/>
            <w:vAlign w:val="center"/>
            <w:hideMark/>
          </w:tcPr>
          <w:p w14:paraId="7E3E224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22DFB755"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60D2BF5E"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1004604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1038" w:type="dxa"/>
            <w:tcBorders>
              <w:top w:val="nil"/>
              <w:left w:val="nil"/>
              <w:bottom w:val="nil"/>
              <w:right w:val="nil"/>
            </w:tcBorders>
            <w:shd w:val="clear" w:color="000000" w:fill="BFBFBF"/>
            <w:noWrap/>
            <w:vAlign w:val="center"/>
            <w:hideMark/>
          </w:tcPr>
          <w:p w14:paraId="12ED4EB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w:t>
            </w:r>
          </w:p>
        </w:tc>
        <w:tc>
          <w:tcPr>
            <w:tcW w:w="1119" w:type="dxa"/>
            <w:tcBorders>
              <w:top w:val="nil"/>
              <w:left w:val="nil"/>
              <w:bottom w:val="nil"/>
              <w:right w:val="nil"/>
            </w:tcBorders>
            <w:shd w:val="clear" w:color="000000" w:fill="BFBFBF"/>
            <w:noWrap/>
            <w:vAlign w:val="center"/>
            <w:hideMark/>
          </w:tcPr>
          <w:p w14:paraId="34F0B52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w:t>
            </w:r>
          </w:p>
        </w:tc>
        <w:tc>
          <w:tcPr>
            <w:tcW w:w="1119" w:type="dxa"/>
            <w:tcBorders>
              <w:top w:val="nil"/>
              <w:left w:val="nil"/>
              <w:bottom w:val="nil"/>
              <w:right w:val="nil"/>
            </w:tcBorders>
            <w:shd w:val="clear" w:color="000000" w:fill="BFBFBF"/>
            <w:noWrap/>
            <w:vAlign w:val="center"/>
            <w:hideMark/>
          </w:tcPr>
          <w:p w14:paraId="1162F66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w:t>
            </w:r>
          </w:p>
        </w:tc>
        <w:tc>
          <w:tcPr>
            <w:tcW w:w="1119" w:type="dxa"/>
            <w:tcBorders>
              <w:top w:val="nil"/>
              <w:left w:val="nil"/>
              <w:bottom w:val="nil"/>
              <w:right w:val="nil"/>
            </w:tcBorders>
            <w:shd w:val="clear" w:color="000000" w:fill="BFBFBF"/>
            <w:noWrap/>
            <w:vAlign w:val="center"/>
            <w:hideMark/>
          </w:tcPr>
          <w:p w14:paraId="1C94C29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w:t>
            </w:r>
          </w:p>
        </w:tc>
        <w:tc>
          <w:tcPr>
            <w:tcW w:w="1038" w:type="dxa"/>
            <w:tcBorders>
              <w:top w:val="nil"/>
              <w:left w:val="nil"/>
              <w:bottom w:val="nil"/>
              <w:right w:val="nil"/>
            </w:tcBorders>
            <w:shd w:val="clear" w:color="000000" w:fill="BFBFBF"/>
            <w:noWrap/>
            <w:vAlign w:val="center"/>
            <w:hideMark/>
          </w:tcPr>
          <w:p w14:paraId="11F8D7A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w:t>
            </w:r>
          </w:p>
        </w:tc>
        <w:tc>
          <w:tcPr>
            <w:tcW w:w="1491" w:type="dxa"/>
            <w:tcBorders>
              <w:top w:val="nil"/>
              <w:left w:val="nil"/>
              <w:bottom w:val="nil"/>
              <w:right w:val="single" w:sz="8" w:space="0" w:color="auto"/>
            </w:tcBorders>
            <w:shd w:val="clear" w:color="000000" w:fill="BFBFBF"/>
            <w:noWrap/>
            <w:vAlign w:val="center"/>
            <w:hideMark/>
          </w:tcPr>
          <w:p w14:paraId="12768E4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5</w:t>
            </w:r>
          </w:p>
        </w:tc>
        <w:tc>
          <w:tcPr>
            <w:tcW w:w="222" w:type="dxa"/>
            <w:tcBorders>
              <w:top w:val="nil"/>
              <w:left w:val="nil"/>
              <w:bottom w:val="nil"/>
              <w:right w:val="nil"/>
            </w:tcBorders>
            <w:shd w:val="clear" w:color="auto" w:fill="auto"/>
            <w:noWrap/>
            <w:vAlign w:val="center"/>
            <w:hideMark/>
          </w:tcPr>
          <w:p w14:paraId="693D9E8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1AA9805B"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2024F59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44ED7BE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w:t>
            </w:r>
          </w:p>
        </w:tc>
        <w:tc>
          <w:tcPr>
            <w:tcW w:w="1038" w:type="dxa"/>
            <w:tcBorders>
              <w:top w:val="nil"/>
              <w:left w:val="nil"/>
              <w:bottom w:val="nil"/>
              <w:right w:val="nil"/>
            </w:tcBorders>
            <w:shd w:val="clear" w:color="auto" w:fill="auto"/>
            <w:noWrap/>
            <w:vAlign w:val="center"/>
            <w:hideMark/>
          </w:tcPr>
          <w:p w14:paraId="65B6A6DA" w14:textId="2D66511D"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(4427, 4427)</w:t>
            </w:r>
          </w:p>
        </w:tc>
        <w:tc>
          <w:tcPr>
            <w:tcW w:w="1119" w:type="dxa"/>
            <w:tcBorders>
              <w:top w:val="nil"/>
              <w:left w:val="nil"/>
              <w:bottom w:val="nil"/>
              <w:right w:val="nil"/>
            </w:tcBorders>
            <w:shd w:val="clear" w:color="auto" w:fill="auto"/>
            <w:noWrap/>
            <w:vAlign w:val="center"/>
            <w:hideMark/>
          </w:tcPr>
          <w:p w14:paraId="2B2BEEE9" w14:textId="3C29DE80"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(4427, 4425)</w:t>
            </w:r>
          </w:p>
        </w:tc>
        <w:tc>
          <w:tcPr>
            <w:tcW w:w="1119" w:type="dxa"/>
            <w:tcBorders>
              <w:top w:val="nil"/>
              <w:left w:val="nil"/>
              <w:bottom w:val="nil"/>
              <w:right w:val="nil"/>
            </w:tcBorders>
            <w:shd w:val="clear" w:color="auto" w:fill="auto"/>
            <w:noWrap/>
            <w:vAlign w:val="center"/>
            <w:hideMark/>
          </w:tcPr>
          <w:p w14:paraId="4F7921D5" w14:textId="725375F5"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(4427, 4425)</w:t>
            </w:r>
          </w:p>
        </w:tc>
        <w:tc>
          <w:tcPr>
            <w:tcW w:w="1119" w:type="dxa"/>
            <w:tcBorders>
              <w:top w:val="nil"/>
              <w:left w:val="nil"/>
              <w:bottom w:val="nil"/>
              <w:right w:val="nil"/>
            </w:tcBorders>
            <w:shd w:val="clear" w:color="auto" w:fill="auto"/>
            <w:noWrap/>
            <w:vAlign w:val="center"/>
            <w:hideMark/>
          </w:tcPr>
          <w:p w14:paraId="7513C344" w14:textId="239241DB"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(4427, 442</w:t>
            </w:r>
            <w:r>
              <w:rPr>
                <w:rFonts w:ascii="Calibri" w:eastAsia="Times New Roman" w:hAnsi="Calibri" w:cs="Calibri"/>
                <w:color w:val="000000"/>
                <w:sz w:val="16"/>
                <w:szCs w:val="16"/>
              </w:rPr>
              <w:t>5</w:t>
            </w:r>
            <w:r w:rsidRPr="0092469B">
              <w:rPr>
                <w:rFonts w:ascii="Calibri" w:eastAsia="Times New Roman" w:hAnsi="Calibri" w:cs="Calibri"/>
                <w:color w:val="000000"/>
                <w:sz w:val="16"/>
                <w:szCs w:val="16"/>
              </w:rPr>
              <w:t>)</w:t>
            </w:r>
          </w:p>
        </w:tc>
        <w:tc>
          <w:tcPr>
            <w:tcW w:w="1038" w:type="dxa"/>
            <w:tcBorders>
              <w:top w:val="nil"/>
              <w:left w:val="nil"/>
              <w:bottom w:val="nil"/>
              <w:right w:val="nil"/>
            </w:tcBorders>
            <w:shd w:val="clear" w:color="auto" w:fill="auto"/>
            <w:noWrap/>
            <w:vAlign w:val="center"/>
            <w:hideMark/>
          </w:tcPr>
          <w:p w14:paraId="1236EE35" w14:textId="0F5F75B1"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(4427, 4418)</w:t>
            </w:r>
          </w:p>
        </w:tc>
        <w:tc>
          <w:tcPr>
            <w:tcW w:w="1491" w:type="dxa"/>
            <w:tcBorders>
              <w:top w:val="nil"/>
              <w:left w:val="nil"/>
              <w:bottom w:val="nil"/>
              <w:right w:val="single" w:sz="8" w:space="0" w:color="auto"/>
            </w:tcBorders>
            <w:shd w:val="clear" w:color="auto" w:fill="auto"/>
            <w:noWrap/>
            <w:vAlign w:val="center"/>
            <w:hideMark/>
          </w:tcPr>
          <w:p w14:paraId="605D2D4F" w14:textId="198E3C41"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(4427, 441</w:t>
            </w:r>
            <w:r>
              <w:rPr>
                <w:rFonts w:ascii="Calibri" w:eastAsia="Times New Roman" w:hAnsi="Calibri" w:cs="Calibri"/>
                <w:color w:val="000000"/>
                <w:sz w:val="16"/>
                <w:szCs w:val="16"/>
              </w:rPr>
              <w:t>8</w:t>
            </w:r>
            <w:r w:rsidRPr="0092469B">
              <w:rPr>
                <w:rFonts w:ascii="Calibri" w:eastAsia="Times New Roman" w:hAnsi="Calibri" w:cs="Calibri"/>
                <w:color w:val="000000"/>
                <w:sz w:val="16"/>
                <w:szCs w:val="16"/>
              </w:rPr>
              <w:t>)</w:t>
            </w:r>
          </w:p>
        </w:tc>
        <w:tc>
          <w:tcPr>
            <w:tcW w:w="222" w:type="dxa"/>
            <w:tcBorders>
              <w:top w:val="nil"/>
              <w:left w:val="nil"/>
              <w:bottom w:val="nil"/>
              <w:right w:val="nil"/>
            </w:tcBorders>
            <w:shd w:val="clear" w:color="auto" w:fill="auto"/>
            <w:noWrap/>
            <w:vAlign w:val="center"/>
            <w:hideMark/>
          </w:tcPr>
          <w:p w14:paraId="71A0298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31E47309"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73ADD0C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6E2EC16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w:t>
            </w:r>
          </w:p>
        </w:tc>
        <w:tc>
          <w:tcPr>
            <w:tcW w:w="1038" w:type="dxa"/>
            <w:tcBorders>
              <w:top w:val="nil"/>
              <w:left w:val="nil"/>
              <w:bottom w:val="nil"/>
              <w:right w:val="nil"/>
            </w:tcBorders>
            <w:shd w:val="clear" w:color="auto" w:fill="auto"/>
            <w:noWrap/>
            <w:vAlign w:val="center"/>
            <w:hideMark/>
          </w:tcPr>
          <w:p w14:paraId="12BE49F0" w14:textId="17D2A6A0"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(4426, 3656)</w:t>
            </w:r>
          </w:p>
        </w:tc>
        <w:tc>
          <w:tcPr>
            <w:tcW w:w="1119" w:type="dxa"/>
            <w:tcBorders>
              <w:top w:val="nil"/>
              <w:left w:val="nil"/>
              <w:bottom w:val="nil"/>
              <w:right w:val="nil"/>
            </w:tcBorders>
            <w:shd w:val="clear" w:color="auto" w:fill="auto"/>
            <w:noWrap/>
            <w:vAlign w:val="center"/>
            <w:hideMark/>
          </w:tcPr>
          <w:p w14:paraId="2927349C" w14:textId="32DD1748"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(4426, 364</w:t>
            </w:r>
            <w:r>
              <w:rPr>
                <w:rFonts w:ascii="Calibri" w:eastAsia="Times New Roman" w:hAnsi="Calibri" w:cs="Calibri"/>
                <w:color w:val="000000"/>
                <w:sz w:val="16"/>
                <w:szCs w:val="16"/>
              </w:rPr>
              <w:t>9</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601A15E4" w14:textId="337AC53B"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w:t>
            </w:r>
            <w:r>
              <w:rPr>
                <w:rFonts w:ascii="Calibri" w:eastAsia="Times New Roman" w:hAnsi="Calibri" w:cs="Calibri"/>
                <w:color w:val="000000"/>
                <w:sz w:val="16"/>
                <w:szCs w:val="16"/>
              </w:rPr>
              <w:t>7</w:t>
            </w:r>
            <w:r w:rsidRPr="0092469B">
              <w:rPr>
                <w:rFonts w:ascii="Calibri" w:eastAsia="Times New Roman" w:hAnsi="Calibri" w:cs="Calibri"/>
                <w:color w:val="000000"/>
                <w:sz w:val="16"/>
                <w:szCs w:val="16"/>
              </w:rPr>
              <w:t>, 364</w:t>
            </w:r>
            <w:r>
              <w:rPr>
                <w:rFonts w:ascii="Calibri" w:eastAsia="Times New Roman" w:hAnsi="Calibri" w:cs="Calibri"/>
                <w:color w:val="000000"/>
                <w:sz w:val="16"/>
                <w:szCs w:val="16"/>
              </w:rPr>
              <w:t>8</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63C6C822" w14:textId="4B53083B"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w:t>
            </w:r>
            <w:r>
              <w:rPr>
                <w:rFonts w:ascii="Calibri" w:eastAsia="Times New Roman" w:hAnsi="Calibri" w:cs="Calibri"/>
                <w:color w:val="000000"/>
                <w:sz w:val="16"/>
                <w:szCs w:val="16"/>
              </w:rPr>
              <w:t>7</w:t>
            </w:r>
            <w:r w:rsidRPr="0092469B">
              <w:rPr>
                <w:rFonts w:ascii="Calibri" w:eastAsia="Times New Roman" w:hAnsi="Calibri" w:cs="Calibri"/>
                <w:color w:val="000000"/>
                <w:sz w:val="16"/>
                <w:szCs w:val="16"/>
              </w:rPr>
              <w:t>, 364</w:t>
            </w:r>
            <w:r>
              <w:rPr>
                <w:rFonts w:ascii="Calibri" w:eastAsia="Times New Roman" w:hAnsi="Calibri" w:cs="Calibri"/>
                <w:color w:val="000000"/>
                <w:sz w:val="16"/>
                <w:szCs w:val="16"/>
              </w:rPr>
              <w:t>8</w:t>
            </w:r>
            <w:r w:rsidRPr="0092469B">
              <w:rPr>
                <w:rFonts w:ascii="Calibri" w:eastAsia="Times New Roman" w:hAnsi="Calibri" w:cs="Calibri"/>
                <w:color w:val="000000"/>
                <w:sz w:val="16"/>
                <w:szCs w:val="16"/>
              </w:rPr>
              <w:t>)</w:t>
            </w:r>
          </w:p>
        </w:tc>
        <w:tc>
          <w:tcPr>
            <w:tcW w:w="1038" w:type="dxa"/>
            <w:tcBorders>
              <w:top w:val="nil"/>
              <w:left w:val="nil"/>
              <w:bottom w:val="nil"/>
              <w:right w:val="nil"/>
            </w:tcBorders>
            <w:shd w:val="clear" w:color="auto" w:fill="auto"/>
            <w:noWrap/>
            <w:vAlign w:val="center"/>
            <w:hideMark/>
          </w:tcPr>
          <w:p w14:paraId="5BF8A74D" w14:textId="76BBB309"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w:t>
            </w:r>
            <w:r>
              <w:rPr>
                <w:rFonts w:ascii="Calibri" w:eastAsia="Times New Roman" w:hAnsi="Calibri" w:cs="Calibri"/>
                <w:color w:val="000000"/>
                <w:sz w:val="16"/>
                <w:szCs w:val="16"/>
              </w:rPr>
              <w:t>7</w:t>
            </w:r>
            <w:r w:rsidRPr="0092469B">
              <w:rPr>
                <w:rFonts w:ascii="Calibri" w:eastAsia="Times New Roman" w:hAnsi="Calibri" w:cs="Calibri"/>
                <w:color w:val="000000"/>
                <w:sz w:val="16"/>
                <w:szCs w:val="16"/>
              </w:rPr>
              <w:t>, 359</w:t>
            </w:r>
            <w:r>
              <w:rPr>
                <w:rFonts w:ascii="Calibri" w:eastAsia="Times New Roman" w:hAnsi="Calibri" w:cs="Calibri"/>
                <w:color w:val="000000"/>
                <w:sz w:val="16"/>
                <w:szCs w:val="16"/>
              </w:rPr>
              <w:t>4</w:t>
            </w:r>
            <w:r w:rsidRPr="0092469B">
              <w:rPr>
                <w:rFonts w:ascii="Calibri" w:eastAsia="Times New Roman" w:hAnsi="Calibri" w:cs="Calibri"/>
                <w:color w:val="000000"/>
                <w:sz w:val="16"/>
                <w:szCs w:val="16"/>
              </w:rPr>
              <w:t>)</w:t>
            </w:r>
          </w:p>
        </w:tc>
        <w:tc>
          <w:tcPr>
            <w:tcW w:w="1491" w:type="dxa"/>
            <w:tcBorders>
              <w:top w:val="nil"/>
              <w:left w:val="nil"/>
              <w:bottom w:val="nil"/>
              <w:right w:val="single" w:sz="8" w:space="0" w:color="auto"/>
            </w:tcBorders>
            <w:shd w:val="clear" w:color="auto" w:fill="auto"/>
            <w:noWrap/>
            <w:vAlign w:val="center"/>
            <w:hideMark/>
          </w:tcPr>
          <w:p w14:paraId="6D3724D7" w14:textId="4896EB1D"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w:t>
            </w:r>
            <w:r>
              <w:rPr>
                <w:rFonts w:ascii="Calibri" w:eastAsia="Times New Roman" w:hAnsi="Calibri" w:cs="Calibri"/>
                <w:color w:val="000000"/>
                <w:sz w:val="16"/>
                <w:szCs w:val="16"/>
              </w:rPr>
              <w:t>7</w:t>
            </w:r>
            <w:r w:rsidRPr="0092469B">
              <w:rPr>
                <w:rFonts w:ascii="Calibri" w:eastAsia="Times New Roman" w:hAnsi="Calibri" w:cs="Calibri"/>
                <w:color w:val="000000"/>
                <w:sz w:val="16"/>
                <w:szCs w:val="16"/>
              </w:rPr>
              <w:t>, 3592)</w:t>
            </w:r>
          </w:p>
        </w:tc>
        <w:tc>
          <w:tcPr>
            <w:tcW w:w="222" w:type="dxa"/>
            <w:tcBorders>
              <w:top w:val="nil"/>
              <w:left w:val="nil"/>
              <w:bottom w:val="nil"/>
              <w:right w:val="nil"/>
            </w:tcBorders>
            <w:shd w:val="clear" w:color="auto" w:fill="auto"/>
            <w:noWrap/>
            <w:vAlign w:val="center"/>
            <w:hideMark/>
          </w:tcPr>
          <w:p w14:paraId="778D2D3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D1A6909"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241DDD6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28C3E76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w:t>
            </w:r>
          </w:p>
        </w:tc>
        <w:tc>
          <w:tcPr>
            <w:tcW w:w="1038" w:type="dxa"/>
            <w:tcBorders>
              <w:top w:val="nil"/>
              <w:left w:val="nil"/>
              <w:bottom w:val="nil"/>
              <w:right w:val="nil"/>
            </w:tcBorders>
            <w:shd w:val="clear" w:color="auto" w:fill="auto"/>
            <w:noWrap/>
            <w:vAlign w:val="center"/>
            <w:hideMark/>
          </w:tcPr>
          <w:p w14:paraId="7E902CBB" w14:textId="7C9B4EAA"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(4425, 3637)</w:t>
            </w:r>
          </w:p>
        </w:tc>
        <w:tc>
          <w:tcPr>
            <w:tcW w:w="1119" w:type="dxa"/>
            <w:tcBorders>
              <w:top w:val="nil"/>
              <w:left w:val="nil"/>
              <w:bottom w:val="nil"/>
              <w:right w:val="nil"/>
            </w:tcBorders>
            <w:shd w:val="clear" w:color="auto" w:fill="auto"/>
            <w:noWrap/>
            <w:vAlign w:val="center"/>
            <w:hideMark/>
          </w:tcPr>
          <w:p w14:paraId="7C11007C" w14:textId="1877EC2B"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w:t>
            </w:r>
            <w:r>
              <w:rPr>
                <w:rFonts w:ascii="Calibri" w:eastAsia="Times New Roman" w:hAnsi="Calibri" w:cs="Calibri"/>
                <w:color w:val="000000"/>
                <w:sz w:val="16"/>
                <w:szCs w:val="16"/>
              </w:rPr>
              <w:t>6</w:t>
            </w:r>
            <w:r w:rsidRPr="0092469B">
              <w:rPr>
                <w:rFonts w:ascii="Calibri" w:eastAsia="Times New Roman" w:hAnsi="Calibri" w:cs="Calibri"/>
                <w:color w:val="000000"/>
                <w:sz w:val="16"/>
                <w:szCs w:val="16"/>
              </w:rPr>
              <w:t>, 363</w:t>
            </w:r>
            <w:r>
              <w:rPr>
                <w:rFonts w:ascii="Calibri" w:eastAsia="Times New Roman" w:hAnsi="Calibri" w:cs="Calibri"/>
                <w:color w:val="000000"/>
                <w:sz w:val="16"/>
                <w:szCs w:val="16"/>
              </w:rPr>
              <w:t>1</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334C8D4F" w14:textId="7AEF993C"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(4425, 36</w:t>
            </w:r>
            <w:r>
              <w:rPr>
                <w:rFonts w:ascii="Calibri" w:eastAsia="Times New Roman" w:hAnsi="Calibri" w:cs="Calibri"/>
                <w:color w:val="000000"/>
                <w:sz w:val="16"/>
                <w:szCs w:val="16"/>
              </w:rPr>
              <w:t>30</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1AD5D7B5" w14:textId="2521B166"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w:t>
            </w:r>
            <w:r>
              <w:rPr>
                <w:rFonts w:ascii="Calibri" w:eastAsia="Times New Roman" w:hAnsi="Calibri" w:cs="Calibri"/>
                <w:color w:val="000000"/>
                <w:sz w:val="16"/>
                <w:szCs w:val="16"/>
              </w:rPr>
              <w:t>7</w:t>
            </w:r>
            <w:r w:rsidRPr="0092469B">
              <w:rPr>
                <w:rFonts w:ascii="Calibri" w:eastAsia="Times New Roman" w:hAnsi="Calibri" w:cs="Calibri"/>
                <w:color w:val="000000"/>
                <w:sz w:val="16"/>
                <w:szCs w:val="16"/>
              </w:rPr>
              <w:t>, 362</w:t>
            </w:r>
            <w:r>
              <w:rPr>
                <w:rFonts w:ascii="Calibri" w:eastAsia="Times New Roman" w:hAnsi="Calibri" w:cs="Calibri"/>
                <w:color w:val="000000"/>
                <w:sz w:val="16"/>
                <w:szCs w:val="16"/>
              </w:rPr>
              <w:t>9</w:t>
            </w:r>
            <w:r w:rsidRPr="0092469B">
              <w:rPr>
                <w:rFonts w:ascii="Calibri" w:eastAsia="Times New Roman" w:hAnsi="Calibri" w:cs="Calibri"/>
                <w:color w:val="000000"/>
                <w:sz w:val="16"/>
                <w:szCs w:val="16"/>
              </w:rPr>
              <w:t>)</w:t>
            </w:r>
          </w:p>
        </w:tc>
        <w:tc>
          <w:tcPr>
            <w:tcW w:w="1038" w:type="dxa"/>
            <w:tcBorders>
              <w:top w:val="nil"/>
              <w:left w:val="nil"/>
              <w:bottom w:val="nil"/>
              <w:right w:val="nil"/>
            </w:tcBorders>
            <w:shd w:val="clear" w:color="auto" w:fill="auto"/>
            <w:noWrap/>
            <w:vAlign w:val="center"/>
            <w:hideMark/>
          </w:tcPr>
          <w:p w14:paraId="18C10396" w14:textId="0A252CFF"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(4425, 3574)</w:t>
            </w:r>
          </w:p>
        </w:tc>
        <w:tc>
          <w:tcPr>
            <w:tcW w:w="1491" w:type="dxa"/>
            <w:tcBorders>
              <w:top w:val="nil"/>
              <w:left w:val="nil"/>
              <w:bottom w:val="nil"/>
              <w:right w:val="single" w:sz="8" w:space="0" w:color="auto"/>
            </w:tcBorders>
            <w:shd w:val="clear" w:color="auto" w:fill="auto"/>
            <w:noWrap/>
            <w:vAlign w:val="center"/>
            <w:hideMark/>
          </w:tcPr>
          <w:p w14:paraId="3FB35A3F" w14:textId="14CBEF34"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(4425, 3571)</w:t>
            </w:r>
          </w:p>
        </w:tc>
        <w:tc>
          <w:tcPr>
            <w:tcW w:w="222" w:type="dxa"/>
            <w:tcBorders>
              <w:top w:val="nil"/>
              <w:left w:val="nil"/>
              <w:bottom w:val="nil"/>
              <w:right w:val="nil"/>
            </w:tcBorders>
            <w:shd w:val="clear" w:color="auto" w:fill="auto"/>
            <w:noWrap/>
            <w:vAlign w:val="center"/>
            <w:hideMark/>
          </w:tcPr>
          <w:p w14:paraId="5E9A0B0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F6D4BA6"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293C6F3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0E82541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w:t>
            </w:r>
          </w:p>
        </w:tc>
        <w:tc>
          <w:tcPr>
            <w:tcW w:w="1038" w:type="dxa"/>
            <w:tcBorders>
              <w:top w:val="nil"/>
              <w:left w:val="nil"/>
              <w:bottom w:val="nil"/>
              <w:right w:val="nil"/>
            </w:tcBorders>
            <w:shd w:val="clear" w:color="auto" w:fill="auto"/>
            <w:noWrap/>
            <w:vAlign w:val="center"/>
            <w:hideMark/>
          </w:tcPr>
          <w:p w14:paraId="38E0AD0E" w14:textId="5EECDF02"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(4423, 3479)</w:t>
            </w:r>
          </w:p>
        </w:tc>
        <w:tc>
          <w:tcPr>
            <w:tcW w:w="1119" w:type="dxa"/>
            <w:tcBorders>
              <w:top w:val="nil"/>
              <w:left w:val="nil"/>
              <w:bottom w:val="nil"/>
              <w:right w:val="nil"/>
            </w:tcBorders>
            <w:shd w:val="clear" w:color="auto" w:fill="auto"/>
            <w:noWrap/>
            <w:vAlign w:val="center"/>
            <w:hideMark/>
          </w:tcPr>
          <w:p w14:paraId="1E5BBC7E" w14:textId="0E5BD636"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(4422, 3470)</w:t>
            </w:r>
          </w:p>
        </w:tc>
        <w:tc>
          <w:tcPr>
            <w:tcW w:w="1119" w:type="dxa"/>
            <w:tcBorders>
              <w:top w:val="nil"/>
              <w:left w:val="nil"/>
              <w:bottom w:val="nil"/>
              <w:right w:val="nil"/>
            </w:tcBorders>
            <w:shd w:val="clear" w:color="auto" w:fill="auto"/>
            <w:noWrap/>
            <w:vAlign w:val="center"/>
            <w:hideMark/>
          </w:tcPr>
          <w:p w14:paraId="405AEF69" w14:textId="206E95A3"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(4422, 34</w:t>
            </w:r>
            <w:r>
              <w:rPr>
                <w:rFonts w:ascii="Calibri" w:eastAsia="Times New Roman" w:hAnsi="Calibri" w:cs="Calibri"/>
                <w:color w:val="000000"/>
                <w:sz w:val="16"/>
                <w:szCs w:val="16"/>
              </w:rPr>
              <w:t>70</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7B9F6D7A" w14:textId="33C839A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(4419, 3469)</w:t>
            </w:r>
          </w:p>
        </w:tc>
        <w:tc>
          <w:tcPr>
            <w:tcW w:w="1038" w:type="dxa"/>
            <w:tcBorders>
              <w:top w:val="nil"/>
              <w:left w:val="nil"/>
              <w:bottom w:val="nil"/>
              <w:right w:val="nil"/>
            </w:tcBorders>
            <w:shd w:val="clear" w:color="auto" w:fill="auto"/>
            <w:noWrap/>
            <w:vAlign w:val="center"/>
            <w:hideMark/>
          </w:tcPr>
          <w:p w14:paraId="2E37D576" w14:textId="07868741"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(4419, 340</w:t>
            </w:r>
            <w:r>
              <w:rPr>
                <w:rFonts w:ascii="Calibri" w:eastAsia="Times New Roman" w:hAnsi="Calibri" w:cs="Calibri"/>
                <w:color w:val="000000"/>
                <w:sz w:val="16"/>
                <w:szCs w:val="16"/>
              </w:rPr>
              <w:t>2</w:t>
            </w:r>
            <w:r w:rsidRPr="0092469B">
              <w:rPr>
                <w:rFonts w:ascii="Calibri" w:eastAsia="Times New Roman" w:hAnsi="Calibri" w:cs="Calibri"/>
                <w:color w:val="000000"/>
                <w:sz w:val="16"/>
                <w:szCs w:val="16"/>
              </w:rPr>
              <w:t>)</w:t>
            </w:r>
          </w:p>
        </w:tc>
        <w:tc>
          <w:tcPr>
            <w:tcW w:w="1491" w:type="dxa"/>
            <w:tcBorders>
              <w:top w:val="nil"/>
              <w:left w:val="nil"/>
              <w:bottom w:val="nil"/>
              <w:right w:val="single" w:sz="8" w:space="0" w:color="auto"/>
            </w:tcBorders>
            <w:shd w:val="clear" w:color="auto" w:fill="auto"/>
            <w:noWrap/>
            <w:vAlign w:val="center"/>
            <w:hideMark/>
          </w:tcPr>
          <w:p w14:paraId="2F04D853" w14:textId="5483D416"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(4419, 339</w:t>
            </w:r>
            <w:r>
              <w:rPr>
                <w:rFonts w:ascii="Calibri" w:eastAsia="Times New Roman" w:hAnsi="Calibri" w:cs="Calibri"/>
                <w:color w:val="000000"/>
                <w:sz w:val="16"/>
                <w:szCs w:val="16"/>
              </w:rPr>
              <w:t>9</w:t>
            </w:r>
            <w:r w:rsidRPr="0092469B">
              <w:rPr>
                <w:rFonts w:ascii="Calibri" w:eastAsia="Times New Roman" w:hAnsi="Calibri" w:cs="Calibri"/>
                <w:color w:val="000000"/>
                <w:sz w:val="16"/>
                <w:szCs w:val="16"/>
              </w:rPr>
              <w:t>)</w:t>
            </w:r>
          </w:p>
        </w:tc>
        <w:tc>
          <w:tcPr>
            <w:tcW w:w="222" w:type="dxa"/>
            <w:tcBorders>
              <w:top w:val="nil"/>
              <w:left w:val="nil"/>
              <w:bottom w:val="nil"/>
              <w:right w:val="nil"/>
            </w:tcBorders>
            <w:shd w:val="clear" w:color="auto" w:fill="auto"/>
            <w:noWrap/>
            <w:vAlign w:val="center"/>
            <w:hideMark/>
          </w:tcPr>
          <w:p w14:paraId="67EBB46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8C3726D"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4EFC07E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35C818A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w:t>
            </w:r>
          </w:p>
        </w:tc>
        <w:tc>
          <w:tcPr>
            <w:tcW w:w="1038" w:type="dxa"/>
            <w:tcBorders>
              <w:top w:val="nil"/>
              <w:left w:val="nil"/>
              <w:bottom w:val="nil"/>
              <w:right w:val="nil"/>
            </w:tcBorders>
            <w:shd w:val="clear" w:color="auto" w:fill="auto"/>
            <w:noWrap/>
            <w:vAlign w:val="center"/>
            <w:hideMark/>
          </w:tcPr>
          <w:p w14:paraId="5865F862" w14:textId="0D45FB7D"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(3964, 1768)</w:t>
            </w:r>
          </w:p>
        </w:tc>
        <w:tc>
          <w:tcPr>
            <w:tcW w:w="1119" w:type="dxa"/>
            <w:tcBorders>
              <w:top w:val="nil"/>
              <w:left w:val="nil"/>
              <w:bottom w:val="nil"/>
              <w:right w:val="nil"/>
            </w:tcBorders>
            <w:shd w:val="clear" w:color="auto" w:fill="auto"/>
            <w:noWrap/>
            <w:vAlign w:val="center"/>
            <w:hideMark/>
          </w:tcPr>
          <w:p w14:paraId="5AF6B944" w14:textId="78DAAE2C"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(3957, 174</w:t>
            </w:r>
            <w:r>
              <w:rPr>
                <w:rFonts w:ascii="Calibri" w:eastAsia="Times New Roman" w:hAnsi="Calibri" w:cs="Calibri"/>
                <w:color w:val="000000"/>
                <w:sz w:val="16"/>
                <w:szCs w:val="16"/>
              </w:rPr>
              <w:t>2</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462E5499" w14:textId="151C787E"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(3957, 173</w:t>
            </w:r>
            <w:r>
              <w:rPr>
                <w:rFonts w:ascii="Calibri" w:eastAsia="Times New Roman" w:hAnsi="Calibri" w:cs="Calibri"/>
                <w:color w:val="000000"/>
                <w:sz w:val="16"/>
                <w:szCs w:val="16"/>
              </w:rPr>
              <w:t>9</w:t>
            </w:r>
            <w:r w:rsidRPr="0092469B">
              <w:rPr>
                <w:rFonts w:ascii="Calibri" w:eastAsia="Times New Roman" w:hAnsi="Calibri" w:cs="Calibri"/>
                <w:color w:val="000000"/>
                <w:sz w:val="16"/>
                <w:szCs w:val="16"/>
              </w:rPr>
              <w:t>)</w:t>
            </w:r>
          </w:p>
        </w:tc>
        <w:tc>
          <w:tcPr>
            <w:tcW w:w="1119" w:type="dxa"/>
            <w:tcBorders>
              <w:top w:val="nil"/>
              <w:left w:val="nil"/>
              <w:bottom w:val="nil"/>
              <w:right w:val="nil"/>
            </w:tcBorders>
            <w:shd w:val="clear" w:color="auto" w:fill="auto"/>
            <w:noWrap/>
            <w:vAlign w:val="center"/>
            <w:hideMark/>
          </w:tcPr>
          <w:p w14:paraId="7A7044D3" w14:textId="50A2715E"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(3950, 173</w:t>
            </w:r>
            <w:r>
              <w:rPr>
                <w:rFonts w:ascii="Calibri" w:eastAsia="Times New Roman" w:hAnsi="Calibri" w:cs="Calibri"/>
                <w:color w:val="000000"/>
                <w:sz w:val="16"/>
                <w:szCs w:val="16"/>
              </w:rPr>
              <w:t>8</w:t>
            </w:r>
            <w:r w:rsidRPr="0092469B">
              <w:rPr>
                <w:rFonts w:ascii="Calibri" w:eastAsia="Times New Roman" w:hAnsi="Calibri" w:cs="Calibri"/>
                <w:color w:val="000000"/>
                <w:sz w:val="16"/>
                <w:szCs w:val="16"/>
              </w:rPr>
              <w:t>)</w:t>
            </w:r>
          </w:p>
        </w:tc>
        <w:tc>
          <w:tcPr>
            <w:tcW w:w="1038" w:type="dxa"/>
            <w:tcBorders>
              <w:top w:val="nil"/>
              <w:left w:val="nil"/>
              <w:bottom w:val="nil"/>
              <w:right w:val="nil"/>
            </w:tcBorders>
            <w:shd w:val="clear" w:color="auto" w:fill="auto"/>
            <w:noWrap/>
            <w:vAlign w:val="center"/>
            <w:hideMark/>
          </w:tcPr>
          <w:p w14:paraId="400D4B4A" w14:textId="77C99D8C"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(2914, 1499)</w:t>
            </w:r>
          </w:p>
        </w:tc>
        <w:tc>
          <w:tcPr>
            <w:tcW w:w="1491" w:type="dxa"/>
            <w:tcBorders>
              <w:top w:val="nil"/>
              <w:left w:val="nil"/>
              <w:bottom w:val="nil"/>
              <w:right w:val="single" w:sz="8" w:space="0" w:color="auto"/>
            </w:tcBorders>
            <w:shd w:val="clear" w:color="auto" w:fill="auto"/>
            <w:noWrap/>
            <w:vAlign w:val="center"/>
            <w:hideMark/>
          </w:tcPr>
          <w:p w14:paraId="590E1A71" w14:textId="6853DB12"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(2915, 148</w:t>
            </w:r>
            <w:r>
              <w:rPr>
                <w:rFonts w:ascii="Calibri" w:eastAsia="Times New Roman" w:hAnsi="Calibri" w:cs="Calibri"/>
                <w:color w:val="000000"/>
                <w:sz w:val="16"/>
                <w:szCs w:val="16"/>
              </w:rPr>
              <w:t>2</w:t>
            </w:r>
            <w:r w:rsidRPr="0092469B">
              <w:rPr>
                <w:rFonts w:ascii="Calibri" w:eastAsia="Times New Roman" w:hAnsi="Calibri" w:cs="Calibri"/>
                <w:color w:val="000000"/>
                <w:sz w:val="16"/>
                <w:szCs w:val="16"/>
              </w:rPr>
              <w:t>)</w:t>
            </w:r>
          </w:p>
        </w:tc>
        <w:tc>
          <w:tcPr>
            <w:tcW w:w="222" w:type="dxa"/>
            <w:tcBorders>
              <w:top w:val="nil"/>
              <w:left w:val="nil"/>
              <w:bottom w:val="nil"/>
              <w:right w:val="nil"/>
            </w:tcBorders>
            <w:shd w:val="clear" w:color="auto" w:fill="auto"/>
            <w:noWrap/>
            <w:vAlign w:val="center"/>
            <w:hideMark/>
          </w:tcPr>
          <w:p w14:paraId="0D19429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1B5DDEDF"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2D09AAA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single" w:sz="8" w:space="0" w:color="auto"/>
              <w:right w:val="nil"/>
            </w:tcBorders>
            <w:shd w:val="clear" w:color="000000" w:fill="BFBFBF"/>
            <w:noWrap/>
            <w:vAlign w:val="center"/>
            <w:hideMark/>
          </w:tcPr>
          <w:p w14:paraId="66E5519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5</w:t>
            </w:r>
          </w:p>
        </w:tc>
        <w:tc>
          <w:tcPr>
            <w:tcW w:w="1038" w:type="dxa"/>
            <w:tcBorders>
              <w:top w:val="nil"/>
              <w:left w:val="nil"/>
              <w:bottom w:val="single" w:sz="8" w:space="0" w:color="auto"/>
              <w:right w:val="nil"/>
            </w:tcBorders>
            <w:shd w:val="clear" w:color="auto" w:fill="auto"/>
            <w:noWrap/>
            <w:vAlign w:val="center"/>
            <w:hideMark/>
          </w:tcPr>
          <w:p w14:paraId="0678D8AB" w14:textId="272A5FCE"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(3722, 1505)</w:t>
            </w:r>
          </w:p>
        </w:tc>
        <w:tc>
          <w:tcPr>
            <w:tcW w:w="1119" w:type="dxa"/>
            <w:tcBorders>
              <w:top w:val="nil"/>
              <w:left w:val="nil"/>
              <w:bottom w:val="single" w:sz="8" w:space="0" w:color="auto"/>
              <w:right w:val="nil"/>
            </w:tcBorders>
            <w:shd w:val="clear" w:color="auto" w:fill="auto"/>
            <w:noWrap/>
            <w:vAlign w:val="center"/>
            <w:hideMark/>
          </w:tcPr>
          <w:p w14:paraId="651CC96C" w14:textId="79E8E20D"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(3618, 1475)</w:t>
            </w:r>
          </w:p>
        </w:tc>
        <w:tc>
          <w:tcPr>
            <w:tcW w:w="1119" w:type="dxa"/>
            <w:tcBorders>
              <w:top w:val="nil"/>
              <w:left w:val="nil"/>
              <w:bottom w:val="single" w:sz="8" w:space="0" w:color="auto"/>
              <w:right w:val="nil"/>
            </w:tcBorders>
            <w:shd w:val="clear" w:color="auto" w:fill="auto"/>
            <w:noWrap/>
            <w:vAlign w:val="center"/>
            <w:hideMark/>
          </w:tcPr>
          <w:p w14:paraId="1C682202" w14:textId="636FCEEE"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(3618, 147</w:t>
            </w:r>
            <w:r>
              <w:rPr>
                <w:rFonts w:ascii="Calibri" w:eastAsia="Times New Roman" w:hAnsi="Calibri" w:cs="Calibri"/>
                <w:color w:val="000000"/>
                <w:sz w:val="16"/>
                <w:szCs w:val="16"/>
              </w:rPr>
              <w:t>2</w:t>
            </w:r>
            <w:r w:rsidRPr="0092469B">
              <w:rPr>
                <w:rFonts w:ascii="Calibri" w:eastAsia="Times New Roman" w:hAnsi="Calibri" w:cs="Calibri"/>
                <w:color w:val="000000"/>
                <w:sz w:val="16"/>
                <w:szCs w:val="16"/>
              </w:rPr>
              <w:t>)</w:t>
            </w:r>
          </w:p>
        </w:tc>
        <w:tc>
          <w:tcPr>
            <w:tcW w:w="1119" w:type="dxa"/>
            <w:tcBorders>
              <w:top w:val="nil"/>
              <w:left w:val="nil"/>
              <w:bottom w:val="single" w:sz="8" w:space="0" w:color="auto"/>
              <w:right w:val="nil"/>
            </w:tcBorders>
            <w:shd w:val="clear" w:color="auto" w:fill="auto"/>
            <w:noWrap/>
            <w:vAlign w:val="center"/>
            <w:hideMark/>
          </w:tcPr>
          <w:p w14:paraId="61ED5E2C" w14:textId="6D455665"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(360</w:t>
            </w:r>
            <w:r>
              <w:rPr>
                <w:rFonts w:ascii="Calibri" w:eastAsia="Times New Roman" w:hAnsi="Calibri" w:cs="Calibri"/>
                <w:color w:val="000000"/>
                <w:sz w:val="16"/>
                <w:szCs w:val="16"/>
              </w:rPr>
              <w:t>8</w:t>
            </w:r>
            <w:r w:rsidRPr="0092469B">
              <w:rPr>
                <w:rFonts w:ascii="Calibri" w:eastAsia="Times New Roman" w:hAnsi="Calibri" w:cs="Calibri"/>
                <w:color w:val="000000"/>
                <w:sz w:val="16"/>
                <w:szCs w:val="16"/>
              </w:rPr>
              <w:t>, 1470)</w:t>
            </w:r>
          </w:p>
        </w:tc>
        <w:tc>
          <w:tcPr>
            <w:tcW w:w="1038" w:type="dxa"/>
            <w:tcBorders>
              <w:top w:val="nil"/>
              <w:left w:val="nil"/>
              <w:bottom w:val="single" w:sz="8" w:space="0" w:color="auto"/>
              <w:right w:val="nil"/>
            </w:tcBorders>
            <w:shd w:val="clear" w:color="auto" w:fill="auto"/>
            <w:noWrap/>
            <w:vAlign w:val="center"/>
            <w:hideMark/>
          </w:tcPr>
          <w:p w14:paraId="6A42A7B5" w14:textId="375C4682"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(1420, 1202)</w:t>
            </w:r>
          </w:p>
        </w:tc>
        <w:tc>
          <w:tcPr>
            <w:tcW w:w="1491" w:type="dxa"/>
            <w:tcBorders>
              <w:top w:val="nil"/>
              <w:left w:val="nil"/>
              <w:bottom w:val="single" w:sz="8" w:space="0" w:color="auto"/>
              <w:right w:val="single" w:sz="8" w:space="0" w:color="auto"/>
            </w:tcBorders>
            <w:shd w:val="clear" w:color="auto" w:fill="auto"/>
            <w:noWrap/>
            <w:vAlign w:val="center"/>
            <w:hideMark/>
          </w:tcPr>
          <w:p w14:paraId="1A28AFE9" w14:textId="4E459D68"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(1181, 118</w:t>
            </w:r>
            <w:r>
              <w:rPr>
                <w:rFonts w:ascii="Calibri" w:eastAsia="Times New Roman" w:hAnsi="Calibri" w:cs="Calibri"/>
                <w:color w:val="000000"/>
                <w:sz w:val="16"/>
                <w:szCs w:val="16"/>
              </w:rPr>
              <w:t>2</w:t>
            </w:r>
            <w:r w:rsidRPr="0092469B">
              <w:rPr>
                <w:rFonts w:ascii="Calibri" w:eastAsia="Times New Roman" w:hAnsi="Calibri" w:cs="Calibri"/>
                <w:color w:val="000000"/>
                <w:sz w:val="16"/>
                <w:szCs w:val="16"/>
              </w:rPr>
              <w:t>)</w:t>
            </w:r>
          </w:p>
        </w:tc>
        <w:tc>
          <w:tcPr>
            <w:tcW w:w="222" w:type="dxa"/>
            <w:tcBorders>
              <w:top w:val="nil"/>
              <w:left w:val="nil"/>
              <w:bottom w:val="nil"/>
              <w:right w:val="nil"/>
            </w:tcBorders>
            <w:shd w:val="clear" w:color="auto" w:fill="auto"/>
            <w:noWrap/>
            <w:vAlign w:val="center"/>
            <w:hideMark/>
          </w:tcPr>
          <w:p w14:paraId="25F1395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7D25DE4E" w14:textId="77777777" w:rsidTr="00C44CDB">
        <w:trPr>
          <w:cantSplit/>
          <w:trHeight w:val="144"/>
        </w:trPr>
        <w:tc>
          <w:tcPr>
            <w:tcW w:w="423" w:type="dxa"/>
            <w:tcBorders>
              <w:top w:val="nil"/>
              <w:left w:val="nil"/>
              <w:bottom w:val="nil"/>
              <w:right w:val="nil"/>
            </w:tcBorders>
            <w:shd w:val="clear" w:color="auto" w:fill="auto"/>
            <w:noWrap/>
            <w:vAlign w:val="center"/>
            <w:hideMark/>
          </w:tcPr>
          <w:p w14:paraId="7B3BD65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auto" w:fill="auto"/>
            <w:noWrap/>
            <w:vAlign w:val="center"/>
            <w:hideMark/>
          </w:tcPr>
          <w:p w14:paraId="4199E24D"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038" w:type="dxa"/>
            <w:tcBorders>
              <w:top w:val="nil"/>
              <w:left w:val="nil"/>
              <w:bottom w:val="nil"/>
              <w:right w:val="nil"/>
            </w:tcBorders>
            <w:shd w:val="clear" w:color="auto" w:fill="auto"/>
            <w:noWrap/>
            <w:vAlign w:val="center"/>
            <w:hideMark/>
          </w:tcPr>
          <w:p w14:paraId="478B8DFF"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119" w:type="dxa"/>
            <w:tcBorders>
              <w:top w:val="nil"/>
              <w:left w:val="nil"/>
              <w:bottom w:val="nil"/>
              <w:right w:val="nil"/>
            </w:tcBorders>
            <w:shd w:val="clear" w:color="auto" w:fill="auto"/>
            <w:noWrap/>
            <w:vAlign w:val="center"/>
            <w:hideMark/>
          </w:tcPr>
          <w:p w14:paraId="4FD34A4D"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119" w:type="dxa"/>
            <w:tcBorders>
              <w:top w:val="nil"/>
              <w:left w:val="nil"/>
              <w:bottom w:val="nil"/>
              <w:right w:val="nil"/>
            </w:tcBorders>
            <w:shd w:val="clear" w:color="auto" w:fill="auto"/>
            <w:noWrap/>
            <w:vAlign w:val="center"/>
            <w:hideMark/>
          </w:tcPr>
          <w:p w14:paraId="77D63D91"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119" w:type="dxa"/>
            <w:tcBorders>
              <w:top w:val="nil"/>
              <w:left w:val="nil"/>
              <w:bottom w:val="nil"/>
              <w:right w:val="nil"/>
            </w:tcBorders>
            <w:shd w:val="clear" w:color="auto" w:fill="auto"/>
            <w:noWrap/>
            <w:vAlign w:val="center"/>
            <w:hideMark/>
          </w:tcPr>
          <w:p w14:paraId="7104DC75"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038" w:type="dxa"/>
            <w:tcBorders>
              <w:top w:val="nil"/>
              <w:left w:val="nil"/>
              <w:bottom w:val="nil"/>
              <w:right w:val="nil"/>
            </w:tcBorders>
            <w:shd w:val="clear" w:color="auto" w:fill="auto"/>
            <w:noWrap/>
            <w:vAlign w:val="center"/>
            <w:hideMark/>
          </w:tcPr>
          <w:p w14:paraId="628A6D36"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491" w:type="dxa"/>
            <w:tcBorders>
              <w:top w:val="nil"/>
              <w:left w:val="nil"/>
              <w:bottom w:val="nil"/>
              <w:right w:val="nil"/>
            </w:tcBorders>
            <w:shd w:val="clear" w:color="auto" w:fill="auto"/>
            <w:noWrap/>
            <w:vAlign w:val="center"/>
            <w:hideMark/>
          </w:tcPr>
          <w:p w14:paraId="738CA26E"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222" w:type="dxa"/>
            <w:tcBorders>
              <w:top w:val="nil"/>
              <w:left w:val="nil"/>
              <w:bottom w:val="nil"/>
              <w:right w:val="nil"/>
            </w:tcBorders>
            <w:shd w:val="clear" w:color="auto" w:fill="auto"/>
            <w:noWrap/>
            <w:vAlign w:val="center"/>
            <w:hideMark/>
          </w:tcPr>
          <w:p w14:paraId="754052CA"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r>
      <w:tr w:rsidR="00C44CDB" w:rsidRPr="00293A49" w14:paraId="22E66A0B" w14:textId="77777777" w:rsidTr="00C44CDB">
        <w:trPr>
          <w:cantSplit/>
          <w:trHeight w:val="144"/>
        </w:trPr>
        <w:tc>
          <w:tcPr>
            <w:tcW w:w="423" w:type="dxa"/>
            <w:tcBorders>
              <w:top w:val="single" w:sz="8" w:space="0" w:color="auto"/>
              <w:left w:val="single" w:sz="8" w:space="0" w:color="auto"/>
              <w:bottom w:val="nil"/>
              <w:right w:val="nil"/>
            </w:tcBorders>
            <w:shd w:val="clear" w:color="000000" w:fill="000000"/>
            <w:noWrap/>
            <w:vAlign w:val="center"/>
            <w:hideMark/>
          </w:tcPr>
          <w:p w14:paraId="30CE598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7222"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774DB8B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Mean RTDC per Mission by SoP</w:t>
            </w:r>
          </w:p>
        </w:tc>
        <w:tc>
          <w:tcPr>
            <w:tcW w:w="222" w:type="dxa"/>
            <w:tcBorders>
              <w:top w:val="nil"/>
              <w:left w:val="nil"/>
              <w:bottom w:val="nil"/>
              <w:right w:val="nil"/>
            </w:tcBorders>
            <w:shd w:val="clear" w:color="auto" w:fill="auto"/>
            <w:noWrap/>
            <w:vAlign w:val="center"/>
            <w:hideMark/>
          </w:tcPr>
          <w:p w14:paraId="7BB3CCB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293A49" w14:paraId="45E07983" w14:textId="77777777" w:rsidTr="00C44CDB">
        <w:trPr>
          <w:cantSplit/>
          <w:trHeight w:val="144"/>
        </w:trPr>
        <w:tc>
          <w:tcPr>
            <w:tcW w:w="42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C7EEF1A" w14:textId="4427DF23" w:rsidR="0092469B" w:rsidRPr="0092469B" w:rsidRDefault="004860F5"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Cognitive</w:t>
            </w:r>
            <w:r w:rsidR="0092469B" w:rsidRPr="0092469B">
              <w:rPr>
                <w:rFonts w:ascii="Calibri" w:eastAsia="Times New Roman" w:hAnsi="Calibri" w:cs="Calibri"/>
                <w:color w:val="000000"/>
                <w:sz w:val="16"/>
                <w:szCs w:val="16"/>
              </w:rPr>
              <w:t xml:space="preserve"> SoP</w:t>
            </w:r>
          </w:p>
        </w:tc>
        <w:tc>
          <w:tcPr>
            <w:tcW w:w="7222"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2CA7A0B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Procedural SoP</w:t>
            </w:r>
          </w:p>
        </w:tc>
        <w:tc>
          <w:tcPr>
            <w:tcW w:w="222" w:type="dxa"/>
            <w:tcBorders>
              <w:top w:val="nil"/>
              <w:left w:val="nil"/>
              <w:bottom w:val="nil"/>
              <w:right w:val="nil"/>
            </w:tcBorders>
            <w:shd w:val="clear" w:color="auto" w:fill="auto"/>
            <w:noWrap/>
            <w:vAlign w:val="center"/>
            <w:hideMark/>
          </w:tcPr>
          <w:p w14:paraId="35CE933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567BA908"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4FA26F8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259D7F3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1038" w:type="dxa"/>
            <w:tcBorders>
              <w:top w:val="nil"/>
              <w:left w:val="nil"/>
              <w:bottom w:val="nil"/>
              <w:right w:val="nil"/>
            </w:tcBorders>
            <w:shd w:val="clear" w:color="000000" w:fill="BFBFBF"/>
            <w:noWrap/>
            <w:vAlign w:val="center"/>
            <w:hideMark/>
          </w:tcPr>
          <w:p w14:paraId="2625128E"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w:t>
            </w:r>
          </w:p>
        </w:tc>
        <w:tc>
          <w:tcPr>
            <w:tcW w:w="1119" w:type="dxa"/>
            <w:tcBorders>
              <w:top w:val="nil"/>
              <w:left w:val="nil"/>
              <w:bottom w:val="nil"/>
              <w:right w:val="nil"/>
            </w:tcBorders>
            <w:shd w:val="clear" w:color="000000" w:fill="BFBFBF"/>
            <w:noWrap/>
            <w:vAlign w:val="center"/>
            <w:hideMark/>
          </w:tcPr>
          <w:p w14:paraId="77459B5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w:t>
            </w:r>
          </w:p>
        </w:tc>
        <w:tc>
          <w:tcPr>
            <w:tcW w:w="1119" w:type="dxa"/>
            <w:tcBorders>
              <w:top w:val="nil"/>
              <w:left w:val="nil"/>
              <w:bottom w:val="nil"/>
              <w:right w:val="nil"/>
            </w:tcBorders>
            <w:shd w:val="clear" w:color="000000" w:fill="BFBFBF"/>
            <w:noWrap/>
            <w:vAlign w:val="center"/>
            <w:hideMark/>
          </w:tcPr>
          <w:p w14:paraId="4464421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w:t>
            </w:r>
          </w:p>
        </w:tc>
        <w:tc>
          <w:tcPr>
            <w:tcW w:w="1119" w:type="dxa"/>
            <w:tcBorders>
              <w:top w:val="nil"/>
              <w:left w:val="nil"/>
              <w:bottom w:val="nil"/>
              <w:right w:val="nil"/>
            </w:tcBorders>
            <w:shd w:val="clear" w:color="000000" w:fill="BFBFBF"/>
            <w:noWrap/>
            <w:vAlign w:val="center"/>
            <w:hideMark/>
          </w:tcPr>
          <w:p w14:paraId="5547B00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w:t>
            </w:r>
          </w:p>
        </w:tc>
        <w:tc>
          <w:tcPr>
            <w:tcW w:w="1038" w:type="dxa"/>
            <w:tcBorders>
              <w:top w:val="nil"/>
              <w:left w:val="nil"/>
              <w:bottom w:val="nil"/>
              <w:right w:val="nil"/>
            </w:tcBorders>
            <w:shd w:val="clear" w:color="000000" w:fill="BFBFBF"/>
            <w:noWrap/>
            <w:vAlign w:val="center"/>
            <w:hideMark/>
          </w:tcPr>
          <w:p w14:paraId="3A39410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w:t>
            </w:r>
          </w:p>
        </w:tc>
        <w:tc>
          <w:tcPr>
            <w:tcW w:w="1491" w:type="dxa"/>
            <w:tcBorders>
              <w:top w:val="nil"/>
              <w:left w:val="nil"/>
              <w:bottom w:val="nil"/>
              <w:right w:val="single" w:sz="8" w:space="0" w:color="auto"/>
            </w:tcBorders>
            <w:shd w:val="clear" w:color="000000" w:fill="BFBFBF"/>
            <w:noWrap/>
            <w:vAlign w:val="center"/>
            <w:hideMark/>
          </w:tcPr>
          <w:p w14:paraId="417FA73E"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5</w:t>
            </w:r>
          </w:p>
        </w:tc>
        <w:tc>
          <w:tcPr>
            <w:tcW w:w="222" w:type="dxa"/>
            <w:tcBorders>
              <w:top w:val="nil"/>
              <w:left w:val="nil"/>
              <w:bottom w:val="nil"/>
              <w:right w:val="nil"/>
            </w:tcBorders>
            <w:shd w:val="clear" w:color="auto" w:fill="auto"/>
            <w:noWrap/>
            <w:vAlign w:val="center"/>
            <w:hideMark/>
          </w:tcPr>
          <w:p w14:paraId="593FD43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7DA4F1D7"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233147F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34A38C6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w:t>
            </w:r>
          </w:p>
        </w:tc>
        <w:tc>
          <w:tcPr>
            <w:tcW w:w="1038" w:type="dxa"/>
            <w:tcBorders>
              <w:top w:val="nil"/>
              <w:left w:val="nil"/>
              <w:bottom w:val="nil"/>
              <w:right w:val="nil"/>
            </w:tcBorders>
            <w:shd w:val="clear" w:color="auto" w:fill="auto"/>
            <w:noWrap/>
            <w:vAlign w:val="center"/>
            <w:hideMark/>
          </w:tcPr>
          <w:p w14:paraId="014F116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(11.52, 11.5)</w:t>
            </w:r>
          </w:p>
        </w:tc>
        <w:tc>
          <w:tcPr>
            <w:tcW w:w="1119" w:type="dxa"/>
            <w:tcBorders>
              <w:top w:val="nil"/>
              <w:left w:val="nil"/>
              <w:bottom w:val="nil"/>
              <w:right w:val="nil"/>
            </w:tcBorders>
            <w:shd w:val="clear" w:color="auto" w:fill="auto"/>
            <w:noWrap/>
            <w:vAlign w:val="center"/>
            <w:hideMark/>
          </w:tcPr>
          <w:p w14:paraId="515C8F0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(11.53, 11.03)</w:t>
            </w:r>
          </w:p>
        </w:tc>
        <w:tc>
          <w:tcPr>
            <w:tcW w:w="1119" w:type="dxa"/>
            <w:tcBorders>
              <w:top w:val="nil"/>
              <w:left w:val="nil"/>
              <w:bottom w:val="nil"/>
              <w:right w:val="nil"/>
            </w:tcBorders>
            <w:shd w:val="clear" w:color="auto" w:fill="auto"/>
            <w:noWrap/>
            <w:vAlign w:val="center"/>
            <w:hideMark/>
          </w:tcPr>
          <w:p w14:paraId="66E74F1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(11.51, 11.03)</w:t>
            </w:r>
          </w:p>
        </w:tc>
        <w:tc>
          <w:tcPr>
            <w:tcW w:w="1119" w:type="dxa"/>
            <w:tcBorders>
              <w:top w:val="nil"/>
              <w:left w:val="nil"/>
              <w:bottom w:val="nil"/>
              <w:right w:val="nil"/>
            </w:tcBorders>
            <w:shd w:val="clear" w:color="auto" w:fill="auto"/>
            <w:noWrap/>
            <w:vAlign w:val="center"/>
            <w:hideMark/>
          </w:tcPr>
          <w:p w14:paraId="52D1107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(11.52, 11.03)</w:t>
            </w:r>
          </w:p>
        </w:tc>
        <w:tc>
          <w:tcPr>
            <w:tcW w:w="1038" w:type="dxa"/>
            <w:tcBorders>
              <w:top w:val="nil"/>
              <w:left w:val="nil"/>
              <w:bottom w:val="nil"/>
              <w:right w:val="nil"/>
            </w:tcBorders>
            <w:shd w:val="clear" w:color="auto" w:fill="auto"/>
            <w:noWrap/>
            <w:vAlign w:val="center"/>
            <w:hideMark/>
          </w:tcPr>
          <w:p w14:paraId="3971CEDE"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(11.5, 11.03)</w:t>
            </w:r>
          </w:p>
        </w:tc>
        <w:tc>
          <w:tcPr>
            <w:tcW w:w="1491" w:type="dxa"/>
            <w:tcBorders>
              <w:top w:val="nil"/>
              <w:left w:val="nil"/>
              <w:bottom w:val="nil"/>
              <w:right w:val="single" w:sz="8" w:space="0" w:color="auto"/>
            </w:tcBorders>
            <w:shd w:val="clear" w:color="auto" w:fill="auto"/>
            <w:noWrap/>
            <w:vAlign w:val="center"/>
            <w:hideMark/>
          </w:tcPr>
          <w:p w14:paraId="5E19FD7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(11.5, 10.59)</w:t>
            </w:r>
          </w:p>
        </w:tc>
        <w:tc>
          <w:tcPr>
            <w:tcW w:w="222" w:type="dxa"/>
            <w:tcBorders>
              <w:top w:val="nil"/>
              <w:left w:val="nil"/>
              <w:bottom w:val="nil"/>
              <w:right w:val="nil"/>
            </w:tcBorders>
            <w:shd w:val="clear" w:color="auto" w:fill="auto"/>
            <w:noWrap/>
            <w:vAlign w:val="center"/>
            <w:hideMark/>
          </w:tcPr>
          <w:p w14:paraId="261E219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E6A8663"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3BDEBE7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6B3EA52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w:t>
            </w:r>
          </w:p>
        </w:tc>
        <w:tc>
          <w:tcPr>
            <w:tcW w:w="1038" w:type="dxa"/>
            <w:tcBorders>
              <w:top w:val="nil"/>
              <w:left w:val="nil"/>
              <w:bottom w:val="nil"/>
              <w:right w:val="nil"/>
            </w:tcBorders>
            <w:shd w:val="clear" w:color="auto" w:fill="auto"/>
            <w:noWrap/>
            <w:vAlign w:val="center"/>
            <w:hideMark/>
          </w:tcPr>
          <w:p w14:paraId="5D5226D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(11.5, 8.34)</w:t>
            </w:r>
          </w:p>
        </w:tc>
        <w:tc>
          <w:tcPr>
            <w:tcW w:w="1119" w:type="dxa"/>
            <w:tcBorders>
              <w:top w:val="nil"/>
              <w:left w:val="nil"/>
              <w:bottom w:val="nil"/>
              <w:right w:val="nil"/>
            </w:tcBorders>
            <w:shd w:val="clear" w:color="auto" w:fill="auto"/>
            <w:noWrap/>
            <w:vAlign w:val="center"/>
            <w:hideMark/>
          </w:tcPr>
          <w:p w14:paraId="33A94BD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(11.51, 7.76)</w:t>
            </w:r>
          </w:p>
        </w:tc>
        <w:tc>
          <w:tcPr>
            <w:tcW w:w="1119" w:type="dxa"/>
            <w:tcBorders>
              <w:top w:val="nil"/>
              <w:left w:val="nil"/>
              <w:bottom w:val="nil"/>
              <w:right w:val="nil"/>
            </w:tcBorders>
            <w:shd w:val="clear" w:color="auto" w:fill="auto"/>
            <w:noWrap/>
            <w:vAlign w:val="center"/>
            <w:hideMark/>
          </w:tcPr>
          <w:p w14:paraId="00CF5E5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(11.52, 7.77)</w:t>
            </w:r>
          </w:p>
        </w:tc>
        <w:tc>
          <w:tcPr>
            <w:tcW w:w="1119" w:type="dxa"/>
            <w:tcBorders>
              <w:top w:val="nil"/>
              <w:left w:val="nil"/>
              <w:bottom w:val="nil"/>
              <w:right w:val="nil"/>
            </w:tcBorders>
            <w:shd w:val="clear" w:color="auto" w:fill="auto"/>
            <w:noWrap/>
            <w:vAlign w:val="center"/>
            <w:hideMark/>
          </w:tcPr>
          <w:p w14:paraId="2E63AE7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(11.51, 7.77)</w:t>
            </w:r>
          </w:p>
        </w:tc>
        <w:tc>
          <w:tcPr>
            <w:tcW w:w="1038" w:type="dxa"/>
            <w:tcBorders>
              <w:top w:val="nil"/>
              <w:left w:val="nil"/>
              <w:bottom w:val="nil"/>
              <w:right w:val="nil"/>
            </w:tcBorders>
            <w:shd w:val="clear" w:color="auto" w:fill="auto"/>
            <w:noWrap/>
            <w:vAlign w:val="center"/>
            <w:hideMark/>
          </w:tcPr>
          <w:p w14:paraId="4127CF5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(11.52, 7.74)</w:t>
            </w:r>
          </w:p>
        </w:tc>
        <w:tc>
          <w:tcPr>
            <w:tcW w:w="1491" w:type="dxa"/>
            <w:tcBorders>
              <w:top w:val="nil"/>
              <w:left w:val="nil"/>
              <w:bottom w:val="nil"/>
              <w:right w:val="single" w:sz="8" w:space="0" w:color="auto"/>
            </w:tcBorders>
            <w:shd w:val="clear" w:color="auto" w:fill="auto"/>
            <w:noWrap/>
            <w:vAlign w:val="center"/>
            <w:hideMark/>
          </w:tcPr>
          <w:p w14:paraId="2F49002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(11.5, 7.21)</w:t>
            </w:r>
          </w:p>
        </w:tc>
        <w:tc>
          <w:tcPr>
            <w:tcW w:w="222" w:type="dxa"/>
            <w:tcBorders>
              <w:top w:val="nil"/>
              <w:left w:val="nil"/>
              <w:bottom w:val="nil"/>
              <w:right w:val="nil"/>
            </w:tcBorders>
            <w:shd w:val="clear" w:color="auto" w:fill="auto"/>
            <w:noWrap/>
            <w:vAlign w:val="center"/>
            <w:hideMark/>
          </w:tcPr>
          <w:p w14:paraId="1E96958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1E89708F"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07B2796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64E749F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w:t>
            </w:r>
          </w:p>
        </w:tc>
        <w:tc>
          <w:tcPr>
            <w:tcW w:w="1038" w:type="dxa"/>
            <w:tcBorders>
              <w:top w:val="nil"/>
              <w:left w:val="nil"/>
              <w:bottom w:val="nil"/>
              <w:right w:val="nil"/>
            </w:tcBorders>
            <w:shd w:val="clear" w:color="auto" w:fill="auto"/>
            <w:noWrap/>
            <w:vAlign w:val="center"/>
            <w:hideMark/>
          </w:tcPr>
          <w:p w14:paraId="180E614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(11.51, 8.33)</w:t>
            </w:r>
          </w:p>
        </w:tc>
        <w:tc>
          <w:tcPr>
            <w:tcW w:w="1119" w:type="dxa"/>
            <w:tcBorders>
              <w:top w:val="nil"/>
              <w:left w:val="nil"/>
              <w:bottom w:val="nil"/>
              <w:right w:val="nil"/>
            </w:tcBorders>
            <w:shd w:val="clear" w:color="auto" w:fill="auto"/>
            <w:noWrap/>
            <w:vAlign w:val="center"/>
            <w:hideMark/>
          </w:tcPr>
          <w:p w14:paraId="7AB5B52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(11.51, 7.75)</w:t>
            </w:r>
          </w:p>
        </w:tc>
        <w:tc>
          <w:tcPr>
            <w:tcW w:w="1119" w:type="dxa"/>
            <w:tcBorders>
              <w:top w:val="nil"/>
              <w:left w:val="nil"/>
              <w:bottom w:val="nil"/>
              <w:right w:val="nil"/>
            </w:tcBorders>
            <w:shd w:val="clear" w:color="auto" w:fill="auto"/>
            <w:noWrap/>
            <w:vAlign w:val="center"/>
            <w:hideMark/>
          </w:tcPr>
          <w:p w14:paraId="27F2ADD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(11.52, 7.75)</w:t>
            </w:r>
          </w:p>
        </w:tc>
        <w:tc>
          <w:tcPr>
            <w:tcW w:w="1119" w:type="dxa"/>
            <w:tcBorders>
              <w:top w:val="nil"/>
              <w:left w:val="nil"/>
              <w:bottom w:val="nil"/>
              <w:right w:val="nil"/>
            </w:tcBorders>
            <w:shd w:val="clear" w:color="auto" w:fill="auto"/>
            <w:noWrap/>
            <w:vAlign w:val="center"/>
            <w:hideMark/>
          </w:tcPr>
          <w:p w14:paraId="240519A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(11.51, 7.75)</w:t>
            </w:r>
          </w:p>
        </w:tc>
        <w:tc>
          <w:tcPr>
            <w:tcW w:w="1038" w:type="dxa"/>
            <w:tcBorders>
              <w:top w:val="nil"/>
              <w:left w:val="nil"/>
              <w:bottom w:val="nil"/>
              <w:right w:val="nil"/>
            </w:tcBorders>
            <w:shd w:val="clear" w:color="auto" w:fill="auto"/>
            <w:noWrap/>
            <w:vAlign w:val="center"/>
            <w:hideMark/>
          </w:tcPr>
          <w:p w14:paraId="72B60D1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(11.52, 7.73)</w:t>
            </w:r>
          </w:p>
        </w:tc>
        <w:tc>
          <w:tcPr>
            <w:tcW w:w="1491" w:type="dxa"/>
            <w:tcBorders>
              <w:top w:val="nil"/>
              <w:left w:val="nil"/>
              <w:bottom w:val="nil"/>
              <w:right w:val="single" w:sz="8" w:space="0" w:color="auto"/>
            </w:tcBorders>
            <w:shd w:val="clear" w:color="auto" w:fill="auto"/>
            <w:noWrap/>
            <w:vAlign w:val="center"/>
            <w:hideMark/>
          </w:tcPr>
          <w:p w14:paraId="4D21C52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(11.51, 7.19)</w:t>
            </w:r>
          </w:p>
        </w:tc>
        <w:tc>
          <w:tcPr>
            <w:tcW w:w="222" w:type="dxa"/>
            <w:tcBorders>
              <w:top w:val="nil"/>
              <w:left w:val="nil"/>
              <w:bottom w:val="nil"/>
              <w:right w:val="nil"/>
            </w:tcBorders>
            <w:shd w:val="clear" w:color="auto" w:fill="auto"/>
            <w:noWrap/>
            <w:vAlign w:val="center"/>
            <w:hideMark/>
          </w:tcPr>
          <w:p w14:paraId="2395959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72FDE81A"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19AFD16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0902144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w:t>
            </w:r>
          </w:p>
        </w:tc>
        <w:tc>
          <w:tcPr>
            <w:tcW w:w="1038" w:type="dxa"/>
            <w:tcBorders>
              <w:top w:val="nil"/>
              <w:left w:val="nil"/>
              <w:bottom w:val="nil"/>
              <w:right w:val="nil"/>
            </w:tcBorders>
            <w:shd w:val="clear" w:color="auto" w:fill="auto"/>
            <w:noWrap/>
            <w:vAlign w:val="center"/>
            <w:hideMark/>
          </w:tcPr>
          <w:p w14:paraId="2FD07475"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(11.53, 6.99)</w:t>
            </w:r>
          </w:p>
        </w:tc>
        <w:tc>
          <w:tcPr>
            <w:tcW w:w="1119" w:type="dxa"/>
            <w:tcBorders>
              <w:top w:val="nil"/>
              <w:left w:val="nil"/>
              <w:bottom w:val="nil"/>
              <w:right w:val="nil"/>
            </w:tcBorders>
            <w:shd w:val="clear" w:color="auto" w:fill="auto"/>
            <w:noWrap/>
            <w:vAlign w:val="center"/>
            <w:hideMark/>
          </w:tcPr>
          <w:p w14:paraId="6B107AB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(11.51, 6.38)</w:t>
            </w:r>
          </w:p>
        </w:tc>
        <w:tc>
          <w:tcPr>
            <w:tcW w:w="1119" w:type="dxa"/>
            <w:tcBorders>
              <w:top w:val="nil"/>
              <w:left w:val="nil"/>
              <w:bottom w:val="nil"/>
              <w:right w:val="nil"/>
            </w:tcBorders>
            <w:shd w:val="clear" w:color="auto" w:fill="auto"/>
            <w:noWrap/>
            <w:vAlign w:val="center"/>
            <w:hideMark/>
          </w:tcPr>
          <w:p w14:paraId="724123A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(11.52, 6.4)</w:t>
            </w:r>
          </w:p>
        </w:tc>
        <w:tc>
          <w:tcPr>
            <w:tcW w:w="1119" w:type="dxa"/>
            <w:tcBorders>
              <w:top w:val="nil"/>
              <w:left w:val="nil"/>
              <w:bottom w:val="nil"/>
              <w:right w:val="nil"/>
            </w:tcBorders>
            <w:shd w:val="clear" w:color="auto" w:fill="auto"/>
            <w:noWrap/>
            <w:vAlign w:val="center"/>
            <w:hideMark/>
          </w:tcPr>
          <w:p w14:paraId="4802E2F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(11.51, 6.39)</w:t>
            </w:r>
          </w:p>
        </w:tc>
        <w:tc>
          <w:tcPr>
            <w:tcW w:w="1038" w:type="dxa"/>
            <w:tcBorders>
              <w:top w:val="nil"/>
              <w:left w:val="nil"/>
              <w:bottom w:val="nil"/>
              <w:right w:val="nil"/>
            </w:tcBorders>
            <w:shd w:val="clear" w:color="auto" w:fill="auto"/>
            <w:noWrap/>
            <w:vAlign w:val="center"/>
            <w:hideMark/>
          </w:tcPr>
          <w:p w14:paraId="31CAEBD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(11.53, 6.37)</w:t>
            </w:r>
          </w:p>
        </w:tc>
        <w:tc>
          <w:tcPr>
            <w:tcW w:w="1491" w:type="dxa"/>
            <w:tcBorders>
              <w:top w:val="nil"/>
              <w:left w:val="nil"/>
              <w:bottom w:val="nil"/>
              <w:right w:val="single" w:sz="8" w:space="0" w:color="auto"/>
            </w:tcBorders>
            <w:shd w:val="clear" w:color="auto" w:fill="auto"/>
            <w:noWrap/>
            <w:vAlign w:val="center"/>
            <w:hideMark/>
          </w:tcPr>
          <w:p w14:paraId="50C6481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(11.53, 5.81)</w:t>
            </w:r>
          </w:p>
        </w:tc>
        <w:tc>
          <w:tcPr>
            <w:tcW w:w="222" w:type="dxa"/>
            <w:tcBorders>
              <w:top w:val="nil"/>
              <w:left w:val="nil"/>
              <w:bottom w:val="nil"/>
              <w:right w:val="nil"/>
            </w:tcBorders>
            <w:shd w:val="clear" w:color="auto" w:fill="auto"/>
            <w:noWrap/>
            <w:vAlign w:val="center"/>
            <w:hideMark/>
          </w:tcPr>
          <w:p w14:paraId="61C92C1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0D2FB0F6"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11BE22B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46465DE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w:t>
            </w:r>
          </w:p>
        </w:tc>
        <w:tc>
          <w:tcPr>
            <w:tcW w:w="1038" w:type="dxa"/>
            <w:tcBorders>
              <w:top w:val="nil"/>
              <w:left w:val="nil"/>
              <w:bottom w:val="nil"/>
              <w:right w:val="nil"/>
            </w:tcBorders>
            <w:shd w:val="clear" w:color="auto" w:fill="auto"/>
            <w:noWrap/>
            <w:vAlign w:val="center"/>
            <w:hideMark/>
          </w:tcPr>
          <w:p w14:paraId="148E6E0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(14.66, 5.87)</w:t>
            </w:r>
          </w:p>
        </w:tc>
        <w:tc>
          <w:tcPr>
            <w:tcW w:w="1119" w:type="dxa"/>
            <w:tcBorders>
              <w:top w:val="nil"/>
              <w:left w:val="nil"/>
              <w:bottom w:val="nil"/>
              <w:right w:val="nil"/>
            </w:tcBorders>
            <w:shd w:val="clear" w:color="auto" w:fill="auto"/>
            <w:noWrap/>
            <w:vAlign w:val="center"/>
            <w:hideMark/>
          </w:tcPr>
          <w:p w14:paraId="37207C2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(14.44, 5.26)</w:t>
            </w:r>
          </w:p>
        </w:tc>
        <w:tc>
          <w:tcPr>
            <w:tcW w:w="1119" w:type="dxa"/>
            <w:tcBorders>
              <w:top w:val="nil"/>
              <w:left w:val="nil"/>
              <w:bottom w:val="nil"/>
              <w:right w:val="nil"/>
            </w:tcBorders>
            <w:shd w:val="clear" w:color="auto" w:fill="auto"/>
            <w:noWrap/>
            <w:vAlign w:val="center"/>
            <w:hideMark/>
          </w:tcPr>
          <w:p w14:paraId="7446D98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(14.44, 5.25)</w:t>
            </w:r>
          </w:p>
        </w:tc>
        <w:tc>
          <w:tcPr>
            <w:tcW w:w="1119" w:type="dxa"/>
            <w:tcBorders>
              <w:top w:val="nil"/>
              <w:left w:val="nil"/>
              <w:bottom w:val="nil"/>
              <w:right w:val="nil"/>
            </w:tcBorders>
            <w:shd w:val="clear" w:color="auto" w:fill="auto"/>
            <w:noWrap/>
            <w:vAlign w:val="center"/>
            <w:hideMark/>
          </w:tcPr>
          <w:p w14:paraId="5D14CEB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(14.43, 5.24)</w:t>
            </w:r>
          </w:p>
        </w:tc>
        <w:tc>
          <w:tcPr>
            <w:tcW w:w="1038" w:type="dxa"/>
            <w:tcBorders>
              <w:top w:val="nil"/>
              <w:left w:val="nil"/>
              <w:bottom w:val="nil"/>
              <w:right w:val="nil"/>
            </w:tcBorders>
            <w:shd w:val="clear" w:color="auto" w:fill="auto"/>
            <w:noWrap/>
            <w:vAlign w:val="center"/>
            <w:hideMark/>
          </w:tcPr>
          <w:p w14:paraId="024B09E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(14.22, 5.23)</w:t>
            </w:r>
          </w:p>
        </w:tc>
        <w:tc>
          <w:tcPr>
            <w:tcW w:w="1491" w:type="dxa"/>
            <w:tcBorders>
              <w:top w:val="nil"/>
              <w:left w:val="nil"/>
              <w:bottom w:val="nil"/>
              <w:right w:val="single" w:sz="8" w:space="0" w:color="auto"/>
            </w:tcBorders>
            <w:shd w:val="clear" w:color="auto" w:fill="auto"/>
            <w:noWrap/>
            <w:vAlign w:val="center"/>
            <w:hideMark/>
          </w:tcPr>
          <w:p w14:paraId="13C7274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(14.22, 4.65)</w:t>
            </w:r>
          </w:p>
        </w:tc>
        <w:tc>
          <w:tcPr>
            <w:tcW w:w="222" w:type="dxa"/>
            <w:tcBorders>
              <w:top w:val="nil"/>
              <w:left w:val="nil"/>
              <w:bottom w:val="nil"/>
              <w:right w:val="nil"/>
            </w:tcBorders>
            <w:shd w:val="clear" w:color="auto" w:fill="auto"/>
            <w:noWrap/>
            <w:vAlign w:val="center"/>
            <w:hideMark/>
          </w:tcPr>
          <w:p w14:paraId="5A3A922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5D581A00"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79A48D4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single" w:sz="8" w:space="0" w:color="auto"/>
              <w:right w:val="nil"/>
            </w:tcBorders>
            <w:shd w:val="clear" w:color="000000" w:fill="BFBFBF"/>
            <w:noWrap/>
            <w:vAlign w:val="center"/>
            <w:hideMark/>
          </w:tcPr>
          <w:p w14:paraId="38CCDAA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5</w:t>
            </w:r>
          </w:p>
        </w:tc>
        <w:tc>
          <w:tcPr>
            <w:tcW w:w="1038" w:type="dxa"/>
            <w:tcBorders>
              <w:top w:val="nil"/>
              <w:left w:val="nil"/>
              <w:bottom w:val="single" w:sz="8" w:space="0" w:color="auto"/>
              <w:right w:val="nil"/>
            </w:tcBorders>
            <w:shd w:val="clear" w:color="auto" w:fill="auto"/>
            <w:noWrap/>
            <w:vAlign w:val="center"/>
            <w:hideMark/>
          </w:tcPr>
          <w:p w14:paraId="25EDD85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(13.68, 4.02)</w:t>
            </w:r>
          </w:p>
        </w:tc>
        <w:tc>
          <w:tcPr>
            <w:tcW w:w="1119" w:type="dxa"/>
            <w:tcBorders>
              <w:top w:val="nil"/>
              <w:left w:val="nil"/>
              <w:bottom w:val="single" w:sz="8" w:space="0" w:color="auto"/>
              <w:right w:val="nil"/>
            </w:tcBorders>
            <w:shd w:val="clear" w:color="auto" w:fill="auto"/>
            <w:noWrap/>
            <w:vAlign w:val="center"/>
            <w:hideMark/>
          </w:tcPr>
          <w:p w14:paraId="3090817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(13.32, 3.4)</w:t>
            </w:r>
          </w:p>
        </w:tc>
        <w:tc>
          <w:tcPr>
            <w:tcW w:w="1119" w:type="dxa"/>
            <w:tcBorders>
              <w:top w:val="nil"/>
              <w:left w:val="nil"/>
              <w:bottom w:val="single" w:sz="8" w:space="0" w:color="auto"/>
              <w:right w:val="nil"/>
            </w:tcBorders>
            <w:shd w:val="clear" w:color="auto" w:fill="auto"/>
            <w:noWrap/>
            <w:vAlign w:val="center"/>
            <w:hideMark/>
          </w:tcPr>
          <w:p w14:paraId="32C40E4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(13.32, 3.4)</w:t>
            </w:r>
          </w:p>
        </w:tc>
        <w:tc>
          <w:tcPr>
            <w:tcW w:w="1119" w:type="dxa"/>
            <w:tcBorders>
              <w:top w:val="nil"/>
              <w:left w:val="nil"/>
              <w:bottom w:val="single" w:sz="8" w:space="0" w:color="auto"/>
              <w:right w:val="nil"/>
            </w:tcBorders>
            <w:shd w:val="clear" w:color="auto" w:fill="auto"/>
            <w:noWrap/>
            <w:vAlign w:val="center"/>
            <w:hideMark/>
          </w:tcPr>
          <w:p w14:paraId="26653F7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(13.33, 3.39)</w:t>
            </w:r>
          </w:p>
        </w:tc>
        <w:tc>
          <w:tcPr>
            <w:tcW w:w="1038" w:type="dxa"/>
            <w:tcBorders>
              <w:top w:val="nil"/>
              <w:left w:val="nil"/>
              <w:bottom w:val="single" w:sz="8" w:space="0" w:color="auto"/>
              <w:right w:val="nil"/>
            </w:tcBorders>
            <w:shd w:val="clear" w:color="auto" w:fill="auto"/>
            <w:noWrap/>
            <w:vAlign w:val="center"/>
            <w:hideMark/>
          </w:tcPr>
          <w:p w14:paraId="153FB6F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(13.06, 3.38)</w:t>
            </w:r>
          </w:p>
        </w:tc>
        <w:tc>
          <w:tcPr>
            <w:tcW w:w="1491" w:type="dxa"/>
            <w:tcBorders>
              <w:top w:val="nil"/>
              <w:left w:val="nil"/>
              <w:bottom w:val="single" w:sz="8" w:space="0" w:color="auto"/>
              <w:right w:val="single" w:sz="8" w:space="0" w:color="auto"/>
            </w:tcBorders>
            <w:shd w:val="clear" w:color="auto" w:fill="auto"/>
            <w:noWrap/>
            <w:vAlign w:val="center"/>
            <w:hideMark/>
          </w:tcPr>
          <w:p w14:paraId="485B885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(2.8, 2.81)</w:t>
            </w:r>
          </w:p>
        </w:tc>
        <w:tc>
          <w:tcPr>
            <w:tcW w:w="222" w:type="dxa"/>
            <w:tcBorders>
              <w:top w:val="nil"/>
              <w:left w:val="nil"/>
              <w:bottom w:val="nil"/>
              <w:right w:val="nil"/>
            </w:tcBorders>
            <w:shd w:val="clear" w:color="auto" w:fill="auto"/>
            <w:noWrap/>
            <w:vAlign w:val="center"/>
            <w:hideMark/>
          </w:tcPr>
          <w:p w14:paraId="7A8B0EB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5EC84D1A" w14:textId="77777777" w:rsidTr="00C44CDB">
        <w:trPr>
          <w:cantSplit/>
          <w:trHeight w:val="144"/>
        </w:trPr>
        <w:tc>
          <w:tcPr>
            <w:tcW w:w="423" w:type="dxa"/>
            <w:tcBorders>
              <w:top w:val="nil"/>
              <w:left w:val="nil"/>
              <w:bottom w:val="nil"/>
              <w:right w:val="nil"/>
            </w:tcBorders>
            <w:shd w:val="clear" w:color="auto" w:fill="auto"/>
            <w:noWrap/>
            <w:vAlign w:val="center"/>
            <w:hideMark/>
          </w:tcPr>
          <w:p w14:paraId="17EA546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auto" w:fill="auto"/>
            <w:noWrap/>
            <w:vAlign w:val="center"/>
            <w:hideMark/>
          </w:tcPr>
          <w:p w14:paraId="13B3FA0A"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038" w:type="dxa"/>
            <w:tcBorders>
              <w:top w:val="nil"/>
              <w:left w:val="nil"/>
              <w:bottom w:val="nil"/>
              <w:right w:val="nil"/>
            </w:tcBorders>
            <w:shd w:val="clear" w:color="auto" w:fill="auto"/>
            <w:noWrap/>
            <w:vAlign w:val="center"/>
            <w:hideMark/>
          </w:tcPr>
          <w:p w14:paraId="7A8BFB37"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119" w:type="dxa"/>
            <w:tcBorders>
              <w:top w:val="nil"/>
              <w:left w:val="nil"/>
              <w:bottom w:val="nil"/>
              <w:right w:val="nil"/>
            </w:tcBorders>
            <w:shd w:val="clear" w:color="auto" w:fill="auto"/>
            <w:noWrap/>
            <w:vAlign w:val="center"/>
            <w:hideMark/>
          </w:tcPr>
          <w:p w14:paraId="673165EA"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119" w:type="dxa"/>
            <w:tcBorders>
              <w:top w:val="nil"/>
              <w:left w:val="nil"/>
              <w:bottom w:val="nil"/>
              <w:right w:val="nil"/>
            </w:tcBorders>
            <w:shd w:val="clear" w:color="auto" w:fill="auto"/>
            <w:noWrap/>
            <w:vAlign w:val="center"/>
            <w:hideMark/>
          </w:tcPr>
          <w:p w14:paraId="6D1FA270"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119" w:type="dxa"/>
            <w:tcBorders>
              <w:top w:val="nil"/>
              <w:left w:val="nil"/>
              <w:bottom w:val="nil"/>
              <w:right w:val="nil"/>
            </w:tcBorders>
            <w:shd w:val="clear" w:color="auto" w:fill="auto"/>
            <w:noWrap/>
            <w:vAlign w:val="center"/>
            <w:hideMark/>
          </w:tcPr>
          <w:p w14:paraId="71A79A1F"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038" w:type="dxa"/>
            <w:tcBorders>
              <w:top w:val="nil"/>
              <w:left w:val="nil"/>
              <w:bottom w:val="nil"/>
              <w:right w:val="nil"/>
            </w:tcBorders>
            <w:shd w:val="clear" w:color="auto" w:fill="auto"/>
            <w:noWrap/>
            <w:vAlign w:val="center"/>
            <w:hideMark/>
          </w:tcPr>
          <w:p w14:paraId="45D085C8"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1491" w:type="dxa"/>
            <w:tcBorders>
              <w:top w:val="nil"/>
              <w:left w:val="nil"/>
              <w:bottom w:val="nil"/>
              <w:right w:val="nil"/>
            </w:tcBorders>
            <w:shd w:val="clear" w:color="auto" w:fill="auto"/>
            <w:noWrap/>
            <w:vAlign w:val="center"/>
            <w:hideMark/>
          </w:tcPr>
          <w:p w14:paraId="6BA9207F"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c>
          <w:tcPr>
            <w:tcW w:w="222" w:type="dxa"/>
            <w:tcBorders>
              <w:top w:val="nil"/>
              <w:left w:val="nil"/>
              <w:bottom w:val="nil"/>
              <w:right w:val="nil"/>
            </w:tcBorders>
            <w:shd w:val="clear" w:color="auto" w:fill="auto"/>
            <w:noWrap/>
            <w:vAlign w:val="center"/>
            <w:hideMark/>
          </w:tcPr>
          <w:p w14:paraId="525095FB" w14:textId="77777777" w:rsidR="0092469B" w:rsidRPr="0092469B" w:rsidRDefault="0092469B" w:rsidP="0092469B">
            <w:pPr>
              <w:autoSpaceDE/>
              <w:autoSpaceDN/>
              <w:adjustRightInd/>
              <w:spacing w:after="0"/>
              <w:jc w:val="center"/>
              <w:rPr>
                <w:rFonts w:ascii="Times New Roman" w:eastAsia="Times New Roman" w:hAnsi="Times New Roman" w:cs="Times New Roman"/>
                <w:color w:val="auto"/>
                <w:sz w:val="16"/>
                <w:szCs w:val="16"/>
              </w:rPr>
            </w:pPr>
          </w:p>
        </w:tc>
      </w:tr>
      <w:tr w:rsidR="00C44CDB" w:rsidRPr="00293A49" w14:paraId="0CA9EE72" w14:textId="77777777" w:rsidTr="00C44CDB">
        <w:trPr>
          <w:cantSplit/>
          <w:trHeight w:val="144"/>
        </w:trPr>
        <w:tc>
          <w:tcPr>
            <w:tcW w:w="423" w:type="dxa"/>
            <w:tcBorders>
              <w:top w:val="single" w:sz="8" w:space="0" w:color="auto"/>
              <w:left w:val="single" w:sz="8" w:space="0" w:color="auto"/>
              <w:bottom w:val="nil"/>
              <w:right w:val="nil"/>
            </w:tcBorders>
            <w:shd w:val="clear" w:color="000000" w:fill="000000"/>
            <w:noWrap/>
            <w:vAlign w:val="center"/>
            <w:hideMark/>
          </w:tcPr>
          <w:p w14:paraId="4542D60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7222"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019C6D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Mean LOCL per Mission by SoP</w:t>
            </w:r>
          </w:p>
        </w:tc>
        <w:tc>
          <w:tcPr>
            <w:tcW w:w="222" w:type="dxa"/>
            <w:tcBorders>
              <w:top w:val="nil"/>
              <w:left w:val="nil"/>
              <w:bottom w:val="nil"/>
              <w:right w:val="nil"/>
            </w:tcBorders>
            <w:shd w:val="clear" w:color="auto" w:fill="auto"/>
            <w:noWrap/>
            <w:vAlign w:val="center"/>
            <w:hideMark/>
          </w:tcPr>
          <w:p w14:paraId="67EE59C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293A49" w14:paraId="09F0FC10" w14:textId="77777777" w:rsidTr="00C44CDB">
        <w:trPr>
          <w:cantSplit/>
          <w:trHeight w:val="144"/>
        </w:trPr>
        <w:tc>
          <w:tcPr>
            <w:tcW w:w="42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E2D54B1" w14:textId="48A820B9"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Cogn</w:t>
            </w:r>
            <w:r w:rsidR="004860F5">
              <w:rPr>
                <w:rFonts w:ascii="Calibri" w:eastAsia="Times New Roman" w:hAnsi="Calibri" w:cs="Calibri"/>
                <w:color w:val="000000"/>
                <w:sz w:val="16"/>
                <w:szCs w:val="16"/>
              </w:rPr>
              <w:t>i</w:t>
            </w:r>
            <w:r w:rsidRPr="0092469B">
              <w:rPr>
                <w:rFonts w:ascii="Calibri" w:eastAsia="Times New Roman" w:hAnsi="Calibri" w:cs="Calibri"/>
                <w:color w:val="000000"/>
                <w:sz w:val="16"/>
                <w:szCs w:val="16"/>
              </w:rPr>
              <w:t>tive SoP</w:t>
            </w:r>
          </w:p>
        </w:tc>
        <w:tc>
          <w:tcPr>
            <w:tcW w:w="7222" w:type="dxa"/>
            <w:gridSpan w:val="7"/>
            <w:tcBorders>
              <w:top w:val="nil"/>
              <w:left w:val="nil"/>
              <w:bottom w:val="single" w:sz="8" w:space="0" w:color="auto"/>
              <w:right w:val="single" w:sz="8" w:space="0" w:color="000000"/>
            </w:tcBorders>
            <w:shd w:val="clear" w:color="auto" w:fill="auto"/>
            <w:noWrap/>
            <w:vAlign w:val="center"/>
            <w:hideMark/>
          </w:tcPr>
          <w:p w14:paraId="5C16FCD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Procedural SoP</w:t>
            </w:r>
          </w:p>
        </w:tc>
        <w:tc>
          <w:tcPr>
            <w:tcW w:w="222" w:type="dxa"/>
            <w:tcBorders>
              <w:top w:val="nil"/>
              <w:left w:val="nil"/>
              <w:bottom w:val="nil"/>
              <w:right w:val="nil"/>
            </w:tcBorders>
            <w:shd w:val="clear" w:color="auto" w:fill="auto"/>
            <w:noWrap/>
            <w:vAlign w:val="center"/>
            <w:hideMark/>
          </w:tcPr>
          <w:p w14:paraId="78EFA025"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079E8244"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7D02B0F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6B4C456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1038" w:type="dxa"/>
            <w:tcBorders>
              <w:top w:val="nil"/>
              <w:left w:val="nil"/>
              <w:bottom w:val="nil"/>
              <w:right w:val="nil"/>
            </w:tcBorders>
            <w:shd w:val="clear" w:color="000000" w:fill="BFBFBF"/>
            <w:noWrap/>
            <w:vAlign w:val="center"/>
            <w:hideMark/>
          </w:tcPr>
          <w:p w14:paraId="680E7D1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w:t>
            </w:r>
          </w:p>
        </w:tc>
        <w:tc>
          <w:tcPr>
            <w:tcW w:w="1119" w:type="dxa"/>
            <w:tcBorders>
              <w:top w:val="nil"/>
              <w:left w:val="nil"/>
              <w:bottom w:val="nil"/>
              <w:right w:val="nil"/>
            </w:tcBorders>
            <w:shd w:val="clear" w:color="000000" w:fill="BFBFBF"/>
            <w:noWrap/>
            <w:vAlign w:val="center"/>
            <w:hideMark/>
          </w:tcPr>
          <w:p w14:paraId="0EE0E57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w:t>
            </w:r>
          </w:p>
        </w:tc>
        <w:tc>
          <w:tcPr>
            <w:tcW w:w="1119" w:type="dxa"/>
            <w:tcBorders>
              <w:top w:val="nil"/>
              <w:left w:val="nil"/>
              <w:bottom w:val="nil"/>
              <w:right w:val="nil"/>
            </w:tcBorders>
            <w:shd w:val="clear" w:color="000000" w:fill="BFBFBF"/>
            <w:noWrap/>
            <w:vAlign w:val="center"/>
            <w:hideMark/>
          </w:tcPr>
          <w:p w14:paraId="64D0F75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w:t>
            </w:r>
          </w:p>
        </w:tc>
        <w:tc>
          <w:tcPr>
            <w:tcW w:w="1119" w:type="dxa"/>
            <w:tcBorders>
              <w:top w:val="nil"/>
              <w:left w:val="nil"/>
              <w:bottom w:val="nil"/>
              <w:right w:val="nil"/>
            </w:tcBorders>
            <w:shd w:val="clear" w:color="000000" w:fill="BFBFBF"/>
            <w:noWrap/>
            <w:vAlign w:val="center"/>
            <w:hideMark/>
          </w:tcPr>
          <w:p w14:paraId="3FAD223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w:t>
            </w:r>
          </w:p>
        </w:tc>
        <w:tc>
          <w:tcPr>
            <w:tcW w:w="1038" w:type="dxa"/>
            <w:tcBorders>
              <w:top w:val="nil"/>
              <w:left w:val="nil"/>
              <w:bottom w:val="nil"/>
              <w:right w:val="nil"/>
            </w:tcBorders>
            <w:shd w:val="clear" w:color="000000" w:fill="BFBFBF"/>
            <w:noWrap/>
            <w:vAlign w:val="center"/>
            <w:hideMark/>
          </w:tcPr>
          <w:p w14:paraId="7006638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w:t>
            </w:r>
          </w:p>
        </w:tc>
        <w:tc>
          <w:tcPr>
            <w:tcW w:w="1491" w:type="dxa"/>
            <w:tcBorders>
              <w:top w:val="nil"/>
              <w:left w:val="nil"/>
              <w:bottom w:val="nil"/>
              <w:right w:val="single" w:sz="8" w:space="0" w:color="auto"/>
            </w:tcBorders>
            <w:shd w:val="clear" w:color="000000" w:fill="BFBFBF"/>
            <w:noWrap/>
            <w:vAlign w:val="center"/>
            <w:hideMark/>
          </w:tcPr>
          <w:p w14:paraId="40244FA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5</w:t>
            </w:r>
          </w:p>
        </w:tc>
        <w:tc>
          <w:tcPr>
            <w:tcW w:w="222" w:type="dxa"/>
            <w:tcBorders>
              <w:top w:val="nil"/>
              <w:left w:val="nil"/>
              <w:bottom w:val="nil"/>
              <w:right w:val="nil"/>
            </w:tcBorders>
            <w:shd w:val="clear" w:color="auto" w:fill="auto"/>
            <w:noWrap/>
            <w:vAlign w:val="center"/>
            <w:hideMark/>
          </w:tcPr>
          <w:p w14:paraId="4C10F3B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1FAEE781"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3494E00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4E63269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w:t>
            </w:r>
          </w:p>
        </w:tc>
        <w:tc>
          <w:tcPr>
            <w:tcW w:w="1038" w:type="dxa"/>
            <w:tcBorders>
              <w:top w:val="nil"/>
              <w:left w:val="nil"/>
              <w:bottom w:val="nil"/>
              <w:right w:val="nil"/>
            </w:tcBorders>
            <w:shd w:val="clear" w:color="auto" w:fill="auto"/>
            <w:noWrap/>
            <w:vAlign w:val="center"/>
            <w:hideMark/>
          </w:tcPr>
          <w:p w14:paraId="4CCD261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(2.41, 2.41)</w:t>
            </w:r>
          </w:p>
        </w:tc>
        <w:tc>
          <w:tcPr>
            <w:tcW w:w="1119" w:type="dxa"/>
            <w:tcBorders>
              <w:top w:val="nil"/>
              <w:left w:val="nil"/>
              <w:bottom w:val="nil"/>
              <w:right w:val="nil"/>
            </w:tcBorders>
            <w:shd w:val="clear" w:color="auto" w:fill="auto"/>
            <w:noWrap/>
            <w:vAlign w:val="center"/>
            <w:hideMark/>
          </w:tcPr>
          <w:p w14:paraId="753BC82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(2.41, 2.41)</w:t>
            </w:r>
          </w:p>
        </w:tc>
        <w:tc>
          <w:tcPr>
            <w:tcW w:w="1119" w:type="dxa"/>
            <w:tcBorders>
              <w:top w:val="nil"/>
              <w:left w:val="nil"/>
              <w:bottom w:val="nil"/>
              <w:right w:val="nil"/>
            </w:tcBorders>
            <w:shd w:val="clear" w:color="auto" w:fill="auto"/>
            <w:noWrap/>
            <w:vAlign w:val="center"/>
            <w:hideMark/>
          </w:tcPr>
          <w:p w14:paraId="117B558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(2.41, 2.41)</w:t>
            </w:r>
          </w:p>
        </w:tc>
        <w:tc>
          <w:tcPr>
            <w:tcW w:w="1119" w:type="dxa"/>
            <w:tcBorders>
              <w:top w:val="nil"/>
              <w:left w:val="nil"/>
              <w:bottom w:val="nil"/>
              <w:right w:val="nil"/>
            </w:tcBorders>
            <w:shd w:val="clear" w:color="auto" w:fill="auto"/>
            <w:noWrap/>
            <w:vAlign w:val="center"/>
            <w:hideMark/>
          </w:tcPr>
          <w:p w14:paraId="438D7E4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(2.41, 2.41)</w:t>
            </w:r>
          </w:p>
        </w:tc>
        <w:tc>
          <w:tcPr>
            <w:tcW w:w="1038" w:type="dxa"/>
            <w:tcBorders>
              <w:top w:val="nil"/>
              <w:left w:val="nil"/>
              <w:bottom w:val="nil"/>
              <w:right w:val="nil"/>
            </w:tcBorders>
            <w:shd w:val="clear" w:color="auto" w:fill="auto"/>
            <w:noWrap/>
            <w:vAlign w:val="center"/>
            <w:hideMark/>
          </w:tcPr>
          <w:p w14:paraId="2631456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(2.41, 2.41)</w:t>
            </w:r>
          </w:p>
        </w:tc>
        <w:tc>
          <w:tcPr>
            <w:tcW w:w="1491" w:type="dxa"/>
            <w:tcBorders>
              <w:top w:val="nil"/>
              <w:left w:val="nil"/>
              <w:bottom w:val="nil"/>
              <w:right w:val="single" w:sz="8" w:space="0" w:color="auto"/>
            </w:tcBorders>
            <w:shd w:val="clear" w:color="auto" w:fill="auto"/>
            <w:noWrap/>
            <w:vAlign w:val="center"/>
            <w:hideMark/>
          </w:tcPr>
          <w:p w14:paraId="4B40465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(2.41, 2.4)</w:t>
            </w:r>
          </w:p>
        </w:tc>
        <w:tc>
          <w:tcPr>
            <w:tcW w:w="222" w:type="dxa"/>
            <w:tcBorders>
              <w:top w:val="nil"/>
              <w:left w:val="nil"/>
              <w:bottom w:val="nil"/>
              <w:right w:val="nil"/>
            </w:tcBorders>
            <w:shd w:val="clear" w:color="auto" w:fill="auto"/>
            <w:noWrap/>
            <w:vAlign w:val="center"/>
            <w:hideMark/>
          </w:tcPr>
          <w:p w14:paraId="7BD6CA0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791D142D"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13F3F8F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11A2B895"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1</w:t>
            </w:r>
          </w:p>
        </w:tc>
        <w:tc>
          <w:tcPr>
            <w:tcW w:w="1038" w:type="dxa"/>
            <w:tcBorders>
              <w:top w:val="nil"/>
              <w:left w:val="nil"/>
              <w:bottom w:val="nil"/>
              <w:right w:val="nil"/>
            </w:tcBorders>
            <w:shd w:val="clear" w:color="auto" w:fill="auto"/>
            <w:noWrap/>
            <w:vAlign w:val="center"/>
            <w:hideMark/>
          </w:tcPr>
          <w:p w14:paraId="2A8FDCF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(2.41, 0.78)</w:t>
            </w:r>
          </w:p>
        </w:tc>
        <w:tc>
          <w:tcPr>
            <w:tcW w:w="1119" w:type="dxa"/>
            <w:tcBorders>
              <w:top w:val="nil"/>
              <w:left w:val="nil"/>
              <w:bottom w:val="nil"/>
              <w:right w:val="nil"/>
            </w:tcBorders>
            <w:shd w:val="clear" w:color="auto" w:fill="auto"/>
            <w:noWrap/>
            <w:vAlign w:val="center"/>
            <w:hideMark/>
          </w:tcPr>
          <w:p w14:paraId="6C1D738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(2.41, 0.78)</w:t>
            </w:r>
          </w:p>
        </w:tc>
        <w:tc>
          <w:tcPr>
            <w:tcW w:w="1119" w:type="dxa"/>
            <w:tcBorders>
              <w:top w:val="nil"/>
              <w:left w:val="nil"/>
              <w:bottom w:val="nil"/>
              <w:right w:val="nil"/>
            </w:tcBorders>
            <w:shd w:val="clear" w:color="auto" w:fill="auto"/>
            <w:noWrap/>
            <w:vAlign w:val="center"/>
            <w:hideMark/>
          </w:tcPr>
          <w:p w14:paraId="40E51266"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(2.41, 0.78)</w:t>
            </w:r>
          </w:p>
        </w:tc>
        <w:tc>
          <w:tcPr>
            <w:tcW w:w="1119" w:type="dxa"/>
            <w:tcBorders>
              <w:top w:val="nil"/>
              <w:left w:val="nil"/>
              <w:bottom w:val="nil"/>
              <w:right w:val="nil"/>
            </w:tcBorders>
            <w:shd w:val="clear" w:color="auto" w:fill="auto"/>
            <w:noWrap/>
            <w:vAlign w:val="center"/>
            <w:hideMark/>
          </w:tcPr>
          <w:p w14:paraId="2EFFBAA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(2.41, 0.78)</w:t>
            </w:r>
          </w:p>
        </w:tc>
        <w:tc>
          <w:tcPr>
            <w:tcW w:w="1038" w:type="dxa"/>
            <w:tcBorders>
              <w:top w:val="nil"/>
              <w:left w:val="nil"/>
              <w:bottom w:val="nil"/>
              <w:right w:val="nil"/>
            </w:tcBorders>
            <w:shd w:val="clear" w:color="auto" w:fill="auto"/>
            <w:noWrap/>
            <w:vAlign w:val="center"/>
            <w:hideMark/>
          </w:tcPr>
          <w:p w14:paraId="23A9871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1491" w:type="dxa"/>
            <w:tcBorders>
              <w:top w:val="nil"/>
              <w:left w:val="nil"/>
              <w:bottom w:val="nil"/>
              <w:right w:val="single" w:sz="8" w:space="0" w:color="auto"/>
            </w:tcBorders>
            <w:shd w:val="clear" w:color="auto" w:fill="auto"/>
            <w:noWrap/>
            <w:vAlign w:val="center"/>
            <w:hideMark/>
          </w:tcPr>
          <w:p w14:paraId="39AF798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222" w:type="dxa"/>
            <w:tcBorders>
              <w:top w:val="nil"/>
              <w:left w:val="nil"/>
              <w:bottom w:val="nil"/>
              <w:right w:val="nil"/>
            </w:tcBorders>
            <w:shd w:val="clear" w:color="auto" w:fill="auto"/>
            <w:noWrap/>
            <w:vAlign w:val="center"/>
            <w:hideMark/>
          </w:tcPr>
          <w:p w14:paraId="1BD7296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8111D03"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6B9BEB2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5799D55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w:t>
            </w:r>
          </w:p>
        </w:tc>
        <w:tc>
          <w:tcPr>
            <w:tcW w:w="1038" w:type="dxa"/>
            <w:tcBorders>
              <w:top w:val="nil"/>
              <w:left w:val="nil"/>
              <w:bottom w:val="nil"/>
              <w:right w:val="nil"/>
            </w:tcBorders>
            <w:shd w:val="clear" w:color="auto" w:fill="auto"/>
            <w:noWrap/>
            <w:vAlign w:val="center"/>
            <w:hideMark/>
          </w:tcPr>
          <w:p w14:paraId="439978A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1119" w:type="dxa"/>
            <w:tcBorders>
              <w:top w:val="nil"/>
              <w:left w:val="nil"/>
              <w:bottom w:val="nil"/>
              <w:right w:val="nil"/>
            </w:tcBorders>
            <w:shd w:val="clear" w:color="auto" w:fill="auto"/>
            <w:noWrap/>
            <w:vAlign w:val="center"/>
            <w:hideMark/>
          </w:tcPr>
          <w:p w14:paraId="71B5FAD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1119" w:type="dxa"/>
            <w:tcBorders>
              <w:top w:val="nil"/>
              <w:left w:val="nil"/>
              <w:bottom w:val="nil"/>
              <w:right w:val="nil"/>
            </w:tcBorders>
            <w:shd w:val="clear" w:color="auto" w:fill="auto"/>
            <w:noWrap/>
            <w:vAlign w:val="center"/>
            <w:hideMark/>
          </w:tcPr>
          <w:p w14:paraId="6D655DC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1119" w:type="dxa"/>
            <w:tcBorders>
              <w:top w:val="nil"/>
              <w:left w:val="nil"/>
              <w:bottom w:val="nil"/>
              <w:right w:val="nil"/>
            </w:tcBorders>
            <w:shd w:val="clear" w:color="auto" w:fill="auto"/>
            <w:noWrap/>
            <w:vAlign w:val="center"/>
            <w:hideMark/>
          </w:tcPr>
          <w:p w14:paraId="64CB7A6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1038" w:type="dxa"/>
            <w:tcBorders>
              <w:top w:val="nil"/>
              <w:left w:val="nil"/>
              <w:bottom w:val="nil"/>
              <w:right w:val="nil"/>
            </w:tcBorders>
            <w:shd w:val="clear" w:color="auto" w:fill="auto"/>
            <w:noWrap/>
            <w:vAlign w:val="center"/>
            <w:hideMark/>
          </w:tcPr>
          <w:p w14:paraId="6D22A20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1491" w:type="dxa"/>
            <w:tcBorders>
              <w:top w:val="nil"/>
              <w:left w:val="nil"/>
              <w:bottom w:val="nil"/>
              <w:right w:val="single" w:sz="8" w:space="0" w:color="auto"/>
            </w:tcBorders>
            <w:shd w:val="clear" w:color="auto" w:fill="auto"/>
            <w:noWrap/>
            <w:vAlign w:val="center"/>
            <w:hideMark/>
          </w:tcPr>
          <w:p w14:paraId="64AF72C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(2.41, 0.77)</w:t>
            </w:r>
          </w:p>
        </w:tc>
        <w:tc>
          <w:tcPr>
            <w:tcW w:w="222" w:type="dxa"/>
            <w:tcBorders>
              <w:top w:val="nil"/>
              <w:left w:val="nil"/>
              <w:bottom w:val="nil"/>
              <w:right w:val="nil"/>
            </w:tcBorders>
            <w:shd w:val="clear" w:color="auto" w:fill="auto"/>
            <w:noWrap/>
            <w:vAlign w:val="center"/>
            <w:hideMark/>
          </w:tcPr>
          <w:p w14:paraId="39D36D59"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E53E89D"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7392DC3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6417524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3</w:t>
            </w:r>
          </w:p>
        </w:tc>
        <w:tc>
          <w:tcPr>
            <w:tcW w:w="1038" w:type="dxa"/>
            <w:tcBorders>
              <w:top w:val="nil"/>
              <w:left w:val="nil"/>
              <w:bottom w:val="nil"/>
              <w:right w:val="nil"/>
            </w:tcBorders>
            <w:shd w:val="clear" w:color="auto" w:fill="auto"/>
            <w:noWrap/>
            <w:vAlign w:val="center"/>
            <w:hideMark/>
          </w:tcPr>
          <w:p w14:paraId="6DBBF9B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(2.4, 0.38)</w:t>
            </w:r>
          </w:p>
        </w:tc>
        <w:tc>
          <w:tcPr>
            <w:tcW w:w="1119" w:type="dxa"/>
            <w:tcBorders>
              <w:top w:val="nil"/>
              <w:left w:val="nil"/>
              <w:bottom w:val="nil"/>
              <w:right w:val="nil"/>
            </w:tcBorders>
            <w:shd w:val="clear" w:color="auto" w:fill="auto"/>
            <w:noWrap/>
            <w:vAlign w:val="center"/>
            <w:hideMark/>
          </w:tcPr>
          <w:p w14:paraId="5F676A05"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(2.4, 0.38)</w:t>
            </w:r>
          </w:p>
        </w:tc>
        <w:tc>
          <w:tcPr>
            <w:tcW w:w="1119" w:type="dxa"/>
            <w:tcBorders>
              <w:top w:val="nil"/>
              <w:left w:val="nil"/>
              <w:bottom w:val="nil"/>
              <w:right w:val="nil"/>
            </w:tcBorders>
            <w:shd w:val="clear" w:color="auto" w:fill="auto"/>
            <w:noWrap/>
            <w:vAlign w:val="center"/>
            <w:hideMark/>
          </w:tcPr>
          <w:p w14:paraId="1D5B36E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(2.41, 0.38)</w:t>
            </w:r>
          </w:p>
        </w:tc>
        <w:tc>
          <w:tcPr>
            <w:tcW w:w="1119" w:type="dxa"/>
            <w:tcBorders>
              <w:top w:val="nil"/>
              <w:left w:val="nil"/>
              <w:bottom w:val="nil"/>
              <w:right w:val="nil"/>
            </w:tcBorders>
            <w:shd w:val="clear" w:color="auto" w:fill="auto"/>
            <w:noWrap/>
            <w:vAlign w:val="center"/>
            <w:hideMark/>
          </w:tcPr>
          <w:p w14:paraId="4F571EA1"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(2.41, 0.38)</w:t>
            </w:r>
          </w:p>
        </w:tc>
        <w:tc>
          <w:tcPr>
            <w:tcW w:w="1038" w:type="dxa"/>
            <w:tcBorders>
              <w:top w:val="nil"/>
              <w:left w:val="nil"/>
              <w:bottom w:val="nil"/>
              <w:right w:val="nil"/>
            </w:tcBorders>
            <w:shd w:val="clear" w:color="auto" w:fill="auto"/>
            <w:noWrap/>
            <w:vAlign w:val="center"/>
            <w:hideMark/>
          </w:tcPr>
          <w:p w14:paraId="5C3EDBF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(2.4, 0.38)</w:t>
            </w:r>
          </w:p>
        </w:tc>
        <w:tc>
          <w:tcPr>
            <w:tcW w:w="1491" w:type="dxa"/>
            <w:tcBorders>
              <w:top w:val="nil"/>
              <w:left w:val="nil"/>
              <w:bottom w:val="nil"/>
              <w:right w:val="single" w:sz="8" w:space="0" w:color="auto"/>
            </w:tcBorders>
            <w:shd w:val="clear" w:color="auto" w:fill="auto"/>
            <w:noWrap/>
            <w:vAlign w:val="center"/>
            <w:hideMark/>
          </w:tcPr>
          <w:p w14:paraId="728A0FB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(2.41, 0.37)</w:t>
            </w:r>
          </w:p>
        </w:tc>
        <w:tc>
          <w:tcPr>
            <w:tcW w:w="222" w:type="dxa"/>
            <w:tcBorders>
              <w:top w:val="nil"/>
              <w:left w:val="nil"/>
              <w:bottom w:val="nil"/>
              <w:right w:val="nil"/>
            </w:tcBorders>
            <w:shd w:val="clear" w:color="auto" w:fill="auto"/>
            <w:noWrap/>
            <w:vAlign w:val="center"/>
            <w:hideMark/>
          </w:tcPr>
          <w:p w14:paraId="3588B52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FB4F12E"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240FB4C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nil"/>
              <w:right w:val="nil"/>
            </w:tcBorders>
            <w:shd w:val="clear" w:color="000000" w:fill="BFBFBF"/>
            <w:noWrap/>
            <w:vAlign w:val="center"/>
            <w:hideMark/>
          </w:tcPr>
          <w:p w14:paraId="099776A3"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4</w:t>
            </w:r>
          </w:p>
        </w:tc>
        <w:tc>
          <w:tcPr>
            <w:tcW w:w="1038" w:type="dxa"/>
            <w:tcBorders>
              <w:top w:val="nil"/>
              <w:left w:val="nil"/>
              <w:bottom w:val="nil"/>
              <w:right w:val="nil"/>
            </w:tcBorders>
            <w:shd w:val="clear" w:color="auto" w:fill="auto"/>
            <w:noWrap/>
            <w:vAlign w:val="center"/>
            <w:hideMark/>
          </w:tcPr>
          <w:p w14:paraId="12AF091C"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(0.15, 0.06)</w:t>
            </w:r>
          </w:p>
        </w:tc>
        <w:tc>
          <w:tcPr>
            <w:tcW w:w="1119" w:type="dxa"/>
            <w:tcBorders>
              <w:top w:val="nil"/>
              <w:left w:val="nil"/>
              <w:bottom w:val="nil"/>
              <w:right w:val="nil"/>
            </w:tcBorders>
            <w:shd w:val="clear" w:color="auto" w:fill="auto"/>
            <w:noWrap/>
            <w:vAlign w:val="center"/>
            <w:hideMark/>
          </w:tcPr>
          <w:p w14:paraId="5FFD2BF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(0.15, 0.06)</w:t>
            </w:r>
          </w:p>
        </w:tc>
        <w:tc>
          <w:tcPr>
            <w:tcW w:w="1119" w:type="dxa"/>
            <w:tcBorders>
              <w:top w:val="nil"/>
              <w:left w:val="nil"/>
              <w:bottom w:val="nil"/>
              <w:right w:val="nil"/>
            </w:tcBorders>
            <w:shd w:val="clear" w:color="auto" w:fill="auto"/>
            <w:noWrap/>
            <w:vAlign w:val="center"/>
            <w:hideMark/>
          </w:tcPr>
          <w:p w14:paraId="0E8DB1A7"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(0.15, 0.06)</w:t>
            </w:r>
          </w:p>
        </w:tc>
        <w:tc>
          <w:tcPr>
            <w:tcW w:w="1119" w:type="dxa"/>
            <w:tcBorders>
              <w:top w:val="nil"/>
              <w:left w:val="nil"/>
              <w:bottom w:val="nil"/>
              <w:right w:val="nil"/>
            </w:tcBorders>
            <w:shd w:val="clear" w:color="auto" w:fill="auto"/>
            <w:noWrap/>
            <w:vAlign w:val="center"/>
            <w:hideMark/>
          </w:tcPr>
          <w:p w14:paraId="6CE5093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(0.15, 0.06)</w:t>
            </w:r>
          </w:p>
        </w:tc>
        <w:tc>
          <w:tcPr>
            <w:tcW w:w="1038" w:type="dxa"/>
            <w:tcBorders>
              <w:top w:val="nil"/>
              <w:left w:val="nil"/>
              <w:bottom w:val="nil"/>
              <w:right w:val="nil"/>
            </w:tcBorders>
            <w:shd w:val="clear" w:color="auto" w:fill="auto"/>
            <w:noWrap/>
            <w:vAlign w:val="center"/>
            <w:hideMark/>
          </w:tcPr>
          <w:p w14:paraId="29A0647E"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(0.15, 0.06)</w:t>
            </w:r>
          </w:p>
        </w:tc>
        <w:tc>
          <w:tcPr>
            <w:tcW w:w="1491" w:type="dxa"/>
            <w:tcBorders>
              <w:top w:val="nil"/>
              <w:left w:val="nil"/>
              <w:bottom w:val="nil"/>
              <w:right w:val="single" w:sz="8" w:space="0" w:color="auto"/>
            </w:tcBorders>
            <w:shd w:val="clear" w:color="auto" w:fill="auto"/>
            <w:noWrap/>
            <w:vAlign w:val="center"/>
            <w:hideMark/>
          </w:tcPr>
          <w:p w14:paraId="093C0F04"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(0.15, 0.05)</w:t>
            </w:r>
          </w:p>
        </w:tc>
        <w:tc>
          <w:tcPr>
            <w:tcW w:w="222" w:type="dxa"/>
            <w:tcBorders>
              <w:top w:val="nil"/>
              <w:left w:val="nil"/>
              <w:bottom w:val="nil"/>
              <w:right w:val="nil"/>
            </w:tcBorders>
            <w:shd w:val="clear" w:color="auto" w:fill="auto"/>
            <w:noWrap/>
            <w:vAlign w:val="center"/>
            <w:hideMark/>
          </w:tcPr>
          <w:p w14:paraId="6018CCBD"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r w:rsidR="00C44CDB" w:rsidRPr="00A5635D" w14:paraId="6DBA0C77" w14:textId="77777777" w:rsidTr="00C44CDB">
        <w:trPr>
          <w:cantSplit/>
          <w:trHeight w:val="144"/>
        </w:trPr>
        <w:tc>
          <w:tcPr>
            <w:tcW w:w="423" w:type="dxa"/>
            <w:vMerge/>
            <w:tcBorders>
              <w:top w:val="single" w:sz="8" w:space="0" w:color="auto"/>
              <w:left w:val="single" w:sz="8" w:space="0" w:color="auto"/>
              <w:bottom w:val="single" w:sz="8" w:space="0" w:color="000000"/>
              <w:right w:val="single" w:sz="8" w:space="0" w:color="auto"/>
            </w:tcBorders>
            <w:vAlign w:val="center"/>
            <w:hideMark/>
          </w:tcPr>
          <w:p w14:paraId="0B95618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c>
          <w:tcPr>
            <w:tcW w:w="298" w:type="dxa"/>
            <w:tcBorders>
              <w:top w:val="nil"/>
              <w:left w:val="nil"/>
              <w:bottom w:val="single" w:sz="8" w:space="0" w:color="auto"/>
              <w:right w:val="nil"/>
            </w:tcBorders>
            <w:shd w:val="clear" w:color="000000" w:fill="BFBFBF"/>
            <w:noWrap/>
            <w:vAlign w:val="center"/>
            <w:hideMark/>
          </w:tcPr>
          <w:p w14:paraId="7CCA6C00"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5</w:t>
            </w:r>
          </w:p>
        </w:tc>
        <w:tc>
          <w:tcPr>
            <w:tcW w:w="1038" w:type="dxa"/>
            <w:tcBorders>
              <w:top w:val="nil"/>
              <w:left w:val="nil"/>
              <w:bottom w:val="single" w:sz="8" w:space="0" w:color="auto"/>
              <w:right w:val="nil"/>
            </w:tcBorders>
            <w:shd w:val="clear" w:color="auto" w:fill="auto"/>
            <w:noWrap/>
            <w:vAlign w:val="center"/>
            <w:hideMark/>
          </w:tcPr>
          <w:p w14:paraId="7C9E298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(0.13, 0.05)</w:t>
            </w:r>
          </w:p>
        </w:tc>
        <w:tc>
          <w:tcPr>
            <w:tcW w:w="1119" w:type="dxa"/>
            <w:tcBorders>
              <w:top w:val="nil"/>
              <w:left w:val="nil"/>
              <w:bottom w:val="single" w:sz="8" w:space="0" w:color="auto"/>
              <w:right w:val="nil"/>
            </w:tcBorders>
            <w:shd w:val="clear" w:color="auto" w:fill="auto"/>
            <w:noWrap/>
            <w:vAlign w:val="center"/>
            <w:hideMark/>
          </w:tcPr>
          <w:p w14:paraId="5AACA8EA"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(0.14, 0.05)</w:t>
            </w:r>
          </w:p>
        </w:tc>
        <w:tc>
          <w:tcPr>
            <w:tcW w:w="1119" w:type="dxa"/>
            <w:tcBorders>
              <w:top w:val="nil"/>
              <w:left w:val="nil"/>
              <w:bottom w:val="single" w:sz="8" w:space="0" w:color="auto"/>
              <w:right w:val="nil"/>
            </w:tcBorders>
            <w:shd w:val="clear" w:color="auto" w:fill="auto"/>
            <w:noWrap/>
            <w:vAlign w:val="center"/>
            <w:hideMark/>
          </w:tcPr>
          <w:p w14:paraId="2CD8F6BF"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(0.14, 0.05)</w:t>
            </w:r>
          </w:p>
        </w:tc>
        <w:tc>
          <w:tcPr>
            <w:tcW w:w="1119" w:type="dxa"/>
            <w:tcBorders>
              <w:top w:val="nil"/>
              <w:left w:val="nil"/>
              <w:bottom w:val="single" w:sz="8" w:space="0" w:color="auto"/>
              <w:right w:val="nil"/>
            </w:tcBorders>
            <w:shd w:val="clear" w:color="auto" w:fill="auto"/>
            <w:noWrap/>
            <w:vAlign w:val="center"/>
            <w:hideMark/>
          </w:tcPr>
          <w:p w14:paraId="1A7EB9C8"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(0.14, 0.05)</w:t>
            </w:r>
          </w:p>
        </w:tc>
        <w:tc>
          <w:tcPr>
            <w:tcW w:w="1038" w:type="dxa"/>
            <w:tcBorders>
              <w:top w:val="nil"/>
              <w:left w:val="nil"/>
              <w:bottom w:val="single" w:sz="8" w:space="0" w:color="auto"/>
              <w:right w:val="nil"/>
            </w:tcBorders>
            <w:shd w:val="clear" w:color="auto" w:fill="auto"/>
            <w:noWrap/>
            <w:vAlign w:val="center"/>
            <w:hideMark/>
          </w:tcPr>
          <w:p w14:paraId="0AA9F09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(0.12, 0.05)</w:t>
            </w:r>
          </w:p>
        </w:tc>
        <w:tc>
          <w:tcPr>
            <w:tcW w:w="1491" w:type="dxa"/>
            <w:tcBorders>
              <w:top w:val="nil"/>
              <w:left w:val="nil"/>
              <w:bottom w:val="single" w:sz="8" w:space="0" w:color="auto"/>
              <w:right w:val="single" w:sz="8" w:space="0" w:color="auto"/>
            </w:tcBorders>
            <w:shd w:val="clear" w:color="auto" w:fill="auto"/>
            <w:noWrap/>
            <w:vAlign w:val="center"/>
            <w:hideMark/>
          </w:tcPr>
          <w:p w14:paraId="347ECC62"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r w:rsidRPr="0092469B">
              <w:rPr>
                <w:rFonts w:ascii="Calibri" w:eastAsia="Times New Roman" w:hAnsi="Calibri" w:cs="Calibri"/>
                <w:color w:val="000000"/>
                <w:sz w:val="16"/>
                <w:szCs w:val="16"/>
              </w:rPr>
              <w:t>(0.04, 0.04)</w:t>
            </w:r>
          </w:p>
        </w:tc>
        <w:tc>
          <w:tcPr>
            <w:tcW w:w="222" w:type="dxa"/>
            <w:tcBorders>
              <w:top w:val="nil"/>
              <w:left w:val="nil"/>
              <w:bottom w:val="nil"/>
              <w:right w:val="nil"/>
            </w:tcBorders>
            <w:shd w:val="clear" w:color="auto" w:fill="auto"/>
            <w:noWrap/>
            <w:vAlign w:val="center"/>
            <w:hideMark/>
          </w:tcPr>
          <w:p w14:paraId="7F73A00B" w14:textId="77777777" w:rsidR="0092469B" w:rsidRPr="0092469B" w:rsidRDefault="0092469B" w:rsidP="0092469B">
            <w:pPr>
              <w:autoSpaceDE/>
              <w:autoSpaceDN/>
              <w:adjustRightInd/>
              <w:spacing w:after="0"/>
              <w:jc w:val="center"/>
              <w:rPr>
                <w:rFonts w:ascii="Calibri" w:eastAsia="Times New Roman" w:hAnsi="Calibri" w:cs="Calibri"/>
                <w:color w:val="000000"/>
                <w:sz w:val="16"/>
                <w:szCs w:val="16"/>
              </w:rPr>
            </w:pPr>
          </w:p>
        </w:tc>
      </w:tr>
    </w:tbl>
    <w:p w14:paraId="1382CF35" w14:textId="77777777" w:rsidR="00E93F26" w:rsidRDefault="00E93F26" w:rsidP="00A41A75">
      <w:pPr>
        <w:spacing w:after="0"/>
        <w:rPr>
          <w:rFonts w:ascii="Calibri" w:eastAsia="Calibri" w:hAnsi="Calibri" w:cs="Calibri"/>
          <w:sz w:val="16"/>
          <w:szCs w:val="16"/>
        </w:rPr>
      </w:pPr>
    </w:p>
    <w:p w14:paraId="7B180211" w14:textId="64BFEA4D" w:rsidR="00E93F26" w:rsidRDefault="00E93F26" w:rsidP="00E93F26">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Rel</w:t>
      </w:r>
      <w:r w:rsidR="00E0229C">
        <w:t>a</w:t>
      </w:r>
      <w:r>
        <w:t>tiv</w:t>
      </w:r>
      <w:r w:rsidRPr="00180894">
        <w:t xml:space="preserve">e mission metrics using </w:t>
      </w:r>
      <w:proofErr w:type="gramStart"/>
      <w:r w:rsidRPr="00180894">
        <w:t>on  IMPACT</w:t>
      </w:r>
      <w:proofErr w:type="gramEnd"/>
      <w:r w:rsidRPr="00180894">
        <w:t xml:space="preserve"> simulated outcomes by on-board Scope of Practice level</w:t>
      </w:r>
    </w:p>
    <w:tbl>
      <w:tblPr>
        <w:tblW w:w="0" w:type="auto"/>
        <w:tblLook w:val="04A0" w:firstRow="1" w:lastRow="0" w:firstColumn="1" w:lastColumn="0" w:noHBand="0" w:noVBand="1"/>
      </w:tblPr>
      <w:tblGrid>
        <w:gridCol w:w="423"/>
        <w:gridCol w:w="298"/>
        <w:gridCol w:w="1168"/>
        <w:gridCol w:w="1168"/>
        <w:gridCol w:w="1168"/>
        <w:gridCol w:w="1168"/>
        <w:gridCol w:w="1119"/>
        <w:gridCol w:w="1168"/>
      </w:tblGrid>
      <w:tr w:rsidR="002E567E" w:rsidRPr="002E567E" w14:paraId="65856392" w14:textId="77777777" w:rsidTr="00C32B3F">
        <w:trPr>
          <w:cantSplit/>
          <w:trHeight w:val="144"/>
        </w:trPr>
        <w:tc>
          <w:tcPr>
            <w:tcW w:w="0" w:type="auto"/>
            <w:tcBorders>
              <w:top w:val="single" w:sz="8" w:space="0" w:color="auto"/>
              <w:left w:val="single" w:sz="8" w:space="0" w:color="auto"/>
              <w:bottom w:val="nil"/>
              <w:right w:val="single" w:sz="8" w:space="0" w:color="auto"/>
            </w:tcBorders>
            <w:shd w:val="clear" w:color="000000" w:fill="000000"/>
            <w:noWrap/>
            <w:vAlign w:val="center"/>
            <w:hideMark/>
          </w:tcPr>
          <w:p w14:paraId="48CDE0A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gridSpan w:val="7"/>
            <w:tcBorders>
              <w:top w:val="single" w:sz="8" w:space="0" w:color="auto"/>
              <w:left w:val="nil"/>
              <w:bottom w:val="single" w:sz="4" w:space="0" w:color="auto"/>
              <w:right w:val="single" w:sz="8" w:space="0" w:color="000000"/>
            </w:tcBorders>
            <w:shd w:val="clear" w:color="auto" w:fill="auto"/>
            <w:noWrap/>
            <w:vAlign w:val="center"/>
            <w:hideMark/>
          </w:tcPr>
          <w:p w14:paraId="1D306AF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Patient Task Time Lost Relative Risk Reduction by SoP</w:t>
            </w:r>
          </w:p>
        </w:tc>
      </w:tr>
      <w:tr w:rsidR="002E567E" w:rsidRPr="002E567E" w14:paraId="75859577" w14:textId="77777777" w:rsidTr="002E567E">
        <w:trPr>
          <w:cantSplit/>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7415550" w14:textId="74FC3F55" w:rsidR="002E567E" w:rsidRPr="002E567E" w:rsidRDefault="004860F5"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Cognitive</w:t>
            </w:r>
            <w:r w:rsidR="002E567E" w:rsidRPr="002E567E">
              <w:rPr>
                <w:rFonts w:ascii="Calibri" w:eastAsia="Times New Roman" w:hAnsi="Calibri" w:cs="Calibri"/>
                <w:color w:val="000000"/>
                <w:sz w:val="16"/>
                <w:szCs w:val="16"/>
              </w:rPr>
              <w:t xml:space="preserve"> SoP</w:t>
            </w:r>
          </w:p>
        </w:tc>
        <w:tc>
          <w:tcPr>
            <w:tcW w:w="0" w:type="auto"/>
            <w:gridSpan w:val="7"/>
            <w:tcBorders>
              <w:top w:val="nil"/>
              <w:left w:val="nil"/>
              <w:bottom w:val="single" w:sz="8" w:space="0" w:color="auto"/>
              <w:right w:val="single" w:sz="8" w:space="0" w:color="000000"/>
            </w:tcBorders>
            <w:shd w:val="clear" w:color="auto" w:fill="auto"/>
            <w:noWrap/>
            <w:vAlign w:val="center"/>
            <w:hideMark/>
          </w:tcPr>
          <w:p w14:paraId="70728C8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Procedural SoP</w:t>
            </w:r>
          </w:p>
        </w:tc>
      </w:tr>
      <w:tr w:rsidR="002E567E" w:rsidRPr="002E567E" w14:paraId="11FF20BB"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7B0F1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5BFF012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60DB410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w:t>
            </w:r>
          </w:p>
        </w:tc>
        <w:tc>
          <w:tcPr>
            <w:tcW w:w="0" w:type="auto"/>
            <w:tcBorders>
              <w:top w:val="nil"/>
              <w:left w:val="nil"/>
              <w:bottom w:val="nil"/>
              <w:right w:val="nil"/>
            </w:tcBorders>
            <w:shd w:val="clear" w:color="000000" w:fill="BFBFBF"/>
            <w:noWrap/>
            <w:vAlign w:val="center"/>
            <w:hideMark/>
          </w:tcPr>
          <w:p w14:paraId="565A94E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w:t>
            </w:r>
          </w:p>
        </w:tc>
        <w:tc>
          <w:tcPr>
            <w:tcW w:w="0" w:type="auto"/>
            <w:tcBorders>
              <w:top w:val="nil"/>
              <w:left w:val="nil"/>
              <w:bottom w:val="nil"/>
              <w:right w:val="nil"/>
            </w:tcBorders>
            <w:shd w:val="clear" w:color="000000" w:fill="BFBFBF"/>
            <w:noWrap/>
            <w:vAlign w:val="center"/>
            <w:hideMark/>
          </w:tcPr>
          <w:p w14:paraId="6C0FBA0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w:t>
            </w:r>
          </w:p>
        </w:tc>
        <w:tc>
          <w:tcPr>
            <w:tcW w:w="0" w:type="auto"/>
            <w:tcBorders>
              <w:top w:val="nil"/>
              <w:left w:val="nil"/>
              <w:bottom w:val="nil"/>
              <w:right w:val="nil"/>
            </w:tcBorders>
            <w:shd w:val="clear" w:color="000000" w:fill="BFBFBF"/>
            <w:noWrap/>
            <w:vAlign w:val="center"/>
            <w:hideMark/>
          </w:tcPr>
          <w:p w14:paraId="325FD93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w:t>
            </w:r>
          </w:p>
        </w:tc>
        <w:tc>
          <w:tcPr>
            <w:tcW w:w="0" w:type="auto"/>
            <w:tcBorders>
              <w:top w:val="nil"/>
              <w:left w:val="nil"/>
              <w:bottom w:val="nil"/>
              <w:right w:val="nil"/>
            </w:tcBorders>
            <w:shd w:val="clear" w:color="000000" w:fill="BFBFBF"/>
            <w:noWrap/>
            <w:vAlign w:val="center"/>
            <w:hideMark/>
          </w:tcPr>
          <w:p w14:paraId="221DAC0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4</w:t>
            </w:r>
          </w:p>
        </w:tc>
        <w:tc>
          <w:tcPr>
            <w:tcW w:w="0" w:type="auto"/>
            <w:tcBorders>
              <w:top w:val="nil"/>
              <w:left w:val="nil"/>
              <w:bottom w:val="nil"/>
              <w:right w:val="single" w:sz="8" w:space="0" w:color="auto"/>
            </w:tcBorders>
            <w:shd w:val="clear" w:color="000000" w:fill="BFBFBF"/>
            <w:noWrap/>
            <w:vAlign w:val="center"/>
            <w:hideMark/>
          </w:tcPr>
          <w:p w14:paraId="675DBBE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5</w:t>
            </w:r>
          </w:p>
        </w:tc>
      </w:tr>
      <w:tr w:rsidR="002E567E" w:rsidRPr="002E567E" w14:paraId="073B5958"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175B6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361B794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center"/>
            <w:hideMark/>
          </w:tcPr>
          <w:p w14:paraId="57079AD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(0.0, 0.0)</w:t>
            </w:r>
          </w:p>
        </w:tc>
        <w:tc>
          <w:tcPr>
            <w:tcW w:w="0" w:type="auto"/>
            <w:tcBorders>
              <w:top w:val="nil"/>
              <w:left w:val="nil"/>
              <w:bottom w:val="nil"/>
              <w:right w:val="nil"/>
            </w:tcBorders>
            <w:shd w:val="clear" w:color="auto" w:fill="auto"/>
            <w:noWrap/>
            <w:vAlign w:val="center"/>
            <w:hideMark/>
          </w:tcPr>
          <w:p w14:paraId="59CBF6F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(0.0, 0.05)</w:t>
            </w:r>
          </w:p>
        </w:tc>
        <w:tc>
          <w:tcPr>
            <w:tcW w:w="0" w:type="auto"/>
            <w:tcBorders>
              <w:top w:val="nil"/>
              <w:left w:val="nil"/>
              <w:bottom w:val="nil"/>
              <w:right w:val="nil"/>
            </w:tcBorders>
            <w:shd w:val="clear" w:color="auto" w:fill="auto"/>
            <w:noWrap/>
            <w:vAlign w:val="center"/>
            <w:hideMark/>
          </w:tcPr>
          <w:p w14:paraId="00CEE2F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(0.01, 0.05)</w:t>
            </w:r>
          </w:p>
        </w:tc>
        <w:tc>
          <w:tcPr>
            <w:tcW w:w="0" w:type="auto"/>
            <w:tcBorders>
              <w:top w:val="nil"/>
              <w:left w:val="nil"/>
              <w:bottom w:val="nil"/>
              <w:right w:val="nil"/>
            </w:tcBorders>
            <w:shd w:val="clear" w:color="auto" w:fill="auto"/>
            <w:noWrap/>
            <w:vAlign w:val="center"/>
            <w:hideMark/>
          </w:tcPr>
          <w:p w14:paraId="1BE5C0C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(0.0, 0.06)</w:t>
            </w:r>
          </w:p>
        </w:tc>
        <w:tc>
          <w:tcPr>
            <w:tcW w:w="0" w:type="auto"/>
            <w:tcBorders>
              <w:top w:val="nil"/>
              <w:left w:val="nil"/>
              <w:bottom w:val="nil"/>
              <w:right w:val="nil"/>
            </w:tcBorders>
            <w:shd w:val="clear" w:color="auto" w:fill="auto"/>
            <w:noWrap/>
            <w:vAlign w:val="center"/>
            <w:hideMark/>
          </w:tcPr>
          <w:p w14:paraId="58222C4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(0.0, 0.21)</w:t>
            </w:r>
          </w:p>
        </w:tc>
        <w:tc>
          <w:tcPr>
            <w:tcW w:w="0" w:type="auto"/>
            <w:tcBorders>
              <w:top w:val="nil"/>
              <w:left w:val="nil"/>
              <w:bottom w:val="nil"/>
              <w:right w:val="single" w:sz="8" w:space="0" w:color="auto"/>
            </w:tcBorders>
            <w:shd w:val="clear" w:color="auto" w:fill="auto"/>
            <w:noWrap/>
            <w:vAlign w:val="center"/>
            <w:hideMark/>
          </w:tcPr>
          <w:p w14:paraId="320865E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(0.0, 0.21)</w:t>
            </w:r>
          </w:p>
        </w:tc>
      </w:tr>
      <w:tr w:rsidR="002E567E" w:rsidRPr="002E567E" w14:paraId="3235FD0C"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B67A5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7681781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center"/>
            <w:hideMark/>
          </w:tcPr>
          <w:p w14:paraId="5FE8BB3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(0.02, 17.42)</w:t>
            </w:r>
          </w:p>
        </w:tc>
        <w:tc>
          <w:tcPr>
            <w:tcW w:w="0" w:type="auto"/>
            <w:tcBorders>
              <w:top w:val="nil"/>
              <w:left w:val="nil"/>
              <w:bottom w:val="nil"/>
              <w:right w:val="nil"/>
            </w:tcBorders>
            <w:shd w:val="clear" w:color="auto" w:fill="auto"/>
            <w:noWrap/>
            <w:vAlign w:val="center"/>
            <w:hideMark/>
          </w:tcPr>
          <w:p w14:paraId="7E62CA9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(0.01, 17.59)</w:t>
            </w:r>
          </w:p>
        </w:tc>
        <w:tc>
          <w:tcPr>
            <w:tcW w:w="0" w:type="auto"/>
            <w:tcBorders>
              <w:top w:val="nil"/>
              <w:left w:val="nil"/>
              <w:bottom w:val="nil"/>
              <w:right w:val="nil"/>
            </w:tcBorders>
            <w:shd w:val="clear" w:color="auto" w:fill="auto"/>
            <w:noWrap/>
            <w:vAlign w:val="center"/>
            <w:hideMark/>
          </w:tcPr>
          <w:p w14:paraId="2F025FF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(0.01, 17.61)</w:t>
            </w:r>
          </w:p>
        </w:tc>
        <w:tc>
          <w:tcPr>
            <w:tcW w:w="0" w:type="auto"/>
            <w:tcBorders>
              <w:top w:val="nil"/>
              <w:left w:val="nil"/>
              <w:bottom w:val="nil"/>
              <w:right w:val="nil"/>
            </w:tcBorders>
            <w:shd w:val="clear" w:color="auto" w:fill="auto"/>
            <w:noWrap/>
            <w:vAlign w:val="center"/>
            <w:hideMark/>
          </w:tcPr>
          <w:p w14:paraId="092761D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(0.01, 17.6)</w:t>
            </w:r>
          </w:p>
        </w:tc>
        <w:tc>
          <w:tcPr>
            <w:tcW w:w="0" w:type="auto"/>
            <w:tcBorders>
              <w:top w:val="nil"/>
              <w:left w:val="nil"/>
              <w:bottom w:val="nil"/>
              <w:right w:val="nil"/>
            </w:tcBorders>
            <w:shd w:val="clear" w:color="auto" w:fill="auto"/>
            <w:noWrap/>
            <w:vAlign w:val="center"/>
            <w:hideMark/>
          </w:tcPr>
          <w:p w14:paraId="46E04A6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(0.01, 18.83)</w:t>
            </w:r>
          </w:p>
        </w:tc>
        <w:tc>
          <w:tcPr>
            <w:tcW w:w="0" w:type="auto"/>
            <w:tcBorders>
              <w:top w:val="nil"/>
              <w:left w:val="nil"/>
              <w:bottom w:val="nil"/>
              <w:right w:val="single" w:sz="8" w:space="0" w:color="auto"/>
            </w:tcBorders>
            <w:shd w:val="clear" w:color="auto" w:fill="auto"/>
            <w:noWrap/>
            <w:vAlign w:val="center"/>
            <w:hideMark/>
          </w:tcPr>
          <w:p w14:paraId="2593CD4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(0.01, 18.86)</w:t>
            </w:r>
          </w:p>
        </w:tc>
      </w:tr>
      <w:tr w:rsidR="002E567E" w:rsidRPr="002E567E" w14:paraId="79012F25"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3A241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288889E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w:t>
            </w:r>
          </w:p>
        </w:tc>
        <w:tc>
          <w:tcPr>
            <w:tcW w:w="0" w:type="auto"/>
            <w:tcBorders>
              <w:top w:val="nil"/>
              <w:left w:val="nil"/>
              <w:bottom w:val="nil"/>
              <w:right w:val="nil"/>
            </w:tcBorders>
            <w:shd w:val="clear" w:color="auto" w:fill="auto"/>
            <w:noWrap/>
            <w:vAlign w:val="center"/>
            <w:hideMark/>
          </w:tcPr>
          <w:p w14:paraId="191E8E0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(0.04, 17.83)</w:t>
            </w:r>
          </w:p>
        </w:tc>
        <w:tc>
          <w:tcPr>
            <w:tcW w:w="0" w:type="auto"/>
            <w:tcBorders>
              <w:top w:val="nil"/>
              <w:left w:val="nil"/>
              <w:bottom w:val="nil"/>
              <w:right w:val="nil"/>
            </w:tcBorders>
            <w:shd w:val="clear" w:color="auto" w:fill="auto"/>
            <w:noWrap/>
            <w:vAlign w:val="center"/>
            <w:hideMark/>
          </w:tcPr>
          <w:p w14:paraId="443B5DB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(0.04, 18.0)</w:t>
            </w:r>
          </w:p>
        </w:tc>
        <w:tc>
          <w:tcPr>
            <w:tcW w:w="0" w:type="auto"/>
            <w:tcBorders>
              <w:top w:val="nil"/>
              <w:left w:val="nil"/>
              <w:bottom w:val="nil"/>
              <w:right w:val="nil"/>
            </w:tcBorders>
            <w:shd w:val="clear" w:color="auto" w:fill="auto"/>
            <w:noWrap/>
            <w:vAlign w:val="center"/>
            <w:hideMark/>
          </w:tcPr>
          <w:p w14:paraId="3487E22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(0.04, 18.02)</w:t>
            </w:r>
          </w:p>
        </w:tc>
        <w:tc>
          <w:tcPr>
            <w:tcW w:w="0" w:type="auto"/>
            <w:tcBorders>
              <w:top w:val="nil"/>
              <w:left w:val="nil"/>
              <w:bottom w:val="nil"/>
              <w:right w:val="nil"/>
            </w:tcBorders>
            <w:shd w:val="clear" w:color="auto" w:fill="auto"/>
            <w:noWrap/>
            <w:vAlign w:val="center"/>
            <w:hideMark/>
          </w:tcPr>
          <w:p w14:paraId="5BFC628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(0.04, 18.03)</w:t>
            </w:r>
          </w:p>
        </w:tc>
        <w:tc>
          <w:tcPr>
            <w:tcW w:w="0" w:type="auto"/>
            <w:tcBorders>
              <w:top w:val="nil"/>
              <w:left w:val="nil"/>
              <w:bottom w:val="nil"/>
              <w:right w:val="nil"/>
            </w:tcBorders>
            <w:shd w:val="clear" w:color="auto" w:fill="auto"/>
            <w:noWrap/>
            <w:vAlign w:val="center"/>
            <w:hideMark/>
          </w:tcPr>
          <w:p w14:paraId="7C5D169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(0.04, 19.27)</w:t>
            </w:r>
          </w:p>
        </w:tc>
        <w:tc>
          <w:tcPr>
            <w:tcW w:w="0" w:type="auto"/>
            <w:tcBorders>
              <w:top w:val="nil"/>
              <w:left w:val="nil"/>
              <w:bottom w:val="nil"/>
              <w:right w:val="single" w:sz="8" w:space="0" w:color="auto"/>
            </w:tcBorders>
            <w:shd w:val="clear" w:color="auto" w:fill="auto"/>
            <w:noWrap/>
            <w:vAlign w:val="center"/>
            <w:hideMark/>
          </w:tcPr>
          <w:p w14:paraId="1A3832C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(0.04, 19.34)</w:t>
            </w:r>
          </w:p>
        </w:tc>
      </w:tr>
      <w:tr w:rsidR="002E567E" w:rsidRPr="002E567E" w14:paraId="484D3BC2"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731B8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18F48C0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center"/>
            <w:hideMark/>
          </w:tcPr>
          <w:p w14:paraId="78AC849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(0.08, 21.41)</w:t>
            </w:r>
          </w:p>
        </w:tc>
        <w:tc>
          <w:tcPr>
            <w:tcW w:w="0" w:type="auto"/>
            <w:tcBorders>
              <w:top w:val="nil"/>
              <w:left w:val="nil"/>
              <w:bottom w:val="nil"/>
              <w:right w:val="nil"/>
            </w:tcBorders>
            <w:shd w:val="clear" w:color="auto" w:fill="auto"/>
            <w:noWrap/>
            <w:vAlign w:val="center"/>
            <w:hideMark/>
          </w:tcPr>
          <w:p w14:paraId="0D6685F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(0.12, 21.61)</w:t>
            </w:r>
          </w:p>
        </w:tc>
        <w:tc>
          <w:tcPr>
            <w:tcW w:w="0" w:type="auto"/>
            <w:tcBorders>
              <w:top w:val="nil"/>
              <w:left w:val="nil"/>
              <w:bottom w:val="nil"/>
              <w:right w:val="nil"/>
            </w:tcBorders>
            <w:shd w:val="clear" w:color="auto" w:fill="auto"/>
            <w:noWrap/>
            <w:vAlign w:val="center"/>
            <w:hideMark/>
          </w:tcPr>
          <w:p w14:paraId="312E461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(0.11, 21.63)</w:t>
            </w:r>
          </w:p>
        </w:tc>
        <w:tc>
          <w:tcPr>
            <w:tcW w:w="0" w:type="auto"/>
            <w:tcBorders>
              <w:top w:val="nil"/>
              <w:left w:val="nil"/>
              <w:bottom w:val="nil"/>
              <w:right w:val="nil"/>
            </w:tcBorders>
            <w:shd w:val="clear" w:color="auto" w:fill="auto"/>
            <w:noWrap/>
            <w:vAlign w:val="center"/>
            <w:hideMark/>
          </w:tcPr>
          <w:p w14:paraId="5744001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(0.18, 21.65)</w:t>
            </w:r>
          </w:p>
        </w:tc>
        <w:tc>
          <w:tcPr>
            <w:tcW w:w="0" w:type="auto"/>
            <w:tcBorders>
              <w:top w:val="nil"/>
              <w:left w:val="nil"/>
              <w:bottom w:val="nil"/>
              <w:right w:val="nil"/>
            </w:tcBorders>
            <w:shd w:val="clear" w:color="auto" w:fill="auto"/>
            <w:noWrap/>
            <w:vAlign w:val="center"/>
            <w:hideMark/>
          </w:tcPr>
          <w:p w14:paraId="66C4C92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(0.18, 23.17)</w:t>
            </w:r>
          </w:p>
        </w:tc>
        <w:tc>
          <w:tcPr>
            <w:tcW w:w="0" w:type="auto"/>
            <w:tcBorders>
              <w:top w:val="nil"/>
              <w:left w:val="nil"/>
              <w:bottom w:val="nil"/>
              <w:right w:val="single" w:sz="8" w:space="0" w:color="auto"/>
            </w:tcBorders>
            <w:shd w:val="clear" w:color="auto" w:fill="auto"/>
            <w:noWrap/>
            <w:vAlign w:val="center"/>
            <w:hideMark/>
          </w:tcPr>
          <w:p w14:paraId="2666941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(0.18, 23.24)</w:t>
            </w:r>
          </w:p>
        </w:tc>
      </w:tr>
      <w:tr w:rsidR="002E567E" w:rsidRPr="002E567E" w14:paraId="3064FE9F"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31E97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67D6D32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4</w:t>
            </w:r>
          </w:p>
        </w:tc>
        <w:tc>
          <w:tcPr>
            <w:tcW w:w="0" w:type="auto"/>
            <w:tcBorders>
              <w:top w:val="nil"/>
              <w:left w:val="nil"/>
              <w:bottom w:val="nil"/>
              <w:right w:val="nil"/>
            </w:tcBorders>
            <w:shd w:val="clear" w:color="auto" w:fill="auto"/>
            <w:noWrap/>
            <w:vAlign w:val="center"/>
            <w:hideMark/>
          </w:tcPr>
          <w:p w14:paraId="376F2CF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(10.46, 60.05)</w:t>
            </w:r>
          </w:p>
        </w:tc>
        <w:tc>
          <w:tcPr>
            <w:tcW w:w="0" w:type="auto"/>
            <w:tcBorders>
              <w:top w:val="nil"/>
              <w:left w:val="nil"/>
              <w:bottom w:val="nil"/>
              <w:right w:val="nil"/>
            </w:tcBorders>
            <w:shd w:val="clear" w:color="auto" w:fill="auto"/>
            <w:noWrap/>
            <w:vAlign w:val="center"/>
            <w:hideMark/>
          </w:tcPr>
          <w:p w14:paraId="3F1C3F7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(10.62, 60.66)</w:t>
            </w:r>
          </w:p>
        </w:tc>
        <w:tc>
          <w:tcPr>
            <w:tcW w:w="0" w:type="auto"/>
            <w:tcBorders>
              <w:top w:val="nil"/>
              <w:left w:val="nil"/>
              <w:bottom w:val="nil"/>
              <w:right w:val="nil"/>
            </w:tcBorders>
            <w:shd w:val="clear" w:color="auto" w:fill="auto"/>
            <w:noWrap/>
            <w:vAlign w:val="center"/>
            <w:hideMark/>
          </w:tcPr>
          <w:p w14:paraId="39BAB1B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(10.62, 60.72)</w:t>
            </w:r>
          </w:p>
        </w:tc>
        <w:tc>
          <w:tcPr>
            <w:tcW w:w="0" w:type="auto"/>
            <w:tcBorders>
              <w:top w:val="nil"/>
              <w:left w:val="nil"/>
              <w:bottom w:val="nil"/>
              <w:right w:val="nil"/>
            </w:tcBorders>
            <w:shd w:val="clear" w:color="auto" w:fill="auto"/>
            <w:noWrap/>
            <w:vAlign w:val="center"/>
            <w:hideMark/>
          </w:tcPr>
          <w:p w14:paraId="4A41516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(10.77, 60.76)</w:t>
            </w:r>
          </w:p>
        </w:tc>
        <w:tc>
          <w:tcPr>
            <w:tcW w:w="0" w:type="auto"/>
            <w:tcBorders>
              <w:top w:val="nil"/>
              <w:left w:val="nil"/>
              <w:bottom w:val="nil"/>
              <w:right w:val="nil"/>
            </w:tcBorders>
            <w:shd w:val="clear" w:color="auto" w:fill="auto"/>
            <w:noWrap/>
            <w:vAlign w:val="center"/>
            <w:hideMark/>
          </w:tcPr>
          <w:p w14:paraId="46DD1A5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(34.17, 66.14)</w:t>
            </w:r>
          </w:p>
        </w:tc>
        <w:tc>
          <w:tcPr>
            <w:tcW w:w="0" w:type="auto"/>
            <w:tcBorders>
              <w:top w:val="nil"/>
              <w:left w:val="nil"/>
              <w:bottom w:val="nil"/>
              <w:right w:val="single" w:sz="8" w:space="0" w:color="auto"/>
            </w:tcBorders>
            <w:shd w:val="clear" w:color="auto" w:fill="auto"/>
            <w:noWrap/>
            <w:vAlign w:val="center"/>
            <w:hideMark/>
          </w:tcPr>
          <w:p w14:paraId="2B4926D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(34.16, 66.53)</w:t>
            </w:r>
          </w:p>
        </w:tc>
      </w:tr>
      <w:tr w:rsidR="002E567E" w:rsidRPr="002E567E" w14:paraId="432D25E9"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6E950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single" w:sz="8" w:space="0" w:color="auto"/>
              <w:right w:val="nil"/>
            </w:tcBorders>
            <w:shd w:val="clear" w:color="000000" w:fill="BFBFBF"/>
            <w:noWrap/>
            <w:vAlign w:val="center"/>
            <w:hideMark/>
          </w:tcPr>
          <w:p w14:paraId="4958F0C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5</w:t>
            </w:r>
          </w:p>
        </w:tc>
        <w:tc>
          <w:tcPr>
            <w:tcW w:w="0" w:type="auto"/>
            <w:tcBorders>
              <w:top w:val="nil"/>
              <w:left w:val="nil"/>
              <w:bottom w:val="single" w:sz="8" w:space="0" w:color="auto"/>
              <w:right w:val="nil"/>
            </w:tcBorders>
            <w:shd w:val="clear" w:color="auto" w:fill="auto"/>
            <w:noWrap/>
            <w:vAlign w:val="center"/>
            <w:hideMark/>
          </w:tcPr>
          <w:p w14:paraId="741A196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(15.92, 66.0)</w:t>
            </w:r>
          </w:p>
        </w:tc>
        <w:tc>
          <w:tcPr>
            <w:tcW w:w="0" w:type="auto"/>
            <w:tcBorders>
              <w:top w:val="nil"/>
              <w:left w:val="nil"/>
              <w:bottom w:val="single" w:sz="8" w:space="0" w:color="auto"/>
              <w:right w:val="nil"/>
            </w:tcBorders>
            <w:shd w:val="clear" w:color="auto" w:fill="auto"/>
            <w:noWrap/>
            <w:vAlign w:val="center"/>
            <w:hideMark/>
          </w:tcPr>
          <w:p w14:paraId="284E2C3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(18.27, 66.68)</w:t>
            </w:r>
          </w:p>
        </w:tc>
        <w:tc>
          <w:tcPr>
            <w:tcW w:w="0" w:type="auto"/>
            <w:tcBorders>
              <w:top w:val="nil"/>
              <w:left w:val="nil"/>
              <w:bottom w:val="single" w:sz="8" w:space="0" w:color="auto"/>
              <w:right w:val="nil"/>
            </w:tcBorders>
            <w:shd w:val="clear" w:color="auto" w:fill="auto"/>
            <w:noWrap/>
            <w:vAlign w:val="center"/>
            <w:hideMark/>
          </w:tcPr>
          <w:p w14:paraId="5A03D82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(18.28, 66.76)</w:t>
            </w:r>
          </w:p>
        </w:tc>
        <w:tc>
          <w:tcPr>
            <w:tcW w:w="0" w:type="auto"/>
            <w:tcBorders>
              <w:top w:val="nil"/>
              <w:left w:val="nil"/>
              <w:bottom w:val="single" w:sz="8" w:space="0" w:color="auto"/>
              <w:right w:val="nil"/>
            </w:tcBorders>
            <w:shd w:val="clear" w:color="auto" w:fill="auto"/>
            <w:noWrap/>
            <w:vAlign w:val="center"/>
            <w:hideMark/>
          </w:tcPr>
          <w:p w14:paraId="60875E2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(18.51, 66.79)</w:t>
            </w:r>
          </w:p>
        </w:tc>
        <w:tc>
          <w:tcPr>
            <w:tcW w:w="0" w:type="auto"/>
            <w:tcBorders>
              <w:top w:val="nil"/>
              <w:left w:val="nil"/>
              <w:bottom w:val="single" w:sz="8" w:space="0" w:color="auto"/>
              <w:right w:val="nil"/>
            </w:tcBorders>
            <w:shd w:val="clear" w:color="auto" w:fill="auto"/>
            <w:noWrap/>
            <w:vAlign w:val="center"/>
            <w:hideMark/>
          </w:tcPr>
          <w:p w14:paraId="4432E04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(67.92, 72.84)</w:t>
            </w:r>
          </w:p>
        </w:tc>
        <w:tc>
          <w:tcPr>
            <w:tcW w:w="0" w:type="auto"/>
            <w:tcBorders>
              <w:top w:val="nil"/>
              <w:left w:val="nil"/>
              <w:bottom w:val="single" w:sz="8" w:space="0" w:color="auto"/>
              <w:right w:val="single" w:sz="8" w:space="0" w:color="auto"/>
            </w:tcBorders>
            <w:shd w:val="clear" w:color="auto" w:fill="auto"/>
            <w:noWrap/>
            <w:vAlign w:val="center"/>
            <w:hideMark/>
          </w:tcPr>
          <w:p w14:paraId="6ED381F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(73.32, 73.31)</w:t>
            </w:r>
          </w:p>
        </w:tc>
      </w:tr>
      <w:tr w:rsidR="002E567E" w:rsidRPr="002E567E" w14:paraId="260D394E" w14:textId="77777777" w:rsidTr="002E567E">
        <w:trPr>
          <w:cantSplit/>
          <w:trHeight w:val="144"/>
        </w:trPr>
        <w:tc>
          <w:tcPr>
            <w:tcW w:w="0" w:type="auto"/>
            <w:tcBorders>
              <w:top w:val="nil"/>
              <w:left w:val="nil"/>
              <w:bottom w:val="nil"/>
              <w:right w:val="nil"/>
            </w:tcBorders>
            <w:shd w:val="clear" w:color="auto" w:fill="auto"/>
            <w:noWrap/>
            <w:vAlign w:val="center"/>
            <w:hideMark/>
          </w:tcPr>
          <w:p w14:paraId="53B0076A"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231952BD"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1D87DF59"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00902623"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3513C729"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52CC3D72"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005E23AF"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368BA387"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r>
      <w:tr w:rsidR="002E567E" w:rsidRPr="002E567E" w14:paraId="45C9190C" w14:textId="77777777" w:rsidTr="002E567E">
        <w:trPr>
          <w:cantSplit/>
          <w:trHeight w:val="144"/>
        </w:trPr>
        <w:tc>
          <w:tcPr>
            <w:tcW w:w="0" w:type="auto"/>
            <w:tcBorders>
              <w:top w:val="single" w:sz="8" w:space="0" w:color="auto"/>
              <w:left w:val="single" w:sz="8" w:space="0" w:color="auto"/>
              <w:bottom w:val="nil"/>
              <w:right w:val="nil"/>
            </w:tcBorders>
            <w:shd w:val="clear" w:color="000000" w:fill="000000"/>
            <w:noWrap/>
            <w:vAlign w:val="center"/>
            <w:hideMark/>
          </w:tcPr>
          <w:p w14:paraId="3562B3A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691E34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RTDC Probability Relative Risk Reduction by SoP^</w:t>
            </w:r>
          </w:p>
        </w:tc>
      </w:tr>
      <w:tr w:rsidR="002E567E" w:rsidRPr="002E567E" w14:paraId="1CC55722" w14:textId="77777777" w:rsidTr="002E567E">
        <w:trPr>
          <w:cantSplit/>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E6A124A" w14:textId="0C168FD3" w:rsidR="002E567E" w:rsidRPr="002E567E" w:rsidRDefault="004860F5"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Cognitive</w:t>
            </w:r>
            <w:r w:rsidR="002E567E" w:rsidRPr="002E567E">
              <w:rPr>
                <w:rFonts w:ascii="Calibri" w:eastAsia="Times New Roman" w:hAnsi="Calibri" w:cs="Calibri"/>
                <w:color w:val="000000"/>
                <w:sz w:val="16"/>
                <w:szCs w:val="16"/>
              </w:rPr>
              <w:t xml:space="preserve"> SoP</w:t>
            </w:r>
          </w:p>
        </w:tc>
        <w:tc>
          <w:tcPr>
            <w:tcW w:w="0" w:type="auto"/>
            <w:gridSpan w:val="7"/>
            <w:tcBorders>
              <w:top w:val="nil"/>
              <w:left w:val="nil"/>
              <w:bottom w:val="single" w:sz="8" w:space="0" w:color="auto"/>
              <w:right w:val="single" w:sz="8" w:space="0" w:color="000000"/>
            </w:tcBorders>
            <w:shd w:val="clear" w:color="auto" w:fill="auto"/>
            <w:noWrap/>
            <w:vAlign w:val="center"/>
            <w:hideMark/>
          </w:tcPr>
          <w:p w14:paraId="664C6B8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Procedural SoP</w:t>
            </w:r>
          </w:p>
        </w:tc>
      </w:tr>
      <w:tr w:rsidR="002E567E" w:rsidRPr="002E567E" w14:paraId="2FA6E52E"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E87FB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3677355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164713F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w:t>
            </w:r>
          </w:p>
        </w:tc>
        <w:tc>
          <w:tcPr>
            <w:tcW w:w="0" w:type="auto"/>
            <w:tcBorders>
              <w:top w:val="nil"/>
              <w:left w:val="nil"/>
              <w:bottom w:val="nil"/>
              <w:right w:val="nil"/>
            </w:tcBorders>
            <w:shd w:val="clear" w:color="000000" w:fill="BFBFBF"/>
            <w:noWrap/>
            <w:vAlign w:val="center"/>
            <w:hideMark/>
          </w:tcPr>
          <w:p w14:paraId="3FD6BDA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w:t>
            </w:r>
          </w:p>
        </w:tc>
        <w:tc>
          <w:tcPr>
            <w:tcW w:w="0" w:type="auto"/>
            <w:tcBorders>
              <w:top w:val="nil"/>
              <w:left w:val="nil"/>
              <w:bottom w:val="nil"/>
              <w:right w:val="nil"/>
            </w:tcBorders>
            <w:shd w:val="clear" w:color="000000" w:fill="BFBFBF"/>
            <w:noWrap/>
            <w:vAlign w:val="center"/>
            <w:hideMark/>
          </w:tcPr>
          <w:p w14:paraId="2C35B8D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w:t>
            </w:r>
          </w:p>
        </w:tc>
        <w:tc>
          <w:tcPr>
            <w:tcW w:w="0" w:type="auto"/>
            <w:tcBorders>
              <w:top w:val="nil"/>
              <w:left w:val="nil"/>
              <w:bottom w:val="nil"/>
              <w:right w:val="nil"/>
            </w:tcBorders>
            <w:shd w:val="clear" w:color="000000" w:fill="BFBFBF"/>
            <w:noWrap/>
            <w:vAlign w:val="center"/>
            <w:hideMark/>
          </w:tcPr>
          <w:p w14:paraId="24009A1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w:t>
            </w:r>
          </w:p>
        </w:tc>
        <w:tc>
          <w:tcPr>
            <w:tcW w:w="0" w:type="auto"/>
            <w:tcBorders>
              <w:top w:val="nil"/>
              <w:left w:val="nil"/>
              <w:bottom w:val="nil"/>
              <w:right w:val="nil"/>
            </w:tcBorders>
            <w:shd w:val="clear" w:color="000000" w:fill="BFBFBF"/>
            <w:noWrap/>
            <w:vAlign w:val="center"/>
            <w:hideMark/>
          </w:tcPr>
          <w:p w14:paraId="4623847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4</w:t>
            </w:r>
          </w:p>
        </w:tc>
        <w:tc>
          <w:tcPr>
            <w:tcW w:w="0" w:type="auto"/>
            <w:tcBorders>
              <w:top w:val="nil"/>
              <w:left w:val="nil"/>
              <w:bottom w:val="nil"/>
              <w:right w:val="single" w:sz="8" w:space="0" w:color="auto"/>
            </w:tcBorders>
            <w:shd w:val="clear" w:color="000000" w:fill="BFBFBF"/>
            <w:noWrap/>
            <w:vAlign w:val="center"/>
            <w:hideMark/>
          </w:tcPr>
          <w:p w14:paraId="5B9CF66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5</w:t>
            </w:r>
          </w:p>
        </w:tc>
      </w:tr>
      <w:tr w:rsidR="002E567E" w:rsidRPr="002E567E" w14:paraId="0FAE189F"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94BFF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17954B1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center"/>
            <w:hideMark/>
          </w:tcPr>
          <w:p w14:paraId="556D609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(0.0, 0.0)</w:t>
            </w:r>
          </w:p>
        </w:tc>
        <w:tc>
          <w:tcPr>
            <w:tcW w:w="0" w:type="auto"/>
            <w:tcBorders>
              <w:top w:val="nil"/>
              <w:left w:val="nil"/>
              <w:bottom w:val="nil"/>
              <w:right w:val="nil"/>
            </w:tcBorders>
            <w:shd w:val="clear" w:color="auto" w:fill="auto"/>
            <w:noWrap/>
            <w:vAlign w:val="center"/>
            <w:hideMark/>
          </w:tcPr>
          <w:p w14:paraId="601FF23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(-0.11, 4.07)</w:t>
            </w:r>
          </w:p>
        </w:tc>
        <w:tc>
          <w:tcPr>
            <w:tcW w:w="0" w:type="auto"/>
            <w:tcBorders>
              <w:top w:val="nil"/>
              <w:left w:val="nil"/>
              <w:bottom w:val="nil"/>
              <w:right w:val="nil"/>
            </w:tcBorders>
            <w:shd w:val="clear" w:color="auto" w:fill="auto"/>
            <w:noWrap/>
            <w:vAlign w:val="center"/>
            <w:hideMark/>
          </w:tcPr>
          <w:p w14:paraId="449B6AD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(0.06, 4.05)</w:t>
            </w:r>
          </w:p>
        </w:tc>
        <w:tc>
          <w:tcPr>
            <w:tcW w:w="0" w:type="auto"/>
            <w:tcBorders>
              <w:top w:val="nil"/>
              <w:left w:val="nil"/>
              <w:bottom w:val="nil"/>
              <w:right w:val="nil"/>
            </w:tcBorders>
            <w:shd w:val="clear" w:color="auto" w:fill="auto"/>
            <w:noWrap/>
            <w:vAlign w:val="center"/>
            <w:hideMark/>
          </w:tcPr>
          <w:p w14:paraId="195E8B8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(0.02, 4.07)</w:t>
            </w:r>
          </w:p>
        </w:tc>
        <w:tc>
          <w:tcPr>
            <w:tcW w:w="0" w:type="auto"/>
            <w:tcBorders>
              <w:top w:val="nil"/>
              <w:left w:val="nil"/>
              <w:bottom w:val="nil"/>
              <w:right w:val="nil"/>
            </w:tcBorders>
            <w:shd w:val="clear" w:color="auto" w:fill="auto"/>
            <w:noWrap/>
            <w:vAlign w:val="center"/>
            <w:hideMark/>
          </w:tcPr>
          <w:p w14:paraId="5B1C8B1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(0.15, 4.1)</w:t>
            </w:r>
          </w:p>
        </w:tc>
        <w:tc>
          <w:tcPr>
            <w:tcW w:w="0" w:type="auto"/>
            <w:tcBorders>
              <w:top w:val="nil"/>
              <w:left w:val="nil"/>
              <w:bottom w:val="nil"/>
              <w:right w:val="single" w:sz="8" w:space="0" w:color="auto"/>
            </w:tcBorders>
            <w:shd w:val="clear" w:color="auto" w:fill="auto"/>
            <w:noWrap/>
            <w:vAlign w:val="center"/>
            <w:hideMark/>
          </w:tcPr>
          <w:p w14:paraId="71100C2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(0.13, 7.95)</w:t>
            </w:r>
          </w:p>
        </w:tc>
      </w:tr>
      <w:tr w:rsidR="002E567E" w:rsidRPr="002E567E" w14:paraId="2D93EB6E"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8C76F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46BBDB9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center"/>
            <w:hideMark/>
          </w:tcPr>
          <w:p w14:paraId="2FE4C44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(0.13, 27.48)</w:t>
            </w:r>
          </w:p>
        </w:tc>
        <w:tc>
          <w:tcPr>
            <w:tcW w:w="0" w:type="auto"/>
            <w:tcBorders>
              <w:top w:val="nil"/>
              <w:left w:val="nil"/>
              <w:bottom w:val="nil"/>
              <w:right w:val="nil"/>
            </w:tcBorders>
            <w:shd w:val="clear" w:color="auto" w:fill="auto"/>
            <w:noWrap/>
            <w:vAlign w:val="center"/>
            <w:hideMark/>
          </w:tcPr>
          <w:p w14:paraId="764A415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(0.06, 32.49)</w:t>
            </w:r>
          </w:p>
        </w:tc>
        <w:tc>
          <w:tcPr>
            <w:tcW w:w="0" w:type="auto"/>
            <w:tcBorders>
              <w:top w:val="nil"/>
              <w:left w:val="nil"/>
              <w:bottom w:val="nil"/>
              <w:right w:val="nil"/>
            </w:tcBorders>
            <w:shd w:val="clear" w:color="auto" w:fill="auto"/>
            <w:noWrap/>
            <w:vAlign w:val="center"/>
            <w:hideMark/>
          </w:tcPr>
          <w:p w14:paraId="19B8876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(0.03, 32.45)</w:t>
            </w:r>
          </w:p>
        </w:tc>
        <w:tc>
          <w:tcPr>
            <w:tcW w:w="0" w:type="auto"/>
            <w:tcBorders>
              <w:top w:val="nil"/>
              <w:left w:val="nil"/>
              <w:bottom w:val="nil"/>
              <w:right w:val="nil"/>
            </w:tcBorders>
            <w:shd w:val="clear" w:color="auto" w:fill="auto"/>
            <w:noWrap/>
            <w:vAlign w:val="center"/>
            <w:hideMark/>
          </w:tcPr>
          <w:p w14:paraId="572E950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(0.06, 32.46)</w:t>
            </w:r>
          </w:p>
        </w:tc>
        <w:tc>
          <w:tcPr>
            <w:tcW w:w="0" w:type="auto"/>
            <w:tcBorders>
              <w:top w:val="nil"/>
              <w:left w:val="nil"/>
              <w:bottom w:val="nil"/>
              <w:right w:val="nil"/>
            </w:tcBorders>
            <w:shd w:val="clear" w:color="auto" w:fill="auto"/>
            <w:noWrap/>
            <w:vAlign w:val="center"/>
            <w:hideMark/>
          </w:tcPr>
          <w:p w14:paraId="311883B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32.71)</w:t>
            </w:r>
          </w:p>
        </w:tc>
        <w:tc>
          <w:tcPr>
            <w:tcW w:w="0" w:type="auto"/>
            <w:tcBorders>
              <w:top w:val="nil"/>
              <w:left w:val="nil"/>
              <w:bottom w:val="nil"/>
              <w:right w:val="single" w:sz="8" w:space="0" w:color="auto"/>
            </w:tcBorders>
            <w:shd w:val="clear" w:color="auto" w:fill="auto"/>
            <w:noWrap/>
            <w:vAlign w:val="center"/>
            <w:hideMark/>
          </w:tcPr>
          <w:p w14:paraId="1480D5B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(0.12, 37.27)</w:t>
            </w:r>
          </w:p>
        </w:tc>
      </w:tr>
      <w:tr w:rsidR="002E567E" w:rsidRPr="002E567E" w14:paraId="7B9739D6"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E08CC0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1288F59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w:t>
            </w:r>
          </w:p>
        </w:tc>
        <w:tc>
          <w:tcPr>
            <w:tcW w:w="0" w:type="auto"/>
            <w:tcBorders>
              <w:top w:val="nil"/>
              <w:left w:val="nil"/>
              <w:bottom w:val="nil"/>
              <w:right w:val="nil"/>
            </w:tcBorders>
            <w:shd w:val="clear" w:color="auto" w:fill="auto"/>
            <w:noWrap/>
            <w:vAlign w:val="center"/>
            <w:hideMark/>
          </w:tcPr>
          <w:p w14:paraId="2B42D77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(0.07, 27.57)</w:t>
            </w:r>
          </w:p>
        </w:tc>
        <w:tc>
          <w:tcPr>
            <w:tcW w:w="0" w:type="auto"/>
            <w:tcBorders>
              <w:top w:val="nil"/>
              <w:left w:val="nil"/>
              <w:bottom w:val="nil"/>
              <w:right w:val="nil"/>
            </w:tcBorders>
            <w:shd w:val="clear" w:color="auto" w:fill="auto"/>
            <w:noWrap/>
            <w:vAlign w:val="center"/>
            <w:hideMark/>
          </w:tcPr>
          <w:p w14:paraId="3E516EE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(0.04, 32.63)</w:t>
            </w:r>
          </w:p>
        </w:tc>
        <w:tc>
          <w:tcPr>
            <w:tcW w:w="0" w:type="auto"/>
            <w:tcBorders>
              <w:top w:val="nil"/>
              <w:left w:val="nil"/>
              <w:bottom w:val="nil"/>
              <w:right w:val="nil"/>
            </w:tcBorders>
            <w:shd w:val="clear" w:color="auto" w:fill="auto"/>
            <w:noWrap/>
            <w:vAlign w:val="center"/>
            <w:hideMark/>
          </w:tcPr>
          <w:p w14:paraId="5518C9B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32.63)</w:t>
            </w:r>
          </w:p>
        </w:tc>
        <w:tc>
          <w:tcPr>
            <w:tcW w:w="0" w:type="auto"/>
            <w:tcBorders>
              <w:top w:val="nil"/>
              <w:left w:val="nil"/>
              <w:bottom w:val="nil"/>
              <w:right w:val="nil"/>
            </w:tcBorders>
            <w:shd w:val="clear" w:color="auto" w:fill="auto"/>
            <w:noWrap/>
            <w:vAlign w:val="center"/>
            <w:hideMark/>
          </w:tcPr>
          <w:p w14:paraId="32FE7E7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(0.09, 32.61)</w:t>
            </w:r>
          </w:p>
        </w:tc>
        <w:tc>
          <w:tcPr>
            <w:tcW w:w="0" w:type="auto"/>
            <w:tcBorders>
              <w:top w:val="nil"/>
              <w:left w:val="nil"/>
              <w:bottom w:val="nil"/>
              <w:right w:val="nil"/>
            </w:tcBorders>
            <w:shd w:val="clear" w:color="auto" w:fill="auto"/>
            <w:noWrap/>
            <w:vAlign w:val="center"/>
            <w:hideMark/>
          </w:tcPr>
          <w:p w14:paraId="68467C0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32.77)</w:t>
            </w:r>
          </w:p>
        </w:tc>
        <w:tc>
          <w:tcPr>
            <w:tcW w:w="0" w:type="auto"/>
            <w:tcBorders>
              <w:top w:val="nil"/>
              <w:left w:val="nil"/>
              <w:bottom w:val="nil"/>
              <w:right w:val="single" w:sz="8" w:space="0" w:color="auto"/>
            </w:tcBorders>
            <w:shd w:val="clear" w:color="auto" w:fill="auto"/>
            <w:noWrap/>
            <w:vAlign w:val="center"/>
            <w:hideMark/>
          </w:tcPr>
          <w:p w14:paraId="7311592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(0.04, 37.5)</w:t>
            </w:r>
          </w:p>
        </w:tc>
      </w:tr>
      <w:tr w:rsidR="002E567E" w:rsidRPr="002E567E" w14:paraId="6A8653A5"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F4399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7D52D01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center"/>
            <w:hideMark/>
          </w:tcPr>
          <w:p w14:paraId="6D06DC7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(-0.07, 39.24)</w:t>
            </w:r>
          </w:p>
        </w:tc>
        <w:tc>
          <w:tcPr>
            <w:tcW w:w="0" w:type="auto"/>
            <w:tcBorders>
              <w:top w:val="nil"/>
              <w:left w:val="nil"/>
              <w:bottom w:val="nil"/>
              <w:right w:val="nil"/>
            </w:tcBorders>
            <w:shd w:val="clear" w:color="auto" w:fill="auto"/>
            <w:noWrap/>
            <w:vAlign w:val="center"/>
            <w:hideMark/>
          </w:tcPr>
          <w:p w14:paraId="3B44019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(0.06, 44.53)</w:t>
            </w:r>
          </w:p>
        </w:tc>
        <w:tc>
          <w:tcPr>
            <w:tcW w:w="0" w:type="auto"/>
            <w:tcBorders>
              <w:top w:val="nil"/>
              <w:left w:val="nil"/>
              <w:bottom w:val="nil"/>
              <w:right w:val="nil"/>
            </w:tcBorders>
            <w:shd w:val="clear" w:color="auto" w:fill="auto"/>
            <w:noWrap/>
            <w:vAlign w:val="center"/>
            <w:hideMark/>
          </w:tcPr>
          <w:p w14:paraId="3AFEDC2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(0.03, 44.38)</w:t>
            </w:r>
          </w:p>
        </w:tc>
        <w:tc>
          <w:tcPr>
            <w:tcW w:w="0" w:type="auto"/>
            <w:tcBorders>
              <w:top w:val="nil"/>
              <w:left w:val="nil"/>
              <w:bottom w:val="nil"/>
              <w:right w:val="nil"/>
            </w:tcBorders>
            <w:shd w:val="clear" w:color="auto" w:fill="auto"/>
            <w:noWrap/>
            <w:vAlign w:val="center"/>
            <w:hideMark/>
          </w:tcPr>
          <w:p w14:paraId="5E5057C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(0.05, 44.4)</w:t>
            </w:r>
          </w:p>
        </w:tc>
        <w:tc>
          <w:tcPr>
            <w:tcW w:w="0" w:type="auto"/>
            <w:tcBorders>
              <w:top w:val="nil"/>
              <w:left w:val="nil"/>
              <w:bottom w:val="nil"/>
              <w:right w:val="nil"/>
            </w:tcBorders>
            <w:shd w:val="clear" w:color="auto" w:fill="auto"/>
            <w:noWrap/>
            <w:vAlign w:val="center"/>
            <w:hideMark/>
          </w:tcPr>
          <w:p w14:paraId="4B451D9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 44.62)</w:t>
            </w:r>
          </w:p>
        </w:tc>
        <w:tc>
          <w:tcPr>
            <w:tcW w:w="0" w:type="auto"/>
            <w:tcBorders>
              <w:top w:val="nil"/>
              <w:left w:val="nil"/>
              <w:bottom w:val="nil"/>
              <w:right w:val="single" w:sz="8" w:space="0" w:color="auto"/>
            </w:tcBorders>
            <w:shd w:val="clear" w:color="auto" w:fill="auto"/>
            <w:noWrap/>
            <w:vAlign w:val="center"/>
            <w:hideMark/>
          </w:tcPr>
          <w:p w14:paraId="358C82E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(-0.13, 49.51)</w:t>
            </w:r>
          </w:p>
        </w:tc>
      </w:tr>
      <w:tr w:rsidR="002E567E" w:rsidRPr="002E567E" w14:paraId="2B0A35F3"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E0A9B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3EDAD3E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4</w:t>
            </w:r>
          </w:p>
        </w:tc>
        <w:tc>
          <w:tcPr>
            <w:tcW w:w="0" w:type="auto"/>
            <w:tcBorders>
              <w:top w:val="nil"/>
              <w:left w:val="nil"/>
              <w:bottom w:val="nil"/>
              <w:right w:val="nil"/>
            </w:tcBorders>
            <w:shd w:val="clear" w:color="auto" w:fill="auto"/>
            <w:noWrap/>
            <w:vAlign w:val="center"/>
            <w:hideMark/>
          </w:tcPr>
          <w:p w14:paraId="6C000E4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(-27.29, 49.0)</w:t>
            </w:r>
          </w:p>
        </w:tc>
        <w:tc>
          <w:tcPr>
            <w:tcW w:w="0" w:type="auto"/>
            <w:tcBorders>
              <w:top w:val="nil"/>
              <w:left w:val="nil"/>
              <w:bottom w:val="nil"/>
              <w:right w:val="nil"/>
            </w:tcBorders>
            <w:shd w:val="clear" w:color="auto" w:fill="auto"/>
            <w:noWrap/>
            <w:vAlign w:val="center"/>
            <w:hideMark/>
          </w:tcPr>
          <w:p w14:paraId="5930669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(-25.36, 54.27)</w:t>
            </w:r>
          </w:p>
        </w:tc>
        <w:tc>
          <w:tcPr>
            <w:tcW w:w="0" w:type="auto"/>
            <w:tcBorders>
              <w:top w:val="nil"/>
              <w:left w:val="nil"/>
              <w:bottom w:val="nil"/>
              <w:right w:val="nil"/>
            </w:tcBorders>
            <w:shd w:val="clear" w:color="auto" w:fill="auto"/>
            <w:noWrap/>
            <w:vAlign w:val="center"/>
            <w:hideMark/>
          </w:tcPr>
          <w:p w14:paraId="30DCED6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(-25.37, 54.33)</w:t>
            </w:r>
          </w:p>
        </w:tc>
        <w:tc>
          <w:tcPr>
            <w:tcW w:w="0" w:type="auto"/>
            <w:tcBorders>
              <w:top w:val="nil"/>
              <w:left w:val="nil"/>
              <w:bottom w:val="nil"/>
              <w:right w:val="nil"/>
            </w:tcBorders>
            <w:shd w:val="clear" w:color="auto" w:fill="auto"/>
            <w:noWrap/>
            <w:vAlign w:val="center"/>
            <w:hideMark/>
          </w:tcPr>
          <w:p w14:paraId="268C388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(-25.31, 54.45)</w:t>
            </w:r>
          </w:p>
        </w:tc>
        <w:tc>
          <w:tcPr>
            <w:tcW w:w="0" w:type="auto"/>
            <w:tcBorders>
              <w:top w:val="nil"/>
              <w:left w:val="nil"/>
              <w:bottom w:val="nil"/>
              <w:right w:val="nil"/>
            </w:tcBorders>
            <w:shd w:val="clear" w:color="auto" w:fill="auto"/>
            <w:noWrap/>
            <w:vAlign w:val="center"/>
            <w:hideMark/>
          </w:tcPr>
          <w:p w14:paraId="6C6137A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(-23.45, 54.5)</w:t>
            </w:r>
          </w:p>
        </w:tc>
        <w:tc>
          <w:tcPr>
            <w:tcW w:w="0" w:type="auto"/>
            <w:tcBorders>
              <w:top w:val="nil"/>
              <w:left w:val="nil"/>
              <w:bottom w:val="nil"/>
              <w:right w:val="single" w:sz="8" w:space="0" w:color="auto"/>
            </w:tcBorders>
            <w:shd w:val="clear" w:color="auto" w:fill="auto"/>
            <w:noWrap/>
            <w:vAlign w:val="center"/>
            <w:hideMark/>
          </w:tcPr>
          <w:p w14:paraId="68A2079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(-23.45, 59.55)</w:t>
            </w:r>
          </w:p>
        </w:tc>
      </w:tr>
      <w:tr w:rsidR="002E567E" w:rsidRPr="002E567E" w14:paraId="7FC3B465"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037EC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single" w:sz="8" w:space="0" w:color="auto"/>
              <w:right w:val="nil"/>
            </w:tcBorders>
            <w:shd w:val="clear" w:color="000000" w:fill="BFBFBF"/>
            <w:noWrap/>
            <w:vAlign w:val="center"/>
            <w:hideMark/>
          </w:tcPr>
          <w:p w14:paraId="55244C6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5</w:t>
            </w:r>
          </w:p>
        </w:tc>
        <w:tc>
          <w:tcPr>
            <w:tcW w:w="0" w:type="auto"/>
            <w:tcBorders>
              <w:top w:val="nil"/>
              <w:left w:val="nil"/>
              <w:bottom w:val="single" w:sz="8" w:space="0" w:color="auto"/>
              <w:right w:val="nil"/>
            </w:tcBorders>
            <w:shd w:val="clear" w:color="auto" w:fill="auto"/>
            <w:noWrap/>
            <w:vAlign w:val="center"/>
            <w:hideMark/>
          </w:tcPr>
          <w:p w14:paraId="6C93C6C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(-18.74, 65.03)</w:t>
            </w:r>
          </w:p>
        </w:tc>
        <w:tc>
          <w:tcPr>
            <w:tcW w:w="0" w:type="auto"/>
            <w:tcBorders>
              <w:top w:val="nil"/>
              <w:left w:val="nil"/>
              <w:bottom w:val="single" w:sz="8" w:space="0" w:color="auto"/>
              <w:right w:val="nil"/>
            </w:tcBorders>
            <w:shd w:val="clear" w:color="auto" w:fill="auto"/>
            <w:noWrap/>
            <w:vAlign w:val="center"/>
            <w:hideMark/>
          </w:tcPr>
          <w:p w14:paraId="7C3CFB4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(-15.65, 70.41)</w:t>
            </w:r>
          </w:p>
        </w:tc>
        <w:tc>
          <w:tcPr>
            <w:tcW w:w="0" w:type="auto"/>
            <w:tcBorders>
              <w:top w:val="nil"/>
              <w:left w:val="nil"/>
              <w:bottom w:val="single" w:sz="8" w:space="0" w:color="auto"/>
              <w:right w:val="nil"/>
            </w:tcBorders>
            <w:shd w:val="clear" w:color="auto" w:fill="auto"/>
            <w:noWrap/>
            <w:vAlign w:val="center"/>
            <w:hideMark/>
          </w:tcPr>
          <w:p w14:paraId="4A80EE4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(-15.61, 70.41)</w:t>
            </w:r>
          </w:p>
        </w:tc>
        <w:tc>
          <w:tcPr>
            <w:tcW w:w="0" w:type="auto"/>
            <w:tcBorders>
              <w:top w:val="nil"/>
              <w:left w:val="nil"/>
              <w:bottom w:val="single" w:sz="8" w:space="0" w:color="auto"/>
              <w:right w:val="nil"/>
            </w:tcBorders>
            <w:shd w:val="clear" w:color="auto" w:fill="auto"/>
            <w:noWrap/>
            <w:vAlign w:val="center"/>
            <w:hideMark/>
          </w:tcPr>
          <w:p w14:paraId="4F41A34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(-15.75, 70.49)</w:t>
            </w:r>
          </w:p>
        </w:tc>
        <w:tc>
          <w:tcPr>
            <w:tcW w:w="0" w:type="auto"/>
            <w:tcBorders>
              <w:top w:val="nil"/>
              <w:left w:val="nil"/>
              <w:bottom w:val="single" w:sz="8" w:space="0" w:color="auto"/>
              <w:right w:val="nil"/>
            </w:tcBorders>
            <w:shd w:val="clear" w:color="auto" w:fill="auto"/>
            <w:noWrap/>
            <w:vAlign w:val="center"/>
            <w:hideMark/>
          </w:tcPr>
          <w:p w14:paraId="2422EA2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(-13.38, 70.6)</w:t>
            </w:r>
          </w:p>
        </w:tc>
        <w:tc>
          <w:tcPr>
            <w:tcW w:w="0" w:type="auto"/>
            <w:tcBorders>
              <w:top w:val="nil"/>
              <w:left w:val="nil"/>
              <w:bottom w:val="single" w:sz="8" w:space="0" w:color="auto"/>
              <w:right w:val="single" w:sz="8" w:space="0" w:color="auto"/>
            </w:tcBorders>
            <w:shd w:val="clear" w:color="auto" w:fill="auto"/>
            <w:noWrap/>
            <w:vAlign w:val="center"/>
            <w:hideMark/>
          </w:tcPr>
          <w:p w14:paraId="6A7E064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(75.66, 75.6)</w:t>
            </w:r>
          </w:p>
        </w:tc>
      </w:tr>
      <w:tr w:rsidR="002E567E" w:rsidRPr="002E567E" w14:paraId="21379794" w14:textId="77777777" w:rsidTr="002E567E">
        <w:trPr>
          <w:cantSplit/>
          <w:trHeight w:val="144"/>
        </w:trPr>
        <w:tc>
          <w:tcPr>
            <w:tcW w:w="0" w:type="auto"/>
            <w:tcBorders>
              <w:top w:val="nil"/>
              <w:left w:val="nil"/>
              <w:bottom w:val="nil"/>
              <w:right w:val="nil"/>
            </w:tcBorders>
            <w:shd w:val="clear" w:color="auto" w:fill="auto"/>
            <w:noWrap/>
            <w:vAlign w:val="center"/>
            <w:hideMark/>
          </w:tcPr>
          <w:p w14:paraId="38D409CD"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3988BE5C"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4DFBB4CD"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4C53ED18"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4ABB9CA4"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1A752123"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1A85023A"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c>
          <w:tcPr>
            <w:tcW w:w="0" w:type="auto"/>
            <w:tcBorders>
              <w:top w:val="nil"/>
              <w:left w:val="nil"/>
              <w:bottom w:val="nil"/>
              <w:right w:val="nil"/>
            </w:tcBorders>
            <w:shd w:val="clear" w:color="auto" w:fill="auto"/>
            <w:noWrap/>
            <w:vAlign w:val="center"/>
            <w:hideMark/>
          </w:tcPr>
          <w:p w14:paraId="7BB31B9F" w14:textId="77777777" w:rsidR="002E567E" w:rsidRPr="002E567E" w:rsidRDefault="002E567E" w:rsidP="00C32B3F">
            <w:pPr>
              <w:autoSpaceDE/>
              <w:autoSpaceDN/>
              <w:adjustRightInd/>
              <w:spacing w:after="0"/>
              <w:jc w:val="center"/>
              <w:rPr>
                <w:rFonts w:ascii="Times New Roman" w:eastAsia="Times New Roman" w:hAnsi="Times New Roman" w:cs="Times New Roman"/>
                <w:color w:val="auto"/>
                <w:sz w:val="16"/>
                <w:szCs w:val="16"/>
              </w:rPr>
            </w:pPr>
          </w:p>
        </w:tc>
      </w:tr>
      <w:tr w:rsidR="002E567E" w:rsidRPr="002E567E" w14:paraId="45F0D817" w14:textId="77777777" w:rsidTr="002E567E">
        <w:trPr>
          <w:cantSplit/>
          <w:trHeight w:val="144"/>
        </w:trPr>
        <w:tc>
          <w:tcPr>
            <w:tcW w:w="0" w:type="auto"/>
            <w:tcBorders>
              <w:top w:val="single" w:sz="8" w:space="0" w:color="auto"/>
              <w:left w:val="single" w:sz="8" w:space="0" w:color="auto"/>
              <w:bottom w:val="nil"/>
              <w:right w:val="nil"/>
            </w:tcBorders>
            <w:shd w:val="clear" w:color="000000" w:fill="000000"/>
            <w:noWrap/>
            <w:vAlign w:val="center"/>
            <w:hideMark/>
          </w:tcPr>
          <w:p w14:paraId="3783EB4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AE608E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LOCL Probability Relative Risk Reduction by SoP</w:t>
            </w:r>
            <w:r w:rsidRPr="002E567E">
              <w:rPr>
                <w:rFonts w:ascii="Calibri" w:eastAsia="Times New Roman" w:hAnsi="Calibri" w:cs="Calibri"/>
                <w:color w:val="000000"/>
                <w:sz w:val="16"/>
                <w:szCs w:val="16"/>
                <w:vertAlign w:val="superscript"/>
              </w:rPr>
              <w:t>#</w:t>
            </w:r>
          </w:p>
        </w:tc>
      </w:tr>
      <w:tr w:rsidR="002E567E" w:rsidRPr="002E567E" w14:paraId="4A117A40" w14:textId="77777777" w:rsidTr="002E567E">
        <w:trPr>
          <w:cantSplit/>
          <w:trHeight w:val="144"/>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E60A4B1" w14:textId="58985383" w:rsidR="002E567E" w:rsidRPr="002E567E" w:rsidRDefault="004860F5"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Cognitive</w:t>
            </w:r>
            <w:r w:rsidR="002E567E" w:rsidRPr="002E567E">
              <w:rPr>
                <w:rFonts w:ascii="Calibri" w:eastAsia="Times New Roman" w:hAnsi="Calibri" w:cs="Calibri"/>
                <w:color w:val="000000"/>
                <w:sz w:val="16"/>
                <w:szCs w:val="16"/>
              </w:rPr>
              <w:t xml:space="preserve"> SoP</w:t>
            </w:r>
          </w:p>
        </w:tc>
        <w:tc>
          <w:tcPr>
            <w:tcW w:w="0" w:type="auto"/>
            <w:gridSpan w:val="7"/>
            <w:tcBorders>
              <w:top w:val="nil"/>
              <w:left w:val="nil"/>
              <w:bottom w:val="single" w:sz="8" w:space="0" w:color="auto"/>
              <w:right w:val="single" w:sz="8" w:space="0" w:color="000000"/>
            </w:tcBorders>
            <w:shd w:val="clear" w:color="auto" w:fill="auto"/>
            <w:noWrap/>
            <w:vAlign w:val="center"/>
            <w:hideMark/>
          </w:tcPr>
          <w:p w14:paraId="2C9ACF5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Procedural SoP</w:t>
            </w:r>
          </w:p>
        </w:tc>
      </w:tr>
      <w:tr w:rsidR="002E567E" w:rsidRPr="002E567E" w14:paraId="146D6F5E"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ECED1C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1F52826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3B62863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w:t>
            </w:r>
          </w:p>
        </w:tc>
        <w:tc>
          <w:tcPr>
            <w:tcW w:w="0" w:type="auto"/>
            <w:tcBorders>
              <w:top w:val="nil"/>
              <w:left w:val="nil"/>
              <w:bottom w:val="nil"/>
              <w:right w:val="nil"/>
            </w:tcBorders>
            <w:shd w:val="clear" w:color="000000" w:fill="BFBFBF"/>
            <w:noWrap/>
            <w:vAlign w:val="center"/>
            <w:hideMark/>
          </w:tcPr>
          <w:p w14:paraId="4DC38DB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w:t>
            </w:r>
          </w:p>
        </w:tc>
        <w:tc>
          <w:tcPr>
            <w:tcW w:w="0" w:type="auto"/>
            <w:tcBorders>
              <w:top w:val="nil"/>
              <w:left w:val="nil"/>
              <w:bottom w:val="nil"/>
              <w:right w:val="nil"/>
            </w:tcBorders>
            <w:shd w:val="clear" w:color="000000" w:fill="BFBFBF"/>
            <w:noWrap/>
            <w:vAlign w:val="center"/>
            <w:hideMark/>
          </w:tcPr>
          <w:p w14:paraId="621FDBD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w:t>
            </w:r>
          </w:p>
        </w:tc>
        <w:tc>
          <w:tcPr>
            <w:tcW w:w="0" w:type="auto"/>
            <w:tcBorders>
              <w:top w:val="nil"/>
              <w:left w:val="nil"/>
              <w:bottom w:val="nil"/>
              <w:right w:val="nil"/>
            </w:tcBorders>
            <w:shd w:val="clear" w:color="000000" w:fill="BFBFBF"/>
            <w:noWrap/>
            <w:vAlign w:val="center"/>
            <w:hideMark/>
          </w:tcPr>
          <w:p w14:paraId="7B4118A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w:t>
            </w:r>
          </w:p>
        </w:tc>
        <w:tc>
          <w:tcPr>
            <w:tcW w:w="0" w:type="auto"/>
            <w:tcBorders>
              <w:top w:val="nil"/>
              <w:left w:val="nil"/>
              <w:bottom w:val="nil"/>
              <w:right w:val="nil"/>
            </w:tcBorders>
            <w:shd w:val="clear" w:color="000000" w:fill="BFBFBF"/>
            <w:noWrap/>
            <w:vAlign w:val="center"/>
            <w:hideMark/>
          </w:tcPr>
          <w:p w14:paraId="0B5B80D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4</w:t>
            </w:r>
          </w:p>
        </w:tc>
        <w:tc>
          <w:tcPr>
            <w:tcW w:w="0" w:type="auto"/>
            <w:tcBorders>
              <w:top w:val="nil"/>
              <w:left w:val="nil"/>
              <w:bottom w:val="nil"/>
              <w:right w:val="single" w:sz="8" w:space="0" w:color="auto"/>
            </w:tcBorders>
            <w:shd w:val="clear" w:color="000000" w:fill="BFBFBF"/>
            <w:noWrap/>
            <w:vAlign w:val="center"/>
            <w:hideMark/>
          </w:tcPr>
          <w:p w14:paraId="506A2DD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5</w:t>
            </w:r>
          </w:p>
        </w:tc>
      </w:tr>
      <w:tr w:rsidR="002E567E" w:rsidRPr="002E567E" w14:paraId="1DE79CCB"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F287A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6E4BCB1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w:t>
            </w:r>
          </w:p>
        </w:tc>
        <w:tc>
          <w:tcPr>
            <w:tcW w:w="0" w:type="auto"/>
            <w:tcBorders>
              <w:top w:val="nil"/>
              <w:left w:val="nil"/>
              <w:bottom w:val="nil"/>
              <w:right w:val="nil"/>
            </w:tcBorders>
            <w:shd w:val="clear" w:color="auto" w:fill="auto"/>
            <w:noWrap/>
            <w:vAlign w:val="center"/>
            <w:hideMark/>
          </w:tcPr>
          <w:p w14:paraId="6CBB29F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(0.0, 0.0)</w:t>
            </w:r>
          </w:p>
        </w:tc>
        <w:tc>
          <w:tcPr>
            <w:tcW w:w="0" w:type="auto"/>
            <w:tcBorders>
              <w:top w:val="nil"/>
              <w:left w:val="nil"/>
              <w:bottom w:val="nil"/>
              <w:right w:val="nil"/>
            </w:tcBorders>
            <w:shd w:val="clear" w:color="auto" w:fill="auto"/>
            <w:noWrap/>
            <w:vAlign w:val="center"/>
            <w:hideMark/>
          </w:tcPr>
          <w:p w14:paraId="6346B9D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(0.05, -0.11)</w:t>
            </w:r>
          </w:p>
        </w:tc>
        <w:tc>
          <w:tcPr>
            <w:tcW w:w="0" w:type="auto"/>
            <w:tcBorders>
              <w:top w:val="nil"/>
              <w:left w:val="nil"/>
              <w:bottom w:val="nil"/>
              <w:right w:val="nil"/>
            </w:tcBorders>
            <w:shd w:val="clear" w:color="auto" w:fill="auto"/>
            <w:noWrap/>
            <w:vAlign w:val="center"/>
            <w:hideMark/>
          </w:tcPr>
          <w:p w14:paraId="2B54020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 0.06)</w:t>
            </w:r>
          </w:p>
        </w:tc>
        <w:tc>
          <w:tcPr>
            <w:tcW w:w="0" w:type="auto"/>
            <w:tcBorders>
              <w:top w:val="nil"/>
              <w:left w:val="nil"/>
              <w:bottom w:val="nil"/>
              <w:right w:val="nil"/>
            </w:tcBorders>
            <w:shd w:val="clear" w:color="auto" w:fill="auto"/>
            <w:noWrap/>
            <w:vAlign w:val="center"/>
            <w:hideMark/>
          </w:tcPr>
          <w:p w14:paraId="50DDFA9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(-0.08, 0.16)</w:t>
            </w:r>
          </w:p>
        </w:tc>
        <w:tc>
          <w:tcPr>
            <w:tcW w:w="0" w:type="auto"/>
            <w:tcBorders>
              <w:top w:val="nil"/>
              <w:left w:val="nil"/>
              <w:bottom w:val="nil"/>
              <w:right w:val="nil"/>
            </w:tcBorders>
            <w:shd w:val="clear" w:color="auto" w:fill="auto"/>
            <w:noWrap/>
            <w:vAlign w:val="center"/>
            <w:hideMark/>
          </w:tcPr>
          <w:p w14:paraId="6EE25F78"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(-0.05, 0.13)</w:t>
            </w:r>
          </w:p>
        </w:tc>
        <w:tc>
          <w:tcPr>
            <w:tcW w:w="0" w:type="auto"/>
            <w:tcBorders>
              <w:top w:val="nil"/>
              <w:left w:val="nil"/>
              <w:bottom w:val="nil"/>
              <w:right w:val="single" w:sz="8" w:space="0" w:color="auto"/>
            </w:tcBorders>
            <w:shd w:val="clear" w:color="auto" w:fill="auto"/>
            <w:noWrap/>
            <w:vAlign w:val="center"/>
            <w:hideMark/>
          </w:tcPr>
          <w:p w14:paraId="7D7573C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(-0.08, 0.38)</w:t>
            </w:r>
          </w:p>
        </w:tc>
      </w:tr>
      <w:tr w:rsidR="002E567E" w:rsidRPr="002E567E" w14:paraId="6FE30D33"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BE5A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7A56D2A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1</w:t>
            </w:r>
          </w:p>
        </w:tc>
        <w:tc>
          <w:tcPr>
            <w:tcW w:w="0" w:type="auto"/>
            <w:tcBorders>
              <w:top w:val="nil"/>
              <w:left w:val="nil"/>
              <w:bottom w:val="nil"/>
              <w:right w:val="nil"/>
            </w:tcBorders>
            <w:shd w:val="clear" w:color="auto" w:fill="auto"/>
            <w:noWrap/>
            <w:vAlign w:val="center"/>
            <w:hideMark/>
          </w:tcPr>
          <w:p w14:paraId="6FDCEC7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(-0.14, 67.72)</w:t>
            </w:r>
          </w:p>
        </w:tc>
        <w:tc>
          <w:tcPr>
            <w:tcW w:w="0" w:type="auto"/>
            <w:tcBorders>
              <w:top w:val="nil"/>
              <w:left w:val="nil"/>
              <w:bottom w:val="nil"/>
              <w:right w:val="nil"/>
            </w:tcBorders>
            <w:shd w:val="clear" w:color="auto" w:fill="auto"/>
            <w:noWrap/>
            <w:vAlign w:val="center"/>
            <w:hideMark/>
          </w:tcPr>
          <w:p w14:paraId="0969A01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(-0.19, 67.72)</w:t>
            </w:r>
          </w:p>
        </w:tc>
        <w:tc>
          <w:tcPr>
            <w:tcW w:w="0" w:type="auto"/>
            <w:tcBorders>
              <w:top w:val="nil"/>
              <w:left w:val="nil"/>
              <w:bottom w:val="nil"/>
              <w:right w:val="nil"/>
            </w:tcBorders>
            <w:shd w:val="clear" w:color="auto" w:fill="auto"/>
            <w:noWrap/>
            <w:vAlign w:val="center"/>
            <w:hideMark/>
          </w:tcPr>
          <w:p w14:paraId="342ECDF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(0.01, 67.74)</w:t>
            </w:r>
          </w:p>
        </w:tc>
        <w:tc>
          <w:tcPr>
            <w:tcW w:w="0" w:type="auto"/>
            <w:tcBorders>
              <w:top w:val="nil"/>
              <w:left w:val="nil"/>
              <w:bottom w:val="nil"/>
              <w:right w:val="nil"/>
            </w:tcBorders>
            <w:shd w:val="clear" w:color="auto" w:fill="auto"/>
            <w:noWrap/>
            <w:vAlign w:val="center"/>
            <w:hideMark/>
          </w:tcPr>
          <w:p w14:paraId="029F9CFA"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(-0.2, 67.71)</w:t>
            </w:r>
          </w:p>
        </w:tc>
        <w:tc>
          <w:tcPr>
            <w:tcW w:w="0" w:type="auto"/>
            <w:tcBorders>
              <w:top w:val="nil"/>
              <w:left w:val="nil"/>
              <w:bottom w:val="nil"/>
              <w:right w:val="nil"/>
            </w:tcBorders>
            <w:shd w:val="clear" w:color="auto" w:fill="auto"/>
            <w:noWrap/>
            <w:vAlign w:val="center"/>
            <w:hideMark/>
          </w:tcPr>
          <w:p w14:paraId="4055D10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(-0.08, 67.88)</w:t>
            </w:r>
          </w:p>
        </w:tc>
        <w:tc>
          <w:tcPr>
            <w:tcW w:w="0" w:type="auto"/>
            <w:tcBorders>
              <w:top w:val="nil"/>
              <w:left w:val="nil"/>
              <w:bottom w:val="nil"/>
              <w:right w:val="single" w:sz="8" w:space="0" w:color="auto"/>
            </w:tcBorders>
            <w:shd w:val="clear" w:color="auto" w:fill="auto"/>
            <w:noWrap/>
            <w:vAlign w:val="center"/>
            <w:hideMark/>
          </w:tcPr>
          <w:p w14:paraId="3741BC5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(-0.07, 67.85)</w:t>
            </w:r>
          </w:p>
        </w:tc>
      </w:tr>
      <w:tr w:rsidR="002E567E" w:rsidRPr="002E567E" w14:paraId="5AD5A76C"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96EF4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2466073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2</w:t>
            </w:r>
          </w:p>
        </w:tc>
        <w:tc>
          <w:tcPr>
            <w:tcW w:w="0" w:type="auto"/>
            <w:tcBorders>
              <w:top w:val="nil"/>
              <w:left w:val="nil"/>
              <w:bottom w:val="nil"/>
              <w:right w:val="nil"/>
            </w:tcBorders>
            <w:shd w:val="clear" w:color="auto" w:fill="auto"/>
            <w:noWrap/>
            <w:vAlign w:val="center"/>
            <w:hideMark/>
          </w:tcPr>
          <w:p w14:paraId="792F274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(-0.04, 67.91)</w:t>
            </w:r>
          </w:p>
        </w:tc>
        <w:tc>
          <w:tcPr>
            <w:tcW w:w="0" w:type="auto"/>
            <w:tcBorders>
              <w:top w:val="nil"/>
              <w:left w:val="nil"/>
              <w:bottom w:val="nil"/>
              <w:right w:val="nil"/>
            </w:tcBorders>
            <w:shd w:val="clear" w:color="auto" w:fill="auto"/>
            <w:noWrap/>
            <w:vAlign w:val="center"/>
            <w:hideMark/>
          </w:tcPr>
          <w:p w14:paraId="21021939"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(-0.19, 67.86)</w:t>
            </w:r>
          </w:p>
        </w:tc>
        <w:tc>
          <w:tcPr>
            <w:tcW w:w="0" w:type="auto"/>
            <w:tcBorders>
              <w:top w:val="nil"/>
              <w:left w:val="nil"/>
              <w:bottom w:val="nil"/>
              <w:right w:val="nil"/>
            </w:tcBorders>
            <w:shd w:val="clear" w:color="auto" w:fill="auto"/>
            <w:noWrap/>
            <w:vAlign w:val="center"/>
            <w:hideMark/>
          </w:tcPr>
          <w:p w14:paraId="688E582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(0.01, 67.9)</w:t>
            </w:r>
          </w:p>
        </w:tc>
        <w:tc>
          <w:tcPr>
            <w:tcW w:w="0" w:type="auto"/>
            <w:tcBorders>
              <w:top w:val="nil"/>
              <w:left w:val="nil"/>
              <w:bottom w:val="nil"/>
              <w:right w:val="nil"/>
            </w:tcBorders>
            <w:shd w:val="clear" w:color="auto" w:fill="auto"/>
            <w:noWrap/>
            <w:vAlign w:val="center"/>
            <w:hideMark/>
          </w:tcPr>
          <w:p w14:paraId="37D7BB36"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(-0.19, 67.91)</w:t>
            </w:r>
          </w:p>
        </w:tc>
        <w:tc>
          <w:tcPr>
            <w:tcW w:w="0" w:type="auto"/>
            <w:tcBorders>
              <w:top w:val="nil"/>
              <w:left w:val="nil"/>
              <w:bottom w:val="nil"/>
              <w:right w:val="nil"/>
            </w:tcBorders>
            <w:shd w:val="clear" w:color="auto" w:fill="auto"/>
            <w:noWrap/>
            <w:vAlign w:val="center"/>
            <w:hideMark/>
          </w:tcPr>
          <w:p w14:paraId="6A35DC8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(-0.11, 67.99)</w:t>
            </w:r>
          </w:p>
        </w:tc>
        <w:tc>
          <w:tcPr>
            <w:tcW w:w="0" w:type="auto"/>
            <w:tcBorders>
              <w:top w:val="nil"/>
              <w:left w:val="nil"/>
              <w:bottom w:val="nil"/>
              <w:right w:val="single" w:sz="8" w:space="0" w:color="auto"/>
            </w:tcBorders>
            <w:shd w:val="clear" w:color="auto" w:fill="auto"/>
            <w:noWrap/>
            <w:vAlign w:val="center"/>
            <w:hideMark/>
          </w:tcPr>
          <w:p w14:paraId="2F5B40E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(0.02, 68.14)</w:t>
            </w:r>
          </w:p>
        </w:tc>
      </w:tr>
      <w:tr w:rsidR="002E567E" w:rsidRPr="002E567E" w14:paraId="2942A619"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58846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33DB431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3</w:t>
            </w:r>
          </w:p>
        </w:tc>
        <w:tc>
          <w:tcPr>
            <w:tcW w:w="0" w:type="auto"/>
            <w:tcBorders>
              <w:top w:val="nil"/>
              <w:left w:val="nil"/>
              <w:bottom w:val="nil"/>
              <w:right w:val="nil"/>
            </w:tcBorders>
            <w:shd w:val="clear" w:color="auto" w:fill="auto"/>
            <w:noWrap/>
            <w:vAlign w:val="center"/>
            <w:hideMark/>
          </w:tcPr>
          <w:p w14:paraId="7DA8EE7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(0.15, 84.37)</w:t>
            </w:r>
          </w:p>
        </w:tc>
        <w:tc>
          <w:tcPr>
            <w:tcW w:w="0" w:type="auto"/>
            <w:tcBorders>
              <w:top w:val="nil"/>
              <w:left w:val="nil"/>
              <w:bottom w:val="nil"/>
              <w:right w:val="nil"/>
            </w:tcBorders>
            <w:shd w:val="clear" w:color="auto" w:fill="auto"/>
            <w:noWrap/>
            <w:vAlign w:val="center"/>
            <w:hideMark/>
          </w:tcPr>
          <w:p w14:paraId="54D13EC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(0.2, 84.2)</w:t>
            </w:r>
          </w:p>
        </w:tc>
        <w:tc>
          <w:tcPr>
            <w:tcW w:w="0" w:type="auto"/>
            <w:tcBorders>
              <w:top w:val="nil"/>
              <w:left w:val="nil"/>
              <w:bottom w:val="nil"/>
              <w:right w:val="nil"/>
            </w:tcBorders>
            <w:shd w:val="clear" w:color="auto" w:fill="auto"/>
            <w:noWrap/>
            <w:vAlign w:val="center"/>
            <w:hideMark/>
          </w:tcPr>
          <w:p w14:paraId="7A61E90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(0.11, 84.23)</w:t>
            </w:r>
          </w:p>
        </w:tc>
        <w:tc>
          <w:tcPr>
            <w:tcW w:w="0" w:type="auto"/>
            <w:tcBorders>
              <w:top w:val="nil"/>
              <w:left w:val="nil"/>
              <w:bottom w:val="nil"/>
              <w:right w:val="nil"/>
            </w:tcBorders>
            <w:shd w:val="clear" w:color="auto" w:fill="auto"/>
            <w:noWrap/>
            <w:vAlign w:val="center"/>
            <w:hideMark/>
          </w:tcPr>
          <w:p w14:paraId="1934924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(0.09, 84.41)</w:t>
            </w:r>
          </w:p>
        </w:tc>
        <w:tc>
          <w:tcPr>
            <w:tcW w:w="0" w:type="auto"/>
            <w:tcBorders>
              <w:top w:val="nil"/>
              <w:left w:val="nil"/>
              <w:bottom w:val="nil"/>
              <w:right w:val="nil"/>
            </w:tcBorders>
            <w:shd w:val="clear" w:color="auto" w:fill="auto"/>
            <w:noWrap/>
            <w:vAlign w:val="center"/>
            <w:hideMark/>
          </w:tcPr>
          <w:p w14:paraId="10DB4E6F"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(0.14, 84.42)</w:t>
            </w:r>
          </w:p>
        </w:tc>
        <w:tc>
          <w:tcPr>
            <w:tcW w:w="0" w:type="auto"/>
            <w:tcBorders>
              <w:top w:val="nil"/>
              <w:left w:val="nil"/>
              <w:bottom w:val="nil"/>
              <w:right w:val="single" w:sz="8" w:space="0" w:color="auto"/>
            </w:tcBorders>
            <w:shd w:val="clear" w:color="auto" w:fill="auto"/>
            <w:noWrap/>
            <w:vAlign w:val="center"/>
            <w:hideMark/>
          </w:tcPr>
          <w:p w14:paraId="485CC01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(-0.23, 84.52)</w:t>
            </w:r>
          </w:p>
        </w:tc>
      </w:tr>
      <w:tr w:rsidR="002E567E" w:rsidRPr="002E567E" w14:paraId="6B8A045D"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0F50A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nil"/>
              <w:right w:val="nil"/>
            </w:tcBorders>
            <w:shd w:val="clear" w:color="000000" w:fill="BFBFBF"/>
            <w:noWrap/>
            <w:vAlign w:val="center"/>
            <w:hideMark/>
          </w:tcPr>
          <w:p w14:paraId="3194D7D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4</w:t>
            </w:r>
          </w:p>
        </w:tc>
        <w:tc>
          <w:tcPr>
            <w:tcW w:w="0" w:type="auto"/>
            <w:tcBorders>
              <w:top w:val="nil"/>
              <w:left w:val="nil"/>
              <w:bottom w:val="nil"/>
              <w:right w:val="nil"/>
            </w:tcBorders>
            <w:shd w:val="clear" w:color="auto" w:fill="auto"/>
            <w:noWrap/>
            <w:vAlign w:val="center"/>
            <w:hideMark/>
          </w:tcPr>
          <w:p w14:paraId="3628A15B"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(93.85, 97.48)</w:t>
            </w:r>
          </w:p>
        </w:tc>
        <w:tc>
          <w:tcPr>
            <w:tcW w:w="0" w:type="auto"/>
            <w:tcBorders>
              <w:top w:val="nil"/>
              <w:left w:val="nil"/>
              <w:bottom w:val="nil"/>
              <w:right w:val="nil"/>
            </w:tcBorders>
            <w:shd w:val="clear" w:color="auto" w:fill="auto"/>
            <w:noWrap/>
            <w:vAlign w:val="center"/>
            <w:hideMark/>
          </w:tcPr>
          <w:p w14:paraId="4FC2E28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(93.82, 97.44)</w:t>
            </w:r>
          </w:p>
        </w:tc>
        <w:tc>
          <w:tcPr>
            <w:tcW w:w="0" w:type="auto"/>
            <w:tcBorders>
              <w:top w:val="nil"/>
              <w:left w:val="nil"/>
              <w:bottom w:val="nil"/>
              <w:right w:val="nil"/>
            </w:tcBorders>
            <w:shd w:val="clear" w:color="auto" w:fill="auto"/>
            <w:noWrap/>
            <w:vAlign w:val="center"/>
            <w:hideMark/>
          </w:tcPr>
          <w:p w14:paraId="0278E695"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(93.82, 97.42)</w:t>
            </w:r>
          </w:p>
        </w:tc>
        <w:tc>
          <w:tcPr>
            <w:tcW w:w="0" w:type="auto"/>
            <w:tcBorders>
              <w:top w:val="nil"/>
              <w:left w:val="nil"/>
              <w:bottom w:val="nil"/>
              <w:right w:val="nil"/>
            </w:tcBorders>
            <w:shd w:val="clear" w:color="auto" w:fill="auto"/>
            <w:noWrap/>
            <w:vAlign w:val="center"/>
            <w:hideMark/>
          </w:tcPr>
          <w:p w14:paraId="73328292"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(93.83, 97.46)</w:t>
            </w:r>
          </w:p>
        </w:tc>
        <w:tc>
          <w:tcPr>
            <w:tcW w:w="0" w:type="auto"/>
            <w:tcBorders>
              <w:top w:val="nil"/>
              <w:left w:val="nil"/>
              <w:bottom w:val="nil"/>
              <w:right w:val="nil"/>
            </w:tcBorders>
            <w:shd w:val="clear" w:color="auto" w:fill="auto"/>
            <w:noWrap/>
            <w:vAlign w:val="center"/>
            <w:hideMark/>
          </w:tcPr>
          <w:p w14:paraId="73C80DD4"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(93.92, 97.48)</w:t>
            </w:r>
          </w:p>
        </w:tc>
        <w:tc>
          <w:tcPr>
            <w:tcW w:w="0" w:type="auto"/>
            <w:tcBorders>
              <w:top w:val="nil"/>
              <w:left w:val="nil"/>
              <w:bottom w:val="nil"/>
              <w:right w:val="single" w:sz="8" w:space="0" w:color="auto"/>
            </w:tcBorders>
            <w:shd w:val="clear" w:color="auto" w:fill="auto"/>
            <w:noWrap/>
            <w:vAlign w:val="center"/>
            <w:hideMark/>
          </w:tcPr>
          <w:p w14:paraId="5CC7796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(93.91, 97.73)</w:t>
            </w:r>
          </w:p>
        </w:tc>
      </w:tr>
      <w:tr w:rsidR="002E567E" w:rsidRPr="002E567E" w14:paraId="6781304D" w14:textId="77777777" w:rsidTr="002E567E">
        <w:trPr>
          <w:cantSplit/>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24389B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p>
        </w:tc>
        <w:tc>
          <w:tcPr>
            <w:tcW w:w="0" w:type="auto"/>
            <w:tcBorders>
              <w:top w:val="nil"/>
              <w:left w:val="nil"/>
              <w:bottom w:val="single" w:sz="8" w:space="0" w:color="auto"/>
              <w:right w:val="nil"/>
            </w:tcBorders>
            <w:shd w:val="clear" w:color="000000" w:fill="BFBFBF"/>
            <w:noWrap/>
            <w:vAlign w:val="center"/>
            <w:hideMark/>
          </w:tcPr>
          <w:p w14:paraId="24080CB3"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5</w:t>
            </w:r>
          </w:p>
        </w:tc>
        <w:tc>
          <w:tcPr>
            <w:tcW w:w="0" w:type="auto"/>
            <w:tcBorders>
              <w:top w:val="nil"/>
              <w:left w:val="nil"/>
              <w:bottom w:val="single" w:sz="8" w:space="0" w:color="auto"/>
              <w:right w:val="nil"/>
            </w:tcBorders>
            <w:shd w:val="clear" w:color="auto" w:fill="auto"/>
            <w:noWrap/>
            <w:vAlign w:val="center"/>
            <w:hideMark/>
          </w:tcPr>
          <w:p w14:paraId="63DBFE60"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(94.49, 97.93)</w:t>
            </w:r>
          </w:p>
        </w:tc>
        <w:tc>
          <w:tcPr>
            <w:tcW w:w="0" w:type="auto"/>
            <w:tcBorders>
              <w:top w:val="nil"/>
              <w:left w:val="nil"/>
              <w:bottom w:val="single" w:sz="8" w:space="0" w:color="auto"/>
              <w:right w:val="nil"/>
            </w:tcBorders>
            <w:shd w:val="clear" w:color="auto" w:fill="auto"/>
            <w:noWrap/>
            <w:vAlign w:val="center"/>
            <w:hideMark/>
          </w:tcPr>
          <w:p w14:paraId="09BA906E"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(94.1, 97.84)</w:t>
            </w:r>
          </w:p>
        </w:tc>
        <w:tc>
          <w:tcPr>
            <w:tcW w:w="0" w:type="auto"/>
            <w:tcBorders>
              <w:top w:val="nil"/>
              <w:left w:val="nil"/>
              <w:bottom w:val="single" w:sz="8" w:space="0" w:color="auto"/>
              <w:right w:val="nil"/>
            </w:tcBorders>
            <w:shd w:val="clear" w:color="auto" w:fill="auto"/>
            <w:noWrap/>
            <w:vAlign w:val="center"/>
            <w:hideMark/>
          </w:tcPr>
          <w:p w14:paraId="5543807C"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(94.05, 97.84)</w:t>
            </w:r>
          </w:p>
        </w:tc>
        <w:tc>
          <w:tcPr>
            <w:tcW w:w="0" w:type="auto"/>
            <w:tcBorders>
              <w:top w:val="nil"/>
              <w:left w:val="nil"/>
              <w:bottom w:val="single" w:sz="8" w:space="0" w:color="auto"/>
              <w:right w:val="nil"/>
            </w:tcBorders>
            <w:shd w:val="clear" w:color="auto" w:fill="auto"/>
            <w:noWrap/>
            <w:vAlign w:val="center"/>
            <w:hideMark/>
          </w:tcPr>
          <w:p w14:paraId="19A4FB8D"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(94.1, 97.86)</w:t>
            </w:r>
          </w:p>
        </w:tc>
        <w:tc>
          <w:tcPr>
            <w:tcW w:w="0" w:type="auto"/>
            <w:tcBorders>
              <w:top w:val="nil"/>
              <w:left w:val="nil"/>
              <w:bottom w:val="single" w:sz="8" w:space="0" w:color="auto"/>
              <w:right w:val="nil"/>
            </w:tcBorders>
            <w:shd w:val="clear" w:color="auto" w:fill="auto"/>
            <w:noWrap/>
            <w:vAlign w:val="center"/>
            <w:hideMark/>
          </w:tcPr>
          <w:p w14:paraId="69531647"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(94.89, 97.95)</w:t>
            </w:r>
          </w:p>
        </w:tc>
        <w:tc>
          <w:tcPr>
            <w:tcW w:w="0" w:type="auto"/>
            <w:tcBorders>
              <w:top w:val="nil"/>
              <w:left w:val="nil"/>
              <w:bottom w:val="single" w:sz="8" w:space="0" w:color="auto"/>
              <w:right w:val="single" w:sz="8" w:space="0" w:color="auto"/>
            </w:tcBorders>
            <w:shd w:val="clear" w:color="auto" w:fill="auto"/>
            <w:noWrap/>
            <w:vAlign w:val="center"/>
            <w:hideMark/>
          </w:tcPr>
          <w:p w14:paraId="338A9BA1" w14:textId="77777777" w:rsidR="002E567E" w:rsidRPr="002E567E" w:rsidRDefault="002E567E" w:rsidP="00C32B3F">
            <w:pPr>
              <w:autoSpaceDE/>
              <w:autoSpaceDN/>
              <w:adjustRightInd/>
              <w:spacing w:after="0"/>
              <w:jc w:val="center"/>
              <w:rPr>
                <w:rFonts w:ascii="Calibri" w:eastAsia="Times New Roman" w:hAnsi="Calibri" w:cs="Calibri"/>
                <w:color w:val="000000"/>
                <w:sz w:val="16"/>
                <w:szCs w:val="16"/>
              </w:rPr>
            </w:pPr>
            <w:r w:rsidRPr="002E567E">
              <w:rPr>
                <w:rFonts w:ascii="Calibri" w:eastAsia="Times New Roman" w:hAnsi="Calibri" w:cs="Calibri"/>
                <w:color w:val="000000"/>
                <w:sz w:val="16"/>
                <w:szCs w:val="16"/>
              </w:rPr>
              <w:t>(98.19, 98.14)</w:t>
            </w:r>
          </w:p>
        </w:tc>
      </w:tr>
    </w:tbl>
    <w:p w14:paraId="7B071FB6" w14:textId="77839B6D" w:rsidR="00660F34" w:rsidRDefault="00660F34" w:rsidP="00A41A75">
      <w:pPr>
        <w:spacing w:after="0"/>
        <w:rPr>
          <w:rFonts w:ascii="Calibri" w:eastAsia="Calibri" w:hAnsi="Calibri" w:cs="Calibri"/>
          <w:sz w:val="16"/>
          <w:szCs w:val="16"/>
        </w:rPr>
      </w:pPr>
    </w:p>
    <w:p w14:paraId="4466C2AA" w14:textId="77777777" w:rsidR="00E93F26" w:rsidRPr="00293A49" w:rsidRDefault="00E93F26" w:rsidP="00E93F26">
      <w:pPr>
        <w:spacing w:after="0"/>
        <w:rPr>
          <w:rFonts w:ascii="Calibri" w:eastAsia="Calibri" w:hAnsi="Calibri" w:cs="Calibri"/>
          <w:i/>
          <w:iCs/>
          <w:sz w:val="16"/>
          <w:szCs w:val="16"/>
        </w:rPr>
      </w:pPr>
      <w:r w:rsidRPr="00293A49">
        <w:rPr>
          <w:rFonts w:ascii="Calibri" w:eastAsia="Calibri" w:hAnsi="Calibri" w:cs="Calibri"/>
          <w:i/>
          <w:iCs/>
          <w:sz w:val="16"/>
          <w:szCs w:val="16"/>
          <w:vertAlign w:val="superscript"/>
        </w:rPr>
        <w:t>^</w:t>
      </w:r>
      <w:r w:rsidRPr="00293A49">
        <w:rPr>
          <w:rFonts w:ascii="Calibri" w:eastAsia="Calibri" w:hAnsi="Calibri" w:cs="Calibri"/>
          <w:i/>
          <w:iCs/>
          <w:sz w:val="16"/>
          <w:szCs w:val="16"/>
        </w:rPr>
        <w:t xml:space="preserve">Negative values in this table reflect higher </w:t>
      </w:r>
      <w:proofErr w:type="spellStart"/>
      <w:r w:rsidRPr="00293A49">
        <w:rPr>
          <w:rFonts w:ascii="Calibri" w:eastAsia="Calibri" w:hAnsi="Calibri" w:cs="Calibri"/>
          <w:i/>
          <w:iCs/>
          <w:sz w:val="16"/>
          <w:szCs w:val="16"/>
        </w:rPr>
        <w:t>SoPs</w:t>
      </w:r>
      <w:proofErr w:type="spellEnd"/>
      <w:r w:rsidRPr="00293A49">
        <w:rPr>
          <w:rFonts w:ascii="Calibri" w:eastAsia="Calibri" w:hAnsi="Calibri" w:cs="Calibri"/>
          <w:i/>
          <w:iCs/>
          <w:sz w:val="16"/>
          <w:szCs w:val="16"/>
        </w:rPr>
        <w:t xml:space="preserve"> allowing a reduction in mortality which increases the number of potential evacuation events.</w:t>
      </w:r>
    </w:p>
    <w:p w14:paraId="3546BE9D" w14:textId="52B36CB5" w:rsidR="00E93F26" w:rsidRDefault="00E93F26" w:rsidP="00E93F26">
      <w:pPr>
        <w:spacing w:after="0"/>
        <w:rPr>
          <w:rFonts w:ascii="Calibri" w:eastAsia="Calibri" w:hAnsi="Calibri" w:cs="Calibri"/>
          <w:i/>
          <w:iCs/>
          <w:sz w:val="16"/>
          <w:szCs w:val="16"/>
        </w:rPr>
      </w:pPr>
      <w:r w:rsidRPr="00293A49">
        <w:rPr>
          <w:rFonts w:ascii="Calibri" w:eastAsia="Calibri" w:hAnsi="Calibri" w:cs="Calibri"/>
          <w:i/>
          <w:iCs/>
          <w:sz w:val="16"/>
          <w:szCs w:val="16"/>
          <w:vertAlign w:val="superscript"/>
        </w:rPr>
        <w:t>#</w:t>
      </w:r>
      <w:r w:rsidRPr="00293A49">
        <w:rPr>
          <w:rFonts w:ascii="Calibri" w:eastAsia="Calibri" w:hAnsi="Calibri" w:cs="Calibri"/>
          <w:i/>
          <w:iCs/>
          <w:sz w:val="16"/>
          <w:szCs w:val="16"/>
        </w:rPr>
        <w:t>Negative values in this table are an artifact of how the lower bounds are calculated in the simulation.</w:t>
      </w:r>
      <w:r w:rsidR="00E67489">
        <w:rPr>
          <w:rFonts w:ascii="Calibri" w:eastAsia="Calibri" w:hAnsi="Calibri" w:cs="Calibri"/>
          <w:i/>
          <w:iCs/>
          <w:sz w:val="16"/>
          <w:szCs w:val="16"/>
        </w:rPr>
        <w:t xml:space="preserve"> </w:t>
      </w:r>
    </w:p>
    <w:p w14:paraId="0EEEABC6" w14:textId="77777777" w:rsidR="00E93F26" w:rsidRPr="009F1436" w:rsidRDefault="00E93F26" w:rsidP="00A41A75">
      <w:pPr>
        <w:spacing w:after="0"/>
        <w:rPr>
          <w:rFonts w:ascii="Calibri" w:eastAsia="Calibri" w:hAnsi="Calibri" w:cs="Calibri"/>
          <w:sz w:val="16"/>
          <w:szCs w:val="16"/>
        </w:rPr>
      </w:pPr>
    </w:p>
    <w:p w14:paraId="406800FB" w14:textId="687165FB" w:rsidR="000D2495" w:rsidRDefault="0033722E">
      <w:pPr>
        <w:rPr>
          <w:color w:val="auto"/>
        </w:rPr>
      </w:pPr>
      <w:r>
        <w:rPr>
          <w:color w:val="auto"/>
        </w:rPr>
        <w:fldChar w:fldCharType="begin"/>
      </w:r>
      <w:r>
        <w:rPr>
          <w:color w:val="auto"/>
        </w:rPr>
        <w:instrText xml:space="preserve"> REF _Ref101805973 \h </w:instrText>
      </w:r>
      <w:r>
        <w:rPr>
          <w:color w:val="auto"/>
        </w:rPr>
      </w:r>
      <w:r>
        <w:rPr>
          <w:color w:val="auto"/>
        </w:rPr>
        <w:fldChar w:fldCharType="separate"/>
      </w:r>
      <w:r>
        <w:t xml:space="preserve">Table </w:t>
      </w:r>
      <w:r>
        <w:rPr>
          <w:noProof/>
        </w:rPr>
        <w:t>3</w:t>
      </w:r>
      <w:r>
        <w:rPr>
          <w:color w:val="auto"/>
        </w:rPr>
        <w:fldChar w:fldCharType="end"/>
      </w:r>
      <w:r>
        <w:rPr>
          <w:color w:val="auto"/>
        </w:rPr>
        <w:t xml:space="preserve"> </w:t>
      </w:r>
      <w:r w:rsidR="00C44CDB">
        <w:rPr>
          <w:color w:val="auto"/>
        </w:rPr>
        <w:t xml:space="preserve">and 4 </w:t>
      </w:r>
      <w:r w:rsidR="005A3278">
        <w:rPr>
          <w:color w:val="auto"/>
        </w:rPr>
        <w:t>show</w:t>
      </w:r>
      <w:r w:rsidR="00811BF7">
        <w:rPr>
          <w:color w:val="auto"/>
        </w:rPr>
        <w:t xml:space="preserve"> the</w:t>
      </w:r>
      <w:r w:rsidR="005A3278">
        <w:rPr>
          <w:color w:val="auto"/>
        </w:rPr>
        <w:t xml:space="preserve"> results</w:t>
      </w:r>
      <w:r w:rsidR="00811BF7">
        <w:rPr>
          <w:color w:val="auto"/>
        </w:rPr>
        <w:t xml:space="preserve"> of a computational simulation using preliminary data from NASA’s IMPACT project.</w:t>
      </w:r>
      <w:r w:rsidR="005A3278">
        <w:rPr>
          <w:color w:val="auto"/>
        </w:rPr>
        <w:t xml:space="preserve"> </w:t>
      </w:r>
      <w:r w:rsidR="00811BF7">
        <w:rPr>
          <w:color w:val="auto"/>
        </w:rPr>
        <w:t>IMPACT calculates 3 types of outcomes;</w:t>
      </w:r>
      <w:r w:rsidR="00A0247D">
        <w:rPr>
          <w:color w:val="auto"/>
        </w:rPr>
        <w:t xml:space="preserve"> Task Time Lost (TTL), Return to Definitive Care (RTDC) i.e., evacuation</w:t>
      </w:r>
      <w:r w:rsidR="00811BF7">
        <w:rPr>
          <w:color w:val="auto"/>
        </w:rPr>
        <w:t>,</w:t>
      </w:r>
      <w:r w:rsidR="00A0247D">
        <w:rPr>
          <w:color w:val="auto"/>
        </w:rPr>
        <w:t xml:space="preserve"> and Loss of Crew Life (LOCL)</w:t>
      </w:r>
      <w:r w:rsidR="004860F5">
        <w:rPr>
          <w:color w:val="auto"/>
        </w:rPr>
        <w:t>. T</w:t>
      </w:r>
      <w:r w:rsidR="00DA7FFC">
        <w:rPr>
          <w:color w:val="auto"/>
        </w:rPr>
        <w:t xml:space="preserve">he </w:t>
      </w:r>
      <w:r w:rsidR="000D2495">
        <w:rPr>
          <w:color w:val="auto"/>
        </w:rPr>
        <w:t>t</w:t>
      </w:r>
      <w:r w:rsidR="00DA7FFC">
        <w:rPr>
          <w:color w:val="auto"/>
        </w:rPr>
        <w:t xml:space="preserve">ables show how these mission outcomes vary by on board cognitive and procedure execution </w:t>
      </w:r>
      <w:r w:rsidR="004860F5">
        <w:rPr>
          <w:color w:val="auto"/>
        </w:rPr>
        <w:t xml:space="preserve">influenced by </w:t>
      </w:r>
      <w:r w:rsidR="00DA7FFC">
        <w:rPr>
          <w:color w:val="auto"/>
        </w:rPr>
        <w:t>SoP</w:t>
      </w:r>
      <w:r w:rsidR="004860F5">
        <w:rPr>
          <w:color w:val="auto"/>
        </w:rPr>
        <w:t xml:space="preserve"> levels</w:t>
      </w:r>
      <w:r w:rsidR="005A3278">
        <w:rPr>
          <w:color w:val="auto"/>
        </w:rPr>
        <w:t>.</w:t>
      </w:r>
      <w:r w:rsidR="00811BF7">
        <w:rPr>
          <w:color w:val="auto"/>
        </w:rPr>
        <w:t xml:space="preserve"> </w:t>
      </w:r>
      <w:r w:rsidR="00F54D1D">
        <w:rPr>
          <w:color w:val="auto"/>
        </w:rPr>
        <w:t xml:space="preserve">Table 3 </w:t>
      </w:r>
      <w:r w:rsidR="00E67489">
        <w:rPr>
          <w:color w:val="auto"/>
        </w:rPr>
        <w:t>shows the absolute risk</w:t>
      </w:r>
      <w:r w:rsidR="00DA7FFC">
        <w:rPr>
          <w:color w:val="auto"/>
        </w:rPr>
        <w:t xml:space="preserve"> from the simulation</w:t>
      </w:r>
      <w:r w:rsidR="00E67489">
        <w:rPr>
          <w:color w:val="auto"/>
        </w:rPr>
        <w:t xml:space="preserve"> </w:t>
      </w:r>
      <w:r w:rsidR="00811BF7">
        <w:rPr>
          <w:color w:val="auto"/>
        </w:rPr>
        <w:t xml:space="preserve">reported in hours of time lost </w:t>
      </w:r>
      <w:r w:rsidR="004860F5">
        <w:rPr>
          <w:color w:val="auto"/>
        </w:rPr>
        <w:t>from</w:t>
      </w:r>
      <w:r w:rsidR="00811BF7">
        <w:rPr>
          <w:color w:val="auto"/>
        </w:rPr>
        <w:t xml:space="preserve"> illness</w:t>
      </w:r>
      <w:r w:rsidR="00E67489">
        <w:rPr>
          <w:color w:val="auto"/>
        </w:rPr>
        <w:t xml:space="preserve"> for TTL </w:t>
      </w:r>
      <w:r w:rsidR="00DA7FFC">
        <w:rPr>
          <w:color w:val="auto"/>
        </w:rPr>
        <w:t>and</w:t>
      </w:r>
      <w:r w:rsidR="00DA7FFC" w:rsidRPr="00DA7FFC">
        <w:rPr>
          <w:color w:val="auto"/>
        </w:rPr>
        <w:t xml:space="preserve"> </w:t>
      </w:r>
      <w:r w:rsidR="004860F5">
        <w:rPr>
          <w:color w:val="auto"/>
        </w:rPr>
        <w:t xml:space="preserve">the </w:t>
      </w:r>
      <w:r w:rsidR="00DA7FFC">
        <w:rPr>
          <w:color w:val="auto"/>
        </w:rPr>
        <w:t>number of occurrences for RTDC and LOCL</w:t>
      </w:r>
      <w:r w:rsidR="00084E8A">
        <w:rPr>
          <w:color w:val="auto"/>
        </w:rPr>
        <w:t xml:space="preserve"> while </w:t>
      </w:r>
      <w:r w:rsidR="004860F5">
        <w:rPr>
          <w:color w:val="auto"/>
        </w:rPr>
        <w:t>t</w:t>
      </w:r>
      <w:r w:rsidR="00F54D1D">
        <w:rPr>
          <w:color w:val="auto"/>
        </w:rPr>
        <w:t>able 4 dis</w:t>
      </w:r>
      <w:r w:rsidR="00DA7FFC">
        <w:rPr>
          <w:color w:val="auto"/>
        </w:rPr>
        <w:t>p</w:t>
      </w:r>
      <w:r w:rsidR="00F54D1D">
        <w:rPr>
          <w:color w:val="auto"/>
        </w:rPr>
        <w:t>lays th</w:t>
      </w:r>
      <w:r w:rsidR="00E67489">
        <w:rPr>
          <w:color w:val="auto"/>
        </w:rPr>
        <w:t>e relative risk reduction</w:t>
      </w:r>
      <w:r w:rsidR="004860F5">
        <w:rPr>
          <w:color w:val="auto"/>
        </w:rPr>
        <w:t xml:space="preserve"> </w:t>
      </w:r>
      <w:r w:rsidR="00DA7FFC">
        <w:rPr>
          <w:color w:val="auto"/>
        </w:rPr>
        <w:t>for these same metrics</w:t>
      </w:r>
      <w:r w:rsidR="00714566">
        <w:rPr>
          <w:color w:val="auto"/>
        </w:rPr>
        <w:t xml:space="preserve"> compared to C-SoP and P-SoP equal to zero</w:t>
      </w:r>
      <w:r w:rsidR="00F54D1D">
        <w:rPr>
          <w:color w:val="auto"/>
        </w:rPr>
        <w:t>.</w:t>
      </w:r>
      <w:r w:rsidR="00084E8A">
        <w:rPr>
          <w:color w:val="auto"/>
        </w:rPr>
        <w:t xml:space="preserve"> </w:t>
      </w:r>
      <w:r w:rsidR="000D2495">
        <w:rPr>
          <w:color w:val="auto"/>
        </w:rPr>
        <w:t>Results are averaged across 200 simulation runs.</w:t>
      </w:r>
    </w:p>
    <w:p w14:paraId="3777BF66" w14:textId="3F29A1D9" w:rsidR="006729B2" w:rsidRDefault="00084E8A">
      <w:pPr>
        <w:rPr>
          <w:color w:val="auto"/>
        </w:rPr>
      </w:pPr>
      <w:r>
        <w:rPr>
          <w:color w:val="auto"/>
        </w:rPr>
        <w:t xml:space="preserve">There are 2 numbers reported for each scenario which represent a low end and </w:t>
      </w:r>
      <w:proofErr w:type="gramStart"/>
      <w:r>
        <w:rPr>
          <w:color w:val="auto"/>
        </w:rPr>
        <w:t>high end</w:t>
      </w:r>
      <w:proofErr w:type="gramEnd"/>
      <w:r>
        <w:rPr>
          <w:color w:val="auto"/>
        </w:rPr>
        <w:t xml:space="preserve"> estimation for mission risk. The </w:t>
      </w:r>
      <w:proofErr w:type="gramStart"/>
      <w:r w:rsidR="000D2495">
        <w:rPr>
          <w:color w:val="auto"/>
        </w:rPr>
        <w:t>high</w:t>
      </w:r>
      <w:r>
        <w:rPr>
          <w:color w:val="auto"/>
        </w:rPr>
        <w:t xml:space="preserve"> end</w:t>
      </w:r>
      <w:proofErr w:type="gramEnd"/>
      <w:r>
        <w:rPr>
          <w:color w:val="auto"/>
        </w:rPr>
        <w:t xml:space="preserve"> risk was calculated using an absolute method. This method assumed that if the </w:t>
      </w:r>
      <w:proofErr w:type="gramStart"/>
      <w:r>
        <w:rPr>
          <w:color w:val="auto"/>
        </w:rPr>
        <w:t>on board</w:t>
      </w:r>
      <w:proofErr w:type="gramEnd"/>
      <w:r>
        <w:rPr>
          <w:color w:val="auto"/>
        </w:rPr>
        <w:t xml:space="preserve"> SoP was lower than the highest SoP required for a given condition no </w:t>
      </w:r>
      <w:r w:rsidR="0000161D">
        <w:rPr>
          <w:color w:val="auto"/>
        </w:rPr>
        <w:t xml:space="preserve">diagnosis </w:t>
      </w:r>
      <w:r w:rsidR="00714566">
        <w:rPr>
          <w:color w:val="auto"/>
        </w:rPr>
        <w:t>or</w:t>
      </w:r>
      <w:r w:rsidR="0000161D">
        <w:rPr>
          <w:color w:val="auto"/>
        </w:rPr>
        <w:t xml:space="preserve"> </w:t>
      </w:r>
      <w:r>
        <w:rPr>
          <w:color w:val="auto"/>
        </w:rPr>
        <w:t xml:space="preserve">treatment could be given and </w:t>
      </w:r>
      <w:r w:rsidR="00714566">
        <w:rPr>
          <w:color w:val="auto"/>
        </w:rPr>
        <w:t xml:space="preserve">hence </w:t>
      </w:r>
      <w:r>
        <w:rPr>
          <w:color w:val="auto"/>
        </w:rPr>
        <w:t xml:space="preserve">no treatment benefit would occur. The </w:t>
      </w:r>
      <w:proofErr w:type="gramStart"/>
      <w:r w:rsidR="000D2495">
        <w:rPr>
          <w:color w:val="auto"/>
        </w:rPr>
        <w:t>low</w:t>
      </w:r>
      <w:r>
        <w:rPr>
          <w:color w:val="auto"/>
        </w:rPr>
        <w:t xml:space="preserve"> end</w:t>
      </w:r>
      <w:proofErr w:type="gramEnd"/>
      <w:r>
        <w:rPr>
          <w:color w:val="auto"/>
        </w:rPr>
        <w:t xml:space="preserve"> method assumed tha</w:t>
      </w:r>
      <w:r w:rsidR="0000161D">
        <w:rPr>
          <w:color w:val="auto"/>
        </w:rPr>
        <w:t xml:space="preserve">t for a given condition all diagnostic and treatments could be given up to the maximum on board SoP. This means that if the </w:t>
      </w:r>
      <w:proofErr w:type="gramStart"/>
      <w:r w:rsidR="0000161D">
        <w:rPr>
          <w:color w:val="auto"/>
        </w:rPr>
        <w:t>on board</w:t>
      </w:r>
      <w:proofErr w:type="gramEnd"/>
      <w:r w:rsidR="0000161D">
        <w:rPr>
          <w:color w:val="auto"/>
        </w:rPr>
        <w:t xml:space="preserve"> SoP is 4 and a condition requires 10 capabilities to diagnose and treat with 9 being SoP 3 and 1 being SoP</w:t>
      </w:r>
      <w:r w:rsidR="00714566">
        <w:rPr>
          <w:color w:val="auto"/>
        </w:rPr>
        <w:t xml:space="preserve"> </w:t>
      </w:r>
      <w:r w:rsidR="0000161D">
        <w:rPr>
          <w:color w:val="auto"/>
        </w:rPr>
        <w:t>5, only the SoP</w:t>
      </w:r>
      <w:r w:rsidR="00714566">
        <w:rPr>
          <w:color w:val="auto"/>
        </w:rPr>
        <w:t xml:space="preserve"> </w:t>
      </w:r>
      <w:r w:rsidR="0000161D">
        <w:rPr>
          <w:color w:val="auto"/>
        </w:rPr>
        <w:t xml:space="preserve">5 capability could not be performed. In other </w:t>
      </w:r>
      <w:proofErr w:type="gramStart"/>
      <w:r w:rsidR="0000161D">
        <w:rPr>
          <w:color w:val="auto"/>
        </w:rPr>
        <w:t>words</w:t>
      </w:r>
      <w:proofErr w:type="gramEnd"/>
      <w:r w:rsidR="0000161D">
        <w:rPr>
          <w:color w:val="auto"/>
        </w:rPr>
        <w:t xml:space="preserve"> 9 out of 10 capabilities </w:t>
      </w:r>
      <w:r w:rsidR="0000161D">
        <w:rPr>
          <w:i/>
          <w:iCs/>
          <w:color w:val="auto"/>
        </w:rPr>
        <w:t>could</w:t>
      </w:r>
      <w:r w:rsidR="0000161D">
        <w:rPr>
          <w:color w:val="auto"/>
        </w:rPr>
        <w:t xml:space="preserve"> be performed and the condition would receive a partial treatment benefit from them. While this is difficult to interpret clinically</w:t>
      </w:r>
      <w:r w:rsidR="000D2495">
        <w:rPr>
          <w:color w:val="auto"/>
        </w:rPr>
        <w:t>,</w:t>
      </w:r>
      <w:r w:rsidR="0000161D">
        <w:rPr>
          <w:color w:val="auto"/>
        </w:rPr>
        <w:t xml:space="preserve"> it provides a reasonable best case treatment scenario </w:t>
      </w:r>
      <w:r w:rsidR="000D2495">
        <w:rPr>
          <w:color w:val="auto"/>
        </w:rPr>
        <w:t xml:space="preserve">on which to base a </w:t>
      </w:r>
      <w:proofErr w:type="gramStart"/>
      <w:r w:rsidR="000D2495">
        <w:rPr>
          <w:color w:val="auto"/>
        </w:rPr>
        <w:t>low end</w:t>
      </w:r>
      <w:proofErr w:type="gramEnd"/>
      <w:r w:rsidR="000D2495">
        <w:rPr>
          <w:color w:val="auto"/>
        </w:rPr>
        <w:t xml:space="preserve"> risk estimate.</w:t>
      </w:r>
      <w:r w:rsidR="00457280">
        <w:rPr>
          <w:color w:val="auto"/>
        </w:rPr>
        <w:t xml:space="preserve"> </w:t>
      </w:r>
    </w:p>
    <w:p w14:paraId="1C24C100" w14:textId="264AE7E1" w:rsidR="006729B2" w:rsidRDefault="006729B2">
      <w:pPr>
        <w:rPr>
          <w:color w:val="auto"/>
        </w:rPr>
      </w:pPr>
      <w:r>
        <w:rPr>
          <w:color w:val="auto"/>
        </w:rPr>
        <w:t xml:space="preserve">For example, </w:t>
      </w:r>
      <w:r w:rsidR="000D2495">
        <w:rPr>
          <w:color w:val="auto"/>
        </w:rPr>
        <w:t>for the LOCL section of Table 3, the C-SoP</w:t>
      </w:r>
      <w:r w:rsidR="00F434B5">
        <w:rPr>
          <w:color w:val="auto"/>
        </w:rPr>
        <w:t xml:space="preserve"> 0/</w:t>
      </w:r>
      <w:r w:rsidR="000D2495">
        <w:rPr>
          <w:color w:val="auto"/>
        </w:rPr>
        <w:t>P-SoP</w:t>
      </w:r>
      <w:r w:rsidR="00F434B5">
        <w:rPr>
          <w:color w:val="auto"/>
        </w:rPr>
        <w:t xml:space="preserve"> 0</w:t>
      </w:r>
      <w:r w:rsidR="000D2495">
        <w:rPr>
          <w:color w:val="auto"/>
        </w:rPr>
        <w:t xml:space="preserve"> scenario represents a hypothetical scenario in which no treatment can be rendered for any of the 120 conditions included in the simulated mission. In this case both the absolute treatment method and the partial treatment method </w:t>
      </w:r>
      <w:r w:rsidR="00F434B5">
        <w:rPr>
          <w:color w:val="auto"/>
        </w:rPr>
        <w:t xml:space="preserve">demonstrate that 2.41 deaths occurred in the simulation. When the </w:t>
      </w:r>
      <w:proofErr w:type="gramStart"/>
      <w:r w:rsidR="00F434B5">
        <w:rPr>
          <w:color w:val="auto"/>
        </w:rPr>
        <w:t>on board</w:t>
      </w:r>
      <w:proofErr w:type="gramEnd"/>
      <w:r w:rsidR="00F434B5">
        <w:rPr>
          <w:color w:val="auto"/>
        </w:rPr>
        <w:t xml:space="preserve"> SoP is increased to </w:t>
      </w:r>
      <w:r>
        <w:rPr>
          <w:color w:val="auto"/>
        </w:rPr>
        <w:t>a C-SoP of 1 and P-SoP of 1</w:t>
      </w:r>
      <w:r w:rsidR="00F434B5">
        <w:rPr>
          <w:color w:val="auto"/>
        </w:rPr>
        <w:t xml:space="preserve"> representing the terrestrial EMT-B training the low end risk drops to 0.78 deaths while the high end remains at 2.41. SoP-1 is roughly equivalent to the ISS CMO training today. </w:t>
      </w:r>
      <w:r w:rsidR="00714566">
        <w:rPr>
          <w:color w:val="auto"/>
        </w:rPr>
        <w:t>For</w:t>
      </w:r>
      <w:r w:rsidR="00F434B5">
        <w:rPr>
          <w:color w:val="auto"/>
        </w:rPr>
        <w:t xml:space="preserve"> the optimal situation in which on board C-SoP/P-SoP both equal 5 </w:t>
      </w:r>
      <w:r w:rsidR="00B12C27">
        <w:rPr>
          <w:color w:val="auto"/>
        </w:rPr>
        <w:t xml:space="preserve">all conditions are fully treated and both absolute and partial treatment estimations drop to 0.04 deaths. This represents a relative risk reduction for the C-SoP/P-SoP 1 scenario between 0 and 68% and for the C-SoP/P-SoP 5 scenario of more than 98% over the fully untreated scenario. This means that </w:t>
      </w:r>
      <w:r>
        <w:rPr>
          <w:color w:val="auto"/>
        </w:rPr>
        <w:t>if CDSS can increase</w:t>
      </w:r>
      <w:r w:rsidR="00B12C27">
        <w:rPr>
          <w:color w:val="auto"/>
        </w:rPr>
        <w:t xml:space="preserve"> </w:t>
      </w:r>
      <w:proofErr w:type="gramStart"/>
      <w:r w:rsidR="00B12C27">
        <w:rPr>
          <w:color w:val="auto"/>
        </w:rPr>
        <w:t>an</w:t>
      </w:r>
      <w:proofErr w:type="gramEnd"/>
      <w:r w:rsidR="00B12C27">
        <w:rPr>
          <w:color w:val="auto"/>
        </w:rPr>
        <w:t xml:space="preserve"> SoP 1 provider to</w:t>
      </w:r>
      <w:r>
        <w:rPr>
          <w:color w:val="auto"/>
        </w:rPr>
        <w:t xml:space="preserve"> </w:t>
      </w:r>
      <w:r w:rsidR="00B12C27">
        <w:rPr>
          <w:color w:val="auto"/>
        </w:rPr>
        <w:t xml:space="preserve">SoP </w:t>
      </w:r>
      <w:r>
        <w:rPr>
          <w:color w:val="auto"/>
        </w:rPr>
        <w:t xml:space="preserve">5 </w:t>
      </w:r>
      <w:r w:rsidR="00FE111E">
        <w:rPr>
          <w:color w:val="auto"/>
        </w:rPr>
        <w:t>the relative mission risk reduction likely lies between 34% and 98%.</w:t>
      </w:r>
    </w:p>
    <w:p w14:paraId="14F91021" w14:textId="0A7663F7" w:rsidR="00A41A75" w:rsidRPr="009E02B5" w:rsidRDefault="00A0247D">
      <w:pPr>
        <w:rPr>
          <w:color w:val="auto"/>
        </w:rPr>
      </w:pPr>
      <w:r>
        <w:rPr>
          <w:color w:val="auto"/>
        </w:rPr>
        <w:t xml:space="preserve"> This study does not specify the increase in SoP when a CDSS is used. However it can be seen that the results illustrate increasing SoP reduces the risk of LOCL, </w:t>
      </w:r>
      <w:proofErr w:type="gramStart"/>
      <w:r>
        <w:rPr>
          <w:color w:val="auto"/>
        </w:rPr>
        <w:t>RTDC  and</w:t>
      </w:r>
      <w:proofErr w:type="gramEnd"/>
      <w:r>
        <w:rPr>
          <w:color w:val="auto"/>
        </w:rPr>
        <w:t xml:space="preserve"> TTL, i.e., all mission criteria improve in a beneficial direction. The results show SoP levels for cognitive skills ha</w:t>
      </w:r>
      <w:r w:rsidR="00F92BEC">
        <w:rPr>
          <w:color w:val="auto"/>
        </w:rPr>
        <w:t>ve</w:t>
      </w:r>
      <w:r>
        <w:rPr>
          <w:color w:val="auto"/>
        </w:rPr>
        <w:t xml:space="preserve"> a greater effect on outcomes than procedural skills.</w:t>
      </w:r>
      <w:r w:rsidR="00714566">
        <w:rPr>
          <w:color w:val="auto"/>
        </w:rPr>
        <w:t xml:space="preserve"> </w:t>
      </w:r>
      <w:r w:rsidR="003C3294">
        <w:rPr>
          <w:color w:val="auto"/>
        </w:rPr>
        <w:t xml:space="preserve">The results of this analysis </w:t>
      </w:r>
      <w:proofErr w:type="gramStart"/>
      <w:r w:rsidR="003C3294">
        <w:rPr>
          <w:color w:val="auto"/>
        </w:rPr>
        <w:t>is</w:t>
      </w:r>
      <w:proofErr w:type="gramEnd"/>
      <w:r w:rsidR="003C3294">
        <w:rPr>
          <w:color w:val="auto"/>
        </w:rPr>
        <w:t xml:space="preserve"> for illustrative purposes show</w:t>
      </w:r>
      <w:r w:rsidR="007C1D94">
        <w:rPr>
          <w:color w:val="auto"/>
        </w:rPr>
        <w:t>ing</w:t>
      </w:r>
      <w:r w:rsidR="003C3294">
        <w:rPr>
          <w:color w:val="auto"/>
        </w:rPr>
        <w:t xml:space="preserve"> the maximum be</w:t>
      </w:r>
      <w:r w:rsidR="00D76EE1">
        <w:rPr>
          <w:color w:val="auto"/>
        </w:rPr>
        <w:t>n</w:t>
      </w:r>
      <w:r w:rsidR="003C3294">
        <w:rPr>
          <w:color w:val="auto"/>
        </w:rPr>
        <w:t xml:space="preserve">efit </w:t>
      </w:r>
      <w:r w:rsidR="005A3278">
        <w:rPr>
          <w:color w:val="auto"/>
        </w:rPr>
        <w:t>relative to</w:t>
      </w:r>
      <w:r w:rsidR="003C3294">
        <w:rPr>
          <w:color w:val="auto"/>
        </w:rPr>
        <w:t xml:space="preserve"> a crew member with no medical training</w:t>
      </w:r>
      <w:r w:rsidR="00EF2874">
        <w:rPr>
          <w:color w:val="auto"/>
        </w:rPr>
        <w:t>;</w:t>
      </w:r>
      <w:r w:rsidR="003C3294">
        <w:rPr>
          <w:color w:val="auto"/>
        </w:rPr>
        <w:t xml:space="preserve"> </w:t>
      </w:r>
      <w:r w:rsidR="007C1D94">
        <w:rPr>
          <w:color w:val="auto"/>
        </w:rPr>
        <w:t>however</w:t>
      </w:r>
      <w:r w:rsidR="00EF2874">
        <w:rPr>
          <w:color w:val="auto"/>
        </w:rPr>
        <w:t>, note</w:t>
      </w:r>
      <w:r w:rsidR="007C1D94">
        <w:rPr>
          <w:color w:val="auto"/>
        </w:rPr>
        <w:t xml:space="preserve"> that </w:t>
      </w:r>
      <w:r w:rsidR="003C3294">
        <w:rPr>
          <w:color w:val="auto"/>
        </w:rPr>
        <w:t xml:space="preserve">it is likely that SoP will be greater than this in real missions. </w:t>
      </w:r>
      <w:r>
        <w:rPr>
          <w:color w:val="auto"/>
        </w:rPr>
        <w:t>Results</w:t>
      </w:r>
      <w:r w:rsidR="003C3294">
        <w:rPr>
          <w:color w:val="auto"/>
        </w:rPr>
        <w:t xml:space="preserve"> sho</w:t>
      </w:r>
      <w:r w:rsidR="007C1D94">
        <w:rPr>
          <w:color w:val="auto"/>
        </w:rPr>
        <w:t>w</w:t>
      </w:r>
      <w:r w:rsidR="003C3294">
        <w:rPr>
          <w:color w:val="auto"/>
        </w:rPr>
        <w:t xml:space="preserve"> th</w:t>
      </w:r>
      <w:r w:rsidR="007C1D94">
        <w:rPr>
          <w:color w:val="auto"/>
        </w:rPr>
        <w:t>at</w:t>
      </w:r>
      <w:r w:rsidR="003C3294">
        <w:rPr>
          <w:color w:val="auto"/>
        </w:rPr>
        <w:t xml:space="preserve"> TTL can be improved by 97% if a CDSS improves b</w:t>
      </w:r>
      <w:r w:rsidR="007C1D94">
        <w:rPr>
          <w:color w:val="auto"/>
        </w:rPr>
        <w:t>o</w:t>
      </w:r>
      <w:r w:rsidR="003C3294">
        <w:rPr>
          <w:color w:val="auto"/>
        </w:rPr>
        <w:t xml:space="preserve">th cognitive and procedural SoP to a level of 5. </w:t>
      </w:r>
      <w:r w:rsidR="007C1D94">
        <w:rPr>
          <w:color w:val="auto"/>
        </w:rPr>
        <w:t>An interesting result from this analysis show</w:t>
      </w:r>
      <w:r w:rsidR="00050A2B">
        <w:rPr>
          <w:color w:val="auto"/>
        </w:rPr>
        <w:t>s</w:t>
      </w:r>
      <w:r w:rsidR="007C1D94">
        <w:rPr>
          <w:color w:val="auto"/>
        </w:rPr>
        <w:t xml:space="preserve"> that </w:t>
      </w:r>
      <w:r w:rsidR="00DC6CFE">
        <w:rPr>
          <w:color w:val="auto"/>
        </w:rPr>
        <w:t xml:space="preserve">Procedural </w:t>
      </w:r>
      <w:r w:rsidR="007C1D94">
        <w:rPr>
          <w:color w:val="auto"/>
        </w:rPr>
        <w:t>SoP</w:t>
      </w:r>
      <w:r w:rsidR="005A3278">
        <w:rPr>
          <w:color w:val="auto"/>
        </w:rPr>
        <w:t xml:space="preserve"> had</w:t>
      </w:r>
      <w:r w:rsidR="007C1D94">
        <w:rPr>
          <w:color w:val="auto"/>
        </w:rPr>
        <w:t xml:space="preserve"> little </w:t>
      </w:r>
      <w:r w:rsidR="00834849">
        <w:rPr>
          <w:color w:val="auto"/>
        </w:rPr>
        <w:t>effect</w:t>
      </w:r>
      <w:r w:rsidR="007C1D94">
        <w:rPr>
          <w:color w:val="auto"/>
        </w:rPr>
        <w:t xml:space="preserve"> on outcome and Cognitive SoP need</w:t>
      </w:r>
      <w:r w:rsidR="00EA3843">
        <w:rPr>
          <w:color w:val="auto"/>
        </w:rPr>
        <w:t>s</w:t>
      </w:r>
      <w:r w:rsidR="007C1D94">
        <w:rPr>
          <w:color w:val="auto"/>
        </w:rPr>
        <w:t xml:space="preserve"> to be greater than 3 to </w:t>
      </w:r>
      <w:r w:rsidR="004A6956">
        <w:rPr>
          <w:color w:val="auto"/>
        </w:rPr>
        <w:t>improve mission para</w:t>
      </w:r>
      <w:r w:rsidR="00C1289D">
        <w:rPr>
          <w:color w:val="auto"/>
        </w:rPr>
        <w:t>me</w:t>
      </w:r>
      <w:r w:rsidR="004A6956">
        <w:rPr>
          <w:color w:val="auto"/>
        </w:rPr>
        <w:t xml:space="preserve">ters. Cognitive SoP = 5 will most likely require </w:t>
      </w:r>
      <w:r w:rsidR="007C1D94">
        <w:rPr>
          <w:color w:val="auto"/>
        </w:rPr>
        <w:t>a CDSS given restrictions on training and the wide medical covera</w:t>
      </w:r>
      <w:r w:rsidR="004A6956">
        <w:rPr>
          <w:color w:val="auto"/>
        </w:rPr>
        <w:t>g</w:t>
      </w:r>
      <w:r w:rsidR="007C1D94">
        <w:rPr>
          <w:color w:val="auto"/>
        </w:rPr>
        <w:t>e of likely conditions.</w:t>
      </w:r>
      <w:r w:rsidRPr="00A0247D">
        <w:rPr>
          <w:color w:val="auto"/>
        </w:rPr>
        <w:t xml:space="preserve"> </w:t>
      </w:r>
      <w:r>
        <w:rPr>
          <w:color w:val="auto"/>
        </w:rPr>
        <w:t xml:space="preserve">Although this method cannot predict actual mission performance, it can provide an estimation of risk and the differences between SoP levels suggests that a high SoP </w:t>
      </w:r>
      <w:r>
        <w:rPr>
          <w:color w:val="auto"/>
        </w:rPr>
        <w:lastRenderedPageBreak/>
        <w:t>crew will be better equipped to reduce mission medical risk</w:t>
      </w:r>
      <w:r>
        <w:rPr>
          <w:rFonts w:ascii="Calibri" w:hAnsi="Calibri" w:cs="Calibri"/>
          <w:color w:val="auto"/>
        </w:rPr>
        <w:t>—</w:t>
      </w:r>
      <w:r>
        <w:rPr>
          <w:color w:val="auto"/>
        </w:rPr>
        <w:t xml:space="preserve">regardless of whether this increased SoP is due to human training or automated decision support. </w:t>
      </w:r>
    </w:p>
    <w:sectPr w:rsidR="00A41A75" w:rsidRPr="009E02B5" w:rsidSect="008A6EE3">
      <w:headerReference w:type="default" r:id="rId9"/>
      <w:headerReference w:type="first" r:id="rId10"/>
      <w:footerReference w:type="first" r:id="rId11"/>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DF663" w14:textId="77777777" w:rsidR="00096076" w:rsidRDefault="00096076" w:rsidP="002C3B40">
      <w:r>
        <w:separator/>
      </w:r>
    </w:p>
  </w:endnote>
  <w:endnote w:type="continuationSeparator" w:id="0">
    <w:p w14:paraId="0C77FDB0" w14:textId="77777777" w:rsidR="00096076" w:rsidRDefault="00096076" w:rsidP="002C3B40">
      <w:r>
        <w:continuationSeparator/>
      </w:r>
    </w:p>
  </w:endnote>
  <w:endnote w:type="continuationNotice" w:id="1">
    <w:p w14:paraId="66A990FD" w14:textId="77777777" w:rsidR="00096076" w:rsidRDefault="000960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5118" w14:textId="77777777" w:rsidR="00C32B3F" w:rsidRDefault="00C32B3F" w:rsidP="00DA0B83">
    <w:pPr>
      <w:pStyle w:val="MDPIfooterfirstpage"/>
      <w:pBdr>
        <w:top w:val="single" w:sz="4" w:space="0" w:color="000000"/>
      </w:pBdr>
      <w:adjustRightInd w:val="0"/>
      <w:snapToGrid w:val="0"/>
      <w:spacing w:before="480" w:line="100" w:lineRule="exact"/>
      <w:rPr>
        <w:i/>
        <w:szCs w:val="16"/>
        <w:lang w:val="it-IT"/>
      </w:rPr>
    </w:pPr>
  </w:p>
  <w:p w14:paraId="0225A131" w14:textId="38B7DFCF" w:rsidR="00C32B3F" w:rsidRPr="00BF5E85" w:rsidRDefault="00C32B3F" w:rsidP="00DA0B83">
    <w:pPr>
      <w:pStyle w:val="MDPIfooterfirstpage"/>
      <w:tabs>
        <w:tab w:val="clear" w:pos="8845"/>
        <w:tab w:val="right" w:pos="10466"/>
      </w:tabs>
      <w:spacing w:line="240" w:lineRule="auto"/>
      <w:jc w:val="both"/>
      <w:rPr>
        <w:i/>
        <w:szCs w:val="16"/>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5F038" w14:textId="77777777" w:rsidR="00096076" w:rsidRDefault="00096076" w:rsidP="002C3B40">
      <w:r>
        <w:separator/>
      </w:r>
    </w:p>
  </w:footnote>
  <w:footnote w:type="continuationSeparator" w:id="0">
    <w:p w14:paraId="11A5F721" w14:textId="77777777" w:rsidR="00096076" w:rsidRDefault="00096076" w:rsidP="002C3B40">
      <w:r>
        <w:continuationSeparator/>
      </w:r>
    </w:p>
  </w:footnote>
  <w:footnote w:type="continuationNotice" w:id="1">
    <w:p w14:paraId="3D5E87FE" w14:textId="77777777" w:rsidR="00096076" w:rsidRDefault="00096076">
      <w:pPr>
        <w:spacing w:after="0"/>
      </w:pPr>
    </w:p>
  </w:footnote>
  <w:footnote w:id="2">
    <w:p w14:paraId="405EB15B" w14:textId="77777777" w:rsidR="00C32B3F" w:rsidRDefault="00C32B3F" w:rsidP="00C5387B">
      <w:pPr>
        <w:pStyle w:val="FootnoteText"/>
      </w:pPr>
      <w:r w:rsidRPr="00725433">
        <w:rPr>
          <w:rStyle w:val="FootnoteReference"/>
        </w:rPr>
        <w:footnoteRef/>
      </w:r>
      <w:r>
        <w:t xml:space="preserve"> </w:t>
      </w:r>
      <w:r w:rsidRPr="00DA7BC8">
        <w:t>https://www.merckmanuals.com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F7C85" w14:textId="578F1BF1" w:rsidR="00C32B3F" w:rsidRDefault="00C32B3F" w:rsidP="002C3B40">
    <w:r>
      <w:tab/>
    </w:r>
    <w:r>
      <w:fldChar w:fldCharType="begin"/>
    </w:r>
    <w:r>
      <w:instrText xml:space="preserve"> PAGE   \* MERGEFORMAT </w:instrText>
    </w:r>
    <w:r>
      <w:fldChar w:fldCharType="separate"/>
    </w:r>
    <w:r>
      <w:t>5</w:t>
    </w:r>
    <w:r>
      <w:fldChar w:fldCharType="end"/>
    </w:r>
    <w:r>
      <w:t xml:space="preserve"> of </w:t>
    </w:r>
    <w:fldSimple w:instr=" NUMPAGES   \* MERGEFORMAT ">
      <w:r>
        <w:t>5</w:t>
      </w:r>
    </w:fldSimple>
  </w:p>
  <w:p w14:paraId="06A8DCA0" w14:textId="77777777" w:rsidR="00C32B3F" w:rsidRPr="00DC1886" w:rsidRDefault="00C32B3F" w:rsidP="002C3B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C32B3F" w:rsidRPr="00691AA3" w14:paraId="20799134" w14:textId="77777777" w:rsidTr="008F28C9">
      <w:trPr>
        <w:trHeight w:val="686"/>
      </w:trPr>
      <w:tc>
        <w:tcPr>
          <w:tcW w:w="3679" w:type="dxa"/>
          <w:shd w:val="clear" w:color="auto" w:fill="auto"/>
          <w:vAlign w:val="center"/>
        </w:tcPr>
        <w:p w14:paraId="4384AC20" w14:textId="282FC831" w:rsidR="00C32B3F" w:rsidRPr="00EF08AF" w:rsidRDefault="00C32B3F" w:rsidP="002C3B40">
          <w:pPr>
            <w:pStyle w:val="Header"/>
          </w:pPr>
        </w:p>
      </w:tc>
      <w:tc>
        <w:tcPr>
          <w:tcW w:w="4535" w:type="dxa"/>
          <w:shd w:val="clear" w:color="auto" w:fill="auto"/>
          <w:vAlign w:val="center"/>
        </w:tcPr>
        <w:p w14:paraId="53CC2655" w14:textId="77777777" w:rsidR="00C32B3F" w:rsidRPr="00EF08AF" w:rsidRDefault="00C32B3F" w:rsidP="002C3B40">
          <w:pPr>
            <w:pStyle w:val="Header"/>
          </w:pPr>
        </w:p>
      </w:tc>
      <w:tc>
        <w:tcPr>
          <w:tcW w:w="2273" w:type="dxa"/>
          <w:shd w:val="clear" w:color="auto" w:fill="auto"/>
          <w:vAlign w:val="center"/>
        </w:tcPr>
        <w:p w14:paraId="59E77B7F" w14:textId="25BBB332" w:rsidR="00C32B3F" w:rsidRPr="00EF08AF" w:rsidRDefault="00C32B3F" w:rsidP="002C3B40">
          <w:pPr>
            <w:pStyle w:val="Header"/>
          </w:pPr>
        </w:p>
      </w:tc>
    </w:tr>
  </w:tbl>
  <w:p w14:paraId="72C4381A" w14:textId="77777777" w:rsidR="00C32B3F" w:rsidRPr="003D660D" w:rsidRDefault="00C32B3F" w:rsidP="002C3B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65FA"/>
    <w:multiLevelType w:val="hybridMultilevel"/>
    <w:tmpl w:val="C36EE716"/>
    <w:lvl w:ilvl="0" w:tplc="D98A1E78">
      <w:start w:val="1"/>
      <w:numFmt w:val="bullet"/>
      <w:lvlText w:val="•"/>
      <w:lvlJc w:val="left"/>
      <w:pPr>
        <w:tabs>
          <w:tab w:val="num" w:pos="720"/>
        </w:tabs>
        <w:ind w:left="720" w:hanging="360"/>
      </w:pPr>
      <w:rPr>
        <w:rFonts w:ascii="Arial" w:hAnsi="Arial" w:hint="default"/>
      </w:rPr>
    </w:lvl>
    <w:lvl w:ilvl="1" w:tplc="5E485298" w:tentative="1">
      <w:start w:val="1"/>
      <w:numFmt w:val="bullet"/>
      <w:lvlText w:val="•"/>
      <w:lvlJc w:val="left"/>
      <w:pPr>
        <w:tabs>
          <w:tab w:val="num" w:pos="1440"/>
        </w:tabs>
        <w:ind w:left="1440" w:hanging="360"/>
      </w:pPr>
      <w:rPr>
        <w:rFonts w:ascii="Arial" w:hAnsi="Arial" w:hint="default"/>
      </w:rPr>
    </w:lvl>
    <w:lvl w:ilvl="2" w:tplc="00B0B68E" w:tentative="1">
      <w:start w:val="1"/>
      <w:numFmt w:val="bullet"/>
      <w:lvlText w:val="•"/>
      <w:lvlJc w:val="left"/>
      <w:pPr>
        <w:tabs>
          <w:tab w:val="num" w:pos="2160"/>
        </w:tabs>
        <w:ind w:left="2160" w:hanging="360"/>
      </w:pPr>
      <w:rPr>
        <w:rFonts w:ascii="Arial" w:hAnsi="Arial" w:hint="default"/>
      </w:rPr>
    </w:lvl>
    <w:lvl w:ilvl="3" w:tplc="F3BAEF90" w:tentative="1">
      <w:start w:val="1"/>
      <w:numFmt w:val="bullet"/>
      <w:lvlText w:val="•"/>
      <w:lvlJc w:val="left"/>
      <w:pPr>
        <w:tabs>
          <w:tab w:val="num" w:pos="2880"/>
        </w:tabs>
        <w:ind w:left="2880" w:hanging="360"/>
      </w:pPr>
      <w:rPr>
        <w:rFonts w:ascii="Arial" w:hAnsi="Arial" w:hint="default"/>
      </w:rPr>
    </w:lvl>
    <w:lvl w:ilvl="4" w:tplc="F3989B74" w:tentative="1">
      <w:start w:val="1"/>
      <w:numFmt w:val="bullet"/>
      <w:lvlText w:val="•"/>
      <w:lvlJc w:val="left"/>
      <w:pPr>
        <w:tabs>
          <w:tab w:val="num" w:pos="3600"/>
        </w:tabs>
        <w:ind w:left="3600" w:hanging="360"/>
      </w:pPr>
      <w:rPr>
        <w:rFonts w:ascii="Arial" w:hAnsi="Arial" w:hint="default"/>
      </w:rPr>
    </w:lvl>
    <w:lvl w:ilvl="5" w:tplc="1CD8DDD6" w:tentative="1">
      <w:start w:val="1"/>
      <w:numFmt w:val="bullet"/>
      <w:lvlText w:val="•"/>
      <w:lvlJc w:val="left"/>
      <w:pPr>
        <w:tabs>
          <w:tab w:val="num" w:pos="4320"/>
        </w:tabs>
        <w:ind w:left="4320" w:hanging="360"/>
      </w:pPr>
      <w:rPr>
        <w:rFonts w:ascii="Arial" w:hAnsi="Arial" w:hint="default"/>
      </w:rPr>
    </w:lvl>
    <w:lvl w:ilvl="6" w:tplc="FC4811EE" w:tentative="1">
      <w:start w:val="1"/>
      <w:numFmt w:val="bullet"/>
      <w:lvlText w:val="•"/>
      <w:lvlJc w:val="left"/>
      <w:pPr>
        <w:tabs>
          <w:tab w:val="num" w:pos="5040"/>
        </w:tabs>
        <w:ind w:left="5040" w:hanging="360"/>
      </w:pPr>
      <w:rPr>
        <w:rFonts w:ascii="Arial" w:hAnsi="Arial" w:hint="default"/>
      </w:rPr>
    </w:lvl>
    <w:lvl w:ilvl="7" w:tplc="57DC0EFC" w:tentative="1">
      <w:start w:val="1"/>
      <w:numFmt w:val="bullet"/>
      <w:lvlText w:val="•"/>
      <w:lvlJc w:val="left"/>
      <w:pPr>
        <w:tabs>
          <w:tab w:val="num" w:pos="5760"/>
        </w:tabs>
        <w:ind w:left="5760" w:hanging="360"/>
      </w:pPr>
      <w:rPr>
        <w:rFonts w:ascii="Arial" w:hAnsi="Arial" w:hint="default"/>
      </w:rPr>
    </w:lvl>
    <w:lvl w:ilvl="8" w:tplc="154A40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370D76"/>
    <w:multiLevelType w:val="hybridMultilevel"/>
    <w:tmpl w:val="19BE06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7631D"/>
    <w:multiLevelType w:val="hybridMultilevel"/>
    <w:tmpl w:val="4B86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E4DDA"/>
    <w:multiLevelType w:val="hybridMultilevel"/>
    <w:tmpl w:val="5C84B9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83BA6"/>
    <w:multiLevelType w:val="hybridMultilevel"/>
    <w:tmpl w:val="2842D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7F0"/>
    <w:multiLevelType w:val="hybridMultilevel"/>
    <w:tmpl w:val="22C2F930"/>
    <w:lvl w:ilvl="0" w:tplc="AEF0C398">
      <w:start w:val="3"/>
      <w:numFmt w:val="bullet"/>
      <w:lvlText w:val="-"/>
      <w:lvlJc w:val="left"/>
      <w:pPr>
        <w:ind w:left="420" w:hanging="360"/>
      </w:pPr>
      <w:rPr>
        <w:rFonts w:ascii="Palatino Linotype" w:eastAsia="Times New Roman" w:hAnsi="Palatino Linotype" w:cs="Times New Roman" w:hint="default"/>
        <w:b/>
        <w:color w:val="000000"/>
        <w:sz w:val="2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2758201F"/>
    <w:multiLevelType w:val="hybridMultilevel"/>
    <w:tmpl w:val="98A09ACE"/>
    <w:lvl w:ilvl="0" w:tplc="029C8882">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D24FA3"/>
    <w:multiLevelType w:val="hybridMultilevel"/>
    <w:tmpl w:val="36CEF36C"/>
    <w:lvl w:ilvl="0" w:tplc="676E58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771F9B"/>
    <w:multiLevelType w:val="hybridMultilevel"/>
    <w:tmpl w:val="5E08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03203"/>
    <w:multiLevelType w:val="hybridMultilevel"/>
    <w:tmpl w:val="EB7809D0"/>
    <w:lvl w:ilvl="0" w:tplc="3ED61A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D1C7C22"/>
    <w:multiLevelType w:val="hybridMultilevel"/>
    <w:tmpl w:val="F3DE36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4AD"/>
    <w:multiLevelType w:val="hybridMultilevel"/>
    <w:tmpl w:val="0222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035755"/>
    <w:multiLevelType w:val="hybridMultilevel"/>
    <w:tmpl w:val="5AB06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839E7"/>
    <w:multiLevelType w:val="hybridMultilevel"/>
    <w:tmpl w:val="0172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7F1DB4"/>
    <w:multiLevelType w:val="hybridMultilevel"/>
    <w:tmpl w:val="8B1C43B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 w15:restartNumberingAfterBreak="0">
    <w:nsid w:val="7C260F25"/>
    <w:multiLevelType w:val="hybridMultilevel"/>
    <w:tmpl w:val="41EA15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3"/>
  </w:num>
  <w:num w:numId="3">
    <w:abstractNumId w:val="0"/>
  </w:num>
  <w:num w:numId="4">
    <w:abstractNumId w:val="15"/>
  </w:num>
  <w:num w:numId="5">
    <w:abstractNumId w:val="2"/>
  </w:num>
  <w:num w:numId="6">
    <w:abstractNumId w:val="1"/>
  </w:num>
  <w:num w:numId="7">
    <w:abstractNumId w:val="9"/>
  </w:num>
  <w:num w:numId="8">
    <w:abstractNumId w:val="5"/>
  </w:num>
  <w:num w:numId="9">
    <w:abstractNumId w:val="7"/>
  </w:num>
  <w:num w:numId="10">
    <w:abstractNumId w:val="13"/>
  </w:num>
  <w:num w:numId="11">
    <w:abstractNumId w:val="12"/>
  </w:num>
  <w:num w:numId="12">
    <w:abstractNumId w:val="14"/>
  </w:num>
  <w:num w:numId="13">
    <w:abstractNumId w:val="10"/>
  </w:num>
  <w:num w:numId="14">
    <w:abstractNumId w:val="4"/>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it-IT" w:vendorID="64" w:dllVersion="0" w:nlCheck="1" w:checkStyle="0"/>
  <w:activeWritingStyle w:appName="MSWord" w:lang="en-NZ" w:vendorID="64" w:dllVersion="0" w:nlCheck="1" w:checkStyle="0"/>
  <w:activeWritingStyle w:appName="MSWord" w:lang="en-US" w:vendorID="64" w:dllVersion="4096" w:nlCheck="1" w:checkStyle="0"/>
  <w:activeWritingStyle w:appName="MSWord" w:lang="en-AU" w:vendorID="64" w:dllVersion="4096" w:nlCheck="1" w:checkStyle="0"/>
  <w:proofState w:spelling="clean" w:grammar="clean"/>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58"/>
    <w:rsid w:val="00000D71"/>
    <w:rsid w:val="0000161D"/>
    <w:rsid w:val="00002A71"/>
    <w:rsid w:val="000077E4"/>
    <w:rsid w:val="000078D2"/>
    <w:rsid w:val="000138C4"/>
    <w:rsid w:val="00013967"/>
    <w:rsid w:val="000147A8"/>
    <w:rsid w:val="00014D6A"/>
    <w:rsid w:val="00016DDA"/>
    <w:rsid w:val="00017B85"/>
    <w:rsid w:val="00017E5F"/>
    <w:rsid w:val="0002039A"/>
    <w:rsid w:val="00022A9D"/>
    <w:rsid w:val="000245FB"/>
    <w:rsid w:val="000246E8"/>
    <w:rsid w:val="000247AE"/>
    <w:rsid w:val="000248AB"/>
    <w:rsid w:val="00024B5C"/>
    <w:rsid w:val="00031245"/>
    <w:rsid w:val="000328EC"/>
    <w:rsid w:val="00032FFE"/>
    <w:rsid w:val="000369E8"/>
    <w:rsid w:val="0003760F"/>
    <w:rsid w:val="000412B0"/>
    <w:rsid w:val="00041B40"/>
    <w:rsid w:val="00041F94"/>
    <w:rsid w:val="000438D3"/>
    <w:rsid w:val="000472B7"/>
    <w:rsid w:val="00047334"/>
    <w:rsid w:val="00050A2B"/>
    <w:rsid w:val="00051893"/>
    <w:rsid w:val="000528EC"/>
    <w:rsid w:val="00053222"/>
    <w:rsid w:val="00053417"/>
    <w:rsid w:val="00054863"/>
    <w:rsid w:val="00056477"/>
    <w:rsid w:val="0006029B"/>
    <w:rsid w:val="0006425B"/>
    <w:rsid w:val="0006440C"/>
    <w:rsid w:val="00066AEB"/>
    <w:rsid w:val="00066D93"/>
    <w:rsid w:val="00067B02"/>
    <w:rsid w:val="00070A32"/>
    <w:rsid w:val="00070D3C"/>
    <w:rsid w:val="000710A6"/>
    <w:rsid w:val="0007273B"/>
    <w:rsid w:val="00073236"/>
    <w:rsid w:val="00076254"/>
    <w:rsid w:val="00077297"/>
    <w:rsid w:val="00077F9C"/>
    <w:rsid w:val="00080268"/>
    <w:rsid w:val="00080968"/>
    <w:rsid w:val="00081B37"/>
    <w:rsid w:val="00082043"/>
    <w:rsid w:val="00083111"/>
    <w:rsid w:val="00084471"/>
    <w:rsid w:val="00084B26"/>
    <w:rsid w:val="00084E8A"/>
    <w:rsid w:val="00085593"/>
    <w:rsid w:val="000855B5"/>
    <w:rsid w:val="00085B85"/>
    <w:rsid w:val="00086206"/>
    <w:rsid w:val="00087442"/>
    <w:rsid w:val="0008753F"/>
    <w:rsid w:val="00087A7B"/>
    <w:rsid w:val="0009111E"/>
    <w:rsid w:val="00091D1B"/>
    <w:rsid w:val="0009396A"/>
    <w:rsid w:val="00093CF3"/>
    <w:rsid w:val="00096076"/>
    <w:rsid w:val="00096383"/>
    <w:rsid w:val="00096FBC"/>
    <w:rsid w:val="0009732E"/>
    <w:rsid w:val="00097691"/>
    <w:rsid w:val="00097A9F"/>
    <w:rsid w:val="000A00F0"/>
    <w:rsid w:val="000A06C8"/>
    <w:rsid w:val="000A316B"/>
    <w:rsid w:val="000A3409"/>
    <w:rsid w:val="000A3418"/>
    <w:rsid w:val="000A5039"/>
    <w:rsid w:val="000A5B99"/>
    <w:rsid w:val="000A6A24"/>
    <w:rsid w:val="000A6D7A"/>
    <w:rsid w:val="000A6F7C"/>
    <w:rsid w:val="000B094B"/>
    <w:rsid w:val="000B369F"/>
    <w:rsid w:val="000B438C"/>
    <w:rsid w:val="000B4C8D"/>
    <w:rsid w:val="000B5246"/>
    <w:rsid w:val="000B566D"/>
    <w:rsid w:val="000B718C"/>
    <w:rsid w:val="000C16A2"/>
    <w:rsid w:val="000C1AA7"/>
    <w:rsid w:val="000C21AD"/>
    <w:rsid w:val="000C4BCF"/>
    <w:rsid w:val="000C52D6"/>
    <w:rsid w:val="000C5A47"/>
    <w:rsid w:val="000D199E"/>
    <w:rsid w:val="000D2495"/>
    <w:rsid w:val="000D42C6"/>
    <w:rsid w:val="000E194C"/>
    <w:rsid w:val="000E30E3"/>
    <w:rsid w:val="000E5AED"/>
    <w:rsid w:val="000E6756"/>
    <w:rsid w:val="000E72FA"/>
    <w:rsid w:val="000E746E"/>
    <w:rsid w:val="000E781E"/>
    <w:rsid w:val="000F383C"/>
    <w:rsid w:val="000F38EF"/>
    <w:rsid w:val="000F46C9"/>
    <w:rsid w:val="000F4F84"/>
    <w:rsid w:val="000F61BA"/>
    <w:rsid w:val="00100976"/>
    <w:rsid w:val="00100DD1"/>
    <w:rsid w:val="00101947"/>
    <w:rsid w:val="00104271"/>
    <w:rsid w:val="001043DD"/>
    <w:rsid w:val="00105EB0"/>
    <w:rsid w:val="00106E92"/>
    <w:rsid w:val="001076F9"/>
    <w:rsid w:val="001129E2"/>
    <w:rsid w:val="00112F07"/>
    <w:rsid w:val="00112FD2"/>
    <w:rsid w:val="00114764"/>
    <w:rsid w:val="00115769"/>
    <w:rsid w:val="00116258"/>
    <w:rsid w:val="00116ACC"/>
    <w:rsid w:val="00116F5D"/>
    <w:rsid w:val="00121353"/>
    <w:rsid w:val="00121527"/>
    <w:rsid w:val="00121A13"/>
    <w:rsid w:val="00122C44"/>
    <w:rsid w:val="00125116"/>
    <w:rsid w:val="0012598D"/>
    <w:rsid w:val="001272C2"/>
    <w:rsid w:val="00130C32"/>
    <w:rsid w:val="001326F7"/>
    <w:rsid w:val="00132B11"/>
    <w:rsid w:val="001330E8"/>
    <w:rsid w:val="001355FB"/>
    <w:rsid w:val="00135633"/>
    <w:rsid w:val="001359C6"/>
    <w:rsid w:val="00135CE1"/>
    <w:rsid w:val="001403D4"/>
    <w:rsid w:val="00141533"/>
    <w:rsid w:val="00141B41"/>
    <w:rsid w:val="001430AA"/>
    <w:rsid w:val="00143218"/>
    <w:rsid w:val="00144CF9"/>
    <w:rsid w:val="00144F56"/>
    <w:rsid w:val="00145EBE"/>
    <w:rsid w:val="0014722B"/>
    <w:rsid w:val="001554BC"/>
    <w:rsid w:val="001567C3"/>
    <w:rsid w:val="00156A12"/>
    <w:rsid w:val="001574D6"/>
    <w:rsid w:val="001607C2"/>
    <w:rsid w:val="00160A4B"/>
    <w:rsid w:val="001614AE"/>
    <w:rsid w:val="00167A64"/>
    <w:rsid w:val="00167CB0"/>
    <w:rsid w:val="00170776"/>
    <w:rsid w:val="00170818"/>
    <w:rsid w:val="0017210B"/>
    <w:rsid w:val="00173498"/>
    <w:rsid w:val="00173B15"/>
    <w:rsid w:val="00174DA3"/>
    <w:rsid w:val="0017633A"/>
    <w:rsid w:val="00177B58"/>
    <w:rsid w:val="001811FB"/>
    <w:rsid w:val="00184704"/>
    <w:rsid w:val="00184C73"/>
    <w:rsid w:val="00187DE2"/>
    <w:rsid w:val="001907EC"/>
    <w:rsid w:val="00191146"/>
    <w:rsid w:val="0019150D"/>
    <w:rsid w:val="00192601"/>
    <w:rsid w:val="001971D8"/>
    <w:rsid w:val="001A135F"/>
    <w:rsid w:val="001A1D9C"/>
    <w:rsid w:val="001A218C"/>
    <w:rsid w:val="001A2CD8"/>
    <w:rsid w:val="001A3CF5"/>
    <w:rsid w:val="001A3D9D"/>
    <w:rsid w:val="001A499B"/>
    <w:rsid w:val="001A4D37"/>
    <w:rsid w:val="001A50CA"/>
    <w:rsid w:val="001A60CF"/>
    <w:rsid w:val="001A61F9"/>
    <w:rsid w:val="001A6412"/>
    <w:rsid w:val="001A6810"/>
    <w:rsid w:val="001B198F"/>
    <w:rsid w:val="001B1C7D"/>
    <w:rsid w:val="001B20E6"/>
    <w:rsid w:val="001B214E"/>
    <w:rsid w:val="001B23FB"/>
    <w:rsid w:val="001B27F5"/>
    <w:rsid w:val="001B2C0D"/>
    <w:rsid w:val="001B5101"/>
    <w:rsid w:val="001B5BB2"/>
    <w:rsid w:val="001B6EEE"/>
    <w:rsid w:val="001B7A36"/>
    <w:rsid w:val="001C1316"/>
    <w:rsid w:val="001C1C3E"/>
    <w:rsid w:val="001C22FF"/>
    <w:rsid w:val="001C2EDE"/>
    <w:rsid w:val="001C31F3"/>
    <w:rsid w:val="001C46D3"/>
    <w:rsid w:val="001C5B71"/>
    <w:rsid w:val="001C6700"/>
    <w:rsid w:val="001C6715"/>
    <w:rsid w:val="001C7054"/>
    <w:rsid w:val="001C772A"/>
    <w:rsid w:val="001C7C60"/>
    <w:rsid w:val="001D1A0B"/>
    <w:rsid w:val="001D1B79"/>
    <w:rsid w:val="001D3B89"/>
    <w:rsid w:val="001D55CB"/>
    <w:rsid w:val="001E2467"/>
    <w:rsid w:val="001E490E"/>
    <w:rsid w:val="001E5840"/>
    <w:rsid w:val="001E6C5B"/>
    <w:rsid w:val="001E6EA0"/>
    <w:rsid w:val="001F0588"/>
    <w:rsid w:val="001F1900"/>
    <w:rsid w:val="001F1FD5"/>
    <w:rsid w:val="001F2A7B"/>
    <w:rsid w:val="001F42BE"/>
    <w:rsid w:val="001F4F0D"/>
    <w:rsid w:val="001F5C5D"/>
    <w:rsid w:val="002004BD"/>
    <w:rsid w:val="002008DA"/>
    <w:rsid w:val="00206913"/>
    <w:rsid w:val="002149B6"/>
    <w:rsid w:val="00215738"/>
    <w:rsid w:val="00216179"/>
    <w:rsid w:val="00216BAD"/>
    <w:rsid w:val="0021763C"/>
    <w:rsid w:val="00220FC6"/>
    <w:rsid w:val="002224A2"/>
    <w:rsid w:val="002224A9"/>
    <w:rsid w:val="00227A23"/>
    <w:rsid w:val="002308E2"/>
    <w:rsid w:val="00231B27"/>
    <w:rsid w:val="00231DDB"/>
    <w:rsid w:val="00233977"/>
    <w:rsid w:val="0023550E"/>
    <w:rsid w:val="002357D1"/>
    <w:rsid w:val="0023615B"/>
    <w:rsid w:val="00236AF6"/>
    <w:rsid w:val="00240ECF"/>
    <w:rsid w:val="002427B2"/>
    <w:rsid w:val="00242D3B"/>
    <w:rsid w:val="00243113"/>
    <w:rsid w:val="00243DA8"/>
    <w:rsid w:val="002477C0"/>
    <w:rsid w:val="00247ACF"/>
    <w:rsid w:val="00247CDF"/>
    <w:rsid w:val="00254944"/>
    <w:rsid w:val="002553E7"/>
    <w:rsid w:val="002577E0"/>
    <w:rsid w:val="002606C2"/>
    <w:rsid w:val="00260C38"/>
    <w:rsid w:val="002616E5"/>
    <w:rsid w:val="002646A5"/>
    <w:rsid w:val="0026480F"/>
    <w:rsid w:val="00264834"/>
    <w:rsid w:val="00264D03"/>
    <w:rsid w:val="00267152"/>
    <w:rsid w:val="00270782"/>
    <w:rsid w:val="0027210A"/>
    <w:rsid w:val="00272554"/>
    <w:rsid w:val="00273069"/>
    <w:rsid w:val="002731C8"/>
    <w:rsid w:val="002742A7"/>
    <w:rsid w:val="00274B0F"/>
    <w:rsid w:val="00275487"/>
    <w:rsid w:val="002766FB"/>
    <w:rsid w:val="00276B76"/>
    <w:rsid w:val="00276F85"/>
    <w:rsid w:val="00277338"/>
    <w:rsid w:val="00277B15"/>
    <w:rsid w:val="002806CD"/>
    <w:rsid w:val="00281289"/>
    <w:rsid w:val="00282DA8"/>
    <w:rsid w:val="00282DB5"/>
    <w:rsid w:val="00283396"/>
    <w:rsid w:val="00286565"/>
    <w:rsid w:val="00293155"/>
    <w:rsid w:val="0029330A"/>
    <w:rsid w:val="00293881"/>
    <w:rsid w:val="00295476"/>
    <w:rsid w:val="002977E9"/>
    <w:rsid w:val="002A0D36"/>
    <w:rsid w:val="002A1969"/>
    <w:rsid w:val="002A286A"/>
    <w:rsid w:val="002A2A4B"/>
    <w:rsid w:val="002A3FBE"/>
    <w:rsid w:val="002A62A7"/>
    <w:rsid w:val="002A6BD5"/>
    <w:rsid w:val="002A77EB"/>
    <w:rsid w:val="002B1239"/>
    <w:rsid w:val="002B2E1D"/>
    <w:rsid w:val="002B3861"/>
    <w:rsid w:val="002B560B"/>
    <w:rsid w:val="002B65E0"/>
    <w:rsid w:val="002B7E70"/>
    <w:rsid w:val="002C20F8"/>
    <w:rsid w:val="002C2F42"/>
    <w:rsid w:val="002C3385"/>
    <w:rsid w:val="002C3B40"/>
    <w:rsid w:val="002C3D16"/>
    <w:rsid w:val="002D052B"/>
    <w:rsid w:val="002D1110"/>
    <w:rsid w:val="002D3180"/>
    <w:rsid w:val="002D647D"/>
    <w:rsid w:val="002D7AD6"/>
    <w:rsid w:val="002E2A69"/>
    <w:rsid w:val="002E3154"/>
    <w:rsid w:val="002E3BAA"/>
    <w:rsid w:val="002E567E"/>
    <w:rsid w:val="002E59A0"/>
    <w:rsid w:val="002E6873"/>
    <w:rsid w:val="002F271B"/>
    <w:rsid w:val="002F3436"/>
    <w:rsid w:val="002F3D06"/>
    <w:rsid w:val="002F4547"/>
    <w:rsid w:val="00301771"/>
    <w:rsid w:val="00303368"/>
    <w:rsid w:val="00304260"/>
    <w:rsid w:val="003054F4"/>
    <w:rsid w:val="0031216E"/>
    <w:rsid w:val="00312FFF"/>
    <w:rsid w:val="00314264"/>
    <w:rsid w:val="00315F0B"/>
    <w:rsid w:val="003169A3"/>
    <w:rsid w:val="00317F3D"/>
    <w:rsid w:val="00320062"/>
    <w:rsid w:val="0032099E"/>
    <w:rsid w:val="00322432"/>
    <w:rsid w:val="00324F94"/>
    <w:rsid w:val="00327B87"/>
    <w:rsid w:val="003322E4"/>
    <w:rsid w:val="00332D3D"/>
    <w:rsid w:val="00332DE9"/>
    <w:rsid w:val="00333985"/>
    <w:rsid w:val="0033722E"/>
    <w:rsid w:val="00341544"/>
    <w:rsid w:val="00344A72"/>
    <w:rsid w:val="00346261"/>
    <w:rsid w:val="0035044D"/>
    <w:rsid w:val="00354480"/>
    <w:rsid w:val="00366D75"/>
    <w:rsid w:val="00370153"/>
    <w:rsid w:val="00370C22"/>
    <w:rsid w:val="00370CE4"/>
    <w:rsid w:val="00370E33"/>
    <w:rsid w:val="00372585"/>
    <w:rsid w:val="003729A7"/>
    <w:rsid w:val="00372C39"/>
    <w:rsid w:val="00373DD7"/>
    <w:rsid w:val="003808B6"/>
    <w:rsid w:val="0038203F"/>
    <w:rsid w:val="00382C44"/>
    <w:rsid w:val="00383844"/>
    <w:rsid w:val="00384395"/>
    <w:rsid w:val="003844B2"/>
    <w:rsid w:val="00384B54"/>
    <w:rsid w:val="003912F8"/>
    <w:rsid w:val="00392446"/>
    <w:rsid w:val="003931AC"/>
    <w:rsid w:val="00395B9B"/>
    <w:rsid w:val="00397280"/>
    <w:rsid w:val="003979C3"/>
    <w:rsid w:val="00397C44"/>
    <w:rsid w:val="003A04EE"/>
    <w:rsid w:val="003A70B2"/>
    <w:rsid w:val="003A732F"/>
    <w:rsid w:val="003B0068"/>
    <w:rsid w:val="003B1517"/>
    <w:rsid w:val="003C04B3"/>
    <w:rsid w:val="003C0EEE"/>
    <w:rsid w:val="003C3294"/>
    <w:rsid w:val="003C6962"/>
    <w:rsid w:val="003C7202"/>
    <w:rsid w:val="003D08F3"/>
    <w:rsid w:val="003D178A"/>
    <w:rsid w:val="003D4A5A"/>
    <w:rsid w:val="003D4CB8"/>
    <w:rsid w:val="003E01F5"/>
    <w:rsid w:val="003E08B6"/>
    <w:rsid w:val="003E103B"/>
    <w:rsid w:val="003E1B63"/>
    <w:rsid w:val="003E3B02"/>
    <w:rsid w:val="003E4842"/>
    <w:rsid w:val="003E5C1C"/>
    <w:rsid w:val="003E5DDE"/>
    <w:rsid w:val="003F0240"/>
    <w:rsid w:val="003F05B7"/>
    <w:rsid w:val="003F0BDA"/>
    <w:rsid w:val="003F12B1"/>
    <w:rsid w:val="003F2291"/>
    <w:rsid w:val="003F233E"/>
    <w:rsid w:val="003F3350"/>
    <w:rsid w:val="003F4ADF"/>
    <w:rsid w:val="003F78EE"/>
    <w:rsid w:val="0040023D"/>
    <w:rsid w:val="00401020"/>
    <w:rsid w:val="0041186E"/>
    <w:rsid w:val="00412052"/>
    <w:rsid w:val="004139A7"/>
    <w:rsid w:val="00415F83"/>
    <w:rsid w:val="00417D57"/>
    <w:rsid w:val="004205A8"/>
    <w:rsid w:val="004210CA"/>
    <w:rsid w:val="004212CB"/>
    <w:rsid w:val="004217F6"/>
    <w:rsid w:val="00423F1E"/>
    <w:rsid w:val="00423F6C"/>
    <w:rsid w:val="00425C2D"/>
    <w:rsid w:val="00426CAD"/>
    <w:rsid w:val="00427712"/>
    <w:rsid w:val="0042773B"/>
    <w:rsid w:val="00427D08"/>
    <w:rsid w:val="004325D4"/>
    <w:rsid w:val="00433132"/>
    <w:rsid w:val="0043369B"/>
    <w:rsid w:val="0043535B"/>
    <w:rsid w:val="004355A5"/>
    <w:rsid w:val="004366C6"/>
    <w:rsid w:val="004377DB"/>
    <w:rsid w:val="004417A4"/>
    <w:rsid w:val="004420AB"/>
    <w:rsid w:val="00443EF8"/>
    <w:rsid w:val="004455F7"/>
    <w:rsid w:val="0044582F"/>
    <w:rsid w:val="00446678"/>
    <w:rsid w:val="0044718B"/>
    <w:rsid w:val="0045375A"/>
    <w:rsid w:val="00455227"/>
    <w:rsid w:val="00456512"/>
    <w:rsid w:val="00457280"/>
    <w:rsid w:val="004616F2"/>
    <w:rsid w:val="004618A2"/>
    <w:rsid w:val="00461B3E"/>
    <w:rsid w:val="004626D0"/>
    <w:rsid w:val="0046338E"/>
    <w:rsid w:val="00463D3B"/>
    <w:rsid w:val="004642E6"/>
    <w:rsid w:val="00464A16"/>
    <w:rsid w:val="00465C86"/>
    <w:rsid w:val="00466D74"/>
    <w:rsid w:val="0046791E"/>
    <w:rsid w:val="004707C7"/>
    <w:rsid w:val="004726E7"/>
    <w:rsid w:val="0047407C"/>
    <w:rsid w:val="00474666"/>
    <w:rsid w:val="0047509C"/>
    <w:rsid w:val="004822EE"/>
    <w:rsid w:val="00482D0D"/>
    <w:rsid w:val="004860F5"/>
    <w:rsid w:val="00487302"/>
    <w:rsid w:val="00490D05"/>
    <w:rsid w:val="00492ACD"/>
    <w:rsid w:val="0049441D"/>
    <w:rsid w:val="004947A0"/>
    <w:rsid w:val="004A1E4F"/>
    <w:rsid w:val="004A497F"/>
    <w:rsid w:val="004A4A7A"/>
    <w:rsid w:val="004A5528"/>
    <w:rsid w:val="004A5C26"/>
    <w:rsid w:val="004A6728"/>
    <w:rsid w:val="004A6956"/>
    <w:rsid w:val="004B2F10"/>
    <w:rsid w:val="004B34D9"/>
    <w:rsid w:val="004B63FD"/>
    <w:rsid w:val="004B7780"/>
    <w:rsid w:val="004C11C7"/>
    <w:rsid w:val="004C2F3F"/>
    <w:rsid w:val="004C3F22"/>
    <w:rsid w:val="004C6942"/>
    <w:rsid w:val="004C6B37"/>
    <w:rsid w:val="004D0B54"/>
    <w:rsid w:val="004D0D64"/>
    <w:rsid w:val="004D18F9"/>
    <w:rsid w:val="004D2D69"/>
    <w:rsid w:val="004D326A"/>
    <w:rsid w:val="004D5368"/>
    <w:rsid w:val="004D5814"/>
    <w:rsid w:val="004E2679"/>
    <w:rsid w:val="004E4000"/>
    <w:rsid w:val="004E42DD"/>
    <w:rsid w:val="004E4634"/>
    <w:rsid w:val="004E49BB"/>
    <w:rsid w:val="004E56B6"/>
    <w:rsid w:val="004E5831"/>
    <w:rsid w:val="004E61AC"/>
    <w:rsid w:val="004E6962"/>
    <w:rsid w:val="004E6AAC"/>
    <w:rsid w:val="004E6C04"/>
    <w:rsid w:val="004F28FD"/>
    <w:rsid w:val="004F4C5A"/>
    <w:rsid w:val="004F6CB1"/>
    <w:rsid w:val="004F7827"/>
    <w:rsid w:val="00501338"/>
    <w:rsid w:val="00501825"/>
    <w:rsid w:val="00501B06"/>
    <w:rsid w:val="005025D2"/>
    <w:rsid w:val="00502942"/>
    <w:rsid w:val="00505ADD"/>
    <w:rsid w:val="00507C66"/>
    <w:rsid w:val="00510F27"/>
    <w:rsid w:val="005126BA"/>
    <w:rsid w:val="00512F55"/>
    <w:rsid w:val="005140A7"/>
    <w:rsid w:val="0051457E"/>
    <w:rsid w:val="00516591"/>
    <w:rsid w:val="005217DF"/>
    <w:rsid w:val="005227D8"/>
    <w:rsid w:val="00522E5B"/>
    <w:rsid w:val="005267C2"/>
    <w:rsid w:val="00530600"/>
    <w:rsid w:val="00531C86"/>
    <w:rsid w:val="005356AA"/>
    <w:rsid w:val="00535E0D"/>
    <w:rsid w:val="00535F5E"/>
    <w:rsid w:val="00536327"/>
    <w:rsid w:val="00536FEC"/>
    <w:rsid w:val="005413CA"/>
    <w:rsid w:val="00543AB6"/>
    <w:rsid w:val="0054519D"/>
    <w:rsid w:val="00545C76"/>
    <w:rsid w:val="00547EE7"/>
    <w:rsid w:val="00552592"/>
    <w:rsid w:val="00552D06"/>
    <w:rsid w:val="005566F8"/>
    <w:rsid w:val="00556EAB"/>
    <w:rsid w:val="00557BE0"/>
    <w:rsid w:val="00560EB8"/>
    <w:rsid w:val="00560FEB"/>
    <w:rsid w:val="00563271"/>
    <w:rsid w:val="00563355"/>
    <w:rsid w:val="00564C3F"/>
    <w:rsid w:val="00564FAE"/>
    <w:rsid w:val="00566013"/>
    <w:rsid w:val="0056644B"/>
    <w:rsid w:val="005710EB"/>
    <w:rsid w:val="0057145B"/>
    <w:rsid w:val="005736C0"/>
    <w:rsid w:val="0057422D"/>
    <w:rsid w:val="00576180"/>
    <w:rsid w:val="005806D9"/>
    <w:rsid w:val="00580DF5"/>
    <w:rsid w:val="005824EC"/>
    <w:rsid w:val="0058297C"/>
    <w:rsid w:val="00583346"/>
    <w:rsid w:val="005835C4"/>
    <w:rsid w:val="00585FE7"/>
    <w:rsid w:val="00586172"/>
    <w:rsid w:val="0058647A"/>
    <w:rsid w:val="00590923"/>
    <w:rsid w:val="0059217B"/>
    <w:rsid w:val="0059271F"/>
    <w:rsid w:val="00596E7C"/>
    <w:rsid w:val="005A2B77"/>
    <w:rsid w:val="005A3278"/>
    <w:rsid w:val="005A3739"/>
    <w:rsid w:val="005A3BAF"/>
    <w:rsid w:val="005A4ACE"/>
    <w:rsid w:val="005A65C0"/>
    <w:rsid w:val="005A7205"/>
    <w:rsid w:val="005B3D96"/>
    <w:rsid w:val="005B3DEC"/>
    <w:rsid w:val="005B5665"/>
    <w:rsid w:val="005B5A96"/>
    <w:rsid w:val="005B5AD5"/>
    <w:rsid w:val="005C0C82"/>
    <w:rsid w:val="005C0D65"/>
    <w:rsid w:val="005C4810"/>
    <w:rsid w:val="005C55C5"/>
    <w:rsid w:val="005C5C1F"/>
    <w:rsid w:val="005C7DA5"/>
    <w:rsid w:val="005D0E50"/>
    <w:rsid w:val="005D193D"/>
    <w:rsid w:val="005D39FE"/>
    <w:rsid w:val="005D585F"/>
    <w:rsid w:val="005D64F9"/>
    <w:rsid w:val="005D6A14"/>
    <w:rsid w:val="005D7C02"/>
    <w:rsid w:val="005E0E72"/>
    <w:rsid w:val="005E35C6"/>
    <w:rsid w:val="005E3E2B"/>
    <w:rsid w:val="005E6259"/>
    <w:rsid w:val="005E699B"/>
    <w:rsid w:val="005E6EDA"/>
    <w:rsid w:val="005E6EDF"/>
    <w:rsid w:val="005F22EB"/>
    <w:rsid w:val="005F2528"/>
    <w:rsid w:val="005F2D7C"/>
    <w:rsid w:val="005F7455"/>
    <w:rsid w:val="00600E6A"/>
    <w:rsid w:val="00605B2C"/>
    <w:rsid w:val="00607910"/>
    <w:rsid w:val="00612F4D"/>
    <w:rsid w:val="00613E79"/>
    <w:rsid w:val="00615301"/>
    <w:rsid w:val="00616C57"/>
    <w:rsid w:val="006215AA"/>
    <w:rsid w:val="00622131"/>
    <w:rsid w:val="00622EA1"/>
    <w:rsid w:val="00624429"/>
    <w:rsid w:val="006252D7"/>
    <w:rsid w:val="00626007"/>
    <w:rsid w:val="0063149C"/>
    <w:rsid w:val="00631F2B"/>
    <w:rsid w:val="00632030"/>
    <w:rsid w:val="00632FA9"/>
    <w:rsid w:val="006338C3"/>
    <w:rsid w:val="00634FC6"/>
    <w:rsid w:val="00637FAE"/>
    <w:rsid w:val="006416E1"/>
    <w:rsid w:val="006420FD"/>
    <w:rsid w:val="00646676"/>
    <w:rsid w:val="00646FB6"/>
    <w:rsid w:val="00647353"/>
    <w:rsid w:val="00647461"/>
    <w:rsid w:val="00647E5A"/>
    <w:rsid w:val="0065343E"/>
    <w:rsid w:val="00654226"/>
    <w:rsid w:val="00654C3C"/>
    <w:rsid w:val="00654E4B"/>
    <w:rsid w:val="0065614F"/>
    <w:rsid w:val="006575DE"/>
    <w:rsid w:val="00660F34"/>
    <w:rsid w:val="00662241"/>
    <w:rsid w:val="00664DD6"/>
    <w:rsid w:val="006651C9"/>
    <w:rsid w:val="00667A0B"/>
    <w:rsid w:val="00667FAB"/>
    <w:rsid w:val="006706BD"/>
    <w:rsid w:val="00672147"/>
    <w:rsid w:val="006729B2"/>
    <w:rsid w:val="00673975"/>
    <w:rsid w:val="00673CD5"/>
    <w:rsid w:val="00674636"/>
    <w:rsid w:val="00675056"/>
    <w:rsid w:val="0067588D"/>
    <w:rsid w:val="0067645E"/>
    <w:rsid w:val="006770C3"/>
    <w:rsid w:val="006802EB"/>
    <w:rsid w:val="00681A67"/>
    <w:rsid w:val="00682756"/>
    <w:rsid w:val="00686E3D"/>
    <w:rsid w:val="00690B76"/>
    <w:rsid w:val="006910ED"/>
    <w:rsid w:val="0069121B"/>
    <w:rsid w:val="00691F12"/>
    <w:rsid w:val="00692EFF"/>
    <w:rsid w:val="006941E4"/>
    <w:rsid w:val="0069426F"/>
    <w:rsid w:val="00694E84"/>
    <w:rsid w:val="006964ED"/>
    <w:rsid w:val="006A0B3E"/>
    <w:rsid w:val="006A1588"/>
    <w:rsid w:val="006A2969"/>
    <w:rsid w:val="006A3C2F"/>
    <w:rsid w:val="006A41D1"/>
    <w:rsid w:val="006A67EE"/>
    <w:rsid w:val="006A694C"/>
    <w:rsid w:val="006A7E7B"/>
    <w:rsid w:val="006B0820"/>
    <w:rsid w:val="006B31B7"/>
    <w:rsid w:val="006B31BC"/>
    <w:rsid w:val="006B563E"/>
    <w:rsid w:val="006C0257"/>
    <w:rsid w:val="006C3E98"/>
    <w:rsid w:val="006C54D2"/>
    <w:rsid w:val="006C5AEF"/>
    <w:rsid w:val="006C66C5"/>
    <w:rsid w:val="006D0C44"/>
    <w:rsid w:val="006D2090"/>
    <w:rsid w:val="006D330C"/>
    <w:rsid w:val="006D3312"/>
    <w:rsid w:val="006D4097"/>
    <w:rsid w:val="006D5429"/>
    <w:rsid w:val="006D765B"/>
    <w:rsid w:val="006D772F"/>
    <w:rsid w:val="006E1F68"/>
    <w:rsid w:val="006E2A95"/>
    <w:rsid w:val="006E3666"/>
    <w:rsid w:val="006E3A99"/>
    <w:rsid w:val="006E4A75"/>
    <w:rsid w:val="006E4BF2"/>
    <w:rsid w:val="006E543F"/>
    <w:rsid w:val="006E66A9"/>
    <w:rsid w:val="006E6E3B"/>
    <w:rsid w:val="006E6E53"/>
    <w:rsid w:val="006E7253"/>
    <w:rsid w:val="006E79D2"/>
    <w:rsid w:val="006E7CA2"/>
    <w:rsid w:val="006F1260"/>
    <w:rsid w:val="006F1BDA"/>
    <w:rsid w:val="006F1FB9"/>
    <w:rsid w:val="006F28B0"/>
    <w:rsid w:val="006F48B0"/>
    <w:rsid w:val="006F4D2F"/>
    <w:rsid w:val="006F4FC1"/>
    <w:rsid w:val="006F559A"/>
    <w:rsid w:val="006F5C75"/>
    <w:rsid w:val="006F72EB"/>
    <w:rsid w:val="006F77A3"/>
    <w:rsid w:val="007000F8"/>
    <w:rsid w:val="00700C43"/>
    <w:rsid w:val="00700CC1"/>
    <w:rsid w:val="00702238"/>
    <w:rsid w:val="0070244D"/>
    <w:rsid w:val="00702E23"/>
    <w:rsid w:val="007034DE"/>
    <w:rsid w:val="00703DA2"/>
    <w:rsid w:val="00705D2C"/>
    <w:rsid w:val="00713BB2"/>
    <w:rsid w:val="0071440B"/>
    <w:rsid w:val="00714566"/>
    <w:rsid w:val="00716A13"/>
    <w:rsid w:val="00717A00"/>
    <w:rsid w:val="00717BE6"/>
    <w:rsid w:val="00717F57"/>
    <w:rsid w:val="007231C6"/>
    <w:rsid w:val="00723D77"/>
    <w:rsid w:val="00723EEC"/>
    <w:rsid w:val="00724283"/>
    <w:rsid w:val="00725433"/>
    <w:rsid w:val="007266F0"/>
    <w:rsid w:val="00726BCF"/>
    <w:rsid w:val="00727CB7"/>
    <w:rsid w:val="007311A5"/>
    <w:rsid w:val="007321D0"/>
    <w:rsid w:val="0073301E"/>
    <w:rsid w:val="00734460"/>
    <w:rsid w:val="00734958"/>
    <w:rsid w:val="00734CA2"/>
    <w:rsid w:val="00737F3B"/>
    <w:rsid w:val="00740AF0"/>
    <w:rsid w:val="007419E2"/>
    <w:rsid w:val="0074257C"/>
    <w:rsid w:val="00742981"/>
    <w:rsid w:val="00745D9E"/>
    <w:rsid w:val="007477D8"/>
    <w:rsid w:val="00751F28"/>
    <w:rsid w:val="00753536"/>
    <w:rsid w:val="0075562E"/>
    <w:rsid w:val="007610A1"/>
    <w:rsid w:val="007629B7"/>
    <w:rsid w:val="007629BA"/>
    <w:rsid w:val="0076548E"/>
    <w:rsid w:val="0076730C"/>
    <w:rsid w:val="007703F0"/>
    <w:rsid w:val="00772FCF"/>
    <w:rsid w:val="0077380F"/>
    <w:rsid w:val="0078143B"/>
    <w:rsid w:val="00784561"/>
    <w:rsid w:val="00792FE7"/>
    <w:rsid w:val="0079425D"/>
    <w:rsid w:val="007A088E"/>
    <w:rsid w:val="007A0DE2"/>
    <w:rsid w:val="007A163F"/>
    <w:rsid w:val="007A1A2C"/>
    <w:rsid w:val="007A2192"/>
    <w:rsid w:val="007A2D67"/>
    <w:rsid w:val="007A47A4"/>
    <w:rsid w:val="007A4EF7"/>
    <w:rsid w:val="007A6C50"/>
    <w:rsid w:val="007A6F48"/>
    <w:rsid w:val="007A75B2"/>
    <w:rsid w:val="007B27A1"/>
    <w:rsid w:val="007B30BD"/>
    <w:rsid w:val="007B31E6"/>
    <w:rsid w:val="007B5CF2"/>
    <w:rsid w:val="007B6B3E"/>
    <w:rsid w:val="007B7614"/>
    <w:rsid w:val="007B77C6"/>
    <w:rsid w:val="007C0CB7"/>
    <w:rsid w:val="007C1D94"/>
    <w:rsid w:val="007C2CF1"/>
    <w:rsid w:val="007C4EA5"/>
    <w:rsid w:val="007C7BC3"/>
    <w:rsid w:val="007C7EC7"/>
    <w:rsid w:val="007C7EDA"/>
    <w:rsid w:val="007D12E9"/>
    <w:rsid w:val="007D3111"/>
    <w:rsid w:val="007D47E8"/>
    <w:rsid w:val="007D4FAB"/>
    <w:rsid w:val="007D54E0"/>
    <w:rsid w:val="007D61B1"/>
    <w:rsid w:val="007D6E42"/>
    <w:rsid w:val="007D79E5"/>
    <w:rsid w:val="007E08FA"/>
    <w:rsid w:val="007E1A14"/>
    <w:rsid w:val="007E1C08"/>
    <w:rsid w:val="007F0A45"/>
    <w:rsid w:val="007F2D2E"/>
    <w:rsid w:val="007F2DE8"/>
    <w:rsid w:val="007F3A81"/>
    <w:rsid w:val="007F40A7"/>
    <w:rsid w:val="007F51FB"/>
    <w:rsid w:val="007F63ED"/>
    <w:rsid w:val="007F77C5"/>
    <w:rsid w:val="007F78EB"/>
    <w:rsid w:val="007F7A19"/>
    <w:rsid w:val="008003C5"/>
    <w:rsid w:val="00800A7B"/>
    <w:rsid w:val="008011E6"/>
    <w:rsid w:val="00801AF6"/>
    <w:rsid w:val="00801EC3"/>
    <w:rsid w:val="00802FB1"/>
    <w:rsid w:val="00805C7D"/>
    <w:rsid w:val="00806BDE"/>
    <w:rsid w:val="00811672"/>
    <w:rsid w:val="00811BF7"/>
    <w:rsid w:val="00812B87"/>
    <w:rsid w:val="008139D3"/>
    <w:rsid w:val="00813EDF"/>
    <w:rsid w:val="00816D41"/>
    <w:rsid w:val="008170BC"/>
    <w:rsid w:val="008175FD"/>
    <w:rsid w:val="008206BB"/>
    <w:rsid w:val="00820997"/>
    <w:rsid w:val="00821EE9"/>
    <w:rsid w:val="00824CA0"/>
    <w:rsid w:val="00825704"/>
    <w:rsid w:val="0082584B"/>
    <w:rsid w:val="0082621D"/>
    <w:rsid w:val="00826D88"/>
    <w:rsid w:val="008278F3"/>
    <w:rsid w:val="00834849"/>
    <w:rsid w:val="00835A88"/>
    <w:rsid w:val="008361F3"/>
    <w:rsid w:val="008375DA"/>
    <w:rsid w:val="0084054D"/>
    <w:rsid w:val="0084124C"/>
    <w:rsid w:val="0084207C"/>
    <w:rsid w:val="00842D34"/>
    <w:rsid w:val="00842DDF"/>
    <w:rsid w:val="00843AF5"/>
    <w:rsid w:val="00843E0F"/>
    <w:rsid w:val="00843E4B"/>
    <w:rsid w:val="00844664"/>
    <w:rsid w:val="0084466D"/>
    <w:rsid w:val="008450AC"/>
    <w:rsid w:val="0084702A"/>
    <w:rsid w:val="00847BF9"/>
    <w:rsid w:val="00847C27"/>
    <w:rsid w:val="00854C6E"/>
    <w:rsid w:val="00854DE3"/>
    <w:rsid w:val="008557B9"/>
    <w:rsid w:val="008558C2"/>
    <w:rsid w:val="008564B3"/>
    <w:rsid w:val="00856E78"/>
    <w:rsid w:val="00856EC0"/>
    <w:rsid w:val="00860BF7"/>
    <w:rsid w:val="00860F87"/>
    <w:rsid w:val="0086284B"/>
    <w:rsid w:val="00862FF2"/>
    <w:rsid w:val="0086381D"/>
    <w:rsid w:val="00863E0E"/>
    <w:rsid w:val="008744FC"/>
    <w:rsid w:val="008746C4"/>
    <w:rsid w:val="00874E6E"/>
    <w:rsid w:val="008761C1"/>
    <w:rsid w:val="0087624A"/>
    <w:rsid w:val="00877515"/>
    <w:rsid w:val="00880D6A"/>
    <w:rsid w:val="00882410"/>
    <w:rsid w:val="008830BF"/>
    <w:rsid w:val="008926E6"/>
    <w:rsid w:val="00894417"/>
    <w:rsid w:val="00897D8B"/>
    <w:rsid w:val="008A325E"/>
    <w:rsid w:val="008A3498"/>
    <w:rsid w:val="008A62EE"/>
    <w:rsid w:val="008A6CB7"/>
    <w:rsid w:val="008A6EE3"/>
    <w:rsid w:val="008A72E5"/>
    <w:rsid w:val="008A7A1A"/>
    <w:rsid w:val="008B0BDC"/>
    <w:rsid w:val="008B0F64"/>
    <w:rsid w:val="008B375A"/>
    <w:rsid w:val="008B6060"/>
    <w:rsid w:val="008B6DE7"/>
    <w:rsid w:val="008B6DF0"/>
    <w:rsid w:val="008C01D5"/>
    <w:rsid w:val="008C1338"/>
    <w:rsid w:val="008C1DD0"/>
    <w:rsid w:val="008C25E2"/>
    <w:rsid w:val="008C555D"/>
    <w:rsid w:val="008C6D94"/>
    <w:rsid w:val="008C75B4"/>
    <w:rsid w:val="008D0AB6"/>
    <w:rsid w:val="008D11EE"/>
    <w:rsid w:val="008D1F21"/>
    <w:rsid w:val="008D409F"/>
    <w:rsid w:val="008D4639"/>
    <w:rsid w:val="008D710C"/>
    <w:rsid w:val="008E40BB"/>
    <w:rsid w:val="008E4848"/>
    <w:rsid w:val="008E6BD3"/>
    <w:rsid w:val="008E7A16"/>
    <w:rsid w:val="008E7B05"/>
    <w:rsid w:val="008E7ECD"/>
    <w:rsid w:val="008F28C9"/>
    <w:rsid w:val="008F5DA3"/>
    <w:rsid w:val="008F61DE"/>
    <w:rsid w:val="008F62B7"/>
    <w:rsid w:val="008F6714"/>
    <w:rsid w:val="008F6967"/>
    <w:rsid w:val="00901A05"/>
    <w:rsid w:val="00902FE0"/>
    <w:rsid w:val="00903CAF"/>
    <w:rsid w:val="00905284"/>
    <w:rsid w:val="0090637D"/>
    <w:rsid w:val="00907679"/>
    <w:rsid w:val="00911100"/>
    <w:rsid w:val="00912302"/>
    <w:rsid w:val="00913226"/>
    <w:rsid w:val="00913577"/>
    <w:rsid w:val="009137C1"/>
    <w:rsid w:val="009148B8"/>
    <w:rsid w:val="00915A91"/>
    <w:rsid w:val="00916BB1"/>
    <w:rsid w:val="00916C4E"/>
    <w:rsid w:val="00920401"/>
    <w:rsid w:val="00921836"/>
    <w:rsid w:val="009218E9"/>
    <w:rsid w:val="00923040"/>
    <w:rsid w:val="009237CB"/>
    <w:rsid w:val="00924572"/>
    <w:rsid w:val="0092469B"/>
    <w:rsid w:val="009249A5"/>
    <w:rsid w:val="00932AB9"/>
    <w:rsid w:val="00934C60"/>
    <w:rsid w:val="009350EA"/>
    <w:rsid w:val="00935DF5"/>
    <w:rsid w:val="00935F13"/>
    <w:rsid w:val="00936007"/>
    <w:rsid w:val="009372D4"/>
    <w:rsid w:val="00943DFB"/>
    <w:rsid w:val="009466C4"/>
    <w:rsid w:val="00947099"/>
    <w:rsid w:val="0094780A"/>
    <w:rsid w:val="00947C74"/>
    <w:rsid w:val="00951AC3"/>
    <w:rsid w:val="00951B42"/>
    <w:rsid w:val="00952EB0"/>
    <w:rsid w:val="00954C4A"/>
    <w:rsid w:val="00957BA9"/>
    <w:rsid w:val="00960AFC"/>
    <w:rsid w:val="00960EFA"/>
    <w:rsid w:val="0096158D"/>
    <w:rsid w:val="00962E24"/>
    <w:rsid w:val="00964729"/>
    <w:rsid w:val="0096786D"/>
    <w:rsid w:val="00970EBD"/>
    <w:rsid w:val="009715DD"/>
    <w:rsid w:val="00971738"/>
    <w:rsid w:val="009725AD"/>
    <w:rsid w:val="00976184"/>
    <w:rsid w:val="00977DCD"/>
    <w:rsid w:val="00980807"/>
    <w:rsid w:val="009808F7"/>
    <w:rsid w:val="00981E62"/>
    <w:rsid w:val="0098216C"/>
    <w:rsid w:val="00982FC2"/>
    <w:rsid w:val="009836D3"/>
    <w:rsid w:val="00983AB7"/>
    <w:rsid w:val="00983E34"/>
    <w:rsid w:val="0098424A"/>
    <w:rsid w:val="00984515"/>
    <w:rsid w:val="009848B1"/>
    <w:rsid w:val="00984984"/>
    <w:rsid w:val="0098656A"/>
    <w:rsid w:val="009879B2"/>
    <w:rsid w:val="009901EC"/>
    <w:rsid w:val="009908BC"/>
    <w:rsid w:val="00990E3C"/>
    <w:rsid w:val="00993D42"/>
    <w:rsid w:val="00995F8A"/>
    <w:rsid w:val="0099669E"/>
    <w:rsid w:val="00997907"/>
    <w:rsid w:val="00997993"/>
    <w:rsid w:val="009A0DC3"/>
    <w:rsid w:val="009A0E8C"/>
    <w:rsid w:val="009A2404"/>
    <w:rsid w:val="009A2A4B"/>
    <w:rsid w:val="009A3150"/>
    <w:rsid w:val="009A38D1"/>
    <w:rsid w:val="009A3B62"/>
    <w:rsid w:val="009A6ACE"/>
    <w:rsid w:val="009A76FA"/>
    <w:rsid w:val="009B1097"/>
    <w:rsid w:val="009C1261"/>
    <w:rsid w:val="009C3D0A"/>
    <w:rsid w:val="009C66BD"/>
    <w:rsid w:val="009D0533"/>
    <w:rsid w:val="009D095D"/>
    <w:rsid w:val="009D22C4"/>
    <w:rsid w:val="009E02B5"/>
    <w:rsid w:val="009E26D3"/>
    <w:rsid w:val="009E2745"/>
    <w:rsid w:val="009E287A"/>
    <w:rsid w:val="009E2A00"/>
    <w:rsid w:val="009E2A61"/>
    <w:rsid w:val="009E6E88"/>
    <w:rsid w:val="009E71A6"/>
    <w:rsid w:val="009E7EF9"/>
    <w:rsid w:val="009F0BCC"/>
    <w:rsid w:val="009F0F84"/>
    <w:rsid w:val="009F10A9"/>
    <w:rsid w:val="009F1436"/>
    <w:rsid w:val="009F1F37"/>
    <w:rsid w:val="009F30AF"/>
    <w:rsid w:val="009F3EC6"/>
    <w:rsid w:val="009F48EA"/>
    <w:rsid w:val="009F49CD"/>
    <w:rsid w:val="00A00B16"/>
    <w:rsid w:val="00A01DC6"/>
    <w:rsid w:val="00A0247D"/>
    <w:rsid w:val="00A03921"/>
    <w:rsid w:val="00A03E72"/>
    <w:rsid w:val="00A04B8C"/>
    <w:rsid w:val="00A05A4E"/>
    <w:rsid w:val="00A11166"/>
    <w:rsid w:val="00A11A8F"/>
    <w:rsid w:val="00A13867"/>
    <w:rsid w:val="00A15740"/>
    <w:rsid w:val="00A15CB4"/>
    <w:rsid w:val="00A17442"/>
    <w:rsid w:val="00A20378"/>
    <w:rsid w:val="00A20FF4"/>
    <w:rsid w:val="00A26809"/>
    <w:rsid w:val="00A27393"/>
    <w:rsid w:val="00A2759C"/>
    <w:rsid w:val="00A32873"/>
    <w:rsid w:val="00A378FE"/>
    <w:rsid w:val="00A41A75"/>
    <w:rsid w:val="00A438C8"/>
    <w:rsid w:val="00A446BB"/>
    <w:rsid w:val="00A44F06"/>
    <w:rsid w:val="00A46EE9"/>
    <w:rsid w:val="00A47395"/>
    <w:rsid w:val="00A50633"/>
    <w:rsid w:val="00A50ADF"/>
    <w:rsid w:val="00A52330"/>
    <w:rsid w:val="00A536D7"/>
    <w:rsid w:val="00A53AE1"/>
    <w:rsid w:val="00A54236"/>
    <w:rsid w:val="00A55342"/>
    <w:rsid w:val="00A5635D"/>
    <w:rsid w:val="00A57F7F"/>
    <w:rsid w:val="00A6083F"/>
    <w:rsid w:val="00A64A1C"/>
    <w:rsid w:val="00A702BF"/>
    <w:rsid w:val="00A715F8"/>
    <w:rsid w:val="00A7177F"/>
    <w:rsid w:val="00A7199F"/>
    <w:rsid w:val="00A72E49"/>
    <w:rsid w:val="00A73DC2"/>
    <w:rsid w:val="00A73EEE"/>
    <w:rsid w:val="00A756E4"/>
    <w:rsid w:val="00A764CD"/>
    <w:rsid w:val="00A776A2"/>
    <w:rsid w:val="00A806DE"/>
    <w:rsid w:val="00A81F2F"/>
    <w:rsid w:val="00A82B3E"/>
    <w:rsid w:val="00A83D5F"/>
    <w:rsid w:val="00A83F34"/>
    <w:rsid w:val="00A864B9"/>
    <w:rsid w:val="00A86810"/>
    <w:rsid w:val="00A87254"/>
    <w:rsid w:val="00A9046E"/>
    <w:rsid w:val="00A92CEE"/>
    <w:rsid w:val="00A92E9F"/>
    <w:rsid w:val="00A9328C"/>
    <w:rsid w:val="00A938C2"/>
    <w:rsid w:val="00A978EF"/>
    <w:rsid w:val="00AA0CA7"/>
    <w:rsid w:val="00AA2082"/>
    <w:rsid w:val="00AA354F"/>
    <w:rsid w:val="00AA3AE8"/>
    <w:rsid w:val="00AA3CE7"/>
    <w:rsid w:val="00AA3FCF"/>
    <w:rsid w:val="00AA4570"/>
    <w:rsid w:val="00AA686E"/>
    <w:rsid w:val="00AA6AAB"/>
    <w:rsid w:val="00AB1003"/>
    <w:rsid w:val="00AB11FE"/>
    <w:rsid w:val="00AB18E6"/>
    <w:rsid w:val="00AB234A"/>
    <w:rsid w:val="00AB30C7"/>
    <w:rsid w:val="00AB317C"/>
    <w:rsid w:val="00AB4670"/>
    <w:rsid w:val="00AB500F"/>
    <w:rsid w:val="00AB5B63"/>
    <w:rsid w:val="00AB614D"/>
    <w:rsid w:val="00AB7E33"/>
    <w:rsid w:val="00AB7FE8"/>
    <w:rsid w:val="00AC15DE"/>
    <w:rsid w:val="00AC202D"/>
    <w:rsid w:val="00AC2BC5"/>
    <w:rsid w:val="00AC32F9"/>
    <w:rsid w:val="00AC337D"/>
    <w:rsid w:val="00AC40F8"/>
    <w:rsid w:val="00AC4A7C"/>
    <w:rsid w:val="00AC66EE"/>
    <w:rsid w:val="00AC688F"/>
    <w:rsid w:val="00AC6E2E"/>
    <w:rsid w:val="00AC75E6"/>
    <w:rsid w:val="00AD5AA1"/>
    <w:rsid w:val="00AD5F8C"/>
    <w:rsid w:val="00AD720B"/>
    <w:rsid w:val="00AE0330"/>
    <w:rsid w:val="00AE0483"/>
    <w:rsid w:val="00AE1BC6"/>
    <w:rsid w:val="00AE2016"/>
    <w:rsid w:val="00AE23E0"/>
    <w:rsid w:val="00AE3EF3"/>
    <w:rsid w:val="00AE4024"/>
    <w:rsid w:val="00AE5EAB"/>
    <w:rsid w:val="00AE652F"/>
    <w:rsid w:val="00AE7747"/>
    <w:rsid w:val="00AF20BE"/>
    <w:rsid w:val="00AF212F"/>
    <w:rsid w:val="00AF37C6"/>
    <w:rsid w:val="00AF466C"/>
    <w:rsid w:val="00AF4B79"/>
    <w:rsid w:val="00AF613D"/>
    <w:rsid w:val="00AF6210"/>
    <w:rsid w:val="00AF7B36"/>
    <w:rsid w:val="00B0018E"/>
    <w:rsid w:val="00B0400A"/>
    <w:rsid w:val="00B04639"/>
    <w:rsid w:val="00B06243"/>
    <w:rsid w:val="00B06E57"/>
    <w:rsid w:val="00B1189B"/>
    <w:rsid w:val="00B11F98"/>
    <w:rsid w:val="00B12C27"/>
    <w:rsid w:val="00B12C6F"/>
    <w:rsid w:val="00B13A12"/>
    <w:rsid w:val="00B20CDA"/>
    <w:rsid w:val="00B23434"/>
    <w:rsid w:val="00B25AA4"/>
    <w:rsid w:val="00B26205"/>
    <w:rsid w:val="00B2747F"/>
    <w:rsid w:val="00B30FAF"/>
    <w:rsid w:val="00B31DA9"/>
    <w:rsid w:val="00B32385"/>
    <w:rsid w:val="00B32E16"/>
    <w:rsid w:val="00B331D0"/>
    <w:rsid w:val="00B339A2"/>
    <w:rsid w:val="00B33B8D"/>
    <w:rsid w:val="00B37585"/>
    <w:rsid w:val="00B37814"/>
    <w:rsid w:val="00B37B0B"/>
    <w:rsid w:val="00B41349"/>
    <w:rsid w:val="00B42381"/>
    <w:rsid w:val="00B42FEE"/>
    <w:rsid w:val="00B42FF5"/>
    <w:rsid w:val="00B43DC3"/>
    <w:rsid w:val="00B45D91"/>
    <w:rsid w:val="00B45E13"/>
    <w:rsid w:val="00B5041C"/>
    <w:rsid w:val="00B5493C"/>
    <w:rsid w:val="00B5498E"/>
    <w:rsid w:val="00B55734"/>
    <w:rsid w:val="00B57533"/>
    <w:rsid w:val="00B57D06"/>
    <w:rsid w:val="00B6127D"/>
    <w:rsid w:val="00B61321"/>
    <w:rsid w:val="00B627EC"/>
    <w:rsid w:val="00B642E4"/>
    <w:rsid w:val="00B64BD3"/>
    <w:rsid w:val="00B64EAB"/>
    <w:rsid w:val="00B6791B"/>
    <w:rsid w:val="00B72E98"/>
    <w:rsid w:val="00B730E9"/>
    <w:rsid w:val="00B739AD"/>
    <w:rsid w:val="00B7406A"/>
    <w:rsid w:val="00B74AA3"/>
    <w:rsid w:val="00B76053"/>
    <w:rsid w:val="00B769E0"/>
    <w:rsid w:val="00B8221B"/>
    <w:rsid w:val="00B830FD"/>
    <w:rsid w:val="00B8386B"/>
    <w:rsid w:val="00B84E32"/>
    <w:rsid w:val="00B84E88"/>
    <w:rsid w:val="00B856AC"/>
    <w:rsid w:val="00B86207"/>
    <w:rsid w:val="00B869F9"/>
    <w:rsid w:val="00B91D3A"/>
    <w:rsid w:val="00B91FC7"/>
    <w:rsid w:val="00B95CE9"/>
    <w:rsid w:val="00B965E1"/>
    <w:rsid w:val="00B975D5"/>
    <w:rsid w:val="00B976C9"/>
    <w:rsid w:val="00B977C6"/>
    <w:rsid w:val="00BA1EE6"/>
    <w:rsid w:val="00BA272C"/>
    <w:rsid w:val="00BA3047"/>
    <w:rsid w:val="00BA3304"/>
    <w:rsid w:val="00BA38E0"/>
    <w:rsid w:val="00BA7366"/>
    <w:rsid w:val="00BB00F5"/>
    <w:rsid w:val="00BB0168"/>
    <w:rsid w:val="00BB31D1"/>
    <w:rsid w:val="00BB529F"/>
    <w:rsid w:val="00BB5EC4"/>
    <w:rsid w:val="00BB6450"/>
    <w:rsid w:val="00BC1346"/>
    <w:rsid w:val="00BC48DC"/>
    <w:rsid w:val="00BC5D0A"/>
    <w:rsid w:val="00BC7E03"/>
    <w:rsid w:val="00BD0411"/>
    <w:rsid w:val="00BD096F"/>
    <w:rsid w:val="00BD1474"/>
    <w:rsid w:val="00BD1614"/>
    <w:rsid w:val="00BD50CB"/>
    <w:rsid w:val="00BD513E"/>
    <w:rsid w:val="00BD6C74"/>
    <w:rsid w:val="00BD7455"/>
    <w:rsid w:val="00BE0E8E"/>
    <w:rsid w:val="00BE30E6"/>
    <w:rsid w:val="00BF065B"/>
    <w:rsid w:val="00BF20E7"/>
    <w:rsid w:val="00BF2C67"/>
    <w:rsid w:val="00BF58B4"/>
    <w:rsid w:val="00BF5DF3"/>
    <w:rsid w:val="00BF5E85"/>
    <w:rsid w:val="00BF7036"/>
    <w:rsid w:val="00BF75C7"/>
    <w:rsid w:val="00C01087"/>
    <w:rsid w:val="00C029AE"/>
    <w:rsid w:val="00C03ABA"/>
    <w:rsid w:val="00C03B66"/>
    <w:rsid w:val="00C0439C"/>
    <w:rsid w:val="00C06A3F"/>
    <w:rsid w:val="00C0729E"/>
    <w:rsid w:val="00C11F9C"/>
    <w:rsid w:val="00C126E2"/>
    <w:rsid w:val="00C1289D"/>
    <w:rsid w:val="00C13DEB"/>
    <w:rsid w:val="00C14131"/>
    <w:rsid w:val="00C15B64"/>
    <w:rsid w:val="00C1687A"/>
    <w:rsid w:val="00C16D5C"/>
    <w:rsid w:val="00C179A2"/>
    <w:rsid w:val="00C201DD"/>
    <w:rsid w:val="00C2141C"/>
    <w:rsid w:val="00C216FC"/>
    <w:rsid w:val="00C21B4E"/>
    <w:rsid w:val="00C22ED0"/>
    <w:rsid w:val="00C257DA"/>
    <w:rsid w:val="00C27A3C"/>
    <w:rsid w:val="00C27E39"/>
    <w:rsid w:val="00C27E95"/>
    <w:rsid w:val="00C320BB"/>
    <w:rsid w:val="00C326D6"/>
    <w:rsid w:val="00C32B3F"/>
    <w:rsid w:val="00C32FD7"/>
    <w:rsid w:val="00C34100"/>
    <w:rsid w:val="00C34495"/>
    <w:rsid w:val="00C35181"/>
    <w:rsid w:val="00C36A4C"/>
    <w:rsid w:val="00C37210"/>
    <w:rsid w:val="00C37CA6"/>
    <w:rsid w:val="00C40164"/>
    <w:rsid w:val="00C40CF7"/>
    <w:rsid w:val="00C41066"/>
    <w:rsid w:val="00C418A0"/>
    <w:rsid w:val="00C44ACB"/>
    <w:rsid w:val="00C44CDB"/>
    <w:rsid w:val="00C5220A"/>
    <w:rsid w:val="00C5365F"/>
    <w:rsid w:val="00C5387B"/>
    <w:rsid w:val="00C63BFB"/>
    <w:rsid w:val="00C66951"/>
    <w:rsid w:val="00C704F9"/>
    <w:rsid w:val="00C70899"/>
    <w:rsid w:val="00C72A8B"/>
    <w:rsid w:val="00C74286"/>
    <w:rsid w:val="00C7465A"/>
    <w:rsid w:val="00C74A10"/>
    <w:rsid w:val="00C7522B"/>
    <w:rsid w:val="00C75475"/>
    <w:rsid w:val="00C762AA"/>
    <w:rsid w:val="00C76351"/>
    <w:rsid w:val="00C7697F"/>
    <w:rsid w:val="00C76AC9"/>
    <w:rsid w:val="00C773C8"/>
    <w:rsid w:val="00C80F74"/>
    <w:rsid w:val="00C82CB9"/>
    <w:rsid w:val="00C83629"/>
    <w:rsid w:val="00C863E8"/>
    <w:rsid w:val="00C86770"/>
    <w:rsid w:val="00C90A49"/>
    <w:rsid w:val="00C91734"/>
    <w:rsid w:val="00C93937"/>
    <w:rsid w:val="00C93968"/>
    <w:rsid w:val="00C95011"/>
    <w:rsid w:val="00C96124"/>
    <w:rsid w:val="00CA1B63"/>
    <w:rsid w:val="00CA1ECB"/>
    <w:rsid w:val="00CA29A1"/>
    <w:rsid w:val="00CA3FA9"/>
    <w:rsid w:val="00CA491A"/>
    <w:rsid w:val="00CA7124"/>
    <w:rsid w:val="00CB1A1C"/>
    <w:rsid w:val="00CB1C40"/>
    <w:rsid w:val="00CB2A38"/>
    <w:rsid w:val="00CB620D"/>
    <w:rsid w:val="00CB792A"/>
    <w:rsid w:val="00CC0A8E"/>
    <w:rsid w:val="00CC6193"/>
    <w:rsid w:val="00CC64DD"/>
    <w:rsid w:val="00CC7B1A"/>
    <w:rsid w:val="00CD10D6"/>
    <w:rsid w:val="00CD1648"/>
    <w:rsid w:val="00CD289B"/>
    <w:rsid w:val="00CD4150"/>
    <w:rsid w:val="00CD4855"/>
    <w:rsid w:val="00CD4FE4"/>
    <w:rsid w:val="00CD6AC0"/>
    <w:rsid w:val="00CD7722"/>
    <w:rsid w:val="00CD7C5A"/>
    <w:rsid w:val="00CE081D"/>
    <w:rsid w:val="00CE25B0"/>
    <w:rsid w:val="00CE49D2"/>
    <w:rsid w:val="00CE554A"/>
    <w:rsid w:val="00CE6D46"/>
    <w:rsid w:val="00CE6FFF"/>
    <w:rsid w:val="00CF1012"/>
    <w:rsid w:val="00CF1ACA"/>
    <w:rsid w:val="00CF2A17"/>
    <w:rsid w:val="00CF3C9E"/>
    <w:rsid w:val="00CF677E"/>
    <w:rsid w:val="00D0228D"/>
    <w:rsid w:val="00D02E5B"/>
    <w:rsid w:val="00D0331E"/>
    <w:rsid w:val="00D04FF0"/>
    <w:rsid w:val="00D067FB"/>
    <w:rsid w:val="00D10099"/>
    <w:rsid w:val="00D10ABE"/>
    <w:rsid w:val="00D11C86"/>
    <w:rsid w:val="00D12773"/>
    <w:rsid w:val="00D131E4"/>
    <w:rsid w:val="00D144C2"/>
    <w:rsid w:val="00D145FA"/>
    <w:rsid w:val="00D156AD"/>
    <w:rsid w:val="00D159CE"/>
    <w:rsid w:val="00D15C7F"/>
    <w:rsid w:val="00D16C09"/>
    <w:rsid w:val="00D170FA"/>
    <w:rsid w:val="00D208DA"/>
    <w:rsid w:val="00D22797"/>
    <w:rsid w:val="00D2423E"/>
    <w:rsid w:val="00D2448E"/>
    <w:rsid w:val="00D25168"/>
    <w:rsid w:val="00D27512"/>
    <w:rsid w:val="00D323A2"/>
    <w:rsid w:val="00D33DF0"/>
    <w:rsid w:val="00D35CDA"/>
    <w:rsid w:val="00D37626"/>
    <w:rsid w:val="00D40141"/>
    <w:rsid w:val="00D40437"/>
    <w:rsid w:val="00D41560"/>
    <w:rsid w:val="00D41568"/>
    <w:rsid w:val="00D4513B"/>
    <w:rsid w:val="00D463E4"/>
    <w:rsid w:val="00D46BBC"/>
    <w:rsid w:val="00D509E3"/>
    <w:rsid w:val="00D542C5"/>
    <w:rsid w:val="00D54F92"/>
    <w:rsid w:val="00D57760"/>
    <w:rsid w:val="00D60DB6"/>
    <w:rsid w:val="00D6105A"/>
    <w:rsid w:val="00D644E3"/>
    <w:rsid w:val="00D6559B"/>
    <w:rsid w:val="00D66A0A"/>
    <w:rsid w:val="00D70395"/>
    <w:rsid w:val="00D724D9"/>
    <w:rsid w:val="00D726C3"/>
    <w:rsid w:val="00D738BB"/>
    <w:rsid w:val="00D7458A"/>
    <w:rsid w:val="00D769DA"/>
    <w:rsid w:val="00D76EE1"/>
    <w:rsid w:val="00D770CF"/>
    <w:rsid w:val="00D80407"/>
    <w:rsid w:val="00D81B1A"/>
    <w:rsid w:val="00D822D0"/>
    <w:rsid w:val="00D83042"/>
    <w:rsid w:val="00D833AE"/>
    <w:rsid w:val="00D83597"/>
    <w:rsid w:val="00D84505"/>
    <w:rsid w:val="00D84E3E"/>
    <w:rsid w:val="00D869DB"/>
    <w:rsid w:val="00D90B4A"/>
    <w:rsid w:val="00D90D46"/>
    <w:rsid w:val="00D916F7"/>
    <w:rsid w:val="00D9458F"/>
    <w:rsid w:val="00D94F7C"/>
    <w:rsid w:val="00D95374"/>
    <w:rsid w:val="00DA0238"/>
    <w:rsid w:val="00DA0A95"/>
    <w:rsid w:val="00DA0B83"/>
    <w:rsid w:val="00DA22CC"/>
    <w:rsid w:val="00DA7BC8"/>
    <w:rsid w:val="00DA7FFC"/>
    <w:rsid w:val="00DB13F9"/>
    <w:rsid w:val="00DB210F"/>
    <w:rsid w:val="00DB2305"/>
    <w:rsid w:val="00DB4218"/>
    <w:rsid w:val="00DB4586"/>
    <w:rsid w:val="00DB48DA"/>
    <w:rsid w:val="00DB4937"/>
    <w:rsid w:val="00DB6B5B"/>
    <w:rsid w:val="00DB7D08"/>
    <w:rsid w:val="00DC3C49"/>
    <w:rsid w:val="00DC3DDB"/>
    <w:rsid w:val="00DC411D"/>
    <w:rsid w:val="00DC4EE9"/>
    <w:rsid w:val="00DC691E"/>
    <w:rsid w:val="00DC6CFE"/>
    <w:rsid w:val="00DC7DBE"/>
    <w:rsid w:val="00DC7DC4"/>
    <w:rsid w:val="00DD0ABF"/>
    <w:rsid w:val="00DD0CE0"/>
    <w:rsid w:val="00DD1E2F"/>
    <w:rsid w:val="00DD2CC1"/>
    <w:rsid w:val="00DD2FA0"/>
    <w:rsid w:val="00DD460D"/>
    <w:rsid w:val="00DD53EA"/>
    <w:rsid w:val="00DD5CEF"/>
    <w:rsid w:val="00DE0FF9"/>
    <w:rsid w:val="00DE3240"/>
    <w:rsid w:val="00DE3E13"/>
    <w:rsid w:val="00DF06A8"/>
    <w:rsid w:val="00DF14BC"/>
    <w:rsid w:val="00DF2FA6"/>
    <w:rsid w:val="00DF7E42"/>
    <w:rsid w:val="00E01737"/>
    <w:rsid w:val="00E0229C"/>
    <w:rsid w:val="00E033C6"/>
    <w:rsid w:val="00E05E0F"/>
    <w:rsid w:val="00E07059"/>
    <w:rsid w:val="00E10505"/>
    <w:rsid w:val="00E10B28"/>
    <w:rsid w:val="00E10E37"/>
    <w:rsid w:val="00E111AF"/>
    <w:rsid w:val="00E111E4"/>
    <w:rsid w:val="00E11F7B"/>
    <w:rsid w:val="00E13FCE"/>
    <w:rsid w:val="00E1435B"/>
    <w:rsid w:val="00E14D16"/>
    <w:rsid w:val="00E15712"/>
    <w:rsid w:val="00E16AD4"/>
    <w:rsid w:val="00E17C95"/>
    <w:rsid w:val="00E20BE3"/>
    <w:rsid w:val="00E219E9"/>
    <w:rsid w:val="00E22326"/>
    <w:rsid w:val="00E234A7"/>
    <w:rsid w:val="00E2382E"/>
    <w:rsid w:val="00E24B05"/>
    <w:rsid w:val="00E264FA"/>
    <w:rsid w:val="00E271E1"/>
    <w:rsid w:val="00E30AEF"/>
    <w:rsid w:val="00E330E1"/>
    <w:rsid w:val="00E355E2"/>
    <w:rsid w:val="00E36207"/>
    <w:rsid w:val="00E368AA"/>
    <w:rsid w:val="00E43200"/>
    <w:rsid w:val="00E439E9"/>
    <w:rsid w:val="00E43D5D"/>
    <w:rsid w:val="00E4423D"/>
    <w:rsid w:val="00E45500"/>
    <w:rsid w:val="00E45894"/>
    <w:rsid w:val="00E460F6"/>
    <w:rsid w:val="00E460FF"/>
    <w:rsid w:val="00E465F6"/>
    <w:rsid w:val="00E4742A"/>
    <w:rsid w:val="00E50034"/>
    <w:rsid w:val="00E528E7"/>
    <w:rsid w:val="00E52E3C"/>
    <w:rsid w:val="00E539CA"/>
    <w:rsid w:val="00E54608"/>
    <w:rsid w:val="00E56D68"/>
    <w:rsid w:val="00E60661"/>
    <w:rsid w:val="00E607AE"/>
    <w:rsid w:val="00E6305F"/>
    <w:rsid w:val="00E63372"/>
    <w:rsid w:val="00E63590"/>
    <w:rsid w:val="00E63729"/>
    <w:rsid w:val="00E65F1B"/>
    <w:rsid w:val="00E65F3A"/>
    <w:rsid w:val="00E67489"/>
    <w:rsid w:val="00E67E8F"/>
    <w:rsid w:val="00E71CDA"/>
    <w:rsid w:val="00E765E9"/>
    <w:rsid w:val="00E800C7"/>
    <w:rsid w:val="00E849BF"/>
    <w:rsid w:val="00E84F8B"/>
    <w:rsid w:val="00E86368"/>
    <w:rsid w:val="00E87F35"/>
    <w:rsid w:val="00E91E36"/>
    <w:rsid w:val="00E93F26"/>
    <w:rsid w:val="00E95372"/>
    <w:rsid w:val="00E95581"/>
    <w:rsid w:val="00E95C4C"/>
    <w:rsid w:val="00E96FE9"/>
    <w:rsid w:val="00EA204D"/>
    <w:rsid w:val="00EA2A64"/>
    <w:rsid w:val="00EA2AE6"/>
    <w:rsid w:val="00EA3843"/>
    <w:rsid w:val="00EA7D3A"/>
    <w:rsid w:val="00EA7F09"/>
    <w:rsid w:val="00EB2330"/>
    <w:rsid w:val="00EB3C74"/>
    <w:rsid w:val="00EB782E"/>
    <w:rsid w:val="00EB7C0B"/>
    <w:rsid w:val="00EB7FAD"/>
    <w:rsid w:val="00EC00B1"/>
    <w:rsid w:val="00EC28E0"/>
    <w:rsid w:val="00EC3C67"/>
    <w:rsid w:val="00EC7B3A"/>
    <w:rsid w:val="00ED09F1"/>
    <w:rsid w:val="00ED0FB9"/>
    <w:rsid w:val="00ED3F30"/>
    <w:rsid w:val="00ED41C6"/>
    <w:rsid w:val="00ED53F6"/>
    <w:rsid w:val="00EE0221"/>
    <w:rsid w:val="00EE060E"/>
    <w:rsid w:val="00EE1C37"/>
    <w:rsid w:val="00EE3F38"/>
    <w:rsid w:val="00EE52E7"/>
    <w:rsid w:val="00EE56F2"/>
    <w:rsid w:val="00EE60C8"/>
    <w:rsid w:val="00EF1992"/>
    <w:rsid w:val="00EF216C"/>
    <w:rsid w:val="00EF2874"/>
    <w:rsid w:val="00EF3F11"/>
    <w:rsid w:val="00EF5C9E"/>
    <w:rsid w:val="00EF6B91"/>
    <w:rsid w:val="00EF6CEB"/>
    <w:rsid w:val="00EF6F82"/>
    <w:rsid w:val="00F0060A"/>
    <w:rsid w:val="00F0122D"/>
    <w:rsid w:val="00F01C24"/>
    <w:rsid w:val="00F0421F"/>
    <w:rsid w:val="00F04855"/>
    <w:rsid w:val="00F05737"/>
    <w:rsid w:val="00F05B49"/>
    <w:rsid w:val="00F074C3"/>
    <w:rsid w:val="00F10242"/>
    <w:rsid w:val="00F10794"/>
    <w:rsid w:val="00F136BD"/>
    <w:rsid w:val="00F13BA6"/>
    <w:rsid w:val="00F143D6"/>
    <w:rsid w:val="00F14620"/>
    <w:rsid w:val="00F1555E"/>
    <w:rsid w:val="00F157E4"/>
    <w:rsid w:val="00F16F4F"/>
    <w:rsid w:val="00F17E43"/>
    <w:rsid w:val="00F202BD"/>
    <w:rsid w:val="00F20A4C"/>
    <w:rsid w:val="00F229C1"/>
    <w:rsid w:val="00F23286"/>
    <w:rsid w:val="00F23986"/>
    <w:rsid w:val="00F23F31"/>
    <w:rsid w:val="00F23FB3"/>
    <w:rsid w:val="00F24EA5"/>
    <w:rsid w:val="00F268D7"/>
    <w:rsid w:val="00F26FA8"/>
    <w:rsid w:val="00F302B4"/>
    <w:rsid w:val="00F315B1"/>
    <w:rsid w:val="00F32110"/>
    <w:rsid w:val="00F32156"/>
    <w:rsid w:val="00F3248E"/>
    <w:rsid w:val="00F32BD7"/>
    <w:rsid w:val="00F334BE"/>
    <w:rsid w:val="00F33C95"/>
    <w:rsid w:val="00F3692D"/>
    <w:rsid w:val="00F37F49"/>
    <w:rsid w:val="00F408FD"/>
    <w:rsid w:val="00F434B5"/>
    <w:rsid w:val="00F447DE"/>
    <w:rsid w:val="00F45C89"/>
    <w:rsid w:val="00F50B54"/>
    <w:rsid w:val="00F530CF"/>
    <w:rsid w:val="00F54616"/>
    <w:rsid w:val="00F54628"/>
    <w:rsid w:val="00F54BB2"/>
    <w:rsid w:val="00F54C5D"/>
    <w:rsid w:val="00F54D1D"/>
    <w:rsid w:val="00F557E5"/>
    <w:rsid w:val="00F56EB7"/>
    <w:rsid w:val="00F6078B"/>
    <w:rsid w:val="00F61F46"/>
    <w:rsid w:val="00F63A61"/>
    <w:rsid w:val="00F652FE"/>
    <w:rsid w:val="00F66329"/>
    <w:rsid w:val="00F66F54"/>
    <w:rsid w:val="00F74762"/>
    <w:rsid w:val="00F7495E"/>
    <w:rsid w:val="00F75B55"/>
    <w:rsid w:val="00F75D97"/>
    <w:rsid w:val="00F803A4"/>
    <w:rsid w:val="00F8072A"/>
    <w:rsid w:val="00F81A1B"/>
    <w:rsid w:val="00F81BB5"/>
    <w:rsid w:val="00F81E60"/>
    <w:rsid w:val="00F827EF"/>
    <w:rsid w:val="00F85144"/>
    <w:rsid w:val="00F86A66"/>
    <w:rsid w:val="00F86B40"/>
    <w:rsid w:val="00F86B4F"/>
    <w:rsid w:val="00F87CCE"/>
    <w:rsid w:val="00F87D46"/>
    <w:rsid w:val="00F90359"/>
    <w:rsid w:val="00F9147C"/>
    <w:rsid w:val="00F92BEC"/>
    <w:rsid w:val="00F92F58"/>
    <w:rsid w:val="00F93B18"/>
    <w:rsid w:val="00F93D34"/>
    <w:rsid w:val="00F96542"/>
    <w:rsid w:val="00F97954"/>
    <w:rsid w:val="00FA03ED"/>
    <w:rsid w:val="00FA1DE2"/>
    <w:rsid w:val="00FA28AB"/>
    <w:rsid w:val="00FA32C4"/>
    <w:rsid w:val="00FA3FCC"/>
    <w:rsid w:val="00FA4962"/>
    <w:rsid w:val="00FA5E42"/>
    <w:rsid w:val="00FA6778"/>
    <w:rsid w:val="00FA7378"/>
    <w:rsid w:val="00FB0CDF"/>
    <w:rsid w:val="00FB1632"/>
    <w:rsid w:val="00FB1886"/>
    <w:rsid w:val="00FB5993"/>
    <w:rsid w:val="00FB67DD"/>
    <w:rsid w:val="00FB6C22"/>
    <w:rsid w:val="00FB774E"/>
    <w:rsid w:val="00FC097B"/>
    <w:rsid w:val="00FC0B48"/>
    <w:rsid w:val="00FC0BEF"/>
    <w:rsid w:val="00FC2BF2"/>
    <w:rsid w:val="00FC4710"/>
    <w:rsid w:val="00FC6D1E"/>
    <w:rsid w:val="00FD1C91"/>
    <w:rsid w:val="00FD36AD"/>
    <w:rsid w:val="00FD3B0D"/>
    <w:rsid w:val="00FD436E"/>
    <w:rsid w:val="00FD4457"/>
    <w:rsid w:val="00FD68EA"/>
    <w:rsid w:val="00FD7688"/>
    <w:rsid w:val="00FE111E"/>
    <w:rsid w:val="00FE1198"/>
    <w:rsid w:val="00FE458E"/>
    <w:rsid w:val="00FE4809"/>
    <w:rsid w:val="00FE4CEE"/>
    <w:rsid w:val="00FE4EC2"/>
    <w:rsid w:val="00FE5DE5"/>
    <w:rsid w:val="00FF0845"/>
    <w:rsid w:val="00FF13CD"/>
    <w:rsid w:val="00FF1914"/>
    <w:rsid w:val="00FF39E7"/>
    <w:rsid w:val="00FF4D67"/>
    <w:rsid w:val="00FF67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0E824"/>
  <w15:docId w15:val="{A2916DB7-E157-4E2E-AA29-963F1C32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B40"/>
    <w:pPr>
      <w:autoSpaceDE w:val="0"/>
      <w:autoSpaceDN w:val="0"/>
      <w:adjustRightInd w:val="0"/>
      <w:spacing w:after="184"/>
    </w:pPr>
    <w:rPr>
      <w:rFonts w:cstheme="minorHAnsi"/>
      <w:color w:val="000000" w:themeColor="text1"/>
      <w:sz w:val="22"/>
      <w:szCs w:val="22"/>
      <w:lang w:val="en-US"/>
    </w:rPr>
  </w:style>
  <w:style w:type="paragraph" w:styleId="Heading1">
    <w:name w:val="heading 1"/>
    <w:basedOn w:val="Heading2"/>
    <w:next w:val="Normal"/>
    <w:link w:val="Heading1Char"/>
    <w:uiPriority w:val="9"/>
    <w:qFormat/>
    <w:rsid w:val="00F74762"/>
    <w:pPr>
      <w:outlineLvl w:val="0"/>
    </w:pPr>
  </w:style>
  <w:style w:type="paragraph" w:styleId="Heading2">
    <w:name w:val="heading 2"/>
    <w:basedOn w:val="MDPI21heading1"/>
    <w:next w:val="Normal"/>
    <w:link w:val="Heading2Char"/>
    <w:uiPriority w:val="9"/>
    <w:unhideWhenUsed/>
    <w:qFormat/>
    <w:rsid w:val="00456512"/>
    <w:pPr>
      <w:ind w:left="0"/>
      <w:outlineLvl w:val="1"/>
    </w:pPr>
  </w:style>
  <w:style w:type="paragraph" w:styleId="Heading3">
    <w:name w:val="heading 3"/>
    <w:basedOn w:val="Normal"/>
    <w:next w:val="Normal"/>
    <w:link w:val="Heading3Char"/>
    <w:uiPriority w:val="9"/>
    <w:unhideWhenUsed/>
    <w:qFormat/>
    <w:rsid w:val="00A01DC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B58"/>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177B58"/>
    <w:rPr>
      <w:rFonts w:ascii="Palatino Linotype" w:eastAsia="SimSun" w:hAnsi="Palatino Linotype" w:cs="Times New Roman"/>
      <w:noProof/>
      <w:color w:val="000000"/>
      <w:sz w:val="20"/>
      <w:szCs w:val="18"/>
      <w:lang w:val="en-US" w:eastAsia="zh-CN"/>
    </w:rPr>
  </w:style>
  <w:style w:type="paragraph" w:styleId="Header">
    <w:name w:val="header"/>
    <w:basedOn w:val="Normal"/>
    <w:link w:val="HeaderChar"/>
    <w:uiPriority w:val="99"/>
    <w:rsid w:val="00177B5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177B58"/>
    <w:rPr>
      <w:rFonts w:ascii="Palatino Linotype" w:eastAsia="SimSun" w:hAnsi="Palatino Linotype" w:cs="Times New Roman"/>
      <w:noProof/>
      <w:color w:val="000000"/>
      <w:sz w:val="20"/>
      <w:szCs w:val="18"/>
      <w:lang w:val="en-US" w:eastAsia="zh-CN"/>
    </w:rPr>
  </w:style>
  <w:style w:type="paragraph" w:customStyle="1" w:styleId="MDPIfooterfirstpage">
    <w:name w:val="MDPI_footer_firstpage"/>
    <w:qFormat/>
    <w:rsid w:val="00177B58"/>
    <w:pPr>
      <w:tabs>
        <w:tab w:val="right" w:pos="8845"/>
      </w:tabs>
      <w:spacing w:line="160" w:lineRule="exact"/>
    </w:pPr>
    <w:rPr>
      <w:rFonts w:ascii="Palatino Linotype" w:eastAsia="Times New Roman" w:hAnsi="Palatino Linotype" w:cs="Times New Roman"/>
      <w:color w:val="000000"/>
      <w:sz w:val="16"/>
      <w:szCs w:val="20"/>
      <w:lang w:val="en-US" w:eastAsia="de-DE"/>
    </w:rPr>
  </w:style>
  <w:style w:type="paragraph" w:customStyle="1" w:styleId="MDPI21heading1">
    <w:name w:val="MDPI_2.1_heading1"/>
    <w:qFormat/>
    <w:rsid w:val="00177B58"/>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character" w:styleId="CommentReference">
    <w:name w:val="annotation reference"/>
    <w:uiPriority w:val="99"/>
    <w:rsid w:val="00177B58"/>
    <w:rPr>
      <w:sz w:val="21"/>
      <w:szCs w:val="21"/>
    </w:rPr>
  </w:style>
  <w:style w:type="paragraph" w:styleId="CommentText">
    <w:name w:val="annotation text"/>
    <w:basedOn w:val="Normal"/>
    <w:link w:val="CommentTextChar"/>
    <w:uiPriority w:val="99"/>
    <w:rsid w:val="00177B58"/>
  </w:style>
  <w:style w:type="character" w:customStyle="1" w:styleId="CommentTextChar">
    <w:name w:val="Comment Text Char"/>
    <w:basedOn w:val="DefaultParagraphFont"/>
    <w:link w:val="CommentText"/>
    <w:uiPriority w:val="99"/>
    <w:rsid w:val="00177B58"/>
    <w:rPr>
      <w:rFonts w:ascii="Palatino Linotype" w:eastAsia="SimSun" w:hAnsi="Palatino Linotype" w:cs="Times New Roman"/>
      <w:noProof/>
      <w:color w:val="000000"/>
      <w:sz w:val="20"/>
      <w:szCs w:val="20"/>
      <w:lang w:val="en-US" w:eastAsia="zh-CN"/>
    </w:rPr>
  </w:style>
  <w:style w:type="paragraph" w:styleId="NormalWeb">
    <w:name w:val="Normal (Web)"/>
    <w:basedOn w:val="Normal"/>
    <w:uiPriority w:val="99"/>
    <w:rsid w:val="00177B58"/>
    <w:rPr>
      <w:szCs w:val="24"/>
    </w:rPr>
  </w:style>
  <w:style w:type="paragraph" w:styleId="ListParagraph">
    <w:name w:val="List Paragraph"/>
    <w:basedOn w:val="Normal"/>
    <w:uiPriority w:val="34"/>
    <w:qFormat/>
    <w:rsid w:val="00177B58"/>
    <w:pPr>
      <w:ind w:left="720"/>
      <w:contextualSpacing/>
    </w:pPr>
  </w:style>
  <w:style w:type="paragraph" w:customStyle="1" w:styleId="Default">
    <w:name w:val="Default"/>
    <w:rsid w:val="00177B58"/>
    <w:pPr>
      <w:autoSpaceDE w:val="0"/>
      <w:autoSpaceDN w:val="0"/>
      <w:adjustRightInd w:val="0"/>
    </w:pPr>
    <w:rPr>
      <w:rFonts w:ascii="Arial" w:hAnsi="Arial" w:cs="Arial"/>
      <w:color w:val="000000"/>
      <w:lang w:val="en-US"/>
    </w:rPr>
  </w:style>
  <w:style w:type="character" w:styleId="LineNumber">
    <w:name w:val="line number"/>
    <w:basedOn w:val="DefaultParagraphFont"/>
    <w:uiPriority w:val="99"/>
    <w:semiHidden/>
    <w:unhideWhenUsed/>
    <w:rsid w:val="00177B58"/>
  </w:style>
  <w:style w:type="paragraph" w:styleId="CommentSubject">
    <w:name w:val="annotation subject"/>
    <w:basedOn w:val="CommentText"/>
    <w:next w:val="CommentText"/>
    <w:link w:val="CommentSubjectChar"/>
    <w:uiPriority w:val="99"/>
    <w:semiHidden/>
    <w:unhideWhenUsed/>
    <w:rsid w:val="00FE4CEE"/>
    <w:rPr>
      <w:b/>
      <w:bCs/>
    </w:rPr>
  </w:style>
  <w:style w:type="character" w:customStyle="1" w:styleId="CommentSubjectChar">
    <w:name w:val="Comment Subject Char"/>
    <w:basedOn w:val="CommentTextChar"/>
    <w:link w:val="CommentSubject"/>
    <w:uiPriority w:val="99"/>
    <w:semiHidden/>
    <w:rsid w:val="00FE4CEE"/>
    <w:rPr>
      <w:rFonts w:ascii="Palatino Linotype" w:eastAsia="SimSun" w:hAnsi="Palatino Linotype" w:cs="Times New Roman"/>
      <w:b/>
      <w:bCs/>
      <w:noProof/>
      <w:color w:val="000000"/>
      <w:sz w:val="20"/>
      <w:szCs w:val="20"/>
      <w:lang w:val="en-US" w:eastAsia="zh-CN"/>
    </w:rPr>
  </w:style>
  <w:style w:type="paragraph" w:styleId="Revision">
    <w:name w:val="Revision"/>
    <w:hidden/>
    <w:uiPriority w:val="99"/>
    <w:semiHidden/>
    <w:rsid w:val="00FE4CEE"/>
    <w:rPr>
      <w:rFonts w:ascii="Palatino Linotype" w:eastAsia="SimSun" w:hAnsi="Palatino Linotype" w:cs="Times New Roman"/>
      <w:noProof/>
      <w:color w:val="000000"/>
      <w:sz w:val="20"/>
      <w:szCs w:val="20"/>
      <w:lang w:val="en-US" w:eastAsia="zh-CN"/>
    </w:rPr>
  </w:style>
  <w:style w:type="character" w:customStyle="1" w:styleId="apple-converted-space">
    <w:name w:val="apple-converted-space"/>
    <w:basedOn w:val="DefaultParagraphFont"/>
    <w:rsid w:val="002C20F8"/>
  </w:style>
  <w:style w:type="table" w:styleId="TableGrid">
    <w:name w:val="Table Grid"/>
    <w:basedOn w:val="TableNormal"/>
    <w:uiPriority w:val="39"/>
    <w:rsid w:val="00E52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492ACD"/>
    <w:pPr>
      <w:spacing w:after="200"/>
    </w:pPr>
    <w:rPr>
      <w:i/>
      <w:iCs/>
      <w:color w:val="44546A" w:themeColor="text2"/>
      <w:sz w:val="18"/>
      <w:szCs w:val="18"/>
    </w:rPr>
  </w:style>
  <w:style w:type="table" w:styleId="PlainTable3">
    <w:name w:val="Plain Table 3"/>
    <w:basedOn w:val="TableNormal"/>
    <w:uiPriority w:val="43"/>
    <w:rsid w:val="000E78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456512"/>
    <w:rPr>
      <w:rFonts w:ascii="Palatino Linotype" w:eastAsia="Times New Roman" w:hAnsi="Palatino Linotype" w:cs="Times New Roman"/>
      <w:b/>
      <w:snapToGrid w:val="0"/>
      <w:color w:val="000000"/>
      <w:sz w:val="20"/>
      <w:szCs w:val="22"/>
      <w:lang w:val="en-US" w:eastAsia="de-DE" w:bidi="en-US"/>
    </w:rPr>
  </w:style>
  <w:style w:type="table" w:styleId="TableGridLight">
    <w:name w:val="Grid Table Light"/>
    <w:basedOn w:val="TableNormal"/>
    <w:uiPriority w:val="40"/>
    <w:rsid w:val="00F10794"/>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A01DC6"/>
    <w:rPr>
      <w:rFonts w:asciiTheme="majorHAnsi" w:eastAsiaTheme="majorEastAsia" w:hAnsiTheme="majorHAnsi" w:cstheme="majorBidi"/>
      <w:noProof/>
      <w:color w:val="1F3763" w:themeColor="accent1" w:themeShade="7F"/>
      <w:lang w:val="en-US" w:eastAsia="zh-CN"/>
    </w:rPr>
  </w:style>
  <w:style w:type="character" w:customStyle="1" w:styleId="Heading1Char">
    <w:name w:val="Heading 1 Char"/>
    <w:basedOn w:val="DefaultParagraphFont"/>
    <w:link w:val="Heading1"/>
    <w:uiPriority w:val="9"/>
    <w:rsid w:val="00F74762"/>
    <w:rPr>
      <w:rFonts w:ascii="Palatino Linotype" w:eastAsia="Times New Roman" w:hAnsi="Palatino Linotype" w:cs="Times New Roman"/>
      <w:b/>
      <w:snapToGrid w:val="0"/>
      <w:color w:val="000000"/>
      <w:sz w:val="20"/>
      <w:szCs w:val="22"/>
      <w:lang w:val="en-US" w:eastAsia="de-DE" w:bidi="en-US"/>
    </w:rPr>
  </w:style>
  <w:style w:type="paragraph" w:styleId="FootnoteText">
    <w:name w:val="footnote text"/>
    <w:basedOn w:val="Normal"/>
    <w:link w:val="FootnoteTextChar"/>
    <w:uiPriority w:val="99"/>
    <w:semiHidden/>
    <w:unhideWhenUsed/>
    <w:rsid w:val="00DA7BC8"/>
    <w:pPr>
      <w:spacing w:after="0"/>
    </w:pPr>
    <w:rPr>
      <w:sz w:val="20"/>
      <w:szCs w:val="20"/>
    </w:rPr>
  </w:style>
  <w:style w:type="character" w:customStyle="1" w:styleId="FootnoteTextChar">
    <w:name w:val="Footnote Text Char"/>
    <w:basedOn w:val="DefaultParagraphFont"/>
    <w:link w:val="FootnoteText"/>
    <w:uiPriority w:val="99"/>
    <w:semiHidden/>
    <w:rsid w:val="00DA7BC8"/>
    <w:rPr>
      <w:rFonts w:cstheme="minorHAnsi"/>
      <w:color w:val="000000" w:themeColor="text1"/>
      <w:sz w:val="20"/>
      <w:szCs w:val="20"/>
      <w:lang w:val="en-US"/>
    </w:rPr>
  </w:style>
  <w:style w:type="character" w:styleId="FootnoteReference">
    <w:name w:val="footnote reference"/>
    <w:basedOn w:val="DefaultParagraphFont"/>
    <w:uiPriority w:val="99"/>
    <w:semiHidden/>
    <w:unhideWhenUsed/>
    <w:rsid w:val="00DA7BC8"/>
    <w:rPr>
      <w:vertAlign w:val="superscript"/>
    </w:rPr>
  </w:style>
  <w:style w:type="character" w:styleId="Hyperlink">
    <w:name w:val="Hyperlink"/>
    <w:basedOn w:val="DefaultParagraphFont"/>
    <w:uiPriority w:val="99"/>
    <w:unhideWhenUsed/>
    <w:rsid w:val="00F24EA5"/>
    <w:rPr>
      <w:color w:val="0000FF"/>
      <w:u w:val="single"/>
    </w:rPr>
  </w:style>
  <w:style w:type="character" w:styleId="FollowedHyperlink">
    <w:name w:val="FollowedHyperlink"/>
    <w:basedOn w:val="DefaultParagraphFont"/>
    <w:uiPriority w:val="99"/>
    <w:semiHidden/>
    <w:unhideWhenUsed/>
    <w:rsid w:val="008E7ECD"/>
    <w:rPr>
      <w:color w:val="954F72" w:themeColor="followedHyperlink"/>
      <w:u w:val="single"/>
    </w:rPr>
  </w:style>
  <w:style w:type="character" w:styleId="UnresolvedMention">
    <w:name w:val="Unresolved Mention"/>
    <w:basedOn w:val="DefaultParagraphFont"/>
    <w:uiPriority w:val="99"/>
    <w:semiHidden/>
    <w:unhideWhenUsed/>
    <w:rsid w:val="004642E6"/>
    <w:rPr>
      <w:color w:val="605E5C"/>
      <w:shd w:val="clear" w:color="auto" w:fill="E1DFDD"/>
    </w:rPr>
  </w:style>
  <w:style w:type="character" w:styleId="EndnoteReference">
    <w:name w:val="endnote reference"/>
    <w:basedOn w:val="DefaultParagraphFont"/>
    <w:uiPriority w:val="99"/>
    <w:semiHidden/>
    <w:unhideWhenUsed/>
    <w:rsid w:val="00A81F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84339">
      <w:bodyDiv w:val="1"/>
      <w:marLeft w:val="0"/>
      <w:marRight w:val="0"/>
      <w:marTop w:val="0"/>
      <w:marBottom w:val="0"/>
      <w:divBdr>
        <w:top w:val="none" w:sz="0" w:space="0" w:color="auto"/>
        <w:left w:val="none" w:sz="0" w:space="0" w:color="auto"/>
        <w:bottom w:val="none" w:sz="0" w:space="0" w:color="auto"/>
        <w:right w:val="none" w:sz="0" w:space="0" w:color="auto"/>
      </w:divBdr>
    </w:div>
    <w:div w:id="131750996">
      <w:bodyDiv w:val="1"/>
      <w:marLeft w:val="0"/>
      <w:marRight w:val="0"/>
      <w:marTop w:val="0"/>
      <w:marBottom w:val="0"/>
      <w:divBdr>
        <w:top w:val="none" w:sz="0" w:space="0" w:color="auto"/>
        <w:left w:val="none" w:sz="0" w:space="0" w:color="auto"/>
        <w:bottom w:val="none" w:sz="0" w:space="0" w:color="auto"/>
        <w:right w:val="none" w:sz="0" w:space="0" w:color="auto"/>
      </w:divBdr>
    </w:div>
    <w:div w:id="149714712">
      <w:bodyDiv w:val="1"/>
      <w:marLeft w:val="0"/>
      <w:marRight w:val="0"/>
      <w:marTop w:val="0"/>
      <w:marBottom w:val="0"/>
      <w:divBdr>
        <w:top w:val="none" w:sz="0" w:space="0" w:color="auto"/>
        <w:left w:val="none" w:sz="0" w:space="0" w:color="auto"/>
        <w:bottom w:val="none" w:sz="0" w:space="0" w:color="auto"/>
        <w:right w:val="none" w:sz="0" w:space="0" w:color="auto"/>
      </w:divBdr>
    </w:div>
    <w:div w:id="198201199">
      <w:bodyDiv w:val="1"/>
      <w:marLeft w:val="0"/>
      <w:marRight w:val="0"/>
      <w:marTop w:val="0"/>
      <w:marBottom w:val="0"/>
      <w:divBdr>
        <w:top w:val="none" w:sz="0" w:space="0" w:color="auto"/>
        <w:left w:val="none" w:sz="0" w:space="0" w:color="auto"/>
        <w:bottom w:val="none" w:sz="0" w:space="0" w:color="auto"/>
        <w:right w:val="none" w:sz="0" w:space="0" w:color="auto"/>
      </w:divBdr>
    </w:div>
    <w:div w:id="231015204">
      <w:bodyDiv w:val="1"/>
      <w:marLeft w:val="0"/>
      <w:marRight w:val="0"/>
      <w:marTop w:val="0"/>
      <w:marBottom w:val="0"/>
      <w:divBdr>
        <w:top w:val="none" w:sz="0" w:space="0" w:color="auto"/>
        <w:left w:val="none" w:sz="0" w:space="0" w:color="auto"/>
        <w:bottom w:val="none" w:sz="0" w:space="0" w:color="auto"/>
        <w:right w:val="none" w:sz="0" w:space="0" w:color="auto"/>
      </w:divBdr>
    </w:div>
    <w:div w:id="467402805">
      <w:bodyDiv w:val="1"/>
      <w:marLeft w:val="0"/>
      <w:marRight w:val="0"/>
      <w:marTop w:val="0"/>
      <w:marBottom w:val="0"/>
      <w:divBdr>
        <w:top w:val="none" w:sz="0" w:space="0" w:color="auto"/>
        <w:left w:val="none" w:sz="0" w:space="0" w:color="auto"/>
        <w:bottom w:val="none" w:sz="0" w:space="0" w:color="auto"/>
        <w:right w:val="none" w:sz="0" w:space="0" w:color="auto"/>
      </w:divBdr>
    </w:div>
    <w:div w:id="528294675">
      <w:bodyDiv w:val="1"/>
      <w:marLeft w:val="0"/>
      <w:marRight w:val="0"/>
      <w:marTop w:val="0"/>
      <w:marBottom w:val="0"/>
      <w:divBdr>
        <w:top w:val="none" w:sz="0" w:space="0" w:color="auto"/>
        <w:left w:val="none" w:sz="0" w:space="0" w:color="auto"/>
        <w:bottom w:val="none" w:sz="0" w:space="0" w:color="auto"/>
        <w:right w:val="none" w:sz="0" w:space="0" w:color="auto"/>
      </w:divBdr>
    </w:div>
    <w:div w:id="755130664">
      <w:bodyDiv w:val="1"/>
      <w:marLeft w:val="0"/>
      <w:marRight w:val="0"/>
      <w:marTop w:val="0"/>
      <w:marBottom w:val="0"/>
      <w:divBdr>
        <w:top w:val="none" w:sz="0" w:space="0" w:color="auto"/>
        <w:left w:val="none" w:sz="0" w:space="0" w:color="auto"/>
        <w:bottom w:val="none" w:sz="0" w:space="0" w:color="auto"/>
        <w:right w:val="none" w:sz="0" w:space="0" w:color="auto"/>
      </w:divBdr>
      <w:divsChild>
        <w:div w:id="266473929">
          <w:marLeft w:val="360"/>
          <w:marRight w:val="0"/>
          <w:marTop w:val="200"/>
          <w:marBottom w:val="0"/>
          <w:divBdr>
            <w:top w:val="none" w:sz="0" w:space="0" w:color="auto"/>
            <w:left w:val="none" w:sz="0" w:space="0" w:color="auto"/>
            <w:bottom w:val="none" w:sz="0" w:space="0" w:color="auto"/>
            <w:right w:val="none" w:sz="0" w:space="0" w:color="auto"/>
          </w:divBdr>
        </w:div>
        <w:div w:id="285045038">
          <w:marLeft w:val="360"/>
          <w:marRight w:val="0"/>
          <w:marTop w:val="200"/>
          <w:marBottom w:val="0"/>
          <w:divBdr>
            <w:top w:val="none" w:sz="0" w:space="0" w:color="auto"/>
            <w:left w:val="none" w:sz="0" w:space="0" w:color="auto"/>
            <w:bottom w:val="none" w:sz="0" w:space="0" w:color="auto"/>
            <w:right w:val="none" w:sz="0" w:space="0" w:color="auto"/>
          </w:divBdr>
        </w:div>
        <w:div w:id="467360276">
          <w:marLeft w:val="360"/>
          <w:marRight w:val="0"/>
          <w:marTop w:val="200"/>
          <w:marBottom w:val="0"/>
          <w:divBdr>
            <w:top w:val="none" w:sz="0" w:space="0" w:color="auto"/>
            <w:left w:val="none" w:sz="0" w:space="0" w:color="auto"/>
            <w:bottom w:val="none" w:sz="0" w:space="0" w:color="auto"/>
            <w:right w:val="none" w:sz="0" w:space="0" w:color="auto"/>
          </w:divBdr>
        </w:div>
        <w:div w:id="811941689">
          <w:marLeft w:val="360"/>
          <w:marRight w:val="0"/>
          <w:marTop w:val="200"/>
          <w:marBottom w:val="0"/>
          <w:divBdr>
            <w:top w:val="none" w:sz="0" w:space="0" w:color="auto"/>
            <w:left w:val="none" w:sz="0" w:space="0" w:color="auto"/>
            <w:bottom w:val="none" w:sz="0" w:space="0" w:color="auto"/>
            <w:right w:val="none" w:sz="0" w:space="0" w:color="auto"/>
          </w:divBdr>
        </w:div>
        <w:div w:id="869145695">
          <w:marLeft w:val="360"/>
          <w:marRight w:val="0"/>
          <w:marTop w:val="200"/>
          <w:marBottom w:val="0"/>
          <w:divBdr>
            <w:top w:val="none" w:sz="0" w:space="0" w:color="auto"/>
            <w:left w:val="none" w:sz="0" w:space="0" w:color="auto"/>
            <w:bottom w:val="none" w:sz="0" w:space="0" w:color="auto"/>
            <w:right w:val="none" w:sz="0" w:space="0" w:color="auto"/>
          </w:divBdr>
        </w:div>
        <w:div w:id="1012956976">
          <w:marLeft w:val="360"/>
          <w:marRight w:val="0"/>
          <w:marTop w:val="200"/>
          <w:marBottom w:val="0"/>
          <w:divBdr>
            <w:top w:val="none" w:sz="0" w:space="0" w:color="auto"/>
            <w:left w:val="none" w:sz="0" w:space="0" w:color="auto"/>
            <w:bottom w:val="none" w:sz="0" w:space="0" w:color="auto"/>
            <w:right w:val="none" w:sz="0" w:space="0" w:color="auto"/>
          </w:divBdr>
        </w:div>
        <w:div w:id="1080832467">
          <w:marLeft w:val="360"/>
          <w:marRight w:val="0"/>
          <w:marTop w:val="200"/>
          <w:marBottom w:val="0"/>
          <w:divBdr>
            <w:top w:val="none" w:sz="0" w:space="0" w:color="auto"/>
            <w:left w:val="none" w:sz="0" w:space="0" w:color="auto"/>
            <w:bottom w:val="none" w:sz="0" w:space="0" w:color="auto"/>
            <w:right w:val="none" w:sz="0" w:space="0" w:color="auto"/>
          </w:divBdr>
        </w:div>
        <w:div w:id="1092968102">
          <w:marLeft w:val="360"/>
          <w:marRight w:val="0"/>
          <w:marTop w:val="200"/>
          <w:marBottom w:val="0"/>
          <w:divBdr>
            <w:top w:val="none" w:sz="0" w:space="0" w:color="auto"/>
            <w:left w:val="none" w:sz="0" w:space="0" w:color="auto"/>
            <w:bottom w:val="none" w:sz="0" w:space="0" w:color="auto"/>
            <w:right w:val="none" w:sz="0" w:space="0" w:color="auto"/>
          </w:divBdr>
        </w:div>
        <w:div w:id="1097209070">
          <w:marLeft w:val="360"/>
          <w:marRight w:val="0"/>
          <w:marTop w:val="200"/>
          <w:marBottom w:val="0"/>
          <w:divBdr>
            <w:top w:val="none" w:sz="0" w:space="0" w:color="auto"/>
            <w:left w:val="none" w:sz="0" w:space="0" w:color="auto"/>
            <w:bottom w:val="none" w:sz="0" w:space="0" w:color="auto"/>
            <w:right w:val="none" w:sz="0" w:space="0" w:color="auto"/>
          </w:divBdr>
        </w:div>
        <w:div w:id="2100245869">
          <w:marLeft w:val="360"/>
          <w:marRight w:val="0"/>
          <w:marTop w:val="200"/>
          <w:marBottom w:val="0"/>
          <w:divBdr>
            <w:top w:val="none" w:sz="0" w:space="0" w:color="auto"/>
            <w:left w:val="none" w:sz="0" w:space="0" w:color="auto"/>
            <w:bottom w:val="none" w:sz="0" w:space="0" w:color="auto"/>
            <w:right w:val="none" w:sz="0" w:space="0" w:color="auto"/>
          </w:divBdr>
        </w:div>
        <w:div w:id="2102481200">
          <w:marLeft w:val="360"/>
          <w:marRight w:val="0"/>
          <w:marTop w:val="200"/>
          <w:marBottom w:val="0"/>
          <w:divBdr>
            <w:top w:val="none" w:sz="0" w:space="0" w:color="auto"/>
            <w:left w:val="none" w:sz="0" w:space="0" w:color="auto"/>
            <w:bottom w:val="none" w:sz="0" w:space="0" w:color="auto"/>
            <w:right w:val="none" w:sz="0" w:space="0" w:color="auto"/>
          </w:divBdr>
        </w:div>
      </w:divsChild>
    </w:div>
    <w:div w:id="803081853">
      <w:bodyDiv w:val="1"/>
      <w:marLeft w:val="0"/>
      <w:marRight w:val="0"/>
      <w:marTop w:val="0"/>
      <w:marBottom w:val="0"/>
      <w:divBdr>
        <w:top w:val="none" w:sz="0" w:space="0" w:color="auto"/>
        <w:left w:val="none" w:sz="0" w:space="0" w:color="auto"/>
        <w:bottom w:val="none" w:sz="0" w:space="0" w:color="auto"/>
        <w:right w:val="none" w:sz="0" w:space="0" w:color="auto"/>
      </w:divBdr>
    </w:div>
    <w:div w:id="896630103">
      <w:bodyDiv w:val="1"/>
      <w:marLeft w:val="0"/>
      <w:marRight w:val="0"/>
      <w:marTop w:val="0"/>
      <w:marBottom w:val="0"/>
      <w:divBdr>
        <w:top w:val="none" w:sz="0" w:space="0" w:color="auto"/>
        <w:left w:val="none" w:sz="0" w:space="0" w:color="auto"/>
        <w:bottom w:val="none" w:sz="0" w:space="0" w:color="auto"/>
        <w:right w:val="none" w:sz="0" w:space="0" w:color="auto"/>
      </w:divBdr>
      <w:divsChild>
        <w:div w:id="1326973747">
          <w:marLeft w:val="0"/>
          <w:marRight w:val="0"/>
          <w:marTop w:val="0"/>
          <w:marBottom w:val="0"/>
          <w:divBdr>
            <w:top w:val="none" w:sz="0" w:space="0" w:color="auto"/>
            <w:left w:val="none" w:sz="0" w:space="0" w:color="auto"/>
            <w:bottom w:val="none" w:sz="0" w:space="0" w:color="auto"/>
            <w:right w:val="none" w:sz="0" w:space="0" w:color="auto"/>
          </w:divBdr>
          <w:divsChild>
            <w:div w:id="612515046">
              <w:marLeft w:val="0"/>
              <w:marRight w:val="0"/>
              <w:marTop w:val="0"/>
              <w:marBottom w:val="0"/>
              <w:divBdr>
                <w:top w:val="none" w:sz="0" w:space="0" w:color="auto"/>
                <w:left w:val="none" w:sz="0" w:space="0" w:color="auto"/>
                <w:bottom w:val="none" w:sz="0" w:space="0" w:color="auto"/>
                <w:right w:val="none" w:sz="0" w:space="0" w:color="auto"/>
              </w:divBdr>
              <w:divsChild>
                <w:div w:id="4569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8186">
      <w:bodyDiv w:val="1"/>
      <w:marLeft w:val="0"/>
      <w:marRight w:val="0"/>
      <w:marTop w:val="0"/>
      <w:marBottom w:val="0"/>
      <w:divBdr>
        <w:top w:val="none" w:sz="0" w:space="0" w:color="auto"/>
        <w:left w:val="none" w:sz="0" w:space="0" w:color="auto"/>
        <w:bottom w:val="none" w:sz="0" w:space="0" w:color="auto"/>
        <w:right w:val="none" w:sz="0" w:space="0" w:color="auto"/>
      </w:divBdr>
    </w:div>
    <w:div w:id="1121994407">
      <w:bodyDiv w:val="1"/>
      <w:marLeft w:val="0"/>
      <w:marRight w:val="0"/>
      <w:marTop w:val="0"/>
      <w:marBottom w:val="0"/>
      <w:divBdr>
        <w:top w:val="none" w:sz="0" w:space="0" w:color="auto"/>
        <w:left w:val="none" w:sz="0" w:space="0" w:color="auto"/>
        <w:bottom w:val="none" w:sz="0" w:space="0" w:color="auto"/>
        <w:right w:val="none" w:sz="0" w:space="0" w:color="auto"/>
      </w:divBdr>
      <w:divsChild>
        <w:div w:id="1950577453">
          <w:marLeft w:val="0"/>
          <w:marRight w:val="0"/>
          <w:marTop w:val="0"/>
          <w:marBottom w:val="0"/>
          <w:divBdr>
            <w:top w:val="none" w:sz="0" w:space="0" w:color="auto"/>
            <w:left w:val="none" w:sz="0" w:space="0" w:color="auto"/>
            <w:bottom w:val="none" w:sz="0" w:space="0" w:color="auto"/>
            <w:right w:val="none" w:sz="0" w:space="0" w:color="auto"/>
          </w:divBdr>
          <w:divsChild>
            <w:div w:id="1168980382">
              <w:marLeft w:val="0"/>
              <w:marRight w:val="0"/>
              <w:marTop w:val="0"/>
              <w:marBottom w:val="0"/>
              <w:divBdr>
                <w:top w:val="none" w:sz="0" w:space="0" w:color="auto"/>
                <w:left w:val="none" w:sz="0" w:space="0" w:color="auto"/>
                <w:bottom w:val="none" w:sz="0" w:space="0" w:color="auto"/>
                <w:right w:val="none" w:sz="0" w:space="0" w:color="auto"/>
              </w:divBdr>
              <w:divsChild>
                <w:div w:id="2478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06256">
      <w:bodyDiv w:val="1"/>
      <w:marLeft w:val="0"/>
      <w:marRight w:val="0"/>
      <w:marTop w:val="0"/>
      <w:marBottom w:val="0"/>
      <w:divBdr>
        <w:top w:val="none" w:sz="0" w:space="0" w:color="auto"/>
        <w:left w:val="none" w:sz="0" w:space="0" w:color="auto"/>
        <w:bottom w:val="none" w:sz="0" w:space="0" w:color="auto"/>
        <w:right w:val="none" w:sz="0" w:space="0" w:color="auto"/>
      </w:divBdr>
    </w:div>
    <w:div w:id="1338381536">
      <w:bodyDiv w:val="1"/>
      <w:marLeft w:val="0"/>
      <w:marRight w:val="0"/>
      <w:marTop w:val="0"/>
      <w:marBottom w:val="0"/>
      <w:divBdr>
        <w:top w:val="none" w:sz="0" w:space="0" w:color="auto"/>
        <w:left w:val="none" w:sz="0" w:space="0" w:color="auto"/>
        <w:bottom w:val="none" w:sz="0" w:space="0" w:color="auto"/>
        <w:right w:val="none" w:sz="0" w:space="0" w:color="auto"/>
      </w:divBdr>
    </w:div>
    <w:div w:id="1438528581">
      <w:bodyDiv w:val="1"/>
      <w:marLeft w:val="0"/>
      <w:marRight w:val="0"/>
      <w:marTop w:val="0"/>
      <w:marBottom w:val="0"/>
      <w:divBdr>
        <w:top w:val="none" w:sz="0" w:space="0" w:color="auto"/>
        <w:left w:val="none" w:sz="0" w:space="0" w:color="auto"/>
        <w:bottom w:val="none" w:sz="0" w:space="0" w:color="auto"/>
        <w:right w:val="none" w:sz="0" w:space="0" w:color="auto"/>
      </w:divBdr>
    </w:div>
    <w:div w:id="1445494645">
      <w:bodyDiv w:val="1"/>
      <w:marLeft w:val="0"/>
      <w:marRight w:val="0"/>
      <w:marTop w:val="0"/>
      <w:marBottom w:val="0"/>
      <w:divBdr>
        <w:top w:val="none" w:sz="0" w:space="0" w:color="auto"/>
        <w:left w:val="none" w:sz="0" w:space="0" w:color="auto"/>
        <w:bottom w:val="none" w:sz="0" w:space="0" w:color="auto"/>
        <w:right w:val="none" w:sz="0" w:space="0" w:color="auto"/>
      </w:divBdr>
    </w:div>
    <w:div w:id="1588072829">
      <w:bodyDiv w:val="1"/>
      <w:marLeft w:val="0"/>
      <w:marRight w:val="0"/>
      <w:marTop w:val="0"/>
      <w:marBottom w:val="0"/>
      <w:divBdr>
        <w:top w:val="none" w:sz="0" w:space="0" w:color="auto"/>
        <w:left w:val="none" w:sz="0" w:space="0" w:color="auto"/>
        <w:bottom w:val="none" w:sz="0" w:space="0" w:color="auto"/>
        <w:right w:val="none" w:sz="0" w:space="0" w:color="auto"/>
      </w:divBdr>
    </w:div>
    <w:div w:id="1697147400">
      <w:bodyDiv w:val="1"/>
      <w:marLeft w:val="0"/>
      <w:marRight w:val="0"/>
      <w:marTop w:val="0"/>
      <w:marBottom w:val="0"/>
      <w:divBdr>
        <w:top w:val="none" w:sz="0" w:space="0" w:color="auto"/>
        <w:left w:val="none" w:sz="0" w:space="0" w:color="auto"/>
        <w:bottom w:val="none" w:sz="0" w:space="0" w:color="auto"/>
        <w:right w:val="none" w:sz="0" w:space="0" w:color="auto"/>
      </w:divBdr>
      <w:divsChild>
        <w:div w:id="238754420">
          <w:marLeft w:val="0"/>
          <w:marRight w:val="0"/>
          <w:marTop w:val="0"/>
          <w:marBottom w:val="0"/>
          <w:divBdr>
            <w:top w:val="none" w:sz="0" w:space="0" w:color="auto"/>
            <w:left w:val="none" w:sz="0" w:space="0" w:color="auto"/>
            <w:bottom w:val="none" w:sz="0" w:space="0" w:color="auto"/>
            <w:right w:val="none" w:sz="0" w:space="0" w:color="auto"/>
          </w:divBdr>
          <w:divsChild>
            <w:div w:id="82779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432014">
                  <w:marLeft w:val="0"/>
                  <w:marRight w:val="0"/>
                  <w:marTop w:val="0"/>
                  <w:marBottom w:val="0"/>
                  <w:divBdr>
                    <w:top w:val="none" w:sz="0" w:space="0" w:color="auto"/>
                    <w:left w:val="none" w:sz="0" w:space="0" w:color="auto"/>
                    <w:bottom w:val="none" w:sz="0" w:space="0" w:color="auto"/>
                    <w:right w:val="none" w:sz="0" w:space="0" w:color="auto"/>
                  </w:divBdr>
                </w:div>
              </w:divsChild>
            </w:div>
            <w:div w:id="96705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245645">
                  <w:marLeft w:val="0"/>
                  <w:marRight w:val="0"/>
                  <w:marTop w:val="0"/>
                  <w:marBottom w:val="0"/>
                  <w:divBdr>
                    <w:top w:val="none" w:sz="0" w:space="0" w:color="auto"/>
                    <w:left w:val="none" w:sz="0" w:space="0" w:color="auto"/>
                    <w:bottom w:val="none" w:sz="0" w:space="0" w:color="auto"/>
                    <w:right w:val="none" w:sz="0" w:space="0" w:color="auto"/>
                  </w:divBdr>
                </w:div>
              </w:divsChild>
            </w:div>
            <w:div w:id="160931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041916">
                  <w:marLeft w:val="0"/>
                  <w:marRight w:val="0"/>
                  <w:marTop w:val="0"/>
                  <w:marBottom w:val="0"/>
                  <w:divBdr>
                    <w:top w:val="none" w:sz="0" w:space="0" w:color="auto"/>
                    <w:left w:val="none" w:sz="0" w:space="0" w:color="auto"/>
                    <w:bottom w:val="none" w:sz="0" w:space="0" w:color="auto"/>
                    <w:right w:val="none" w:sz="0" w:space="0" w:color="auto"/>
                  </w:divBdr>
                </w:div>
              </w:divsChild>
            </w:div>
            <w:div w:id="2090881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0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86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977438">
              <w:marLeft w:val="0"/>
              <w:marRight w:val="0"/>
              <w:marTop w:val="0"/>
              <w:marBottom w:val="0"/>
              <w:divBdr>
                <w:top w:val="none" w:sz="0" w:space="0" w:color="auto"/>
                <w:left w:val="none" w:sz="0" w:space="0" w:color="auto"/>
                <w:bottom w:val="none" w:sz="0" w:space="0" w:color="auto"/>
                <w:right w:val="none" w:sz="0" w:space="0" w:color="auto"/>
              </w:divBdr>
            </w:div>
          </w:divsChild>
        </w:div>
        <w:div w:id="1134374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43807">
              <w:marLeft w:val="0"/>
              <w:marRight w:val="0"/>
              <w:marTop w:val="0"/>
              <w:marBottom w:val="0"/>
              <w:divBdr>
                <w:top w:val="none" w:sz="0" w:space="0" w:color="auto"/>
                <w:left w:val="none" w:sz="0" w:space="0" w:color="auto"/>
                <w:bottom w:val="none" w:sz="0" w:space="0" w:color="auto"/>
                <w:right w:val="none" w:sz="0" w:space="0" w:color="auto"/>
              </w:divBdr>
            </w:div>
          </w:divsChild>
        </w:div>
        <w:div w:id="1544099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83139">
              <w:marLeft w:val="0"/>
              <w:marRight w:val="0"/>
              <w:marTop w:val="0"/>
              <w:marBottom w:val="0"/>
              <w:divBdr>
                <w:top w:val="none" w:sz="0" w:space="0" w:color="auto"/>
                <w:left w:val="none" w:sz="0" w:space="0" w:color="auto"/>
                <w:bottom w:val="none" w:sz="0" w:space="0" w:color="auto"/>
                <w:right w:val="none" w:sz="0" w:space="0" w:color="auto"/>
              </w:divBdr>
            </w:div>
          </w:divsChild>
        </w:div>
        <w:div w:id="1730567943">
          <w:marLeft w:val="0"/>
          <w:marRight w:val="0"/>
          <w:marTop w:val="0"/>
          <w:marBottom w:val="0"/>
          <w:divBdr>
            <w:top w:val="none" w:sz="0" w:space="0" w:color="auto"/>
            <w:left w:val="none" w:sz="0" w:space="0" w:color="auto"/>
            <w:bottom w:val="none" w:sz="0" w:space="0" w:color="auto"/>
            <w:right w:val="none" w:sz="0" w:space="0" w:color="auto"/>
          </w:divBdr>
        </w:div>
      </w:divsChild>
    </w:div>
    <w:div w:id="1733505067">
      <w:bodyDiv w:val="1"/>
      <w:marLeft w:val="0"/>
      <w:marRight w:val="0"/>
      <w:marTop w:val="0"/>
      <w:marBottom w:val="0"/>
      <w:divBdr>
        <w:top w:val="none" w:sz="0" w:space="0" w:color="auto"/>
        <w:left w:val="none" w:sz="0" w:space="0" w:color="auto"/>
        <w:bottom w:val="none" w:sz="0" w:space="0" w:color="auto"/>
        <w:right w:val="none" w:sz="0" w:space="0" w:color="auto"/>
      </w:divBdr>
    </w:div>
    <w:div w:id="1760906489">
      <w:bodyDiv w:val="1"/>
      <w:marLeft w:val="0"/>
      <w:marRight w:val="0"/>
      <w:marTop w:val="0"/>
      <w:marBottom w:val="0"/>
      <w:divBdr>
        <w:top w:val="none" w:sz="0" w:space="0" w:color="auto"/>
        <w:left w:val="none" w:sz="0" w:space="0" w:color="auto"/>
        <w:bottom w:val="none" w:sz="0" w:space="0" w:color="auto"/>
        <w:right w:val="none" w:sz="0" w:space="0" w:color="auto"/>
      </w:divBdr>
      <w:divsChild>
        <w:div w:id="26804817">
          <w:marLeft w:val="0"/>
          <w:marRight w:val="0"/>
          <w:marTop w:val="0"/>
          <w:marBottom w:val="0"/>
          <w:divBdr>
            <w:top w:val="none" w:sz="0" w:space="0" w:color="auto"/>
            <w:left w:val="none" w:sz="0" w:space="0" w:color="auto"/>
            <w:bottom w:val="none" w:sz="0" w:space="0" w:color="auto"/>
            <w:right w:val="none" w:sz="0" w:space="0" w:color="auto"/>
          </w:divBdr>
          <w:divsChild>
            <w:div w:id="723218480">
              <w:marLeft w:val="0"/>
              <w:marRight w:val="0"/>
              <w:marTop w:val="0"/>
              <w:marBottom w:val="0"/>
              <w:divBdr>
                <w:top w:val="none" w:sz="0" w:space="0" w:color="auto"/>
                <w:left w:val="none" w:sz="0" w:space="0" w:color="auto"/>
                <w:bottom w:val="none" w:sz="0" w:space="0" w:color="auto"/>
                <w:right w:val="none" w:sz="0" w:space="0" w:color="auto"/>
              </w:divBdr>
              <w:divsChild>
                <w:div w:id="5604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7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61EE-DA86-C148-A70A-55183D96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19936</Words>
  <Characters>113640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russell</dc:creator>
  <cp:keywords/>
  <dc:description/>
  <cp:lastModifiedBy>Kailee</cp:lastModifiedBy>
  <cp:revision>2</cp:revision>
  <cp:lastPrinted>2021-12-30T04:45:00Z</cp:lastPrinted>
  <dcterms:created xsi:type="dcterms:W3CDTF">2022-05-06T17:23:00Z</dcterms:created>
  <dcterms:modified xsi:type="dcterms:W3CDTF">2022-05-06T17:23:00Z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bdbad3ad-a550-371a-b716-a95961cf118d</vt:lpwstr>
  </property>
  <property fmtid="{D5CDD505-2E9C-101B-9397-08002B2CF9AE}" pid="4" name="Mendeley Citation Style_1">
    <vt:lpwstr>http://www.zotero.org/styles/acta-astronautica</vt:lpwstr>
  </property>
  <property fmtid="{D5CDD505-2E9C-101B-9397-08002B2CF9AE}" pid="5" name="Mendeley Recent Style Id 0_1">
    <vt:lpwstr>http://www.zotero.org/styles/acta-astronautica</vt:lpwstr>
  </property>
  <property fmtid="{D5CDD505-2E9C-101B-9397-08002B2CF9AE}" pid="6" name="Mendeley Recent Style Name 0_1">
    <vt:lpwstr>Acta Astronautica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http://www.zotero.org/styles/neurocomputing</vt:lpwstr>
  </property>
  <property fmtid="{D5CDD505-2E9C-101B-9397-08002B2CF9AE}" pid="22" name="Mendeley Recent Style Name 8_1">
    <vt:lpwstr>Neurocomputing</vt:lpwstr>
  </property>
  <property fmtid="{D5CDD505-2E9C-101B-9397-08002B2CF9AE}" pid="23" name="Mendeley Recent Style Id 9_1">
    <vt:lpwstr>http://www.zotero.org/styles/sensors</vt:lpwstr>
  </property>
  <property fmtid="{D5CDD505-2E9C-101B-9397-08002B2CF9AE}" pid="24" name="Mendeley Recent Style Name 9_1">
    <vt:lpwstr>Sensors</vt:lpwstr>
  </property>
</Properties>
</file>