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5492" w14:textId="2F54D862" w:rsidR="00836A17" w:rsidRPr="00B67F80" w:rsidRDefault="00836A17" w:rsidP="00836A17">
      <w:pPr>
        <w:jc w:val="center"/>
        <w:rPr>
          <w:b/>
          <w:bCs/>
          <w:color w:val="000000" w:themeColor="text1"/>
        </w:rPr>
      </w:pPr>
      <w:r w:rsidRPr="00B67F80">
        <w:rPr>
          <w:b/>
          <w:bCs/>
          <w:color w:val="000000" w:themeColor="text1"/>
        </w:rPr>
        <w:t xml:space="preserve">Evaluating </w:t>
      </w:r>
      <w:r w:rsidR="00132D37" w:rsidRPr="00B67F80">
        <w:rPr>
          <w:b/>
          <w:bCs/>
          <w:color w:val="000000" w:themeColor="text1"/>
        </w:rPr>
        <w:t>Twenty</w:t>
      </w:r>
      <w:r w:rsidRPr="00B67F80">
        <w:rPr>
          <w:b/>
          <w:bCs/>
          <w:color w:val="000000" w:themeColor="text1"/>
        </w:rPr>
        <w:t>-Year Trends in Earth’s Energy Flows from Observations</w:t>
      </w:r>
      <w:r w:rsidR="00BF4D45">
        <w:rPr>
          <w:b/>
          <w:bCs/>
          <w:color w:val="000000" w:themeColor="text1"/>
        </w:rPr>
        <w:t xml:space="preserve"> and </w:t>
      </w:r>
      <w:proofErr w:type="spellStart"/>
      <w:r w:rsidR="00BF4D45">
        <w:rPr>
          <w:b/>
          <w:bCs/>
          <w:color w:val="000000" w:themeColor="text1"/>
        </w:rPr>
        <w:t>Reanalyses</w:t>
      </w:r>
      <w:proofErr w:type="spellEnd"/>
    </w:p>
    <w:p w14:paraId="7BD3A00E" w14:textId="1CEAD4A4" w:rsidR="002E7889" w:rsidRPr="00B67F80" w:rsidRDefault="002E7889" w:rsidP="002E7889">
      <w:pPr>
        <w:jc w:val="center"/>
        <w:rPr>
          <w:b/>
          <w:color w:val="000000" w:themeColor="text1"/>
        </w:rPr>
      </w:pPr>
    </w:p>
    <w:p w14:paraId="00B033F9" w14:textId="77777777" w:rsidR="002E7889" w:rsidRPr="00B67F80" w:rsidRDefault="002E7889" w:rsidP="002E7889">
      <w:pPr>
        <w:jc w:val="center"/>
        <w:rPr>
          <w:b/>
          <w:color w:val="000000" w:themeColor="text1"/>
        </w:rPr>
      </w:pPr>
    </w:p>
    <w:p w14:paraId="02C686BE" w14:textId="77777777" w:rsidR="002E7889" w:rsidRPr="00B67F80" w:rsidRDefault="002E7889" w:rsidP="002E7889">
      <w:pPr>
        <w:jc w:val="center"/>
        <w:rPr>
          <w:b/>
          <w:color w:val="000000" w:themeColor="text1"/>
        </w:rPr>
      </w:pPr>
    </w:p>
    <w:p w14:paraId="152BCBBE" w14:textId="1EC2E2CE" w:rsidR="002E7889" w:rsidRPr="00B67F80" w:rsidRDefault="002E7889" w:rsidP="00401724">
      <w:pPr>
        <w:jc w:val="center"/>
        <w:rPr>
          <w:color w:val="000000" w:themeColor="text1"/>
        </w:rPr>
      </w:pPr>
      <w:r w:rsidRPr="00B67F80">
        <w:rPr>
          <w:color w:val="000000" w:themeColor="text1"/>
        </w:rPr>
        <w:t>Norman G. Loeb</w:t>
      </w:r>
      <w:r w:rsidR="00A73207" w:rsidRPr="00B67F80">
        <w:rPr>
          <w:rStyle w:val="FootnoteReference"/>
          <w:color w:val="000000" w:themeColor="text1"/>
        </w:rPr>
        <w:footnoteReference w:id="1"/>
      </w:r>
      <w:r w:rsidRPr="00B67F80">
        <w:rPr>
          <w:color w:val="000000" w:themeColor="text1"/>
          <w:vertAlign w:val="superscript"/>
        </w:rPr>
        <w:t>*</w:t>
      </w:r>
      <w:r w:rsidRPr="00B67F80">
        <w:rPr>
          <w:color w:val="000000" w:themeColor="text1"/>
        </w:rPr>
        <w:t>,</w:t>
      </w:r>
      <w:r w:rsidR="00E85838" w:rsidRPr="00B67F80">
        <w:rPr>
          <w:color w:val="000000" w:themeColor="text1"/>
        </w:rPr>
        <w:t xml:space="preserve"> </w:t>
      </w:r>
      <w:r w:rsidR="00836A17" w:rsidRPr="00B67F80">
        <w:rPr>
          <w:color w:val="000000" w:themeColor="text1"/>
        </w:rPr>
        <w:t>Michael Mayer</w:t>
      </w:r>
      <w:r w:rsidR="00E85838" w:rsidRPr="00B67F80">
        <w:rPr>
          <w:color w:val="000000" w:themeColor="text1"/>
          <w:vertAlign w:val="superscript"/>
        </w:rPr>
        <w:t>2</w:t>
      </w:r>
      <w:r w:rsidR="00941A46" w:rsidRPr="00B67F80">
        <w:rPr>
          <w:color w:val="000000" w:themeColor="text1"/>
          <w:vertAlign w:val="superscript"/>
        </w:rPr>
        <w:t>,</w:t>
      </w:r>
      <w:r w:rsidR="004175A5" w:rsidRPr="00B67F80">
        <w:rPr>
          <w:color w:val="000000" w:themeColor="text1"/>
          <w:vertAlign w:val="superscript"/>
        </w:rPr>
        <w:t>3</w:t>
      </w:r>
      <w:r w:rsidR="00E85838" w:rsidRPr="00B67F80">
        <w:rPr>
          <w:color w:val="000000" w:themeColor="text1"/>
        </w:rPr>
        <w:t>,</w:t>
      </w:r>
      <w:r w:rsidRPr="00B67F80">
        <w:rPr>
          <w:color w:val="000000" w:themeColor="text1"/>
        </w:rPr>
        <w:t xml:space="preserve"> </w:t>
      </w:r>
      <w:r w:rsidR="00836A17" w:rsidRPr="00B67F80">
        <w:rPr>
          <w:color w:val="000000" w:themeColor="text1"/>
        </w:rPr>
        <w:t>Seiji Kato</w:t>
      </w:r>
      <w:r w:rsidRPr="00B67F80">
        <w:rPr>
          <w:color w:val="000000" w:themeColor="text1"/>
          <w:vertAlign w:val="superscript"/>
        </w:rPr>
        <w:t>1</w:t>
      </w:r>
      <w:r w:rsidRPr="00B67F80">
        <w:rPr>
          <w:color w:val="000000" w:themeColor="text1"/>
        </w:rPr>
        <w:t>, John</w:t>
      </w:r>
      <w:r w:rsidR="00C72074" w:rsidRPr="00B67F80">
        <w:rPr>
          <w:color w:val="000000" w:themeColor="text1"/>
        </w:rPr>
        <w:t xml:space="preserve"> T.</w:t>
      </w:r>
      <w:r w:rsidRPr="00B67F80">
        <w:rPr>
          <w:color w:val="000000" w:themeColor="text1"/>
        </w:rPr>
        <w:t xml:space="preserve"> </w:t>
      </w:r>
      <w:r w:rsidR="00836A17" w:rsidRPr="00B67F80">
        <w:rPr>
          <w:color w:val="000000" w:themeColor="text1"/>
        </w:rPr>
        <w:t>Fasullo</w:t>
      </w:r>
      <w:r w:rsidR="004175A5" w:rsidRPr="00B67F80">
        <w:rPr>
          <w:color w:val="000000" w:themeColor="text1"/>
          <w:vertAlign w:val="superscript"/>
        </w:rPr>
        <w:t>4</w:t>
      </w:r>
      <w:r w:rsidRPr="00B67F80">
        <w:rPr>
          <w:color w:val="000000" w:themeColor="text1"/>
        </w:rPr>
        <w:t xml:space="preserve">, </w:t>
      </w:r>
      <w:r w:rsidR="00836A17" w:rsidRPr="00B67F80">
        <w:rPr>
          <w:color w:val="000000" w:themeColor="text1"/>
        </w:rPr>
        <w:t>Hao Zuo</w:t>
      </w:r>
      <w:r w:rsidR="00836A17" w:rsidRPr="00B67F80">
        <w:rPr>
          <w:color w:val="000000" w:themeColor="text1"/>
          <w:vertAlign w:val="superscript"/>
        </w:rPr>
        <w:t>2</w:t>
      </w:r>
      <w:r w:rsidR="004154B6" w:rsidRPr="00B67F80">
        <w:rPr>
          <w:color w:val="000000" w:themeColor="text1"/>
        </w:rPr>
        <w:t xml:space="preserve">, </w:t>
      </w:r>
      <w:r w:rsidR="00031E18" w:rsidRPr="00B67F80">
        <w:rPr>
          <w:color w:val="000000" w:themeColor="text1"/>
        </w:rPr>
        <w:t>Retish Senan</w:t>
      </w:r>
      <w:r w:rsidR="00031E18" w:rsidRPr="00B67F80">
        <w:rPr>
          <w:color w:val="000000" w:themeColor="text1"/>
          <w:vertAlign w:val="superscript"/>
        </w:rPr>
        <w:t>2</w:t>
      </w:r>
      <w:r w:rsidR="00031E18" w:rsidRPr="00B67F80">
        <w:rPr>
          <w:color w:val="000000" w:themeColor="text1"/>
        </w:rPr>
        <w:t xml:space="preserve">, </w:t>
      </w:r>
      <w:r w:rsidR="00401724" w:rsidRPr="00B67F80">
        <w:rPr>
          <w:color w:val="000000" w:themeColor="text1"/>
        </w:rPr>
        <w:t>John M. Lyman</w:t>
      </w:r>
      <w:r w:rsidR="00401724" w:rsidRPr="00B67F80">
        <w:rPr>
          <w:color w:val="000000" w:themeColor="text1"/>
          <w:vertAlign w:val="superscript"/>
        </w:rPr>
        <w:t>5</w:t>
      </w:r>
      <w:r w:rsidR="004E5EEA" w:rsidRPr="00B67F80">
        <w:rPr>
          <w:color w:val="000000" w:themeColor="text1"/>
          <w:vertAlign w:val="superscript"/>
        </w:rPr>
        <w:t>,6</w:t>
      </w:r>
      <w:r w:rsidR="00401724" w:rsidRPr="00B67F80">
        <w:rPr>
          <w:color w:val="000000" w:themeColor="text1"/>
        </w:rPr>
        <w:t>, G</w:t>
      </w:r>
      <w:r w:rsidR="004154B6" w:rsidRPr="00B67F80">
        <w:rPr>
          <w:color w:val="000000" w:themeColor="text1"/>
        </w:rPr>
        <w:t>reg</w:t>
      </w:r>
      <w:r w:rsidR="00B274A0" w:rsidRPr="00B67F80">
        <w:rPr>
          <w:color w:val="000000" w:themeColor="text1"/>
        </w:rPr>
        <w:t>ory C.</w:t>
      </w:r>
      <w:r w:rsidR="004154B6" w:rsidRPr="00B67F80">
        <w:rPr>
          <w:color w:val="000000" w:themeColor="text1"/>
        </w:rPr>
        <w:t xml:space="preserve"> Johnson</w:t>
      </w:r>
      <w:r w:rsidR="004E5EEA" w:rsidRPr="00B67F80">
        <w:rPr>
          <w:color w:val="000000" w:themeColor="text1"/>
          <w:vertAlign w:val="superscript"/>
        </w:rPr>
        <w:t>5</w:t>
      </w:r>
      <w:r w:rsidR="004154B6" w:rsidRPr="00B67F80">
        <w:rPr>
          <w:color w:val="000000" w:themeColor="text1"/>
        </w:rPr>
        <w:t xml:space="preserve"> and </w:t>
      </w:r>
      <w:r w:rsidR="00401724" w:rsidRPr="00B67F80">
        <w:rPr>
          <w:color w:val="000000" w:themeColor="text1"/>
        </w:rPr>
        <w:t>Magdalena Balmaseda</w:t>
      </w:r>
      <w:r w:rsidR="00401724" w:rsidRPr="00B67F80">
        <w:rPr>
          <w:color w:val="000000" w:themeColor="text1"/>
          <w:vertAlign w:val="superscript"/>
        </w:rPr>
        <w:t>2</w:t>
      </w:r>
    </w:p>
    <w:p w14:paraId="4C33F726" w14:textId="77777777" w:rsidR="002E7889" w:rsidRPr="00B67F80" w:rsidRDefault="002E7889" w:rsidP="002E7889">
      <w:pPr>
        <w:spacing w:line="480" w:lineRule="auto"/>
        <w:rPr>
          <w:b/>
          <w:color w:val="000000" w:themeColor="text1"/>
        </w:rPr>
      </w:pPr>
    </w:p>
    <w:p w14:paraId="009D4410" w14:textId="3ED989DE" w:rsidR="002E7889" w:rsidRPr="00B67F80" w:rsidRDefault="002E7889" w:rsidP="002E7889">
      <w:pPr>
        <w:rPr>
          <w:color w:val="000000" w:themeColor="text1"/>
        </w:rPr>
      </w:pPr>
      <w:r w:rsidRPr="00B67F80">
        <w:rPr>
          <w:color w:val="000000" w:themeColor="text1"/>
          <w:vertAlign w:val="superscript"/>
        </w:rPr>
        <w:t>1</w:t>
      </w:r>
      <w:r w:rsidRPr="00B67F80">
        <w:rPr>
          <w:color w:val="000000" w:themeColor="text1"/>
        </w:rPr>
        <w:t>NASA Langley Research Center, Hampton, VA 23681, USA</w:t>
      </w:r>
    </w:p>
    <w:p w14:paraId="2C48CE1D" w14:textId="15C7DE4B" w:rsidR="002E7889" w:rsidRPr="00B67F80" w:rsidRDefault="00E85838" w:rsidP="00836A17">
      <w:pPr>
        <w:spacing w:before="120"/>
        <w:rPr>
          <w:color w:val="000000" w:themeColor="text1"/>
        </w:rPr>
      </w:pPr>
      <w:r w:rsidRPr="00B67F80">
        <w:rPr>
          <w:color w:val="000000" w:themeColor="text1"/>
          <w:vertAlign w:val="superscript"/>
        </w:rPr>
        <w:t>2</w:t>
      </w:r>
      <w:r w:rsidR="00836A17" w:rsidRPr="00B67F80">
        <w:rPr>
          <w:color w:val="000000" w:themeColor="text1"/>
        </w:rPr>
        <w:t>European Centre for Medium-Range Weather Forecasts, Reading, UK</w:t>
      </w:r>
    </w:p>
    <w:p w14:paraId="2FA7AAA7" w14:textId="00D715BD" w:rsidR="004175A5" w:rsidRPr="00B67F80" w:rsidRDefault="004175A5" w:rsidP="004175A5">
      <w:pPr>
        <w:spacing w:before="120"/>
        <w:ind w:left="187" w:hanging="187"/>
        <w:rPr>
          <w:color w:val="000000" w:themeColor="text1"/>
        </w:rPr>
      </w:pPr>
      <w:r w:rsidRPr="00B67F80">
        <w:rPr>
          <w:color w:val="000000" w:themeColor="text1"/>
          <w:vertAlign w:val="superscript"/>
        </w:rPr>
        <w:t>3</w:t>
      </w:r>
      <w:r w:rsidRPr="00B67F80">
        <w:rPr>
          <w:color w:val="000000" w:themeColor="text1"/>
        </w:rPr>
        <w:t>Department of Meteorology and Geophysics, University of Vienna, Vienna, Austria</w:t>
      </w:r>
    </w:p>
    <w:p w14:paraId="00180023" w14:textId="27B00112" w:rsidR="00E85838" w:rsidRPr="00B67F80" w:rsidRDefault="004175A5" w:rsidP="00E85838">
      <w:pPr>
        <w:spacing w:before="120"/>
        <w:ind w:left="187" w:hanging="187"/>
        <w:rPr>
          <w:color w:val="000000" w:themeColor="text1"/>
        </w:rPr>
      </w:pPr>
      <w:r w:rsidRPr="00B67F80">
        <w:rPr>
          <w:color w:val="000000" w:themeColor="text1"/>
          <w:vertAlign w:val="superscript"/>
        </w:rPr>
        <w:t>4</w:t>
      </w:r>
      <w:r w:rsidR="00836A17" w:rsidRPr="00B67F80">
        <w:rPr>
          <w:color w:val="000000" w:themeColor="text1"/>
        </w:rPr>
        <w:t>Climate and Global Dynamics Division, National Center for Atmospheric Research, Boulder, CO</w:t>
      </w:r>
    </w:p>
    <w:p w14:paraId="3574C035" w14:textId="7EA9863B" w:rsidR="00B274A0" w:rsidRPr="00B67F80" w:rsidRDefault="004175A5" w:rsidP="00B274A0">
      <w:pPr>
        <w:spacing w:before="120"/>
        <w:rPr>
          <w:color w:val="000000" w:themeColor="text1"/>
        </w:rPr>
      </w:pPr>
      <w:r w:rsidRPr="00B67F80">
        <w:rPr>
          <w:color w:val="000000" w:themeColor="text1"/>
          <w:vertAlign w:val="superscript"/>
        </w:rPr>
        <w:t>5</w:t>
      </w:r>
      <w:r w:rsidR="00B274A0" w:rsidRPr="00B67F80">
        <w:rPr>
          <w:color w:val="000000" w:themeColor="text1"/>
        </w:rPr>
        <w:t>NOAA/Pacific Marine Environmental Laboratory, Seattle, WA, USA</w:t>
      </w:r>
    </w:p>
    <w:p w14:paraId="1FFBCEEE" w14:textId="3F8810E7" w:rsidR="00B274A0" w:rsidRPr="00B67F80" w:rsidRDefault="004175A5" w:rsidP="00B274A0">
      <w:pPr>
        <w:spacing w:before="120"/>
        <w:ind w:left="187" w:hanging="187"/>
        <w:rPr>
          <w:color w:val="000000" w:themeColor="text1"/>
        </w:rPr>
      </w:pPr>
      <w:r w:rsidRPr="00B67F80">
        <w:rPr>
          <w:color w:val="000000" w:themeColor="text1"/>
          <w:vertAlign w:val="superscript"/>
        </w:rPr>
        <w:t>6</w:t>
      </w:r>
      <w:r w:rsidR="00B26E7C" w:rsidRPr="00B67F80">
        <w:rPr>
          <w:color w:val="000000" w:themeColor="text1"/>
        </w:rPr>
        <w:t>Cooperative</w:t>
      </w:r>
      <w:r w:rsidR="00B274A0" w:rsidRPr="00B67F80">
        <w:rPr>
          <w:color w:val="000000" w:themeColor="text1"/>
        </w:rPr>
        <w:t xml:space="preserve"> Institute for Marine and Atmospheric Research, University of Hawaii at Manoa, Honolulu, HI, USA</w:t>
      </w:r>
    </w:p>
    <w:p w14:paraId="55287F37" w14:textId="77777777" w:rsidR="00B274A0" w:rsidRPr="00B67F80" w:rsidRDefault="00B274A0" w:rsidP="00E85838">
      <w:pPr>
        <w:spacing w:before="120"/>
        <w:ind w:left="187" w:hanging="187"/>
        <w:rPr>
          <w:color w:val="000000" w:themeColor="text1"/>
        </w:rPr>
      </w:pPr>
    </w:p>
    <w:p w14:paraId="65F9BC6C" w14:textId="77777777" w:rsidR="002E7889" w:rsidRPr="00B67F80" w:rsidRDefault="002E7889" w:rsidP="002E7889">
      <w:pPr>
        <w:ind w:left="90" w:hanging="90"/>
        <w:rPr>
          <w:color w:val="000000" w:themeColor="text1"/>
        </w:rPr>
      </w:pPr>
    </w:p>
    <w:p w14:paraId="38BE7B06" w14:textId="77777777" w:rsidR="00887D85" w:rsidRPr="00B67F80" w:rsidRDefault="00887D85" w:rsidP="002E7889">
      <w:pPr>
        <w:ind w:left="90" w:hanging="90"/>
        <w:rPr>
          <w:color w:val="000000" w:themeColor="text1"/>
        </w:rPr>
      </w:pPr>
    </w:p>
    <w:p w14:paraId="57693C73" w14:textId="77777777" w:rsidR="002E7889" w:rsidRPr="00B67F80" w:rsidRDefault="002E7889" w:rsidP="002E7889">
      <w:pPr>
        <w:spacing w:line="480" w:lineRule="auto"/>
        <w:rPr>
          <w:b/>
          <w:color w:val="000000" w:themeColor="text1"/>
        </w:rPr>
      </w:pPr>
    </w:p>
    <w:p w14:paraId="52978659" w14:textId="77777777" w:rsidR="000D25ED" w:rsidRPr="00B67F80" w:rsidRDefault="000D25ED" w:rsidP="000D25ED">
      <w:pPr>
        <w:pStyle w:val="Heading-Main"/>
        <w:rPr>
          <w:color w:val="000000" w:themeColor="text1"/>
        </w:rPr>
      </w:pPr>
      <w:r w:rsidRPr="00B67F80">
        <w:rPr>
          <w:color w:val="000000" w:themeColor="text1"/>
        </w:rPr>
        <w:t>Key Points:</w:t>
      </w:r>
    </w:p>
    <w:p w14:paraId="34C5CE4B" w14:textId="348D2137" w:rsidR="000D25ED" w:rsidRPr="00D05BCD" w:rsidRDefault="008C5797" w:rsidP="00DB7A8B">
      <w:pPr>
        <w:pStyle w:val="KeyPoints"/>
        <w:numPr>
          <w:ilvl w:val="0"/>
          <w:numId w:val="20"/>
        </w:numPr>
        <w:rPr>
          <w:color w:val="000000" w:themeColor="text1"/>
        </w:rPr>
      </w:pPr>
      <w:r w:rsidRPr="00D05BCD">
        <w:rPr>
          <w:color w:val="000000" w:themeColor="text1"/>
        </w:rPr>
        <w:t>Regional and global t</w:t>
      </w:r>
      <w:r w:rsidR="00AC59DB" w:rsidRPr="00D05BCD">
        <w:rPr>
          <w:color w:val="000000" w:themeColor="text1"/>
        </w:rPr>
        <w:t xml:space="preserve">rends in top-of-atmosphere net radiation </w:t>
      </w:r>
      <w:r w:rsidRPr="00D05BCD">
        <w:rPr>
          <w:color w:val="000000" w:themeColor="text1"/>
        </w:rPr>
        <w:t>from atmospheric reanalyses differ markedly from</w:t>
      </w:r>
      <w:r w:rsidR="00A315CB" w:rsidRPr="00D05BCD">
        <w:rPr>
          <w:color w:val="000000" w:themeColor="text1"/>
        </w:rPr>
        <w:t xml:space="preserve"> satellite observations</w:t>
      </w:r>
    </w:p>
    <w:p w14:paraId="520FF256" w14:textId="5B0D63F2" w:rsidR="00DB7A8B" w:rsidRPr="00D05BCD" w:rsidRDefault="00C46807" w:rsidP="000D25ED">
      <w:pPr>
        <w:pStyle w:val="KeyPoints"/>
        <w:numPr>
          <w:ilvl w:val="0"/>
          <w:numId w:val="20"/>
        </w:numPr>
        <w:rPr>
          <w:color w:val="000000" w:themeColor="text1"/>
        </w:rPr>
      </w:pPr>
      <w:r w:rsidRPr="00C46807">
        <w:rPr>
          <w:color w:val="000000" w:themeColor="text1"/>
        </w:rPr>
        <w:t>Well-calibrated and continuous observing systems are necessary for accurate trend determination from satellite and reanalysis products</w:t>
      </w:r>
    </w:p>
    <w:p w14:paraId="65A9D9B1" w14:textId="2BC0302E" w:rsidR="005E59EE" w:rsidRPr="00D05BCD" w:rsidRDefault="00C46807" w:rsidP="00C144D1">
      <w:pPr>
        <w:pStyle w:val="KeyPoints"/>
        <w:numPr>
          <w:ilvl w:val="0"/>
          <w:numId w:val="20"/>
        </w:numPr>
        <w:rPr>
          <w:bCs/>
          <w:color w:val="000000" w:themeColor="text1"/>
        </w:rPr>
      </w:pPr>
      <w:r w:rsidRPr="00C46807">
        <w:rPr>
          <w:color w:val="000000" w:themeColor="text1"/>
        </w:rPr>
        <w:t>Robust trends are observed over the Gulf Stream associated with enhanced surface-to-atmosphere heat flux</w:t>
      </w:r>
    </w:p>
    <w:p w14:paraId="626C9E00" w14:textId="07051275" w:rsidR="00836A17" w:rsidRPr="00B67F80" w:rsidRDefault="00836A17" w:rsidP="00D05BCD">
      <w:pPr>
        <w:pStyle w:val="KeyPoints"/>
        <w:ind w:left="720"/>
        <w:rPr>
          <w:bCs/>
          <w:color w:val="000000" w:themeColor="text1"/>
        </w:rPr>
      </w:pPr>
      <w:r w:rsidRPr="00B67F80">
        <w:rPr>
          <w:bCs/>
          <w:color w:val="000000" w:themeColor="text1"/>
        </w:rPr>
        <w:br w:type="page"/>
      </w:r>
    </w:p>
    <w:p w14:paraId="12E74A3A" w14:textId="050D0E9D" w:rsidR="00A73207" w:rsidRPr="00B67F80" w:rsidRDefault="00A73207" w:rsidP="00A73207">
      <w:pPr>
        <w:spacing w:line="480" w:lineRule="auto"/>
        <w:jc w:val="center"/>
        <w:rPr>
          <w:b/>
          <w:bCs/>
          <w:color w:val="000000" w:themeColor="text1"/>
        </w:rPr>
      </w:pPr>
      <w:r w:rsidRPr="00B67F80">
        <w:rPr>
          <w:b/>
          <w:bCs/>
          <w:color w:val="000000" w:themeColor="text1"/>
        </w:rPr>
        <w:lastRenderedPageBreak/>
        <w:t>Abstract</w:t>
      </w:r>
    </w:p>
    <w:p w14:paraId="7DD1DCF9" w14:textId="5F73AFAD" w:rsidR="004143E6" w:rsidRPr="00B67F80" w:rsidRDefault="00BF6930" w:rsidP="00ED3752">
      <w:pPr>
        <w:spacing w:line="480" w:lineRule="auto"/>
        <w:jc w:val="both"/>
        <w:rPr>
          <w:color w:val="000000" w:themeColor="text1"/>
        </w:rPr>
      </w:pPr>
      <w:r w:rsidRPr="00B67F80">
        <w:rPr>
          <w:color w:val="000000" w:themeColor="text1"/>
        </w:rPr>
        <w:t>Satellite, reanalys</w:t>
      </w:r>
      <w:r w:rsidR="004A4E33" w:rsidRPr="00B67F80">
        <w:rPr>
          <w:color w:val="000000" w:themeColor="text1"/>
        </w:rPr>
        <w:t>i</w:t>
      </w:r>
      <w:r w:rsidRPr="00B67F80">
        <w:rPr>
          <w:color w:val="000000" w:themeColor="text1"/>
        </w:rPr>
        <w:t xml:space="preserve">s, and </w:t>
      </w:r>
      <w:r w:rsidR="004A4E33" w:rsidRPr="00B67F80">
        <w:rPr>
          <w:color w:val="000000" w:themeColor="text1"/>
        </w:rPr>
        <w:t xml:space="preserve">ocean </w:t>
      </w:r>
      <w:r w:rsidRPr="00B67F80">
        <w:rPr>
          <w:color w:val="000000" w:themeColor="text1"/>
        </w:rPr>
        <w:t xml:space="preserve">in situ data are </w:t>
      </w:r>
      <w:r w:rsidR="00D33B7A" w:rsidRPr="00B67F80">
        <w:rPr>
          <w:color w:val="000000" w:themeColor="text1"/>
        </w:rPr>
        <w:t>analyzed</w:t>
      </w:r>
      <w:r w:rsidRPr="00B67F80">
        <w:rPr>
          <w:color w:val="000000" w:themeColor="text1"/>
        </w:rPr>
        <w:t xml:space="preserve"> to </w:t>
      </w:r>
      <w:r w:rsidR="00595DB9" w:rsidRPr="00B67F80">
        <w:rPr>
          <w:color w:val="000000" w:themeColor="text1"/>
        </w:rPr>
        <w:t>evaluate</w:t>
      </w:r>
      <w:r w:rsidRPr="00B67F80">
        <w:rPr>
          <w:color w:val="000000" w:themeColor="text1"/>
        </w:rPr>
        <w:t xml:space="preserve"> </w:t>
      </w:r>
      <w:r w:rsidR="006665B8" w:rsidRPr="00B67F80">
        <w:rPr>
          <w:color w:val="000000" w:themeColor="text1"/>
        </w:rPr>
        <w:t xml:space="preserve">regional, </w:t>
      </w:r>
      <w:proofErr w:type="gramStart"/>
      <w:r w:rsidR="006665B8" w:rsidRPr="00B67F80">
        <w:rPr>
          <w:color w:val="000000" w:themeColor="text1"/>
        </w:rPr>
        <w:t>hemispheric</w:t>
      </w:r>
      <w:proofErr w:type="gramEnd"/>
      <w:r w:rsidR="006665B8" w:rsidRPr="00B67F80">
        <w:rPr>
          <w:color w:val="000000" w:themeColor="text1"/>
        </w:rPr>
        <w:t xml:space="preserve"> and global mean</w:t>
      </w:r>
      <w:r w:rsidRPr="00B67F80">
        <w:rPr>
          <w:color w:val="000000" w:themeColor="text1"/>
        </w:rPr>
        <w:t xml:space="preserve"> </w:t>
      </w:r>
      <w:r w:rsidR="00595DB9" w:rsidRPr="00B67F80">
        <w:rPr>
          <w:color w:val="000000" w:themeColor="text1"/>
        </w:rPr>
        <w:t>trends</w:t>
      </w:r>
      <w:r w:rsidRPr="00B67F80">
        <w:rPr>
          <w:color w:val="000000" w:themeColor="text1"/>
        </w:rPr>
        <w:t xml:space="preserve"> </w:t>
      </w:r>
      <w:r w:rsidR="00595DB9" w:rsidRPr="00B67F80">
        <w:rPr>
          <w:color w:val="000000" w:themeColor="text1"/>
        </w:rPr>
        <w:t>in</w:t>
      </w:r>
      <w:r w:rsidRPr="00B67F80">
        <w:rPr>
          <w:color w:val="000000" w:themeColor="text1"/>
        </w:rPr>
        <w:t xml:space="preserve"> </w:t>
      </w:r>
      <w:r w:rsidR="00175AA0" w:rsidRPr="00B67F80">
        <w:rPr>
          <w:color w:val="000000" w:themeColor="text1"/>
        </w:rPr>
        <w:t xml:space="preserve">Earth’s </w:t>
      </w:r>
      <w:r w:rsidR="004A4E33" w:rsidRPr="00B67F80">
        <w:rPr>
          <w:color w:val="000000" w:themeColor="text1"/>
        </w:rPr>
        <w:t xml:space="preserve">energy fluxes during the first </w:t>
      </w:r>
      <w:r w:rsidR="00DB7A8B" w:rsidRPr="00B67F80">
        <w:rPr>
          <w:color w:val="000000" w:themeColor="text1"/>
        </w:rPr>
        <w:t>twenty</w:t>
      </w:r>
      <w:r w:rsidR="004A4E33" w:rsidRPr="00B67F80">
        <w:rPr>
          <w:color w:val="000000" w:themeColor="text1"/>
        </w:rPr>
        <w:t xml:space="preserve"> years of the 21</w:t>
      </w:r>
      <w:r w:rsidR="004A4E33" w:rsidRPr="00B67F80">
        <w:rPr>
          <w:color w:val="000000" w:themeColor="text1"/>
          <w:vertAlign w:val="superscript"/>
        </w:rPr>
        <w:t>st</w:t>
      </w:r>
      <w:r w:rsidR="004A4E33" w:rsidRPr="00B67F80">
        <w:rPr>
          <w:color w:val="000000" w:themeColor="text1"/>
        </w:rPr>
        <w:t xml:space="preserve"> century</w:t>
      </w:r>
      <w:r w:rsidRPr="00B67F80">
        <w:rPr>
          <w:color w:val="000000" w:themeColor="text1"/>
        </w:rPr>
        <w:t xml:space="preserve">. </w:t>
      </w:r>
      <w:r w:rsidR="005E6897" w:rsidRPr="00B67F80">
        <w:rPr>
          <w:color w:val="000000" w:themeColor="text1"/>
        </w:rPr>
        <w:t xml:space="preserve">Regional trends in net top-of-atmosphere (TOA) radiation from </w:t>
      </w:r>
      <w:r w:rsidR="004A4E33" w:rsidRPr="00B67F80">
        <w:rPr>
          <w:color w:val="000000" w:themeColor="text1"/>
        </w:rPr>
        <w:t>the Clouds and the Earth’s Radiant Energy System (</w:t>
      </w:r>
      <w:r w:rsidR="005E6897" w:rsidRPr="00B67F80">
        <w:rPr>
          <w:color w:val="000000" w:themeColor="text1"/>
        </w:rPr>
        <w:t>CERES</w:t>
      </w:r>
      <w:r w:rsidR="004A4E33" w:rsidRPr="00B67F80">
        <w:rPr>
          <w:color w:val="000000" w:themeColor="text1"/>
        </w:rPr>
        <w:t>)</w:t>
      </w:r>
      <w:r w:rsidR="005E6897" w:rsidRPr="00B67F80">
        <w:rPr>
          <w:color w:val="000000" w:themeColor="text1"/>
        </w:rPr>
        <w:t xml:space="preserve">, </w:t>
      </w:r>
      <w:r w:rsidR="004A4E33" w:rsidRPr="00B67F80">
        <w:rPr>
          <w:rFonts w:eastAsiaTheme="minorHAnsi"/>
          <w:color w:val="000000" w:themeColor="text1"/>
        </w:rPr>
        <w:t>ECMWF Reanalysis 5</w:t>
      </w:r>
      <w:r w:rsidR="004A4E33" w:rsidRPr="00B67F80">
        <w:rPr>
          <w:color w:val="000000" w:themeColor="text1"/>
        </w:rPr>
        <w:t xml:space="preserve"> (</w:t>
      </w:r>
      <w:r w:rsidR="005E6897" w:rsidRPr="00B67F80">
        <w:rPr>
          <w:color w:val="000000" w:themeColor="text1"/>
        </w:rPr>
        <w:t>ERA5</w:t>
      </w:r>
      <w:r w:rsidR="004A4E33" w:rsidRPr="00B67F80">
        <w:rPr>
          <w:color w:val="000000" w:themeColor="text1"/>
        </w:rPr>
        <w:t>)</w:t>
      </w:r>
      <w:r w:rsidR="00F16095" w:rsidRPr="00B67F80">
        <w:rPr>
          <w:color w:val="000000" w:themeColor="text1"/>
        </w:rPr>
        <w:t>,</w:t>
      </w:r>
      <w:r w:rsidR="005E6897" w:rsidRPr="00B67F80">
        <w:rPr>
          <w:color w:val="000000" w:themeColor="text1"/>
        </w:rPr>
        <w:t xml:space="preserve"> and a model </w:t>
      </w:r>
      <w:proofErr w:type="gramStart"/>
      <w:r w:rsidR="005E6897" w:rsidRPr="00B67F80">
        <w:rPr>
          <w:color w:val="000000" w:themeColor="text1"/>
        </w:rPr>
        <w:t>similar to</w:t>
      </w:r>
      <w:proofErr w:type="gramEnd"/>
      <w:r w:rsidR="005E6897" w:rsidRPr="00B67F80">
        <w:rPr>
          <w:color w:val="000000" w:themeColor="text1"/>
        </w:rPr>
        <w:t xml:space="preserve"> ERA5 </w:t>
      </w:r>
      <w:r w:rsidR="006E64F4" w:rsidRPr="00B67F80">
        <w:rPr>
          <w:color w:val="000000" w:themeColor="text1"/>
        </w:rPr>
        <w:t>with prescribed</w:t>
      </w:r>
      <w:r w:rsidR="005E6897" w:rsidRPr="00B67F80">
        <w:rPr>
          <w:color w:val="000000" w:themeColor="text1"/>
        </w:rPr>
        <w:t xml:space="preserve"> sea surface temperature (SST) and sea ice </w:t>
      </w:r>
      <w:r w:rsidR="00483164" w:rsidRPr="00B67F80">
        <w:rPr>
          <w:color w:val="000000" w:themeColor="text1"/>
        </w:rPr>
        <w:t>differ</w:t>
      </w:r>
      <w:r w:rsidR="005E6897" w:rsidRPr="00B67F80">
        <w:rPr>
          <w:color w:val="000000" w:themeColor="text1"/>
        </w:rPr>
        <w:t xml:space="preserve"> markedly, particularly over the Eastern Pacific Ocean, where CERES </w:t>
      </w:r>
      <w:r w:rsidR="00672D17" w:rsidRPr="00B67F80">
        <w:rPr>
          <w:color w:val="000000" w:themeColor="text1"/>
        </w:rPr>
        <w:t xml:space="preserve">observes </w:t>
      </w:r>
      <w:r w:rsidR="005E6897" w:rsidRPr="00B67F80">
        <w:rPr>
          <w:color w:val="000000" w:themeColor="text1"/>
        </w:rPr>
        <w:t>large</w:t>
      </w:r>
      <w:r w:rsidR="00672D17" w:rsidRPr="00B67F80">
        <w:rPr>
          <w:color w:val="000000" w:themeColor="text1"/>
        </w:rPr>
        <w:t xml:space="preserve"> </w:t>
      </w:r>
      <w:r w:rsidR="00FC17B8" w:rsidRPr="00B67F80">
        <w:rPr>
          <w:color w:val="000000" w:themeColor="text1"/>
        </w:rPr>
        <w:t xml:space="preserve">positive </w:t>
      </w:r>
      <w:r w:rsidR="00672D17" w:rsidRPr="00B67F80">
        <w:rPr>
          <w:color w:val="000000" w:themeColor="text1"/>
        </w:rPr>
        <w:t>trends</w:t>
      </w:r>
      <w:r w:rsidR="005E6897" w:rsidRPr="00B67F80">
        <w:rPr>
          <w:color w:val="000000" w:themeColor="text1"/>
        </w:rPr>
        <w:t xml:space="preserve">. Hemispheric and global mean </w:t>
      </w:r>
      <w:r w:rsidR="00F16095" w:rsidRPr="00B67F80">
        <w:rPr>
          <w:color w:val="000000" w:themeColor="text1"/>
        </w:rPr>
        <w:t xml:space="preserve">net TOA flux </w:t>
      </w:r>
      <w:r w:rsidR="005E6897" w:rsidRPr="00B67F80">
        <w:rPr>
          <w:color w:val="000000" w:themeColor="text1"/>
        </w:rPr>
        <w:t xml:space="preserve">trends </w:t>
      </w:r>
      <w:r w:rsidR="00F16095" w:rsidRPr="00B67F80">
        <w:rPr>
          <w:color w:val="000000" w:themeColor="text1"/>
        </w:rPr>
        <w:t xml:space="preserve">for the two </w:t>
      </w:r>
      <w:r w:rsidR="00BA3756" w:rsidRPr="00B67F80">
        <w:rPr>
          <w:color w:val="000000" w:themeColor="text1"/>
        </w:rPr>
        <w:t xml:space="preserve">reanalyses </w:t>
      </w:r>
      <w:r w:rsidR="00F16095" w:rsidRPr="00B67F80">
        <w:rPr>
          <w:color w:val="000000" w:themeColor="text1"/>
        </w:rPr>
        <w:t xml:space="preserve">are smaller than </w:t>
      </w:r>
      <w:r w:rsidR="005E6897" w:rsidRPr="00B67F80">
        <w:rPr>
          <w:color w:val="000000" w:themeColor="text1"/>
        </w:rPr>
        <w:t>CERES</w:t>
      </w:r>
      <w:r w:rsidR="00F16095" w:rsidRPr="00B67F80">
        <w:rPr>
          <w:color w:val="000000" w:themeColor="text1"/>
        </w:rPr>
        <w:t xml:space="preserve">, and </w:t>
      </w:r>
      <w:r w:rsidR="00731C96" w:rsidRPr="00B67F80">
        <w:rPr>
          <w:color w:val="000000" w:themeColor="text1"/>
        </w:rPr>
        <w:t>their</w:t>
      </w:r>
      <w:r w:rsidR="00F16095" w:rsidRPr="00B67F80">
        <w:rPr>
          <w:color w:val="000000" w:themeColor="text1"/>
        </w:rPr>
        <w:t xml:space="preserve"> c</w:t>
      </w:r>
      <w:r w:rsidR="005E6897" w:rsidRPr="00B67F80">
        <w:rPr>
          <w:color w:val="000000" w:themeColor="text1"/>
        </w:rPr>
        <w:t xml:space="preserve">limatological </w:t>
      </w:r>
      <w:r w:rsidR="00731C96" w:rsidRPr="00B67F80">
        <w:rPr>
          <w:color w:val="000000" w:themeColor="text1"/>
        </w:rPr>
        <w:t>means are</w:t>
      </w:r>
      <w:r w:rsidR="00F16095" w:rsidRPr="00B67F80">
        <w:rPr>
          <w:color w:val="000000" w:themeColor="text1"/>
        </w:rPr>
        <w:t xml:space="preserve"> </w:t>
      </w:r>
      <w:r w:rsidR="005E6897" w:rsidRPr="00B67F80">
        <w:rPr>
          <w:color w:val="000000" w:themeColor="text1"/>
        </w:rPr>
        <w:t xml:space="preserve">half </w:t>
      </w:r>
      <w:r w:rsidR="00F16095" w:rsidRPr="00B67F80">
        <w:rPr>
          <w:color w:val="000000" w:themeColor="text1"/>
        </w:rPr>
        <w:t>those of</w:t>
      </w:r>
      <w:r w:rsidR="005E6897" w:rsidRPr="00B67F80">
        <w:rPr>
          <w:color w:val="000000" w:themeColor="text1"/>
        </w:rPr>
        <w:t xml:space="preserve"> CERES in the southern hemisphere (SH) and more than nine times larger in the northern hemisphere (NH). </w:t>
      </w:r>
      <w:r w:rsidR="0073779A" w:rsidRPr="00B67F80">
        <w:rPr>
          <w:color w:val="000000" w:themeColor="text1"/>
        </w:rPr>
        <w:t>The r</w:t>
      </w:r>
      <w:r w:rsidR="00461572" w:rsidRPr="00B67F80">
        <w:rPr>
          <w:color w:val="000000" w:themeColor="text1"/>
        </w:rPr>
        <w:t xml:space="preserve">egional trend pattern </w:t>
      </w:r>
      <w:r w:rsidR="00FA585A" w:rsidRPr="00B67F80">
        <w:rPr>
          <w:color w:val="000000" w:themeColor="text1"/>
        </w:rPr>
        <w:t>of</w:t>
      </w:r>
      <w:r w:rsidR="00461572" w:rsidRPr="00B67F80">
        <w:rPr>
          <w:color w:val="000000" w:themeColor="text1"/>
        </w:rPr>
        <w:t xml:space="preserve"> </w:t>
      </w:r>
      <w:r w:rsidR="0073779A" w:rsidRPr="00B67F80">
        <w:rPr>
          <w:color w:val="000000" w:themeColor="text1"/>
        </w:rPr>
        <w:t xml:space="preserve">the </w:t>
      </w:r>
      <w:r w:rsidR="00461572" w:rsidRPr="00B67F80">
        <w:rPr>
          <w:color w:val="000000" w:themeColor="text1"/>
        </w:rPr>
        <w:t xml:space="preserve">divergence </w:t>
      </w:r>
      <w:r w:rsidR="0073779A" w:rsidRPr="00B67F80">
        <w:rPr>
          <w:color w:val="000000" w:themeColor="text1"/>
        </w:rPr>
        <w:t>of</w:t>
      </w:r>
      <w:r w:rsidR="00461572" w:rsidRPr="00B67F80">
        <w:rPr>
          <w:color w:val="000000" w:themeColor="text1"/>
        </w:rPr>
        <w:t xml:space="preserve"> </w:t>
      </w:r>
      <w:r w:rsidR="00177577" w:rsidRPr="00B67F80">
        <w:rPr>
          <w:color w:val="000000" w:themeColor="text1"/>
        </w:rPr>
        <w:t>total</w:t>
      </w:r>
      <w:r w:rsidR="00461572" w:rsidRPr="00B67F80">
        <w:rPr>
          <w:color w:val="000000" w:themeColor="text1"/>
        </w:rPr>
        <w:t xml:space="preserve"> atmospheric energy transport</w:t>
      </w:r>
      <w:r w:rsidR="008A4BCB" w:rsidRPr="00B67F80">
        <w:rPr>
          <w:color w:val="000000" w:themeColor="text1"/>
        </w:rPr>
        <w:t xml:space="preserve"> (TEDIV)</w:t>
      </w:r>
      <w:r w:rsidR="00461572" w:rsidRPr="00B67F80">
        <w:rPr>
          <w:color w:val="000000" w:themeColor="text1"/>
        </w:rPr>
        <w:t xml:space="preserve"> </w:t>
      </w:r>
      <w:r w:rsidR="00FA585A" w:rsidRPr="00B67F80">
        <w:rPr>
          <w:color w:val="000000" w:themeColor="text1"/>
        </w:rPr>
        <w:t xml:space="preserve">over ocean determined using ERA5 </w:t>
      </w:r>
      <w:r w:rsidR="00D33B7A" w:rsidRPr="00B67F80">
        <w:rPr>
          <w:color w:val="000000" w:themeColor="text1"/>
        </w:rPr>
        <w:t>analyzed</w:t>
      </w:r>
      <w:r w:rsidR="008A4BCB" w:rsidRPr="00B67F80">
        <w:rPr>
          <w:color w:val="000000" w:themeColor="text1"/>
        </w:rPr>
        <w:t xml:space="preserve"> </w:t>
      </w:r>
      <w:r w:rsidR="002B5646" w:rsidRPr="00B67F80">
        <w:rPr>
          <w:color w:val="000000" w:themeColor="text1"/>
        </w:rPr>
        <w:t>fields</w:t>
      </w:r>
      <w:r w:rsidR="00FA585A" w:rsidRPr="00B67F80">
        <w:rPr>
          <w:color w:val="000000" w:themeColor="text1"/>
        </w:rPr>
        <w:t xml:space="preserve"> is</w:t>
      </w:r>
      <w:r w:rsidR="0073779A" w:rsidRPr="00B67F80">
        <w:rPr>
          <w:color w:val="000000" w:themeColor="text1"/>
        </w:rPr>
        <w:t xml:space="preserve"> </w:t>
      </w:r>
      <w:r w:rsidR="00FA585A" w:rsidRPr="00B67F80">
        <w:rPr>
          <w:color w:val="000000" w:themeColor="text1"/>
        </w:rPr>
        <w:t xml:space="preserve">similar to that </w:t>
      </w:r>
      <w:r w:rsidR="0073779A" w:rsidRPr="00B67F80">
        <w:rPr>
          <w:color w:val="000000" w:themeColor="text1"/>
        </w:rPr>
        <w:t>inferred</w:t>
      </w:r>
      <w:r w:rsidR="00FA585A" w:rsidRPr="00B67F80">
        <w:rPr>
          <w:color w:val="000000" w:themeColor="text1"/>
        </w:rPr>
        <w:t xml:space="preserve"> </w:t>
      </w:r>
      <w:r w:rsidR="00483164" w:rsidRPr="00B67F80">
        <w:rPr>
          <w:color w:val="000000" w:themeColor="text1"/>
          <w:lang w:val="en-GB"/>
        </w:rPr>
        <w:t>from the difference between</w:t>
      </w:r>
      <w:r w:rsidR="008A4BCB" w:rsidRPr="00B67F80">
        <w:rPr>
          <w:color w:val="000000" w:themeColor="text1"/>
          <w:lang w:val="en-GB"/>
        </w:rPr>
        <w:t xml:space="preserve"> </w:t>
      </w:r>
      <w:r w:rsidR="00FA585A" w:rsidRPr="00B67F80">
        <w:rPr>
          <w:color w:val="000000" w:themeColor="text1"/>
          <w:lang w:val="en-GB"/>
        </w:rPr>
        <w:t>TOA and surface fluxes</w:t>
      </w:r>
      <w:r w:rsidR="008A4BCB" w:rsidRPr="00B67F80">
        <w:rPr>
          <w:color w:val="000000" w:themeColor="text1"/>
          <w:lang w:val="en-GB"/>
        </w:rPr>
        <w:t xml:space="preserve"> from ERA5 short-term forecasts. </w:t>
      </w:r>
      <w:r w:rsidR="00DB7A8B" w:rsidRPr="00B67F80">
        <w:rPr>
          <w:color w:val="000000" w:themeColor="text1"/>
          <w:lang w:val="en-GB"/>
        </w:rPr>
        <w:t>T</w:t>
      </w:r>
      <w:r w:rsidR="002B5646" w:rsidRPr="00B67F80">
        <w:rPr>
          <w:color w:val="000000" w:themeColor="text1"/>
          <w:lang w:val="en-GB"/>
        </w:rPr>
        <w:t xml:space="preserve">here is </w:t>
      </w:r>
      <w:r w:rsidR="00DB7A8B" w:rsidRPr="00B67F80">
        <w:rPr>
          <w:color w:val="000000" w:themeColor="text1"/>
          <w:lang w:val="en-GB"/>
        </w:rPr>
        <w:t xml:space="preserve">also </w:t>
      </w:r>
      <w:r w:rsidR="00706131" w:rsidRPr="00B67F80">
        <w:rPr>
          <w:color w:val="000000" w:themeColor="text1"/>
          <w:lang w:val="en-GB"/>
        </w:rPr>
        <w:t>agreement in</w:t>
      </w:r>
      <w:r w:rsidR="002B5646" w:rsidRPr="00B67F80">
        <w:rPr>
          <w:color w:val="000000" w:themeColor="text1"/>
          <w:lang w:val="en-GB"/>
        </w:rPr>
        <w:t xml:space="preserve"> </w:t>
      </w:r>
      <w:r w:rsidR="002B5646" w:rsidRPr="00B67F80">
        <w:rPr>
          <w:color w:val="000000" w:themeColor="text1"/>
        </w:rPr>
        <w:t>t</w:t>
      </w:r>
      <w:r w:rsidR="008A4BCB" w:rsidRPr="00B67F80">
        <w:rPr>
          <w:color w:val="000000" w:themeColor="text1"/>
        </w:rPr>
        <w:t>he trend</w:t>
      </w:r>
      <w:r w:rsidR="00706131" w:rsidRPr="00B67F80">
        <w:rPr>
          <w:color w:val="000000" w:themeColor="text1"/>
        </w:rPr>
        <w:t xml:space="preserve"> pattern</w:t>
      </w:r>
      <w:r w:rsidR="00FA585A" w:rsidRPr="00B67F80">
        <w:rPr>
          <w:color w:val="000000" w:themeColor="text1"/>
        </w:rPr>
        <w:t xml:space="preserve"> </w:t>
      </w:r>
      <w:r w:rsidR="008A4BCB" w:rsidRPr="00B67F80">
        <w:rPr>
          <w:color w:val="000000" w:themeColor="text1"/>
        </w:rPr>
        <w:t>over ocean</w:t>
      </w:r>
      <w:r w:rsidR="00FA585A" w:rsidRPr="00B67F80">
        <w:rPr>
          <w:color w:val="000000" w:themeColor="text1"/>
        </w:rPr>
        <w:t xml:space="preserve"> </w:t>
      </w:r>
      <w:r w:rsidR="00483164" w:rsidRPr="00B67F80">
        <w:rPr>
          <w:color w:val="000000" w:themeColor="text1"/>
        </w:rPr>
        <w:t>for surface fluxes inferred as a</w:t>
      </w:r>
      <w:r w:rsidR="00706131" w:rsidRPr="00B67F80">
        <w:rPr>
          <w:color w:val="000000" w:themeColor="text1"/>
        </w:rPr>
        <w:t xml:space="preserve"> residual </w:t>
      </w:r>
      <w:r w:rsidR="00483164" w:rsidRPr="00B67F80">
        <w:rPr>
          <w:color w:val="000000" w:themeColor="text1"/>
        </w:rPr>
        <w:t>between</w:t>
      </w:r>
      <w:r w:rsidR="00FA585A" w:rsidRPr="00B67F80">
        <w:rPr>
          <w:color w:val="000000" w:themeColor="text1"/>
        </w:rPr>
        <w:t xml:space="preserve"> CERES</w:t>
      </w:r>
      <w:r w:rsidR="008A4BCB" w:rsidRPr="00B67F80">
        <w:rPr>
          <w:color w:val="000000" w:themeColor="text1"/>
        </w:rPr>
        <w:t xml:space="preserve"> net TOA flux</w:t>
      </w:r>
      <w:r w:rsidR="00FA585A" w:rsidRPr="00B67F80">
        <w:rPr>
          <w:color w:val="000000" w:themeColor="text1"/>
        </w:rPr>
        <w:t xml:space="preserve"> and ERA5</w:t>
      </w:r>
      <w:r w:rsidR="008A4BCB" w:rsidRPr="00B67F80">
        <w:rPr>
          <w:color w:val="000000" w:themeColor="text1"/>
        </w:rPr>
        <w:t xml:space="preserve"> analysis TEDIV </w:t>
      </w:r>
      <w:r w:rsidR="002B5646" w:rsidRPr="00B67F80">
        <w:rPr>
          <w:color w:val="000000" w:themeColor="text1"/>
        </w:rPr>
        <w:t>and</w:t>
      </w:r>
      <w:r w:rsidR="008A4BCB" w:rsidRPr="00B67F80">
        <w:rPr>
          <w:color w:val="000000" w:themeColor="text1"/>
        </w:rPr>
        <w:t xml:space="preserve"> </w:t>
      </w:r>
      <w:r w:rsidR="00483164" w:rsidRPr="00B67F80">
        <w:rPr>
          <w:color w:val="000000" w:themeColor="text1"/>
        </w:rPr>
        <w:t xml:space="preserve">surface fluxes obtained directly </w:t>
      </w:r>
      <w:r w:rsidR="00706131" w:rsidRPr="00B67F80">
        <w:rPr>
          <w:color w:val="000000" w:themeColor="text1"/>
        </w:rPr>
        <w:t xml:space="preserve">from </w:t>
      </w:r>
      <w:r w:rsidR="00FA585A" w:rsidRPr="00B67F80">
        <w:rPr>
          <w:color w:val="000000" w:themeColor="text1"/>
        </w:rPr>
        <w:t>ERA5 forecast</w:t>
      </w:r>
      <w:r w:rsidR="00DA6F36" w:rsidRPr="00B67F80">
        <w:rPr>
          <w:color w:val="000000" w:themeColor="text1"/>
        </w:rPr>
        <w:t>s</w:t>
      </w:r>
      <w:r w:rsidR="00FA585A" w:rsidRPr="00B67F80">
        <w:rPr>
          <w:color w:val="000000" w:themeColor="text1"/>
        </w:rPr>
        <w:t xml:space="preserve">. </w:t>
      </w:r>
      <w:r w:rsidR="00731C96" w:rsidRPr="00B67F80">
        <w:rPr>
          <w:color w:val="000000" w:themeColor="text1"/>
        </w:rPr>
        <w:t>R</w:t>
      </w:r>
      <w:r w:rsidR="00461572" w:rsidRPr="00B67F80">
        <w:rPr>
          <w:color w:val="000000" w:themeColor="text1"/>
        </w:rPr>
        <w:t xml:space="preserve">obust trends </w:t>
      </w:r>
      <w:r w:rsidR="0073779A" w:rsidRPr="00B67F80">
        <w:rPr>
          <w:color w:val="000000" w:themeColor="text1"/>
        </w:rPr>
        <w:t xml:space="preserve">are observed </w:t>
      </w:r>
      <w:r w:rsidR="00461572" w:rsidRPr="00B67F80">
        <w:rPr>
          <w:color w:val="000000" w:themeColor="text1"/>
        </w:rPr>
        <w:t>over the Gulf Stream</w:t>
      </w:r>
      <w:r w:rsidR="00731C96" w:rsidRPr="00B67F80">
        <w:rPr>
          <w:color w:val="000000" w:themeColor="text1"/>
        </w:rPr>
        <w:t xml:space="preserve"> associated with enhanced surface-to-atmosphere transfer of heat</w:t>
      </w:r>
      <w:r w:rsidR="00461572" w:rsidRPr="00B67F80">
        <w:rPr>
          <w:color w:val="000000" w:themeColor="text1"/>
        </w:rPr>
        <w:t>.</w:t>
      </w:r>
      <w:r w:rsidR="00F95325" w:rsidRPr="00B67F80">
        <w:rPr>
          <w:color w:val="000000" w:themeColor="text1"/>
        </w:rPr>
        <w:t xml:space="preserve"> </w:t>
      </w:r>
      <w:r w:rsidR="00731C96" w:rsidRPr="00B67F80">
        <w:rPr>
          <w:color w:val="000000" w:themeColor="text1"/>
        </w:rPr>
        <w:t>Within the ocean,</w:t>
      </w:r>
      <w:r w:rsidR="00672D17" w:rsidRPr="00B67F80">
        <w:rPr>
          <w:color w:val="000000" w:themeColor="text1"/>
        </w:rPr>
        <w:t xml:space="preserve"> </w:t>
      </w:r>
      <w:r w:rsidR="00595DB9" w:rsidRPr="00B67F80">
        <w:rPr>
          <w:color w:val="000000" w:themeColor="text1"/>
        </w:rPr>
        <w:t xml:space="preserve">larger trends in ocean heating rate </w:t>
      </w:r>
      <w:r w:rsidR="00731C96" w:rsidRPr="00B67F80">
        <w:rPr>
          <w:color w:val="000000" w:themeColor="text1"/>
        </w:rPr>
        <w:t xml:space="preserve">are found </w:t>
      </w:r>
      <w:r w:rsidR="00595DB9" w:rsidRPr="00B67F80">
        <w:rPr>
          <w:color w:val="000000" w:themeColor="text1"/>
        </w:rPr>
        <w:t xml:space="preserve">in the NH than the SH after 2005, but </w:t>
      </w:r>
      <w:r w:rsidR="0073779A" w:rsidRPr="00B67F80">
        <w:rPr>
          <w:color w:val="000000" w:themeColor="text1"/>
        </w:rPr>
        <w:t xml:space="preserve">the magnitude of the trend varies </w:t>
      </w:r>
      <w:r w:rsidR="00DA6F36" w:rsidRPr="00B67F80">
        <w:rPr>
          <w:color w:val="000000" w:themeColor="text1"/>
        </w:rPr>
        <w:t xml:space="preserve">greatly </w:t>
      </w:r>
      <w:r w:rsidR="0059721B" w:rsidRPr="00B67F80">
        <w:rPr>
          <w:color w:val="000000" w:themeColor="text1"/>
        </w:rPr>
        <w:t>among</w:t>
      </w:r>
      <w:r w:rsidR="0073779A" w:rsidRPr="00B67F80">
        <w:rPr>
          <w:color w:val="000000" w:themeColor="text1"/>
        </w:rPr>
        <w:t xml:space="preserve"> dataset</w:t>
      </w:r>
      <w:r w:rsidR="0059721B" w:rsidRPr="00B67F80">
        <w:rPr>
          <w:color w:val="000000" w:themeColor="text1"/>
        </w:rPr>
        <w:t>s</w:t>
      </w:r>
      <w:r w:rsidR="00DB7A8B" w:rsidRPr="00B67F80">
        <w:rPr>
          <w:color w:val="000000" w:themeColor="text1"/>
        </w:rPr>
        <w:t>.</w:t>
      </w:r>
    </w:p>
    <w:p w14:paraId="1861570E" w14:textId="5813E34D" w:rsidR="00BF6930" w:rsidRPr="00B67F80" w:rsidRDefault="00BF6930" w:rsidP="00ED3752">
      <w:pPr>
        <w:spacing w:line="480" w:lineRule="auto"/>
        <w:jc w:val="both"/>
        <w:rPr>
          <w:color w:val="000000" w:themeColor="text1"/>
        </w:rPr>
      </w:pPr>
    </w:p>
    <w:p w14:paraId="0BC295AA" w14:textId="26896AC3" w:rsidR="00EC4DDF" w:rsidRPr="00B67F80" w:rsidRDefault="00EC4DDF" w:rsidP="00DC22B6">
      <w:pPr>
        <w:spacing w:line="480" w:lineRule="auto"/>
        <w:jc w:val="both"/>
        <w:rPr>
          <w:color w:val="000000" w:themeColor="text1"/>
        </w:rPr>
      </w:pPr>
    </w:p>
    <w:p w14:paraId="234F9104" w14:textId="37EB83BF" w:rsidR="007C6C5F" w:rsidRPr="00B67F80" w:rsidRDefault="007C6C5F">
      <w:pPr>
        <w:rPr>
          <w:color w:val="000000" w:themeColor="text1"/>
        </w:rPr>
      </w:pPr>
      <w:r w:rsidRPr="00B67F80">
        <w:rPr>
          <w:color w:val="000000" w:themeColor="text1"/>
        </w:rPr>
        <w:br w:type="page"/>
      </w:r>
    </w:p>
    <w:p w14:paraId="5A824CD2" w14:textId="6245F5F2" w:rsidR="00A73207" w:rsidRPr="00B67F80" w:rsidRDefault="00A73207" w:rsidP="00A73207">
      <w:pPr>
        <w:pStyle w:val="ListParagraph"/>
        <w:numPr>
          <w:ilvl w:val="0"/>
          <w:numId w:val="4"/>
        </w:numPr>
        <w:spacing w:line="480" w:lineRule="auto"/>
        <w:ind w:left="270" w:hanging="270"/>
        <w:jc w:val="both"/>
        <w:rPr>
          <w:rFonts w:ascii="Times New Roman" w:hAnsi="Times New Roman" w:cs="Times New Roman"/>
          <w:b/>
          <w:bCs/>
          <w:color w:val="000000" w:themeColor="text1"/>
        </w:rPr>
      </w:pPr>
      <w:r w:rsidRPr="00B67F80">
        <w:rPr>
          <w:rFonts w:ascii="Times New Roman" w:hAnsi="Times New Roman" w:cs="Times New Roman"/>
          <w:b/>
          <w:bCs/>
          <w:color w:val="000000" w:themeColor="text1"/>
        </w:rPr>
        <w:lastRenderedPageBreak/>
        <w:t>Introduction</w:t>
      </w:r>
    </w:p>
    <w:p w14:paraId="364AED77" w14:textId="68A1B964" w:rsidR="00AC31EF" w:rsidRPr="00B67F80" w:rsidRDefault="00433D1F" w:rsidP="009B1C45">
      <w:pPr>
        <w:spacing w:line="480" w:lineRule="auto"/>
        <w:ind w:firstLine="720"/>
        <w:jc w:val="both"/>
        <w:rPr>
          <w:color w:val="000000" w:themeColor="text1"/>
        </w:rPr>
      </w:pPr>
      <w:r w:rsidRPr="00B67F80">
        <w:rPr>
          <w:color w:val="000000" w:themeColor="text1"/>
        </w:rPr>
        <w:t xml:space="preserve">Earth’s </w:t>
      </w:r>
      <w:r w:rsidR="00A303D8" w:rsidRPr="00B67F80">
        <w:rPr>
          <w:color w:val="000000" w:themeColor="text1"/>
        </w:rPr>
        <w:t>energy</w:t>
      </w:r>
      <w:r w:rsidRPr="00B67F80">
        <w:rPr>
          <w:color w:val="000000" w:themeColor="text1"/>
        </w:rPr>
        <w:t xml:space="preserve"> </w:t>
      </w:r>
      <w:r w:rsidR="007E223A" w:rsidRPr="00B67F80">
        <w:rPr>
          <w:color w:val="000000" w:themeColor="text1"/>
        </w:rPr>
        <w:t xml:space="preserve">flows encompass </w:t>
      </w:r>
      <w:r w:rsidR="00257D27" w:rsidRPr="00B67F80">
        <w:rPr>
          <w:color w:val="000000" w:themeColor="text1"/>
        </w:rPr>
        <w:t xml:space="preserve">the </w:t>
      </w:r>
      <w:r w:rsidRPr="00B67F80">
        <w:rPr>
          <w:color w:val="000000" w:themeColor="text1"/>
        </w:rPr>
        <w:t>exchang</w:t>
      </w:r>
      <w:r w:rsidR="00257D27" w:rsidRPr="00B67F80">
        <w:rPr>
          <w:color w:val="000000" w:themeColor="text1"/>
        </w:rPr>
        <w:t>e of energy</w:t>
      </w:r>
      <w:r w:rsidRPr="00B67F80">
        <w:rPr>
          <w:color w:val="000000" w:themeColor="text1"/>
        </w:rPr>
        <w:t xml:space="preserve"> between Earth and space </w:t>
      </w:r>
      <w:r w:rsidR="00257D27" w:rsidRPr="00B67F80">
        <w:rPr>
          <w:color w:val="000000" w:themeColor="text1"/>
        </w:rPr>
        <w:t>and</w:t>
      </w:r>
      <w:r w:rsidRPr="00B67F80">
        <w:rPr>
          <w:color w:val="000000" w:themeColor="text1"/>
        </w:rPr>
        <w:t xml:space="preserve"> </w:t>
      </w:r>
      <w:r w:rsidR="007E223A" w:rsidRPr="00B67F80">
        <w:rPr>
          <w:color w:val="000000" w:themeColor="text1"/>
        </w:rPr>
        <w:t>between Earth’s atmosphere</w:t>
      </w:r>
      <w:r w:rsidR="000B5DF0" w:rsidRPr="00B67F80">
        <w:rPr>
          <w:color w:val="000000" w:themeColor="text1"/>
        </w:rPr>
        <w:t xml:space="preserve">, </w:t>
      </w:r>
      <w:r w:rsidR="0082110A" w:rsidRPr="00B67F80">
        <w:rPr>
          <w:color w:val="000000" w:themeColor="text1"/>
        </w:rPr>
        <w:t>ocean</w:t>
      </w:r>
      <w:r w:rsidR="000B5DF0" w:rsidRPr="00B67F80">
        <w:rPr>
          <w:color w:val="000000" w:themeColor="text1"/>
        </w:rPr>
        <w:t>, lithosphere</w:t>
      </w:r>
      <w:r w:rsidR="0059721B" w:rsidRPr="00B67F80">
        <w:rPr>
          <w:color w:val="000000" w:themeColor="text1"/>
        </w:rPr>
        <w:t>,</w:t>
      </w:r>
      <w:r w:rsidR="000B5DF0" w:rsidRPr="00B67F80">
        <w:rPr>
          <w:color w:val="000000" w:themeColor="text1"/>
        </w:rPr>
        <w:t xml:space="preserve"> and cryosphere. These exchanges occur</w:t>
      </w:r>
      <w:r w:rsidR="000418E2" w:rsidRPr="00B67F80">
        <w:rPr>
          <w:color w:val="000000" w:themeColor="text1"/>
        </w:rPr>
        <w:t xml:space="preserve"> over a range of </w:t>
      </w:r>
      <w:r w:rsidR="000B5DF0" w:rsidRPr="00B67F80">
        <w:rPr>
          <w:color w:val="000000" w:themeColor="text1"/>
        </w:rPr>
        <w:t xml:space="preserve">time and space scales </w:t>
      </w:r>
      <w:r w:rsidR="000418E2" w:rsidRPr="00B67F80">
        <w:rPr>
          <w:color w:val="000000" w:themeColor="text1"/>
        </w:rPr>
        <w:t>and</w:t>
      </w:r>
      <w:r w:rsidR="00AC31EF" w:rsidRPr="00B67F80">
        <w:rPr>
          <w:color w:val="000000" w:themeColor="text1"/>
        </w:rPr>
        <w:t xml:space="preserve"> </w:t>
      </w:r>
      <w:r w:rsidR="0059721B" w:rsidRPr="00B67F80">
        <w:rPr>
          <w:color w:val="000000" w:themeColor="text1"/>
        </w:rPr>
        <w:t xml:space="preserve">influence </w:t>
      </w:r>
      <w:r w:rsidR="00BD6CDB" w:rsidRPr="00B67F80">
        <w:rPr>
          <w:color w:val="000000" w:themeColor="text1"/>
        </w:rPr>
        <w:t>weather and</w:t>
      </w:r>
      <w:r w:rsidR="00135197" w:rsidRPr="00B67F80">
        <w:rPr>
          <w:color w:val="000000" w:themeColor="text1"/>
        </w:rPr>
        <w:t xml:space="preserve"> </w:t>
      </w:r>
      <w:r w:rsidR="00AC31EF" w:rsidRPr="00B67F80">
        <w:rPr>
          <w:color w:val="000000" w:themeColor="text1"/>
        </w:rPr>
        <w:t>climate at any given location</w:t>
      </w:r>
      <w:r w:rsidR="00BD6CDB" w:rsidRPr="00B67F80">
        <w:rPr>
          <w:color w:val="000000" w:themeColor="text1"/>
        </w:rPr>
        <w:t xml:space="preserve"> and time</w:t>
      </w:r>
      <w:r w:rsidR="00AC31EF" w:rsidRPr="00B67F80">
        <w:rPr>
          <w:color w:val="000000" w:themeColor="text1"/>
        </w:rPr>
        <w:t xml:space="preserve">. </w:t>
      </w:r>
      <w:r w:rsidR="00C9402D" w:rsidRPr="00B67F80">
        <w:rPr>
          <w:color w:val="000000" w:themeColor="text1"/>
        </w:rPr>
        <w:t xml:space="preserve">A thorough understanding of Earth’s energy flows is thus necessary </w:t>
      </w:r>
      <w:r w:rsidR="00361131" w:rsidRPr="00B67F80">
        <w:rPr>
          <w:color w:val="000000" w:themeColor="text1"/>
        </w:rPr>
        <w:t>to</w:t>
      </w:r>
      <w:r w:rsidR="00C9402D" w:rsidRPr="00B67F80">
        <w:rPr>
          <w:color w:val="000000" w:themeColor="text1"/>
        </w:rPr>
        <w:t xml:space="preserve"> project how regional and global climate will change in response to radiative forcing.</w:t>
      </w:r>
      <w:r w:rsidR="003737D5" w:rsidRPr="00B67F80">
        <w:rPr>
          <w:color w:val="000000" w:themeColor="text1"/>
        </w:rPr>
        <w:t xml:space="preserve"> Observations of Earth’s energy flows are </w:t>
      </w:r>
      <w:r w:rsidR="002F24F3" w:rsidRPr="00B67F80">
        <w:rPr>
          <w:color w:val="000000" w:themeColor="text1"/>
        </w:rPr>
        <w:t xml:space="preserve">essential for evaluating and improving the climate models </w:t>
      </w:r>
      <w:r w:rsidR="006738AE" w:rsidRPr="00B67F80">
        <w:rPr>
          <w:color w:val="000000" w:themeColor="text1"/>
        </w:rPr>
        <w:t>used</w:t>
      </w:r>
      <w:r w:rsidR="002F24F3" w:rsidRPr="00B67F80">
        <w:rPr>
          <w:color w:val="000000" w:themeColor="text1"/>
        </w:rPr>
        <w:t xml:space="preserve"> to make these projections. </w:t>
      </w:r>
      <w:r w:rsidR="00F34E07" w:rsidRPr="00B67F80">
        <w:rPr>
          <w:color w:val="000000" w:themeColor="text1"/>
        </w:rPr>
        <w:t>Ideally</w:t>
      </w:r>
      <w:r w:rsidR="002F24F3" w:rsidRPr="00B67F80">
        <w:rPr>
          <w:color w:val="000000" w:themeColor="text1"/>
        </w:rPr>
        <w:t xml:space="preserve">, the observations must provide </w:t>
      </w:r>
      <w:r w:rsidR="00F34E07" w:rsidRPr="00B67F80">
        <w:rPr>
          <w:color w:val="000000" w:themeColor="text1"/>
        </w:rPr>
        <w:t xml:space="preserve">accurate descriptions of the mean state of Earth’s energy flows as well as </w:t>
      </w:r>
      <w:r w:rsidR="00E10094" w:rsidRPr="00B67F80">
        <w:rPr>
          <w:color w:val="000000" w:themeColor="text1"/>
        </w:rPr>
        <w:t>their variations</w:t>
      </w:r>
      <w:r w:rsidR="00F34E07" w:rsidRPr="00B67F80">
        <w:rPr>
          <w:color w:val="000000" w:themeColor="text1"/>
        </w:rPr>
        <w:t xml:space="preserve"> on seasonal, interannual</w:t>
      </w:r>
      <w:r w:rsidR="0059721B" w:rsidRPr="00B67F80">
        <w:rPr>
          <w:color w:val="000000" w:themeColor="text1"/>
        </w:rPr>
        <w:t>,</w:t>
      </w:r>
      <w:r w:rsidR="00F34E07" w:rsidRPr="00B67F80">
        <w:rPr>
          <w:color w:val="000000" w:themeColor="text1"/>
        </w:rPr>
        <w:t xml:space="preserve"> and decadal time scales</w:t>
      </w:r>
      <w:r w:rsidR="00E10094" w:rsidRPr="00B67F80">
        <w:rPr>
          <w:color w:val="000000" w:themeColor="text1"/>
        </w:rPr>
        <w:t>.</w:t>
      </w:r>
      <w:r w:rsidR="00F34E07" w:rsidRPr="00B67F80">
        <w:rPr>
          <w:color w:val="000000" w:themeColor="text1"/>
        </w:rPr>
        <w:t xml:space="preserve"> </w:t>
      </w:r>
    </w:p>
    <w:p w14:paraId="4360E963" w14:textId="4B6DBC8D" w:rsidR="00C66CA0" w:rsidRPr="00B67F80" w:rsidRDefault="003601D5" w:rsidP="00A26803">
      <w:pPr>
        <w:spacing w:line="480" w:lineRule="auto"/>
        <w:ind w:firstLine="720"/>
        <w:jc w:val="both"/>
        <w:rPr>
          <w:color w:val="000000" w:themeColor="text1"/>
        </w:rPr>
      </w:pPr>
      <w:r w:rsidRPr="00B67F80">
        <w:rPr>
          <w:color w:val="000000" w:themeColor="text1"/>
        </w:rPr>
        <w:t>Efforts aimed</w:t>
      </w:r>
      <w:r w:rsidR="0044280A" w:rsidRPr="00B67F80">
        <w:rPr>
          <w:color w:val="000000" w:themeColor="text1"/>
        </w:rPr>
        <w:t xml:space="preserve"> </w:t>
      </w:r>
      <w:r w:rsidRPr="00B67F80">
        <w:rPr>
          <w:color w:val="000000" w:themeColor="text1"/>
        </w:rPr>
        <w:t>at</w:t>
      </w:r>
      <w:r w:rsidR="0044280A" w:rsidRPr="00B67F80">
        <w:rPr>
          <w:color w:val="000000" w:themeColor="text1"/>
        </w:rPr>
        <w:t xml:space="preserve"> quantifying Earth’s mean energy flows </w:t>
      </w:r>
      <w:r w:rsidRPr="00B67F80">
        <w:rPr>
          <w:color w:val="000000" w:themeColor="text1"/>
        </w:rPr>
        <w:t xml:space="preserve">date back to </w:t>
      </w:r>
      <w:r w:rsidR="00D90F33" w:rsidRPr="00B67F80">
        <w:rPr>
          <w:color w:val="000000" w:themeColor="text1"/>
        </w:rPr>
        <w:t>the early 20</w:t>
      </w:r>
      <w:r w:rsidR="00D90F33" w:rsidRPr="00B67F80">
        <w:rPr>
          <w:color w:val="000000" w:themeColor="text1"/>
          <w:vertAlign w:val="superscript"/>
        </w:rPr>
        <w:t>th</w:t>
      </w:r>
      <w:r w:rsidR="00D90F33" w:rsidRPr="00B67F80">
        <w:rPr>
          <w:color w:val="000000" w:themeColor="text1"/>
        </w:rPr>
        <w:t xml:space="preserve"> century (Hunt et al., 1986)</w:t>
      </w:r>
      <w:r w:rsidR="00E10094" w:rsidRPr="00B67F80">
        <w:rPr>
          <w:color w:val="000000" w:themeColor="text1"/>
        </w:rPr>
        <w:t xml:space="preserve">. </w:t>
      </w:r>
      <w:r w:rsidR="00786898" w:rsidRPr="00B67F80">
        <w:rPr>
          <w:color w:val="000000" w:themeColor="text1"/>
        </w:rPr>
        <w:t>S</w:t>
      </w:r>
      <w:r w:rsidR="00E10094" w:rsidRPr="00B67F80">
        <w:rPr>
          <w:color w:val="000000" w:themeColor="text1"/>
        </w:rPr>
        <w:t xml:space="preserve">o-called </w:t>
      </w:r>
      <w:r w:rsidR="00786898" w:rsidRPr="00B67F80">
        <w:rPr>
          <w:color w:val="000000" w:themeColor="text1"/>
        </w:rPr>
        <w:t>“radiation</w:t>
      </w:r>
      <w:r w:rsidR="00E10094" w:rsidRPr="00B67F80">
        <w:rPr>
          <w:color w:val="000000" w:themeColor="text1"/>
        </w:rPr>
        <w:t xml:space="preserve"> budget diagram</w:t>
      </w:r>
      <w:r w:rsidR="00786898" w:rsidRPr="00B67F80">
        <w:rPr>
          <w:color w:val="000000" w:themeColor="text1"/>
        </w:rPr>
        <w:t>s”</w:t>
      </w:r>
      <w:r w:rsidR="00E10094" w:rsidRPr="00B67F80">
        <w:rPr>
          <w:color w:val="000000" w:themeColor="text1"/>
        </w:rPr>
        <w:t xml:space="preserve"> </w:t>
      </w:r>
      <w:r w:rsidR="00786898" w:rsidRPr="00B67F80">
        <w:rPr>
          <w:color w:val="000000" w:themeColor="text1"/>
        </w:rPr>
        <w:t>of</w:t>
      </w:r>
      <w:r w:rsidR="00515E50" w:rsidRPr="00B67F80">
        <w:rPr>
          <w:color w:val="000000" w:themeColor="text1"/>
        </w:rPr>
        <w:t xml:space="preserve"> </w:t>
      </w:r>
      <w:r w:rsidR="00786898" w:rsidRPr="00B67F80">
        <w:rPr>
          <w:color w:val="000000" w:themeColor="text1"/>
        </w:rPr>
        <w:t xml:space="preserve">global </w:t>
      </w:r>
      <w:r w:rsidR="00515E50" w:rsidRPr="00B67F80">
        <w:rPr>
          <w:color w:val="000000" w:themeColor="text1"/>
        </w:rPr>
        <w:t xml:space="preserve">mean values </w:t>
      </w:r>
      <w:r w:rsidR="00786898" w:rsidRPr="00B67F80">
        <w:rPr>
          <w:color w:val="000000" w:themeColor="text1"/>
        </w:rPr>
        <w:t xml:space="preserve">of shortwave and longwave radiation within the climate system first </w:t>
      </w:r>
      <w:r w:rsidR="00E10094" w:rsidRPr="00B67F80">
        <w:rPr>
          <w:color w:val="000000" w:themeColor="text1"/>
        </w:rPr>
        <w:t>appeared in 1908</w:t>
      </w:r>
      <w:r w:rsidR="00515E50" w:rsidRPr="00B67F80">
        <w:rPr>
          <w:color w:val="000000" w:themeColor="text1"/>
        </w:rPr>
        <w:t xml:space="preserve"> (Abbot and Fowle, 1908 a, b)</w:t>
      </w:r>
      <w:r w:rsidR="00786898" w:rsidRPr="00B67F80">
        <w:rPr>
          <w:color w:val="000000" w:themeColor="text1"/>
        </w:rPr>
        <w:t>. These diagrams were later extended to include non-radiative contributions (Dines, 1917; London</w:t>
      </w:r>
      <w:r w:rsidR="00B317E1" w:rsidRPr="00B67F80">
        <w:rPr>
          <w:color w:val="000000" w:themeColor="text1"/>
        </w:rPr>
        <w:t>, 1957</w:t>
      </w:r>
      <w:r w:rsidR="00985492" w:rsidRPr="00B67F80">
        <w:rPr>
          <w:color w:val="000000" w:themeColor="text1"/>
        </w:rPr>
        <w:t xml:space="preserve">). </w:t>
      </w:r>
      <w:r w:rsidR="00761733" w:rsidRPr="00B67F80">
        <w:rPr>
          <w:color w:val="000000" w:themeColor="text1"/>
        </w:rPr>
        <w:t>Energy budget diagrams</w:t>
      </w:r>
      <w:r w:rsidR="00985492" w:rsidRPr="00B67F80">
        <w:rPr>
          <w:color w:val="000000" w:themeColor="text1"/>
        </w:rPr>
        <w:t xml:space="preserve"> were further refined following the launch of the first orbiting satellites, which included instruments designed to observe Earth’s radiation budget</w:t>
      </w:r>
      <w:r w:rsidR="003E6C24" w:rsidRPr="00B67F80">
        <w:rPr>
          <w:color w:val="000000" w:themeColor="text1"/>
        </w:rPr>
        <w:t xml:space="preserve"> (ERB;</w:t>
      </w:r>
      <w:r w:rsidR="00985492" w:rsidRPr="00B67F80">
        <w:rPr>
          <w:color w:val="000000" w:themeColor="text1"/>
        </w:rPr>
        <w:t xml:space="preserve"> House et al., 1986)</w:t>
      </w:r>
      <w:r w:rsidR="00D33489" w:rsidRPr="00B67F80">
        <w:rPr>
          <w:color w:val="000000" w:themeColor="text1"/>
        </w:rPr>
        <w:t xml:space="preserve">. </w:t>
      </w:r>
      <w:r w:rsidR="00611C54" w:rsidRPr="00B67F80">
        <w:rPr>
          <w:color w:val="000000" w:themeColor="text1"/>
        </w:rPr>
        <w:t xml:space="preserve">A key advance was made by </w:t>
      </w:r>
      <w:r w:rsidR="00D33489" w:rsidRPr="00B67F80">
        <w:rPr>
          <w:color w:val="000000" w:themeColor="text1"/>
        </w:rPr>
        <w:t>Keihl and Trenberth (</w:t>
      </w:r>
      <w:r w:rsidR="004F147C" w:rsidRPr="00B67F80">
        <w:rPr>
          <w:color w:val="000000" w:themeColor="text1"/>
        </w:rPr>
        <w:t>1997)</w:t>
      </w:r>
      <w:r w:rsidR="00611C54" w:rsidRPr="00B67F80">
        <w:rPr>
          <w:color w:val="000000" w:themeColor="text1"/>
        </w:rPr>
        <w:t>, who</w:t>
      </w:r>
      <w:r w:rsidR="00DB1915" w:rsidRPr="00B67F80">
        <w:rPr>
          <w:color w:val="000000" w:themeColor="text1"/>
        </w:rPr>
        <w:t xml:space="preserve"> used </w:t>
      </w:r>
      <w:r w:rsidR="00611C54" w:rsidRPr="00B67F80">
        <w:rPr>
          <w:color w:val="000000" w:themeColor="text1"/>
        </w:rPr>
        <w:t xml:space="preserve">adjusted </w:t>
      </w:r>
      <w:r w:rsidR="00585125" w:rsidRPr="00B67F80">
        <w:rPr>
          <w:color w:val="000000" w:themeColor="text1"/>
        </w:rPr>
        <w:t xml:space="preserve">global mean </w:t>
      </w:r>
      <w:r w:rsidR="00DB1915" w:rsidRPr="00B67F80">
        <w:rPr>
          <w:color w:val="000000" w:themeColor="text1"/>
        </w:rPr>
        <w:t>top-of-atmosphere (TOA) radiative fluxes from the Earth Radiation Budget Experiment (ERBE)</w:t>
      </w:r>
      <w:r w:rsidR="00585125" w:rsidRPr="00B67F80">
        <w:rPr>
          <w:color w:val="000000" w:themeColor="text1"/>
        </w:rPr>
        <w:t xml:space="preserve">, </w:t>
      </w:r>
      <w:r w:rsidR="00BE1838" w:rsidRPr="00B67F80">
        <w:rPr>
          <w:color w:val="000000" w:themeColor="text1"/>
        </w:rPr>
        <w:t>surface radia</w:t>
      </w:r>
      <w:r w:rsidR="00585125" w:rsidRPr="00B67F80">
        <w:rPr>
          <w:color w:val="000000" w:themeColor="text1"/>
        </w:rPr>
        <w:t>tive fluxes</w:t>
      </w:r>
      <w:r w:rsidR="001546CF" w:rsidRPr="00B67F80">
        <w:rPr>
          <w:color w:val="000000" w:themeColor="text1"/>
        </w:rPr>
        <w:t xml:space="preserve"> derived</w:t>
      </w:r>
      <w:r w:rsidR="00585125" w:rsidRPr="00B67F80">
        <w:rPr>
          <w:color w:val="000000" w:themeColor="text1"/>
        </w:rPr>
        <w:t xml:space="preserve"> </w:t>
      </w:r>
      <w:r w:rsidR="001546CF" w:rsidRPr="00B67F80">
        <w:rPr>
          <w:color w:val="000000" w:themeColor="text1"/>
        </w:rPr>
        <w:t>from</w:t>
      </w:r>
      <w:r w:rsidR="00C2164F" w:rsidRPr="00B67F80">
        <w:rPr>
          <w:color w:val="000000" w:themeColor="text1"/>
        </w:rPr>
        <w:t xml:space="preserve"> radiative transfer calculations</w:t>
      </w:r>
      <w:r w:rsidR="00A26803" w:rsidRPr="00B67F80">
        <w:rPr>
          <w:color w:val="000000" w:themeColor="text1"/>
        </w:rPr>
        <w:t>,</w:t>
      </w:r>
      <w:r w:rsidR="00C2164F" w:rsidRPr="00B67F80">
        <w:rPr>
          <w:color w:val="000000" w:themeColor="text1"/>
        </w:rPr>
        <w:t xml:space="preserve"> </w:t>
      </w:r>
      <w:r w:rsidR="00A26803" w:rsidRPr="00B67F80">
        <w:rPr>
          <w:color w:val="000000" w:themeColor="text1"/>
        </w:rPr>
        <w:t>s</w:t>
      </w:r>
      <w:r w:rsidR="0025420E" w:rsidRPr="00B67F80">
        <w:rPr>
          <w:color w:val="000000" w:themeColor="text1"/>
        </w:rPr>
        <w:t>urface latent heat flux inferred from estimates of global mean precipitation</w:t>
      </w:r>
      <w:r w:rsidR="00C66CA0" w:rsidRPr="00B67F80">
        <w:rPr>
          <w:color w:val="000000" w:themeColor="text1"/>
        </w:rPr>
        <w:t>,</w:t>
      </w:r>
      <w:r w:rsidR="0025420E" w:rsidRPr="00B67F80">
        <w:rPr>
          <w:color w:val="000000" w:themeColor="text1"/>
        </w:rPr>
        <w:t xml:space="preserve"> and sensible heat flux </w:t>
      </w:r>
      <w:r w:rsidR="00910930" w:rsidRPr="00B67F80">
        <w:rPr>
          <w:color w:val="000000" w:themeColor="text1"/>
        </w:rPr>
        <w:t>determined</w:t>
      </w:r>
      <w:r w:rsidR="0025420E" w:rsidRPr="00B67F80">
        <w:rPr>
          <w:color w:val="000000" w:themeColor="text1"/>
        </w:rPr>
        <w:t xml:space="preserve"> as a residual ensur</w:t>
      </w:r>
      <w:r w:rsidR="00A26803" w:rsidRPr="00B67F80">
        <w:rPr>
          <w:color w:val="000000" w:themeColor="text1"/>
        </w:rPr>
        <w:t>ing</w:t>
      </w:r>
      <w:r w:rsidR="0025420E" w:rsidRPr="00B67F80">
        <w:rPr>
          <w:color w:val="000000" w:themeColor="text1"/>
        </w:rPr>
        <w:t xml:space="preserve"> a global energy balance at the surface.</w:t>
      </w:r>
      <w:r w:rsidR="00461180" w:rsidRPr="00B67F80">
        <w:rPr>
          <w:color w:val="000000" w:themeColor="text1"/>
        </w:rPr>
        <w:t xml:space="preserve"> </w:t>
      </w:r>
      <w:r w:rsidR="001546CF" w:rsidRPr="00B67F80">
        <w:rPr>
          <w:color w:val="000000" w:themeColor="text1"/>
        </w:rPr>
        <w:t>Subsequent studies by Trenberth et al. (2009), Stephens et al. (2012), Wild et al. (</w:t>
      </w:r>
      <w:r w:rsidR="00446436" w:rsidRPr="00B67F80">
        <w:rPr>
          <w:color w:val="000000" w:themeColor="text1"/>
        </w:rPr>
        <w:t>2013</w:t>
      </w:r>
      <w:r w:rsidR="001546CF" w:rsidRPr="00B67F80">
        <w:rPr>
          <w:color w:val="000000" w:themeColor="text1"/>
        </w:rPr>
        <w:t xml:space="preserve">) </w:t>
      </w:r>
      <w:r w:rsidR="00A5134B" w:rsidRPr="00B67F80">
        <w:rPr>
          <w:color w:val="000000" w:themeColor="text1"/>
        </w:rPr>
        <w:t xml:space="preserve">and L’Ecuyer et al. (2015) </w:t>
      </w:r>
      <w:r w:rsidR="00611C54" w:rsidRPr="00B67F80">
        <w:rPr>
          <w:color w:val="000000" w:themeColor="text1"/>
        </w:rPr>
        <w:t xml:space="preserve">further </w:t>
      </w:r>
      <w:r w:rsidR="001546CF" w:rsidRPr="00B67F80">
        <w:rPr>
          <w:color w:val="000000" w:themeColor="text1"/>
        </w:rPr>
        <w:t>refined</w:t>
      </w:r>
      <w:r w:rsidR="004F5B65" w:rsidRPr="00B67F80">
        <w:rPr>
          <w:color w:val="000000" w:themeColor="text1"/>
        </w:rPr>
        <w:t xml:space="preserve"> the </w:t>
      </w:r>
      <w:r w:rsidR="00A303D8" w:rsidRPr="00B67F80">
        <w:rPr>
          <w:color w:val="000000" w:themeColor="text1"/>
        </w:rPr>
        <w:t>global</w:t>
      </w:r>
      <w:r w:rsidR="004F5B65" w:rsidRPr="00B67F80">
        <w:rPr>
          <w:color w:val="000000" w:themeColor="text1"/>
        </w:rPr>
        <w:t xml:space="preserve"> mean energy budget diagram</w:t>
      </w:r>
      <w:r w:rsidR="001546CF" w:rsidRPr="00B67F80">
        <w:rPr>
          <w:color w:val="000000" w:themeColor="text1"/>
        </w:rPr>
        <w:t xml:space="preserve"> using </w:t>
      </w:r>
      <w:r w:rsidR="009A7C22" w:rsidRPr="00B67F80">
        <w:rPr>
          <w:color w:val="000000" w:themeColor="text1"/>
        </w:rPr>
        <w:t xml:space="preserve">increasingly </w:t>
      </w:r>
      <w:r w:rsidR="004F5B65" w:rsidRPr="00B67F80">
        <w:rPr>
          <w:color w:val="000000" w:themeColor="text1"/>
        </w:rPr>
        <w:t>more</w:t>
      </w:r>
      <w:r w:rsidR="009A7C22" w:rsidRPr="00B67F80">
        <w:rPr>
          <w:color w:val="000000" w:themeColor="text1"/>
        </w:rPr>
        <w:t xml:space="preserve"> sophisticated datasets and analysis</w:t>
      </w:r>
      <w:r w:rsidR="004F5B65" w:rsidRPr="00B67F80">
        <w:rPr>
          <w:color w:val="000000" w:themeColor="text1"/>
        </w:rPr>
        <w:t xml:space="preserve"> </w:t>
      </w:r>
      <w:r w:rsidR="009A7C22" w:rsidRPr="00B67F80">
        <w:rPr>
          <w:color w:val="000000" w:themeColor="text1"/>
        </w:rPr>
        <w:t>techniques.</w:t>
      </w:r>
    </w:p>
    <w:p w14:paraId="6943B0F8" w14:textId="0BCE8F71" w:rsidR="00FE2858" w:rsidRPr="00B67F80" w:rsidRDefault="00910930" w:rsidP="00A91DAD">
      <w:pPr>
        <w:spacing w:line="480" w:lineRule="auto"/>
        <w:ind w:firstLine="720"/>
        <w:jc w:val="both"/>
        <w:rPr>
          <w:color w:val="000000" w:themeColor="text1"/>
        </w:rPr>
      </w:pPr>
      <w:r w:rsidRPr="00B67F80">
        <w:rPr>
          <w:color w:val="000000" w:themeColor="text1"/>
        </w:rPr>
        <w:lastRenderedPageBreak/>
        <w:t>E</w:t>
      </w:r>
      <w:r w:rsidR="00A26803" w:rsidRPr="00B67F80">
        <w:rPr>
          <w:color w:val="000000" w:themeColor="text1"/>
        </w:rPr>
        <w:t xml:space="preserve">arly efforts aimed at quantifying energy transports within the climate system </w:t>
      </w:r>
      <w:r w:rsidR="00DE17B7" w:rsidRPr="00B67F80">
        <w:rPr>
          <w:color w:val="000000" w:themeColor="text1"/>
        </w:rPr>
        <w:t xml:space="preserve">focused </w:t>
      </w:r>
      <w:r w:rsidRPr="00B67F80">
        <w:rPr>
          <w:color w:val="000000" w:themeColor="text1"/>
        </w:rPr>
        <w:t xml:space="preserve">primarily </w:t>
      </w:r>
      <w:r w:rsidR="00DE17B7" w:rsidRPr="00B67F80">
        <w:rPr>
          <w:color w:val="000000" w:themeColor="text1"/>
        </w:rPr>
        <w:t>on meridional transports (e.g., Vonder Haar and Oort 1973; Oort and Vonder Haar 1976; Trenberth 1979)</w:t>
      </w:r>
      <w:r w:rsidR="00F15A0B" w:rsidRPr="00B67F80">
        <w:rPr>
          <w:color w:val="000000" w:themeColor="text1"/>
        </w:rPr>
        <w:t xml:space="preserve"> using</w:t>
      </w:r>
      <w:r w:rsidR="00A26803" w:rsidRPr="00B67F80">
        <w:rPr>
          <w:color w:val="000000" w:themeColor="text1"/>
        </w:rPr>
        <w:t xml:space="preserve"> </w:t>
      </w:r>
      <w:r w:rsidR="00DE17B7" w:rsidRPr="00B67F80">
        <w:rPr>
          <w:color w:val="000000" w:themeColor="text1"/>
        </w:rPr>
        <w:t xml:space="preserve">satellite observations to determine </w:t>
      </w:r>
      <w:r w:rsidR="00F15A0B" w:rsidRPr="00B67F80">
        <w:rPr>
          <w:color w:val="000000" w:themeColor="text1"/>
        </w:rPr>
        <w:t>the required total energy transport</w:t>
      </w:r>
      <w:r w:rsidR="0059721B" w:rsidRPr="00B67F80">
        <w:rPr>
          <w:color w:val="000000" w:themeColor="text1"/>
        </w:rPr>
        <w:t xml:space="preserve"> </w:t>
      </w:r>
      <w:r w:rsidR="00361131" w:rsidRPr="00B67F80">
        <w:rPr>
          <w:color w:val="000000" w:themeColor="text1"/>
        </w:rPr>
        <w:t>and radiosonde</w:t>
      </w:r>
      <w:r w:rsidR="00E20461" w:rsidRPr="00B67F80">
        <w:rPr>
          <w:color w:val="000000" w:themeColor="text1"/>
        </w:rPr>
        <w:t xml:space="preserve"> data</w:t>
      </w:r>
      <w:r w:rsidR="00F15A0B" w:rsidRPr="00B67F80">
        <w:rPr>
          <w:color w:val="000000" w:themeColor="text1"/>
        </w:rPr>
        <w:t xml:space="preserve"> to determine the atmospheric transport</w:t>
      </w:r>
      <w:r w:rsidR="00986E5B" w:rsidRPr="00B67F80">
        <w:rPr>
          <w:color w:val="000000" w:themeColor="text1"/>
        </w:rPr>
        <w:t>s</w:t>
      </w:r>
      <w:r w:rsidR="0059721B" w:rsidRPr="00B67F80">
        <w:rPr>
          <w:color w:val="000000" w:themeColor="text1"/>
        </w:rPr>
        <w:t>. T</w:t>
      </w:r>
      <w:r w:rsidR="00F15A0B" w:rsidRPr="00B67F80">
        <w:rPr>
          <w:color w:val="000000" w:themeColor="text1"/>
        </w:rPr>
        <w:t xml:space="preserve">he ocean </w:t>
      </w:r>
      <w:r w:rsidR="0059721B" w:rsidRPr="00B67F80">
        <w:rPr>
          <w:color w:val="000000" w:themeColor="text1"/>
        </w:rPr>
        <w:t xml:space="preserve">transport </w:t>
      </w:r>
      <w:r w:rsidR="00F15A0B" w:rsidRPr="00B67F80">
        <w:rPr>
          <w:color w:val="000000" w:themeColor="text1"/>
        </w:rPr>
        <w:t>was then computed as a residual.</w:t>
      </w:r>
      <w:r w:rsidR="0032515B" w:rsidRPr="00B67F80">
        <w:rPr>
          <w:color w:val="000000" w:themeColor="text1"/>
        </w:rPr>
        <w:t xml:space="preserve"> Alternately, the ocean heat transport was also determined directly using hydrographic cross sections of temperature and salinity (Bryan, 1982).</w:t>
      </w:r>
      <w:r w:rsidR="00F15A0B" w:rsidRPr="00B67F80">
        <w:rPr>
          <w:color w:val="000000" w:themeColor="text1"/>
        </w:rPr>
        <w:t xml:space="preserve"> </w:t>
      </w:r>
      <w:r w:rsidR="0032515B" w:rsidRPr="00B67F80">
        <w:rPr>
          <w:color w:val="000000" w:themeColor="text1"/>
        </w:rPr>
        <w:t xml:space="preserve">However, both approaches suffered from large sampling errors due to </w:t>
      </w:r>
      <w:r w:rsidR="00986E5B" w:rsidRPr="00B67F80">
        <w:rPr>
          <w:color w:val="000000" w:themeColor="text1"/>
        </w:rPr>
        <w:t xml:space="preserve">lack of </w:t>
      </w:r>
      <w:r w:rsidR="0032515B" w:rsidRPr="00B67F80">
        <w:rPr>
          <w:color w:val="000000" w:themeColor="text1"/>
        </w:rPr>
        <w:t xml:space="preserve">data </w:t>
      </w:r>
      <w:r w:rsidR="00986E5B" w:rsidRPr="00B67F80">
        <w:rPr>
          <w:color w:val="000000" w:themeColor="text1"/>
        </w:rPr>
        <w:t xml:space="preserve">coverage over </w:t>
      </w:r>
      <w:r w:rsidR="0032515B" w:rsidRPr="00B67F80">
        <w:rPr>
          <w:color w:val="000000" w:themeColor="text1"/>
        </w:rPr>
        <w:t xml:space="preserve">the </w:t>
      </w:r>
      <w:r w:rsidR="00986E5B" w:rsidRPr="00B67F80">
        <w:rPr>
          <w:color w:val="000000" w:themeColor="text1"/>
        </w:rPr>
        <w:t>oceans.</w:t>
      </w:r>
      <w:r w:rsidR="00974ED6" w:rsidRPr="00B67F80">
        <w:rPr>
          <w:color w:val="000000" w:themeColor="text1"/>
        </w:rPr>
        <w:t xml:space="preserve"> The use of reanalysis</w:t>
      </w:r>
      <w:r w:rsidR="0026664D" w:rsidRPr="00B67F80">
        <w:rPr>
          <w:color w:val="000000" w:themeColor="text1"/>
        </w:rPr>
        <w:t xml:space="preserve"> combined with satellite observations of ERB</w:t>
      </w:r>
      <w:r w:rsidR="00974ED6" w:rsidRPr="00B67F80">
        <w:rPr>
          <w:color w:val="000000" w:themeColor="text1"/>
        </w:rPr>
        <w:t xml:space="preserve"> </w:t>
      </w:r>
      <w:r w:rsidR="00DC64CD" w:rsidRPr="00B67F80">
        <w:rPr>
          <w:color w:val="000000" w:themeColor="text1"/>
        </w:rPr>
        <w:t>for determining atmospheric</w:t>
      </w:r>
      <w:r w:rsidR="00B4203C" w:rsidRPr="00B67F80">
        <w:rPr>
          <w:color w:val="000000" w:themeColor="text1"/>
        </w:rPr>
        <w:t xml:space="preserve"> and oceanic</w:t>
      </w:r>
      <w:r w:rsidR="00DC64CD" w:rsidRPr="00B67F80">
        <w:rPr>
          <w:color w:val="000000" w:themeColor="text1"/>
        </w:rPr>
        <w:t xml:space="preserve"> transports</w:t>
      </w:r>
      <w:r w:rsidR="00B74D26" w:rsidRPr="00B67F80">
        <w:rPr>
          <w:color w:val="000000" w:themeColor="text1"/>
        </w:rPr>
        <w:t xml:space="preserve"> </w:t>
      </w:r>
      <w:r w:rsidR="00180117" w:rsidRPr="00B67F80">
        <w:rPr>
          <w:color w:val="000000" w:themeColor="text1"/>
        </w:rPr>
        <w:t xml:space="preserve">significantly </w:t>
      </w:r>
      <w:r w:rsidR="007342E0" w:rsidRPr="00B67F80">
        <w:rPr>
          <w:color w:val="000000" w:themeColor="text1"/>
        </w:rPr>
        <w:t>reduced sampling error</w:t>
      </w:r>
      <w:r w:rsidR="0026664D" w:rsidRPr="00B67F80">
        <w:rPr>
          <w:color w:val="000000" w:themeColor="text1"/>
        </w:rPr>
        <w:t xml:space="preserve"> </w:t>
      </w:r>
      <w:r w:rsidR="00B74D26" w:rsidRPr="00B67F80">
        <w:rPr>
          <w:color w:val="000000" w:themeColor="text1"/>
        </w:rPr>
        <w:t>(Masuda, 1988; Trenberth and Caron, 2001)</w:t>
      </w:r>
      <w:r w:rsidR="007342E0" w:rsidRPr="00B67F80">
        <w:rPr>
          <w:color w:val="000000" w:themeColor="text1"/>
        </w:rPr>
        <w:t xml:space="preserve">, </w:t>
      </w:r>
      <w:r w:rsidR="00180117" w:rsidRPr="00B67F80">
        <w:rPr>
          <w:color w:val="000000" w:themeColor="text1"/>
        </w:rPr>
        <w:t>leading to more reliable results compared to the earlier studies.</w:t>
      </w:r>
      <w:r w:rsidR="00F4074D" w:rsidRPr="00B67F80">
        <w:rPr>
          <w:color w:val="000000" w:themeColor="text1"/>
        </w:rPr>
        <w:t xml:space="preserve"> </w:t>
      </w:r>
      <w:r w:rsidR="000D3741" w:rsidRPr="00B67F80">
        <w:rPr>
          <w:color w:val="000000" w:themeColor="text1"/>
        </w:rPr>
        <w:t xml:space="preserve">Furthermore, </w:t>
      </w:r>
      <w:r w:rsidR="004A0584" w:rsidRPr="00B67F80">
        <w:rPr>
          <w:color w:val="000000" w:themeColor="text1"/>
        </w:rPr>
        <w:t xml:space="preserve">Trenberth and Fasullo (2017) show that </w:t>
      </w:r>
      <w:r w:rsidR="000D3741" w:rsidRPr="00B67F80">
        <w:rPr>
          <w:color w:val="000000" w:themeColor="text1"/>
        </w:rPr>
        <w:t xml:space="preserve">surface fluxes derived as a residual between </w:t>
      </w:r>
      <w:r w:rsidR="00E42A7C" w:rsidRPr="00B67F80">
        <w:rPr>
          <w:color w:val="000000" w:themeColor="text1"/>
        </w:rPr>
        <w:t xml:space="preserve">satellite </w:t>
      </w:r>
      <w:r w:rsidR="000D3741" w:rsidRPr="00B67F80">
        <w:rPr>
          <w:color w:val="000000" w:themeColor="text1"/>
        </w:rPr>
        <w:t xml:space="preserve">TOA net downward radiation and estimates of the divergence of the vertically integrated atmospheric energy </w:t>
      </w:r>
      <w:r w:rsidR="00E42A7C" w:rsidRPr="00B67F80">
        <w:rPr>
          <w:color w:val="000000" w:themeColor="text1"/>
        </w:rPr>
        <w:t xml:space="preserve">from reanalysis </w:t>
      </w:r>
      <w:r w:rsidR="00B4203C" w:rsidRPr="00B67F80">
        <w:rPr>
          <w:color w:val="000000" w:themeColor="text1"/>
        </w:rPr>
        <w:t xml:space="preserve">overcome many of the </w:t>
      </w:r>
      <w:r w:rsidR="00A91DAD" w:rsidRPr="00B67F80">
        <w:rPr>
          <w:color w:val="000000" w:themeColor="text1"/>
        </w:rPr>
        <w:t xml:space="preserve">known </w:t>
      </w:r>
      <w:r w:rsidR="00B4203C" w:rsidRPr="00B67F80">
        <w:rPr>
          <w:color w:val="000000" w:themeColor="text1"/>
        </w:rPr>
        <w:t>issues in determining surface flux directly</w:t>
      </w:r>
      <w:r w:rsidR="004C6C05" w:rsidRPr="00B67F80">
        <w:rPr>
          <w:color w:val="000000" w:themeColor="text1"/>
        </w:rPr>
        <w:t>—</w:t>
      </w:r>
      <w:r w:rsidR="00A91DAD" w:rsidRPr="00B67F80">
        <w:rPr>
          <w:color w:val="000000" w:themeColor="text1"/>
        </w:rPr>
        <w:t>such</w:t>
      </w:r>
      <w:r w:rsidR="004C6C05" w:rsidRPr="00B67F80">
        <w:rPr>
          <w:color w:val="000000" w:themeColor="text1"/>
        </w:rPr>
        <w:t xml:space="preserve"> </w:t>
      </w:r>
      <w:r w:rsidR="00A91DAD" w:rsidRPr="00B67F80">
        <w:rPr>
          <w:color w:val="000000" w:themeColor="text1"/>
        </w:rPr>
        <w:t>as</w:t>
      </w:r>
      <w:r w:rsidR="00B4203C" w:rsidRPr="00B67F80">
        <w:rPr>
          <w:color w:val="000000" w:themeColor="text1"/>
        </w:rPr>
        <w:t xml:space="preserve"> near-surface </w:t>
      </w:r>
      <w:r w:rsidR="00A91DAD" w:rsidRPr="00B67F80">
        <w:rPr>
          <w:color w:val="000000" w:themeColor="text1"/>
        </w:rPr>
        <w:t>meteorological variables and</w:t>
      </w:r>
      <w:r w:rsidR="00B4203C" w:rsidRPr="00B67F80">
        <w:rPr>
          <w:color w:val="000000" w:themeColor="text1"/>
        </w:rPr>
        <w:t xml:space="preserve"> bulk flux parameterizations</w:t>
      </w:r>
      <w:r w:rsidR="00A91DAD" w:rsidRPr="00B67F80">
        <w:rPr>
          <w:color w:val="000000" w:themeColor="text1"/>
        </w:rPr>
        <w:t xml:space="preserve"> (Yu et al., 2019).</w:t>
      </w:r>
    </w:p>
    <w:p w14:paraId="10767A67" w14:textId="0780BA8B" w:rsidR="0048686C" w:rsidRPr="00B67F80" w:rsidRDefault="00F4074D" w:rsidP="00C66CA0">
      <w:pPr>
        <w:spacing w:line="480" w:lineRule="auto"/>
        <w:ind w:firstLine="720"/>
        <w:jc w:val="both"/>
        <w:rPr>
          <w:rFonts w:eastAsiaTheme="minorHAnsi"/>
          <w:color w:val="000000" w:themeColor="text1"/>
        </w:rPr>
      </w:pPr>
      <w:r w:rsidRPr="00B67F80">
        <w:rPr>
          <w:color w:val="000000" w:themeColor="text1"/>
        </w:rPr>
        <w:t>Th</w:t>
      </w:r>
      <w:r w:rsidR="00FE2858" w:rsidRPr="00B67F80">
        <w:rPr>
          <w:color w:val="000000" w:themeColor="text1"/>
        </w:rPr>
        <w:t xml:space="preserve">e </w:t>
      </w:r>
      <w:r w:rsidRPr="00B67F80">
        <w:rPr>
          <w:color w:val="000000" w:themeColor="text1"/>
        </w:rPr>
        <w:t xml:space="preserve">combination </w:t>
      </w:r>
      <w:r w:rsidR="00FE2858" w:rsidRPr="00B67F80">
        <w:rPr>
          <w:color w:val="000000" w:themeColor="text1"/>
        </w:rPr>
        <w:t xml:space="preserve">of ERB satellite and atmospheric reanalysis </w:t>
      </w:r>
      <w:r w:rsidRPr="00B67F80">
        <w:rPr>
          <w:color w:val="000000" w:themeColor="text1"/>
        </w:rPr>
        <w:t xml:space="preserve">has been used not only to study </w:t>
      </w:r>
      <w:r w:rsidR="0059721B" w:rsidRPr="00B67F80">
        <w:rPr>
          <w:color w:val="000000" w:themeColor="text1"/>
        </w:rPr>
        <w:t xml:space="preserve">the </w:t>
      </w:r>
      <w:r w:rsidR="00FE2858" w:rsidRPr="00B67F80">
        <w:rPr>
          <w:color w:val="000000" w:themeColor="text1"/>
        </w:rPr>
        <w:t xml:space="preserve">global mean energy budget and </w:t>
      </w:r>
      <w:r w:rsidRPr="00B67F80">
        <w:rPr>
          <w:color w:val="000000" w:themeColor="text1"/>
        </w:rPr>
        <w:t>mean meridional transports but also the</w:t>
      </w:r>
      <w:r w:rsidR="00FB3BA4" w:rsidRPr="00B67F80">
        <w:rPr>
          <w:color w:val="000000" w:themeColor="text1"/>
        </w:rPr>
        <w:t>ir</w:t>
      </w:r>
      <w:r w:rsidRPr="00B67F80">
        <w:rPr>
          <w:color w:val="000000" w:themeColor="text1"/>
        </w:rPr>
        <w:t xml:space="preserve"> annual cycle</w:t>
      </w:r>
      <w:r w:rsidR="0059721B" w:rsidRPr="00B67F80">
        <w:rPr>
          <w:color w:val="000000" w:themeColor="text1"/>
        </w:rPr>
        <w:t>s</w:t>
      </w:r>
      <w:r w:rsidRPr="00B67F80">
        <w:rPr>
          <w:color w:val="000000" w:themeColor="text1"/>
        </w:rPr>
        <w:t xml:space="preserve"> </w:t>
      </w:r>
      <w:r w:rsidR="00FB3BA4" w:rsidRPr="00B67F80">
        <w:rPr>
          <w:color w:val="000000" w:themeColor="text1"/>
        </w:rPr>
        <w:t>and</w:t>
      </w:r>
      <w:r w:rsidR="00FE2858" w:rsidRPr="00B67F80">
        <w:rPr>
          <w:color w:val="000000" w:themeColor="text1"/>
        </w:rPr>
        <w:t xml:space="preserve"> land-ocean exchanges </w:t>
      </w:r>
      <w:r w:rsidRPr="00B67F80">
        <w:rPr>
          <w:color w:val="000000" w:themeColor="text1"/>
        </w:rPr>
        <w:t>(Fasullo and Trenberth, 2008a,b)</w:t>
      </w:r>
      <w:r w:rsidR="00FE2858" w:rsidRPr="00B67F80">
        <w:rPr>
          <w:color w:val="000000" w:themeColor="text1"/>
        </w:rPr>
        <w:t xml:space="preserve">, </w:t>
      </w:r>
      <w:r w:rsidR="00546E3E" w:rsidRPr="00B67F80">
        <w:rPr>
          <w:color w:val="000000" w:themeColor="text1"/>
        </w:rPr>
        <w:t xml:space="preserve">cross-equatorial heat transports </w:t>
      </w:r>
      <w:r w:rsidR="005D0A4A" w:rsidRPr="00B67F80">
        <w:rPr>
          <w:color w:val="000000" w:themeColor="text1"/>
        </w:rPr>
        <w:t xml:space="preserve">(Trenberth and Fasullo, 2008; Donahoe et al., 2013; Frierson et al., 2013; Marshall et al., 2013; Loeb et al., 2015; </w:t>
      </w:r>
      <w:r w:rsidR="00BC2C4A" w:rsidRPr="00B67F80">
        <w:rPr>
          <w:rFonts w:eastAsiaTheme="minorHAnsi"/>
          <w:color w:val="000000" w:themeColor="text1"/>
        </w:rPr>
        <w:t xml:space="preserve">Mayer et al., 2017; </w:t>
      </w:r>
      <w:r w:rsidR="005D0A4A" w:rsidRPr="00B67F80">
        <w:rPr>
          <w:color w:val="000000" w:themeColor="text1"/>
        </w:rPr>
        <w:t xml:space="preserve">Liu et al., 2020), </w:t>
      </w:r>
      <w:r w:rsidR="00B401CF" w:rsidRPr="00B67F80">
        <w:rPr>
          <w:color w:val="000000" w:themeColor="text1"/>
        </w:rPr>
        <w:t>a</w:t>
      </w:r>
      <w:r w:rsidR="0059721B" w:rsidRPr="00B67F80">
        <w:rPr>
          <w:color w:val="000000" w:themeColor="text1"/>
        </w:rPr>
        <w:t>s well as</w:t>
      </w:r>
      <w:r w:rsidR="00B401CF" w:rsidRPr="00B67F80">
        <w:rPr>
          <w:color w:val="000000" w:themeColor="text1"/>
        </w:rPr>
        <w:t xml:space="preserve"> </w:t>
      </w:r>
      <w:r w:rsidR="005D0A4A" w:rsidRPr="00B67F80">
        <w:rPr>
          <w:color w:val="000000" w:themeColor="text1"/>
        </w:rPr>
        <w:t>El Niño–Southern Oscillation (ENSO) and</w:t>
      </w:r>
      <w:r w:rsidR="0059721B" w:rsidRPr="00B67F80">
        <w:rPr>
          <w:color w:val="000000" w:themeColor="text1"/>
        </w:rPr>
        <w:t xml:space="preserve"> other</w:t>
      </w:r>
      <w:r w:rsidR="005D0A4A" w:rsidRPr="00B67F80">
        <w:rPr>
          <w:color w:val="000000" w:themeColor="text1"/>
        </w:rPr>
        <w:t xml:space="preserve"> interannual variability (Loeb et al., 2014; </w:t>
      </w:r>
      <w:r w:rsidR="00C17EC5" w:rsidRPr="00B67F80">
        <w:rPr>
          <w:color w:val="000000" w:themeColor="text1"/>
        </w:rPr>
        <w:t>Mayer et al. 2014</w:t>
      </w:r>
      <w:r w:rsidR="001A450E" w:rsidRPr="00B67F80">
        <w:rPr>
          <w:color w:val="000000" w:themeColor="text1"/>
        </w:rPr>
        <w:t>; Trenberth and Fasullo, 2017</w:t>
      </w:r>
      <w:r w:rsidR="005D0A4A" w:rsidRPr="00B67F80">
        <w:rPr>
          <w:color w:val="000000" w:themeColor="text1"/>
        </w:rPr>
        <w:t>).</w:t>
      </w:r>
      <w:r w:rsidR="00ED0E96" w:rsidRPr="00B67F80">
        <w:rPr>
          <w:color w:val="000000" w:themeColor="text1"/>
        </w:rPr>
        <w:t xml:space="preserve"> Recently, refinements have been made to </w:t>
      </w:r>
      <w:r w:rsidR="00AD00CE" w:rsidRPr="00B67F80">
        <w:rPr>
          <w:color w:val="000000" w:themeColor="text1"/>
        </w:rPr>
        <w:t xml:space="preserve">the </w:t>
      </w:r>
      <w:r w:rsidR="00ED0E96" w:rsidRPr="00B67F80">
        <w:rPr>
          <w:rFonts w:eastAsiaTheme="minorHAnsi"/>
          <w:color w:val="000000" w:themeColor="text1"/>
        </w:rPr>
        <w:t xml:space="preserve">formulation of the atmospheric energy budget </w:t>
      </w:r>
      <w:r w:rsidR="00AD00CE" w:rsidRPr="00B67F80">
        <w:rPr>
          <w:rFonts w:eastAsiaTheme="minorHAnsi"/>
          <w:color w:val="000000" w:themeColor="text1"/>
        </w:rPr>
        <w:t xml:space="preserve">to include contributions from </w:t>
      </w:r>
      <w:r w:rsidR="00ED0E96" w:rsidRPr="00B67F80">
        <w:rPr>
          <w:rFonts w:eastAsiaTheme="minorHAnsi"/>
          <w:color w:val="000000" w:themeColor="text1"/>
        </w:rPr>
        <w:t>vertical enthalpy fluxes at the surface associated with precipitation</w:t>
      </w:r>
      <w:r w:rsidR="00AD00CE" w:rsidRPr="00B67F80">
        <w:rPr>
          <w:rFonts w:eastAsiaTheme="minorHAnsi"/>
          <w:color w:val="000000" w:themeColor="text1"/>
        </w:rPr>
        <w:t xml:space="preserve"> </w:t>
      </w:r>
      <w:r w:rsidR="00ED0E96" w:rsidRPr="00B67F80">
        <w:rPr>
          <w:rFonts w:eastAsiaTheme="minorHAnsi"/>
          <w:color w:val="000000" w:themeColor="text1"/>
        </w:rPr>
        <w:t>and evaporation</w:t>
      </w:r>
      <w:r w:rsidR="00AD00CE" w:rsidRPr="00B67F80">
        <w:rPr>
          <w:rFonts w:eastAsiaTheme="minorHAnsi"/>
          <w:color w:val="000000" w:themeColor="text1"/>
        </w:rPr>
        <w:t xml:space="preserve"> (</w:t>
      </w:r>
      <w:r w:rsidR="000562A1" w:rsidRPr="00B67F80">
        <w:rPr>
          <w:rFonts w:eastAsiaTheme="minorHAnsi"/>
          <w:color w:val="000000" w:themeColor="text1"/>
        </w:rPr>
        <w:t xml:space="preserve">Mayer et al., 2017; Trenberth </w:t>
      </w:r>
      <w:r w:rsidR="00791AA1" w:rsidRPr="00B67F80">
        <w:rPr>
          <w:rFonts w:eastAsiaTheme="minorHAnsi"/>
          <w:color w:val="000000" w:themeColor="text1"/>
        </w:rPr>
        <w:t xml:space="preserve">and Fasullo, 2018; </w:t>
      </w:r>
      <w:r w:rsidR="000562A1" w:rsidRPr="00B67F80">
        <w:rPr>
          <w:rFonts w:eastAsiaTheme="minorHAnsi"/>
          <w:color w:val="000000" w:themeColor="text1"/>
        </w:rPr>
        <w:t xml:space="preserve">Kato et al., </w:t>
      </w:r>
      <w:r w:rsidR="00BA5C5A" w:rsidRPr="00B67F80">
        <w:rPr>
          <w:rFonts w:eastAsiaTheme="minorHAnsi"/>
          <w:color w:val="000000" w:themeColor="text1"/>
        </w:rPr>
        <w:t>2021</w:t>
      </w:r>
      <w:r w:rsidR="000562A1" w:rsidRPr="00B67F80">
        <w:rPr>
          <w:rFonts w:eastAsiaTheme="minorHAnsi"/>
          <w:color w:val="000000" w:themeColor="text1"/>
        </w:rPr>
        <w:t>)</w:t>
      </w:r>
      <w:r w:rsidR="00492321" w:rsidRPr="00B67F80">
        <w:rPr>
          <w:rFonts w:eastAsiaTheme="minorHAnsi"/>
          <w:color w:val="000000" w:themeColor="text1"/>
        </w:rPr>
        <w:t>.</w:t>
      </w:r>
    </w:p>
    <w:p w14:paraId="4029A565" w14:textId="259462B3" w:rsidR="006738AE" w:rsidRPr="00B67F80" w:rsidRDefault="00F8514D" w:rsidP="00DF0411">
      <w:pPr>
        <w:spacing w:line="480" w:lineRule="auto"/>
        <w:ind w:firstLine="720"/>
        <w:jc w:val="both"/>
        <w:rPr>
          <w:color w:val="000000" w:themeColor="text1"/>
        </w:rPr>
      </w:pPr>
      <w:r w:rsidRPr="00B67F80">
        <w:rPr>
          <w:color w:val="000000" w:themeColor="text1"/>
        </w:rPr>
        <w:lastRenderedPageBreak/>
        <w:t xml:space="preserve">It has recently been demonstrated that TOA ERB data from the Clouds and the Earth’s Energy System (CERES) provide </w:t>
      </w:r>
      <w:r w:rsidR="00B839E0" w:rsidRPr="00B67F80">
        <w:rPr>
          <w:color w:val="000000" w:themeColor="text1"/>
        </w:rPr>
        <w:t xml:space="preserve">robust </w:t>
      </w:r>
      <w:r w:rsidRPr="00B67F80">
        <w:rPr>
          <w:color w:val="000000" w:themeColor="text1"/>
        </w:rPr>
        <w:t>trends since 2000 (Loeb et al., 2021</w:t>
      </w:r>
      <w:r w:rsidR="0024295A" w:rsidRPr="00B67F80">
        <w:rPr>
          <w:color w:val="000000" w:themeColor="text1"/>
        </w:rPr>
        <w:t>)</w:t>
      </w:r>
      <w:r w:rsidRPr="00B67F80">
        <w:rPr>
          <w:color w:val="000000" w:themeColor="text1"/>
        </w:rPr>
        <w:t xml:space="preserve">. </w:t>
      </w:r>
      <w:r w:rsidR="0048686C" w:rsidRPr="00B67F80">
        <w:rPr>
          <w:color w:val="000000" w:themeColor="text1"/>
        </w:rPr>
        <w:t>At the same time</w:t>
      </w:r>
      <w:r w:rsidR="0059721B" w:rsidRPr="00B67F80">
        <w:rPr>
          <w:color w:val="000000" w:themeColor="text1"/>
        </w:rPr>
        <w:t>,</w:t>
      </w:r>
      <w:r w:rsidR="0048686C" w:rsidRPr="00B67F80">
        <w:rPr>
          <w:color w:val="000000" w:themeColor="text1"/>
        </w:rPr>
        <w:t xml:space="preserve"> there has been tremendous progress made in atmospheric</w:t>
      </w:r>
      <w:r w:rsidR="00E76764" w:rsidRPr="00B67F80">
        <w:rPr>
          <w:color w:val="000000" w:themeColor="text1"/>
        </w:rPr>
        <w:t xml:space="preserve"> and ocean</w:t>
      </w:r>
      <w:r w:rsidR="0048686C" w:rsidRPr="00B67F80">
        <w:rPr>
          <w:color w:val="000000" w:themeColor="text1"/>
        </w:rPr>
        <w:t xml:space="preserve"> reanalysis systems, with new versions seeing improvements over their predecessors as a result of updates to the underlying model, assimilation system and input data stream (Dee et al. 2014; Buizza et al. 2018; Hersbach et al. 2020; Gelaro et al., 2017</w:t>
      </w:r>
      <w:r w:rsidR="00E76764" w:rsidRPr="00B67F80">
        <w:rPr>
          <w:color w:val="000000" w:themeColor="text1"/>
        </w:rPr>
        <w:t xml:space="preserve">; </w:t>
      </w:r>
      <w:r w:rsidR="005422E1" w:rsidRPr="00B67F80">
        <w:rPr>
          <w:color w:val="000000" w:themeColor="text1"/>
        </w:rPr>
        <w:t>Stor</w:t>
      </w:r>
      <w:r w:rsidR="00E61975" w:rsidRPr="00B67F80">
        <w:rPr>
          <w:color w:val="000000" w:themeColor="text1"/>
        </w:rPr>
        <w:t>to et al., 2019</w:t>
      </w:r>
      <w:r w:rsidR="00AB5056" w:rsidRPr="00B67F80">
        <w:rPr>
          <w:color w:val="000000" w:themeColor="text1"/>
        </w:rPr>
        <w:t>; Zuo et al., 2019, 2021</w:t>
      </w:r>
      <w:r w:rsidR="0048686C" w:rsidRPr="00B67F80">
        <w:rPr>
          <w:color w:val="000000" w:themeColor="text1"/>
        </w:rPr>
        <w:t xml:space="preserve">). </w:t>
      </w:r>
    </w:p>
    <w:p w14:paraId="00C1CC93" w14:textId="0E6197A1" w:rsidR="00AF216E" w:rsidRPr="00B67F80" w:rsidRDefault="0024295A" w:rsidP="00DE690E">
      <w:pPr>
        <w:spacing w:line="480" w:lineRule="auto"/>
        <w:ind w:firstLine="720"/>
        <w:jc w:val="both"/>
        <w:rPr>
          <w:color w:val="000000" w:themeColor="text1"/>
        </w:rPr>
      </w:pPr>
      <w:r w:rsidRPr="00B67F80">
        <w:rPr>
          <w:color w:val="000000" w:themeColor="text1"/>
        </w:rPr>
        <w:t>A question that has yet to be addressed in detail is to what exten</w:t>
      </w:r>
      <w:r w:rsidR="00B95563" w:rsidRPr="00B67F80">
        <w:rPr>
          <w:color w:val="000000" w:themeColor="text1"/>
        </w:rPr>
        <w:t>t</w:t>
      </w:r>
      <w:r w:rsidRPr="00B67F80">
        <w:rPr>
          <w:color w:val="000000" w:themeColor="text1"/>
        </w:rPr>
        <w:t xml:space="preserve"> can we trust </w:t>
      </w:r>
      <w:r w:rsidR="00F82AE4" w:rsidRPr="00B67F80">
        <w:rPr>
          <w:color w:val="000000" w:themeColor="text1"/>
        </w:rPr>
        <w:t>multi-</w:t>
      </w:r>
      <w:r w:rsidR="0059721B" w:rsidRPr="00B67F80">
        <w:rPr>
          <w:color w:val="000000" w:themeColor="text1"/>
        </w:rPr>
        <w:t>decadal time-scale</w:t>
      </w:r>
      <w:r w:rsidR="007E16F5" w:rsidRPr="00B67F80">
        <w:rPr>
          <w:color w:val="000000" w:themeColor="text1"/>
        </w:rPr>
        <w:t xml:space="preserve"> </w:t>
      </w:r>
      <w:r w:rsidRPr="00B67F80">
        <w:rPr>
          <w:color w:val="000000" w:themeColor="text1"/>
        </w:rPr>
        <w:t xml:space="preserve">trends in </w:t>
      </w:r>
      <w:r w:rsidR="000C13D9" w:rsidRPr="00B67F80">
        <w:rPr>
          <w:color w:val="000000" w:themeColor="text1"/>
        </w:rPr>
        <w:t xml:space="preserve">different components of Earth’s energy budget and energy flows within the climate system. </w:t>
      </w:r>
      <w:r w:rsidR="00AF4FBA" w:rsidRPr="00B67F80">
        <w:rPr>
          <w:color w:val="000000" w:themeColor="text1"/>
        </w:rPr>
        <w:t>Here</w:t>
      </w:r>
      <w:r w:rsidR="000B0B1D" w:rsidRPr="00B67F80">
        <w:rPr>
          <w:color w:val="000000" w:themeColor="text1"/>
        </w:rPr>
        <w:t xml:space="preserve"> “trend” refers to the relatively short 20-year period since 2000, which is likely influenced by both anthropogenic forcing and internal </w:t>
      </w:r>
      <w:r w:rsidR="008342C3" w:rsidRPr="00B67F80">
        <w:rPr>
          <w:color w:val="000000" w:themeColor="text1"/>
        </w:rPr>
        <w:t>variability</w:t>
      </w:r>
      <w:r w:rsidR="000B0B1D" w:rsidRPr="00B67F80">
        <w:rPr>
          <w:color w:val="000000" w:themeColor="text1"/>
        </w:rPr>
        <w:t xml:space="preserve"> (Raghuraman et al., 2021). </w:t>
      </w:r>
      <w:r w:rsidR="00AF4FBA" w:rsidRPr="00B67F80">
        <w:rPr>
          <w:color w:val="000000" w:themeColor="text1"/>
        </w:rPr>
        <w:t xml:space="preserve">We do not </w:t>
      </w:r>
      <w:r w:rsidR="000C13D9" w:rsidRPr="00B67F80">
        <w:rPr>
          <w:color w:val="000000" w:themeColor="text1"/>
        </w:rPr>
        <w:t xml:space="preserve">expect that these </w:t>
      </w:r>
      <w:r w:rsidR="00AF4FBA" w:rsidRPr="00B67F80">
        <w:rPr>
          <w:color w:val="000000" w:themeColor="text1"/>
        </w:rPr>
        <w:t xml:space="preserve">trends </w:t>
      </w:r>
      <w:r w:rsidR="000C13D9" w:rsidRPr="00B67F80">
        <w:rPr>
          <w:color w:val="000000" w:themeColor="text1"/>
        </w:rPr>
        <w:t xml:space="preserve">are </w:t>
      </w:r>
      <w:r w:rsidR="00F82AE4" w:rsidRPr="00B67F80">
        <w:rPr>
          <w:color w:val="000000" w:themeColor="text1"/>
        </w:rPr>
        <w:t xml:space="preserve">necessarily </w:t>
      </w:r>
      <w:r w:rsidR="000C13D9" w:rsidRPr="00B67F80">
        <w:rPr>
          <w:color w:val="000000" w:themeColor="text1"/>
        </w:rPr>
        <w:t>representative of longer</w:t>
      </w:r>
      <w:r w:rsidR="00AF4FBA" w:rsidRPr="00B67F80">
        <w:rPr>
          <w:color w:val="000000" w:themeColor="text1"/>
        </w:rPr>
        <w:t>-</w:t>
      </w:r>
      <w:r w:rsidR="000C13D9" w:rsidRPr="00B67F80">
        <w:rPr>
          <w:color w:val="000000" w:themeColor="text1"/>
        </w:rPr>
        <w:t>term trends</w:t>
      </w:r>
      <w:r w:rsidR="00F82AE4" w:rsidRPr="00B67F80">
        <w:rPr>
          <w:color w:val="000000" w:themeColor="text1"/>
        </w:rPr>
        <w:t>, though aspects have been tied to climate change (e.g.</w:t>
      </w:r>
      <w:r w:rsidR="00361131">
        <w:rPr>
          <w:color w:val="000000" w:themeColor="text1"/>
        </w:rPr>
        <w:t>,</w:t>
      </w:r>
      <w:r w:rsidR="00F82AE4" w:rsidRPr="00B67F80">
        <w:rPr>
          <w:color w:val="000000" w:themeColor="text1"/>
        </w:rPr>
        <w:t xml:space="preserve"> Hartmann and Ceppi 2014)</w:t>
      </w:r>
      <w:r w:rsidR="000C13D9" w:rsidRPr="00B67F80">
        <w:rPr>
          <w:color w:val="000000" w:themeColor="text1"/>
        </w:rPr>
        <w:t>.</w:t>
      </w:r>
      <w:r w:rsidR="002A2A06" w:rsidRPr="00B67F80">
        <w:rPr>
          <w:color w:val="000000" w:themeColor="text1"/>
        </w:rPr>
        <w:t xml:space="preserve"> </w:t>
      </w:r>
      <w:r w:rsidR="00FC4EDD" w:rsidRPr="00B67F80">
        <w:rPr>
          <w:color w:val="000000" w:themeColor="text1"/>
        </w:rPr>
        <w:t>Rather o</w:t>
      </w:r>
      <w:r w:rsidR="00B73791" w:rsidRPr="00B67F80">
        <w:rPr>
          <w:color w:val="000000" w:themeColor="text1"/>
        </w:rPr>
        <w:t>ur</w:t>
      </w:r>
      <w:r w:rsidR="000C13D9" w:rsidRPr="00B67F80">
        <w:rPr>
          <w:color w:val="000000" w:themeColor="text1"/>
        </w:rPr>
        <w:t xml:space="preserve"> </w:t>
      </w:r>
      <w:r w:rsidR="00B73791" w:rsidRPr="00B67F80">
        <w:rPr>
          <w:color w:val="000000" w:themeColor="text1"/>
        </w:rPr>
        <w:t>goal</w:t>
      </w:r>
      <w:r w:rsidR="000C13D9" w:rsidRPr="00B67F80">
        <w:rPr>
          <w:color w:val="000000" w:themeColor="text1"/>
        </w:rPr>
        <w:t xml:space="preserve"> </w:t>
      </w:r>
      <w:r w:rsidR="00B73791" w:rsidRPr="00B67F80">
        <w:rPr>
          <w:color w:val="000000" w:themeColor="text1"/>
        </w:rPr>
        <w:t>is to</w:t>
      </w:r>
      <w:r w:rsidR="000C13D9" w:rsidRPr="00B67F80">
        <w:rPr>
          <w:color w:val="000000" w:themeColor="text1"/>
        </w:rPr>
        <w:t xml:space="preserve"> </w:t>
      </w:r>
      <w:r w:rsidR="00B73791" w:rsidRPr="00B67F80">
        <w:rPr>
          <w:color w:val="000000" w:themeColor="text1"/>
        </w:rPr>
        <w:t>investigate the strengths and weakness</w:t>
      </w:r>
      <w:r w:rsidR="00C740C1" w:rsidRPr="00B67F80">
        <w:rPr>
          <w:color w:val="000000" w:themeColor="text1"/>
        </w:rPr>
        <w:t>es</w:t>
      </w:r>
      <w:r w:rsidR="00B73791" w:rsidRPr="00B67F80">
        <w:rPr>
          <w:color w:val="000000" w:themeColor="text1"/>
        </w:rPr>
        <w:t xml:space="preserve"> of using </w:t>
      </w:r>
      <w:r w:rsidR="00361131" w:rsidRPr="00B67F80">
        <w:rPr>
          <w:color w:val="000000" w:themeColor="text1"/>
        </w:rPr>
        <w:t>observation-based</w:t>
      </w:r>
      <w:r w:rsidR="00B73791" w:rsidRPr="00B67F80">
        <w:rPr>
          <w:color w:val="000000" w:themeColor="text1"/>
        </w:rPr>
        <w:t xml:space="preserve"> data to determine trends i</w:t>
      </w:r>
      <w:r w:rsidR="000C13D9" w:rsidRPr="00B67F80">
        <w:rPr>
          <w:color w:val="000000" w:themeColor="text1"/>
        </w:rPr>
        <w:t xml:space="preserve">n </w:t>
      </w:r>
      <w:r w:rsidR="001872E2" w:rsidRPr="00B67F80">
        <w:rPr>
          <w:color w:val="000000" w:themeColor="text1"/>
        </w:rPr>
        <w:t>TOA radiation, atmospher</w:t>
      </w:r>
      <w:r w:rsidR="00B839E0" w:rsidRPr="00B67F80">
        <w:rPr>
          <w:color w:val="000000" w:themeColor="text1"/>
        </w:rPr>
        <w:t>ic</w:t>
      </w:r>
      <w:r w:rsidR="001872E2" w:rsidRPr="00B67F80">
        <w:rPr>
          <w:color w:val="000000" w:themeColor="text1"/>
        </w:rPr>
        <w:t xml:space="preserve"> </w:t>
      </w:r>
      <w:r w:rsidR="00EB7A32" w:rsidRPr="00B67F80">
        <w:rPr>
          <w:color w:val="000000" w:themeColor="text1"/>
        </w:rPr>
        <w:t xml:space="preserve">energy </w:t>
      </w:r>
      <w:r w:rsidR="001872E2" w:rsidRPr="00B67F80">
        <w:rPr>
          <w:color w:val="000000" w:themeColor="text1"/>
        </w:rPr>
        <w:t xml:space="preserve">transport, </w:t>
      </w:r>
      <w:r w:rsidR="00EB7A32" w:rsidRPr="00B67F80">
        <w:rPr>
          <w:color w:val="000000" w:themeColor="text1"/>
        </w:rPr>
        <w:t>surface flux, and ocean heat</w:t>
      </w:r>
      <w:r w:rsidR="00D53594" w:rsidRPr="00B67F80">
        <w:rPr>
          <w:color w:val="000000" w:themeColor="text1"/>
        </w:rPr>
        <w:t>ing</w:t>
      </w:r>
      <w:r w:rsidR="00EB7A32" w:rsidRPr="00B67F80">
        <w:rPr>
          <w:color w:val="000000" w:themeColor="text1"/>
        </w:rPr>
        <w:t xml:space="preserve"> </w:t>
      </w:r>
      <w:r w:rsidR="00D53594" w:rsidRPr="00B67F80">
        <w:rPr>
          <w:color w:val="000000" w:themeColor="text1"/>
        </w:rPr>
        <w:t>rate. The latter is determined from the tendency in OHCA</w:t>
      </w:r>
      <w:r w:rsidR="00EB7A32" w:rsidRPr="00B67F80">
        <w:rPr>
          <w:color w:val="000000" w:themeColor="text1"/>
        </w:rPr>
        <w:t>.</w:t>
      </w:r>
      <w:r w:rsidR="00361F19" w:rsidRPr="00B67F80">
        <w:rPr>
          <w:color w:val="000000" w:themeColor="text1"/>
        </w:rPr>
        <w:t xml:space="preserve"> While </w:t>
      </w:r>
      <w:r w:rsidR="000952C0" w:rsidRPr="00B67F80">
        <w:rPr>
          <w:color w:val="000000" w:themeColor="text1"/>
        </w:rPr>
        <w:t>evaluation</w:t>
      </w:r>
      <w:r w:rsidR="00383AFA" w:rsidRPr="00B67F80">
        <w:rPr>
          <w:color w:val="000000" w:themeColor="text1"/>
        </w:rPr>
        <w:t>s</w:t>
      </w:r>
      <w:r w:rsidR="00361F19" w:rsidRPr="00B67F80">
        <w:rPr>
          <w:color w:val="000000" w:themeColor="text1"/>
        </w:rPr>
        <w:t xml:space="preserve"> of atmospheric reanalyses for trends in </w:t>
      </w:r>
      <w:r w:rsidR="000952C0" w:rsidRPr="00B67F80">
        <w:rPr>
          <w:color w:val="000000" w:themeColor="text1"/>
        </w:rPr>
        <w:t>atmospheric moisture transport (</w:t>
      </w:r>
      <w:r w:rsidR="00361F19" w:rsidRPr="00B67F80">
        <w:rPr>
          <w:color w:val="000000" w:themeColor="text1"/>
        </w:rPr>
        <w:t>Trenberth et al.</w:t>
      </w:r>
      <w:r w:rsidR="000952C0" w:rsidRPr="00B67F80">
        <w:rPr>
          <w:color w:val="000000" w:themeColor="text1"/>
        </w:rPr>
        <w:t>,</w:t>
      </w:r>
      <w:r w:rsidR="00361F19" w:rsidRPr="00B67F80">
        <w:rPr>
          <w:color w:val="000000" w:themeColor="text1"/>
        </w:rPr>
        <w:t xml:space="preserve"> 2011</w:t>
      </w:r>
      <w:r w:rsidR="00383AFA" w:rsidRPr="00B67F80">
        <w:rPr>
          <w:color w:val="000000" w:themeColor="text1"/>
        </w:rPr>
        <w:t>) and latent heat flux (</w:t>
      </w:r>
      <w:r w:rsidR="00361F19" w:rsidRPr="00B67F80">
        <w:rPr>
          <w:color w:val="000000" w:themeColor="text1"/>
        </w:rPr>
        <w:t>Robertson et al.</w:t>
      </w:r>
      <w:r w:rsidR="000952C0" w:rsidRPr="00B67F80">
        <w:rPr>
          <w:color w:val="000000" w:themeColor="text1"/>
        </w:rPr>
        <w:t>,</w:t>
      </w:r>
      <w:r w:rsidR="00361F19" w:rsidRPr="00B67F80">
        <w:rPr>
          <w:color w:val="000000" w:themeColor="text1"/>
        </w:rPr>
        <w:t xml:space="preserve"> 2020)</w:t>
      </w:r>
      <w:r w:rsidR="00383AFA" w:rsidRPr="00B67F80">
        <w:rPr>
          <w:color w:val="000000" w:themeColor="text1"/>
        </w:rPr>
        <w:t xml:space="preserve"> have been conducted, similar analy</w:t>
      </w:r>
      <w:r w:rsidR="00D33B7A">
        <w:rPr>
          <w:color w:val="000000" w:themeColor="text1"/>
        </w:rPr>
        <w:t>s</w:t>
      </w:r>
      <w:r w:rsidR="00383AFA" w:rsidRPr="00B67F80">
        <w:rPr>
          <w:color w:val="000000" w:themeColor="text1"/>
        </w:rPr>
        <w:t>es for other components of Earth’s energy budget are lacking.</w:t>
      </w:r>
    </w:p>
    <w:p w14:paraId="49A5786C" w14:textId="5102AA18" w:rsidR="00804F98" w:rsidRPr="00B67F80" w:rsidRDefault="00DE690E" w:rsidP="002C77BC">
      <w:pPr>
        <w:spacing w:line="480" w:lineRule="auto"/>
        <w:ind w:firstLine="720"/>
        <w:jc w:val="both"/>
        <w:rPr>
          <w:color w:val="000000" w:themeColor="text1"/>
        </w:rPr>
      </w:pPr>
      <w:r w:rsidRPr="00B67F80">
        <w:rPr>
          <w:rFonts w:eastAsiaTheme="minorHAnsi"/>
          <w:color w:val="000000" w:themeColor="text1"/>
        </w:rPr>
        <w:t xml:space="preserve">We limit our investigation to </w:t>
      </w:r>
      <w:r w:rsidRPr="00B67F80">
        <w:rPr>
          <w:color w:val="000000" w:themeColor="text1"/>
        </w:rPr>
        <w:t>satellite observations from CERES</w:t>
      </w:r>
      <w:r w:rsidR="00AF216E" w:rsidRPr="00B67F80">
        <w:rPr>
          <w:color w:val="000000" w:themeColor="text1"/>
        </w:rPr>
        <w:t xml:space="preserve">, </w:t>
      </w:r>
      <w:r w:rsidRPr="00B67F80">
        <w:rPr>
          <w:color w:val="000000" w:themeColor="text1"/>
        </w:rPr>
        <w:t xml:space="preserve">atmospheric and oceanic reanalysis from the </w:t>
      </w:r>
      <w:r w:rsidRPr="00B67F80">
        <w:rPr>
          <w:rFonts w:eastAsiaTheme="minorHAnsi"/>
          <w:color w:val="000000" w:themeColor="text1"/>
        </w:rPr>
        <w:t>European Centre for Medium-Range Weather Forecasts (ECMWF)</w:t>
      </w:r>
      <w:r w:rsidR="00AF216E" w:rsidRPr="00B67F80">
        <w:rPr>
          <w:rFonts w:eastAsiaTheme="minorHAnsi"/>
          <w:color w:val="000000" w:themeColor="text1"/>
        </w:rPr>
        <w:t xml:space="preserve">, and ocean heating rate calculations </w:t>
      </w:r>
      <w:r w:rsidR="00AF4FBA" w:rsidRPr="00B67F80">
        <w:rPr>
          <w:rFonts w:eastAsiaTheme="minorHAnsi"/>
          <w:color w:val="000000" w:themeColor="text1"/>
        </w:rPr>
        <w:t xml:space="preserve">benefiting from data collected by the </w:t>
      </w:r>
      <w:r w:rsidR="00A303D8" w:rsidRPr="00B67F80">
        <w:rPr>
          <w:rFonts w:eastAsiaTheme="minorHAnsi"/>
          <w:color w:val="000000" w:themeColor="text1"/>
        </w:rPr>
        <w:t>revolutionary</w:t>
      </w:r>
      <w:r w:rsidR="00AF216E" w:rsidRPr="00B67F80">
        <w:rPr>
          <w:rFonts w:eastAsiaTheme="minorHAnsi"/>
          <w:color w:val="000000" w:themeColor="text1"/>
        </w:rPr>
        <w:t xml:space="preserve"> Argo</w:t>
      </w:r>
      <w:r w:rsidR="00AF4FBA" w:rsidRPr="00B67F80">
        <w:rPr>
          <w:rFonts w:eastAsiaTheme="minorHAnsi"/>
          <w:color w:val="000000" w:themeColor="text1"/>
        </w:rPr>
        <w:t xml:space="preserve"> array of profiling floats (mapped alone, mapped in combination with sea-surface height data from satellite altimeters, and assimilated into reanalyses)</w:t>
      </w:r>
      <w:r w:rsidR="00AF216E" w:rsidRPr="00B67F80">
        <w:rPr>
          <w:rFonts w:eastAsiaTheme="minorHAnsi"/>
          <w:color w:val="000000" w:themeColor="text1"/>
        </w:rPr>
        <w:t>.</w:t>
      </w:r>
      <w:r w:rsidRPr="00B67F80">
        <w:rPr>
          <w:color w:val="000000" w:themeColor="text1"/>
        </w:rPr>
        <w:t xml:space="preserve"> </w:t>
      </w:r>
      <w:r w:rsidR="002C77BC" w:rsidRPr="00B67F80">
        <w:rPr>
          <w:color w:val="000000" w:themeColor="text1"/>
        </w:rPr>
        <w:t>Th</w:t>
      </w:r>
      <w:r w:rsidR="00095B2C" w:rsidRPr="00B67F80">
        <w:rPr>
          <w:color w:val="000000" w:themeColor="text1"/>
        </w:rPr>
        <w:t>e</w:t>
      </w:r>
      <w:r w:rsidR="00AF216E" w:rsidRPr="00B67F80">
        <w:rPr>
          <w:color w:val="000000" w:themeColor="text1"/>
        </w:rPr>
        <w:t xml:space="preserve"> </w:t>
      </w:r>
      <w:r w:rsidR="002C77BC" w:rsidRPr="00B67F80">
        <w:rPr>
          <w:color w:val="000000" w:themeColor="text1"/>
        </w:rPr>
        <w:t>limited</w:t>
      </w:r>
      <w:r w:rsidR="00095B2C" w:rsidRPr="00B67F80">
        <w:rPr>
          <w:color w:val="000000" w:themeColor="text1"/>
        </w:rPr>
        <w:t xml:space="preserve"> number of</w:t>
      </w:r>
      <w:r w:rsidR="002C77BC" w:rsidRPr="00B67F80">
        <w:rPr>
          <w:color w:val="000000" w:themeColor="text1"/>
        </w:rPr>
        <w:t xml:space="preserve"> </w:t>
      </w:r>
      <w:r w:rsidR="00095B2C" w:rsidRPr="00B67F80">
        <w:rPr>
          <w:color w:val="000000" w:themeColor="text1"/>
        </w:rPr>
        <w:t>data</w:t>
      </w:r>
      <w:r w:rsidR="002C77BC" w:rsidRPr="00B67F80">
        <w:rPr>
          <w:color w:val="000000" w:themeColor="text1"/>
        </w:rPr>
        <w:t>set</w:t>
      </w:r>
      <w:r w:rsidR="00095B2C" w:rsidRPr="00B67F80">
        <w:rPr>
          <w:color w:val="000000" w:themeColor="text1"/>
        </w:rPr>
        <w:t>s</w:t>
      </w:r>
      <w:r w:rsidR="002C77BC" w:rsidRPr="00B67F80">
        <w:rPr>
          <w:color w:val="000000" w:themeColor="text1"/>
        </w:rPr>
        <w:t xml:space="preserve"> </w:t>
      </w:r>
      <w:r w:rsidR="00AF4FBA" w:rsidRPr="00B67F80">
        <w:rPr>
          <w:color w:val="000000" w:themeColor="text1"/>
        </w:rPr>
        <w:t xml:space="preserve">used </w:t>
      </w:r>
      <w:r w:rsidR="002C77BC" w:rsidRPr="00B67F80">
        <w:rPr>
          <w:color w:val="000000" w:themeColor="text1"/>
        </w:rPr>
        <w:t>enables</w:t>
      </w:r>
      <w:r w:rsidR="00AF216E" w:rsidRPr="00B67F80">
        <w:rPr>
          <w:color w:val="000000" w:themeColor="text1"/>
        </w:rPr>
        <w:t xml:space="preserve"> </w:t>
      </w:r>
      <w:r w:rsidR="002C77BC" w:rsidRPr="00B67F80">
        <w:rPr>
          <w:color w:val="000000" w:themeColor="text1"/>
        </w:rPr>
        <w:t>a more</w:t>
      </w:r>
      <w:r w:rsidRPr="00B67F80">
        <w:rPr>
          <w:color w:val="000000" w:themeColor="text1"/>
        </w:rPr>
        <w:t xml:space="preserve"> </w:t>
      </w:r>
      <w:r w:rsidRPr="00B67F80">
        <w:rPr>
          <w:color w:val="000000" w:themeColor="text1"/>
        </w:rPr>
        <w:lastRenderedPageBreak/>
        <w:t>focus</w:t>
      </w:r>
      <w:r w:rsidR="002C77BC" w:rsidRPr="00B67F80">
        <w:rPr>
          <w:color w:val="000000" w:themeColor="text1"/>
        </w:rPr>
        <w:t>ed</w:t>
      </w:r>
      <w:r w:rsidRPr="00B67F80">
        <w:rPr>
          <w:color w:val="000000" w:themeColor="text1"/>
        </w:rPr>
        <w:t xml:space="preserve"> </w:t>
      </w:r>
      <w:r w:rsidR="002C77BC" w:rsidRPr="00B67F80">
        <w:rPr>
          <w:color w:val="000000" w:themeColor="text1"/>
        </w:rPr>
        <w:t>assessment of the</w:t>
      </w:r>
      <w:r w:rsidRPr="00B67F80">
        <w:rPr>
          <w:color w:val="000000" w:themeColor="text1"/>
        </w:rPr>
        <w:t xml:space="preserve"> impact data assimilation </w:t>
      </w:r>
      <w:r w:rsidR="00AF216E" w:rsidRPr="00B67F80">
        <w:rPr>
          <w:color w:val="000000" w:themeColor="text1"/>
        </w:rPr>
        <w:t xml:space="preserve">in reanalysis </w:t>
      </w:r>
      <w:r w:rsidRPr="00B67F80">
        <w:rPr>
          <w:color w:val="000000" w:themeColor="text1"/>
        </w:rPr>
        <w:t>on trends</w:t>
      </w:r>
      <w:r w:rsidR="002C77BC" w:rsidRPr="00B67F80">
        <w:rPr>
          <w:color w:val="000000" w:themeColor="text1"/>
        </w:rPr>
        <w:t>.</w:t>
      </w:r>
      <w:r w:rsidRPr="00B67F80">
        <w:rPr>
          <w:color w:val="000000" w:themeColor="text1"/>
        </w:rPr>
        <w:t xml:space="preserve"> </w:t>
      </w:r>
      <w:r w:rsidR="002C77BC" w:rsidRPr="00B67F80">
        <w:rPr>
          <w:color w:val="000000" w:themeColor="text1"/>
        </w:rPr>
        <w:t>In addition, to our knowledge, ECMWF data are the only source that have been used to calculate the divergence of lateral atmospheric energy transports using the most recent</w:t>
      </w:r>
      <w:r w:rsidR="00BC2C4A" w:rsidRPr="00B67F80">
        <w:rPr>
          <w:color w:val="000000" w:themeColor="text1"/>
        </w:rPr>
        <w:t xml:space="preserve"> methodological</w:t>
      </w:r>
      <w:r w:rsidR="002C77BC" w:rsidRPr="00B67F80">
        <w:rPr>
          <w:color w:val="000000" w:themeColor="text1"/>
        </w:rPr>
        <w:t xml:space="preserve"> advances (Mayer et al., 2021). The datasets used in the analysis are described in Section 2. This is followed by a description of the methodology applied to the data in Section 3, </w:t>
      </w:r>
      <w:r w:rsidR="00D0396B" w:rsidRPr="00B67F80">
        <w:rPr>
          <w:color w:val="000000" w:themeColor="text1"/>
        </w:rPr>
        <w:t>and</w:t>
      </w:r>
      <w:r w:rsidR="002C77BC" w:rsidRPr="00B67F80">
        <w:rPr>
          <w:color w:val="000000" w:themeColor="text1"/>
        </w:rPr>
        <w:t xml:space="preserve"> results are presented in </w:t>
      </w:r>
      <w:r w:rsidR="00A303D8" w:rsidRPr="00B67F80">
        <w:rPr>
          <w:color w:val="000000" w:themeColor="text1"/>
        </w:rPr>
        <w:t>Section</w:t>
      </w:r>
      <w:r w:rsidR="002C77BC" w:rsidRPr="00B67F80">
        <w:rPr>
          <w:color w:val="000000" w:themeColor="text1"/>
        </w:rPr>
        <w:t xml:space="preserve"> 4. </w:t>
      </w:r>
      <w:r w:rsidR="00095B2C" w:rsidRPr="00B67F80">
        <w:rPr>
          <w:color w:val="000000" w:themeColor="text1"/>
        </w:rPr>
        <w:t>A</w:t>
      </w:r>
      <w:r w:rsidR="002C77BC" w:rsidRPr="00B67F80">
        <w:rPr>
          <w:color w:val="000000" w:themeColor="text1"/>
        </w:rPr>
        <w:t xml:space="preserve"> summary of our </w:t>
      </w:r>
      <w:r w:rsidR="00095B2C" w:rsidRPr="00B67F80">
        <w:rPr>
          <w:color w:val="000000" w:themeColor="text1"/>
        </w:rPr>
        <w:t xml:space="preserve">main </w:t>
      </w:r>
      <w:r w:rsidR="002C77BC" w:rsidRPr="00B67F80">
        <w:rPr>
          <w:color w:val="000000" w:themeColor="text1"/>
        </w:rPr>
        <w:t xml:space="preserve">findings </w:t>
      </w:r>
      <w:r w:rsidR="00361131" w:rsidRPr="00B67F80">
        <w:rPr>
          <w:color w:val="000000" w:themeColor="text1"/>
        </w:rPr>
        <w:t>is</w:t>
      </w:r>
      <w:r w:rsidR="00095B2C" w:rsidRPr="00B67F80">
        <w:rPr>
          <w:color w:val="000000" w:themeColor="text1"/>
        </w:rPr>
        <w:t xml:space="preserve"> provided </w:t>
      </w:r>
      <w:r w:rsidR="002C77BC" w:rsidRPr="00B67F80">
        <w:rPr>
          <w:color w:val="000000" w:themeColor="text1"/>
        </w:rPr>
        <w:t>in Section 5.</w:t>
      </w:r>
    </w:p>
    <w:p w14:paraId="0A98C172" w14:textId="77777777" w:rsidR="00AF4FBA" w:rsidRPr="00B67F80" w:rsidRDefault="00AF4FBA" w:rsidP="00AF4FBA">
      <w:pPr>
        <w:spacing w:line="480" w:lineRule="auto"/>
        <w:ind w:firstLine="720"/>
        <w:jc w:val="both"/>
        <w:rPr>
          <w:color w:val="000000" w:themeColor="text1"/>
        </w:rPr>
      </w:pPr>
    </w:p>
    <w:p w14:paraId="19DC73C0" w14:textId="40D6A3A1" w:rsidR="00AF4FBA" w:rsidRPr="00B67F80" w:rsidRDefault="00AF4FBA" w:rsidP="00AF4FBA">
      <w:pPr>
        <w:keepNext/>
        <w:spacing w:line="480" w:lineRule="auto"/>
        <w:jc w:val="both"/>
        <w:rPr>
          <w:b/>
          <w:bCs/>
          <w:color w:val="000000" w:themeColor="text1"/>
        </w:rPr>
      </w:pPr>
      <w:r w:rsidRPr="00B67F80">
        <w:rPr>
          <w:b/>
          <w:bCs/>
          <w:color w:val="000000" w:themeColor="text1"/>
        </w:rPr>
        <w:t xml:space="preserve">2. </w:t>
      </w:r>
      <w:r w:rsidR="004E2DF2" w:rsidRPr="00B67F80">
        <w:rPr>
          <w:b/>
          <w:bCs/>
          <w:color w:val="000000" w:themeColor="text1"/>
        </w:rPr>
        <w:t>Data</w:t>
      </w:r>
    </w:p>
    <w:p w14:paraId="0550293D" w14:textId="12A52663" w:rsidR="007A47A2" w:rsidRPr="00B67F80" w:rsidRDefault="007A47A2" w:rsidP="002148CA">
      <w:pPr>
        <w:spacing w:line="480" w:lineRule="auto"/>
        <w:ind w:firstLine="720"/>
        <w:rPr>
          <w:color w:val="000000" w:themeColor="text1"/>
        </w:rPr>
      </w:pPr>
      <w:r w:rsidRPr="00B67F80">
        <w:rPr>
          <w:rFonts w:eastAsiaTheme="minorHAnsi"/>
          <w:color w:val="000000" w:themeColor="text1"/>
        </w:rPr>
        <w:t xml:space="preserve">We use TOA and surface radiation fields from CERES and </w:t>
      </w:r>
      <w:r w:rsidR="00BC2C4A" w:rsidRPr="00B67F80">
        <w:rPr>
          <w:rFonts w:eastAsiaTheme="minorHAnsi"/>
          <w:color w:val="000000" w:themeColor="text1"/>
        </w:rPr>
        <w:t>ECMWF</w:t>
      </w:r>
      <w:r w:rsidRPr="00B67F80">
        <w:rPr>
          <w:rFonts w:eastAsiaTheme="minorHAnsi"/>
          <w:color w:val="000000" w:themeColor="text1"/>
        </w:rPr>
        <w:t xml:space="preserve"> reanalyses, total atmospheric energy transport estimates from those same </w:t>
      </w:r>
      <w:r w:rsidR="00BC2C4A" w:rsidRPr="00B67F80">
        <w:rPr>
          <w:rFonts w:eastAsiaTheme="minorHAnsi"/>
          <w:color w:val="000000" w:themeColor="text1"/>
        </w:rPr>
        <w:t>ECMWF</w:t>
      </w:r>
      <w:r w:rsidRPr="00B67F80">
        <w:rPr>
          <w:rFonts w:eastAsiaTheme="minorHAnsi"/>
          <w:color w:val="000000" w:themeColor="text1"/>
        </w:rPr>
        <w:t xml:space="preserve"> reanalyses, as well as ocean heat</w:t>
      </w:r>
      <w:r w:rsidR="00D53594" w:rsidRPr="00B67F80">
        <w:rPr>
          <w:rFonts w:eastAsiaTheme="minorHAnsi"/>
          <w:color w:val="000000" w:themeColor="text1"/>
        </w:rPr>
        <w:t>ing</w:t>
      </w:r>
      <w:r w:rsidRPr="00B67F80">
        <w:rPr>
          <w:rFonts w:eastAsiaTheme="minorHAnsi"/>
          <w:color w:val="000000" w:themeColor="text1"/>
        </w:rPr>
        <w:t xml:space="preserve"> </w:t>
      </w:r>
      <w:r w:rsidR="00D53594" w:rsidRPr="00B67F80">
        <w:rPr>
          <w:rFonts w:eastAsiaTheme="minorHAnsi"/>
          <w:color w:val="000000" w:themeColor="text1"/>
        </w:rPr>
        <w:t>rate</w:t>
      </w:r>
      <w:r w:rsidRPr="00B67F80">
        <w:rPr>
          <w:rFonts w:eastAsiaTheme="minorHAnsi"/>
          <w:color w:val="000000" w:themeColor="text1"/>
        </w:rPr>
        <w:t xml:space="preserve"> estimates </w:t>
      </w:r>
      <w:r w:rsidR="00D53594" w:rsidRPr="00B67F80">
        <w:rPr>
          <w:rFonts w:eastAsiaTheme="minorHAnsi"/>
          <w:color w:val="000000" w:themeColor="text1"/>
        </w:rPr>
        <w:t xml:space="preserve">derived </w:t>
      </w:r>
      <w:r w:rsidRPr="00B67F80">
        <w:rPr>
          <w:rFonts w:eastAsiaTheme="minorHAnsi"/>
          <w:color w:val="000000" w:themeColor="text1"/>
        </w:rPr>
        <w:t xml:space="preserve">from two different </w:t>
      </w:r>
      <w:r w:rsidR="00BC2C4A" w:rsidRPr="00B67F80">
        <w:rPr>
          <w:rFonts w:eastAsiaTheme="minorHAnsi"/>
          <w:color w:val="000000" w:themeColor="text1"/>
        </w:rPr>
        <w:t>ECMWF</w:t>
      </w:r>
      <w:r w:rsidRPr="00B67F80">
        <w:rPr>
          <w:rFonts w:eastAsiaTheme="minorHAnsi"/>
          <w:color w:val="000000" w:themeColor="text1"/>
        </w:rPr>
        <w:t xml:space="preserve"> ocean reanalyses, an observational product combining Argo temperature profiles with sea-surface height maps from satellite altimeters, and an Argo-only observational product.</w:t>
      </w:r>
    </w:p>
    <w:p w14:paraId="77526D86" w14:textId="09DF57DB" w:rsidR="00702C49" w:rsidRPr="00B67F80" w:rsidRDefault="00702C49" w:rsidP="00702C49">
      <w:pPr>
        <w:numPr>
          <w:ilvl w:val="1"/>
          <w:numId w:val="14"/>
        </w:numPr>
        <w:spacing w:line="480" w:lineRule="auto"/>
        <w:jc w:val="both"/>
        <w:rPr>
          <w:b/>
          <w:bCs/>
          <w:color w:val="000000" w:themeColor="text1"/>
        </w:rPr>
      </w:pPr>
      <w:r w:rsidRPr="00B67F80">
        <w:rPr>
          <w:b/>
          <w:bCs/>
          <w:color w:val="000000" w:themeColor="text1"/>
        </w:rPr>
        <w:t>CERES</w:t>
      </w:r>
      <w:r w:rsidR="00841CD5" w:rsidRPr="00B67F80">
        <w:rPr>
          <w:b/>
          <w:bCs/>
          <w:color w:val="000000" w:themeColor="text1"/>
        </w:rPr>
        <w:t xml:space="preserve"> TOA and Surface Radiation Data</w:t>
      </w:r>
    </w:p>
    <w:p w14:paraId="4DDA88FC" w14:textId="5E9F7F94" w:rsidR="00702C49" w:rsidRPr="00B67F80" w:rsidRDefault="007A47A2" w:rsidP="00841CD5">
      <w:pPr>
        <w:spacing w:line="480" w:lineRule="auto"/>
        <w:ind w:firstLine="720"/>
        <w:jc w:val="both"/>
        <w:rPr>
          <w:rFonts w:eastAsiaTheme="minorHAnsi"/>
          <w:color w:val="000000" w:themeColor="text1"/>
        </w:rPr>
      </w:pPr>
      <w:r w:rsidRPr="00B67F80">
        <w:rPr>
          <w:color w:val="000000" w:themeColor="text1"/>
        </w:rPr>
        <w:t>Satellite radiation data are</w:t>
      </w:r>
      <w:r w:rsidRPr="00B67F80">
        <w:rPr>
          <w:rFonts w:eastAsiaTheme="minorHAnsi"/>
          <w:color w:val="000000" w:themeColor="text1"/>
        </w:rPr>
        <w:t xml:space="preserve"> from the CERES Energy Balanced and Filled (EBAF) Ed4.1 product (Loeb et al., 2018</w:t>
      </w:r>
      <w:r w:rsidRPr="00B67F80">
        <w:rPr>
          <w:color w:val="000000" w:themeColor="text1"/>
        </w:rPr>
        <w:t>a</w:t>
      </w:r>
      <w:r w:rsidRPr="00B67F80">
        <w:rPr>
          <w:rFonts w:eastAsiaTheme="minorHAnsi"/>
          <w:color w:val="000000" w:themeColor="text1"/>
        </w:rPr>
        <w:t>)</w:t>
      </w:r>
      <w:r w:rsidRPr="00B67F80">
        <w:rPr>
          <w:color w:val="000000" w:themeColor="text1"/>
        </w:rPr>
        <w:t>, which</w:t>
      </w:r>
      <w:r w:rsidRPr="00B67F80">
        <w:rPr>
          <w:rFonts w:eastAsiaTheme="minorHAnsi"/>
          <w:color w:val="000000" w:themeColor="text1"/>
        </w:rPr>
        <w:t xml:space="preserve"> provides monthly mean TOA and surface shortwave (SW),</w:t>
      </w:r>
      <w:r w:rsidRPr="00B67F80">
        <w:rPr>
          <w:color w:val="000000" w:themeColor="text1"/>
        </w:rPr>
        <w:t xml:space="preserve"> </w:t>
      </w:r>
      <w:r w:rsidRPr="00B67F80">
        <w:rPr>
          <w:rFonts w:eastAsiaTheme="minorHAnsi"/>
          <w:color w:val="000000" w:themeColor="text1"/>
        </w:rPr>
        <w:t>longwave (LW)</w:t>
      </w:r>
      <w:r w:rsidRPr="00B67F80">
        <w:rPr>
          <w:color w:val="000000" w:themeColor="text1"/>
        </w:rPr>
        <w:t>,</w:t>
      </w:r>
      <w:r w:rsidRPr="00B67F80">
        <w:rPr>
          <w:rFonts w:eastAsiaTheme="minorHAnsi"/>
          <w:color w:val="000000" w:themeColor="text1"/>
        </w:rPr>
        <w:t xml:space="preserve"> net </w:t>
      </w:r>
      <w:r w:rsidRPr="00B67F80">
        <w:rPr>
          <w:color w:val="000000" w:themeColor="text1"/>
        </w:rPr>
        <w:t xml:space="preserve">(NET) </w:t>
      </w:r>
      <w:r w:rsidRPr="00B67F80">
        <w:rPr>
          <w:rFonts w:eastAsiaTheme="minorHAnsi"/>
          <w:color w:val="000000" w:themeColor="text1"/>
        </w:rPr>
        <w:t>radiative fluxes and solar irradiance</w:t>
      </w:r>
      <w:r w:rsidRPr="00B67F80">
        <w:rPr>
          <w:color w:val="000000" w:themeColor="text1"/>
        </w:rPr>
        <w:t xml:space="preserve"> </w:t>
      </w:r>
      <w:r w:rsidRPr="00B67F80">
        <w:rPr>
          <w:rFonts w:eastAsiaTheme="minorHAnsi"/>
          <w:color w:val="000000" w:themeColor="text1"/>
        </w:rPr>
        <w:t>measurements</w:t>
      </w:r>
      <w:r w:rsidRPr="00B67F80">
        <w:rPr>
          <w:color w:val="000000" w:themeColor="text1"/>
        </w:rPr>
        <w:t xml:space="preserve"> </w:t>
      </w:r>
      <w:r w:rsidRPr="00B67F80">
        <w:rPr>
          <w:rFonts w:eastAsiaTheme="minorHAnsi"/>
          <w:color w:val="000000" w:themeColor="text1"/>
        </w:rPr>
        <w:t>on a</w:t>
      </w:r>
      <w:r w:rsidRPr="00B67F80">
        <w:rPr>
          <w:color w:val="000000" w:themeColor="text1"/>
        </w:rPr>
        <w:t xml:space="preserve"> 1</w:t>
      </w:r>
      <w:r w:rsidRPr="00B67F80">
        <w:rPr>
          <w:color w:val="000000" w:themeColor="text1"/>
        </w:rPr>
        <w:sym w:font="Symbol" w:char="F0B0"/>
      </w:r>
      <w:r w:rsidRPr="00B67F80">
        <w:rPr>
          <w:color w:val="000000" w:themeColor="text1"/>
        </w:rPr>
        <w:sym w:font="Symbol" w:char="F0B4"/>
      </w:r>
      <w:r w:rsidRPr="00B67F80">
        <w:rPr>
          <w:color w:val="000000" w:themeColor="text1"/>
        </w:rPr>
        <w:t>1</w:t>
      </w:r>
      <w:r w:rsidRPr="00B67F80">
        <w:rPr>
          <w:color w:val="000000" w:themeColor="text1"/>
        </w:rPr>
        <w:sym w:font="Symbol" w:char="F0B0"/>
      </w:r>
      <w:r w:rsidRPr="00B67F80">
        <w:rPr>
          <w:rFonts w:eastAsiaTheme="minorHAnsi"/>
          <w:color w:val="000000" w:themeColor="text1"/>
        </w:rPr>
        <w:t xml:space="preserve"> grid along with imager-derived cloud properties.</w:t>
      </w:r>
      <w:r w:rsidR="00841CD5" w:rsidRPr="00B67F80">
        <w:rPr>
          <w:color w:val="000000" w:themeColor="text1"/>
        </w:rPr>
        <w:t xml:space="preserve"> TOA </w:t>
      </w:r>
      <w:r w:rsidR="00841CD5" w:rsidRPr="00B67F80">
        <w:rPr>
          <w:rFonts w:eastAsiaTheme="minorHAnsi"/>
          <w:color w:val="000000" w:themeColor="text1"/>
        </w:rPr>
        <w:t>a</w:t>
      </w:r>
      <w:r w:rsidR="0077329B" w:rsidRPr="00B67F80">
        <w:rPr>
          <w:rFonts w:eastAsiaTheme="minorHAnsi"/>
          <w:color w:val="000000" w:themeColor="text1"/>
        </w:rPr>
        <w:t>bsorbed solar radiation</w:t>
      </w:r>
      <w:r w:rsidR="005433D6" w:rsidRPr="00B67F80">
        <w:rPr>
          <w:rFonts w:eastAsiaTheme="minorHAnsi"/>
          <w:color w:val="000000" w:themeColor="text1"/>
        </w:rPr>
        <w:t xml:space="preserve"> (ASR)</w:t>
      </w:r>
      <w:r w:rsidR="0077329B" w:rsidRPr="00B67F80">
        <w:rPr>
          <w:rFonts w:eastAsiaTheme="minorHAnsi"/>
          <w:color w:val="000000" w:themeColor="text1"/>
        </w:rPr>
        <w:t xml:space="preserve"> is determined from the difference between spatially and temporally</w:t>
      </w:r>
      <w:r w:rsidR="0077329B" w:rsidRPr="00B67F80">
        <w:rPr>
          <w:color w:val="000000" w:themeColor="text1"/>
        </w:rPr>
        <w:t xml:space="preserve"> </w:t>
      </w:r>
      <w:r w:rsidR="0077329B" w:rsidRPr="00B67F80">
        <w:rPr>
          <w:rFonts w:eastAsiaTheme="minorHAnsi"/>
          <w:color w:val="000000" w:themeColor="text1"/>
        </w:rPr>
        <w:t>averaged monthly solar irradiances and reflected SW fluxes. The solar irradiances are determined</w:t>
      </w:r>
      <w:r w:rsidR="0077329B" w:rsidRPr="00B67F80">
        <w:rPr>
          <w:color w:val="000000" w:themeColor="text1"/>
        </w:rPr>
        <w:t xml:space="preserve"> </w:t>
      </w:r>
      <w:r w:rsidR="0077329B" w:rsidRPr="00B67F80">
        <w:rPr>
          <w:rFonts w:eastAsiaTheme="minorHAnsi"/>
          <w:color w:val="000000" w:themeColor="text1"/>
        </w:rPr>
        <w:t>from time-varying instantaneous total solar irradiance measurements from various sources (Loeb et al., 2018</w:t>
      </w:r>
      <w:r w:rsidR="00E03BFB">
        <w:rPr>
          <w:rFonts w:eastAsiaTheme="minorHAnsi"/>
          <w:color w:val="000000" w:themeColor="text1"/>
        </w:rPr>
        <w:t>a</w:t>
      </w:r>
      <w:r w:rsidR="0077329B" w:rsidRPr="00B67F80">
        <w:rPr>
          <w:rFonts w:eastAsiaTheme="minorHAnsi"/>
          <w:color w:val="000000" w:themeColor="text1"/>
        </w:rPr>
        <w:t xml:space="preserve">). </w:t>
      </w:r>
      <w:r w:rsidR="00B50A1F" w:rsidRPr="00B67F80">
        <w:rPr>
          <w:color w:val="000000" w:themeColor="text1"/>
        </w:rPr>
        <w:t>S</w:t>
      </w:r>
      <w:r w:rsidR="0077329B" w:rsidRPr="00B67F80">
        <w:rPr>
          <w:rFonts w:eastAsiaTheme="minorHAnsi"/>
          <w:color w:val="000000" w:themeColor="text1"/>
        </w:rPr>
        <w:t>atellite incoming and outgoing radiative fluxes are presently not</w:t>
      </w:r>
      <w:r w:rsidR="0077329B" w:rsidRPr="00B67F80">
        <w:rPr>
          <w:color w:val="000000" w:themeColor="text1"/>
        </w:rPr>
        <w:t xml:space="preserve"> </w:t>
      </w:r>
      <w:r w:rsidR="0077329B" w:rsidRPr="00B67F80">
        <w:rPr>
          <w:rFonts w:eastAsiaTheme="minorHAnsi"/>
          <w:color w:val="000000" w:themeColor="text1"/>
        </w:rPr>
        <w:t xml:space="preserve">at the level of accuracy required to resolve </w:t>
      </w:r>
      <w:r w:rsidR="00361AC3" w:rsidRPr="00B67F80">
        <w:rPr>
          <w:color w:val="000000" w:themeColor="text1"/>
        </w:rPr>
        <w:t>TOA fluxes to a few tenths of a Wm</w:t>
      </w:r>
      <w:r w:rsidR="00361AC3" w:rsidRPr="00B67F80">
        <w:rPr>
          <w:color w:val="000000" w:themeColor="text1"/>
          <w:vertAlign w:val="superscript"/>
        </w:rPr>
        <w:t>-2</w:t>
      </w:r>
      <w:r w:rsidR="0077329B" w:rsidRPr="00B67F80">
        <w:rPr>
          <w:rFonts w:eastAsiaTheme="minorHAnsi"/>
          <w:color w:val="000000" w:themeColor="text1"/>
        </w:rPr>
        <w:t xml:space="preserve"> in an absolute sense</w:t>
      </w:r>
      <w:r w:rsidR="00B50A1F" w:rsidRPr="00B67F80">
        <w:rPr>
          <w:rFonts w:eastAsiaTheme="minorHAnsi"/>
          <w:color w:val="000000" w:themeColor="text1"/>
        </w:rPr>
        <w:t xml:space="preserve"> (Loeb</w:t>
      </w:r>
      <w:r w:rsidR="00B50A1F" w:rsidRPr="00B67F80">
        <w:rPr>
          <w:color w:val="000000" w:themeColor="text1"/>
        </w:rPr>
        <w:t xml:space="preserve"> </w:t>
      </w:r>
      <w:r w:rsidR="00B50A1F" w:rsidRPr="00B67F80">
        <w:rPr>
          <w:rFonts w:eastAsiaTheme="minorHAnsi"/>
          <w:color w:val="000000" w:themeColor="text1"/>
        </w:rPr>
        <w:t>et al., 2018</w:t>
      </w:r>
      <w:r w:rsidR="00E03BFB">
        <w:rPr>
          <w:rFonts w:eastAsiaTheme="minorHAnsi"/>
          <w:color w:val="000000" w:themeColor="text1"/>
        </w:rPr>
        <w:t>a</w:t>
      </w:r>
      <w:r w:rsidR="00B50A1F" w:rsidRPr="00B67F80">
        <w:rPr>
          <w:rFonts w:eastAsiaTheme="minorHAnsi"/>
          <w:color w:val="000000" w:themeColor="text1"/>
        </w:rPr>
        <w:t>)</w:t>
      </w:r>
      <w:r w:rsidR="0077329B" w:rsidRPr="00B67F80">
        <w:rPr>
          <w:rFonts w:eastAsiaTheme="minorHAnsi"/>
          <w:color w:val="000000" w:themeColor="text1"/>
        </w:rPr>
        <w:t xml:space="preserve">. However, </w:t>
      </w:r>
      <w:r w:rsidR="00361AC3" w:rsidRPr="00B67F80">
        <w:rPr>
          <w:color w:val="000000" w:themeColor="text1"/>
        </w:rPr>
        <w:t>CERES TOA fluxes</w:t>
      </w:r>
      <w:r w:rsidR="0077329B" w:rsidRPr="00B67F80">
        <w:rPr>
          <w:color w:val="000000" w:themeColor="text1"/>
        </w:rPr>
        <w:t xml:space="preserve"> </w:t>
      </w:r>
      <w:r w:rsidR="0077329B" w:rsidRPr="00B67F80">
        <w:rPr>
          <w:rFonts w:eastAsiaTheme="minorHAnsi"/>
          <w:color w:val="000000" w:themeColor="text1"/>
        </w:rPr>
        <w:lastRenderedPageBreak/>
        <w:t>are highly precise as the instruments are very stable</w:t>
      </w:r>
      <w:r w:rsidR="00361AC3" w:rsidRPr="00B67F80">
        <w:rPr>
          <w:color w:val="000000" w:themeColor="text1"/>
        </w:rPr>
        <w:t xml:space="preserve"> (</w:t>
      </w:r>
      <w:r w:rsidR="006238E2" w:rsidRPr="00B67F80">
        <w:rPr>
          <w:color w:val="000000" w:themeColor="text1"/>
        </w:rPr>
        <w:t xml:space="preserve">Loeb et al., 2016; </w:t>
      </w:r>
      <w:r w:rsidR="00E35E6A" w:rsidRPr="00B67F80">
        <w:rPr>
          <w:color w:val="000000" w:themeColor="text1"/>
        </w:rPr>
        <w:t xml:space="preserve">Loeb et al., 2018b; </w:t>
      </w:r>
      <w:r w:rsidR="006238E2" w:rsidRPr="00B67F80">
        <w:rPr>
          <w:color w:val="000000" w:themeColor="text1"/>
        </w:rPr>
        <w:t xml:space="preserve">Shankar et al., 2020; </w:t>
      </w:r>
      <w:r w:rsidR="00DF7C50" w:rsidRPr="00B67F80">
        <w:rPr>
          <w:color w:val="000000" w:themeColor="text1"/>
        </w:rPr>
        <w:t>Loeb et al., 2021</w:t>
      </w:r>
      <w:r w:rsidR="00361AC3" w:rsidRPr="00B67F80">
        <w:rPr>
          <w:color w:val="000000" w:themeColor="text1"/>
        </w:rPr>
        <w:t>)</w:t>
      </w:r>
      <w:r w:rsidR="0077329B" w:rsidRPr="00B67F80">
        <w:rPr>
          <w:rFonts w:eastAsiaTheme="minorHAnsi"/>
          <w:color w:val="000000" w:themeColor="text1"/>
        </w:rPr>
        <w:t xml:space="preserve">. </w:t>
      </w:r>
      <w:r w:rsidR="004D7F7B" w:rsidRPr="00B67F80">
        <w:rPr>
          <w:color w:val="000000" w:themeColor="text1"/>
        </w:rPr>
        <w:t>The EBAF product</w:t>
      </w:r>
      <w:r w:rsidR="0077329B" w:rsidRPr="00B67F80">
        <w:rPr>
          <w:rFonts w:eastAsiaTheme="minorHAnsi"/>
          <w:color w:val="000000" w:themeColor="text1"/>
        </w:rPr>
        <w:t xml:space="preserve"> </w:t>
      </w:r>
      <w:r w:rsidR="00230AE8" w:rsidRPr="00B67F80">
        <w:rPr>
          <w:color w:val="000000" w:themeColor="text1"/>
        </w:rPr>
        <w:t xml:space="preserve">uses an objective constrainment algorithm (Loeb et al., 2009) to adjust SW and LW TOA fluxes within their ranges of uncertainty to remove the inconsistency between average global net TOA flux and heat storage in the earth–atmosphere system, determined primarily from ocean heat content anomaly (OHCA) data (Johnson et al., 2016). </w:t>
      </w:r>
      <w:r w:rsidR="0077329B" w:rsidRPr="00B67F80">
        <w:rPr>
          <w:rFonts w:eastAsiaTheme="minorHAnsi"/>
          <w:color w:val="000000" w:themeColor="text1"/>
        </w:rPr>
        <w:t xml:space="preserve">Use of this </w:t>
      </w:r>
      <w:r w:rsidR="00B973A9" w:rsidRPr="00B67F80">
        <w:rPr>
          <w:color w:val="000000" w:themeColor="text1"/>
        </w:rPr>
        <w:t>approach</w:t>
      </w:r>
      <w:r w:rsidR="0077329B" w:rsidRPr="00B67F80">
        <w:rPr>
          <w:rFonts w:eastAsiaTheme="minorHAnsi"/>
          <w:color w:val="000000" w:themeColor="text1"/>
        </w:rPr>
        <w:t xml:space="preserve"> to anchor the satellite</w:t>
      </w:r>
      <w:r w:rsidR="002245C6">
        <w:rPr>
          <w:rFonts w:eastAsiaTheme="minorHAnsi"/>
          <w:color w:val="000000" w:themeColor="text1"/>
        </w:rPr>
        <w:t>-derived Earth energy imbalance</w:t>
      </w:r>
      <w:r w:rsidR="0077329B" w:rsidRPr="00B67F80">
        <w:rPr>
          <w:rFonts w:eastAsiaTheme="minorHAnsi"/>
          <w:color w:val="000000" w:themeColor="text1"/>
        </w:rPr>
        <w:t xml:space="preserve"> </w:t>
      </w:r>
      <w:r w:rsidR="002245C6">
        <w:rPr>
          <w:rFonts w:eastAsiaTheme="minorHAnsi"/>
          <w:color w:val="000000" w:themeColor="text1"/>
        </w:rPr>
        <w:t>(</w:t>
      </w:r>
      <w:r w:rsidR="0077329B" w:rsidRPr="00B67F80">
        <w:rPr>
          <w:rFonts w:eastAsiaTheme="minorHAnsi"/>
          <w:color w:val="000000" w:themeColor="text1"/>
        </w:rPr>
        <w:t>EEI</w:t>
      </w:r>
      <w:r w:rsidR="002245C6">
        <w:rPr>
          <w:rFonts w:eastAsiaTheme="minorHAnsi"/>
          <w:color w:val="000000" w:themeColor="text1"/>
        </w:rPr>
        <w:t>)</w:t>
      </w:r>
      <w:r w:rsidR="0077329B" w:rsidRPr="00B67F80">
        <w:rPr>
          <w:rFonts w:eastAsiaTheme="minorHAnsi"/>
          <w:color w:val="000000" w:themeColor="text1"/>
        </w:rPr>
        <w:t xml:space="preserve"> to the in situ EEI</w:t>
      </w:r>
      <w:r w:rsidR="0077329B" w:rsidRPr="00B67F80">
        <w:rPr>
          <w:color w:val="000000" w:themeColor="text1"/>
        </w:rPr>
        <w:t xml:space="preserve"> </w:t>
      </w:r>
      <w:r w:rsidR="0077329B" w:rsidRPr="00B67F80">
        <w:rPr>
          <w:rFonts w:eastAsiaTheme="minorHAnsi"/>
          <w:color w:val="000000" w:themeColor="text1"/>
        </w:rPr>
        <w:t>does not affect the</w:t>
      </w:r>
      <w:r w:rsidR="00B973A9" w:rsidRPr="00B67F80">
        <w:rPr>
          <w:color w:val="000000" w:themeColor="text1"/>
        </w:rPr>
        <w:t xml:space="preserve"> variability and</w:t>
      </w:r>
      <w:r w:rsidR="0077329B" w:rsidRPr="00B67F80">
        <w:rPr>
          <w:rFonts w:eastAsiaTheme="minorHAnsi"/>
          <w:color w:val="000000" w:themeColor="text1"/>
        </w:rPr>
        <w:t xml:space="preserve"> trends </w:t>
      </w:r>
      <w:r w:rsidR="00B973A9" w:rsidRPr="00B67F80">
        <w:rPr>
          <w:color w:val="000000" w:themeColor="text1"/>
        </w:rPr>
        <w:t>in the data</w:t>
      </w:r>
      <w:r w:rsidR="00E03BFB">
        <w:rPr>
          <w:color w:val="000000" w:themeColor="text1"/>
        </w:rPr>
        <w:t xml:space="preserve"> (Loeb et al., 2018a)</w:t>
      </w:r>
      <w:r w:rsidR="0077329B" w:rsidRPr="00B67F80">
        <w:rPr>
          <w:rFonts w:eastAsiaTheme="minorHAnsi"/>
          <w:color w:val="000000" w:themeColor="text1"/>
        </w:rPr>
        <w:t>.</w:t>
      </w:r>
    </w:p>
    <w:p w14:paraId="69D6FF13" w14:textId="6E4433CE" w:rsidR="00735F42" w:rsidRPr="00B67F80" w:rsidRDefault="00D87869" w:rsidP="00060312">
      <w:pPr>
        <w:spacing w:line="480" w:lineRule="auto"/>
        <w:ind w:firstLine="720"/>
        <w:jc w:val="both"/>
        <w:rPr>
          <w:rFonts w:eastAsiaTheme="minorHAnsi"/>
          <w:color w:val="000000" w:themeColor="text1"/>
        </w:rPr>
      </w:pPr>
      <w:r w:rsidRPr="00B67F80">
        <w:rPr>
          <w:rFonts w:eastAsiaTheme="minorHAnsi"/>
          <w:color w:val="000000" w:themeColor="text1"/>
        </w:rPr>
        <w:t>We also use TOA fluxes from the</w:t>
      </w:r>
      <w:r w:rsidR="00D47D17" w:rsidRPr="00B67F80">
        <w:rPr>
          <w:rFonts w:eastAsiaTheme="minorHAnsi"/>
          <w:color w:val="000000" w:themeColor="text1"/>
        </w:rPr>
        <w:t xml:space="preserve"> Terra and Aqua</w:t>
      </w:r>
      <w:r w:rsidRPr="00B67F80">
        <w:rPr>
          <w:rFonts w:eastAsiaTheme="minorHAnsi"/>
          <w:color w:val="000000" w:themeColor="text1"/>
        </w:rPr>
        <w:t xml:space="preserve"> CERES SSF1deg Ed 4.1 product</w:t>
      </w:r>
      <w:r w:rsidR="00D47D17" w:rsidRPr="00B67F80">
        <w:rPr>
          <w:rFonts w:eastAsiaTheme="minorHAnsi"/>
          <w:color w:val="000000" w:themeColor="text1"/>
        </w:rPr>
        <w:t>s</w:t>
      </w:r>
      <w:r w:rsidRPr="00B67F80">
        <w:rPr>
          <w:rFonts w:eastAsiaTheme="minorHAnsi"/>
          <w:color w:val="000000" w:themeColor="text1"/>
        </w:rPr>
        <w:t xml:space="preserve"> (</w:t>
      </w:r>
      <w:r w:rsidR="00E13D52" w:rsidRPr="00B67F80">
        <w:rPr>
          <w:rFonts w:eastAsiaTheme="minorHAnsi"/>
          <w:color w:val="000000" w:themeColor="text1"/>
        </w:rPr>
        <w:t>Doelling et al., 2013; Loeb et al., 2018a)</w:t>
      </w:r>
      <w:r w:rsidR="005264E7" w:rsidRPr="00B67F80">
        <w:rPr>
          <w:rFonts w:eastAsiaTheme="minorHAnsi"/>
          <w:color w:val="000000" w:themeColor="text1"/>
        </w:rPr>
        <w:t xml:space="preserve"> </w:t>
      </w:r>
      <w:r w:rsidR="00361131" w:rsidRPr="00B67F80">
        <w:rPr>
          <w:rFonts w:eastAsiaTheme="minorHAnsi"/>
          <w:color w:val="000000" w:themeColor="text1"/>
        </w:rPr>
        <w:t>to</w:t>
      </w:r>
      <w:r w:rsidR="005264E7" w:rsidRPr="00B67F80">
        <w:rPr>
          <w:rFonts w:eastAsiaTheme="minorHAnsi"/>
          <w:color w:val="000000" w:themeColor="text1"/>
        </w:rPr>
        <w:t xml:space="preserve"> compare CERES fluxes from different satellite platforms</w:t>
      </w:r>
      <w:r w:rsidR="00D47D17" w:rsidRPr="00B67F80">
        <w:rPr>
          <w:rFonts w:eastAsiaTheme="minorHAnsi"/>
          <w:color w:val="000000" w:themeColor="text1"/>
        </w:rPr>
        <w:t>. Unlike CERES EBAF, which combines CERES instruments on different satellites, SSF1deg is determined separately for each satellite CERES instruments fly on</w:t>
      </w:r>
      <w:r w:rsidR="005264E7" w:rsidRPr="00B67F80">
        <w:rPr>
          <w:rFonts w:eastAsiaTheme="minorHAnsi"/>
          <w:color w:val="000000" w:themeColor="text1"/>
        </w:rPr>
        <w:t>.</w:t>
      </w:r>
      <w:r w:rsidR="00043821" w:rsidRPr="00B67F80">
        <w:rPr>
          <w:rFonts w:eastAsiaTheme="minorHAnsi"/>
          <w:color w:val="000000" w:themeColor="text1"/>
        </w:rPr>
        <w:t xml:space="preserve"> </w:t>
      </w:r>
      <w:r w:rsidR="005264E7" w:rsidRPr="00B67F80">
        <w:rPr>
          <w:rFonts w:eastAsiaTheme="minorHAnsi"/>
          <w:color w:val="000000" w:themeColor="text1"/>
        </w:rPr>
        <w:t xml:space="preserve">The CERES SSF1deg product </w:t>
      </w:r>
      <w:r w:rsidR="00043821" w:rsidRPr="00B67F80">
        <w:rPr>
          <w:rFonts w:eastAsiaTheme="minorHAnsi"/>
          <w:color w:val="000000" w:themeColor="text1"/>
        </w:rPr>
        <w:t xml:space="preserve">is derived directly from the CERES Single Scanner Footprint TOA/Surface Fluxes and Clouds (SSF) Level 2 product, which consists of instantaneous footprint-level fluxes. </w:t>
      </w:r>
    </w:p>
    <w:p w14:paraId="4996FAC2" w14:textId="4FC4C4F2" w:rsidR="00AD5AF3" w:rsidRPr="00B67F80" w:rsidRDefault="00233E9A" w:rsidP="00FC5C3B">
      <w:pPr>
        <w:spacing w:line="480" w:lineRule="auto"/>
        <w:ind w:firstLine="720"/>
        <w:jc w:val="both"/>
        <w:rPr>
          <w:color w:val="000000" w:themeColor="text1"/>
        </w:rPr>
      </w:pPr>
      <w:r w:rsidRPr="00B67F80">
        <w:rPr>
          <w:color w:val="000000" w:themeColor="text1"/>
        </w:rPr>
        <w:t>Two sources of surface radiation are considered. The first is from the CERES EBAF Ed4.1 product (Kato et al., 2018)</w:t>
      </w:r>
      <w:r w:rsidR="00361D89" w:rsidRPr="00B67F80">
        <w:rPr>
          <w:color w:val="000000" w:themeColor="text1"/>
        </w:rPr>
        <w:t xml:space="preserve"> and the second is Aqua-only SYN1deg-Month.</w:t>
      </w:r>
      <w:r w:rsidR="00DF739A" w:rsidRPr="00B67F80">
        <w:rPr>
          <w:color w:val="000000" w:themeColor="text1"/>
        </w:rPr>
        <w:t xml:space="preserve"> EBAF Ed4.1 surface fluxes are </w:t>
      </w:r>
      <w:r w:rsidR="00211187" w:rsidRPr="00B67F80">
        <w:rPr>
          <w:color w:val="000000" w:themeColor="text1"/>
        </w:rPr>
        <w:t xml:space="preserve">derived </w:t>
      </w:r>
      <w:r w:rsidR="00BE2F37" w:rsidRPr="00B67F80">
        <w:rPr>
          <w:color w:val="000000" w:themeColor="text1"/>
        </w:rPr>
        <w:t xml:space="preserve">by making adjustments to </w:t>
      </w:r>
      <w:r w:rsidR="00606E90" w:rsidRPr="00B67F80">
        <w:rPr>
          <w:color w:val="000000" w:themeColor="text1"/>
        </w:rPr>
        <w:t xml:space="preserve">the </w:t>
      </w:r>
      <w:r w:rsidR="008114D7" w:rsidRPr="00B67F80">
        <w:rPr>
          <w:color w:val="000000" w:themeColor="text1"/>
        </w:rPr>
        <w:t xml:space="preserve">inputs used to </w:t>
      </w:r>
      <w:r w:rsidR="00606E90" w:rsidRPr="00B67F80">
        <w:rPr>
          <w:color w:val="000000" w:themeColor="text1"/>
        </w:rPr>
        <w:t>compute</w:t>
      </w:r>
      <w:r w:rsidR="008114D7" w:rsidRPr="00B67F80">
        <w:rPr>
          <w:color w:val="000000" w:themeColor="text1"/>
        </w:rPr>
        <w:t xml:space="preserve"> </w:t>
      </w:r>
      <w:r w:rsidR="00211187" w:rsidRPr="00B67F80">
        <w:rPr>
          <w:color w:val="000000" w:themeColor="text1"/>
        </w:rPr>
        <w:t xml:space="preserve">all-sky and clear-sky </w:t>
      </w:r>
      <w:r w:rsidR="00606E90" w:rsidRPr="00B67F80">
        <w:rPr>
          <w:color w:val="000000" w:themeColor="text1"/>
        </w:rPr>
        <w:t xml:space="preserve">surface </w:t>
      </w:r>
      <w:r w:rsidR="00BE2F37" w:rsidRPr="00B67F80">
        <w:rPr>
          <w:color w:val="000000" w:themeColor="text1"/>
        </w:rPr>
        <w:t xml:space="preserve">fluxes in </w:t>
      </w:r>
      <w:r w:rsidR="00211187" w:rsidRPr="00B67F80">
        <w:rPr>
          <w:color w:val="000000" w:themeColor="text1"/>
        </w:rPr>
        <w:t>SYN1deg Ed4.1 (Rutan et al., 2015)</w:t>
      </w:r>
      <w:r w:rsidR="00FC5C3B" w:rsidRPr="00B67F80">
        <w:rPr>
          <w:color w:val="000000" w:themeColor="text1"/>
        </w:rPr>
        <w:t>. The adjustments ensure</w:t>
      </w:r>
      <w:r w:rsidR="005945DB" w:rsidRPr="00B67F80">
        <w:rPr>
          <w:color w:val="000000" w:themeColor="text1"/>
        </w:rPr>
        <w:t xml:space="preserve"> that computed and </w:t>
      </w:r>
      <w:r w:rsidR="009B5C1F" w:rsidRPr="00B67F80">
        <w:rPr>
          <w:color w:val="000000" w:themeColor="text1"/>
        </w:rPr>
        <w:t>EBAF-</w:t>
      </w:r>
      <w:r w:rsidR="005945DB" w:rsidRPr="00B67F80">
        <w:rPr>
          <w:color w:val="000000" w:themeColor="text1"/>
        </w:rPr>
        <w:t>observed TOA radiative fluxes agree</w:t>
      </w:r>
      <w:r w:rsidR="008114D7" w:rsidRPr="00B67F80">
        <w:rPr>
          <w:color w:val="000000" w:themeColor="text1"/>
        </w:rPr>
        <w:t xml:space="preserve"> to within </w:t>
      </w:r>
      <w:r w:rsidR="00AF3ECE" w:rsidRPr="00B67F80">
        <w:rPr>
          <w:color w:val="000000" w:themeColor="text1"/>
        </w:rPr>
        <w:t xml:space="preserve">observational </w:t>
      </w:r>
      <w:r w:rsidR="008114D7" w:rsidRPr="00B67F80">
        <w:rPr>
          <w:color w:val="000000" w:themeColor="text1"/>
        </w:rPr>
        <w:t>uncertainty</w:t>
      </w:r>
      <w:r w:rsidR="00606E90" w:rsidRPr="00B67F80">
        <w:rPr>
          <w:color w:val="000000" w:themeColor="text1"/>
        </w:rPr>
        <w:t xml:space="preserve">. </w:t>
      </w:r>
      <w:r w:rsidR="00FC5C3B" w:rsidRPr="00B67F80">
        <w:rPr>
          <w:color w:val="000000" w:themeColor="text1"/>
        </w:rPr>
        <w:t>The modified inputs are then used to derive surface radiative fluxes that are</w:t>
      </w:r>
      <w:r w:rsidR="00606E90" w:rsidRPr="00B67F80">
        <w:rPr>
          <w:color w:val="000000" w:themeColor="text1"/>
        </w:rPr>
        <w:t xml:space="preserve"> self-</w:t>
      </w:r>
      <w:r w:rsidR="00FC5C3B" w:rsidRPr="00B67F80">
        <w:rPr>
          <w:color w:val="000000" w:themeColor="text1"/>
        </w:rPr>
        <w:t xml:space="preserve">consistent with the observed EBAF TOA fluxes. The </w:t>
      </w:r>
      <w:r w:rsidR="00BE2F37" w:rsidRPr="00B67F80">
        <w:rPr>
          <w:color w:val="000000" w:themeColor="text1"/>
        </w:rPr>
        <w:t xml:space="preserve">SYN1deg surface radiative fluxes are determined from radiative transfer model calculations initialized using cloud inputs from </w:t>
      </w:r>
      <w:r w:rsidR="00442563" w:rsidRPr="00B67F80">
        <w:rPr>
          <w:color w:val="000000" w:themeColor="text1"/>
        </w:rPr>
        <w:t xml:space="preserve">the Moderate Resolution Imaging Spectroradiometer (MODIS) </w:t>
      </w:r>
      <w:r w:rsidR="0074420A" w:rsidRPr="00B67F80">
        <w:rPr>
          <w:color w:val="000000" w:themeColor="text1"/>
        </w:rPr>
        <w:t xml:space="preserve">instruments </w:t>
      </w:r>
      <w:r w:rsidR="00BE2F37" w:rsidRPr="00B67F80">
        <w:rPr>
          <w:color w:val="000000" w:themeColor="text1"/>
        </w:rPr>
        <w:t xml:space="preserve">aboard </w:t>
      </w:r>
      <w:r w:rsidR="00442563" w:rsidRPr="00B67F80">
        <w:rPr>
          <w:color w:val="000000" w:themeColor="text1"/>
        </w:rPr>
        <w:t xml:space="preserve">the </w:t>
      </w:r>
      <w:r w:rsidR="00BE2F37" w:rsidRPr="00B67F80">
        <w:rPr>
          <w:color w:val="000000" w:themeColor="text1"/>
        </w:rPr>
        <w:t xml:space="preserve">Terra and Aqua </w:t>
      </w:r>
      <w:r w:rsidR="00442563" w:rsidRPr="00B67F80">
        <w:rPr>
          <w:color w:val="000000" w:themeColor="text1"/>
        </w:rPr>
        <w:t xml:space="preserve">satellite platforms </w:t>
      </w:r>
      <w:r w:rsidR="00BE2F37" w:rsidRPr="00B67F80">
        <w:rPr>
          <w:color w:val="000000" w:themeColor="text1"/>
        </w:rPr>
        <w:t xml:space="preserve">and </w:t>
      </w:r>
      <w:r w:rsidR="00442563" w:rsidRPr="00B67F80">
        <w:rPr>
          <w:color w:val="000000" w:themeColor="text1"/>
        </w:rPr>
        <w:t xml:space="preserve">hourly </w:t>
      </w:r>
      <w:r w:rsidR="00BE2F37" w:rsidRPr="00B67F80">
        <w:rPr>
          <w:color w:val="000000" w:themeColor="text1"/>
        </w:rPr>
        <w:t>geostationary (GEO) imager</w:t>
      </w:r>
      <w:r w:rsidR="00211187" w:rsidRPr="00B67F80">
        <w:rPr>
          <w:color w:val="000000" w:themeColor="text1"/>
        </w:rPr>
        <w:t xml:space="preserve"> </w:t>
      </w:r>
      <w:r w:rsidR="00BE2F37" w:rsidRPr="00B67F80">
        <w:rPr>
          <w:color w:val="000000" w:themeColor="text1"/>
        </w:rPr>
        <w:t>data between 60</w:t>
      </w:r>
      <w:r w:rsidR="00442563" w:rsidRPr="00B67F80">
        <w:rPr>
          <w:color w:val="000000" w:themeColor="text1"/>
        </w:rPr>
        <w:sym w:font="Symbol" w:char="F0B0"/>
      </w:r>
      <w:r w:rsidR="00BE2F37" w:rsidRPr="00B67F80">
        <w:rPr>
          <w:color w:val="000000" w:themeColor="text1"/>
        </w:rPr>
        <w:t>S-60</w:t>
      </w:r>
      <w:r w:rsidR="00442563" w:rsidRPr="00B67F80">
        <w:rPr>
          <w:color w:val="000000" w:themeColor="text1"/>
        </w:rPr>
        <w:sym w:font="Symbol" w:char="F0B0"/>
      </w:r>
      <w:r w:rsidR="00BE2F37" w:rsidRPr="00B67F80">
        <w:rPr>
          <w:color w:val="000000" w:themeColor="text1"/>
        </w:rPr>
        <w:t>N,</w:t>
      </w:r>
      <w:r w:rsidR="00442563" w:rsidRPr="00B67F80">
        <w:rPr>
          <w:color w:val="000000" w:themeColor="text1"/>
        </w:rPr>
        <w:t xml:space="preserve"> </w:t>
      </w:r>
      <w:r w:rsidR="0074420A" w:rsidRPr="00B67F80">
        <w:rPr>
          <w:color w:val="000000" w:themeColor="text1"/>
        </w:rPr>
        <w:t xml:space="preserve">atmospheric state inputs from the Goddard </w:t>
      </w:r>
      <w:r w:rsidR="0074420A" w:rsidRPr="00B67F80">
        <w:rPr>
          <w:color w:val="000000" w:themeColor="text1"/>
        </w:rPr>
        <w:lastRenderedPageBreak/>
        <w:t>Earth Observing System (GEOS), version 5.4.1, reanalysis (Rienecker et al. 2008), surface albedo inputs from Rutan et al. (</w:t>
      </w:r>
      <w:r w:rsidR="00E22C77" w:rsidRPr="00B67F80">
        <w:rPr>
          <w:color w:val="000000" w:themeColor="text1"/>
        </w:rPr>
        <w:t>2009</w:t>
      </w:r>
      <w:r w:rsidR="0074420A" w:rsidRPr="00B67F80">
        <w:rPr>
          <w:color w:val="000000" w:themeColor="text1"/>
        </w:rPr>
        <w:t>)</w:t>
      </w:r>
      <w:r w:rsidR="009D0C2B" w:rsidRPr="00B67F80">
        <w:rPr>
          <w:color w:val="000000" w:themeColor="text1"/>
        </w:rPr>
        <w:t>,</w:t>
      </w:r>
      <w:r w:rsidR="0074420A" w:rsidRPr="00B67F80">
        <w:rPr>
          <w:color w:val="000000" w:themeColor="text1"/>
        </w:rPr>
        <w:t xml:space="preserve"> and aerosol </w:t>
      </w:r>
      <w:r w:rsidR="00E22C77" w:rsidRPr="00B67F80">
        <w:rPr>
          <w:color w:val="000000" w:themeColor="text1"/>
        </w:rPr>
        <w:t xml:space="preserve">inputs based upon </w:t>
      </w:r>
      <w:r w:rsidR="009D0C2B" w:rsidRPr="00B67F80">
        <w:rPr>
          <w:color w:val="000000" w:themeColor="text1"/>
        </w:rPr>
        <w:t xml:space="preserve">an updated version of </w:t>
      </w:r>
      <w:r w:rsidR="00E22C77" w:rsidRPr="00B67F80">
        <w:rPr>
          <w:color w:val="000000" w:themeColor="text1"/>
        </w:rPr>
        <w:t>the assimilation system described in Collins et al. (2001).</w:t>
      </w:r>
      <w:r w:rsidR="000073EA" w:rsidRPr="00B67F80">
        <w:rPr>
          <w:color w:val="000000" w:themeColor="text1"/>
        </w:rPr>
        <w:t xml:space="preserve"> </w:t>
      </w:r>
    </w:p>
    <w:p w14:paraId="07638D32" w14:textId="3D52C412" w:rsidR="00702C49" w:rsidRPr="00B67F80" w:rsidRDefault="00890BAD" w:rsidP="004E55FA">
      <w:pPr>
        <w:spacing w:line="480" w:lineRule="auto"/>
        <w:ind w:firstLine="720"/>
        <w:jc w:val="both"/>
        <w:rPr>
          <w:b/>
          <w:bCs/>
          <w:color w:val="000000" w:themeColor="text1"/>
        </w:rPr>
      </w:pPr>
      <w:r w:rsidRPr="00B67F80">
        <w:rPr>
          <w:color w:val="000000" w:themeColor="text1"/>
        </w:rPr>
        <w:t>Because t</w:t>
      </w:r>
      <w:r w:rsidR="00B429A0" w:rsidRPr="00B67F80">
        <w:rPr>
          <w:color w:val="000000" w:themeColor="text1"/>
        </w:rPr>
        <w:t xml:space="preserve">rends in surface radiative fluxes derived using cloud information from GEO imagers </w:t>
      </w:r>
      <w:r w:rsidR="00EB4D47" w:rsidRPr="00B67F80">
        <w:rPr>
          <w:color w:val="000000" w:themeColor="text1"/>
        </w:rPr>
        <w:t>a</w:t>
      </w:r>
      <w:r w:rsidRPr="00B67F80">
        <w:rPr>
          <w:color w:val="000000" w:themeColor="text1"/>
        </w:rPr>
        <w:t>re</w:t>
      </w:r>
      <w:r w:rsidR="00EB4D47" w:rsidRPr="00B67F80">
        <w:rPr>
          <w:color w:val="000000" w:themeColor="text1"/>
        </w:rPr>
        <w:t xml:space="preserve"> </w:t>
      </w:r>
      <w:r w:rsidRPr="00B67F80">
        <w:rPr>
          <w:color w:val="000000" w:themeColor="text1"/>
        </w:rPr>
        <w:t>impacted by</w:t>
      </w:r>
      <w:r w:rsidR="00EB4D47" w:rsidRPr="00B67F80">
        <w:rPr>
          <w:color w:val="000000" w:themeColor="text1"/>
        </w:rPr>
        <w:t xml:space="preserve"> changes in the design and quality of the GEO </w:t>
      </w:r>
      <w:r w:rsidR="005268D9" w:rsidRPr="00B67F80">
        <w:rPr>
          <w:color w:val="000000" w:themeColor="text1"/>
        </w:rPr>
        <w:t xml:space="preserve">instruments </w:t>
      </w:r>
      <w:r w:rsidR="00CD6296" w:rsidRPr="00B67F80">
        <w:rPr>
          <w:color w:val="000000" w:themeColor="text1"/>
        </w:rPr>
        <w:t xml:space="preserve">over the CERES period </w:t>
      </w:r>
      <w:r w:rsidR="00EB4D47" w:rsidRPr="00B67F80">
        <w:rPr>
          <w:color w:val="000000" w:themeColor="text1"/>
        </w:rPr>
        <w:t>(Doelling et al., 2013; Kato et al., 2018)</w:t>
      </w:r>
      <w:r w:rsidRPr="00B67F80">
        <w:rPr>
          <w:color w:val="000000" w:themeColor="text1"/>
        </w:rPr>
        <w:t>,</w:t>
      </w:r>
      <w:r w:rsidR="00BE3B91" w:rsidRPr="00B67F80">
        <w:rPr>
          <w:color w:val="000000" w:themeColor="text1"/>
        </w:rPr>
        <w:t xml:space="preserve"> we also determine surface fluxes using a modified version of SYN1deg, which we refer to </w:t>
      </w:r>
      <w:r w:rsidR="00CD6296" w:rsidRPr="00B67F80">
        <w:rPr>
          <w:color w:val="000000" w:themeColor="text1"/>
        </w:rPr>
        <w:t xml:space="preserve">as </w:t>
      </w:r>
      <w:r w:rsidR="00BE3B91" w:rsidRPr="00B67F80">
        <w:rPr>
          <w:color w:val="000000" w:themeColor="text1"/>
        </w:rPr>
        <w:t xml:space="preserve">Aqua-only SYN1deg-Month. </w:t>
      </w:r>
      <w:r w:rsidR="00CD6296" w:rsidRPr="00B67F80">
        <w:rPr>
          <w:color w:val="000000" w:themeColor="text1"/>
        </w:rPr>
        <w:t>This version uses</w:t>
      </w:r>
      <w:r w:rsidR="00550855" w:rsidRPr="00B67F80">
        <w:rPr>
          <w:color w:val="000000" w:themeColor="text1"/>
        </w:rPr>
        <w:t xml:space="preserve"> </w:t>
      </w:r>
      <w:r w:rsidR="00CD6296" w:rsidRPr="00B67F80">
        <w:rPr>
          <w:color w:val="000000" w:themeColor="text1"/>
        </w:rPr>
        <w:t>the same atmospheric state and surface property inputs</w:t>
      </w:r>
      <w:r w:rsidR="00550855" w:rsidRPr="00B67F80">
        <w:rPr>
          <w:color w:val="000000" w:themeColor="text1"/>
        </w:rPr>
        <w:t xml:space="preserve"> </w:t>
      </w:r>
      <w:r w:rsidR="00CD6296" w:rsidRPr="00B67F80">
        <w:rPr>
          <w:color w:val="000000" w:themeColor="text1"/>
        </w:rPr>
        <w:t>as</w:t>
      </w:r>
      <w:r w:rsidR="00550855" w:rsidRPr="00B67F80">
        <w:rPr>
          <w:color w:val="000000" w:themeColor="text1"/>
        </w:rPr>
        <w:t xml:space="preserve"> Terra+Aqua+GEO SYN1deg-Month</w:t>
      </w:r>
      <w:r w:rsidR="00CD6296" w:rsidRPr="00B67F80">
        <w:rPr>
          <w:color w:val="000000" w:themeColor="text1"/>
        </w:rPr>
        <w:t xml:space="preserve">, but replaces the GEO cloud properties with </w:t>
      </w:r>
      <w:r w:rsidR="00AD0747" w:rsidRPr="00B67F80">
        <w:rPr>
          <w:color w:val="000000" w:themeColor="text1"/>
        </w:rPr>
        <w:t>those</w:t>
      </w:r>
      <w:r w:rsidR="00550855" w:rsidRPr="00B67F80">
        <w:rPr>
          <w:color w:val="000000" w:themeColor="text1"/>
        </w:rPr>
        <w:t xml:space="preserve"> derived from MODIS</w:t>
      </w:r>
      <w:r w:rsidR="00CD6296" w:rsidRPr="00B67F80">
        <w:rPr>
          <w:color w:val="000000" w:themeColor="text1"/>
        </w:rPr>
        <w:t>-</w:t>
      </w:r>
      <w:r w:rsidR="00550855" w:rsidRPr="00B67F80">
        <w:rPr>
          <w:color w:val="000000" w:themeColor="text1"/>
        </w:rPr>
        <w:t>Aqua</w:t>
      </w:r>
      <w:r w:rsidR="005268D9" w:rsidRPr="00B67F80">
        <w:rPr>
          <w:color w:val="000000" w:themeColor="text1"/>
        </w:rPr>
        <w:t xml:space="preserve"> only (Minnis et al., </w:t>
      </w:r>
      <w:r w:rsidR="00EB5B5E" w:rsidRPr="00B67F80">
        <w:rPr>
          <w:color w:val="000000" w:themeColor="text1"/>
        </w:rPr>
        <w:t>2020</w:t>
      </w:r>
      <w:r w:rsidR="005268D9" w:rsidRPr="00B67F80">
        <w:rPr>
          <w:color w:val="000000" w:themeColor="text1"/>
        </w:rPr>
        <w:t>)</w:t>
      </w:r>
      <w:r w:rsidR="00CD6296" w:rsidRPr="00B67F80">
        <w:rPr>
          <w:color w:val="000000" w:themeColor="text1"/>
        </w:rPr>
        <w:t>.</w:t>
      </w:r>
      <w:r w:rsidR="00EA40EA" w:rsidRPr="00B67F80">
        <w:rPr>
          <w:color w:val="000000" w:themeColor="text1"/>
        </w:rPr>
        <w:t xml:space="preserve"> Instantaneous MODIS cloud retr</w:t>
      </w:r>
      <w:r w:rsidR="00385F83" w:rsidRPr="00B67F80">
        <w:rPr>
          <w:color w:val="000000" w:themeColor="text1"/>
        </w:rPr>
        <w:t>i</w:t>
      </w:r>
      <w:r w:rsidR="00EA40EA" w:rsidRPr="00B67F80">
        <w:rPr>
          <w:color w:val="000000" w:themeColor="text1"/>
        </w:rPr>
        <w:t>evals are averaged into 1</w:t>
      </w:r>
      <w:r w:rsidR="00EA40EA" w:rsidRPr="00B67F80">
        <w:rPr>
          <w:color w:val="000000" w:themeColor="text1"/>
        </w:rPr>
        <w:sym w:font="Symbol" w:char="F0B0"/>
      </w:r>
      <w:r w:rsidR="00EA40EA" w:rsidRPr="00B67F80">
        <w:rPr>
          <w:color w:val="000000" w:themeColor="text1"/>
        </w:rPr>
        <w:sym w:font="Symbol" w:char="F0B4"/>
      </w:r>
      <w:r w:rsidR="00EA40EA" w:rsidRPr="00B67F80">
        <w:rPr>
          <w:color w:val="000000" w:themeColor="text1"/>
        </w:rPr>
        <w:t>1</w:t>
      </w:r>
      <w:r w:rsidR="00EA40EA" w:rsidRPr="00B67F80">
        <w:rPr>
          <w:color w:val="000000" w:themeColor="text1"/>
        </w:rPr>
        <w:sym w:font="Symbol" w:char="F0B0"/>
      </w:r>
      <w:r w:rsidR="00EA40EA" w:rsidRPr="00B67F80">
        <w:rPr>
          <w:color w:val="000000" w:themeColor="text1"/>
        </w:rPr>
        <w:t xml:space="preserve"> grid boxes.</w:t>
      </w:r>
      <w:r w:rsidR="00550855" w:rsidRPr="00B67F80">
        <w:rPr>
          <w:color w:val="000000" w:themeColor="text1"/>
        </w:rPr>
        <w:t xml:space="preserve"> </w:t>
      </w:r>
      <w:r w:rsidR="005268D9" w:rsidRPr="00B67F80">
        <w:rPr>
          <w:color w:val="000000" w:themeColor="text1"/>
        </w:rPr>
        <w:t>MODIS-</w:t>
      </w:r>
      <w:r w:rsidR="00550855" w:rsidRPr="00B67F80">
        <w:rPr>
          <w:color w:val="000000" w:themeColor="text1"/>
        </w:rPr>
        <w:t>Aqua provides cloud properties twice a day for most of non-polar grid boxes. Hourly daytime cloud properties for a grid box are derived by interpolating daytime cloud properties from MODIS</w:t>
      </w:r>
      <w:r w:rsidR="00BF46ED" w:rsidRPr="00B67F80">
        <w:rPr>
          <w:color w:val="000000" w:themeColor="text1"/>
        </w:rPr>
        <w:t xml:space="preserve"> across days within a month</w:t>
      </w:r>
      <w:r w:rsidR="00550855" w:rsidRPr="00B67F80">
        <w:rPr>
          <w:color w:val="000000" w:themeColor="text1"/>
        </w:rPr>
        <w:t xml:space="preserve"> for the grid box</w:t>
      </w:r>
      <w:r w:rsidR="00AD0747" w:rsidRPr="00B67F80">
        <w:rPr>
          <w:color w:val="000000" w:themeColor="text1"/>
        </w:rPr>
        <w:t xml:space="preserve"> (Doelling et al, 2013)</w:t>
      </w:r>
      <w:r w:rsidR="00550855" w:rsidRPr="00B67F80">
        <w:rPr>
          <w:color w:val="000000" w:themeColor="text1"/>
        </w:rPr>
        <w:t xml:space="preserve">. </w:t>
      </w:r>
      <w:r w:rsidR="00BF46ED" w:rsidRPr="00B67F80">
        <w:rPr>
          <w:color w:val="000000" w:themeColor="text1"/>
        </w:rPr>
        <w:t>H</w:t>
      </w:r>
      <w:r w:rsidR="00550855" w:rsidRPr="00B67F80">
        <w:rPr>
          <w:color w:val="000000" w:themeColor="text1"/>
        </w:rPr>
        <w:t xml:space="preserve">ourly nighttime properties for a grid box are derived </w:t>
      </w:r>
      <w:r w:rsidR="00BF46ED" w:rsidRPr="00B67F80">
        <w:rPr>
          <w:color w:val="000000" w:themeColor="text1"/>
        </w:rPr>
        <w:t>in a similar manner using</w:t>
      </w:r>
      <w:r w:rsidR="00550855" w:rsidRPr="00B67F80">
        <w:rPr>
          <w:color w:val="000000" w:themeColor="text1"/>
        </w:rPr>
        <w:t xml:space="preserve"> nighttime MODIS cloud properties. In addition, daytime or nighttime monthly mean cloud properties are used for all hours before the first MODIS observations in the month and after the last MODIS observations in the month. That is, there is no interpolation of cloud properties across different months. </w:t>
      </w:r>
      <w:r w:rsidR="00AD0747" w:rsidRPr="00B67F80">
        <w:rPr>
          <w:color w:val="000000" w:themeColor="text1"/>
        </w:rPr>
        <w:t>In addition, t</w:t>
      </w:r>
      <w:r w:rsidR="00550855" w:rsidRPr="00B67F80">
        <w:rPr>
          <w:color w:val="000000" w:themeColor="text1"/>
        </w:rPr>
        <w:t xml:space="preserve">he MATCH aerosol transport model </w:t>
      </w:r>
      <w:r w:rsidR="00AD0747" w:rsidRPr="00B67F80">
        <w:rPr>
          <w:color w:val="000000" w:themeColor="text1"/>
        </w:rPr>
        <w:t xml:space="preserve">used in Aqua-only SYN1deg-Month </w:t>
      </w:r>
      <w:r w:rsidR="00550855" w:rsidRPr="00B67F80">
        <w:rPr>
          <w:color w:val="000000" w:themeColor="text1"/>
        </w:rPr>
        <w:t xml:space="preserve">only assimilates aerosol optical thickness derived from </w:t>
      </w:r>
      <w:r w:rsidR="00AD0747" w:rsidRPr="00B67F80">
        <w:rPr>
          <w:color w:val="000000" w:themeColor="text1"/>
        </w:rPr>
        <w:t xml:space="preserve">MODIS </w:t>
      </w:r>
      <w:r w:rsidR="00550855" w:rsidRPr="00B67F80">
        <w:rPr>
          <w:color w:val="000000" w:themeColor="text1"/>
        </w:rPr>
        <w:t xml:space="preserve">Aqua. </w:t>
      </w:r>
      <w:r w:rsidR="00F83511" w:rsidRPr="00B67F80">
        <w:rPr>
          <w:color w:val="000000" w:themeColor="text1"/>
        </w:rPr>
        <w:t xml:space="preserve">Aqua-only </w:t>
      </w:r>
      <w:r w:rsidR="00550855" w:rsidRPr="00B67F80">
        <w:rPr>
          <w:color w:val="000000" w:themeColor="text1"/>
        </w:rPr>
        <w:t xml:space="preserve">surface net shortwave and longwave flux trend plots </w:t>
      </w:r>
      <w:r w:rsidR="00F83511" w:rsidRPr="00B67F80">
        <w:rPr>
          <w:color w:val="000000" w:themeColor="text1"/>
        </w:rPr>
        <w:t>are</w:t>
      </w:r>
      <w:r w:rsidR="00550855" w:rsidRPr="00B67F80">
        <w:rPr>
          <w:color w:val="000000" w:themeColor="text1"/>
        </w:rPr>
        <w:t xml:space="preserve"> </w:t>
      </w:r>
      <w:r w:rsidR="00F83511" w:rsidRPr="00B67F80">
        <w:rPr>
          <w:color w:val="000000" w:themeColor="text1"/>
        </w:rPr>
        <w:t>determined</w:t>
      </w:r>
      <w:r w:rsidR="00550855" w:rsidRPr="00B67F80">
        <w:rPr>
          <w:color w:val="000000" w:themeColor="text1"/>
        </w:rPr>
        <w:t xml:space="preserve"> using anomalies </w:t>
      </w:r>
      <w:r w:rsidR="00F83511" w:rsidRPr="00B67F80">
        <w:rPr>
          <w:color w:val="000000" w:themeColor="text1"/>
        </w:rPr>
        <w:t>for</w:t>
      </w:r>
      <w:r w:rsidR="00550855" w:rsidRPr="00B67F80">
        <w:rPr>
          <w:color w:val="000000" w:themeColor="text1"/>
        </w:rPr>
        <w:t xml:space="preserve"> August 2002-February 2020 </w:t>
      </w:r>
      <w:r w:rsidR="00F83511" w:rsidRPr="00B67F80">
        <w:rPr>
          <w:color w:val="000000" w:themeColor="text1"/>
        </w:rPr>
        <w:t xml:space="preserve">since that is the period </w:t>
      </w:r>
      <w:r w:rsidR="00ED6997" w:rsidRPr="00B67F80">
        <w:rPr>
          <w:color w:val="000000" w:themeColor="text1"/>
        </w:rPr>
        <w:t xml:space="preserve">for which </w:t>
      </w:r>
      <w:r w:rsidR="00550855" w:rsidRPr="00B67F80">
        <w:rPr>
          <w:color w:val="000000" w:themeColor="text1"/>
        </w:rPr>
        <w:t>Aqua</w:t>
      </w:r>
      <w:r w:rsidR="00F83511" w:rsidRPr="00B67F80">
        <w:rPr>
          <w:color w:val="000000" w:themeColor="text1"/>
        </w:rPr>
        <w:t>-</w:t>
      </w:r>
      <w:r w:rsidR="00550855" w:rsidRPr="00B67F80">
        <w:rPr>
          <w:color w:val="000000" w:themeColor="text1"/>
        </w:rPr>
        <w:t xml:space="preserve">only SYN </w:t>
      </w:r>
      <w:r w:rsidR="00F83511" w:rsidRPr="00B67F80">
        <w:rPr>
          <w:color w:val="000000" w:themeColor="text1"/>
        </w:rPr>
        <w:t xml:space="preserve">is available. </w:t>
      </w:r>
    </w:p>
    <w:p w14:paraId="112C6C24" w14:textId="42897A67" w:rsidR="00702C49" w:rsidRPr="00B67F80" w:rsidRDefault="00702C49" w:rsidP="004941BC">
      <w:pPr>
        <w:keepNext/>
        <w:numPr>
          <w:ilvl w:val="1"/>
          <w:numId w:val="14"/>
        </w:numPr>
        <w:spacing w:line="480" w:lineRule="auto"/>
        <w:jc w:val="both"/>
        <w:rPr>
          <w:b/>
          <w:bCs/>
          <w:color w:val="000000" w:themeColor="text1"/>
        </w:rPr>
      </w:pPr>
      <w:r w:rsidRPr="00B67F80">
        <w:rPr>
          <w:b/>
          <w:bCs/>
          <w:color w:val="000000" w:themeColor="text1"/>
        </w:rPr>
        <w:lastRenderedPageBreak/>
        <w:t>ERA5</w:t>
      </w:r>
      <w:r w:rsidR="00B777E3" w:rsidRPr="00B67F80">
        <w:rPr>
          <w:b/>
          <w:bCs/>
          <w:color w:val="000000" w:themeColor="text1"/>
        </w:rPr>
        <w:t xml:space="preserve"> and </w:t>
      </w:r>
      <w:r w:rsidR="00B777E3" w:rsidRPr="00B67F80">
        <w:rPr>
          <w:rFonts w:eastAsiaTheme="minorHAnsi"/>
          <w:b/>
          <w:bCs/>
          <w:color w:val="000000" w:themeColor="text1"/>
        </w:rPr>
        <w:t>Integrated Forecasting System (IFS) AMIP</w:t>
      </w:r>
    </w:p>
    <w:p w14:paraId="3B3399D9" w14:textId="77777777" w:rsidR="001A5900" w:rsidRPr="00B67F80" w:rsidRDefault="00385F83" w:rsidP="001C5639">
      <w:pPr>
        <w:spacing w:line="480" w:lineRule="auto"/>
        <w:ind w:firstLine="720"/>
        <w:jc w:val="both"/>
        <w:rPr>
          <w:color w:val="000000" w:themeColor="text1"/>
        </w:rPr>
      </w:pPr>
      <w:r w:rsidRPr="00B67F80">
        <w:rPr>
          <w:color w:val="000000" w:themeColor="text1"/>
        </w:rPr>
        <w:t>ERA5 is the most recent atmospheric reanalysis effort by ECMWF (</w:t>
      </w:r>
      <w:r w:rsidRPr="00B67F80">
        <w:rPr>
          <w:rFonts w:eastAsiaTheme="minorHAnsi"/>
          <w:color w:val="000000" w:themeColor="text1"/>
        </w:rPr>
        <w:t>Hersbach et al.</w:t>
      </w:r>
      <w:r w:rsidRPr="00B67F80">
        <w:rPr>
          <w:color w:val="000000" w:themeColor="text1"/>
        </w:rPr>
        <w:t>,</w:t>
      </w:r>
      <w:r w:rsidRPr="00B67F80">
        <w:rPr>
          <w:rFonts w:eastAsiaTheme="minorHAnsi"/>
          <w:color w:val="000000" w:themeColor="text1"/>
        </w:rPr>
        <w:t xml:space="preserve"> 2020</w:t>
      </w:r>
      <w:r w:rsidRPr="00B67F80">
        <w:rPr>
          <w:color w:val="000000" w:themeColor="text1"/>
        </w:rPr>
        <w:t>). It provides global data on an N320 Gaussian grid (equivalent to 0.288° spatial resolution) at 1-hourly temporal resolution in 137 atmospheric levels up to a pressure of 0.01 hPa. ERA5 is currently available from 1979 onward and consists of analyses and shortrange forecasts. The analyses are a physically consistent blend of observations and a short-range forecast based upon the previous analysis. Shortrange forecasts are initialized from the analyzed fields daily at 0600 and 1800 UTC. ERA5 uses forcing files from CMIP5 through 2005 and Representative Concentration Pathways 2.6 (RCP2.6) for 2006-2020 (</w:t>
      </w:r>
      <w:r w:rsidRPr="00B67F80">
        <w:rPr>
          <w:rFonts w:eastAsiaTheme="minorHAnsi"/>
          <w:color w:val="000000" w:themeColor="text1"/>
        </w:rPr>
        <w:t>Hersbach et al.</w:t>
      </w:r>
      <w:r w:rsidRPr="00B67F80">
        <w:rPr>
          <w:color w:val="000000" w:themeColor="text1"/>
        </w:rPr>
        <w:t>,</w:t>
      </w:r>
      <w:r w:rsidRPr="00B67F80">
        <w:rPr>
          <w:rFonts w:eastAsiaTheme="minorHAnsi"/>
          <w:color w:val="000000" w:themeColor="text1"/>
        </w:rPr>
        <w:t xml:space="preserve"> </w:t>
      </w:r>
      <w:r w:rsidRPr="00B67F80">
        <w:rPr>
          <w:color w:val="000000" w:themeColor="text1"/>
        </w:rPr>
        <w:t xml:space="preserve">2015, </w:t>
      </w:r>
      <w:r w:rsidRPr="00B67F80">
        <w:rPr>
          <w:rFonts w:eastAsiaTheme="minorHAnsi"/>
          <w:color w:val="000000" w:themeColor="text1"/>
        </w:rPr>
        <w:t>2020).</w:t>
      </w:r>
      <w:r w:rsidR="001C5639" w:rsidRPr="00B67F80">
        <w:rPr>
          <w:color w:val="000000" w:themeColor="text1"/>
        </w:rPr>
        <w:t xml:space="preserve"> </w:t>
      </w:r>
    </w:p>
    <w:p w14:paraId="63360368" w14:textId="2D29E499" w:rsidR="00B777E3" w:rsidRPr="00B67F80" w:rsidRDefault="001C5639" w:rsidP="001C5639">
      <w:pPr>
        <w:spacing w:line="480" w:lineRule="auto"/>
        <w:ind w:firstLine="720"/>
        <w:jc w:val="both"/>
        <w:rPr>
          <w:color w:val="000000" w:themeColor="text1"/>
        </w:rPr>
      </w:pPr>
      <w:r w:rsidRPr="00B67F80">
        <w:rPr>
          <w:rFonts w:eastAsiaTheme="minorHAnsi"/>
          <w:color w:val="000000" w:themeColor="text1"/>
        </w:rPr>
        <w:t xml:space="preserve">Here we use profiles of </w:t>
      </w:r>
      <w:r w:rsidR="00385F83" w:rsidRPr="00B67F80">
        <w:rPr>
          <w:rFonts w:eastAsiaTheme="minorHAnsi"/>
          <w:color w:val="000000" w:themeColor="text1"/>
        </w:rPr>
        <w:t xml:space="preserve">hourly </w:t>
      </w:r>
      <w:r w:rsidR="0064152F" w:rsidRPr="00B67F80">
        <w:rPr>
          <w:rFonts w:eastAsiaTheme="minorHAnsi"/>
          <w:color w:val="000000" w:themeColor="text1"/>
        </w:rPr>
        <w:t>ERA5</w:t>
      </w:r>
      <w:r w:rsidR="00385F83" w:rsidRPr="00B67F80">
        <w:rPr>
          <w:rFonts w:eastAsiaTheme="minorHAnsi"/>
          <w:color w:val="000000" w:themeColor="text1"/>
        </w:rPr>
        <w:t xml:space="preserve"> analyses of</w:t>
      </w:r>
      <w:r w:rsidR="0064152F" w:rsidRPr="00B67F80">
        <w:rPr>
          <w:rFonts w:eastAsiaTheme="minorHAnsi"/>
          <w:color w:val="000000" w:themeColor="text1"/>
        </w:rPr>
        <w:t xml:space="preserve"> atmospheric wind, temperature</w:t>
      </w:r>
      <w:r w:rsidR="00ED6997" w:rsidRPr="00B67F80">
        <w:rPr>
          <w:rFonts w:eastAsiaTheme="minorHAnsi"/>
          <w:color w:val="000000" w:themeColor="text1"/>
        </w:rPr>
        <w:t>,</w:t>
      </w:r>
      <w:r w:rsidR="0064152F" w:rsidRPr="00B67F80">
        <w:rPr>
          <w:rFonts w:eastAsiaTheme="minorHAnsi"/>
          <w:color w:val="000000" w:themeColor="text1"/>
        </w:rPr>
        <w:t xml:space="preserve"> and humidity to calculate </w:t>
      </w:r>
      <w:r w:rsidR="003A280D" w:rsidRPr="00B67F80">
        <w:rPr>
          <w:rFonts w:eastAsiaTheme="minorHAnsi"/>
          <w:color w:val="000000" w:themeColor="text1"/>
        </w:rPr>
        <w:t xml:space="preserve">vertically integrated divergence of total atmospheric energy transport </w:t>
      </w:r>
      <w:r w:rsidR="0064152F" w:rsidRPr="00B67F80">
        <w:rPr>
          <w:rFonts w:eastAsiaTheme="minorHAnsi"/>
          <w:color w:val="000000" w:themeColor="text1"/>
        </w:rPr>
        <w:t>(TEDIV</w:t>
      </w:r>
      <w:r w:rsidRPr="00B67F80">
        <w:rPr>
          <w:rFonts w:eastAsiaTheme="minorHAnsi"/>
          <w:color w:val="000000" w:themeColor="text1"/>
        </w:rPr>
        <w:t>; Section 3.1</w:t>
      </w:r>
      <w:r w:rsidR="0064152F" w:rsidRPr="00B67F80">
        <w:rPr>
          <w:rFonts w:eastAsiaTheme="minorHAnsi"/>
          <w:color w:val="000000" w:themeColor="text1"/>
        </w:rPr>
        <w:t>).</w:t>
      </w:r>
      <w:r w:rsidR="0064152F" w:rsidRPr="00B67F80">
        <w:rPr>
          <w:color w:val="000000" w:themeColor="text1"/>
        </w:rPr>
        <w:t xml:space="preserve"> </w:t>
      </w:r>
      <w:r w:rsidR="00A87CE1" w:rsidRPr="00B67F80">
        <w:rPr>
          <w:rFonts w:eastAsiaTheme="minorHAnsi"/>
          <w:color w:val="000000" w:themeColor="text1"/>
        </w:rPr>
        <w:t xml:space="preserve">We </w:t>
      </w:r>
      <w:r w:rsidR="003A280D" w:rsidRPr="00B67F80">
        <w:rPr>
          <w:rFonts w:eastAsiaTheme="minorHAnsi"/>
          <w:color w:val="000000" w:themeColor="text1"/>
        </w:rPr>
        <w:t xml:space="preserve">also </w:t>
      </w:r>
      <w:r w:rsidR="00A87CE1" w:rsidRPr="00B67F80">
        <w:rPr>
          <w:rFonts w:eastAsiaTheme="minorHAnsi"/>
          <w:color w:val="000000" w:themeColor="text1"/>
        </w:rPr>
        <w:t>consider ERA5</w:t>
      </w:r>
      <w:r w:rsidR="00385F83" w:rsidRPr="00B67F80">
        <w:rPr>
          <w:rFonts w:eastAsiaTheme="minorHAnsi"/>
          <w:color w:val="000000" w:themeColor="text1"/>
        </w:rPr>
        <w:t xml:space="preserve"> short-term forecasts of</w:t>
      </w:r>
      <w:r w:rsidR="00A87CE1" w:rsidRPr="00B67F80">
        <w:rPr>
          <w:rFonts w:eastAsiaTheme="minorHAnsi"/>
          <w:color w:val="000000" w:themeColor="text1"/>
        </w:rPr>
        <w:t xml:space="preserve"> TOA and surface radiative fluxes as well as surface turbulent heat fluxes</w:t>
      </w:r>
      <w:r w:rsidR="003A280D" w:rsidRPr="00B67F80">
        <w:rPr>
          <w:rFonts w:eastAsiaTheme="minorHAnsi"/>
          <w:color w:val="000000" w:themeColor="text1"/>
        </w:rPr>
        <w:t xml:space="preserve"> for a check on model fidelity</w:t>
      </w:r>
      <w:r w:rsidR="0050659A" w:rsidRPr="00B67F80">
        <w:rPr>
          <w:rFonts w:eastAsiaTheme="minorHAnsi"/>
          <w:color w:val="000000" w:themeColor="text1"/>
        </w:rPr>
        <w:t>.</w:t>
      </w:r>
      <w:r w:rsidR="00FF7E38" w:rsidRPr="00B67F80">
        <w:rPr>
          <w:rFonts w:eastAsiaTheme="minorHAnsi"/>
          <w:color w:val="000000" w:themeColor="text1"/>
        </w:rPr>
        <w:t xml:space="preserve"> </w:t>
      </w:r>
    </w:p>
    <w:p w14:paraId="1789A2BA" w14:textId="383C7D50" w:rsidR="00702C49" w:rsidRPr="00B67F80" w:rsidRDefault="00B777E3" w:rsidP="004E55FA">
      <w:pPr>
        <w:spacing w:line="480" w:lineRule="auto"/>
        <w:ind w:firstLine="720"/>
        <w:jc w:val="both"/>
        <w:rPr>
          <w:color w:val="000000" w:themeColor="text1"/>
        </w:rPr>
      </w:pPr>
      <w:r w:rsidRPr="00B67F80">
        <w:rPr>
          <w:rFonts w:eastAsiaTheme="minorHAnsi"/>
          <w:color w:val="000000" w:themeColor="text1"/>
        </w:rPr>
        <w:t>The IFS AMIP</w:t>
      </w:r>
      <w:r w:rsidR="000233A3" w:rsidRPr="00B67F80">
        <w:rPr>
          <w:color w:val="000000" w:themeColor="text1"/>
        </w:rPr>
        <w:t xml:space="preserve"> is</w:t>
      </w:r>
      <w:r w:rsidR="002622F7">
        <w:rPr>
          <w:color w:val="000000" w:themeColor="text1"/>
        </w:rPr>
        <w:t xml:space="preserve"> 10-member ensemble</w:t>
      </w:r>
      <w:r w:rsidR="000233A3" w:rsidRPr="00B67F80">
        <w:rPr>
          <w:color w:val="000000" w:themeColor="text1"/>
        </w:rPr>
        <w:t xml:space="preserve"> continuous</w:t>
      </w:r>
      <w:r w:rsidR="00484AD2" w:rsidRPr="00B67F80">
        <w:rPr>
          <w:color w:val="000000" w:themeColor="text1"/>
        </w:rPr>
        <w:t xml:space="preserve"> atmospheric</w:t>
      </w:r>
      <w:r w:rsidR="000233A3" w:rsidRPr="00B67F80">
        <w:rPr>
          <w:color w:val="000000" w:themeColor="text1"/>
        </w:rPr>
        <w:t xml:space="preserve"> model integration with a similar setup as </w:t>
      </w:r>
      <w:r w:rsidR="002622F7" w:rsidRPr="00B67F80">
        <w:rPr>
          <w:color w:val="000000" w:themeColor="text1"/>
        </w:rPr>
        <w:t>ERA5 but</w:t>
      </w:r>
      <w:r w:rsidR="000233A3" w:rsidRPr="00B67F80">
        <w:rPr>
          <w:color w:val="000000" w:themeColor="text1"/>
        </w:rPr>
        <w:t xml:space="preserve"> uses a slightly new</w:t>
      </w:r>
      <w:r w:rsidR="00385F83" w:rsidRPr="00B67F80">
        <w:rPr>
          <w:color w:val="000000" w:themeColor="text1"/>
        </w:rPr>
        <w:t>er</w:t>
      </w:r>
      <w:r w:rsidR="000233A3" w:rsidRPr="00B67F80">
        <w:rPr>
          <w:color w:val="000000" w:themeColor="text1"/>
        </w:rPr>
        <w:t xml:space="preserve"> model cycle. It is initialized in March 2000 and integrated until </w:t>
      </w:r>
      <w:r w:rsidR="006A5602" w:rsidRPr="00B67F80">
        <w:rPr>
          <w:color w:val="000000" w:themeColor="text1"/>
        </w:rPr>
        <w:t xml:space="preserve">the </w:t>
      </w:r>
      <w:r w:rsidR="000233A3" w:rsidRPr="00B67F80">
        <w:rPr>
          <w:color w:val="000000" w:themeColor="text1"/>
        </w:rPr>
        <w:t>end of February 2020</w:t>
      </w:r>
      <w:r w:rsidR="00385F83" w:rsidRPr="00B67F80">
        <w:rPr>
          <w:color w:val="000000" w:themeColor="text1"/>
        </w:rPr>
        <w:t xml:space="preserve"> without data assimilation, but with prescribed SSTs and sea ice</w:t>
      </w:r>
      <w:r w:rsidR="00D0396B" w:rsidRPr="00B67F80">
        <w:rPr>
          <w:color w:val="000000" w:themeColor="text1"/>
        </w:rPr>
        <w:t>.</w:t>
      </w:r>
      <w:r w:rsidR="002622F7">
        <w:rPr>
          <w:color w:val="000000" w:themeColor="text1"/>
        </w:rPr>
        <w:t xml:space="preserve"> </w:t>
      </w:r>
      <w:r w:rsidR="002622F7" w:rsidRPr="002622F7">
        <w:rPr>
          <w:color w:val="000000" w:themeColor="text1"/>
        </w:rPr>
        <w:t xml:space="preserve">The </w:t>
      </w:r>
      <w:r w:rsidR="002622F7">
        <w:rPr>
          <w:color w:val="000000" w:themeColor="text1"/>
        </w:rPr>
        <w:t xml:space="preserve">IFS </w:t>
      </w:r>
      <w:r w:rsidR="002622F7" w:rsidRPr="002622F7">
        <w:rPr>
          <w:color w:val="000000" w:themeColor="text1"/>
        </w:rPr>
        <w:t xml:space="preserve">AMIP </w:t>
      </w:r>
      <w:r w:rsidR="002622F7">
        <w:rPr>
          <w:color w:val="000000" w:themeColor="text1"/>
        </w:rPr>
        <w:t xml:space="preserve">data used here </w:t>
      </w:r>
      <w:r w:rsidR="002622F7" w:rsidRPr="002622F7">
        <w:rPr>
          <w:color w:val="000000" w:themeColor="text1"/>
        </w:rPr>
        <w:t>are based on the ensemble mean.</w:t>
      </w:r>
    </w:p>
    <w:p w14:paraId="7275A7D1" w14:textId="16B7A752" w:rsidR="002243F2" w:rsidRPr="00B67F80" w:rsidRDefault="00AB4861" w:rsidP="004E2DF2">
      <w:pPr>
        <w:pStyle w:val="ListParagraph"/>
        <w:numPr>
          <w:ilvl w:val="1"/>
          <w:numId w:val="14"/>
        </w:numPr>
        <w:spacing w:line="480" w:lineRule="auto"/>
        <w:jc w:val="both"/>
        <w:rPr>
          <w:rFonts w:ascii="Times New Roman" w:hAnsi="Times New Roman" w:cs="Times New Roman"/>
          <w:b/>
          <w:bCs/>
          <w:color w:val="000000" w:themeColor="text1"/>
        </w:rPr>
      </w:pPr>
      <w:r w:rsidRPr="00B67F80">
        <w:rPr>
          <w:rFonts w:ascii="Times New Roman" w:hAnsi="Times New Roman" w:cs="Times New Roman"/>
          <w:b/>
          <w:bCs/>
          <w:color w:val="000000" w:themeColor="text1"/>
        </w:rPr>
        <w:t>O</w:t>
      </w:r>
      <w:r w:rsidR="00722B33" w:rsidRPr="00B67F80">
        <w:rPr>
          <w:rFonts w:ascii="Times New Roman" w:hAnsi="Times New Roman" w:cs="Times New Roman"/>
          <w:b/>
          <w:bCs/>
          <w:color w:val="000000" w:themeColor="text1"/>
        </w:rPr>
        <w:t>cean Data</w:t>
      </w:r>
    </w:p>
    <w:p w14:paraId="375EB761" w14:textId="19D20B62" w:rsidR="00862D1A" w:rsidRPr="00B67F80" w:rsidRDefault="007B1D0A" w:rsidP="005F1E5B">
      <w:pPr>
        <w:pStyle w:val="ListParagraph"/>
        <w:spacing w:line="480" w:lineRule="auto"/>
        <w:ind w:left="0" w:firstLine="360"/>
        <w:jc w:val="both"/>
        <w:rPr>
          <w:rFonts w:ascii="Times New Roman" w:hAnsi="Times New Roman" w:cs="Times New Roman"/>
          <w:color w:val="000000" w:themeColor="text1"/>
        </w:rPr>
      </w:pPr>
      <w:r w:rsidRPr="00B67F80">
        <w:rPr>
          <w:rFonts w:ascii="Times New Roman" w:hAnsi="Times New Roman" w:cs="Times New Roman"/>
          <w:color w:val="000000" w:themeColor="text1"/>
        </w:rPr>
        <w:t xml:space="preserve">The Ocean and </w:t>
      </w:r>
      <w:r w:rsidR="00EB5882" w:rsidRPr="00B67F80">
        <w:rPr>
          <w:rFonts w:ascii="Times New Roman" w:hAnsi="Times New Roman" w:cs="Times New Roman"/>
          <w:color w:val="000000" w:themeColor="text1"/>
        </w:rPr>
        <w:t>s</w:t>
      </w:r>
      <w:r w:rsidRPr="00B67F80">
        <w:rPr>
          <w:rFonts w:ascii="Times New Roman" w:hAnsi="Times New Roman" w:cs="Times New Roman"/>
          <w:color w:val="000000" w:themeColor="text1"/>
        </w:rPr>
        <w:t>ea-</w:t>
      </w:r>
      <w:r w:rsidR="00EB5882" w:rsidRPr="00B67F80">
        <w:rPr>
          <w:rFonts w:ascii="Times New Roman" w:hAnsi="Times New Roman" w:cs="Times New Roman"/>
          <w:color w:val="000000" w:themeColor="text1"/>
        </w:rPr>
        <w:t>i</w:t>
      </w:r>
      <w:r w:rsidRPr="00B67F80">
        <w:rPr>
          <w:rFonts w:ascii="Times New Roman" w:hAnsi="Times New Roman" w:cs="Times New Roman"/>
          <w:color w:val="000000" w:themeColor="text1"/>
        </w:rPr>
        <w:t>ce Re</w:t>
      </w:r>
      <w:r w:rsidR="00EB5882" w:rsidRPr="00B67F80">
        <w:rPr>
          <w:rFonts w:ascii="Times New Roman" w:hAnsi="Times New Roman" w:cs="Times New Roman"/>
          <w:color w:val="000000" w:themeColor="text1"/>
        </w:rPr>
        <w:t>A</w:t>
      </w:r>
      <w:r w:rsidRPr="00B67F80">
        <w:rPr>
          <w:rFonts w:ascii="Times New Roman" w:hAnsi="Times New Roman" w:cs="Times New Roman"/>
          <w:color w:val="000000" w:themeColor="text1"/>
        </w:rPr>
        <w:t xml:space="preserve">nalyses </w:t>
      </w:r>
      <w:r w:rsidR="00EB5882" w:rsidRPr="00B67F80">
        <w:rPr>
          <w:rFonts w:ascii="Times New Roman" w:hAnsi="Times New Roman" w:cs="Times New Roman"/>
          <w:color w:val="000000" w:themeColor="text1"/>
        </w:rPr>
        <w:t xml:space="preserve">System </w:t>
      </w:r>
      <w:r w:rsidRPr="00B67F80">
        <w:rPr>
          <w:rFonts w:ascii="Times New Roman" w:hAnsi="Times New Roman" w:cs="Times New Roman"/>
          <w:color w:val="000000" w:themeColor="text1"/>
        </w:rPr>
        <w:t>5 (</w:t>
      </w:r>
      <w:r w:rsidR="00866624" w:rsidRPr="00B67F80">
        <w:rPr>
          <w:rFonts w:ascii="Times New Roman" w:hAnsi="Times New Roman" w:cs="Times New Roman"/>
          <w:color w:val="000000" w:themeColor="text1"/>
        </w:rPr>
        <w:t>ORAS5</w:t>
      </w:r>
      <w:r w:rsidRPr="00B67F80">
        <w:rPr>
          <w:rFonts w:ascii="Times New Roman" w:hAnsi="Times New Roman" w:cs="Times New Roman"/>
          <w:color w:val="000000" w:themeColor="text1"/>
        </w:rPr>
        <w:t>)</w:t>
      </w:r>
      <w:r w:rsidR="00866624" w:rsidRPr="00B67F80">
        <w:rPr>
          <w:rFonts w:ascii="Times New Roman" w:hAnsi="Times New Roman" w:cs="Times New Roman"/>
          <w:color w:val="000000" w:themeColor="text1"/>
        </w:rPr>
        <w:t xml:space="preserve"> (Zuo et al., 2019)</w:t>
      </w:r>
      <w:r w:rsidRPr="00B67F80">
        <w:rPr>
          <w:rFonts w:ascii="Times New Roman" w:hAnsi="Times New Roman" w:cs="Times New Roman"/>
          <w:color w:val="000000" w:themeColor="text1"/>
        </w:rPr>
        <w:t xml:space="preserve"> is a reconstruction of ocean and sea-ice states derived from an ocean-sea-ice coupled model driven by atmospheric surface forcing and constrained by ocean observations using data assimilation (Balmaseda et al., 2015).</w:t>
      </w:r>
      <w:r w:rsidR="00E41AB3" w:rsidRPr="00B67F80">
        <w:rPr>
          <w:rFonts w:ascii="Times New Roman" w:hAnsi="Times New Roman" w:cs="Times New Roman"/>
          <w:color w:val="000000" w:themeColor="text1"/>
        </w:rPr>
        <w:t xml:space="preserve"> </w:t>
      </w:r>
      <w:r w:rsidR="009042A6" w:rsidRPr="00B67F80">
        <w:rPr>
          <w:rFonts w:ascii="Times New Roman" w:hAnsi="Times New Roman" w:cs="Times New Roman"/>
          <w:color w:val="000000" w:themeColor="text1"/>
        </w:rPr>
        <w:t xml:space="preserve">It </w:t>
      </w:r>
      <w:r w:rsidR="00475607" w:rsidRPr="00B67F80">
        <w:rPr>
          <w:rFonts w:ascii="Times New Roman" w:hAnsi="Times New Roman" w:cs="Times New Roman"/>
          <w:color w:val="000000" w:themeColor="text1"/>
        </w:rPr>
        <w:t>consists of</w:t>
      </w:r>
      <w:r w:rsidR="005F1E5B" w:rsidRPr="00B67F80">
        <w:rPr>
          <w:rFonts w:ascii="Times New Roman" w:hAnsi="Times New Roman" w:cs="Times New Roman"/>
          <w:color w:val="000000" w:themeColor="text1"/>
        </w:rPr>
        <w:t xml:space="preserve"> a behind-real-time component of</w:t>
      </w:r>
      <w:r w:rsidR="009042A6" w:rsidRPr="00B67F80">
        <w:rPr>
          <w:rFonts w:ascii="Times New Roman" w:hAnsi="Times New Roman" w:cs="Times New Roman"/>
          <w:color w:val="000000" w:themeColor="text1"/>
        </w:rPr>
        <w:t xml:space="preserve"> the </w:t>
      </w:r>
      <w:r w:rsidR="005F1E5B" w:rsidRPr="00B67F80">
        <w:rPr>
          <w:rFonts w:ascii="Times New Roman" w:hAnsi="Times New Roman" w:cs="Times New Roman"/>
          <w:color w:val="000000" w:themeColor="text1"/>
        </w:rPr>
        <w:t>OCEAN5</w:t>
      </w:r>
      <w:r w:rsidR="009042A6" w:rsidRPr="00B67F80">
        <w:rPr>
          <w:rFonts w:ascii="Times New Roman" w:hAnsi="Times New Roman" w:cs="Times New Roman"/>
          <w:color w:val="000000" w:themeColor="text1"/>
        </w:rPr>
        <w:t xml:space="preserve"> </w:t>
      </w:r>
      <w:r w:rsidR="005F1E5B" w:rsidRPr="00B67F80">
        <w:rPr>
          <w:rFonts w:ascii="Times New Roman" w:hAnsi="Times New Roman" w:cs="Times New Roman"/>
          <w:color w:val="000000" w:themeColor="text1"/>
        </w:rPr>
        <w:t xml:space="preserve">ocean reanalysis-analysis system at ECMWF. </w:t>
      </w:r>
      <w:r w:rsidR="00E41AB3" w:rsidRPr="00B67F80">
        <w:rPr>
          <w:rFonts w:ascii="Times New Roman" w:hAnsi="Times New Roman" w:cs="Times New Roman"/>
          <w:color w:val="000000" w:themeColor="text1"/>
        </w:rPr>
        <w:t xml:space="preserve">The ocean model and data assimilation method are kept frozen during the </w:t>
      </w:r>
      <w:r w:rsidR="00E41AB3" w:rsidRPr="00B67F80">
        <w:rPr>
          <w:rFonts w:ascii="Times New Roman" w:hAnsi="Times New Roman" w:cs="Times New Roman"/>
          <w:color w:val="000000" w:themeColor="text1"/>
        </w:rPr>
        <w:lastRenderedPageBreak/>
        <w:t>production of the reanalysis</w:t>
      </w:r>
      <w:r w:rsidR="009042A6" w:rsidRPr="00B67F80">
        <w:rPr>
          <w:rFonts w:ascii="Times New Roman" w:hAnsi="Times New Roman" w:cs="Times New Roman"/>
          <w:color w:val="000000" w:themeColor="text1"/>
        </w:rPr>
        <w:t>.</w:t>
      </w:r>
      <w:r w:rsidRPr="00B67F80">
        <w:rPr>
          <w:rFonts w:ascii="Times New Roman" w:hAnsi="Times New Roman" w:cs="Times New Roman"/>
          <w:color w:val="000000" w:themeColor="text1"/>
        </w:rPr>
        <w:t xml:space="preserve"> </w:t>
      </w:r>
      <w:r w:rsidR="00064B66" w:rsidRPr="00B67F80">
        <w:rPr>
          <w:rFonts w:ascii="Times New Roman" w:hAnsi="Times New Roman" w:cs="Times New Roman"/>
          <w:color w:val="000000" w:themeColor="text1"/>
        </w:rPr>
        <w:t>The Ocean ReAnalysis Pilot system-6 (ORAP6) is a new ocean and sea-ice reanalysis</w:t>
      </w:r>
      <w:r w:rsidR="00EB5882" w:rsidRPr="00B67F80">
        <w:rPr>
          <w:rFonts w:ascii="Times New Roman" w:hAnsi="Times New Roman" w:cs="Times New Roman"/>
          <w:color w:val="000000" w:themeColor="text1"/>
        </w:rPr>
        <w:t xml:space="preserve"> system</w:t>
      </w:r>
      <w:r w:rsidR="00064B66" w:rsidRPr="00B67F80">
        <w:rPr>
          <w:rFonts w:ascii="Times New Roman" w:hAnsi="Times New Roman" w:cs="Times New Roman"/>
          <w:color w:val="000000" w:themeColor="text1"/>
        </w:rPr>
        <w:t xml:space="preserve"> that </w:t>
      </w:r>
      <w:r w:rsidR="00EB5882" w:rsidRPr="00B67F80">
        <w:rPr>
          <w:rFonts w:ascii="Times New Roman" w:hAnsi="Times New Roman" w:cs="Times New Roman"/>
          <w:color w:val="000000" w:themeColor="text1"/>
        </w:rPr>
        <w:t>has been developed based on</w:t>
      </w:r>
      <w:r w:rsidR="00064B66" w:rsidRPr="00B67F80">
        <w:rPr>
          <w:rFonts w:ascii="Times New Roman" w:hAnsi="Times New Roman" w:cs="Times New Roman"/>
          <w:color w:val="000000" w:themeColor="text1"/>
        </w:rPr>
        <w:t xml:space="preserve"> the ECMWF operational OCEAN5 system</w:t>
      </w:r>
      <w:r w:rsidR="00010FA3" w:rsidRPr="00B67F80">
        <w:rPr>
          <w:rFonts w:ascii="Times New Roman" w:hAnsi="Times New Roman" w:cs="Times New Roman"/>
          <w:color w:val="000000" w:themeColor="text1"/>
        </w:rPr>
        <w:t xml:space="preserve"> (Zuo et al., 2021)</w:t>
      </w:r>
      <w:r w:rsidR="00064B66" w:rsidRPr="00B67F80">
        <w:rPr>
          <w:rFonts w:ascii="Times New Roman" w:hAnsi="Times New Roman" w:cs="Times New Roman"/>
          <w:color w:val="000000" w:themeColor="text1"/>
        </w:rPr>
        <w:t xml:space="preserve">. Despite sharing the same model configurations as OCEAN5, ORAP6 uses </w:t>
      </w:r>
      <w:r w:rsidR="00767B62" w:rsidRPr="00B67F80">
        <w:rPr>
          <w:rFonts w:ascii="Times New Roman" w:hAnsi="Times New Roman" w:cs="Times New Roman"/>
          <w:color w:val="000000" w:themeColor="text1"/>
        </w:rPr>
        <w:t>updated</w:t>
      </w:r>
      <w:r w:rsidR="00064B66" w:rsidRPr="00B67F80">
        <w:rPr>
          <w:rFonts w:ascii="Times New Roman" w:hAnsi="Times New Roman" w:cs="Times New Roman"/>
          <w:color w:val="000000" w:themeColor="text1"/>
        </w:rPr>
        <w:t xml:space="preserve"> </w:t>
      </w:r>
      <w:r w:rsidR="00DA4D89" w:rsidRPr="00B67F80">
        <w:rPr>
          <w:rFonts w:ascii="Times New Roman" w:hAnsi="Times New Roman" w:cs="Times New Roman"/>
          <w:color w:val="000000" w:themeColor="text1"/>
        </w:rPr>
        <w:t>a</w:t>
      </w:r>
      <w:r w:rsidR="00064B66" w:rsidRPr="00B67F80">
        <w:rPr>
          <w:rFonts w:ascii="Times New Roman" w:hAnsi="Times New Roman" w:cs="Times New Roman"/>
          <w:color w:val="000000" w:themeColor="text1"/>
        </w:rPr>
        <w:t>tmospheric forcing</w:t>
      </w:r>
      <w:r w:rsidR="00DC4873" w:rsidRPr="00B67F80">
        <w:rPr>
          <w:rFonts w:ascii="Times New Roman" w:hAnsi="Times New Roman" w:cs="Times New Roman"/>
          <w:color w:val="000000" w:themeColor="text1"/>
        </w:rPr>
        <w:t xml:space="preserve"> (based on ERA5)</w:t>
      </w:r>
      <w:r w:rsidR="00064B66" w:rsidRPr="00B67F80">
        <w:rPr>
          <w:rFonts w:ascii="Times New Roman" w:hAnsi="Times New Roman" w:cs="Times New Roman"/>
          <w:color w:val="000000" w:themeColor="text1"/>
        </w:rPr>
        <w:t xml:space="preserve"> and is produced with the most up-to-date reprocessed observation datasets. </w:t>
      </w:r>
      <w:r w:rsidR="00D0396B" w:rsidRPr="00B67F80">
        <w:rPr>
          <w:rFonts w:ascii="Times New Roman" w:hAnsi="Times New Roman" w:cs="Times New Roman"/>
          <w:color w:val="000000" w:themeColor="text1"/>
        </w:rPr>
        <w:t>The ORAP6 d</w:t>
      </w:r>
      <w:r w:rsidR="00EB5882" w:rsidRPr="00B67F80">
        <w:rPr>
          <w:rFonts w:ascii="Times New Roman" w:hAnsi="Times New Roman" w:cs="Times New Roman"/>
          <w:color w:val="000000" w:themeColor="text1"/>
        </w:rPr>
        <w:t xml:space="preserve">ata assimilation system has been updated to include a new flow-dependent SST nudging scheme, and to assimilate L3 sea-ice concentration data, among others. </w:t>
      </w:r>
      <w:r w:rsidR="00862D1A" w:rsidRPr="00B67F80">
        <w:rPr>
          <w:rFonts w:ascii="Times New Roman" w:hAnsi="Times New Roman" w:cs="Times New Roman"/>
          <w:color w:val="000000" w:themeColor="text1"/>
        </w:rPr>
        <w:t xml:space="preserve">ORAP6 uses 3DVar to assimilate in-situ </w:t>
      </w:r>
      <w:r w:rsidR="00ED6997" w:rsidRPr="00B67F80">
        <w:rPr>
          <w:rFonts w:ascii="Times New Roman" w:hAnsi="Times New Roman" w:cs="Times New Roman"/>
          <w:color w:val="000000" w:themeColor="text1"/>
        </w:rPr>
        <w:t xml:space="preserve">temperature and salinity profiles from </w:t>
      </w:r>
      <w:r w:rsidR="00862D1A" w:rsidRPr="00B67F80">
        <w:rPr>
          <w:rFonts w:ascii="Times New Roman" w:hAnsi="Times New Roman" w:cs="Times New Roman"/>
          <w:color w:val="000000" w:themeColor="text1"/>
        </w:rPr>
        <w:t>Argo, Mooring</w:t>
      </w:r>
      <w:r w:rsidR="00ED6997" w:rsidRPr="00B67F80">
        <w:rPr>
          <w:rFonts w:ascii="Times New Roman" w:hAnsi="Times New Roman" w:cs="Times New Roman"/>
          <w:color w:val="000000" w:themeColor="text1"/>
        </w:rPr>
        <w:t>s</w:t>
      </w:r>
      <w:r w:rsidR="00862D1A" w:rsidRPr="00B67F80">
        <w:rPr>
          <w:rFonts w:ascii="Times New Roman" w:hAnsi="Times New Roman" w:cs="Times New Roman"/>
          <w:color w:val="000000" w:themeColor="text1"/>
        </w:rPr>
        <w:t>, XBT</w:t>
      </w:r>
      <w:r w:rsidR="00ED6997" w:rsidRPr="00B67F80">
        <w:rPr>
          <w:rFonts w:ascii="Times New Roman" w:hAnsi="Times New Roman" w:cs="Times New Roman"/>
          <w:color w:val="000000" w:themeColor="text1"/>
        </w:rPr>
        <w:t>s</w:t>
      </w:r>
      <w:r w:rsidR="00862D1A" w:rsidRPr="00B67F80">
        <w:rPr>
          <w:rFonts w:ascii="Times New Roman" w:hAnsi="Times New Roman" w:cs="Times New Roman"/>
          <w:color w:val="000000" w:themeColor="text1"/>
        </w:rPr>
        <w:t xml:space="preserve">, </w:t>
      </w:r>
      <w:r w:rsidR="00ED6997" w:rsidRPr="00B67F80">
        <w:rPr>
          <w:rFonts w:ascii="Times New Roman" w:hAnsi="Times New Roman" w:cs="Times New Roman"/>
          <w:color w:val="000000" w:themeColor="text1"/>
        </w:rPr>
        <w:t xml:space="preserve">shipboard </w:t>
      </w:r>
      <w:r w:rsidR="00862D1A" w:rsidRPr="00B67F80">
        <w:rPr>
          <w:rFonts w:ascii="Times New Roman" w:hAnsi="Times New Roman" w:cs="Times New Roman"/>
          <w:color w:val="000000" w:themeColor="text1"/>
        </w:rPr>
        <w:t>CTD</w:t>
      </w:r>
      <w:r w:rsidR="00ED6997" w:rsidRPr="00B67F80">
        <w:rPr>
          <w:rFonts w:ascii="Times New Roman" w:hAnsi="Times New Roman" w:cs="Times New Roman"/>
          <w:color w:val="000000" w:themeColor="text1"/>
        </w:rPr>
        <w:t>s</w:t>
      </w:r>
      <w:r w:rsidR="00862D1A" w:rsidRPr="00B67F80">
        <w:rPr>
          <w:rFonts w:ascii="Times New Roman" w:hAnsi="Times New Roman" w:cs="Times New Roman"/>
          <w:color w:val="000000" w:themeColor="text1"/>
        </w:rPr>
        <w:t>, glider</w:t>
      </w:r>
      <w:r w:rsidR="00ED6997" w:rsidRPr="00B67F80">
        <w:rPr>
          <w:rFonts w:ascii="Times New Roman" w:hAnsi="Times New Roman" w:cs="Times New Roman"/>
          <w:color w:val="000000" w:themeColor="text1"/>
        </w:rPr>
        <w:t>s,</w:t>
      </w:r>
      <w:r w:rsidR="00862D1A" w:rsidRPr="00B67F80">
        <w:rPr>
          <w:rFonts w:ascii="Times New Roman" w:hAnsi="Times New Roman" w:cs="Times New Roman"/>
          <w:color w:val="000000" w:themeColor="text1"/>
        </w:rPr>
        <w:t xml:space="preserve"> and </w:t>
      </w:r>
      <w:r w:rsidR="00ED6997" w:rsidRPr="00B67F80">
        <w:rPr>
          <w:rFonts w:ascii="Times New Roman" w:hAnsi="Times New Roman" w:cs="Times New Roman"/>
          <w:color w:val="000000" w:themeColor="text1"/>
        </w:rPr>
        <w:t xml:space="preserve">marine </w:t>
      </w:r>
      <w:r w:rsidR="00862D1A" w:rsidRPr="00B67F80">
        <w:rPr>
          <w:rFonts w:ascii="Times New Roman" w:hAnsi="Times New Roman" w:cs="Times New Roman"/>
          <w:color w:val="000000" w:themeColor="text1"/>
        </w:rPr>
        <w:t xml:space="preserve">mammals, </w:t>
      </w:r>
      <w:r w:rsidR="00EB5882" w:rsidRPr="00B67F80">
        <w:rPr>
          <w:rFonts w:ascii="Times New Roman" w:hAnsi="Times New Roman" w:cs="Times New Roman"/>
          <w:color w:val="000000" w:themeColor="text1"/>
        </w:rPr>
        <w:t xml:space="preserve">satellite </w:t>
      </w:r>
      <w:r w:rsidR="00862D1A" w:rsidRPr="00B67F80">
        <w:rPr>
          <w:rFonts w:ascii="Times New Roman" w:hAnsi="Times New Roman" w:cs="Times New Roman"/>
          <w:color w:val="000000" w:themeColor="text1"/>
        </w:rPr>
        <w:t>sea-level anomal</w:t>
      </w:r>
      <w:r w:rsidR="00ED6997" w:rsidRPr="00B67F80">
        <w:rPr>
          <w:rFonts w:ascii="Times New Roman" w:hAnsi="Times New Roman" w:cs="Times New Roman"/>
          <w:color w:val="000000" w:themeColor="text1"/>
        </w:rPr>
        <w:t>y</w:t>
      </w:r>
      <w:r w:rsidR="00862D1A" w:rsidRPr="00B67F80">
        <w:rPr>
          <w:rFonts w:ascii="Times New Roman" w:hAnsi="Times New Roman" w:cs="Times New Roman"/>
          <w:color w:val="000000" w:themeColor="text1"/>
        </w:rPr>
        <w:t xml:space="preserve"> and sea-ice concentration data, as well as SST and </w:t>
      </w:r>
      <w:r w:rsidR="000F515F" w:rsidRPr="00B67F80">
        <w:rPr>
          <w:rFonts w:ascii="Times New Roman" w:hAnsi="Times New Roman" w:cs="Times New Roman"/>
          <w:color w:val="000000" w:themeColor="text1"/>
        </w:rPr>
        <w:t xml:space="preserve">sea-surface salinity (SSS) </w:t>
      </w:r>
      <w:r w:rsidR="00862D1A" w:rsidRPr="00B67F80">
        <w:rPr>
          <w:rFonts w:ascii="Times New Roman" w:hAnsi="Times New Roman" w:cs="Times New Roman"/>
          <w:color w:val="000000" w:themeColor="text1"/>
        </w:rPr>
        <w:t xml:space="preserve">nudging in the surface (Zuo et al., 2021). </w:t>
      </w:r>
      <w:r w:rsidR="00EB5882" w:rsidRPr="00B67F80">
        <w:rPr>
          <w:rFonts w:ascii="Times New Roman" w:hAnsi="Times New Roman" w:cs="Times New Roman"/>
          <w:color w:val="000000" w:themeColor="text1"/>
        </w:rPr>
        <w:t>Two sets of ocean data from ORAP6 system have been used</w:t>
      </w:r>
      <w:r w:rsidR="00681A57" w:rsidRPr="00B67F80">
        <w:rPr>
          <w:rFonts w:ascii="Times New Roman" w:hAnsi="Times New Roman" w:cs="Times New Roman"/>
          <w:color w:val="000000" w:themeColor="text1"/>
        </w:rPr>
        <w:t xml:space="preserve"> in</w:t>
      </w:r>
      <w:r w:rsidR="00EB5882" w:rsidRPr="00B67F80">
        <w:rPr>
          <w:rFonts w:ascii="Times New Roman" w:hAnsi="Times New Roman" w:cs="Times New Roman"/>
          <w:color w:val="000000" w:themeColor="text1"/>
        </w:rPr>
        <w:t xml:space="preserve"> this study. ORAP6.1 is the first version of ORAP6 reanalysis that includes assimilation of all observations. </w:t>
      </w:r>
      <w:r w:rsidR="00862D1A" w:rsidRPr="00B67F80">
        <w:rPr>
          <w:rFonts w:ascii="Times New Roman" w:hAnsi="Times New Roman" w:cs="Times New Roman"/>
          <w:color w:val="000000" w:themeColor="text1"/>
        </w:rPr>
        <w:t>We also consider a control version of ORAP6</w:t>
      </w:r>
      <w:r w:rsidR="00DF423C" w:rsidRPr="00B67F80">
        <w:rPr>
          <w:rFonts w:ascii="Times New Roman" w:hAnsi="Times New Roman" w:cs="Times New Roman"/>
          <w:color w:val="000000" w:themeColor="text1"/>
        </w:rPr>
        <w:t>.1</w:t>
      </w:r>
      <w:r w:rsidR="00862D1A" w:rsidRPr="00B67F80">
        <w:rPr>
          <w:rFonts w:ascii="Times New Roman" w:hAnsi="Times New Roman" w:cs="Times New Roman"/>
          <w:color w:val="000000" w:themeColor="text1"/>
        </w:rPr>
        <w:t xml:space="preserve"> called “ORAP6-ctrl”</w:t>
      </w:r>
      <w:r w:rsidR="00DF423C" w:rsidRPr="00B67F80">
        <w:rPr>
          <w:rFonts w:ascii="Times New Roman" w:hAnsi="Times New Roman" w:cs="Times New Roman"/>
          <w:color w:val="000000" w:themeColor="text1"/>
        </w:rPr>
        <w:t xml:space="preserve">, </w:t>
      </w:r>
      <w:r w:rsidR="00862D1A" w:rsidRPr="00B67F80">
        <w:rPr>
          <w:rFonts w:ascii="Times New Roman" w:hAnsi="Times New Roman" w:cs="Times New Roman"/>
          <w:color w:val="000000" w:themeColor="text1"/>
        </w:rPr>
        <w:t xml:space="preserve">which </w:t>
      </w:r>
      <w:r w:rsidR="00DF423C" w:rsidRPr="00B67F80">
        <w:rPr>
          <w:rFonts w:ascii="Times New Roman" w:hAnsi="Times New Roman" w:cs="Times New Roman"/>
          <w:color w:val="000000" w:themeColor="text1"/>
        </w:rPr>
        <w:t xml:space="preserve">uses the same model setup and atmospheric forcing (from ERA5) as ORAP6.1, </w:t>
      </w:r>
      <w:r w:rsidR="00862D1A" w:rsidRPr="00B67F80">
        <w:rPr>
          <w:rFonts w:ascii="Times New Roman" w:hAnsi="Times New Roman" w:cs="Times New Roman"/>
          <w:color w:val="000000" w:themeColor="text1"/>
        </w:rPr>
        <w:t>but only uses SST and SSS nudging at the surface. The difference between ORAP6.1</w:t>
      </w:r>
      <w:r w:rsidR="00DA4D89" w:rsidRPr="00B67F80">
        <w:rPr>
          <w:rFonts w:ascii="Times New Roman" w:hAnsi="Times New Roman" w:cs="Times New Roman"/>
          <w:color w:val="000000" w:themeColor="text1"/>
        </w:rPr>
        <w:t xml:space="preserve"> and ORAP6-ctrl </w:t>
      </w:r>
      <w:r w:rsidR="00DF423C" w:rsidRPr="00B67F80">
        <w:rPr>
          <w:rFonts w:ascii="Times New Roman" w:hAnsi="Times New Roman" w:cs="Times New Roman"/>
          <w:color w:val="000000" w:themeColor="text1"/>
        </w:rPr>
        <w:t xml:space="preserve">thus </w:t>
      </w:r>
      <w:r w:rsidR="0069654D" w:rsidRPr="00B67F80">
        <w:rPr>
          <w:rFonts w:ascii="Times New Roman" w:hAnsi="Times New Roman" w:cs="Times New Roman"/>
          <w:color w:val="000000" w:themeColor="text1"/>
        </w:rPr>
        <w:t>indicates</w:t>
      </w:r>
      <w:r w:rsidR="00DF423C" w:rsidRPr="00B67F80">
        <w:rPr>
          <w:rFonts w:ascii="Times New Roman" w:hAnsi="Times New Roman" w:cs="Times New Roman"/>
          <w:color w:val="000000" w:themeColor="text1"/>
        </w:rPr>
        <w:t xml:space="preserve"> the impact of </w:t>
      </w:r>
      <w:r w:rsidR="005127B3" w:rsidRPr="00B67F80">
        <w:rPr>
          <w:rFonts w:ascii="Times New Roman" w:hAnsi="Times New Roman" w:cs="Times New Roman"/>
          <w:color w:val="000000" w:themeColor="text1"/>
        </w:rPr>
        <w:t>data assimilation</w:t>
      </w:r>
      <w:r w:rsidR="00DF423C" w:rsidRPr="00B67F80">
        <w:rPr>
          <w:rFonts w:ascii="Times New Roman" w:hAnsi="Times New Roman" w:cs="Times New Roman"/>
          <w:color w:val="000000" w:themeColor="text1"/>
        </w:rPr>
        <w:t xml:space="preserve"> </w:t>
      </w:r>
      <w:r w:rsidR="0069654D" w:rsidRPr="00B67F80">
        <w:rPr>
          <w:rFonts w:ascii="Times New Roman" w:hAnsi="Times New Roman" w:cs="Times New Roman"/>
          <w:color w:val="000000" w:themeColor="text1"/>
        </w:rPr>
        <w:t xml:space="preserve">on </w:t>
      </w:r>
      <w:r w:rsidR="00767B62" w:rsidRPr="00B67F80">
        <w:rPr>
          <w:rFonts w:ascii="Times New Roman" w:hAnsi="Times New Roman" w:cs="Times New Roman"/>
          <w:color w:val="000000" w:themeColor="text1"/>
        </w:rPr>
        <w:t>ocean heating rates.</w:t>
      </w:r>
    </w:p>
    <w:p w14:paraId="6810735C" w14:textId="0E85EEBB" w:rsidR="003F44D6" w:rsidRPr="00B67F80" w:rsidRDefault="00BE6133" w:rsidP="00BB3F73">
      <w:pPr>
        <w:pStyle w:val="ListParagraph"/>
        <w:spacing w:line="480" w:lineRule="auto"/>
        <w:ind w:left="0" w:firstLine="360"/>
        <w:jc w:val="both"/>
        <w:rPr>
          <w:rFonts w:ascii="Times New Roman" w:hAnsi="Times New Roman" w:cs="Times New Roman"/>
          <w:color w:val="000000" w:themeColor="text1"/>
        </w:rPr>
      </w:pPr>
      <w:r w:rsidRPr="00B67F80">
        <w:rPr>
          <w:rFonts w:ascii="Times New Roman" w:hAnsi="Times New Roman" w:cs="Times New Roman"/>
          <w:color w:val="000000" w:themeColor="text1"/>
        </w:rPr>
        <w:t xml:space="preserve">In addition to </w:t>
      </w:r>
      <w:r w:rsidR="00797349" w:rsidRPr="00B67F80">
        <w:rPr>
          <w:rFonts w:ascii="Times New Roman" w:hAnsi="Times New Roman" w:cs="Times New Roman"/>
          <w:color w:val="000000" w:themeColor="text1"/>
        </w:rPr>
        <w:t xml:space="preserve">the above </w:t>
      </w:r>
      <w:r w:rsidRPr="00B67F80">
        <w:rPr>
          <w:rFonts w:ascii="Times New Roman" w:hAnsi="Times New Roman" w:cs="Times New Roman"/>
          <w:color w:val="000000" w:themeColor="text1"/>
        </w:rPr>
        <w:t>ocean reanalyses, we</w:t>
      </w:r>
      <w:r w:rsidR="003179DE" w:rsidRPr="00B67F80">
        <w:rPr>
          <w:rFonts w:ascii="Times New Roman" w:hAnsi="Times New Roman" w:cs="Times New Roman"/>
          <w:color w:val="000000" w:themeColor="text1"/>
        </w:rPr>
        <w:t xml:space="preserve"> determine ocean heating rates</w:t>
      </w:r>
      <w:r w:rsidRPr="00B67F80">
        <w:rPr>
          <w:rFonts w:ascii="Times New Roman" w:hAnsi="Times New Roman" w:cs="Times New Roman"/>
          <w:color w:val="000000" w:themeColor="text1"/>
        </w:rPr>
        <w:t xml:space="preserve"> </w:t>
      </w:r>
      <w:r w:rsidR="0023516E" w:rsidRPr="00B67F80">
        <w:rPr>
          <w:rFonts w:ascii="Times New Roman" w:hAnsi="Times New Roman" w:cs="Times New Roman"/>
          <w:color w:val="000000" w:themeColor="text1"/>
        </w:rPr>
        <w:t>from</w:t>
      </w:r>
      <w:r w:rsidR="003179DE" w:rsidRPr="00B67F80">
        <w:rPr>
          <w:rFonts w:ascii="Times New Roman" w:hAnsi="Times New Roman" w:cs="Times New Roman"/>
          <w:color w:val="000000" w:themeColor="text1"/>
        </w:rPr>
        <w:t xml:space="preserve"> </w:t>
      </w:r>
      <w:r w:rsidRPr="00B67F80">
        <w:rPr>
          <w:rFonts w:ascii="Times New Roman" w:hAnsi="Times New Roman" w:cs="Times New Roman"/>
          <w:color w:val="000000" w:themeColor="text1"/>
        </w:rPr>
        <w:t xml:space="preserve">two Argo-based datasets. The first is an </w:t>
      </w:r>
      <w:r w:rsidR="003F44D6" w:rsidRPr="00B67F80">
        <w:rPr>
          <w:rFonts w:ascii="Times New Roman" w:hAnsi="Times New Roman" w:cs="Times New Roman"/>
          <w:color w:val="000000" w:themeColor="text1"/>
        </w:rPr>
        <w:t>Argo-only</w:t>
      </w:r>
      <w:r w:rsidRPr="00B67F80">
        <w:rPr>
          <w:rFonts w:ascii="Times New Roman" w:hAnsi="Times New Roman" w:cs="Times New Roman"/>
          <w:color w:val="000000" w:themeColor="text1"/>
        </w:rPr>
        <w:t xml:space="preserve"> time series obtained </w:t>
      </w:r>
      <w:r w:rsidR="00FF67AC" w:rsidRPr="00B67F80">
        <w:rPr>
          <w:rFonts w:ascii="Times New Roman" w:hAnsi="Times New Roman" w:cs="Times New Roman"/>
          <w:color w:val="000000" w:themeColor="text1"/>
        </w:rPr>
        <w:t xml:space="preserve">from </w:t>
      </w:r>
      <w:r w:rsidR="001952B3" w:rsidRPr="00B67F80">
        <w:rPr>
          <w:rFonts w:ascii="Times New Roman" w:hAnsi="Times New Roman" w:cs="Times New Roman"/>
          <w:color w:val="000000" w:themeColor="text1"/>
        </w:rPr>
        <w:t>the</w:t>
      </w:r>
      <w:r w:rsidR="0023516E" w:rsidRPr="00B67F80">
        <w:rPr>
          <w:rFonts w:ascii="Times New Roman" w:hAnsi="Times New Roman" w:cs="Times New Roman"/>
          <w:color w:val="000000" w:themeColor="text1"/>
        </w:rPr>
        <w:t xml:space="preserve"> combination of a</w:t>
      </w:r>
      <w:r w:rsidR="00272F5B" w:rsidRPr="00B67F80">
        <w:rPr>
          <w:rFonts w:ascii="Times New Roman" w:hAnsi="Times New Roman" w:cs="Times New Roman"/>
          <w:color w:val="000000" w:themeColor="text1"/>
        </w:rPr>
        <w:t xml:space="preserve"> 10/2021</w:t>
      </w:r>
      <w:r w:rsidR="00FF67AC" w:rsidRPr="00B67F80">
        <w:rPr>
          <w:rFonts w:ascii="Times New Roman" w:hAnsi="Times New Roman" w:cs="Times New Roman"/>
          <w:color w:val="000000" w:themeColor="text1"/>
        </w:rPr>
        <w:t xml:space="preserve"> update of the Roemmich and Gilson (2009) climatology</w:t>
      </w:r>
      <w:r w:rsidR="00F31850" w:rsidRPr="00B67F80">
        <w:rPr>
          <w:rFonts w:ascii="Times New Roman" w:hAnsi="Times New Roman" w:cs="Times New Roman"/>
          <w:color w:val="000000" w:themeColor="text1"/>
        </w:rPr>
        <w:t xml:space="preserve"> and the </w:t>
      </w:r>
      <w:r w:rsidR="009B50F6" w:rsidRPr="00B67F80">
        <w:rPr>
          <w:rFonts w:ascii="Times New Roman" w:hAnsi="Times New Roman" w:cs="Times New Roman"/>
          <w:color w:val="000000" w:themeColor="text1"/>
        </w:rPr>
        <w:t>Asia-Pacific Data-Research Center</w:t>
      </w:r>
      <w:r w:rsidR="00BB3F73" w:rsidRPr="00B67F80">
        <w:rPr>
          <w:rFonts w:ascii="Times New Roman" w:hAnsi="Times New Roman" w:cs="Times New Roman"/>
          <w:color w:val="000000" w:themeColor="text1"/>
        </w:rPr>
        <w:t>’s Argo gridded 3°x3° monthly product on standard depth levels</w:t>
      </w:r>
      <w:r w:rsidR="009B50F6" w:rsidRPr="00B67F80">
        <w:rPr>
          <w:rFonts w:ascii="Times New Roman" w:hAnsi="Times New Roman" w:cs="Times New Roman"/>
          <w:color w:val="000000" w:themeColor="text1"/>
        </w:rPr>
        <w:t xml:space="preserve">, </w:t>
      </w:r>
      <w:r w:rsidR="00BB3F73" w:rsidRPr="00B67F80">
        <w:rPr>
          <w:rFonts w:ascii="Times New Roman" w:hAnsi="Times New Roman" w:cs="Times New Roman"/>
          <w:color w:val="000000" w:themeColor="text1"/>
        </w:rPr>
        <w:t xml:space="preserve">documented online (at </w:t>
      </w:r>
      <w:hyperlink r:id="rId8" w:history="1">
        <w:r w:rsidR="00BB3F73" w:rsidRPr="00B67F80">
          <w:rPr>
            <w:rStyle w:val="Hyperlink"/>
            <w:rFonts w:ascii="Times New Roman" w:hAnsi="Times New Roman" w:cs="Times New Roman"/>
            <w:color w:val="000000" w:themeColor="text1"/>
          </w:rPr>
          <w:t>http://apdrc.soest.hawaii.edu/projects/Argo/index.php</w:t>
        </w:r>
      </w:hyperlink>
      <w:r w:rsidR="00BB3F73" w:rsidRPr="00B67F80">
        <w:rPr>
          <w:rFonts w:ascii="Times New Roman" w:hAnsi="Times New Roman" w:cs="Times New Roman"/>
          <w:color w:val="000000" w:themeColor="text1"/>
        </w:rPr>
        <w:t xml:space="preserve">). </w:t>
      </w:r>
      <w:r w:rsidRPr="00B67F80">
        <w:rPr>
          <w:rFonts w:ascii="Times New Roman" w:hAnsi="Times New Roman" w:cs="Times New Roman"/>
          <w:color w:val="000000" w:themeColor="text1"/>
        </w:rPr>
        <w:t>The second</w:t>
      </w:r>
      <w:r w:rsidR="00135FCD" w:rsidRPr="00B67F80">
        <w:rPr>
          <w:rFonts w:ascii="Times New Roman" w:hAnsi="Times New Roman" w:cs="Times New Roman"/>
          <w:color w:val="000000" w:themeColor="text1"/>
        </w:rPr>
        <w:t xml:space="preserve"> Argo-based dataset</w:t>
      </w:r>
      <w:r w:rsidRPr="00B67F80">
        <w:rPr>
          <w:rFonts w:ascii="Times New Roman" w:hAnsi="Times New Roman" w:cs="Times New Roman"/>
          <w:color w:val="000000" w:themeColor="text1"/>
        </w:rPr>
        <w:t xml:space="preserve"> is an updated version of the 0–2,000 m ocean heat uptake estimate</w:t>
      </w:r>
      <w:r w:rsidR="00ED6997" w:rsidRPr="00B67F80">
        <w:rPr>
          <w:rFonts w:ascii="Times New Roman" w:hAnsi="Times New Roman" w:cs="Times New Roman"/>
          <w:color w:val="000000" w:themeColor="text1"/>
        </w:rPr>
        <w:t xml:space="preserve"> used</w:t>
      </w:r>
      <w:r w:rsidRPr="00B67F80">
        <w:rPr>
          <w:rFonts w:ascii="Times New Roman" w:hAnsi="Times New Roman" w:cs="Times New Roman"/>
          <w:color w:val="000000" w:themeColor="text1"/>
        </w:rPr>
        <w:t xml:space="preserve"> in Loeb et al. (2021)</w:t>
      </w:r>
      <w:r w:rsidR="00ED6997" w:rsidRPr="00B67F80">
        <w:rPr>
          <w:rFonts w:ascii="Times New Roman" w:hAnsi="Times New Roman" w:cs="Times New Roman"/>
          <w:color w:val="000000" w:themeColor="text1"/>
        </w:rPr>
        <w:t>, which is</w:t>
      </w:r>
      <w:r w:rsidRPr="00B67F80">
        <w:rPr>
          <w:rFonts w:ascii="Times New Roman" w:hAnsi="Times New Roman" w:cs="Times New Roman"/>
          <w:color w:val="000000" w:themeColor="text1"/>
        </w:rPr>
        <w:t xml:space="preserve"> </w:t>
      </w:r>
      <w:r w:rsidR="00CC5EA7" w:rsidRPr="00B67F80">
        <w:rPr>
          <w:rFonts w:ascii="Times New Roman" w:hAnsi="Times New Roman" w:cs="Times New Roman"/>
          <w:color w:val="000000" w:themeColor="text1"/>
        </w:rPr>
        <w:t>based upon</w:t>
      </w:r>
      <w:r w:rsidRPr="00B67F80">
        <w:rPr>
          <w:rFonts w:ascii="Times New Roman" w:hAnsi="Times New Roman" w:cs="Times New Roman"/>
          <w:color w:val="000000" w:themeColor="text1"/>
        </w:rPr>
        <w:t xml:space="preserve"> Argo </w:t>
      </w:r>
      <w:r w:rsidR="00CC5EA7" w:rsidRPr="00B67F80">
        <w:rPr>
          <w:rFonts w:ascii="Times New Roman" w:hAnsi="Times New Roman" w:cs="Times New Roman"/>
          <w:color w:val="000000" w:themeColor="text1"/>
        </w:rPr>
        <w:t xml:space="preserve">in-situ </w:t>
      </w:r>
      <w:r w:rsidRPr="00B67F80">
        <w:rPr>
          <w:rFonts w:ascii="Times New Roman" w:hAnsi="Times New Roman" w:cs="Times New Roman"/>
          <w:color w:val="000000" w:themeColor="text1"/>
        </w:rPr>
        <w:t>and satellite altimetry data</w:t>
      </w:r>
      <w:r w:rsidR="00CC5EA7" w:rsidRPr="00B67F80">
        <w:rPr>
          <w:rFonts w:ascii="Times New Roman" w:hAnsi="Times New Roman" w:cs="Times New Roman"/>
          <w:color w:val="000000" w:themeColor="text1"/>
        </w:rPr>
        <w:t xml:space="preserve">. It uses local correlations between sea-surface </w:t>
      </w:r>
      <w:r w:rsidR="00CC5EA7" w:rsidRPr="00B67F80">
        <w:rPr>
          <w:rFonts w:ascii="Times New Roman" w:hAnsi="Times New Roman" w:cs="Times New Roman"/>
          <w:color w:val="000000" w:themeColor="text1"/>
        </w:rPr>
        <w:lastRenderedPageBreak/>
        <w:t>height and ocean heat content anomalies to employ satellite altimetry data as a first guess at ocean heat content where (or when) in situ temperature data are sparse (Willis et al., 2003).</w:t>
      </w:r>
    </w:p>
    <w:p w14:paraId="55FCEBD8" w14:textId="128BD56B" w:rsidR="002243F2" w:rsidRPr="00B67F80" w:rsidRDefault="00A663F9" w:rsidP="00225E05">
      <w:pPr>
        <w:pStyle w:val="ListParagraph"/>
        <w:keepNext/>
        <w:numPr>
          <w:ilvl w:val="0"/>
          <w:numId w:val="18"/>
        </w:numPr>
        <w:spacing w:line="480" w:lineRule="auto"/>
        <w:jc w:val="both"/>
        <w:rPr>
          <w:rFonts w:ascii="Times New Roman" w:hAnsi="Times New Roman" w:cs="Times New Roman"/>
          <w:b/>
          <w:bCs/>
          <w:color w:val="000000" w:themeColor="text1"/>
        </w:rPr>
      </w:pPr>
      <w:r w:rsidRPr="00B67F80">
        <w:rPr>
          <w:rFonts w:ascii="Times New Roman" w:hAnsi="Times New Roman" w:cs="Times New Roman"/>
          <w:b/>
          <w:bCs/>
          <w:color w:val="000000" w:themeColor="text1"/>
        </w:rPr>
        <w:t>Methodology</w:t>
      </w:r>
    </w:p>
    <w:p w14:paraId="5A4143CC" w14:textId="0B018FF9" w:rsidR="00702C49" w:rsidRPr="00B67F80" w:rsidRDefault="00702C49" w:rsidP="00225E05">
      <w:pPr>
        <w:pStyle w:val="ListParagraph"/>
        <w:keepNext/>
        <w:numPr>
          <w:ilvl w:val="1"/>
          <w:numId w:val="18"/>
        </w:numPr>
        <w:spacing w:line="480" w:lineRule="auto"/>
        <w:ind w:left="360"/>
        <w:jc w:val="both"/>
        <w:rPr>
          <w:rFonts w:ascii="Times New Roman" w:hAnsi="Times New Roman" w:cs="Times New Roman"/>
          <w:b/>
          <w:bCs/>
          <w:color w:val="000000" w:themeColor="text1"/>
        </w:rPr>
      </w:pPr>
      <w:r w:rsidRPr="00B67F80">
        <w:rPr>
          <w:rFonts w:ascii="Times New Roman" w:hAnsi="Times New Roman" w:cs="Times New Roman"/>
          <w:b/>
          <w:bCs/>
          <w:color w:val="000000" w:themeColor="text1"/>
        </w:rPr>
        <w:t>Inferred Surface Total and Turbulent Heat Fluxes</w:t>
      </w:r>
    </w:p>
    <w:p w14:paraId="169C7970" w14:textId="6F4725B3" w:rsidR="00E07D9E" w:rsidRPr="00B67F80" w:rsidRDefault="00E07D9E" w:rsidP="00A663F9">
      <w:pPr>
        <w:pStyle w:val="ListParagraph"/>
        <w:spacing w:line="480" w:lineRule="auto"/>
        <w:ind w:left="0" w:firstLine="360"/>
        <w:jc w:val="both"/>
        <w:rPr>
          <w:rFonts w:ascii="Times New Roman" w:hAnsi="Times New Roman" w:cs="Times New Roman"/>
          <w:color w:val="000000" w:themeColor="text1"/>
        </w:rPr>
      </w:pPr>
      <w:r w:rsidRPr="00B67F80">
        <w:rPr>
          <w:rFonts w:ascii="Times New Roman" w:hAnsi="Times New Roman" w:cs="Times New Roman"/>
          <w:color w:val="000000" w:themeColor="text1"/>
        </w:rPr>
        <w:t>The surface energy flux</w:t>
      </w:r>
      <w:r w:rsidR="004C360B" w:rsidRPr="00B67F80">
        <w:rPr>
          <w:rFonts w:ascii="Times New Roman" w:hAnsi="Times New Roman" w:cs="Times New Roman"/>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004C360B" w:rsidRPr="00B67F80">
        <w:rPr>
          <w:rFonts w:ascii="Times New Roman" w:hAnsi="Times New Roman" w:cs="Times New Roman"/>
          <w:color w:val="000000" w:themeColor="text1"/>
        </w:rPr>
        <w:t>) defined here as positive downwards</w:t>
      </w:r>
      <w:r w:rsidRPr="00B67F80">
        <w:rPr>
          <w:rFonts w:ascii="Times New Roman" w:hAnsi="Times New Roman" w:cs="Times New Roman"/>
          <w:color w:val="000000" w:themeColor="text1"/>
        </w:rPr>
        <w:t xml:space="preserve"> is </w:t>
      </w:r>
      <w:r w:rsidR="00645478" w:rsidRPr="00B67F80">
        <w:rPr>
          <w:rFonts w:ascii="Times New Roman" w:hAnsi="Times New Roman" w:cs="Times New Roman"/>
          <w:color w:val="000000" w:themeColor="text1"/>
        </w:rPr>
        <w:t xml:space="preserve">inferred </w:t>
      </w:r>
      <w:r w:rsidRPr="00B67F80">
        <w:rPr>
          <w:rFonts w:ascii="Times New Roman" w:hAnsi="Times New Roman" w:cs="Times New Roman"/>
          <w:color w:val="000000" w:themeColor="text1"/>
        </w:rPr>
        <w:t xml:space="preserve">using the </w:t>
      </w:r>
      <w:r w:rsidR="00645478" w:rsidRPr="00B67F80">
        <w:rPr>
          <w:rFonts w:ascii="Times New Roman" w:hAnsi="Times New Roman" w:cs="Times New Roman"/>
          <w:color w:val="000000" w:themeColor="text1"/>
        </w:rPr>
        <w:t>residual</w:t>
      </w:r>
      <w:r w:rsidRPr="00B67F80">
        <w:rPr>
          <w:rFonts w:ascii="Times New Roman" w:hAnsi="Times New Roman" w:cs="Times New Roman"/>
          <w:color w:val="000000" w:themeColor="text1"/>
        </w:rPr>
        <w:t xml:space="preserve"> method from the atmospheric energy budget </w:t>
      </w:r>
      <w:r w:rsidR="00645478" w:rsidRPr="00B67F80">
        <w:rPr>
          <w:rFonts w:ascii="Times New Roman" w:hAnsi="Times New Roman" w:cs="Times New Roman"/>
          <w:color w:val="000000" w:themeColor="text1"/>
        </w:rPr>
        <w:t xml:space="preserve">(Trenberth and Fasullo, 2017; Mayer et al., 2017; Liu et al., 2020) </w:t>
      </w:r>
      <w:r w:rsidRPr="00B67F80">
        <w:rPr>
          <w:rFonts w:ascii="Times New Roman" w:hAnsi="Times New Roman" w:cs="Times New Roman"/>
          <w:color w:val="000000" w:themeColor="text1"/>
        </w:rPr>
        <w:t>as follows:</w:t>
      </w:r>
    </w:p>
    <w:p w14:paraId="664175FC" w14:textId="5B78307D" w:rsidR="00E07D9E" w:rsidRPr="00B67F80" w:rsidRDefault="00B2465B" w:rsidP="001E40DE">
      <w:pPr>
        <w:tabs>
          <w:tab w:val="left" w:pos="8910"/>
        </w:tabs>
        <w:spacing w:line="480" w:lineRule="auto"/>
        <w:ind w:firstLine="333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TOA</m:t>
            </m:r>
          </m:sub>
        </m:sSub>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m:t>
            </m:r>
            <m:r>
              <w:rPr>
                <w:rFonts w:ascii="Cambria Math" w:hAnsi="Cambria Math"/>
                <w:color w:val="000000" w:themeColor="text1"/>
              </w:rPr>
              <m:t>∙F</m:t>
            </m:r>
          </m:e>
          <m:sub>
            <m:r>
              <w:rPr>
                <w:rFonts w:ascii="Cambria Math" w:hAnsi="Cambria Math"/>
                <w:color w:val="000000" w:themeColor="text1"/>
              </w:rPr>
              <m:t>A</m:t>
            </m:r>
          </m:sub>
        </m:sSub>
        <m:r>
          <w:rPr>
            <w:rFonts w:ascii="Cambria Math" w:hAnsi="Cambria Math"/>
            <w:color w:val="000000" w:themeColor="text1"/>
          </w:rPr>
          <m:t>-AET</m:t>
        </m:r>
      </m:oMath>
      <w:r w:rsidR="001E40DE" w:rsidRPr="00B67F80">
        <w:rPr>
          <w:color w:val="000000" w:themeColor="text1"/>
        </w:rPr>
        <w:tab/>
        <w:t>(1)</w:t>
      </w:r>
    </w:p>
    <w:p w14:paraId="2B589CF4" w14:textId="515F8B3C" w:rsidR="00645478" w:rsidRPr="00B67F80" w:rsidRDefault="001E40DE" w:rsidP="00645478">
      <w:pPr>
        <w:spacing w:line="480" w:lineRule="auto"/>
        <w:jc w:val="both"/>
        <w:rPr>
          <w:color w:val="000000" w:themeColor="text1"/>
        </w:rPr>
      </w:pPr>
      <w:r w:rsidRPr="00B67F80">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TOA</m:t>
            </m:r>
          </m:sub>
        </m:sSub>
      </m:oMath>
      <w:r w:rsidRPr="00B67F80">
        <w:rPr>
          <w:color w:val="000000" w:themeColor="text1"/>
        </w:rPr>
        <w:t xml:space="preserve"> is the net downward radiation at the TOA, </w:t>
      </w:r>
      <m:oMath>
        <m:sSub>
          <m:sSubPr>
            <m:ctrlPr>
              <w:rPr>
                <w:rFonts w:ascii="Cambria Math" w:hAnsi="Cambria Math"/>
                <w:i/>
                <w:color w:val="000000" w:themeColor="text1"/>
              </w:rPr>
            </m:ctrlPr>
          </m:sSubPr>
          <m:e>
            <m:r>
              <m:rPr>
                <m:sty m:val="p"/>
              </m:rPr>
              <w:rPr>
                <w:rFonts w:ascii="Cambria Math" w:hAnsi="Cambria Math"/>
                <w:color w:val="000000" w:themeColor="text1"/>
              </w:rPr>
              <m:t>∇</m:t>
            </m:r>
            <m:r>
              <w:rPr>
                <w:rFonts w:ascii="Cambria Math" w:hAnsi="Cambria Math"/>
                <w:color w:val="000000" w:themeColor="text1"/>
              </w:rPr>
              <m:t>∙F</m:t>
            </m:r>
          </m:e>
          <m:sub>
            <m:r>
              <w:rPr>
                <w:rFonts w:ascii="Cambria Math" w:hAnsi="Cambria Math"/>
                <w:color w:val="000000" w:themeColor="text1"/>
              </w:rPr>
              <m:t>A</m:t>
            </m:r>
          </m:sub>
        </m:sSub>
      </m:oMath>
      <w:r w:rsidRPr="00B67F80">
        <w:rPr>
          <w:color w:val="000000" w:themeColor="text1"/>
        </w:rPr>
        <w:t xml:space="preserve"> is the divergence of lateral atmospheric energy transports</w:t>
      </w:r>
      <w:r w:rsidR="00257F8B" w:rsidRPr="00B67F80">
        <w:rPr>
          <w:color w:val="000000" w:themeColor="text1"/>
        </w:rPr>
        <w:t xml:space="preserve"> (TEDIV)</w:t>
      </w:r>
      <w:r w:rsidRPr="00B67F80">
        <w:rPr>
          <w:color w:val="000000" w:themeColor="text1"/>
        </w:rPr>
        <w:t xml:space="preserve">, and </w:t>
      </w:r>
      <m:oMath>
        <m:r>
          <w:rPr>
            <w:rFonts w:ascii="Cambria Math" w:hAnsi="Cambria Math"/>
            <w:color w:val="000000" w:themeColor="text1"/>
          </w:rPr>
          <m:t>AET</m:t>
        </m:r>
      </m:oMath>
      <w:r w:rsidRPr="00B67F80">
        <w:rPr>
          <w:color w:val="000000" w:themeColor="text1"/>
        </w:rPr>
        <w:t xml:space="preserve"> is the v</w:t>
      </w:r>
      <w:r w:rsidRPr="00B67F80">
        <w:rPr>
          <w:rFonts w:eastAsiaTheme="minorHAnsi"/>
          <w:color w:val="000000" w:themeColor="text1"/>
        </w:rPr>
        <w:t>ertically</w:t>
      </w:r>
      <w:r w:rsidRPr="00B67F80">
        <w:rPr>
          <w:color w:val="000000" w:themeColor="text1"/>
        </w:rPr>
        <w:t xml:space="preserve"> </w:t>
      </w:r>
      <w:r w:rsidRPr="00B67F80">
        <w:rPr>
          <w:rFonts w:eastAsiaTheme="minorHAnsi"/>
          <w:color w:val="000000" w:themeColor="text1"/>
        </w:rPr>
        <w:t xml:space="preserve">integrated atmospheric energy tendency. </w:t>
      </w:r>
      <w:r w:rsidR="0057036A" w:rsidRPr="00B67F80">
        <w:rPr>
          <w:rFonts w:eastAsiaTheme="minorHAnsi"/>
          <w:color w:val="000000" w:themeColor="text1"/>
        </w:rPr>
        <w:t>We use CERES EBAF Ed4.1 to determine</w:t>
      </w:r>
      <w:r w:rsidRPr="00B67F80">
        <w:rPr>
          <w:rFonts w:eastAsiaTheme="minorHAns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TOA</m:t>
            </m:r>
          </m:sub>
        </m:sSub>
      </m:oMath>
      <w:r w:rsidR="00B155DC" w:rsidRPr="00B67F80">
        <w:rPr>
          <w:color w:val="000000" w:themeColor="text1"/>
        </w:rPr>
        <w:t xml:space="preserve">. The </w:t>
      </w:r>
      <m:oMath>
        <m:sSub>
          <m:sSubPr>
            <m:ctrlPr>
              <w:rPr>
                <w:rFonts w:ascii="Cambria Math" w:hAnsi="Cambria Math"/>
                <w:i/>
                <w:color w:val="000000" w:themeColor="text1"/>
              </w:rPr>
            </m:ctrlPr>
          </m:sSubPr>
          <m:e>
            <m:r>
              <m:rPr>
                <m:sty m:val="p"/>
              </m:rPr>
              <w:rPr>
                <w:rFonts w:ascii="Cambria Math" w:hAnsi="Cambria Math"/>
                <w:color w:val="000000" w:themeColor="text1"/>
              </w:rPr>
              <m:t>∇</m:t>
            </m:r>
            <m:r>
              <w:rPr>
                <w:rFonts w:ascii="Cambria Math" w:hAnsi="Cambria Math"/>
                <w:color w:val="000000" w:themeColor="text1"/>
              </w:rPr>
              <m:t>∙F</m:t>
            </m:r>
          </m:e>
          <m:sub>
            <m:r>
              <w:rPr>
                <w:rFonts w:ascii="Cambria Math" w:hAnsi="Cambria Math"/>
                <w:color w:val="000000" w:themeColor="text1"/>
              </w:rPr>
              <m:t>A</m:t>
            </m:r>
          </m:sub>
        </m:sSub>
      </m:oMath>
      <w:r w:rsidR="00B155DC" w:rsidRPr="00B67F80">
        <w:rPr>
          <w:color w:val="000000" w:themeColor="text1"/>
        </w:rPr>
        <w:t xml:space="preserve"> term is </w:t>
      </w:r>
      <w:r w:rsidR="00B155DC" w:rsidRPr="00B67F80">
        <w:rPr>
          <w:rFonts w:eastAsiaTheme="minorHAnsi"/>
          <w:color w:val="000000" w:themeColor="text1"/>
        </w:rPr>
        <w:t xml:space="preserve">computed </w:t>
      </w:r>
      <w:r w:rsidR="001C5639" w:rsidRPr="00B67F80">
        <w:rPr>
          <w:rFonts w:eastAsiaTheme="minorHAnsi"/>
          <w:color w:val="000000" w:themeColor="text1"/>
        </w:rPr>
        <w:t xml:space="preserve">from hourly ERA5 analyses of atmospheric wind, temperature, and humidity profiles using </w:t>
      </w:r>
      <w:r w:rsidR="00B155DC" w:rsidRPr="00B67F80">
        <w:rPr>
          <w:rFonts w:eastAsiaTheme="minorHAnsi"/>
          <w:color w:val="000000" w:themeColor="text1"/>
        </w:rPr>
        <w:t>an improved budget formulation</w:t>
      </w:r>
      <w:r w:rsidR="00B155DC" w:rsidRPr="00B67F80">
        <w:rPr>
          <w:color w:val="000000" w:themeColor="text1"/>
        </w:rPr>
        <w:t xml:space="preserve"> </w:t>
      </w:r>
      <w:r w:rsidR="00B155DC" w:rsidRPr="00B67F80">
        <w:rPr>
          <w:rFonts w:eastAsiaTheme="minorHAnsi"/>
          <w:color w:val="000000" w:themeColor="text1"/>
        </w:rPr>
        <w:t xml:space="preserve">that </w:t>
      </w:r>
      <w:r w:rsidR="00645478" w:rsidRPr="00B67F80">
        <w:rPr>
          <w:rFonts w:eastAsiaTheme="minorHAnsi"/>
          <w:color w:val="000000" w:themeColor="text1"/>
        </w:rPr>
        <w:t>treats lateral and vertical moisture enthalpy fluxes in a consistent manner (Mayer et al., 2017)</w:t>
      </w:r>
      <w:r w:rsidR="00645478" w:rsidRPr="00B67F80">
        <w:rPr>
          <w:color w:val="000000" w:themeColor="text1"/>
        </w:rPr>
        <w:t xml:space="preserve"> </w:t>
      </w:r>
      <w:r w:rsidR="00645478" w:rsidRPr="00B67F80">
        <w:rPr>
          <w:rFonts w:eastAsiaTheme="minorHAnsi"/>
          <w:color w:val="000000" w:themeColor="text1"/>
        </w:rPr>
        <w:t xml:space="preserve">and ensures mass consistency following J. Mayer et al. (2021). Maps of </w:t>
      </w:r>
      <m:oMath>
        <m:sSub>
          <m:sSubPr>
            <m:ctrlPr>
              <w:rPr>
                <w:rFonts w:ascii="Cambria Math" w:hAnsi="Cambria Math"/>
                <w:i/>
                <w:color w:val="000000" w:themeColor="text1"/>
              </w:rPr>
            </m:ctrlPr>
          </m:sSubPr>
          <m:e>
            <m:r>
              <m:rPr>
                <m:sty m:val="p"/>
              </m:rPr>
              <w:rPr>
                <w:rFonts w:ascii="Cambria Math" w:hAnsi="Cambria Math"/>
                <w:color w:val="000000" w:themeColor="text1"/>
              </w:rPr>
              <m:t>∇</m:t>
            </m:r>
            <m:r>
              <w:rPr>
                <w:rFonts w:ascii="Cambria Math" w:hAnsi="Cambria Math"/>
                <w:color w:val="000000" w:themeColor="text1"/>
              </w:rPr>
              <m:t>∙F</m:t>
            </m:r>
          </m:e>
          <m:sub>
            <m:r>
              <w:rPr>
                <w:rFonts w:ascii="Cambria Math" w:hAnsi="Cambria Math"/>
                <w:color w:val="000000" w:themeColor="text1"/>
              </w:rPr>
              <m:t>A</m:t>
            </m:r>
          </m:sub>
        </m:sSub>
      </m:oMath>
      <w:r w:rsidR="00645478" w:rsidRPr="00B67F80">
        <w:rPr>
          <w:color w:val="000000" w:themeColor="text1"/>
        </w:rPr>
        <w:t xml:space="preserve"> </w:t>
      </w:r>
      <w:r w:rsidR="00645478" w:rsidRPr="00B67F80">
        <w:rPr>
          <w:rFonts w:eastAsiaTheme="minorHAnsi"/>
          <w:color w:val="000000" w:themeColor="text1"/>
        </w:rPr>
        <w:t xml:space="preserve">are smoothed using a tapered filter truncating at T42. </w:t>
      </w:r>
      <w:r w:rsidR="00645478" w:rsidRPr="00B67F80">
        <w:rPr>
          <w:color w:val="000000" w:themeColor="text1"/>
        </w:rPr>
        <w:t xml:space="preserve">The </w:t>
      </w:r>
      <m:oMath>
        <m:r>
          <w:rPr>
            <w:rFonts w:ascii="Cambria Math" w:hAnsi="Cambria Math"/>
            <w:color w:val="000000" w:themeColor="text1"/>
          </w:rPr>
          <m:t>AET</m:t>
        </m:r>
      </m:oMath>
      <w:r w:rsidR="00645478" w:rsidRPr="00B67F80">
        <w:rPr>
          <w:color w:val="000000" w:themeColor="text1"/>
        </w:rPr>
        <w:t xml:space="preserve"> </w:t>
      </w:r>
      <w:r w:rsidR="00645478" w:rsidRPr="00B67F80">
        <w:rPr>
          <w:rFonts w:eastAsiaTheme="minorHAnsi"/>
          <w:color w:val="000000" w:themeColor="text1"/>
        </w:rPr>
        <w:t xml:space="preserve">term is calculated from differences of analyses of the total atmospheric energy at the first of each month, but AET is small on the time scales considered. </w:t>
      </w:r>
    </w:p>
    <w:p w14:paraId="4F3016E3" w14:textId="03A02F1F" w:rsidR="00645478" w:rsidRPr="00B67F80" w:rsidRDefault="00645478" w:rsidP="004E55FA">
      <w:pPr>
        <w:spacing w:line="480" w:lineRule="auto"/>
        <w:ind w:firstLine="720"/>
        <w:jc w:val="both"/>
        <w:rPr>
          <w:rFonts w:eastAsiaTheme="minorHAnsi"/>
          <w:color w:val="000000" w:themeColor="text1"/>
        </w:rPr>
      </w:pPr>
      <w:r w:rsidRPr="00B67F80">
        <w:rPr>
          <w:color w:val="000000" w:themeColor="text1"/>
        </w:rPr>
        <w:t xml:space="preserve">In addition to the estimates described above, availability of ERA5 short-term forecasts and IFS AMIP data provides two additional estimates of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TOA</m:t>
            </m:r>
          </m:sub>
        </m:sSub>
      </m:oMath>
      <w:r w:rsidRPr="00B67F80">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Pr="00B67F80">
        <w:rPr>
          <w:color w:val="000000" w:themeColor="text1"/>
        </w:rPr>
        <w:t xml:space="preserve"> and two alternative estimates of </w:t>
      </w:r>
      <m:oMath>
        <m:sSub>
          <m:sSubPr>
            <m:ctrlPr>
              <w:rPr>
                <w:rFonts w:ascii="Cambria Math" w:hAnsi="Cambria Math"/>
                <w:i/>
                <w:color w:val="000000" w:themeColor="text1"/>
              </w:rPr>
            </m:ctrlPr>
          </m:sSubPr>
          <m:e>
            <m:r>
              <m:rPr>
                <m:sty m:val="p"/>
              </m:rPr>
              <w:rPr>
                <w:rFonts w:ascii="Cambria Math" w:hAnsi="Cambria Math"/>
                <w:color w:val="000000" w:themeColor="text1"/>
              </w:rPr>
              <m:t>∇</m:t>
            </m:r>
            <m:r>
              <w:rPr>
                <w:rFonts w:ascii="Cambria Math" w:hAnsi="Cambria Math"/>
                <w:color w:val="000000" w:themeColor="text1"/>
              </w:rPr>
              <m:t>∙F</m:t>
            </m:r>
          </m:e>
          <m:sub>
            <m:r>
              <w:rPr>
                <w:rFonts w:ascii="Cambria Math" w:hAnsi="Cambria Math"/>
                <w:color w:val="000000" w:themeColor="text1"/>
              </w:rPr>
              <m:t>A</m:t>
            </m:r>
          </m:sub>
        </m:sSub>
      </m:oMath>
      <w:r w:rsidRPr="00B67F80">
        <w:rPr>
          <w:color w:val="000000" w:themeColor="text1"/>
        </w:rPr>
        <w:t xml:space="preserve">. For ERA5, we use short term forecasts and subtract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TOA</m:t>
            </m:r>
          </m:sub>
        </m:sSub>
      </m:oMath>
      <w:r w:rsidRPr="00B67F80">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Pr="00B67F80">
        <w:rPr>
          <w:color w:val="000000" w:themeColor="text1"/>
        </w:rPr>
        <w:t xml:space="preserve"> (Eq 1). Neglecting the effect of assimilation increments in this estimate will lead to differences with the divergence estimate based on analysed state quantities (J. Mayer et al 2021). </w:t>
      </w:r>
      <w:r w:rsidR="00057E10" w:rsidRPr="00B67F80">
        <w:rPr>
          <w:color w:val="000000" w:themeColor="text1"/>
        </w:rPr>
        <w:t>T</w:t>
      </w:r>
      <w:r w:rsidRPr="00B67F80">
        <w:rPr>
          <w:color w:val="000000" w:themeColor="text1"/>
        </w:rPr>
        <w:t xml:space="preserve">he short-term ERA5 forecasts </w:t>
      </w:r>
      <w:r w:rsidR="00D66ECF">
        <w:rPr>
          <w:color w:val="000000" w:themeColor="text1"/>
        </w:rPr>
        <w:t xml:space="preserve">are averaged over the first twelve hours of the forecasts and </w:t>
      </w:r>
      <w:r w:rsidRPr="00B67F80">
        <w:rPr>
          <w:color w:val="000000" w:themeColor="text1"/>
        </w:rPr>
        <w:t xml:space="preserve">initialized from analyses that are </w:t>
      </w:r>
      <w:r w:rsidRPr="00B67F80">
        <w:rPr>
          <w:color w:val="000000" w:themeColor="text1"/>
        </w:rPr>
        <w:lastRenderedPageBreak/>
        <w:t xml:space="preserve">constrained by observations and in that sense are still influenced by observations. </w:t>
      </w:r>
      <w:r w:rsidR="00470FB1" w:rsidRPr="00B67F80">
        <w:rPr>
          <w:color w:val="000000" w:themeColor="text1"/>
        </w:rPr>
        <w:t>T</w:t>
      </w:r>
      <w:r w:rsidRPr="00B67F80">
        <w:rPr>
          <w:color w:val="000000" w:themeColor="text1"/>
        </w:rPr>
        <w:t xml:space="preserve">he divergence estimate </w:t>
      </w:r>
      <w:r w:rsidR="00470FB1" w:rsidRPr="00B67F80">
        <w:rPr>
          <w:color w:val="000000" w:themeColor="text1"/>
        </w:rPr>
        <w:t>from</w:t>
      </w:r>
      <w:r w:rsidRPr="00B67F80">
        <w:rPr>
          <w:color w:val="000000" w:themeColor="text1"/>
        </w:rPr>
        <w:t xml:space="preserve"> short-term forecasts can </w:t>
      </w:r>
      <w:r w:rsidR="00470FB1" w:rsidRPr="00B67F80">
        <w:rPr>
          <w:color w:val="000000" w:themeColor="text1"/>
        </w:rPr>
        <w:t xml:space="preserve">thus </w:t>
      </w:r>
      <w:r w:rsidRPr="00B67F80">
        <w:rPr>
          <w:color w:val="000000" w:themeColor="text1"/>
        </w:rPr>
        <w:t xml:space="preserve">be viewed as </w:t>
      </w:r>
      <w:r w:rsidR="003866A1" w:rsidRPr="00B67F80">
        <w:rPr>
          <w:color w:val="000000" w:themeColor="text1"/>
        </w:rPr>
        <w:t xml:space="preserve">falling somewhere </w:t>
      </w:r>
      <w:r w:rsidRPr="00B67F80">
        <w:rPr>
          <w:color w:val="000000" w:themeColor="text1"/>
        </w:rPr>
        <w:t xml:space="preserve">between </w:t>
      </w:r>
      <w:r w:rsidR="003866A1" w:rsidRPr="00B67F80">
        <w:rPr>
          <w:color w:val="000000" w:themeColor="text1"/>
        </w:rPr>
        <w:t>an</w:t>
      </w:r>
      <w:r w:rsidRPr="00B67F80">
        <w:rPr>
          <w:color w:val="000000" w:themeColor="text1"/>
        </w:rPr>
        <w:t xml:space="preserve"> analysis-based estimate and an estimate from a free-running model. The difference </w:t>
      </w:r>
      <w:r w:rsidR="003866A1" w:rsidRPr="00B67F80">
        <w:rPr>
          <w:color w:val="000000" w:themeColor="text1"/>
        </w:rPr>
        <w:t>between</w:t>
      </w:r>
      <w:r w:rsidRPr="00B67F80">
        <w:rPr>
          <w:color w:val="000000" w:themeColor="text1"/>
        </w:rPr>
        <w:t xml:space="preserve"> </w:t>
      </w:r>
      <w:r w:rsidR="003866A1" w:rsidRPr="00B67F80">
        <w:rPr>
          <w:color w:val="000000" w:themeColor="text1"/>
        </w:rPr>
        <w:t xml:space="preserve">divergence </w:t>
      </w:r>
      <w:r w:rsidRPr="00B67F80">
        <w:rPr>
          <w:color w:val="000000" w:themeColor="text1"/>
        </w:rPr>
        <w:t xml:space="preserve">trends estimated from analyses </w:t>
      </w:r>
      <w:r w:rsidR="003866A1" w:rsidRPr="00B67F80">
        <w:rPr>
          <w:color w:val="000000" w:themeColor="text1"/>
        </w:rPr>
        <w:t>and</w:t>
      </w:r>
      <w:r w:rsidRPr="00B67F80">
        <w:rPr>
          <w:color w:val="000000" w:themeColor="text1"/>
        </w:rPr>
        <w:t xml:space="preserve"> short-term forecasts </w:t>
      </w:r>
      <w:r w:rsidR="003866A1" w:rsidRPr="00B67F80">
        <w:rPr>
          <w:color w:val="000000" w:themeColor="text1"/>
        </w:rPr>
        <w:t>provides insight in</w:t>
      </w:r>
      <w:r w:rsidRPr="00B67F80">
        <w:rPr>
          <w:color w:val="000000" w:themeColor="text1"/>
        </w:rPr>
        <w:t xml:space="preserve">to </w:t>
      </w:r>
      <w:r w:rsidR="003866A1" w:rsidRPr="00B67F80">
        <w:rPr>
          <w:color w:val="000000" w:themeColor="text1"/>
        </w:rPr>
        <w:t>the</w:t>
      </w:r>
      <w:r w:rsidRPr="00B67F80">
        <w:rPr>
          <w:color w:val="000000" w:themeColor="text1"/>
        </w:rPr>
        <w:t xml:space="preserve"> degree </w:t>
      </w:r>
      <w:r w:rsidR="003866A1" w:rsidRPr="00B67F80">
        <w:rPr>
          <w:color w:val="000000" w:themeColor="text1"/>
        </w:rPr>
        <w:t xml:space="preserve">to which </w:t>
      </w:r>
      <w:r w:rsidRPr="00B67F80">
        <w:rPr>
          <w:color w:val="000000" w:themeColor="text1"/>
        </w:rPr>
        <w:t xml:space="preserve">the model </w:t>
      </w:r>
      <w:r w:rsidR="003866A1" w:rsidRPr="00B67F80">
        <w:rPr>
          <w:color w:val="000000" w:themeColor="text1"/>
        </w:rPr>
        <w:t>can</w:t>
      </w:r>
      <w:r w:rsidRPr="00B67F80">
        <w:rPr>
          <w:color w:val="000000" w:themeColor="text1"/>
        </w:rPr>
        <w:t xml:space="preserve"> </w:t>
      </w:r>
      <w:r w:rsidR="003866A1" w:rsidRPr="00B67F80">
        <w:rPr>
          <w:color w:val="000000" w:themeColor="text1"/>
        </w:rPr>
        <w:t>represent</w:t>
      </w:r>
      <w:r w:rsidRPr="00B67F80">
        <w:rPr>
          <w:color w:val="000000" w:themeColor="text1"/>
        </w:rPr>
        <w:t xml:space="preserve"> observed changes </w:t>
      </w:r>
      <w:r w:rsidR="003866A1" w:rsidRPr="00B67F80">
        <w:rPr>
          <w:color w:val="000000" w:themeColor="text1"/>
        </w:rPr>
        <w:t>in</w:t>
      </w:r>
      <w:r w:rsidRPr="00B67F80">
        <w:rPr>
          <w:color w:val="000000" w:themeColor="text1"/>
        </w:rPr>
        <w:t xml:space="preserve"> the atmosphere</w:t>
      </w:r>
      <w:r w:rsidR="003866A1" w:rsidRPr="00B67F80">
        <w:rPr>
          <w:color w:val="000000" w:themeColor="text1"/>
        </w:rPr>
        <w:t>. It may also reveal</w:t>
      </w:r>
      <w:r w:rsidRPr="00B67F80">
        <w:rPr>
          <w:color w:val="000000" w:themeColor="text1"/>
        </w:rPr>
        <w:t xml:space="preserve"> </w:t>
      </w:r>
      <w:r w:rsidR="003866A1" w:rsidRPr="00B67F80">
        <w:rPr>
          <w:color w:val="000000" w:themeColor="text1"/>
        </w:rPr>
        <w:t>areas where the model</w:t>
      </w:r>
      <w:r w:rsidRPr="00B67F80">
        <w:rPr>
          <w:color w:val="000000" w:themeColor="text1"/>
        </w:rPr>
        <w:t xml:space="preserve"> damps out potential spurious jumps from changes in the observing system. The third divergence estimate is similar to the one based on short-term forecasts but uses IFS AMIP data. Trends in that estimate reflect changes the model </w:t>
      </w:r>
      <w:r w:rsidR="001A7E84" w:rsidRPr="00B67F80">
        <w:rPr>
          <w:color w:val="000000" w:themeColor="text1"/>
        </w:rPr>
        <w:t>captures due to</w:t>
      </w:r>
      <w:r w:rsidRPr="00B67F80">
        <w:rPr>
          <w:color w:val="000000" w:themeColor="text1"/>
        </w:rPr>
        <w:t xml:space="preserve"> changes in the boundary conditions like SSTs and sea ice.</w:t>
      </w:r>
    </w:p>
    <w:p w14:paraId="357E58CE" w14:textId="76A90714" w:rsidR="00E07D9E" w:rsidRPr="00B67F80" w:rsidRDefault="001E551D" w:rsidP="00A663F9">
      <w:pPr>
        <w:pStyle w:val="ListParagraph"/>
        <w:spacing w:line="480" w:lineRule="auto"/>
        <w:ind w:left="0" w:firstLine="360"/>
        <w:jc w:val="both"/>
        <w:rPr>
          <w:rFonts w:ascii="Times New Roman" w:hAnsi="Times New Roman" w:cs="Times New Roman"/>
          <w:color w:val="000000" w:themeColor="text1"/>
        </w:rPr>
      </w:pPr>
      <w:r w:rsidRPr="00B67F80">
        <w:rPr>
          <w:rFonts w:ascii="Times New Roman" w:hAnsi="Times New Roman" w:cs="Times New Roman"/>
          <w:color w:val="000000" w:themeColor="text1"/>
        </w:rPr>
        <w:t xml:space="preserve">We determine “inferred” surface turbulent heat fluxes </w:t>
      </w:r>
      <w:r w:rsidR="00123B7B" w:rsidRPr="00B67F80">
        <w:rPr>
          <w:rFonts w:ascii="Times New Roman" w:hAnsi="Times New Roman" w:cs="Times New Roman"/>
          <w:color w:val="000000" w:themeColor="text1"/>
        </w:rPr>
        <w:t>from:</w:t>
      </w:r>
    </w:p>
    <w:p w14:paraId="39CB27F4" w14:textId="6C87D559" w:rsidR="00123B7B" w:rsidRPr="00B67F80" w:rsidRDefault="00B2465B" w:rsidP="00123B7B">
      <w:pPr>
        <w:tabs>
          <w:tab w:val="left" w:pos="8910"/>
        </w:tabs>
        <w:spacing w:line="480" w:lineRule="auto"/>
        <w:ind w:firstLine="333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m:t>
            </m:r>
          </m:sub>
        </m:sSub>
      </m:oMath>
      <w:r w:rsidR="00123B7B" w:rsidRPr="00B67F80">
        <w:rPr>
          <w:color w:val="000000" w:themeColor="text1"/>
        </w:rPr>
        <w:tab/>
        <w:t>(</w:t>
      </w:r>
      <w:r w:rsidR="009A4192" w:rsidRPr="00B67F80">
        <w:rPr>
          <w:color w:val="000000" w:themeColor="text1"/>
        </w:rPr>
        <w:t>2</w:t>
      </w:r>
      <w:r w:rsidR="00123B7B" w:rsidRPr="00B67F80">
        <w:rPr>
          <w:color w:val="000000" w:themeColor="text1"/>
        </w:rPr>
        <w:t>)</w:t>
      </w:r>
    </w:p>
    <w:p w14:paraId="5DB173D4" w14:textId="31C1AE68" w:rsidR="004E2DF2" w:rsidRPr="00B67F80" w:rsidRDefault="00123B7B" w:rsidP="00AF362C">
      <w:pPr>
        <w:spacing w:line="480" w:lineRule="auto"/>
        <w:jc w:val="both"/>
        <w:rPr>
          <w:color w:val="000000" w:themeColor="text1"/>
        </w:rPr>
      </w:pPr>
      <w:r w:rsidRPr="00B67F80">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m:t>
            </m:r>
          </m:sub>
        </m:sSub>
      </m:oMath>
      <w:r w:rsidRPr="00B67F80">
        <w:rPr>
          <w:color w:val="000000" w:themeColor="text1"/>
        </w:rPr>
        <w:t xml:space="preserve"> is the sum of surface latent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L</m:t>
            </m:r>
          </m:sub>
        </m:sSub>
      </m:oMath>
      <w:r w:rsidRPr="00B67F80">
        <w:rPr>
          <w:color w:val="000000" w:themeColor="text1"/>
        </w:rPr>
        <w:t>) and sensible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S</m:t>
            </m:r>
          </m:sub>
        </m:sSub>
      </m:oMath>
      <w:r w:rsidRPr="00B67F80">
        <w:rPr>
          <w:color w:val="000000" w:themeColor="text1"/>
        </w:rPr>
        <w:t xml:space="preserve">) heat flux and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m:t>
            </m:r>
          </m:sub>
        </m:sSub>
      </m:oMath>
      <w:r w:rsidRPr="00B67F80">
        <w:rPr>
          <w:color w:val="000000" w:themeColor="text1"/>
        </w:rPr>
        <w:t xml:space="preserve"> is net downward radiation at the surface.</w:t>
      </w:r>
      <w:r w:rsidR="0057036A" w:rsidRPr="00B67F80">
        <w:rPr>
          <w:color w:val="000000" w:themeColor="text1"/>
        </w:rPr>
        <w:t xml:space="preserve"> We determine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m:t>
            </m:r>
          </m:sub>
        </m:sSub>
      </m:oMath>
      <w:r w:rsidR="0057036A" w:rsidRPr="00B67F80">
        <w:rPr>
          <w:color w:val="000000" w:themeColor="text1"/>
        </w:rPr>
        <w:t xml:space="preserve"> from CERES.</w:t>
      </w:r>
    </w:p>
    <w:p w14:paraId="03537B44" w14:textId="2E3BD7D5" w:rsidR="004E2DF2" w:rsidRPr="00B67F80" w:rsidRDefault="004E2DF2" w:rsidP="007937B0">
      <w:pPr>
        <w:pStyle w:val="ListParagraph"/>
        <w:keepNext/>
        <w:numPr>
          <w:ilvl w:val="1"/>
          <w:numId w:val="18"/>
        </w:numPr>
        <w:spacing w:line="480" w:lineRule="auto"/>
        <w:ind w:left="547" w:hanging="547"/>
        <w:jc w:val="both"/>
        <w:rPr>
          <w:rFonts w:ascii="Times New Roman" w:hAnsi="Times New Roman" w:cs="Times New Roman"/>
          <w:b/>
          <w:bCs/>
          <w:color w:val="000000" w:themeColor="text1"/>
        </w:rPr>
      </w:pPr>
      <w:r w:rsidRPr="00B67F80">
        <w:rPr>
          <w:rFonts w:ascii="Times New Roman" w:hAnsi="Times New Roman" w:cs="Times New Roman"/>
          <w:b/>
          <w:bCs/>
          <w:color w:val="000000" w:themeColor="text1"/>
        </w:rPr>
        <w:t>Trends</w:t>
      </w:r>
    </w:p>
    <w:p w14:paraId="570A7ED7" w14:textId="7B0BE5E3" w:rsidR="00212293" w:rsidRPr="00B67F80" w:rsidRDefault="007937B0" w:rsidP="009A4192">
      <w:pPr>
        <w:pStyle w:val="ListParagraph"/>
        <w:spacing w:line="480" w:lineRule="auto"/>
        <w:ind w:left="0" w:firstLine="540"/>
        <w:jc w:val="both"/>
        <w:rPr>
          <w:rFonts w:ascii="Times New Roman" w:hAnsi="Times New Roman" w:cs="Times New Roman"/>
          <w:color w:val="000000" w:themeColor="text1"/>
        </w:rPr>
      </w:pPr>
      <w:r w:rsidRPr="00B67F80">
        <w:rPr>
          <w:rFonts w:ascii="Times New Roman" w:hAnsi="Times New Roman" w:cs="Times New Roman"/>
          <w:color w:val="000000" w:themeColor="text1"/>
        </w:rPr>
        <w:t xml:space="preserve">Trends are determined from deseasonalized monthly anomalies using least squares linear regression. </w:t>
      </w:r>
      <w:r w:rsidR="0002788B" w:rsidRPr="00B67F80">
        <w:rPr>
          <w:rFonts w:ascii="Times New Roman" w:hAnsi="Times New Roman" w:cs="Times New Roman"/>
          <w:color w:val="000000" w:themeColor="text1"/>
        </w:rPr>
        <w:t>To determine trend uncertainties, we first calculate residuals of the linear regression fit to a monthly anomaly time series. Next,</w:t>
      </w:r>
      <w:r w:rsidR="00E24954" w:rsidRPr="00B67F80">
        <w:rPr>
          <w:rFonts w:ascii="Times New Roman" w:hAnsi="Times New Roman" w:cs="Times New Roman"/>
          <w:color w:val="000000" w:themeColor="text1"/>
        </w:rPr>
        <w:t xml:space="preserve"> we</w:t>
      </w:r>
      <w:r w:rsidR="00212293" w:rsidRPr="00B67F80">
        <w:rPr>
          <w:rFonts w:ascii="Times New Roman" w:hAnsi="Times New Roman" w:cs="Times New Roman"/>
          <w:color w:val="000000" w:themeColor="text1"/>
        </w:rPr>
        <w:t xml:space="preserve"> calculate the autocorrelation function (ACF) of the residuals and assess whether or not the ACF at any lag is significant</w:t>
      </w:r>
      <w:r w:rsidR="004C2553" w:rsidRPr="00B67F80">
        <w:rPr>
          <w:rFonts w:ascii="Times New Roman" w:hAnsi="Times New Roman" w:cs="Times New Roman"/>
          <w:color w:val="000000" w:themeColor="text1"/>
        </w:rPr>
        <w:t xml:space="preserve"> by comparing </w:t>
      </w:r>
      <w:r w:rsidR="00E15B24" w:rsidRPr="00B67F80">
        <w:rPr>
          <w:rFonts w:ascii="Times New Roman" w:hAnsi="Times New Roman" w:cs="Times New Roman"/>
          <w:color w:val="000000" w:themeColor="text1"/>
        </w:rPr>
        <w:t>it</w:t>
      </w:r>
      <w:r w:rsidR="004C2553" w:rsidRPr="00B67F80">
        <w:rPr>
          <w:rFonts w:ascii="Times New Roman" w:hAnsi="Times New Roman" w:cs="Times New Roman"/>
          <w:color w:val="000000" w:themeColor="text1"/>
        </w:rPr>
        <w:t xml:space="preserve"> with confidence intervals</w:t>
      </w:r>
      <w:r w:rsidR="003573EA" w:rsidRPr="00B67F80">
        <w:rPr>
          <w:rFonts w:ascii="Times New Roman" w:hAnsi="Times New Roman" w:cs="Times New Roman"/>
          <w:color w:val="000000" w:themeColor="text1"/>
        </w:rPr>
        <w:t xml:space="preserve"> </w:t>
      </w:r>
      <w:r w:rsidR="00D83B79" w:rsidRPr="00B67F80">
        <w:rPr>
          <w:rFonts w:ascii="Times New Roman" w:hAnsi="Times New Roman" w:cs="Times New Roman"/>
          <w:color w:val="000000" w:themeColor="text1"/>
        </w:rPr>
        <w:t>given by</w:t>
      </w:r>
      <w:r w:rsidR="004C2553" w:rsidRPr="00B67F80">
        <w:rPr>
          <w:rFonts w:ascii="Times New Roman" w:hAnsi="Times New Roman" w:cs="Times New Roman"/>
          <w:color w:val="000000" w:themeColor="text1"/>
        </w:rPr>
        <w:t>:</w:t>
      </w:r>
    </w:p>
    <w:p w14:paraId="6EB96B35" w14:textId="1F9E429E" w:rsidR="00212293" w:rsidRPr="00B67F80" w:rsidRDefault="00B2465B" w:rsidP="00212293">
      <w:pPr>
        <w:tabs>
          <w:tab w:val="left" w:pos="8910"/>
        </w:tabs>
        <w:spacing w:line="480" w:lineRule="auto"/>
        <w:ind w:firstLine="333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CI</m:t>
            </m:r>
          </m:e>
          <m:sub>
            <m:r>
              <w:rPr>
                <w:rFonts w:ascii="Cambria Math" w:hAnsi="Cambria Math"/>
                <w:color w:val="000000" w:themeColor="text1"/>
              </w:rPr>
              <m:t>k</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α,υ</m:t>
            </m:r>
          </m:sub>
        </m:sSub>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k</m:t>
            </m:r>
          </m:sub>
        </m:sSub>
      </m:oMath>
      <w:r w:rsidR="00212293" w:rsidRPr="00B67F80">
        <w:rPr>
          <w:color w:val="000000" w:themeColor="text1"/>
        </w:rPr>
        <w:tab/>
        <w:t>(3)</w:t>
      </w:r>
    </w:p>
    <w:p w14:paraId="64A54B7B" w14:textId="30CD26D9" w:rsidR="00212293" w:rsidRPr="00B67F80" w:rsidRDefault="007A3461" w:rsidP="008E7436">
      <w:pPr>
        <w:spacing w:line="480" w:lineRule="auto"/>
        <w:jc w:val="both"/>
        <w:rPr>
          <w:color w:val="000000" w:themeColor="text1"/>
        </w:rPr>
      </w:pPr>
      <w:r w:rsidRPr="00B67F80">
        <w:rPr>
          <w:color w:val="000000" w:themeColor="text1"/>
        </w:rPr>
        <w:t>w</w:t>
      </w:r>
      <w:r w:rsidR="00131765" w:rsidRPr="00B67F80">
        <w:rPr>
          <w:color w:val="000000" w:themeColor="text1"/>
        </w:rPr>
        <w:t xml:space="preserve">here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α,υ</m:t>
            </m:r>
          </m:sub>
        </m:sSub>
      </m:oMath>
      <w:r w:rsidR="00131765" w:rsidRPr="00B67F80">
        <w:rPr>
          <w:color w:val="000000" w:themeColor="text1"/>
        </w:rPr>
        <w:t xml:space="preserve"> is the student-t statistic at significance level </w:t>
      </w:r>
      <m:oMath>
        <m:r>
          <w:rPr>
            <w:rFonts w:ascii="Cambria Math" w:hAnsi="Cambria Math"/>
            <w:color w:val="000000" w:themeColor="text1"/>
          </w:rPr>
          <m:t>α</m:t>
        </m:r>
      </m:oMath>
      <w:r w:rsidR="00131765" w:rsidRPr="00B67F80">
        <w:rPr>
          <w:color w:val="000000" w:themeColor="text1"/>
        </w:rPr>
        <w:t xml:space="preserve"> </w:t>
      </w:r>
      <w:r w:rsidR="0045502B">
        <w:rPr>
          <w:color w:val="000000" w:themeColor="text1"/>
        </w:rPr>
        <w:t>with</w:t>
      </w:r>
      <w:r w:rsidR="00C81AD2">
        <w:rPr>
          <w:color w:val="000000" w:themeColor="text1"/>
        </w:rPr>
        <w:t xml:space="preserve"> </w:t>
      </w:r>
      <m:oMath>
        <m:r>
          <w:rPr>
            <w:rFonts w:ascii="Cambria Math" w:hAnsi="Cambria Math"/>
            <w:color w:val="000000" w:themeColor="text1"/>
          </w:rPr>
          <m:t>υ=N-k</m:t>
        </m:r>
      </m:oMath>
      <w:r w:rsidR="00C81AD2">
        <w:rPr>
          <w:color w:val="000000" w:themeColor="text1"/>
        </w:rPr>
        <w:t xml:space="preserve"> degrees of freedom, </w:t>
      </w:r>
      <w:r w:rsidR="0045502B" w:rsidRPr="00B67F80">
        <w:rPr>
          <w:i/>
          <w:iCs/>
          <w:color w:val="000000" w:themeColor="text1"/>
        </w:rPr>
        <w:t>N</w:t>
      </w:r>
      <w:r w:rsidR="0045502B" w:rsidRPr="00B67F80">
        <w:rPr>
          <w:color w:val="000000" w:themeColor="text1"/>
        </w:rPr>
        <w:t xml:space="preserve"> is the number of samples</w:t>
      </w:r>
      <w:r w:rsidR="0045502B">
        <w:rPr>
          <w:color w:val="000000" w:themeColor="text1"/>
        </w:rPr>
        <w:t xml:space="preserve">, </w:t>
      </w:r>
      <w:r w:rsidR="00131765" w:rsidRPr="00B67F80">
        <w:rPr>
          <w:color w:val="000000" w:themeColor="text1"/>
        </w:rPr>
        <w:t xml:space="preserve">and </w:t>
      </w:r>
      <m:oMath>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k</m:t>
            </m:r>
          </m:sub>
        </m:sSub>
      </m:oMath>
      <w:r w:rsidR="00474A9C" w:rsidRPr="00B67F80">
        <w:rPr>
          <w:color w:val="000000" w:themeColor="text1"/>
        </w:rPr>
        <w:t xml:space="preserve"> </w:t>
      </w:r>
      <w:r w:rsidR="00131765" w:rsidRPr="00B67F80">
        <w:rPr>
          <w:color w:val="000000" w:themeColor="text1"/>
        </w:rPr>
        <w:t xml:space="preserve">is </w:t>
      </w:r>
      <w:r w:rsidR="00474A9C" w:rsidRPr="00B67F80">
        <w:rPr>
          <w:color w:val="000000" w:themeColor="text1"/>
        </w:rPr>
        <w:t xml:space="preserve">the standard deviation at lag </w:t>
      </w:r>
      <m:oMath>
        <m:r>
          <w:rPr>
            <w:rFonts w:ascii="Cambria Math" w:hAnsi="Cambria Math"/>
            <w:color w:val="000000" w:themeColor="text1"/>
          </w:rPr>
          <m:t>k</m:t>
        </m:r>
      </m:oMath>
      <w:r w:rsidR="00474A9C" w:rsidRPr="00B67F80">
        <w:rPr>
          <w:color w:val="000000" w:themeColor="text1"/>
        </w:rPr>
        <w:t xml:space="preserve"> </w:t>
      </w:r>
      <w:r w:rsidR="00131765" w:rsidRPr="00B67F80">
        <w:rPr>
          <w:color w:val="000000" w:themeColor="text1"/>
        </w:rPr>
        <w:t xml:space="preserve">derived </w:t>
      </w:r>
      <w:r w:rsidR="004D3FD5" w:rsidRPr="00B67F80">
        <w:rPr>
          <w:color w:val="000000" w:themeColor="text1"/>
        </w:rPr>
        <w:t xml:space="preserve">using the formulation in Mélard </w:t>
      </w:r>
      <w:r w:rsidR="00D80902" w:rsidRPr="00B67F80">
        <w:rPr>
          <w:color w:val="000000" w:themeColor="text1"/>
        </w:rPr>
        <w:t>and Roy (1987)</w:t>
      </w:r>
      <w:r w:rsidR="00131765" w:rsidRPr="00B67F80">
        <w:rPr>
          <w:color w:val="000000" w:themeColor="text1"/>
        </w:rPr>
        <w:t>:</w:t>
      </w:r>
    </w:p>
    <w:p w14:paraId="02079A53" w14:textId="3A723DC4" w:rsidR="004453EB" w:rsidRPr="00B67F80" w:rsidRDefault="00B2465B" w:rsidP="004453EB">
      <w:pPr>
        <w:tabs>
          <w:tab w:val="left" w:pos="8910"/>
        </w:tabs>
        <w:spacing w:line="480" w:lineRule="auto"/>
        <w:ind w:firstLine="3330"/>
        <w:jc w:val="both"/>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k</m:t>
            </m:r>
          </m:sub>
          <m:sup>
            <m:r>
              <w:rPr>
                <w:rFonts w:ascii="Cambria Math" w:hAnsi="Cambria Math"/>
                <w:color w:val="000000" w:themeColor="text1"/>
              </w:rPr>
              <m:t>2</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d>
          <m:dPr>
            <m:ctrlPr>
              <w:rPr>
                <w:rFonts w:ascii="Cambria Math" w:hAnsi="Cambria Math"/>
                <w:i/>
                <w:color w:val="000000" w:themeColor="text1"/>
              </w:rPr>
            </m:ctrlPr>
          </m:dPr>
          <m:e>
            <m:r>
              <w:rPr>
                <w:rFonts w:ascii="Cambria Math" w:hAnsi="Cambria Math"/>
                <w:color w:val="000000" w:themeColor="text1"/>
              </w:rPr>
              <m:t>1+2</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k-1</m:t>
                </m:r>
              </m:sup>
              <m:e>
                <m:sSubSup>
                  <m:sSubSupPr>
                    <m:ctrlPr>
                      <w:rPr>
                        <w:rFonts w:ascii="Cambria Math" w:hAnsi="Cambria Math"/>
                        <w:i/>
                        <w:color w:val="000000" w:themeColor="text1"/>
                      </w:rPr>
                    </m:ctrlPr>
                  </m:sSubSupPr>
                  <m:e>
                    <m:r>
                      <w:rPr>
                        <w:rFonts w:ascii="Cambria Math" w:hAnsi="Cambria Math"/>
                        <w:color w:val="000000" w:themeColor="text1"/>
                      </w:rPr>
                      <m:t>ρ</m:t>
                    </m:r>
                  </m:e>
                  <m:sub>
                    <m:r>
                      <w:rPr>
                        <w:rFonts w:ascii="Cambria Math" w:hAnsi="Cambria Math"/>
                        <w:color w:val="000000" w:themeColor="text1"/>
                      </w:rPr>
                      <m:t>i</m:t>
                    </m:r>
                  </m:sub>
                  <m:sup>
                    <m:r>
                      <w:rPr>
                        <w:rFonts w:ascii="Cambria Math" w:hAnsi="Cambria Math"/>
                        <w:color w:val="000000" w:themeColor="text1"/>
                      </w:rPr>
                      <m:t>2</m:t>
                    </m:r>
                  </m:sup>
                </m:sSubSup>
              </m:e>
            </m:nary>
          </m:e>
        </m:d>
      </m:oMath>
      <w:r w:rsidR="004453EB" w:rsidRPr="00B67F80">
        <w:rPr>
          <w:color w:val="000000" w:themeColor="text1"/>
        </w:rPr>
        <w:tab/>
        <w:t>(</w:t>
      </w:r>
      <w:r w:rsidR="002525A4" w:rsidRPr="00B67F80">
        <w:rPr>
          <w:color w:val="000000" w:themeColor="text1"/>
        </w:rPr>
        <w:t>4</w:t>
      </w:r>
      <w:r w:rsidR="004453EB" w:rsidRPr="00B67F80">
        <w:rPr>
          <w:color w:val="000000" w:themeColor="text1"/>
        </w:rPr>
        <w:t>)</w:t>
      </w:r>
    </w:p>
    <w:p w14:paraId="2F884A93" w14:textId="36D9C5B1" w:rsidR="008260B2" w:rsidRPr="00B67F80" w:rsidRDefault="00371449" w:rsidP="008260B2">
      <w:pPr>
        <w:pStyle w:val="ListParagraph"/>
        <w:spacing w:line="480" w:lineRule="auto"/>
        <w:ind w:left="0"/>
        <w:jc w:val="both"/>
        <w:rPr>
          <w:rFonts w:ascii="Times New Roman" w:hAnsi="Times New Roman" w:cs="Times New Roman"/>
          <w:color w:val="000000" w:themeColor="text1"/>
        </w:rPr>
      </w:pPr>
      <w:r w:rsidRPr="00B67F80">
        <w:rPr>
          <w:rFonts w:ascii="Times New Roman" w:hAnsi="Times New Roman" w:cs="Times New Roman"/>
          <w:color w:val="000000" w:themeColor="text1"/>
        </w:rPr>
        <w:t>w</w:t>
      </w:r>
      <w:r w:rsidR="007A3461" w:rsidRPr="00B67F80">
        <w:rPr>
          <w:rFonts w:ascii="Times New Roman" w:hAnsi="Times New Roman" w:cs="Times New Roman"/>
          <w:color w:val="000000" w:themeColor="text1"/>
        </w:rPr>
        <w:t>here</w:t>
      </w:r>
      <w:r w:rsidR="00474A9C" w:rsidRPr="00B67F80">
        <w:rPr>
          <w:rFonts w:ascii="Times New Roman" w:hAnsi="Times New Roman" w:cs="Times New Roman"/>
          <w:color w:val="000000" w:themeColor="text1"/>
        </w:rPr>
        <w:t xml:space="preserve"> </w:t>
      </w:r>
      <m:oMath>
        <m:sSub>
          <m:sSubPr>
            <m:ctrlPr>
              <w:rPr>
                <w:rFonts w:ascii="Cambria Math" w:eastAsia="Times New Roman" w:hAnsi="Cambria Math" w:cs="Times New Roman"/>
                <w:i/>
                <w:color w:val="000000" w:themeColor="text1"/>
              </w:rPr>
            </m:ctrlPr>
          </m:sSubPr>
          <m:e>
            <m:r>
              <w:rPr>
                <w:rFonts w:ascii="Cambria Math" w:hAnsi="Cambria Math"/>
                <w:color w:val="000000" w:themeColor="text1"/>
              </w:rPr>
              <m:t>ρ</m:t>
            </m:r>
          </m:e>
          <m:sub>
            <m:r>
              <w:rPr>
                <w:rFonts w:ascii="Cambria Math" w:hAnsi="Cambria Math"/>
                <w:color w:val="000000" w:themeColor="text1"/>
              </w:rPr>
              <m:t>i</m:t>
            </m:r>
          </m:sub>
        </m:sSub>
      </m:oMath>
      <w:r w:rsidR="007A3461" w:rsidRPr="00B67F80">
        <w:rPr>
          <w:color w:val="000000" w:themeColor="text1"/>
        </w:rPr>
        <w:t xml:space="preserve"> </w:t>
      </w:r>
      <w:r w:rsidR="007A3461" w:rsidRPr="00B67F80">
        <w:rPr>
          <w:rFonts w:ascii="Times New Roman" w:hAnsi="Times New Roman" w:cs="Times New Roman"/>
          <w:color w:val="000000" w:themeColor="text1"/>
        </w:rPr>
        <w:t xml:space="preserve">is the ACF at lag </w:t>
      </w:r>
      <m:oMath>
        <m:r>
          <w:rPr>
            <w:rFonts w:ascii="Cambria Math" w:hAnsi="Cambria Math" w:cs="Times New Roman"/>
            <w:color w:val="000000" w:themeColor="text1"/>
          </w:rPr>
          <m:t>i</m:t>
        </m:r>
      </m:oMath>
      <w:r w:rsidR="007A3461" w:rsidRPr="00B67F80">
        <w:rPr>
          <w:rFonts w:ascii="Times New Roman" w:hAnsi="Times New Roman" w:cs="Times New Roman"/>
          <w:color w:val="000000" w:themeColor="text1"/>
        </w:rPr>
        <w:t>.</w:t>
      </w:r>
      <w:r w:rsidR="00220471" w:rsidRPr="00B67F80">
        <w:rPr>
          <w:rFonts w:ascii="Times New Roman" w:hAnsi="Times New Roman" w:cs="Times New Roman"/>
          <w:color w:val="000000" w:themeColor="text1"/>
        </w:rPr>
        <w:t xml:space="preserve"> </w:t>
      </w:r>
      <w:r w:rsidR="00FF20D8" w:rsidRPr="00B67F80">
        <w:rPr>
          <w:rFonts w:ascii="Times New Roman" w:hAnsi="Times New Roman" w:cs="Times New Roman"/>
          <w:color w:val="000000" w:themeColor="text1"/>
        </w:rPr>
        <w:t xml:space="preserve">If </w:t>
      </w:r>
      <m:oMath>
        <m:sSub>
          <m:sSubPr>
            <m:ctrlPr>
              <w:rPr>
                <w:rFonts w:ascii="Cambria Math" w:eastAsia="Times New Roman" w:hAnsi="Cambria Math" w:cs="Times New Roman"/>
                <w:i/>
                <w:color w:val="000000" w:themeColor="text1"/>
              </w:rPr>
            </m:ctrlPr>
          </m:sSubPr>
          <m:e>
            <m:r>
              <w:rPr>
                <w:rFonts w:ascii="Cambria Math" w:hAnsi="Cambria Math"/>
                <w:color w:val="000000" w:themeColor="text1"/>
              </w:rPr>
              <m:t>ρ</m:t>
            </m:r>
          </m:e>
          <m:sub>
            <m:r>
              <w:rPr>
                <w:rFonts w:ascii="Cambria Math" w:hAnsi="Cambria Math"/>
                <w:color w:val="000000" w:themeColor="text1"/>
              </w:rPr>
              <m:t>i</m:t>
            </m:r>
          </m:sub>
        </m:sSub>
      </m:oMath>
      <w:r w:rsidR="00FF20D8" w:rsidRPr="00B67F80">
        <w:rPr>
          <w:rFonts w:ascii="Times New Roman" w:hAnsi="Times New Roman" w:cs="Times New Roman"/>
          <w:color w:val="000000" w:themeColor="text1"/>
        </w:rPr>
        <w:t xml:space="preserve"> at any</w:t>
      </w:r>
      <w:r w:rsidR="001B50DF" w:rsidRPr="00B67F80">
        <w:rPr>
          <w:rFonts w:ascii="Times New Roman" w:hAnsi="Times New Roman" w:cs="Times New Roman"/>
          <w:color w:val="000000" w:themeColor="text1"/>
        </w:rPr>
        <w:t xml:space="preserve"> lag l</w:t>
      </w:r>
      <w:r w:rsidR="00FF20D8" w:rsidRPr="00B67F80">
        <w:rPr>
          <w:rFonts w:ascii="Times New Roman" w:hAnsi="Times New Roman" w:cs="Times New Roman"/>
          <w:color w:val="000000" w:themeColor="text1"/>
        </w:rPr>
        <w:t>ies outside</w:t>
      </w:r>
      <w:r w:rsidR="008260B2" w:rsidRPr="00B67F80">
        <w:rPr>
          <w:rFonts w:ascii="Times New Roman" w:hAnsi="Times New Roman" w:cs="Times New Roman"/>
          <w:color w:val="000000" w:themeColor="text1"/>
        </w:rPr>
        <w:t xml:space="preserve"> the confidence intervals in Eq. (3), we account for autocorrelation in determining the trend uncertainty by calculating the effective sample size</w:t>
      </w:r>
      <w:r w:rsidR="008260B2" w:rsidRPr="00B67F80">
        <w:rPr>
          <w:color w:val="000000" w:themeColor="text1"/>
        </w:rPr>
        <w:t xml:space="preserve"> </w:t>
      </w:r>
      <w:r w:rsidR="008260B2" w:rsidRPr="00B67F80">
        <w:rPr>
          <w:rFonts w:ascii="Times New Roman" w:hAnsi="Times New Roman" w:cs="Times New Roman"/>
          <w:color w:val="000000" w:themeColor="text1"/>
        </w:rPr>
        <w:t>following Gelman et al. (2013)</w:t>
      </w:r>
      <w:r w:rsidR="00A21C45" w:rsidRPr="00B67F80">
        <w:rPr>
          <w:rFonts w:ascii="Times New Roman" w:hAnsi="Times New Roman" w:cs="Times New Roman"/>
          <w:color w:val="000000" w:themeColor="text1"/>
        </w:rPr>
        <w:t>:</w:t>
      </w:r>
      <w:r w:rsidR="008260B2" w:rsidRPr="00B67F80">
        <w:rPr>
          <w:rFonts w:ascii="Times New Roman" w:hAnsi="Times New Roman" w:cs="Times New Roman"/>
          <w:color w:val="000000" w:themeColor="text1"/>
        </w:rPr>
        <w:t xml:space="preserve"> </w:t>
      </w:r>
    </w:p>
    <w:p w14:paraId="1AA1BC47" w14:textId="453AB618" w:rsidR="008260B2" w:rsidRPr="00B67F80" w:rsidRDefault="00B2465B" w:rsidP="008260B2">
      <w:pPr>
        <w:tabs>
          <w:tab w:val="left" w:pos="8910"/>
        </w:tabs>
        <w:spacing w:line="480" w:lineRule="auto"/>
        <w:ind w:firstLine="3330"/>
        <w:jc w:val="both"/>
        <w:rPr>
          <w:color w:val="000000" w:themeColor="text1"/>
        </w:rPr>
      </w:pPr>
      <m:oMath>
        <m:sSub>
          <m:sSubPr>
            <m:ctrlPr>
              <w:rPr>
                <w:rFonts w:ascii="Cambria Math" w:hAnsi="Cambria Math"/>
                <w:i/>
                <w:iCs/>
                <w:color w:val="000000" w:themeColor="text1"/>
              </w:rPr>
            </m:ctrlPr>
          </m:sSubPr>
          <m:e>
            <m:r>
              <w:rPr>
                <w:rFonts w:ascii="Cambria Math" w:hAnsi="Cambria Math"/>
                <w:color w:val="000000" w:themeColor="text1"/>
              </w:rPr>
              <m:t>N</m:t>
            </m:r>
          </m:e>
          <m:sub>
            <m:r>
              <w:rPr>
                <w:rFonts w:ascii="Cambria Math" w:hAnsi="Cambria Math"/>
                <w:color w:val="000000" w:themeColor="text1"/>
              </w:rPr>
              <m:t>e</m:t>
            </m:r>
          </m:sub>
        </m:sSub>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N</m:t>
            </m:r>
          </m:num>
          <m:den>
            <m:r>
              <w:rPr>
                <w:rFonts w:ascii="Cambria Math" w:hAnsi="Cambria Math"/>
                <w:color w:val="000000" w:themeColor="text1"/>
              </w:rPr>
              <m:t>1+2</m:t>
            </m:r>
            <m:nary>
              <m:naryPr>
                <m:chr m:val="∑"/>
                <m:ctrlPr>
                  <w:rPr>
                    <w:rFonts w:ascii="Cambria Math" w:hAnsi="Cambria Math"/>
                    <w:i/>
                    <w:iCs/>
                    <w:color w:val="000000" w:themeColor="text1"/>
                  </w:rPr>
                </m:ctrlPr>
              </m:naryPr>
              <m:sub>
                <m:r>
                  <w:rPr>
                    <w:rFonts w:ascii="Cambria Math" w:hAnsi="Cambria Math"/>
                    <w:color w:val="000000" w:themeColor="text1"/>
                  </w:rPr>
                  <m:t>i=1</m:t>
                </m:r>
              </m:sub>
              <m:sup>
                <m:r>
                  <w:rPr>
                    <w:rFonts w:ascii="Cambria Math" w:hAnsi="Cambria Math"/>
                    <w:color w:val="000000" w:themeColor="text1"/>
                  </w:rPr>
                  <m:t>m</m:t>
                </m:r>
              </m:sup>
              <m:e>
                <m:sSub>
                  <m:sSubPr>
                    <m:ctrlPr>
                      <w:rPr>
                        <w:rFonts w:ascii="Cambria Math" w:hAnsi="Cambria Math"/>
                        <w:i/>
                        <w:iCs/>
                        <w:color w:val="000000" w:themeColor="text1"/>
                      </w:rPr>
                    </m:ctrlPr>
                  </m:sSubPr>
                  <m:e>
                    <m:r>
                      <w:rPr>
                        <w:rFonts w:ascii="Cambria Math" w:hAnsi="Cambria Math"/>
                        <w:color w:val="000000" w:themeColor="text1"/>
                      </w:rPr>
                      <m:t>ρ</m:t>
                    </m:r>
                  </m:e>
                  <m:sub>
                    <m:r>
                      <w:rPr>
                        <w:rFonts w:ascii="Cambria Math" w:hAnsi="Cambria Math"/>
                        <w:color w:val="000000" w:themeColor="text1"/>
                      </w:rPr>
                      <m:t>i</m:t>
                    </m:r>
                  </m:sub>
                </m:sSub>
              </m:e>
            </m:nary>
          </m:den>
        </m:f>
      </m:oMath>
      <w:r w:rsidR="008260B2" w:rsidRPr="00B67F80">
        <w:rPr>
          <w:color w:val="000000" w:themeColor="text1"/>
        </w:rPr>
        <w:tab/>
        <w:t>(</w:t>
      </w:r>
      <w:r w:rsidR="002525A4" w:rsidRPr="00B67F80">
        <w:rPr>
          <w:color w:val="000000" w:themeColor="text1"/>
        </w:rPr>
        <w:t>5</w:t>
      </w:r>
      <w:r w:rsidR="008260B2" w:rsidRPr="00B67F80">
        <w:rPr>
          <w:color w:val="000000" w:themeColor="text1"/>
        </w:rPr>
        <w:t>)</w:t>
      </w:r>
    </w:p>
    <w:p w14:paraId="58B52F84" w14:textId="189097E8" w:rsidR="00205162" w:rsidRDefault="008260B2" w:rsidP="00FF22CD">
      <w:pPr>
        <w:spacing w:line="480" w:lineRule="auto"/>
        <w:jc w:val="both"/>
        <w:rPr>
          <w:rFonts w:eastAsiaTheme="minorHAnsi"/>
          <w:color w:val="000000" w:themeColor="text1"/>
        </w:rPr>
      </w:pPr>
      <w:r w:rsidRPr="00B67F80">
        <w:rPr>
          <w:rFonts w:eastAsiaTheme="minorHAnsi"/>
          <w:color w:val="000000" w:themeColor="text1"/>
        </w:rPr>
        <w:t xml:space="preserve">We determine </w:t>
      </w:r>
      <m:oMath>
        <m:r>
          <w:rPr>
            <w:rFonts w:ascii="Cambria Math" w:hAnsi="Cambria Math"/>
            <w:color w:val="000000" w:themeColor="text1"/>
          </w:rPr>
          <m:t>m</m:t>
        </m:r>
      </m:oMath>
      <w:r w:rsidRPr="00B67F80">
        <w:rPr>
          <w:rFonts w:eastAsiaTheme="minorHAnsi"/>
          <w:color w:val="000000" w:themeColor="text1"/>
        </w:rPr>
        <w:t xml:space="preserve"> as the first lag </w:t>
      </w:r>
      <w:r w:rsidR="002C4317" w:rsidRPr="00B67F80">
        <w:rPr>
          <w:rFonts w:eastAsiaTheme="minorHAnsi"/>
          <w:color w:val="000000" w:themeColor="text1"/>
        </w:rPr>
        <w:t>satisfying both</w:t>
      </w:r>
      <w:r w:rsidRPr="00B67F80">
        <w:rPr>
          <w:rFonts w:eastAsiaTheme="minorHAnsi"/>
          <w:color w:val="000000" w:themeColor="text1"/>
        </w:rPr>
        <w:t xml:space="preserve"> </w:t>
      </w:r>
      <m:oMath>
        <m:sSub>
          <m:sSubPr>
            <m:ctrlPr>
              <w:rPr>
                <w:rFonts w:ascii="Cambria Math" w:eastAsiaTheme="minorHAnsi" w:hAnsi="Cambria Math"/>
                <w:i/>
                <w:iCs/>
                <w:color w:val="000000" w:themeColor="text1"/>
              </w:rPr>
            </m:ctrlPr>
          </m:sSubPr>
          <m:e>
            <m:r>
              <w:rPr>
                <w:rFonts w:ascii="Cambria Math" w:hAnsi="Cambria Math"/>
                <w:color w:val="000000" w:themeColor="text1"/>
              </w:rPr>
              <m:t>ρ</m:t>
            </m:r>
          </m:e>
          <m:sub>
            <m:r>
              <w:rPr>
                <w:rFonts w:ascii="Cambria Math" w:hAnsi="Cambria Math"/>
                <w:color w:val="000000" w:themeColor="text1"/>
              </w:rPr>
              <m:t>m+1</m:t>
            </m:r>
          </m:sub>
        </m:sSub>
      </m:oMath>
      <w:r w:rsidR="0087782F" w:rsidRPr="00B67F80">
        <w:rPr>
          <w:rFonts w:eastAsiaTheme="minorEastAsia"/>
          <w:iCs/>
          <w:color w:val="000000" w:themeColor="text1"/>
        </w:rPr>
        <w:t xml:space="preserve"> &lt; 0 and</w:t>
      </w:r>
      <w:r w:rsidRPr="00B67F80">
        <w:rPr>
          <w:rFonts w:eastAsiaTheme="minorHAnsi"/>
          <w:color w:val="000000" w:themeColor="text1"/>
        </w:rPr>
        <w:t xml:space="preserve"> </w:t>
      </w:r>
      <m:oMath>
        <m:sSub>
          <m:sSubPr>
            <m:ctrlPr>
              <w:rPr>
                <w:rFonts w:ascii="Cambria Math" w:eastAsiaTheme="minorHAnsi" w:hAnsi="Cambria Math"/>
                <w:i/>
                <w:iCs/>
                <w:color w:val="000000" w:themeColor="text1"/>
              </w:rPr>
            </m:ctrlPr>
          </m:sSubPr>
          <m:e>
            <m:sSub>
              <m:sSubPr>
                <m:ctrlPr>
                  <w:rPr>
                    <w:rFonts w:ascii="Cambria Math" w:eastAsiaTheme="minorHAnsi" w:hAnsi="Cambria Math"/>
                    <w:i/>
                    <w:iCs/>
                    <w:color w:val="000000" w:themeColor="text1"/>
                  </w:rPr>
                </m:ctrlPr>
              </m:sSubPr>
              <m:e>
                <m:r>
                  <w:rPr>
                    <w:rFonts w:ascii="Cambria Math" w:hAnsi="Cambria Math"/>
                    <w:color w:val="000000" w:themeColor="text1"/>
                  </w:rPr>
                  <m:t>ρ</m:t>
                </m:r>
              </m:e>
              <m:sub>
                <m:r>
                  <w:rPr>
                    <w:rFonts w:ascii="Cambria Math" w:hAnsi="Cambria Math"/>
                    <w:color w:val="000000" w:themeColor="text1"/>
                  </w:rPr>
                  <m:t>m+1</m:t>
                </m:r>
              </m:sub>
            </m:sSub>
            <m:r>
              <w:rPr>
                <w:rFonts w:ascii="Cambria Math" w:hAnsi="Cambria Math"/>
                <w:color w:val="000000" w:themeColor="text1"/>
              </w:rPr>
              <m:t>+ρ</m:t>
            </m:r>
          </m:e>
          <m:sub>
            <m:r>
              <w:rPr>
                <w:rFonts w:ascii="Cambria Math" w:hAnsi="Cambria Math"/>
                <w:color w:val="000000" w:themeColor="text1"/>
              </w:rPr>
              <m:t>m+2</m:t>
            </m:r>
          </m:sub>
        </m:sSub>
        <m:r>
          <w:rPr>
            <w:rFonts w:ascii="Cambria Math" w:hAnsi="Cambria Math"/>
            <w:color w:val="000000" w:themeColor="text1"/>
          </w:rPr>
          <m:t>&lt;0.</m:t>
        </m:r>
      </m:oMath>
      <w:r w:rsidRPr="00B67F80">
        <w:rPr>
          <w:rFonts w:eastAsiaTheme="minorHAnsi"/>
          <w:color w:val="000000" w:themeColor="text1"/>
        </w:rPr>
        <w:t xml:space="preserve"> This </w:t>
      </w:r>
      <w:r w:rsidR="002C4317" w:rsidRPr="00B67F80">
        <w:rPr>
          <w:rFonts w:eastAsiaTheme="minorHAnsi"/>
          <w:color w:val="000000" w:themeColor="text1"/>
        </w:rPr>
        <w:t>criterion</w:t>
      </w:r>
      <w:r w:rsidRPr="00B67F80">
        <w:rPr>
          <w:rFonts w:eastAsiaTheme="minorHAnsi"/>
          <w:color w:val="000000" w:themeColor="text1"/>
        </w:rPr>
        <w:t xml:space="preserve"> minimize</w:t>
      </w:r>
      <w:r w:rsidR="002C4317" w:rsidRPr="00B67F80">
        <w:rPr>
          <w:rFonts w:eastAsiaTheme="minorHAnsi"/>
          <w:color w:val="000000" w:themeColor="text1"/>
        </w:rPr>
        <w:t>s</w:t>
      </w:r>
      <w:r w:rsidRPr="00B67F80">
        <w:rPr>
          <w:rFonts w:eastAsiaTheme="minorHAnsi"/>
          <w:color w:val="000000" w:themeColor="text1"/>
        </w:rPr>
        <w:t xml:space="preserve"> uncertainty associated with sampling noise in the </w:t>
      </w:r>
      <w:r w:rsidR="002C4317" w:rsidRPr="00B67F80">
        <w:rPr>
          <w:rFonts w:eastAsiaTheme="minorHAnsi"/>
          <w:color w:val="000000" w:themeColor="text1"/>
        </w:rPr>
        <w:t>ACF</w:t>
      </w:r>
      <w:r w:rsidRPr="00B67F80">
        <w:rPr>
          <w:rFonts w:eastAsiaTheme="minorHAnsi"/>
          <w:color w:val="000000" w:themeColor="text1"/>
        </w:rPr>
        <w:t xml:space="preserve">. </w:t>
      </w:r>
      <w:r w:rsidR="00220471" w:rsidRPr="00B67F80">
        <w:rPr>
          <w:color w:val="000000" w:themeColor="text1"/>
        </w:rPr>
        <w:t>If none of the</w:t>
      </w:r>
      <w:r w:rsidR="005B7B42" w:rsidRPr="00B67F8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ρ</m:t>
            </m:r>
          </m:e>
          <m:sub>
            <m:r>
              <w:rPr>
                <w:rFonts w:ascii="Cambria Math" w:hAnsi="Cambria Math"/>
                <w:color w:val="000000" w:themeColor="text1"/>
              </w:rPr>
              <m:t>i</m:t>
            </m:r>
          </m:sub>
        </m:sSub>
      </m:oMath>
      <w:r w:rsidR="005B7B42" w:rsidRPr="00B67F80">
        <w:rPr>
          <w:color w:val="000000" w:themeColor="text1"/>
        </w:rPr>
        <w:t xml:space="preserve"> </w:t>
      </w:r>
      <w:r w:rsidR="00220471" w:rsidRPr="00B67F80">
        <w:rPr>
          <w:color w:val="000000" w:themeColor="text1"/>
        </w:rPr>
        <w:t xml:space="preserve">fall outside the confidence intervals, we </w:t>
      </w:r>
      <w:r w:rsidR="00EB2A96" w:rsidRPr="00B67F80">
        <w:rPr>
          <w:color w:val="000000" w:themeColor="text1"/>
        </w:rPr>
        <w:t xml:space="preserve">assume </w:t>
      </w:r>
      <w:r w:rsidR="00371449" w:rsidRPr="00B67F80">
        <w:rPr>
          <w:color w:val="000000" w:themeColor="text1"/>
        </w:rPr>
        <w:t>the effective sample size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e</m:t>
            </m:r>
          </m:sub>
        </m:sSub>
      </m:oMath>
      <w:r w:rsidR="00371449" w:rsidRPr="00B67F80">
        <w:rPr>
          <w:color w:val="000000" w:themeColor="text1"/>
        </w:rPr>
        <w:t xml:space="preserve">) is equal to </w:t>
      </w:r>
      <w:r w:rsidR="00371449" w:rsidRPr="00B67F80">
        <w:rPr>
          <w:i/>
          <w:iCs/>
          <w:color w:val="000000" w:themeColor="text1"/>
        </w:rPr>
        <w:t>N</w:t>
      </w:r>
      <w:r w:rsidR="00371449" w:rsidRPr="00B67F80">
        <w:rPr>
          <w:color w:val="000000" w:themeColor="text1"/>
        </w:rPr>
        <w:t xml:space="preserve">. </w:t>
      </w:r>
      <w:r w:rsidR="009C4627" w:rsidRPr="00B67F80">
        <w:rPr>
          <w:rFonts w:eastAsiaTheme="minorHAnsi"/>
          <w:color w:val="000000" w:themeColor="text1"/>
        </w:rPr>
        <w:t xml:space="preserve">Once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e</m:t>
            </m:r>
          </m:sub>
        </m:sSub>
      </m:oMath>
      <w:r w:rsidR="009C4627" w:rsidRPr="00B67F80">
        <w:rPr>
          <w:rFonts w:eastAsiaTheme="minorHAnsi"/>
          <w:color w:val="000000" w:themeColor="text1"/>
        </w:rPr>
        <w:t xml:space="preserve"> is known, </w:t>
      </w:r>
      <w:r w:rsidR="00205162">
        <w:rPr>
          <w:rFonts w:eastAsiaTheme="minorHAnsi"/>
          <w:color w:val="000000" w:themeColor="text1"/>
        </w:rPr>
        <w:t xml:space="preserve">we calculate the </w:t>
      </w:r>
      <w:r w:rsidR="00205162" w:rsidRPr="00B67F80">
        <w:rPr>
          <w:rFonts w:eastAsiaTheme="minorHAnsi"/>
          <w:color w:val="000000" w:themeColor="text1"/>
        </w:rPr>
        <w:t>trend uncertainty</w:t>
      </w:r>
      <w:r w:rsidR="00915657">
        <w:rPr>
          <w:rFonts w:eastAsiaTheme="minorHAns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ϵ</m:t>
            </m:r>
          </m:e>
          <m:sub>
            <m:r>
              <w:rPr>
                <w:rFonts w:ascii="Cambria Math" w:hAnsi="Cambria Math"/>
                <w:color w:val="000000" w:themeColor="text1"/>
              </w:rPr>
              <m:t>t</m:t>
            </m:r>
          </m:sub>
        </m:sSub>
      </m:oMath>
      <w:r w:rsidR="00915657">
        <w:rPr>
          <w:rFonts w:eastAsiaTheme="minorHAnsi"/>
          <w:color w:val="000000" w:themeColor="text1"/>
        </w:rPr>
        <w:t>)</w:t>
      </w:r>
      <w:r w:rsidR="00205162" w:rsidRPr="00B67F80">
        <w:rPr>
          <w:rFonts w:eastAsiaTheme="minorHAnsi"/>
          <w:color w:val="000000" w:themeColor="text1"/>
        </w:rPr>
        <w:t xml:space="preserve"> </w:t>
      </w:r>
      <w:r w:rsidR="00205162">
        <w:rPr>
          <w:rFonts w:eastAsiaTheme="minorHAnsi"/>
          <w:color w:val="000000" w:themeColor="text1"/>
        </w:rPr>
        <w:t xml:space="preserve">following </w:t>
      </w:r>
      <w:proofErr w:type="spellStart"/>
      <w:r w:rsidR="00205162">
        <w:rPr>
          <w:rFonts w:eastAsiaTheme="minorHAnsi"/>
          <w:color w:val="000000" w:themeColor="text1"/>
        </w:rPr>
        <w:t>Santer</w:t>
      </w:r>
      <w:proofErr w:type="spellEnd"/>
      <w:r w:rsidR="00205162">
        <w:rPr>
          <w:rFonts w:eastAsiaTheme="minorHAnsi"/>
          <w:color w:val="000000" w:themeColor="text1"/>
        </w:rPr>
        <w:t xml:space="preserve"> et al. (2000): </w:t>
      </w:r>
    </w:p>
    <w:p w14:paraId="62607489" w14:textId="45D334A6" w:rsidR="00205162" w:rsidRPr="00B67F80" w:rsidRDefault="00B2465B" w:rsidP="00205162">
      <w:pPr>
        <w:tabs>
          <w:tab w:val="left" w:pos="8910"/>
        </w:tabs>
        <w:spacing w:line="480" w:lineRule="auto"/>
        <w:ind w:firstLine="333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ϵ</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α,υ</m:t>
            </m:r>
          </m:sub>
        </m:s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b</m:t>
            </m:r>
          </m:sub>
        </m:sSub>
      </m:oMath>
      <w:r w:rsidR="00205162" w:rsidRPr="00B67F80">
        <w:rPr>
          <w:color w:val="000000" w:themeColor="text1"/>
        </w:rPr>
        <w:tab/>
        <w:t>(</w:t>
      </w:r>
      <w:r w:rsidR="00205162">
        <w:rPr>
          <w:color w:val="000000" w:themeColor="text1"/>
        </w:rPr>
        <w:t>6</w:t>
      </w:r>
      <w:r w:rsidR="00205162" w:rsidRPr="00B67F80">
        <w:rPr>
          <w:color w:val="000000" w:themeColor="text1"/>
        </w:rPr>
        <w:t>)</w:t>
      </w:r>
    </w:p>
    <w:p w14:paraId="12B04F51" w14:textId="53F17C9F" w:rsidR="00205162" w:rsidRPr="00C17EAA" w:rsidRDefault="00C17EAA" w:rsidP="00FF22CD">
      <w:pPr>
        <w:spacing w:line="480" w:lineRule="auto"/>
        <w:jc w:val="both"/>
        <w:rPr>
          <w:rFonts w:eastAsiaTheme="minorHAnsi"/>
          <w:color w:val="000000" w:themeColor="text1"/>
        </w:rPr>
      </w:pPr>
      <w:r>
        <w:rPr>
          <w:rFonts w:eastAsiaTheme="minorHAnsi"/>
          <w:color w:val="000000" w:themeColor="text1"/>
        </w:rPr>
        <w:t>where</w:t>
      </w:r>
      <w:r w:rsidR="00DD7573">
        <w:rPr>
          <w:rFonts w:eastAsiaTheme="minorHAns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α,υ</m:t>
            </m:r>
          </m:sub>
        </m:sSub>
      </m:oMath>
      <w:r w:rsidR="00DD7573" w:rsidRPr="00B67F80">
        <w:rPr>
          <w:color w:val="000000" w:themeColor="text1"/>
        </w:rPr>
        <w:t xml:space="preserve"> </w:t>
      </w:r>
      <w:r>
        <w:rPr>
          <w:rFonts w:eastAsiaTheme="minorHAnsi"/>
          <w:color w:val="000000" w:themeColor="text1"/>
        </w:rPr>
        <w:t>is determined with</w:t>
      </w:r>
      <w:r w:rsidR="00C81AD2">
        <w:rPr>
          <w:rFonts w:eastAsiaTheme="minorHAnsi"/>
          <w:color w:val="000000" w:themeColor="text1"/>
        </w:rPr>
        <w:t xml:space="preserve"> </w:t>
      </w:r>
      <m:oMath>
        <m:r>
          <w:rPr>
            <w:rFonts w:ascii="Cambria Math" w:hAnsi="Cambria Math"/>
            <w:color w:val="000000" w:themeColor="text1"/>
          </w:rPr>
          <m:t>υ=</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e</m:t>
            </m:r>
          </m:sub>
        </m:sSub>
        <m:r>
          <w:rPr>
            <w:rFonts w:ascii="Cambria Math" w:hAnsi="Cambria Math"/>
            <w:color w:val="000000" w:themeColor="text1"/>
          </w:rPr>
          <m:t>-2</m:t>
        </m:r>
      </m:oMath>
      <w:r>
        <w:rPr>
          <w:rFonts w:eastAsiaTheme="minorHAnsi"/>
          <w:color w:val="000000" w:themeColor="text1"/>
        </w:rPr>
        <w:t xml:space="preserve"> degrees of freedom</w:t>
      </w:r>
      <w:r w:rsidR="00C81AD2">
        <w:rPr>
          <w:rFonts w:eastAsiaTheme="minorHAnsi"/>
          <w:color w:val="000000" w:themeColor="text1"/>
        </w:rPr>
        <w:t>,</w:t>
      </w:r>
      <w:r>
        <w:rPr>
          <w:rFonts w:eastAsiaTheme="minorHAnsi"/>
          <w:color w:val="000000" w:themeColor="text1"/>
        </w:rPr>
        <w:t xml:space="preserve"> and </w:t>
      </w:r>
      <w:r w:rsidRPr="00D05BCD">
        <w:rPr>
          <w:rFonts w:eastAsiaTheme="minorHAnsi"/>
          <w:i/>
          <w:iCs/>
          <w:color w:val="000000" w:themeColor="text1"/>
        </w:rPr>
        <w:t>s</w:t>
      </w:r>
      <w:r w:rsidRPr="00D05BCD">
        <w:rPr>
          <w:rFonts w:eastAsiaTheme="minorHAnsi"/>
          <w:i/>
          <w:iCs/>
          <w:color w:val="000000" w:themeColor="text1"/>
          <w:vertAlign w:val="subscript"/>
        </w:rPr>
        <w:t>b</w:t>
      </w:r>
      <w:r>
        <w:rPr>
          <w:rFonts w:eastAsiaTheme="minorHAnsi"/>
          <w:color w:val="000000" w:themeColor="text1"/>
        </w:rPr>
        <w:t xml:space="preserve"> is given by:</w:t>
      </w:r>
    </w:p>
    <w:p w14:paraId="6A15E7D3" w14:textId="5B53DC27" w:rsidR="005B1450" w:rsidRPr="00B67F80" w:rsidRDefault="00B2465B" w:rsidP="005B1450">
      <w:pPr>
        <w:tabs>
          <w:tab w:val="left" w:pos="8910"/>
        </w:tabs>
        <w:spacing w:line="480" w:lineRule="auto"/>
        <w:ind w:firstLine="333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b</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e</m:t>
                </m:r>
              </m:sub>
            </m:sSub>
          </m:num>
          <m:den>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nary>
                      <m:naryPr>
                        <m:chr m:val="∑"/>
                        <m:limLoc m:val="subSup"/>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x</m:t>
                                    </m:r>
                                  </m:e>
                                </m:acc>
                              </m:e>
                            </m:d>
                          </m:e>
                          <m:sup>
                            <m:r>
                              <w:rPr>
                                <w:rFonts w:ascii="Cambria Math" w:hAnsi="Cambria Math"/>
                                <w:color w:val="000000" w:themeColor="text1"/>
                              </w:rPr>
                              <m:t>2</m:t>
                            </m:r>
                          </m:sup>
                        </m:sSup>
                      </m:e>
                    </m:nary>
                  </m:e>
                </m:d>
              </m:e>
              <m:sup>
                <m:r>
                  <w:rPr>
                    <w:rFonts w:ascii="Cambria Math" w:hAnsi="Cambria Math"/>
                    <w:color w:val="000000" w:themeColor="text1"/>
                  </w:rPr>
                  <m:t>1/2</m:t>
                </m:r>
              </m:sup>
            </m:sSup>
          </m:den>
        </m:f>
      </m:oMath>
      <w:r w:rsidR="005B1450" w:rsidRPr="00B67F80">
        <w:rPr>
          <w:color w:val="000000" w:themeColor="text1"/>
        </w:rPr>
        <w:tab/>
        <w:t>(</w:t>
      </w:r>
      <w:r w:rsidR="00426EEF">
        <w:rPr>
          <w:color w:val="000000" w:themeColor="text1"/>
        </w:rPr>
        <w:t>7</w:t>
      </w:r>
      <w:r w:rsidR="005B1450" w:rsidRPr="00B67F80">
        <w:rPr>
          <w:color w:val="000000" w:themeColor="text1"/>
        </w:rPr>
        <w:t>)</w:t>
      </w:r>
    </w:p>
    <w:p w14:paraId="1A02EBE5" w14:textId="7591DFA8" w:rsidR="00205162" w:rsidRDefault="00004925" w:rsidP="00FF22CD">
      <w:pPr>
        <w:spacing w:line="480" w:lineRule="auto"/>
        <w:jc w:val="both"/>
        <w:rPr>
          <w:rFonts w:eastAsiaTheme="minorHAnsi"/>
          <w:color w:val="000000" w:themeColor="text1"/>
        </w:rPr>
      </w:pPr>
      <w:r>
        <w:rPr>
          <w:rFonts w:eastAsiaTheme="minorHAnsi"/>
          <w:color w:val="000000" w:themeColor="text1"/>
        </w:rPr>
        <w:t xml:space="preserve">where </w:t>
      </w:r>
      <m:oMath>
        <m:sSub>
          <m:sSubPr>
            <m:ctrlPr>
              <w:rPr>
                <w:rFonts w:ascii="Cambria Math" w:eastAsiaTheme="minorHAnsi" w:hAnsi="Cambria Math"/>
                <w:i/>
                <w:iCs/>
                <w:color w:val="000000" w:themeColor="text1"/>
              </w:rPr>
            </m:ctrlPr>
          </m:sSubPr>
          <m:e>
            <m:r>
              <w:rPr>
                <w:rFonts w:ascii="Cambria Math" w:eastAsiaTheme="minorHAnsi" w:hAnsi="Cambria Math"/>
                <w:color w:val="000000" w:themeColor="text1"/>
              </w:rPr>
              <m:t>x</m:t>
            </m:r>
          </m:e>
          <m:sub>
            <m:r>
              <w:rPr>
                <w:rFonts w:ascii="Cambria Math" w:eastAsiaTheme="minorHAnsi" w:hAnsi="Cambria Math"/>
                <w:color w:val="000000" w:themeColor="text1"/>
              </w:rPr>
              <m:t>i</m:t>
            </m:r>
          </m:sub>
        </m:sSub>
      </m:oMath>
      <w:r>
        <w:rPr>
          <w:rFonts w:eastAsiaTheme="minorHAnsi"/>
          <w:color w:val="000000" w:themeColor="text1"/>
        </w:rPr>
        <w:t xml:space="preserve"> is time and </w:t>
      </w:r>
      <m:oMath>
        <m:sSubSup>
          <m:sSubSupPr>
            <m:ctrlPr>
              <w:rPr>
                <w:rFonts w:ascii="Cambria Math" w:eastAsiaTheme="minorHAnsi" w:hAnsi="Cambria Math"/>
                <w:i/>
                <w:color w:val="000000" w:themeColor="text1"/>
              </w:rPr>
            </m:ctrlPr>
          </m:sSubSupPr>
          <m:e>
            <m:r>
              <w:rPr>
                <w:rFonts w:ascii="Cambria Math" w:eastAsiaTheme="minorHAnsi" w:hAnsi="Cambria Math"/>
                <w:color w:val="000000" w:themeColor="text1"/>
              </w:rPr>
              <m:t>s</m:t>
            </m:r>
          </m:e>
          <m:sub>
            <m:r>
              <w:rPr>
                <w:rFonts w:ascii="Cambria Math" w:eastAsiaTheme="minorHAnsi" w:hAnsi="Cambria Math"/>
                <w:color w:val="000000" w:themeColor="text1"/>
              </w:rPr>
              <m:t>e</m:t>
            </m:r>
          </m:sub>
          <m:sup>
            <m:r>
              <w:rPr>
                <w:rFonts w:ascii="Cambria Math" w:eastAsiaTheme="minorHAnsi" w:hAnsi="Cambria Math"/>
                <w:color w:val="000000" w:themeColor="text1"/>
              </w:rPr>
              <m:t>2</m:t>
            </m:r>
          </m:sup>
        </m:sSubSup>
      </m:oMath>
      <w:r>
        <w:rPr>
          <w:rFonts w:eastAsiaTheme="minorHAnsi"/>
          <w:color w:val="000000" w:themeColor="text1"/>
        </w:rPr>
        <w:t xml:space="preserve"> is the variance of the residuals about the regression line</w:t>
      </w:r>
      <w:r w:rsidR="00F45EE2">
        <w:rPr>
          <w:rFonts w:eastAsiaTheme="minorHAns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oMath>
      <w:r w:rsidR="00F45EE2">
        <w:rPr>
          <w:rFonts w:eastAsiaTheme="minorHAnsi"/>
          <w:color w:val="000000" w:themeColor="text1"/>
        </w:rPr>
        <w:t>)</w:t>
      </w:r>
      <w:r>
        <w:rPr>
          <w:rFonts w:eastAsiaTheme="minorHAnsi"/>
          <w:color w:val="000000" w:themeColor="text1"/>
        </w:rPr>
        <w:t>, given by:</w:t>
      </w:r>
    </w:p>
    <w:p w14:paraId="7B815608" w14:textId="26F6D546" w:rsidR="00004925" w:rsidRPr="00B67F80" w:rsidRDefault="00B2465B" w:rsidP="00004925">
      <w:pPr>
        <w:tabs>
          <w:tab w:val="left" w:pos="8910"/>
        </w:tabs>
        <w:spacing w:line="480" w:lineRule="auto"/>
        <w:ind w:firstLine="3330"/>
        <w:jc w:val="both"/>
        <w:rPr>
          <w:color w:val="000000" w:themeColor="text1"/>
        </w:rPr>
      </w:pPr>
      <m:oMath>
        <m:sSubSup>
          <m:sSubSupPr>
            <m:ctrlPr>
              <w:rPr>
                <w:rFonts w:ascii="Cambria Math" w:eastAsiaTheme="minorHAnsi" w:hAnsi="Cambria Math"/>
                <w:i/>
                <w:color w:val="000000" w:themeColor="text1"/>
              </w:rPr>
            </m:ctrlPr>
          </m:sSubSupPr>
          <m:e>
            <m:r>
              <w:rPr>
                <w:rFonts w:ascii="Cambria Math" w:eastAsiaTheme="minorHAnsi" w:hAnsi="Cambria Math"/>
                <w:color w:val="000000" w:themeColor="text1"/>
              </w:rPr>
              <m:t>s</m:t>
            </m:r>
          </m:e>
          <m:sub>
            <m:r>
              <w:rPr>
                <w:rFonts w:ascii="Cambria Math" w:eastAsiaTheme="minorHAnsi" w:hAnsi="Cambria Math"/>
                <w:color w:val="000000" w:themeColor="text1"/>
              </w:rPr>
              <m:t>e</m:t>
            </m:r>
          </m:sub>
          <m:sup>
            <m:r>
              <w:rPr>
                <w:rFonts w:ascii="Cambria Math" w:eastAsiaTheme="minorHAnsi" w:hAnsi="Cambria Math"/>
                <w:color w:val="000000" w:themeColor="text1"/>
              </w:rPr>
              <m:t>2</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e</m:t>
                </m:r>
              </m:sub>
            </m:sSub>
            <m:r>
              <w:rPr>
                <w:rFonts w:ascii="Cambria Math" w:hAnsi="Cambria Math"/>
                <w:color w:val="000000" w:themeColor="text1"/>
              </w:rPr>
              <m:t>-2</m:t>
            </m:r>
          </m:den>
        </m:f>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2</m:t>
                </m:r>
              </m:sup>
            </m:sSubSup>
          </m:e>
        </m:nary>
      </m:oMath>
      <w:r w:rsidR="00004925" w:rsidRPr="00B67F80">
        <w:rPr>
          <w:color w:val="000000" w:themeColor="text1"/>
        </w:rPr>
        <w:tab/>
        <w:t>(</w:t>
      </w:r>
      <w:r w:rsidR="00F45EE2">
        <w:rPr>
          <w:color w:val="000000" w:themeColor="text1"/>
        </w:rPr>
        <w:t>8</w:t>
      </w:r>
      <w:r w:rsidR="00004925" w:rsidRPr="00B67F80">
        <w:rPr>
          <w:color w:val="000000" w:themeColor="text1"/>
        </w:rPr>
        <w:t>)</w:t>
      </w:r>
    </w:p>
    <w:p w14:paraId="0AD29E4B" w14:textId="54078FD9" w:rsidR="008409E4" w:rsidRPr="00B67F80" w:rsidRDefault="003A1D91" w:rsidP="00D05BCD">
      <w:pPr>
        <w:spacing w:line="480" w:lineRule="auto"/>
        <w:ind w:firstLine="720"/>
        <w:jc w:val="both"/>
        <w:rPr>
          <w:rFonts w:eastAsiaTheme="minorHAnsi"/>
          <w:color w:val="000000" w:themeColor="text1"/>
        </w:rPr>
      </w:pPr>
      <w:r w:rsidRPr="00B67F80">
        <w:rPr>
          <w:color w:val="000000" w:themeColor="text1"/>
        </w:rPr>
        <w:t>While t</w:t>
      </w:r>
      <w:r w:rsidR="00E341DD" w:rsidRPr="00B67F80">
        <w:rPr>
          <w:color w:val="000000" w:themeColor="text1"/>
        </w:rPr>
        <w:t>rend uncertainties</w:t>
      </w:r>
      <w:r w:rsidR="00433DD1">
        <w:rPr>
          <w:color w:val="000000" w:themeColor="text1"/>
        </w:rPr>
        <w:t xml:space="preserve"> in Eq. </w:t>
      </w:r>
      <w:r w:rsidR="00334762">
        <w:rPr>
          <w:color w:val="000000" w:themeColor="text1"/>
        </w:rPr>
        <w:t>(</w:t>
      </w:r>
      <w:r w:rsidR="00433DD1">
        <w:rPr>
          <w:color w:val="000000" w:themeColor="text1"/>
        </w:rPr>
        <w:t>6</w:t>
      </w:r>
      <w:r w:rsidR="00334762">
        <w:rPr>
          <w:color w:val="000000" w:themeColor="text1"/>
        </w:rPr>
        <w:t>)</w:t>
      </w:r>
      <w:r w:rsidR="00E341DD" w:rsidRPr="00B67F80">
        <w:rPr>
          <w:color w:val="000000" w:themeColor="text1"/>
        </w:rPr>
        <w:t xml:space="preserve"> are </w:t>
      </w:r>
      <w:r w:rsidRPr="00B67F80">
        <w:rPr>
          <w:color w:val="000000" w:themeColor="text1"/>
        </w:rPr>
        <w:t xml:space="preserve">evaluated using </w:t>
      </w:r>
      <w:r w:rsidR="00E341DD" w:rsidRPr="00B67F80">
        <w:rPr>
          <w:color w:val="000000" w:themeColor="text1"/>
        </w:rPr>
        <w:t xml:space="preserve">2.5–97.5% confidence intervals, </w:t>
      </w:r>
      <w:r w:rsidRPr="00B67F80">
        <w:rPr>
          <w:color w:val="000000" w:themeColor="text1"/>
        </w:rPr>
        <w:t xml:space="preserve">we </w:t>
      </w:r>
      <w:r w:rsidR="00433DD1">
        <w:rPr>
          <w:color w:val="000000" w:themeColor="text1"/>
        </w:rPr>
        <w:t xml:space="preserve">use </w:t>
      </w:r>
      <w:r w:rsidR="00433DD1" w:rsidRPr="00B67F80">
        <w:rPr>
          <w:color w:val="000000" w:themeColor="text1"/>
        </w:rPr>
        <w:t>10-90% confidence intervals</w:t>
      </w:r>
      <w:r w:rsidR="00433DD1">
        <w:rPr>
          <w:color w:val="000000" w:themeColor="text1"/>
        </w:rPr>
        <w:t xml:space="preserve"> in </w:t>
      </w:r>
      <w:r w:rsidR="00E43B26" w:rsidRPr="00B67F80">
        <w:rPr>
          <w:color w:val="000000" w:themeColor="text1"/>
        </w:rPr>
        <w:t>Eq. (3)</w:t>
      </w:r>
      <w:r w:rsidR="007E7DC2" w:rsidRPr="00B67F80">
        <w:rPr>
          <w:color w:val="000000" w:themeColor="text1"/>
        </w:rPr>
        <w:t xml:space="preserve"> </w:t>
      </w:r>
      <w:proofErr w:type="gramStart"/>
      <w:r w:rsidR="00846108" w:rsidRPr="00B67F80">
        <w:rPr>
          <w:color w:val="000000" w:themeColor="text1"/>
        </w:rPr>
        <w:t>in order to</w:t>
      </w:r>
      <w:proofErr w:type="gramEnd"/>
      <w:r w:rsidR="00846108" w:rsidRPr="00B67F80">
        <w:rPr>
          <w:color w:val="000000" w:themeColor="text1"/>
        </w:rPr>
        <w:t xml:space="preserve"> </w:t>
      </w:r>
      <w:r w:rsidR="004E6D6A" w:rsidRPr="00B67F80">
        <w:rPr>
          <w:color w:val="000000" w:themeColor="text1"/>
        </w:rPr>
        <w:t>use</w:t>
      </w:r>
      <w:r w:rsidR="00846108" w:rsidRPr="00B67F80">
        <w:rPr>
          <w:color w:val="000000" w:themeColor="text1"/>
        </w:rPr>
        <w:t xml:space="preserve"> a less stringent test </w:t>
      </w:r>
      <w:r w:rsidR="004E6D6A" w:rsidRPr="00B67F80">
        <w:rPr>
          <w:color w:val="000000" w:themeColor="text1"/>
        </w:rPr>
        <w:t>f</w:t>
      </w:r>
      <w:r w:rsidR="009C4627" w:rsidRPr="00B67F80">
        <w:rPr>
          <w:color w:val="000000" w:themeColor="text1"/>
        </w:rPr>
        <w:t>or</w:t>
      </w:r>
      <w:r w:rsidR="00846108" w:rsidRPr="00B67F80">
        <w:rPr>
          <w:color w:val="000000" w:themeColor="text1"/>
        </w:rPr>
        <w:t xml:space="preserve"> autocorrelation</w:t>
      </w:r>
      <w:r w:rsidR="004E6D6A" w:rsidRPr="00B67F80">
        <w:rPr>
          <w:color w:val="000000" w:themeColor="text1"/>
        </w:rPr>
        <w:t xml:space="preserve"> in the data.</w:t>
      </w:r>
      <w:r w:rsidR="00846108" w:rsidRPr="00B67F80">
        <w:rPr>
          <w:color w:val="000000" w:themeColor="text1"/>
        </w:rPr>
        <w:t xml:space="preserve"> In practice, we </w:t>
      </w:r>
      <w:r w:rsidR="00F40D3E" w:rsidRPr="00B67F80">
        <w:rPr>
          <w:color w:val="000000" w:themeColor="text1"/>
        </w:rPr>
        <w:t xml:space="preserve">generally </w:t>
      </w:r>
      <w:r w:rsidR="00846108" w:rsidRPr="00B67F80">
        <w:rPr>
          <w:color w:val="000000" w:themeColor="text1"/>
        </w:rPr>
        <w:t>find</w:t>
      </w:r>
      <w:r w:rsidR="00A93398" w:rsidRPr="00B67F80">
        <w:rPr>
          <w:color w:val="000000" w:themeColor="text1"/>
        </w:rPr>
        <w:t xml:space="preserve"> statistically</w:t>
      </w:r>
      <w:r w:rsidR="00846108" w:rsidRPr="00B67F80">
        <w:rPr>
          <w:color w:val="000000" w:themeColor="text1"/>
        </w:rPr>
        <w:t xml:space="preserve"> significant autocorrelation </w:t>
      </w:r>
      <w:r w:rsidR="00F40D3E" w:rsidRPr="00B67F80">
        <w:rPr>
          <w:color w:val="000000" w:themeColor="text1"/>
        </w:rPr>
        <w:t>for monthly data but that is not always the case when using annual mean data</w:t>
      </w:r>
      <w:r w:rsidR="00016384" w:rsidRPr="00B67F80">
        <w:rPr>
          <w:color w:val="000000" w:themeColor="text1"/>
        </w:rPr>
        <w:t xml:space="preserve"> with a short 20-year record</w:t>
      </w:r>
      <w:r w:rsidR="000522D4" w:rsidRPr="00B67F80">
        <w:rPr>
          <w:rFonts w:eastAsiaTheme="minorHAnsi"/>
          <w:color w:val="000000" w:themeColor="text1"/>
        </w:rPr>
        <w:t>.</w:t>
      </w:r>
    </w:p>
    <w:p w14:paraId="69230CF1" w14:textId="7A12DD1F" w:rsidR="00702C49" w:rsidRPr="00B67F80" w:rsidRDefault="00702C49" w:rsidP="009609A0">
      <w:pPr>
        <w:pStyle w:val="ListParagraph"/>
        <w:keepNext/>
        <w:numPr>
          <w:ilvl w:val="0"/>
          <w:numId w:val="18"/>
        </w:numPr>
        <w:spacing w:line="480" w:lineRule="auto"/>
        <w:jc w:val="both"/>
        <w:rPr>
          <w:rFonts w:ascii="Times New Roman" w:hAnsi="Times New Roman" w:cs="Times New Roman"/>
          <w:b/>
          <w:bCs/>
          <w:color w:val="000000" w:themeColor="text1"/>
        </w:rPr>
      </w:pPr>
      <w:r w:rsidRPr="00B67F80">
        <w:rPr>
          <w:rFonts w:ascii="Times New Roman" w:hAnsi="Times New Roman" w:cs="Times New Roman"/>
          <w:b/>
          <w:bCs/>
          <w:color w:val="000000" w:themeColor="text1"/>
        </w:rPr>
        <w:lastRenderedPageBreak/>
        <w:t>Results</w:t>
      </w:r>
    </w:p>
    <w:p w14:paraId="21ADAC77" w14:textId="5C6BAA3C" w:rsidR="00702C49" w:rsidRPr="00B67F80" w:rsidRDefault="00702C49" w:rsidP="00D05BCD">
      <w:pPr>
        <w:pStyle w:val="ListParagraph"/>
        <w:keepNext/>
        <w:numPr>
          <w:ilvl w:val="1"/>
          <w:numId w:val="18"/>
        </w:numPr>
        <w:spacing w:line="480" w:lineRule="auto"/>
        <w:ind w:left="360"/>
        <w:jc w:val="both"/>
        <w:rPr>
          <w:rFonts w:ascii="Times New Roman" w:hAnsi="Times New Roman" w:cs="Times New Roman"/>
          <w:b/>
          <w:bCs/>
          <w:color w:val="000000" w:themeColor="text1"/>
        </w:rPr>
      </w:pPr>
      <w:r w:rsidRPr="00B67F80">
        <w:rPr>
          <w:rFonts w:ascii="Times New Roman" w:hAnsi="Times New Roman" w:cs="Times New Roman"/>
          <w:b/>
          <w:bCs/>
          <w:color w:val="000000" w:themeColor="text1"/>
        </w:rPr>
        <w:t>Top-of-Atmosphere</w:t>
      </w:r>
    </w:p>
    <w:p w14:paraId="11CAC252" w14:textId="76432337" w:rsidR="00B5179F" w:rsidRDefault="003B75B0" w:rsidP="00F10B6C">
      <w:pPr>
        <w:spacing w:line="480" w:lineRule="auto"/>
        <w:ind w:firstLine="720"/>
        <w:jc w:val="both"/>
        <w:rPr>
          <w:color w:val="000000" w:themeColor="text1"/>
        </w:rPr>
      </w:pPr>
      <w:r w:rsidRPr="00B67F80">
        <w:rPr>
          <w:color w:val="000000" w:themeColor="text1"/>
        </w:rPr>
        <w:t>Regional trends in TOA net radiation</w:t>
      </w:r>
      <w:r w:rsidR="00C47AFB" w:rsidRPr="00B67F80">
        <w:rPr>
          <w:color w:val="000000" w:themeColor="text1"/>
        </w:rPr>
        <w:t xml:space="preserve"> for 03/2000-02/2020</w:t>
      </w:r>
      <w:r w:rsidRPr="00B67F80">
        <w:rPr>
          <w:color w:val="000000" w:themeColor="text1"/>
        </w:rPr>
        <w:t xml:space="preserve"> </w:t>
      </w:r>
      <w:r w:rsidR="00542A70" w:rsidRPr="00B67F80">
        <w:rPr>
          <w:color w:val="000000" w:themeColor="text1"/>
        </w:rPr>
        <w:t>show</w:t>
      </w:r>
      <w:r w:rsidR="00C47AFB" w:rsidRPr="00B67F80">
        <w:rPr>
          <w:color w:val="000000" w:themeColor="text1"/>
        </w:rPr>
        <w:t xml:space="preserve"> marked differen</w:t>
      </w:r>
      <w:r w:rsidR="00542A70" w:rsidRPr="00B67F80">
        <w:rPr>
          <w:color w:val="000000" w:themeColor="text1"/>
        </w:rPr>
        <w:t>ce</w:t>
      </w:r>
      <w:r w:rsidR="002128BE" w:rsidRPr="00B67F80">
        <w:rPr>
          <w:color w:val="000000" w:themeColor="text1"/>
        </w:rPr>
        <w:t>s</w:t>
      </w:r>
      <w:r w:rsidR="00C47AFB" w:rsidRPr="00B67F80">
        <w:rPr>
          <w:color w:val="000000" w:themeColor="text1"/>
        </w:rPr>
        <w:t xml:space="preserve"> between CERES, ERA5 and IFS AMIP (Figs. 1a-c). As noted in prior studies (Myers et al., 2018; Loeb et al., 2018b, 2020</w:t>
      </w:r>
      <w:r w:rsidR="00153DBE" w:rsidRPr="00B67F80">
        <w:rPr>
          <w:color w:val="000000" w:themeColor="text1"/>
        </w:rPr>
        <w:t>),</w:t>
      </w:r>
      <w:r w:rsidR="00C47AFB" w:rsidRPr="00B67F80">
        <w:rPr>
          <w:color w:val="000000" w:themeColor="text1"/>
        </w:rPr>
        <w:t xml:space="preserve"> </w:t>
      </w:r>
      <w:r w:rsidR="00153DBE" w:rsidRPr="00B67F80">
        <w:rPr>
          <w:color w:val="000000" w:themeColor="text1"/>
        </w:rPr>
        <w:t xml:space="preserve">CERES shows </w:t>
      </w:r>
      <w:r w:rsidR="00C47AFB" w:rsidRPr="00B67F80">
        <w:rPr>
          <w:color w:val="000000" w:themeColor="text1"/>
        </w:rPr>
        <w:t>pronounced positive trends in net TOA flux over the Eastern Pacific Ocean off of North America</w:t>
      </w:r>
      <w:r w:rsidR="00153DBE" w:rsidRPr="00B67F80">
        <w:rPr>
          <w:color w:val="000000" w:themeColor="text1"/>
        </w:rPr>
        <w:t xml:space="preserve">. </w:t>
      </w:r>
      <w:r w:rsidR="009100E5" w:rsidRPr="00B67F80">
        <w:rPr>
          <w:color w:val="000000" w:themeColor="text1"/>
        </w:rPr>
        <w:t xml:space="preserve">This increase </w:t>
      </w:r>
      <w:r w:rsidR="0014722C" w:rsidRPr="00B67F80">
        <w:rPr>
          <w:color w:val="000000" w:themeColor="text1"/>
        </w:rPr>
        <w:t>i</w:t>
      </w:r>
      <w:r w:rsidR="009100E5" w:rsidRPr="00B67F80">
        <w:rPr>
          <w:color w:val="000000" w:themeColor="text1"/>
        </w:rPr>
        <w:t>s driven mainly by an ASR increase associated with a reduction in low cloud cover, which in turn</w:t>
      </w:r>
      <w:r w:rsidR="0014722C" w:rsidRPr="00B67F80">
        <w:rPr>
          <w:color w:val="000000" w:themeColor="text1"/>
        </w:rPr>
        <w:t xml:space="preserve"> i</w:t>
      </w:r>
      <w:r w:rsidR="009100E5" w:rsidRPr="00B67F80">
        <w:rPr>
          <w:color w:val="000000" w:themeColor="text1"/>
        </w:rPr>
        <w:t>s due to increasing SSTs (Myers et al., 2018; Loeb et al., 2018b</w:t>
      </w:r>
      <w:r w:rsidR="008D4853" w:rsidRPr="00B67F80">
        <w:rPr>
          <w:color w:val="000000" w:themeColor="text1"/>
        </w:rPr>
        <w:t>; Mayer et al., 2018</w:t>
      </w:r>
      <w:r w:rsidR="009100E5" w:rsidRPr="00B67F80">
        <w:rPr>
          <w:color w:val="000000" w:themeColor="text1"/>
        </w:rPr>
        <w:t>).</w:t>
      </w:r>
      <w:r w:rsidR="00B70E1D">
        <w:rPr>
          <w:color w:val="000000" w:themeColor="text1"/>
        </w:rPr>
        <w:t xml:space="preserve"> </w:t>
      </w:r>
      <w:r w:rsidR="009100E5" w:rsidRPr="00B67F80">
        <w:rPr>
          <w:color w:val="000000" w:themeColor="text1"/>
        </w:rPr>
        <w:t>In contrast, ERA5 shows negative net TOA flux trends throughout</w:t>
      </w:r>
      <w:r w:rsidR="002128BE" w:rsidRPr="00B67F80">
        <w:rPr>
          <w:color w:val="000000" w:themeColor="text1"/>
        </w:rPr>
        <w:t xml:space="preserve"> most of</w:t>
      </w:r>
      <w:r w:rsidR="009100E5" w:rsidRPr="00B67F80">
        <w:rPr>
          <w:color w:val="000000" w:themeColor="text1"/>
        </w:rPr>
        <w:t xml:space="preserve"> the Eastern Pacific Ocean region (Fig. 1b), while IFS AMIP shows weaker positive trends</w:t>
      </w:r>
      <w:r w:rsidR="00FF2028" w:rsidRPr="00B67F80">
        <w:rPr>
          <w:color w:val="000000" w:themeColor="text1"/>
        </w:rPr>
        <w:t xml:space="preserve"> </w:t>
      </w:r>
      <w:r w:rsidR="009100E5" w:rsidRPr="00B67F80">
        <w:rPr>
          <w:color w:val="000000" w:themeColor="text1"/>
        </w:rPr>
        <w:t xml:space="preserve">and stronger positive trends along the equator (Fig. 1c). </w:t>
      </w:r>
      <w:r w:rsidR="00BA4952" w:rsidRPr="00B67F80">
        <w:rPr>
          <w:color w:val="000000" w:themeColor="text1"/>
        </w:rPr>
        <w:t>That n</w:t>
      </w:r>
      <w:r w:rsidR="009100E5" w:rsidRPr="00B67F80">
        <w:rPr>
          <w:color w:val="000000" w:themeColor="text1"/>
        </w:rPr>
        <w:t>either ERA5 nor IFS AMIP capture t</w:t>
      </w:r>
      <w:r w:rsidR="00153DBE" w:rsidRPr="00B67F80">
        <w:rPr>
          <w:color w:val="000000" w:themeColor="text1"/>
        </w:rPr>
        <w:t>he</w:t>
      </w:r>
      <w:r w:rsidR="00003A36" w:rsidRPr="00B67F80">
        <w:rPr>
          <w:color w:val="000000" w:themeColor="text1"/>
        </w:rPr>
        <w:t xml:space="preserve"> </w:t>
      </w:r>
      <w:r w:rsidR="00606D53" w:rsidRPr="00B67F80">
        <w:rPr>
          <w:color w:val="000000" w:themeColor="text1"/>
        </w:rPr>
        <w:t>large</w:t>
      </w:r>
      <w:r w:rsidR="009100E5" w:rsidRPr="00B67F80">
        <w:rPr>
          <w:color w:val="000000" w:themeColor="text1"/>
        </w:rPr>
        <w:t xml:space="preserve"> positive </w:t>
      </w:r>
      <w:r w:rsidR="00003A36" w:rsidRPr="00B67F80">
        <w:rPr>
          <w:color w:val="000000" w:themeColor="text1"/>
        </w:rPr>
        <w:t>trend</w:t>
      </w:r>
      <w:r w:rsidR="009100E5" w:rsidRPr="00B67F80">
        <w:rPr>
          <w:color w:val="000000" w:themeColor="text1"/>
        </w:rPr>
        <w:t xml:space="preserve"> off the west coast of North America</w:t>
      </w:r>
      <w:r w:rsidR="004475BE" w:rsidRPr="00B67F80">
        <w:rPr>
          <w:color w:val="000000" w:themeColor="text1"/>
        </w:rPr>
        <w:t xml:space="preserve"> </w:t>
      </w:r>
      <w:r w:rsidR="00606D53" w:rsidRPr="00B67F80">
        <w:rPr>
          <w:color w:val="000000" w:themeColor="text1"/>
        </w:rPr>
        <w:t>observed by CERES</w:t>
      </w:r>
      <w:r w:rsidR="00453C62" w:rsidRPr="00B67F80">
        <w:rPr>
          <w:color w:val="000000" w:themeColor="text1"/>
        </w:rPr>
        <w:t xml:space="preserve"> </w:t>
      </w:r>
      <w:r w:rsidR="002D6216" w:rsidRPr="00B67F80">
        <w:rPr>
          <w:color w:val="000000" w:themeColor="text1"/>
        </w:rPr>
        <w:t xml:space="preserve">may </w:t>
      </w:r>
      <w:r w:rsidR="00453C62" w:rsidRPr="00B67F80">
        <w:rPr>
          <w:color w:val="000000" w:themeColor="text1"/>
        </w:rPr>
        <w:t>suggest</w:t>
      </w:r>
      <w:r w:rsidR="002D6216" w:rsidRPr="00B67F80">
        <w:rPr>
          <w:color w:val="000000" w:themeColor="text1"/>
        </w:rPr>
        <w:t xml:space="preserve"> </w:t>
      </w:r>
      <w:r w:rsidR="00453C62" w:rsidRPr="00B67F80">
        <w:rPr>
          <w:color w:val="000000" w:themeColor="text1"/>
        </w:rPr>
        <w:t>that the low cloud response to SST change is too weak in ERA5 and IFS AMIP.</w:t>
      </w:r>
      <w:r w:rsidR="00606D53" w:rsidRPr="00B67F80">
        <w:rPr>
          <w:color w:val="000000" w:themeColor="text1"/>
        </w:rPr>
        <w:t xml:space="preserve"> </w:t>
      </w:r>
      <w:r w:rsidR="00E200DB" w:rsidRPr="00B67F80">
        <w:rPr>
          <w:color w:val="000000" w:themeColor="text1"/>
        </w:rPr>
        <w:t xml:space="preserve">In a </w:t>
      </w:r>
      <w:r w:rsidR="00453C62" w:rsidRPr="00B67F80">
        <w:rPr>
          <w:color w:val="000000" w:themeColor="text1"/>
        </w:rPr>
        <w:t xml:space="preserve">similar </w:t>
      </w:r>
      <w:r w:rsidR="00E200DB" w:rsidRPr="00B67F80">
        <w:rPr>
          <w:color w:val="000000" w:themeColor="text1"/>
        </w:rPr>
        <w:t>comparison between CERES and seven CMIP6 models run in AMIP mode (Loeb et al., 2020), most of the models show increases in net TOA flux</w:t>
      </w:r>
      <w:r w:rsidR="00003A36" w:rsidRPr="00B67F80">
        <w:rPr>
          <w:color w:val="000000" w:themeColor="text1"/>
        </w:rPr>
        <w:t xml:space="preserve"> in this region</w:t>
      </w:r>
      <w:r w:rsidR="00E200DB" w:rsidRPr="00B67F80">
        <w:rPr>
          <w:color w:val="000000" w:themeColor="text1"/>
        </w:rPr>
        <w:t xml:space="preserve"> but the magnitude of the change </w:t>
      </w:r>
      <w:r w:rsidR="00590137" w:rsidRPr="00B67F80">
        <w:rPr>
          <w:color w:val="000000" w:themeColor="text1"/>
        </w:rPr>
        <w:t>varie</w:t>
      </w:r>
      <w:r w:rsidR="00590137">
        <w:rPr>
          <w:color w:val="000000" w:themeColor="text1"/>
        </w:rPr>
        <w:t>s</w:t>
      </w:r>
      <w:r w:rsidR="00590137" w:rsidRPr="00B67F80">
        <w:rPr>
          <w:color w:val="000000" w:themeColor="text1"/>
        </w:rPr>
        <w:t xml:space="preserve"> </w:t>
      </w:r>
      <w:r w:rsidR="00E200DB" w:rsidRPr="00B67F80">
        <w:rPr>
          <w:color w:val="000000" w:themeColor="text1"/>
        </w:rPr>
        <w:t xml:space="preserve">amongst the models. </w:t>
      </w:r>
      <w:r w:rsidR="00BE2060">
        <w:rPr>
          <w:color w:val="000000" w:themeColor="text1"/>
        </w:rPr>
        <w:t xml:space="preserve">As expected, </w:t>
      </w:r>
      <w:r w:rsidR="00651D41">
        <w:rPr>
          <w:color w:val="000000" w:themeColor="text1"/>
        </w:rPr>
        <w:t>daytime cloud fraction changes from MODIS (</w:t>
      </w:r>
      <w:proofErr w:type="spellStart"/>
      <w:r w:rsidR="00651D41">
        <w:rPr>
          <w:color w:val="000000" w:themeColor="text1"/>
        </w:rPr>
        <w:t>Trepte</w:t>
      </w:r>
      <w:proofErr w:type="spellEnd"/>
      <w:r w:rsidR="00651D41">
        <w:rPr>
          <w:color w:val="000000" w:themeColor="text1"/>
        </w:rPr>
        <w:t xml:space="preserve"> et al., 2019) </w:t>
      </w:r>
      <w:r w:rsidR="001070AC">
        <w:rPr>
          <w:color w:val="000000" w:themeColor="text1"/>
        </w:rPr>
        <w:t xml:space="preserve">over the </w:t>
      </w:r>
      <w:r w:rsidR="001070AC" w:rsidRPr="00B67F80">
        <w:rPr>
          <w:color w:val="000000" w:themeColor="text1"/>
        </w:rPr>
        <w:t xml:space="preserve">Eastern Pacific </w:t>
      </w:r>
      <w:r w:rsidR="00D60D28">
        <w:rPr>
          <w:color w:val="000000" w:themeColor="text1"/>
        </w:rPr>
        <w:t>(EP)</w:t>
      </w:r>
      <w:r w:rsidR="001070AC" w:rsidRPr="00B67F80">
        <w:rPr>
          <w:color w:val="000000" w:themeColor="text1"/>
        </w:rPr>
        <w:t xml:space="preserve"> region</w:t>
      </w:r>
      <w:r w:rsidR="00651D41">
        <w:rPr>
          <w:color w:val="000000" w:themeColor="text1"/>
        </w:rPr>
        <w:t xml:space="preserve"> considered in Loeb et al. (2020)</w:t>
      </w:r>
      <w:r w:rsidR="001070AC">
        <w:rPr>
          <w:color w:val="000000" w:themeColor="text1"/>
        </w:rPr>
        <w:t xml:space="preserve"> are </w:t>
      </w:r>
      <w:r w:rsidR="00BE2060">
        <w:rPr>
          <w:color w:val="000000" w:themeColor="text1"/>
        </w:rPr>
        <w:t>very similar to</w:t>
      </w:r>
      <w:r w:rsidR="00497559">
        <w:rPr>
          <w:color w:val="000000" w:themeColor="text1"/>
        </w:rPr>
        <w:t xml:space="preserve"> </w:t>
      </w:r>
      <w:r w:rsidR="00651D41">
        <w:rPr>
          <w:color w:val="000000" w:themeColor="text1"/>
        </w:rPr>
        <w:t>those for CERES</w:t>
      </w:r>
      <w:r w:rsidR="000114A3">
        <w:rPr>
          <w:color w:val="000000" w:themeColor="text1"/>
        </w:rPr>
        <w:t xml:space="preserve"> SW TOA flux</w:t>
      </w:r>
      <w:r w:rsidR="00651D41">
        <w:rPr>
          <w:color w:val="000000" w:themeColor="text1"/>
        </w:rPr>
        <w:t xml:space="preserve"> </w:t>
      </w:r>
      <w:r w:rsidR="00950CDF">
        <w:rPr>
          <w:color w:val="000000" w:themeColor="text1"/>
        </w:rPr>
        <w:t>(Fig. S1)</w:t>
      </w:r>
      <w:r w:rsidR="008F3767">
        <w:rPr>
          <w:color w:val="000000" w:themeColor="text1"/>
        </w:rPr>
        <w:t xml:space="preserve">. </w:t>
      </w:r>
    </w:p>
    <w:p w14:paraId="4EFB844D" w14:textId="57C092C0" w:rsidR="00F10B6C" w:rsidRPr="00B67F80" w:rsidRDefault="002906E7" w:rsidP="00F10B6C">
      <w:pPr>
        <w:spacing w:line="480" w:lineRule="auto"/>
        <w:ind w:firstLine="720"/>
        <w:jc w:val="both"/>
        <w:rPr>
          <w:color w:val="000000" w:themeColor="text1"/>
        </w:rPr>
      </w:pPr>
      <w:r w:rsidRPr="00B67F80">
        <w:rPr>
          <w:color w:val="000000" w:themeColor="text1"/>
        </w:rPr>
        <w:t>Over the Arctic, CERES shows weak trends in net TOA flux</w:t>
      </w:r>
      <w:r w:rsidR="00B5179F">
        <w:rPr>
          <w:color w:val="000000" w:themeColor="text1"/>
        </w:rPr>
        <w:t xml:space="preserve"> (Fig. 1a)</w:t>
      </w:r>
      <w:r w:rsidR="004F3ACB" w:rsidRPr="00B67F80">
        <w:rPr>
          <w:color w:val="000000" w:themeColor="text1"/>
        </w:rPr>
        <w:t>—</w:t>
      </w:r>
      <w:r w:rsidRPr="00B67F80">
        <w:rPr>
          <w:color w:val="000000" w:themeColor="text1"/>
        </w:rPr>
        <w:t>the</w:t>
      </w:r>
      <w:r w:rsidR="004F3ACB" w:rsidRPr="00B67F80">
        <w:rPr>
          <w:color w:val="000000" w:themeColor="text1"/>
        </w:rPr>
        <w:t xml:space="preserve"> </w:t>
      </w:r>
      <w:r w:rsidRPr="00B67F80">
        <w:rPr>
          <w:color w:val="000000" w:themeColor="text1"/>
        </w:rPr>
        <w:t xml:space="preserve">result of a cancellation between larger trends in ASR and outgoing longwave </w:t>
      </w:r>
      <w:r w:rsidR="00A303D8" w:rsidRPr="00B67F80">
        <w:rPr>
          <w:color w:val="000000" w:themeColor="text1"/>
        </w:rPr>
        <w:t>radiation</w:t>
      </w:r>
      <w:r w:rsidRPr="00B67F80">
        <w:rPr>
          <w:color w:val="000000" w:themeColor="text1"/>
        </w:rPr>
        <w:t xml:space="preserve"> (not shown). Net TOA flux trends over the Arctic from IFS AMIP are closer to CERES than ERA5, which shows strong negative trends.</w:t>
      </w:r>
      <w:r w:rsidR="004F3ACB" w:rsidRPr="00B67F80">
        <w:rPr>
          <w:color w:val="000000" w:themeColor="text1"/>
        </w:rPr>
        <w:t xml:space="preserve"> </w:t>
      </w:r>
      <w:r w:rsidR="00494CCC" w:rsidRPr="00B67F80">
        <w:rPr>
          <w:color w:val="000000" w:themeColor="text1"/>
        </w:rPr>
        <w:t>All three products show positive net TOA flux trends along the climatologi</w:t>
      </w:r>
      <w:r w:rsidR="001506F7" w:rsidRPr="00B67F80">
        <w:rPr>
          <w:color w:val="000000" w:themeColor="text1"/>
        </w:rPr>
        <w:t>c</w:t>
      </w:r>
      <w:r w:rsidR="00494CCC" w:rsidRPr="00B67F80">
        <w:rPr>
          <w:color w:val="000000" w:themeColor="text1"/>
        </w:rPr>
        <w:t xml:space="preserve">al </w:t>
      </w:r>
      <w:proofErr w:type="gramStart"/>
      <w:r w:rsidR="00494CCC" w:rsidRPr="00B67F80">
        <w:rPr>
          <w:color w:val="000000" w:themeColor="text1"/>
        </w:rPr>
        <w:t>Arctic sea</w:t>
      </w:r>
      <w:proofErr w:type="gramEnd"/>
      <w:r w:rsidR="00494CCC" w:rsidRPr="00B67F80">
        <w:rPr>
          <w:color w:val="000000" w:themeColor="text1"/>
        </w:rPr>
        <w:t xml:space="preserve"> ice edge, where the net radiative effect of the retreating sea ice is visible</w:t>
      </w:r>
      <w:r w:rsidR="00BC4FB3" w:rsidRPr="00B67F80">
        <w:rPr>
          <w:color w:val="000000" w:themeColor="text1"/>
        </w:rPr>
        <w:t xml:space="preserve"> as noted in Hartmann and Ceppi (2014)</w:t>
      </w:r>
      <w:r w:rsidR="00494CCC" w:rsidRPr="00B67F80">
        <w:rPr>
          <w:color w:val="000000" w:themeColor="text1"/>
        </w:rPr>
        <w:t xml:space="preserve">. </w:t>
      </w:r>
      <w:r w:rsidR="004F3ACB" w:rsidRPr="00B67F80">
        <w:rPr>
          <w:color w:val="000000" w:themeColor="text1"/>
        </w:rPr>
        <w:t xml:space="preserve">ERA5 and IFS AMIP show better agreement with CERES over the </w:t>
      </w:r>
      <w:r w:rsidR="004F3ACB" w:rsidRPr="00B67F80">
        <w:rPr>
          <w:color w:val="000000" w:themeColor="text1"/>
        </w:rPr>
        <w:lastRenderedPageBreak/>
        <w:t>Atlantic off the coast of North America</w:t>
      </w:r>
      <w:r w:rsidR="00F10B6C" w:rsidRPr="00B67F80">
        <w:rPr>
          <w:color w:val="000000" w:themeColor="text1"/>
        </w:rPr>
        <w:t>,</w:t>
      </w:r>
      <w:r w:rsidR="00EE5581" w:rsidRPr="00B67F80">
        <w:rPr>
          <w:color w:val="000000" w:themeColor="text1"/>
        </w:rPr>
        <w:t xml:space="preserve"> </w:t>
      </w:r>
      <w:r w:rsidR="00224321" w:rsidRPr="00B67F80">
        <w:rPr>
          <w:color w:val="000000" w:themeColor="text1"/>
        </w:rPr>
        <w:t>to the southwest of Spain</w:t>
      </w:r>
      <w:r w:rsidR="00F10B6C" w:rsidRPr="00B67F80">
        <w:rPr>
          <w:color w:val="000000" w:themeColor="text1"/>
        </w:rPr>
        <w:t xml:space="preserve"> and in the west-east trend dipole in the Indian Ocean around 20</w:t>
      </w:r>
      <w:r w:rsidR="00F10B6C" w:rsidRPr="00B67F80">
        <w:rPr>
          <w:color w:val="000000" w:themeColor="text1"/>
        </w:rPr>
        <w:sym w:font="Symbol" w:char="F0B0"/>
      </w:r>
      <w:r w:rsidR="00F10B6C" w:rsidRPr="00B67F80">
        <w:rPr>
          <w:color w:val="000000" w:themeColor="text1"/>
        </w:rPr>
        <w:t>-30</w:t>
      </w:r>
      <w:r w:rsidR="00F10B6C" w:rsidRPr="00B67F80">
        <w:rPr>
          <w:color w:val="000000" w:themeColor="text1"/>
        </w:rPr>
        <w:sym w:font="Symbol" w:char="F0B0"/>
      </w:r>
      <w:r w:rsidR="00F10B6C" w:rsidRPr="00B67F80">
        <w:rPr>
          <w:color w:val="000000" w:themeColor="text1"/>
        </w:rPr>
        <w:t>S</w:t>
      </w:r>
      <w:r w:rsidR="00EE5581" w:rsidRPr="00B67F80">
        <w:rPr>
          <w:color w:val="000000" w:themeColor="text1"/>
        </w:rPr>
        <w:t>. There is also very good agreement over the sea ice regions off the coast of Antarctica.</w:t>
      </w:r>
    </w:p>
    <w:p w14:paraId="339786AD" w14:textId="0AAA1229" w:rsidR="00697D5C" w:rsidRPr="00B67F80" w:rsidRDefault="0014722C" w:rsidP="00A83129">
      <w:pPr>
        <w:spacing w:line="480" w:lineRule="auto"/>
        <w:ind w:firstLine="720"/>
        <w:jc w:val="both"/>
        <w:rPr>
          <w:color w:val="000000" w:themeColor="text1"/>
        </w:rPr>
      </w:pPr>
      <w:r w:rsidRPr="00B67F80">
        <w:rPr>
          <w:color w:val="000000" w:themeColor="text1"/>
        </w:rPr>
        <w:t>Average s</w:t>
      </w:r>
      <w:r w:rsidR="00A128FF" w:rsidRPr="00B67F80">
        <w:rPr>
          <w:color w:val="000000" w:themeColor="text1"/>
        </w:rPr>
        <w:t>outhern hemisphere (SH)</w:t>
      </w:r>
      <w:r w:rsidRPr="00B67F80">
        <w:rPr>
          <w:color w:val="000000" w:themeColor="text1"/>
        </w:rPr>
        <w:t xml:space="preserve"> and</w:t>
      </w:r>
      <w:r w:rsidR="00A128FF" w:rsidRPr="00B67F80">
        <w:rPr>
          <w:color w:val="000000" w:themeColor="text1"/>
        </w:rPr>
        <w:t xml:space="preserve"> northern hemisphere (NH) TOA fluxes </w:t>
      </w:r>
      <w:r w:rsidR="00521F65" w:rsidRPr="00B67F80">
        <w:rPr>
          <w:color w:val="000000" w:themeColor="text1"/>
        </w:rPr>
        <w:t xml:space="preserve">from CERES </w:t>
      </w:r>
      <w:r w:rsidR="00E508E4" w:rsidRPr="00B67F80">
        <w:rPr>
          <w:color w:val="000000" w:themeColor="text1"/>
        </w:rPr>
        <w:t>for 03/2000-02/2020 show</w:t>
      </w:r>
      <w:r w:rsidR="00A128FF" w:rsidRPr="00B67F80">
        <w:rPr>
          <w:color w:val="000000" w:themeColor="text1"/>
        </w:rPr>
        <w:t xml:space="preserve"> hemispheric symmetry in ASR, stronger LW cooling in the NH</w:t>
      </w:r>
      <w:r w:rsidR="00E508E4" w:rsidRPr="00B67F80">
        <w:rPr>
          <w:color w:val="000000" w:themeColor="text1"/>
        </w:rPr>
        <w:t>,</w:t>
      </w:r>
      <w:r w:rsidR="00A128FF" w:rsidRPr="00B67F80">
        <w:rPr>
          <w:color w:val="000000" w:themeColor="text1"/>
        </w:rPr>
        <w:t xml:space="preserve"> and a larger net heat uptake in the SH</w:t>
      </w:r>
      <w:r w:rsidR="00E508E4" w:rsidRPr="00B67F80">
        <w:rPr>
          <w:color w:val="000000" w:themeColor="text1"/>
        </w:rPr>
        <w:t xml:space="preserve"> (Table 1).</w:t>
      </w:r>
      <w:r w:rsidR="00A128FF" w:rsidRPr="00B67F80">
        <w:rPr>
          <w:color w:val="000000" w:themeColor="text1"/>
        </w:rPr>
        <w:t xml:space="preserve"> </w:t>
      </w:r>
      <w:r w:rsidR="00E508E4" w:rsidRPr="00B67F80">
        <w:rPr>
          <w:color w:val="000000" w:themeColor="text1"/>
        </w:rPr>
        <w:t>The hemispheric asymmetry in net TOA flux</w:t>
      </w:r>
      <w:r w:rsidR="00A128FF" w:rsidRPr="00B67F80">
        <w:rPr>
          <w:color w:val="000000" w:themeColor="text1"/>
        </w:rPr>
        <w:t xml:space="preserve"> </w:t>
      </w:r>
      <w:r w:rsidR="00E508E4" w:rsidRPr="00B67F80">
        <w:rPr>
          <w:color w:val="000000" w:themeColor="text1"/>
        </w:rPr>
        <w:t>requires a</w:t>
      </w:r>
      <w:r w:rsidR="001506F7" w:rsidRPr="00B67F80">
        <w:rPr>
          <w:color w:val="000000" w:themeColor="text1"/>
        </w:rPr>
        <w:t xml:space="preserve"> 0.17 PW</w:t>
      </w:r>
      <w:r w:rsidR="00A128FF" w:rsidRPr="00B67F80">
        <w:rPr>
          <w:color w:val="000000" w:themeColor="text1"/>
        </w:rPr>
        <w:t xml:space="preserve"> SH-to-NH cross-equatorial heat transport by the </w:t>
      </w:r>
      <w:r w:rsidR="002B7552" w:rsidRPr="00B67F80">
        <w:rPr>
          <w:color w:val="000000" w:themeColor="text1"/>
        </w:rPr>
        <w:t>ocean-</w:t>
      </w:r>
      <w:r w:rsidR="00A128FF" w:rsidRPr="00B67F80">
        <w:rPr>
          <w:color w:val="000000" w:themeColor="text1"/>
        </w:rPr>
        <w:t xml:space="preserve">atmosphere </w:t>
      </w:r>
      <w:r w:rsidR="002B7552" w:rsidRPr="00B67F80">
        <w:rPr>
          <w:color w:val="000000" w:themeColor="text1"/>
        </w:rPr>
        <w:t xml:space="preserve">system </w:t>
      </w:r>
      <w:r w:rsidR="00E508E4" w:rsidRPr="00B67F80">
        <w:rPr>
          <w:color w:val="000000" w:themeColor="text1"/>
        </w:rPr>
        <w:t xml:space="preserve">for energy budget closure </w:t>
      </w:r>
      <w:r w:rsidR="00A128FF" w:rsidRPr="00B67F80">
        <w:rPr>
          <w:color w:val="000000" w:themeColor="text1"/>
        </w:rPr>
        <w:t>(Donohoe et al., 2013; Frierson et al., 20013; Marshall et al., 2013; Loeb et al., 2016; Liu et al., 2020).</w:t>
      </w:r>
      <w:r w:rsidR="002B7552" w:rsidRPr="00B67F80">
        <w:rPr>
          <w:color w:val="000000" w:themeColor="text1"/>
        </w:rPr>
        <w:t xml:space="preserve"> </w:t>
      </w:r>
      <w:r w:rsidR="00D03D08" w:rsidRPr="00B67F80">
        <w:rPr>
          <w:color w:val="000000" w:themeColor="text1"/>
        </w:rPr>
        <w:t xml:space="preserve">With the exception of </w:t>
      </w:r>
      <w:r w:rsidR="00521F65" w:rsidRPr="00B67F80">
        <w:rPr>
          <w:color w:val="000000" w:themeColor="text1"/>
        </w:rPr>
        <w:t xml:space="preserve">NH </w:t>
      </w:r>
      <w:r w:rsidR="00D03D08" w:rsidRPr="00B67F80">
        <w:rPr>
          <w:color w:val="000000" w:themeColor="text1"/>
        </w:rPr>
        <w:t xml:space="preserve">ASR, the </w:t>
      </w:r>
      <w:r w:rsidR="00461670" w:rsidRPr="00B67F80">
        <w:rPr>
          <w:color w:val="000000" w:themeColor="text1"/>
        </w:rPr>
        <w:t xml:space="preserve">ERA5 </w:t>
      </w:r>
      <w:r w:rsidR="007A35D5" w:rsidRPr="00B67F80">
        <w:rPr>
          <w:color w:val="000000" w:themeColor="text1"/>
        </w:rPr>
        <w:t xml:space="preserve">ASR and </w:t>
      </w:r>
      <w:r w:rsidR="007A35D5" w:rsidRPr="00B67F80">
        <w:rPr>
          <w:color w:val="000000" w:themeColor="text1"/>
        </w:rPr>
        <w:sym w:font="Symbol" w:char="F02D"/>
      </w:r>
      <w:r w:rsidR="007A35D5" w:rsidRPr="00B67F80">
        <w:rPr>
          <w:color w:val="000000" w:themeColor="text1"/>
        </w:rPr>
        <w:t>OLR values</w:t>
      </w:r>
      <w:r w:rsidR="00D03D08" w:rsidRPr="00B67F80">
        <w:rPr>
          <w:color w:val="000000" w:themeColor="text1"/>
        </w:rPr>
        <w:t xml:space="preserve"> in Table 1</w:t>
      </w:r>
      <w:r w:rsidR="007A35D5" w:rsidRPr="00B67F80">
        <w:rPr>
          <w:color w:val="000000" w:themeColor="text1"/>
        </w:rPr>
        <w:t xml:space="preserve"> fall within the 95% uncertainty of CERES (Loeb et al., 2018a)</w:t>
      </w:r>
      <w:r w:rsidR="00461670" w:rsidRPr="00B67F80">
        <w:rPr>
          <w:color w:val="000000" w:themeColor="text1"/>
        </w:rPr>
        <w:t xml:space="preserve">. </w:t>
      </w:r>
      <w:r w:rsidR="00451869" w:rsidRPr="00B67F80">
        <w:rPr>
          <w:color w:val="000000" w:themeColor="text1"/>
        </w:rPr>
        <w:t xml:space="preserve">However, </w:t>
      </w:r>
      <w:r w:rsidR="00461670" w:rsidRPr="00B67F80">
        <w:rPr>
          <w:color w:val="000000" w:themeColor="text1"/>
        </w:rPr>
        <w:t xml:space="preserve">ERA5 mean </w:t>
      </w:r>
      <w:r w:rsidR="00B063E3" w:rsidRPr="00B67F80">
        <w:rPr>
          <w:color w:val="000000" w:themeColor="text1"/>
        </w:rPr>
        <w:t>net</w:t>
      </w:r>
      <w:r w:rsidR="00461670" w:rsidRPr="00B67F80">
        <w:rPr>
          <w:color w:val="000000" w:themeColor="text1"/>
        </w:rPr>
        <w:t xml:space="preserve"> fluxes </w:t>
      </w:r>
      <w:r w:rsidR="00D03D08" w:rsidRPr="00B67F80">
        <w:rPr>
          <w:color w:val="000000" w:themeColor="text1"/>
        </w:rPr>
        <w:t xml:space="preserve">are </w:t>
      </w:r>
      <w:r w:rsidR="00451869" w:rsidRPr="00B67F80">
        <w:rPr>
          <w:color w:val="000000" w:themeColor="text1"/>
        </w:rPr>
        <w:t xml:space="preserve">about </w:t>
      </w:r>
      <w:r w:rsidR="00D03D08" w:rsidRPr="00B67F80">
        <w:rPr>
          <w:color w:val="000000" w:themeColor="text1"/>
        </w:rPr>
        <w:t xml:space="preserve">half as large </w:t>
      </w:r>
      <w:r w:rsidR="00451869" w:rsidRPr="00B67F80">
        <w:rPr>
          <w:color w:val="000000" w:themeColor="text1"/>
        </w:rPr>
        <w:t>as CERES in the SH</w:t>
      </w:r>
      <w:r w:rsidR="00461670" w:rsidRPr="00B67F80">
        <w:rPr>
          <w:color w:val="000000" w:themeColor="text1"/>
        </w:rPr>
        <w:t xml:space="preserve"> </w:t>
      </w:r>
      <w:r w:rsidR="00451869" w:rsidRPr="00B67F80">
        <w:rPr>
          <w:color w:val="000000" w:themeColor="text1"/>
        </w:rPr>
        <w:t xml:space="preserve">and more than nine times larger in the NH, </w:t>
      </w:r>
      <w:r w:rsidR="00521F65" w:rsidRPr="00B67F80">
        <w:rPr>
          <w:color w:val="000000" w:themeColor="text1"/>
        </w:rPr>
        <w:t>while</w:t>
      </w:r>
      <w:r w:rsidR="00461670" w:rsidRPr="00B67F80">
        <w:rPr>
          <w:color w:val="000000" w:themeColor="text1"/>
        </w:rPr>
        <w:t xml:space="preserve"> the global mean difference is only 0.05 Wm</w:t>
      </w:r>
      <w:r w:rsidR="00461670" w:rsidRPr="00B67F80">
        <w:rPr>
          <w:color w:val="000000" w:themeColor="text1"/>
          <w:vertAlign w:val="superscript"/>
        </w:rPr>
        <w:t>-2</w:t>
      </w:r>
      <w:r w:rsidR="00461670" w:rsidRPr="00B67F80">
        <w:rPr>
          <w:color w:val="000000" w:themeColor="text1"/>
        </w:rPr>
        <w:t xml:space="preserve">. The ERA5 hemispheric asymmetry in mean net TOA flux implies a </w:t>
      </w:r>
      <w:r w:rsidR="00C85BCF" w:rsidRPr="00B67F80">
        <w:rPr>
          <w:color w:val="000000" w:themeColor="text1"/>
        </w:rPr>
        <w:sym w:font="Symbol" w:char="F02D"/>
      </w:r>
      <w:r w:rsidR="007C01FD" w:rsidRPr="00B67F80">
        <w:rPr>
          <w:color w:val="000000" w:themeColor="text1"/>
        </w:rPr>
        <w:t>0.006 PW</w:t>
      </w:r>
      <w:r w:rsidR="00461670" w:rsidRPr="00B67F80">
        <w:rPr>
          <w:color w:val="000000" w:themeColor="text1"/>
        </w:rPr>
        <w:t xml:space="preserve"> </w:t>
      </w:r>
      <w:r w:rsidR="00C85BCF" w:rsidRPr="00B67F80">
        <w:rPr>
          <w:color w:val="000000" w:themeColor="text1"/>
        </w:rPr>
        <w:t>S</w:t>
      </w:r>
      <w:r w:rsidR="00461670" w:rsidRPr="00B67F80">
        <w:rPr>
          <w:color w:val="000000" w:themeColor="text1"/>
        </w:rPr>
        <w:t xml:space="preserve">H-to-NH cross-equatorial heat transport by the ocean-atmosphere system, which is in marked contrast to </w:t>
      </w:r>
      <w:r w:rsidR="00451869" w:rsidRPr="00B67F80">
        <w:rPr>
          <w:color w:val="000000" w:themeColor="text1"/>
        </w:rPr>
        <w:t>CERES</w:t>
      </w:r>
      <w:r w:rsidR="00461670" w:rsidRPr="00B67F80">
        <w:rPr>
          <w:color w:val="000000" w:themeColor="text1"/>
        </w:rPr>
        <w:t xml:space="preserve">. </w:t>
      </w:r>
      <w:r w:rsidR="002A0517" w:rsidRPr="00B67F80">
        <w:rPr>
          <w:color w:val="000000" w:themeColor="text1"/>
        </w:rPr>
        <w:t>For IFS AMIP, the</w:t>
      </w:r>
      <w:r w:rsidR="00521F65" w:rsidRPr="00B67F80">
        <w:rPr>
          <w:color w:val="000000" w:themeColor="text1"/>
        </w:rPr>
        <w:t xml:space="preserve"> discrepancy with CERES is even greater as the</w:t>
      </w:r>
      <w:r w:rsidR="002A0517" w:rsidRPr="00B67F80">
        <w:rPr>
          <w:color w:val="000000" w:themeColor="text1"/>
        </w:rPr>
        <w:t xml:space="preserve"> hemispheric contrast in net TOA flux implies a</w:t>
      </w:r>
      <w:r w:rsidR="00C85BCF" w:rsidRPr="00B67F80">
        <w:rPr>
          <w:color w:val="000000" w:themeColor="text1"/>
        </w:rPr>
        <w:t xml:space="preserve"> </w:t>
      </w:r>
      <w:r w:rsidR="00C85BCF" w:rsidRPr="00B67F80">
        <w:rPr>
          <w:color w:val="000000" w:themeColor="text1"/>
        </w:rPr>
        <w:sym w:font="Symbol" w:char="F02D"/>
      </w:r>
      <w:r w:rsidR="00C85BCF" w:rsidRPr="00B67F80">
        <w:rPr>
          <w:color w:val="000000" w:themeColor="text1"/>
        </w:rPr>
        <w:t>0.2</w:t>
      </w:r>
      <w:r w:rsidR="00027527" w:rsidRPr="00B67F80">
        <w:rPr>
          <w:color w:val="000000" w:themeColor="text1"/>
        </w:rPr>
        <w:t>2</w:t>
      </w:r>
      <w:r w:rsidR="00C85BCF" w:rsidRPr="00B67F80">
        <w:rPr>
          <w:color w:val="000000" w:themeColor="text1"/>
        </w:rPr>
        <w:t xml:space="preserve"> PW</w:t>
      </w:r>
      <w:r w:rsidR="002A0517" w:rsidRPr="00B67F80">
        <w:rPr>
          <w:color w:val="000000" w:themeColor="text1"/>
        </w:rPr>
        <w:t xml:space="preserve"> </w:t>
      </w:r>
      <w:r w:rsidR="00027527" w:rsidRPr="00B67F80">
        <w:rPr>
          <w:color w:val="000000" w:themeColor="text1"/>
        </w:rPr>
        <w:t>SH</w:t>
      </w:r>
      <w:r w:rsidR="002A0517" w:rsidRPr="00B67F80">
        <w:rPr>
          <w:color w:val="000000" w:themeColor="text1"/>
        </w:rPr>
        <w:t>-to-</w:t>
      </w:r>
      <w:r w:rsidR="00027527" w:rsidRPr="00B67F80">
        <w:rPr>
          <w:color w:val="000000" w:themeColor="text1"/>
        </w:rPr>
        <w:t xml:space="preserve">NH </w:t>
      </w:r>
      <w:r w:rsidR="002A0517" w:rsidRPr="00B67F80">
        <w:rPr>
          <w:color w:val="000000" w:themeColor="text1"/>
        </w:rPr>
        <w:t>cross-equatorial heat transport</w:t>
      </w:r>
      <w:r w:rsidR="00B063E3" w:rsidRPr="00B67F80">
        <w:rPr>
          <w:color w:val="000000" w:themeColor="text1"/>
        </w:rPr>
        <w:t>,</w:t>
      </w:r>
      <w:r w:rsidR="002A0517" w:rsidRPr="00B67F80">
        <w:rPr>
          <w:color w:val="000000" w:themeColor="text1"/>
        </w:rPr>
        <w:t xml:space="preserve"> and the global mean net flux is negative, both of which are unrealistic</w:t>
      </w:r>
      <w:r w:rsidR="00C74672" w:rsidRPr="00B67F80">
        <w:rPr>
          <w:color w:val="000000" w:themeColor="text1"/>
        </w:rPr>
        <w:t>. The latter is related to model inconsistencies in the version of the IFS</w:t>
      </w:r>
      <w:r w:rsidR="00027527" w:rsidRPr="00B67F80">
        <w:rPr>
          <w:color w:val="000000" w:themeColor="text1"/>
        </w:rPr>
        <w:t xml:space="preserve"> used</w:t>
      </w:r>
      <w:r w:rsidR="00C74672" w:rsidRPr="00B67F80">
        <w:rPr>
          <w:color w:val="000000" w:themeColor="text1"/>
        </w:rPr>
        <w:t xml:space="preserve"> (see Roberts et al. 2018)</w:t>
      </w:r>
      <w:r w:rsidR="002A0517" w:rsidRPr="00B67F80">
        <w:rPr>
          <w:color w:val="000000" w:themeColor="text1"/>
        </w:rPr>
        <w:t>.</w:t>
      </w:r>
      <w:r w:rsidR="005E2354" w:rsidRPr="00B67F80">
        <w:rPr>
          <w:color w:val="000000" w:themeColor="text1"/>
        </w:rPr>
        <w:t xml:space="preserve"> </w:t>
      </w:r>
      <w:r w:rsidR="00461670" w:rsidRPr="00B67F80">
        <w:rPr>
          <w:color w:val="000000" w:themeColor="text1"/>
        </w:rPr>
        <w:t xml:space="preserve">A possible reason for </w:t>
      </w:r>
      <w:r w:rsidR="005E2354" w:rsidRPr="00B67F80">
        <w:rPr>
          <w:color w:val="000000" w:themeColor="text1"/>
        </w:rPr>
        <w:t>the inconsistent hemispheric values</w:t>
      </w:r>
      <w:r w:rsidR="00461670" w:rsidRPr="00B67F80">
        <w:rPr>
          <w:color w:val="000000" w:themeColor="text1"/>
        </w:rPr>
        <w:t xml:space="preserve"> could be due to an unrealistic representation of how clouds are distributed between the hemispheres in ERA5</w:t>
      </w:r>
      <w:r w:rsidR="005E2354" w:rsidRPr="00B67F80">
        <w:rPr>
          <w:color w:val="000000" w:themeColor="text1"/>
        </w:rPr>
        <w:t xml:space="preserve"> and IFS AMIP</w:t>
      </w:r>
      <w:r w:rsidR="00461670" w:rsidRPr="00B67F80">
        <w:rPr>
          <w:color w:val="000000" w:themeColor="text1"/>
        </w:rPr>
        <w:t>. Stephens et al. (2015) showed that increased reflection by clouds in the SH offsets greater reflection by the larger land mass in the NH, resulting in hemispheric symmetry in albedo.</w:t>
      </w:r>
      <w:r w:rsidR="005E2354" w:rsidRPr="00B67F80">
        <w:rPr>
          <w:color w:val="000000" w:themeColor="text1"/>
        </w:rPr>
        <w:t xml:space="preserve"> </w:t>
      </w:r>
    </w:p>
    <w:p w14:paraId="75CAB716" w14:textId="1DF7E701" w:rsidR="000862AE" w:rsidRPr="00B67F80" w:rsidRDefault="00A47C15" w:rsidP="00A83129">
      <w:pPr>
        <w:spacing w:line="480" w:lineRule="auto"/>
        <w:ind w:firstLine="720"/>
        <w:jc w:val="both"/>
        <w:rPr>
          <w:color w:val="000000" w:themeColor="text1"/>
        </w:rPr>
      </w:pPr>
      <w:r w:rsidRPr="00B67F80">
        <w:rPr>
          <w:color w:val="000000" w:themeColor="text1"/>
        </w:rPr>
        <w:t>A</w:t>
      </w:r>
      <w:r w:rsidR="00D11FA7" w:rsidRPr="00B67F80">
        <w:rPr>
          <w:color w:val="000000" w:themeColor="text1"/>
        </w:rPr>
        <w:t>nomaly standard deviations</w:t>
      </w:r>
      <w:r w:rsidR="007177BC" w:rsidRPr="00B67F80">
        <w:rPr>
          <w:color w:val="000000" w:themeColor="text1"/>
        </w:rPr>
        <w:t xml:space="preserve"> and </w:t>
      </w:r>
      <w:r w:rsidR="002B7552" w:rsidRPr="00B67F80">
        <w:rPr>
          <w:color w:val="000000" w:themeColor="text1"/>
        </w:rPr>
        <w:t xml:space="preserve">trends in ASR, </w:t>
      </w:r>
      <w:r w:rsidR="002B7552" w:rsidRPr="00B67F80">
        <w:rPr>
          <w:color w:val="000000" w:themeColor="text1"/>
        </w:rPr>
        <w:sym w:font="Symbol" w:char="F02D"/>
      </w:r>
      <w:r w:rsidR="002B7552" w:rsidRPr="00B67F80">
        <w:rPr>
          <w:color w:val="000000" w:themeColor="text1"/>
        </w:rPr>
        <w:t xml:space="preserve">OLR and </w:t>
      </w:r>
      <w:r w:rsidR="00D11FA7" w:rsidRPr="00B67F80">
        <w:rPr>
          <w:color w:val="000000" w:themeColor="text1"/>
        </w:rPr>
        <w:t>NET</w:t>
      </w:r>
      <w:r w:rsidR="002B7552" w:rsidRPr="00B67F80">
        <w:rPr>
          <w:color w:val="000000" w:themeColor="text1"/>
        </w:rPr>
        <w:t xml:space="preserve"> are fairly symmetric between the hemispheres</w:t>
      </w:r>
      <w:r w:rsidRPr="00B67F80">
        <w:rPr>
          <w:color w:val="000000" w:themeColor="text1"/>
        </w:rPr>
        <w:t xml:space="preserve"> for CERES (Table 1)</w:t>
      </w:r>
      <w:r w:rsidR="004F42FC" w:rsidRPr="00B67F80">
        <w:rPr>
          <w:color w:val="000000" w:themeColor="text1"/>
        </w:rPr>
        <w:t>.</w:t>
      </w:r>
      <w:r w:rsidR="002B7552" w:rsidRPr="00B67F80">
        <w:rPr>
          <w:color w:val="000000" w:themeColor="text1"/>
        </w:rPr>
        <w:t xml:space="preserve"> </w:t>
      </w:r>
      <w:r w:rsidR="0088484F" w:rsidRPr="00B67F80">
        <w:rPr>
          <w:color w:val="000000" w:themeColor="text1"/>
        </w:rPr>
        <w:t xml:space="preserve">The hemispheric </w:t>
      </w:r>
      <w:r w:rsidR="007177BC" w:rsidRPr="00B67F80">
        <w:rPr>
          <w:color w:val="000000" w:themeColor="text1"/>
        </w:rPr>
        <w:t xml:space="preserve">trends </w:t>
      </w:r>
      <w:r w:rsidR="0088484F" w:rsidRPr="00B67F80">
        <w:rPr>
          <w:color w:val="000000" w:themeColor="text1"/>
        </w:rPr>
        <w:t xml:space="preserve">in CERES between SH </w:t>
      </w:r>
      <w:r w:rsidR="0088484F" w:rsidRPr="00B67F80">
        <w:rPr>
          <w:color w:val="000000" w:themeColor="text1"/>
        </w:rPr>
        <w:lastRenderedPageBreak/>
        <w:t xml:space="preserve">and NH </w:t>
      </w:r>
      <w:r w:rsidR="002B7552" w:rsidRPr="00B67F80">
        <w:rPr>
          <w:color w:val="000000" w:themeColor="text1"/>
        </w:rPr>
        <w:t>differ by only 0.0</w:t>
      </w:r>
      <w:r w:rsidR="00C86BD1" w:rsidRPr="00B67F80">
        <w:rPr>
          <w:color w:val="000000" w:themeColor="text1"/>
        </w:rPr>
        <w:t>7</w:t>
      </w:r>
      <w:r w:rsidR="002B7552" w:rsidRPr="00B67F80">
        <w:rPr>
          <w:color w:val="000000" w:themeColor="text1"/>
        </w:rPr>
        <w:t xml:space="preserve"> Wm</w:t>
      </w:r>
      <w:r w:rsidR="002B7552" w:rsidRPr="00B67F80">
        <w:rPr>
          <w:color w:val="000000" w:themeColor="text1"/>
          <w:vertAlign w:val="superscript"/>
        </w:rPr>
        <w:t>-2</w:t>
      </w:r>
      <w:r w:rsidR="002B7552" w:rsidRPr="00B67F80">
        <w:rPr>
          <w:color w:val="000000" w:themeColor="text1"/>
        </w:rPr>
        <w:t xml:space="preserve"> per decade for ASR</w:t>
      </w:r>
      <w:r w:rsidR="00C86BD1" w:rsidRPr="00B67F80">
        <w:rPr>
          <w:color w:val="000000" w:themeColor="text1"/>
        </w:rPr>
        <w:t>, 0.01 Wm</w:t>
      </w:r>
      <w:r w:rsidR="00C86BD1" w:rsidRPr="00B67F80">
        <w:rPr>
          <w:color w:val="000000" w:themeColor="text1"/>
          <w:vertAlign w:val="superscript"/>
        </w:rPr>
        <w:t>-2</w:t>
      </w:r>
      <w:r w:rsidR="00C86BD1" w:rsidRPr="00B67F80">
        <w:rPr>
          <w:color w:val="000000" w:themeColor="text1"/>
        </w:rPr>
        <w:t xml:space="preserve"> per decade for </w:t>
      </w:r>
      <w:r w:rsidR="00C86BD1" w:rsidRPr="00B67F80">
        <w:rPr>
          <w:color w:val="000000" w:themeColor="text1"/>
        </w:rPr>
        <w:sym w:font="Symbol" w:char="F02D"/>
      </w:r>
      <w:r w:rsidR="00C86BD1" w:rsidRPr="00B67F80">
        <w:rPr>
          <w:color w:val="000000" w:themeColor="text1"/>
        </w:rPr>
        <w:t>OLR,</w:t>
      </w:r>
      <w:r w:rsidR="002B7552" w:rsidRPr="00B67F80">
        <w:rPr>
          <w:color w:val="000000" w:themeColor="text1"/>
        </w:rPr>
        <w:t xml:space="preserve"> and </w:t>
      </w:r>
      <w:r w:rsidR="00C86BD1" w:rsidRPr="00B67F80">
        <w:rPr>
          <w:color w:val="000000" w:themeColor="text1"/>
        </w:rPr>
        <w:t>0.08 Wm</w:t>
      </w:r>
      <w:r w:rsidR="00C86BD1" w:rsidRPr="00B67F80">
        <w:rPr>
          <w:color w:val="000000" w:themeColor="text1"/>
          <w:vertAlign w:val="superscript"/>
        </w:rPr>
        <w:t>-2</w:t>
      </w:r>
      <w:r w:rsidR="00C86BD1" w:rsidRPr="00B67F80">
        <w:rPr>
          <w:color w:val="000000" w:themeColor="text1"/>
        </w:rPr>
        <w:t xml:space="preserve"> per decade for </w:t>
      </w:r>
      <w:r w:rsidR="002B7552" w:rsidRPr="00B67F80">
        <w:rPr>
          <w:color w:val="000000" w:themeColor="text1"/>
        </w:rPr>
        <w:t>NET</w:t>
      </w:r>
      <w:r w:rsidR="004F42FC" w:rsidRPr="00B67F80">
        <w:rPr>
          <w:color w:val="000000" w:themeColor="text1"/>
        </w:rPr>
        <w:t>, implying an</w:t>
      </w:r>
      <w:r w:rsidR="00D56621" w:rsidRPr="00B67F80">
        <w:rPr>
          <w:color w:val="000000" w:themeColor="text1"/>
        </w:rPr>
        <w:t xml:space="preserve"> insignificant </w:t>
      </w:r>
      <w:r w:rsidR="000D2806" w:rsidRPr="00B67F80">
        <w:rPr>
          <w:color w:val="000000" w:themeColor="text1"/>
        </w:rPr>
        <w:t>0.02</w:t>
      </w:r>
      <w:r w:rsidR="0024070F" w:rsidRPr="00B67F80">
        <w:rPr>
          <w:color w:val="000000" w:themeColor="text1"/>
        </w:rPr>
        <w:sym w:font="Symbol" w:char="F0B1"/>
      </w:r>
      <w:r w:rsidR="0024070F" w:rsidRPr="00B67F80">
        <w:rPr>
          <w:color w:val="000000" w:themeColor="text1"/>
        </w:rPr>
        <w:t>0.1</w:t>
      </w:r>
      <w:r w:rsidR="000D2806" w:rsidRPr="00B67F80">
        <w:rPr>
          <w:color w:val="000000" w:themeColor="text1"/>
        </w:rPr>
        <w:t xml:space="preserve"> PW</w:t>
      </w:r>
      <w:r w:rsidR="00856065" w:rsidRPr="00B67F80">
        <w:rPr>
          <w:color w:val="000000" w:themeColor="text1"/>
        </w:rPr>
        <w:t xml:space="preserve"> change</w:t>
      </w:r>
      <w:r w:rsidR="000D2806" w:rsidRPr="00B67F80">
        <w:rPr>
          <w:color w:val="000000" w:themeColor="text1"/>
        </w:rPr>
        <w:t xml:space="preserve"> </w:t>
      </w:r>
      <w:r w:rsidR="004F42FC" w:rsidRPr="00B67F80">
        <w:rPr>
          <w:color w:val="000000" w:themeColor="text1"/>
        </w:rPr>
        <w:t xml:space="preserve">to </w:t>
      </w:r>
      <w:r w:rsidR="00B6080C" w:rsidRPr="00B67F80">
        <w:rPr>
          <w:color w:val="000000" w:themeColor="text1"/>
        </w:rPr>
        <w:t xml:space="preserve">the </w:t>
      </w:r>
      <w:r w:rsidR="00D56621" w:rsidRPr="00B67F80">
        <w:rPr>
          <w:color w:val="000000" w:themeColor="text1"/>
        </w:rPr>
        <w:t>combined ocean</w:t>
      </w:r>
      <w:r w:rsidR="004F42FC" w:rsidRPr="00B67F80">
        <w:rPr>
          <w:color w:val="000000" w:themeColor="text1"/>
        </w:rPr>
        <w:t>-</w:t>
      </w:r>
      <w:r w:rsidR="00D56621" w:rsidRPr="00B67F80">
        <w:rPr>
          <w:color w:val="000000" w:themeColor="text1"/>
        </w:rPr>
        <w:t>atmosphere cross-equatorial heat transport</w:t>
      </w:r>
      <w:r w:rsidR="00F14ADB" w:rsidRPr="00B67F80">
        <w:rPr>
          <w:color w:val="000000" w:themeColor="text1"/>
        </w:rPr>
        <w:t xml:space="preserve"> over the </w:t>
      </w:r>
      <w:r w:rsidR="004F42FC" w:rsidRPr="00B67F80">
        <w:rPr>
          <w:color w:val="000000" w:themeColor="text1"/>
        </w:rPr>
        <w:t xml:space="preserve">past </w:t>
      </w:r>
      <w:r w:rsidR="00F14ADB" w:rsidRPr="00B67F80">
        <w:rPr>
          <w:color w:val="000000" w:themeColor="text1"/>
        </w:rPr>
        <w:t>20</w:t>
      </w:r>
      <w:r w:rsidR="004F42FC" w:rsidRPr="00B67F80">
        <w:rPr>
          <w:color w:val="000000" w:themeColor="text1"/>
        </w:rPr>
        <w:t xml:space="preserve"> </w:t>
      </w:r>
      <w:r w:rsidR="00F14ADB" w:rsidRPr="00B67F80">
        <w:rPr>
          <w:color w:val="000000" w:themeColor="text1"/>
        </w:rPr>
        <w:t>year</w:t>
      </w:r>
      <w:r w:rsidR="004F42FC" w:rsidRPr="00B67F80">
        <w:rPr>
          <w:color w:val="000000" w:themeColor="text1"/>
        </w:rPr>
        <w:t>s</w:t>
      </w:r>
      <w:r w:rsidR="00F14ADB" w:rsidRPr="00B67F80">
        <w:rPr>
          <w:color w:val="000000" w:themeColor="text1"/>
        </w:rPr>
        <w:t>.</w:t>
      </w:r>
      <w:r w:rsidR="00633599" w:rsidRPr="00B67F80">
        <w:rPr>
          <w:color w:val="000000" w:themeColor="text1"/>
        </w:rPr>
        <w:t xml:space="preserve"> </w:t>
      </w:r>
      <w:r w:rsidR="00C90804" w:rsidRPr="00B67F80">
        <w:rPr>
          <w:color w:val="000000" w:themeColor="text1"/>
        </w:rPr>
        <w:t xml:space="preserve">We note that this does not preclude the possibility of strong but opposing trends in atmospheric and oceanic transport.  </w:t>
      </w:r>
      <w:r w:rsidR="000862AE" w:rsidRPr="00B67F80">
        <w:rPr>
          <w:color w:val="000000" w:themeColor="text1"/>
        </w:rPr>
        <w:t>In contrast to CERES, none of the ERA5 hemispheric and global mean trends in TOA radiation are significant at the 95%</w:t>
      </w:r>
      <w:r w:rsidR="00AD29A6">
        <w:rPr>
          <w:color w:val="000000" w:themeColor="text1"/>
        </w:rPr>
        <w:t xml:space="preserve"> confidence</w:t>
      </w:r>
      <w:r w:rsidR="000862AE" w:rsidRPr="00B67F80">
        <w:rPr>
          <w:color w:val="000000" w:themeColor="text1"/>
        </w:rPr>
        <w:t xml:space="preserve"> level (Table 1).</w:t>
      </w:r>
      <w:r w:rsidR="00526957" w:rsidRPr="00B67F80">
        <w:rPr>
          <w:color w:val="000000" w:themeColor="text1"/>
        </w:rPr>
        <w:t xml:space="preserve"> Monthly anomaly standard deviations from ERA5 </w:t>
      </w:r>
      <w:r w:rsidR="0029032B" w:rsidRPr="00B67F80">
        <w:rPr>
          <w:color w:val="000000" w:themeColor="text1"/>
        </w:rPr>
        <w:t xml:space="preserve">differ by </w:t>
      </w:r>
      <w:r w:rsidR="0029032B" w:rsidRPr="00B67F80">
        <w:rPr>
          <w:color w:val="000000" w:themeColor="text1"/>
        </w:rPr>
        <w:sym w:font="Symbol" w:char="F02D"/>
      </w:r>
      <w:r w:rsidR="0029032B" w:rsidRPr="00B67F80">
        <w:rPr>
          <w:color w:val="000000" w:themeColor="text1"/>
        </w:rPr>
        <w:t xml:space="preserve">22% to </w:t>
      </w:r>
      <w:r w:rsidR="0029032B" w:rsidRPr="00B67F80">
        <w:rPr>
          <w:color w:val="000000" w:themeColor="text1"/>
        </w:rPr>
        <w:sym w:font="Symbol" w:char="F02D"/>
      </w:r>
      <w:r w:rsidR="0029032B" w:rsidRPr="00B67F80">
        <w:rPr>
          <w:color w:val="000000" w:themeColor="text1"/>
        </w:rPr>
        <w:t>7% relative to CERES</w:t>
      </w:r>
      <w:r w:rsidR="00526957" w:rsidRPr="00B67F80">
        <w:rPr>
          <w:color w:val="000000" w:themeColor="text1"/>
        </w:rPr>
        <w:t xml:space="preserve">. </w:t>
      </w:r>
      <w:r w:rsidR="003644DC" w:rsidRPr="00B67F80">
        <w:rPr>
          <w:color w:val="000000" w:themeColor="text1"/>
        </w:rPr>
        <w:t xml:space="preserve">Accordingly, ERA5 monthly anomalies track CERES (Fig. </w:t>
      </w:r>
      <w:r w:rsidR="006B099F" w:rsidRPr="00B67F80">
        <w:rPr>
          <w:color w:val="000000" w:themeColor="text1"/>
        </w:rPr>
        <w:t>S</w:t>
      </w:r>
      <w:r w:rsidR="006B099F">
        <w:rPr>
          <w:color w:val="000000" w:themeColor="text1"/>
        </w:rPr>
        <w:t>2</w:t>
      </w:r>
      <w:r w:rsidR="003644DC" w:rsidRPr="00B67F80">
        <w:rPr>
          <w:color w:val="000000" w:themeColor="text1"/>
        </w:rPr>
        <w:t xml:space="preserve">), </w:t>
      </w:r>
      <w:r w:rsidR="00FA3E8A" w:rsidRPr="00B67F80">
        <w:rPr>
          <w:color w:val="000000" w:themeColor="text1"/>
        </w:rPr>
        <w:t>but systematic differences</w:t>
      </w:r>
      <w:r w:rsidR="00E51BD8" w:rsidRPr="00B67F80">
        <w:rPr>
          <w:color w:val="000000" w:themeColor="text1"/>
        </w:rPr>
        <w:t xml:space="preserve"> are apparent</w:t>
      </w:r>
      <w:r w:rsidR="00FA3E8A" w:rsidRPr="00B67F80">
        <w:rPr>
          <w:color w:val="000000" w:themeColor="text1"/>
        </w:rPr>
        <w:t xml:space="preserve"> in ASR</w:t>
      </w:r>
      <w:r w:rsidR="00DB75E8" w:rsidRPr="00B67F80">
        <w:rPr>
          <w:color w:val="000000" w:themeColor="text1"/>
        </w:rPr>
        <w:t xml:space="preserve"> and </w:t>
      </w:r>
      <w:r w:rsidR="00DB75E8" w:rsidRPr="00B67F80">
        <w:rPr>
          <w:color w:val="000000" w:themeColor="text1"/>
        </w:rPr>
        <w:sym w:font="Symbol" w:char="F02D"/>
      </w:r>
      <w:r w:rsidR="00DB75E8" w:rsidRPr="00B67F80">
        <w:rPr>
          <w:color w:val="000000" w:themeColor="text1"/>
        </w:rPr>
        <w:t>OLR</w:t>
      </w:r>
      <w:r w:rsidR="00FA3E8A" w:rsidRPr="00B67F80">
        <w:rPr>
          <w:color w:val="000000" w:themeColor="text1"/>
        </w:rPr>
        <w:t xml:space="preserve"> prior to 2003</w:t>
      </w:r>
      <w:r w:rsidR="00E51BD8" w:rsidRPr="00B67F80">
        <w:rPr>
          <w:color w:val="000000" w:themeColor="text1"/>
        </w:rPr>
        <w:t>, and in ASR and NET</w:t>
      </w:r>
      <w:r w:rsidR="00FA3E8A" w:rsidRPr="00B67F80">
        <w:rPr>
          <w:color w:val="000000" w:themeColor="text1"/>
        </w:rPr>
        <w:t xml:space="preserve"> after 2012</w:t>
      </w:r>
      <w:r w:rsidR="003644DC" w:rsidRPr="00B67F80">
        <w:rPr>
          <w:color w:val="000000" w:themeColor="text1"/>
        </w:rPr>
        <w:t>.</w:t>
      </w:r>
      <w:r w:rsidR="00FA3E8A" w:rsidRPr="00B67F80">
        <w:rPr>
          <w:color w:val="000000" w:themeColor="text1"/>
        </w:rPr>
        <w:t xml:space="preserve"> </w:t>
      </w:r>
      <w:r w:rsidR="00E51BD8" w:rsidRPr="00B67F80">
        <w:rPr>
          <w:color w:val="000000" w:themeColor="text1"/>
        </w:rPr>
        <w:t>Systematic d</w:t>
      </w:r>
      <w:r w:rsidR="006D4B5B" w:rsidRPr="00B67F80">
        <w:rPr>
          <w:color w:val="000000" w:themeColor="text1"/>
        </w:rPr>
        <w:t xml:space="preserve">ifferences between ERA5 and IFS AMIP </w:t>
      </w:r>
      <w:r w:rsidR="00E51BD8" w:rsidRPr="00B67F80">
        <w:rPr>
          <w:color w:val="000000" w:themeColor="text1"/>
        </w:rPr>
        <w:t xml:space="preserve">for ASR and NET </w:t>
      </w:r>
      <w:r w:rsidR="006D4B5B" w:rsidRPr="00B67F80">
        <w:rPr>
          <w:color w:val="000000" w:themeColor="text1"/>
        </w:rPr>
        <w:t>are also apparent after 20</w:t>
      </w:r>
      <w:r w:rsidR="00DB75E8" w:rsidRPr="00B67F80">
        <w:rPr>
          <w:color w:val="000000" w:themeColor="text1"/>
        </w:rPr>
        <w:t>12</w:t>
      </w:r>
      <w:r w:rsidR="006D4B5B" w:rsidRPr="00B67F80">
        <w:rPr>
          <w:color w:val="000000" w:themeColor="text1"/>
        </w:rPr>
        <w:t xml:space="preserve"> (Fig. </w:t>
      </w:r>
      <w:r w:rsidR="006B099F" w:rsidRPr="00B67F80">
        <w:rPr>
          <w:color w:val="000000" w:themeColor="text1"/>
        </w:rPr>
        <w:t>S</w:t>
      </w:r>
      <w:r w:rsidR="006B099F">
        <w:rPr>
          <w:color w:val="000000" w:themeColor="text1"/>
        </w:rPr>
        <w:t>3</w:t>
      </w:r>
      <w:r w:rsidR="006D4B5B" w:rsidRPr="00B67F80">
        <w:rPr>
          <w:color w:val="000000" w:themeColor="text1"/>
        </w:rPr>
        <w:t>).</w:t>
      </w:r>
      <w:r w:rsidR="00A62810" w:rsidRPr="00B67F80">
        <w:rPr>
          <w:color w:val="000000" w:themeColor="text1"/>
        </w:rPr>
        <w:t xml:space="preserve"> This</w:t>
      </w:r>
      <w:r w:rsidR="005A1248" w:rsidRPr="00B67F80">
        <w:rPr>
          <w:color w:val="000000" w:themeColor="text1"/>
        </w:rPr>
        <w:t xml:space="preserve"> is</w:t>
      </w:r>
      <w:r w:rsidR="00A62810" w:rsidRPr="00B67F80">
        <w:rPr>
          <w:color w:val="000000" w:themeColor="text1"/>
        </w:rPr>
        <w:t xml:space="preserve"> likely due to </w:t>
      </w:r>
      <w:r w:rsidR="00563FE8" w:rsidRPr="00B67F80">
        <w:rPr>
          <w:color w:val="000000" w:themeColor="text1"/>
        </w:rPr>
        <w:t>change</w:t>
      </w:r>
      <w:r w:rsidR="005A1248" w:rsidRPr="00B67F80">
        <w:rPr>
          <w:color w:val="000000" w:themeColor="text1"/>
        </w:rPr>
        <w:t>s</w:t>
      </w:r>
      <w:r w:rsidR="00563FE8" w:rsidRPr="00B67F80">
        <w:rPr>
          <w:color w:val="000000" w:themeColor="text1"/>
        </w:rPr>
        <w:t xml:space="preserve"> in the input data stream in ERA5.</w:t>
      </w:r>
      <w:r w:rsidR="00FA3E8A" w:rsidRPr="00B67F80">
        <w:rPr>
          <w:color w:val="000000" w:themeColor="text1"/>
        </w:rPr>
        <w:t xml:space="preserve"> </w:t>
      </w:r>
      <w:r w:rsidR="009A6FC3" w:rsidRPr="00B67F80">
        <w:rPr>
          <w:color w:val="000000" w:themeColor="text1"/>
        </w:rPr>
        <w:t xml:space="preserve">After </w:t>
      </w:r>
      <w:r w:rsidR="000775C1" w:rsidRPr="00B67F80">
        <w:rPr>
          <w:color w:val="000000" w:themeColor="text1"/>
        </w:rPr>
        <w:t>removing the trends in</w:t>
      </w:r>
      <w:r w:rsidR="009A6FC3" w:rsidRPr="00B67F80">
        <w:rPr>
          <w:color w:val="000000" w:themeColor="text1"/>
        </w:rPr>
        <w:t xml:space="preserve"> the hemispheric and global monthly mean anomaly time series, the </w:t>
      </w:r>
      <w:r w:rsidR="00A303D8" w:rsidRPr="00B67F80">
        <w:rPr>
          <w:color w:val="000000" w:themeColor="text1"/>
        </w:rPr>
        <w:t>correlation</w:t>
      </w:r>
      <w:r w:rsidR="009A6FC3" w:rsidRPr="00B67F80">
        <w:rPr>
          <w:color w:val="000000" w:themeColor="text1"/>
        </w:rPr>
        <w:t xml:space="preserve"> coefficient between ERA5 and CERES is 0.80 for ASR and 0.9 for </w:t>
      </w:r>
      <w:r w:rsidR="00B21340" w:rsidRPr="00B67F80">
        <w:rPr>
          <w:color w:val="000000" w:themeColor="text1"/>
        </w:rPr>
        <w:sym w:font="Symbol" w:char="F02D"/>
      </w:r>
      <w:r w:rsidR="009A6FC3" w:rsidRPr="00B67F80">
        <w:rPr>
          <w:color w:val="000000" w:themeColor="text1"/>
        </w:rPr>
        <w:t>OLR and NET.</w:t>
      </w:r>
      <w:r w:rsidR="008A72F5" w:rsidRPr="00B67F80">
        <w:rPr>
          <w:color w:val="000000" w:themeColor="text1"/>
        </w:rPr>
        <w:t xml:space="preserve"> Anomaly standard deviations for IFS AMIP are weaker than ERA5 Forecasts and CERES, but trends</w:t>
      </w:r>
      <w:r w:rsidR="0023018B" w:rsidRPr="00B67F80">
        <w:rPr>
          <w:color w:val="000000" w:themeColor="text1"/>
        </w:rPr>
        <w:t xml:space="preserve"> are in better agreement with CERES, albeit much smaller in magnitude.</w:t>
      </w:r>
    </w:p>
    <w:p w14:paraId="1BC2D4B6" w14:textId="070E1157" w:rsidR="00735F42" w:rsidRPr="00B67F80" w:rsidRDefault="00483191" w:rsidP="00A83129">
      <w:pPr>
        <w:spacing w:line="480" w:lineRule="auto"/>
        <w:ind w:firstLine="720"/>
        <w:jc w:val="both"/>
        <w:rPr>
          <w:color w:val="000000" w:themeColor="text1"/>
        </w:rPr>
      </w:pPr>
      <w:r w:rsidRPr="00B67F80">
        <w:rPr>
          <w:color w:val="000000" w:themeColor="text1"/>
        </w:rPr>
        <w:t>To examine the robustness of th</w:t>
      </w:r>
      <w:r w:rsidR="00B73E4D" w:rsidRPr="00B67F80">
        <w:rPr>
          <w:color w:val="000000" w:themeColor="text1"/>
        </w:rPr>
        <w:t>e CERES trends</w:t>
      </w:r>
      <w:r w:rsidRPr="00B67F80">
        <w:rPr>
          <w:color w:val="000000" w:themeColor="text1"/>
        </w:rPr>
        <w:t>, we compare SH, NH and global trends between</w:t>
      </w:r>
      <w:r w:rsidR="00B73E4D" w:rsidRPr="00B67F80">
        <w:rPr>
          <w:color w:val="000000" w:themeColor="text1"/>
        </w:rPr>
        <w:t xml:space="preserve"> CERES instruments </w:t>
      </w:r>
      <w:r w:rsidR="00E72B35" w:rsidRPr="00B67F80">
        <w:rPr>
          <w:color w:val="000000" w:themeColor="text1"/>
        </w:rPr>
        <w:t xml:space="preserve">flying aboard </w:t>
      </w:r>
      <w:r w:rsidRPr="00B67F80">
        <w:rPr>
          <w:color w:val="000000" w:themeColor="text1"/>
        </w:rPr>
        <w:t xml:space="preserve">the </w:t>
      </w:r>
      <w:r w:rsidR="00B73E4D" w:rsidRPr="00B67F80">
        <w:rPr>
          <w:color w:val="000000" w:themeColor="text1"/>
        </w:rPr>
        <w:t>Terra and Aqua</w:t>
      </w:r>
      <w:r w:rsidRPr="00B67F80">
        <w:rPr>
          <w:color w:val="000000" w:themeColor="text1"/>
        </w:rPr>
        <w:t xml:space="preserve"> satellites (Fig. 2)</w:t>
      </w:r>
      <w:r w:rsidR="00B73E4D" w:rsidRPr="00B67F80">
        <w:rPr>
          <w:color w:val="000000" w:themeColor="text1"/>
        </w:rPr>
        <w:t>.</w:t>
      </w:r>
      <w:r w:rsidRPr="00B67F80">
        <w:rPr>
          <w:color w:val="000000" w:themeColor="text1"/>
        </w:rPr>
        <w:t xml:space="preserve"> The CERES data products in this comparison are the SSF1deg-Terra and SSF1deg-Aqua products, which are used as input to CERES EBAF (Loeb et al., 2018a). Importantly, in-orbit calibration  adjustments with time</w:t>
      </w:r>
      <w:r w:rsidR="00746E5F" w:rsidRPr="00B67F80">
        <w:rPr>
          <w:color w:val="000000" w:themeColor="text1"/>
        </w:rPr>
        <w:t xml:space="preserve"> for CERES instruments on Terra and Aqua</w:t>
      </w:r>
      <w:r w:rsidRPr="00B67F80">
        <w:rPr>
          <w:color w:val="000000" w:themeColor="text1"/>
        </w:rPr>
        <w:t xml:space="preserve"> are entirely </w:t>
      </w:r>
      <w:r w:rsidR="0031178E" w:rsidRPr="00B67F80">
        <w:rPr>
          <w:color w:val="000000" w:themeColor="text1"/>
        </w:rPr>
        <w:t>independent of one another</w:t>
      </w:r>
      <w:r w:rsidRPr="00B67F80">
        <w:rPr>
          <w:color w:val="000000" w:themeColor="text1"/>
        </w:rPr>
        <w:t>.</w:t>
      </w:r>
      <w:r w:rsidR="00746E5F" w:rsidRPr="00B67F80">
        <w:rPr>
          <w:color w:val="000000" w:themeColor="text1"/>
        </w:rPr>
        <w:t xml:space="preserve"> The CERES Terra net TOA flux trends as a function of record length from 03/2000 onwards for SH, NH and global (Figs. 2a-c) show large fluctuations for record</w:t>
      </w:r>
      <w:r w:rsidR="001A7278" w:rsidRPr="00B67F80">
        <w:rPr>
          <w:color w:val="000000" w:themeColor="text1"/>
        </w:rPr>
        <w:t xml:space="preserve"> length</w:t>
      </w:r>
      <w:r w:rsidR="00746E5F" w:rsidRPr="00B67F80">
        <w:rPr>
          <w:color w:val="000000" w:themeColor="text1"/>
        </w:rPr>
        <w:t xml:space="preserve">s shorter than ten years due to internal variability, but </w:t>
      </w:r>
      <w:r w:rsidR="00A35AD4" w:rsidRPr="00B67F80">
        <w:rPr>
          <w:color w:val="000000" w:themeColor="text1"/>
        </w:rPr>
        <w:t xml:space="preserve">patterns of change </w:t>
      </w:r>
      <w:r w:rsidR="00746E5F" w:rsidRPr="00B67F80">
        <w:rPr>
          <w:color w:val="000000" w:themeColor="text1"/>
        </w:rPr>
        <w:t xml:space="preserve">remain </w:t>
      </w:r>
      <w:r w:rsidR="009609A0" w:rsidRPr="00B67F80">
        <w:rPr>
          <w:color w:val="000000" w:themeColor="text1"/>
        </w:rPr>
        <w:t>stable</w:t>
      </w:r>
      <w:r w:rsidR="00A35AD4" w:rsidRPr="00B67F80">
        <w:rPr>
          <w:color w:val="000000" w:themeColor="text1"/>
        </w:rPr>
        <w:t xml:space="preserve"> </w:t>
      </w:r>
      <w:r w:rsidR="001A7278" w:rsidRPr="00B67F80">
        <w:rPr>
          <w:color w:val="000000" w:themeColor="text1"/>
        </w:rPr>
        <w:t>for longer record lengths</w:t>
      </w:r>
      <w:r w:rsidR="00746E5F" w:rsidRPr="00B67F80">
        <w:rPr>
          <w:color w:val="000000" w:themeColor="text1"/>
        </w:rPr>
        <w:t xml:space="preserve">. Global </w:t>
      </w:r>
      <w:r w:rsidR="008D6366" w:rsidRPr="00B67F80">
        <w:rPr>
          <w:color w:val="000000" w:themeColor="text1"/>
        </w:rPr>
        <w:t xml:space="preserve">and NH </w:t>
      </w:r>
      <w:r w:rsidR="00746E5F" w:rsidRPr="00B67F80">
        <w:rPr>
          <w:color w:val="000000" w:themeColor="text1"/>
        </w:rPr>
        <w:t xml:space="preserve">trends </w:t>
      </w:r>
      <w:proofErr w:type="gramStart"/>
      <w:r w:rsidR="00746E5F" w:rsidRPr="00B67F80">
        <w:rPr>
          <w:color w:val="000000" w:themeColor="text1"/>
        </w:rPr>
        <w:t>exceed</w:t>
      </w:r>
      <w:proofErr w:type="gramEnd"/>
      <w:r w:rsidR="00746E5F" w:rsidRPr="00B67F80">
        <w:rPr>
          <w:color w:val="000000" w:themeColor="text1"/>
        </w:rPr>
        <w:t xml:space="preserve"> the 95% </w:t>
      </w:r>
      <w:r w:rsidR="00AD29A6">
        <w:rPr>
          <w:color w:val="000000" w:themeColor="text1"/>
        </w:rPr>
        <w:t>confidence</w:t>
      </w:r>
      <w:r w:rsidR="00AD29A6" w:rsidRPr="00B67F80">
        <w:rPr>
          <w:color w:val="000000" w:themeColor="text1"/>
        </w:rPr>
        <w:t xml:space="preserve"> </w:t>
      </w:r>
      <w:r w:rsidR="00746E5F" w:rsidRPr="00B67F80">
        <w:rPr>
          <w:color w:val="000000" w:themeColor="text1"/>
        </w:rPr>
        <w:t xml:space="preserve">level for record lengths greater than 12 years, while </w:t>
      </w:r>
      <w:r w:rsidR="008D6366" w:rsidRPr="00B67F80">
        <w:rPr>
          <w:color w:val="000000" w:themeColor="text1"/>
        </w:rPr>
        <w:t xml:space="preserve">it takes 17 </w:t>
      </w:r>
      <w:r w:rsidR="008D6366" w:rsidRPr="00B67F80">
        <w:rPr>
          <w:color w:val="000000" w:themeColor="text1"/>
        </w:rPr>
        <w:lastRenderedPageBreak/>
        <w:t xml:space="preserve">years </w:t>
      </w:r>
      <w:r w:rsidR="005F5470" w:rsidRPr="00B67F80">
        <w:rPr>
          <w:color w:val="000000" w:themeColor="text1"/>
        </w:rPr>
        <w:t>in</w:t>
      </w:r>
      <w:r w:rsidR="008D6366" w:rsidRPr="00B67F80">
        <w:rPr>
          <w:color w:val="000000" w:themeColor="text1"/>
        </w:rPr>
        <w:t xml:space="preserve"> the SH.</w:t>
      </w:r>
      <w:r w:rsidR="000F38B5" w:rsidRPr="00B67F80">
        <w:rPr>
          <w:color w:val="000000" w:themeColor="text1"/>
        </w:rPr>
        <w:t xml:space="preserve"> Trend differences between Terra and Aqua are smaller than 0.05 Wm</w:t>
      </w:r>
      <w:r w:rsidR="000F38B5" w:rsidRPr="00B67F80">
        <w:rPr>
          <w:color w:val="000000" w:themeColor="text1"/>
          <w:vertAlign w:val="superscript"/>
        </w:rPr>
        <w:t>-2</w:t>
      </w:r>
      <w:r w:rsidR="000F38B5" w:rsidRPr="00B67F80">
        <w:rPr>
          <w:color w:val="000000" w:themeColor="text1"/>
        </w:rPr>
        <w:t xml:space="preserve"> per decade and </w:t>
      </w:r>
      <w:r w:rsidR="009E0804" w:rsidRPr="00B67F80">
        <w:rPr>
          <w:color w:val="000000" w:themeColor="text1"/>
        </w:rPr>
        <w:t>fall</w:t>
      </w:r>
      <w:r w:rsidR="000F38B5" w:rsidRPr="00B67F80">
        <w:rPr>
          <w:color w:val="000000" w:themeColor="text1"/>
        </w:rPr>
        <w:t xml:space="preserve"> within the 95% </w:t>
      </w:r>
      <w:r w:rsidR="00AD29A6">
        <w:rPr>
          <w:color w:val="000000" w:themeColor="text1"/>
        </w:rPr>
        <w:t>confidence</w:t>
      </w:r>
      <w:r w:rsidR="00AD29A6" w:rsidRPr="00B67F80">
        <w:rPr>
          <w:color w:val="000000" w:themeColor="text1"/>
        </w:rPr>
        <w:t xml:space="preserve"> </w:t>
      </w:r>
      <w:r w:rsidR="000F38B5" w:rsidRPr="00B67F80">
        <w:rPr>
          <w:color w:val="000000" w:themeColor="text1"/>
        </w:rPr>
        <w:t>level for</w:t>
      </w:r>
      <w:r w:rsidR="000D5FD9" w:rsidRPr="00B67F80">
        <w:rPr>
          <w:color w:val="000000" w:themeColor="text1"/>
        </w:rPr>
        <w:t xml:space="preserve"> </w:t>
      </w:r>
      <w:r w:rsidR="0024272D" w:rsidRPr="00B67F80">
        <w:rPr>
          <w:color w:val="000000" w:themeColor="text1"/>
        </w:rPr>
        <w:t>07/2002-02/2020</w:t>
      </w:r>
      <w:r w:rsidR="00141385" w:rsidRPr="00B67F80">
        <w:rPr>
          <w:color w:val="000000" w:themeColor="text1"/>
        </w:rPr>
        <w:t xml:space="preserve"> (Figs. 2d-f)</w:t>
      </w:r>
      <w:r w:rsidR="0024272D" w:rsidRPr="00B67F80">
        <w:rPr>
          <w:color w:val="000000" w:themeColor="text1"/>
        </w:rPr>
        <w:t>.</w:t>
      </w:r>
      <w:r w:rsidR="008139BA" w:rsidRPr="00B67F80">
        <w:rPr>
          <w:color w:val="000000" w:themeColor="text1"/>
        </w:rPr>
        <w:t xml:space="preserve"> The Terra ASR trends (Figs. </w:t>
      </w:r>
      <w:r w:rsidR="00DB647C" w:rsidRPr="00B67F80">
        <w:rPr>
          <w:color w:val="000000" w:themeColor="text1"/>
        </w:rPr>
        <w:t>S</w:t>
      </w:r>
      <w:r w:rsidR="00DB647C">
        <w:rPr>
          <w:color w:val="000000" w:themeColor="text1"/>
        </w:rPr>
        <w:t>4</w:t>
      </w:r>
      <w:r w:rsidR="00DB647C" w:rsidRPr="00B67F80">
        <w:rPr>
          <w:color w:val="000000" w:themeColor="text1"/>
        </w:rPr>
        <w:t>a</w:t>
      </w:r>
      <w:r w:rsidR="008139BA" w:rsidRPr="00B67F80">
        <w:rPr>
          <w:color w:val="000000" w:themeColor="text1"/>
        </w:rPr>
        <w:t xml:space="preserve">-c) </w:t>
      </w:r>
      <w:r w:rsidR="00834B36" w:rsidRPr="00B67F80">
        <w:rPr>
          <w:color w:val="000000" w:themeColor="text1"/>
        </w:rPr>
        <w:t>decrease rapidly with record length early in the record but beg</w:t>
      </w:r>
      <w:r w:rsidR="005A6DBF" w:rsidRPr="00B67F80">
        <w:rPr>
          <w:color w:val="000000" w:themeColor="text1"/>
        </w:rPr>
        <w:t>i</w:t>
      </w:r>
      <w:r w:rsidR="00834B36" w:rsidRPr="00B67F80">
        <w:rPr>
          <w:color w:val="000000" w:themeColor="text1"/>
        </w:rPr>
        <w:t>n to increase</w:t>
      </w:r>
      <w:r w:rsidR="00C75E5A" w:rsidRPr="00B67F80">
        <w:rPr>
          <w:color w:val="000000" w:themeColor="text1"/>
        </w:rPr>
        <w:t xml:space="preserve"> </w:t>
      </w:r>
      <w:r w:rsidR="00834B36" w:rsidRPr="00B67F80">
        <w:rPr>
          <w:color w:val="000000" w:themeColor="text1"/>
        </w:rPr>
        <w:t>after the record length reache</w:t>
      </w:r>
      <w:r w:rsidR="00DC39AA" w:rsidRPr="00B67F80">
        <w:rPr>
          <w:color w:val="000000" w:themeColor="text1"/>
        </w:rPr>
        <w:t>s</w:t>
      </w:r>
      <w:r w:rsidR="00834B36" w:rsidRPr="00B67F80">
        <w:rPr>
          <w:color w:val="000000" w:themeColor="text1"/>
        </w:rPr>
        <w:t xml:space="preserve"> 14 years, which corresponds to when the Pacific Decadal Oscillation shifted from negative to positive (Loeb et al., 2021).</w:t>
      </w:r>
      <w:r w:rsidR="00C75E5A" w:rsidRPr="00B67F80">
        <w:rPr>
          <w:color w:val="000000" w:themeColor="text1"/>
        </w:rPr>
        <w:t xml:space="preserve"> </w:t>
      </w:r>
      <w:r w:rsidR="0048162E" w:rsidRPr="00B67F80">
        <w:rPr>
          <w:color w:val="000000" w:themeColor="text1"/>
        </w:rPr>
        <w:t>ASR trend</w:t>
      </w:r>
      <w:r w:rsidR="004D6ED1" w:rsidRPr="00B67F80">
        <w:rPr>
          <w:color w:val="000000" w:themeColor="text1"/>
        </w:rPr>
        <w:t>s from Terra and Aqua</w:t>
      </w:r>
      <w:r w:rsidR="0048162E" w:rsidRPr="00B67F80">
        <w:rPr>
          <w:color w:val="000000" w:themeColor="text1"/>
        </w:rPr>
        <w:t xml:space="preserve"> are </w:t>
      </w:r>
      <w:r w:rsidR="004D6ED1" w:rsidRPr="00B67F80">
        <w:rPr>
          <w:color w:val="000000" w:themeColor="text1"/>
        </w:rPr>
        <w:t>within</w:t>
      </w:r>
      <w:r w:rsidR="0048162E" w:rsidRPr="00B67F80">
        <w:rPr>
          <w:color w:val="000000" w:themeColor="text1"/>
        </w:rPr>
        <w:t xml:space="preserve"> 0.04 Wm</w:t>
      </w:r>
      <w:r w:rsidR="0048162E" w:rsidRPr="00B67F80">
        <w:rPr>
          <w:color w:val="000000" w:themeColor="text1"/>
          <w:vertAlign w:val="superscript"/>
        </w:rPr>
        <w:t>-2</w:t>
      </w:r>
      <w:r w:rsidR="0048162E" w:rsidRPr="00B67F80">
        <w:rPr>
          <w:color w:val="000000" w:themeColor="text1"/>
        </w:rPr>
        <w:t xml:space="preserve"> per decade</w:t>
      </w:r>
      <w:r w:rsidR="005A6DBF" w:rsidRPr="00B67F80">
        <w:rPr>
          <w:color w:val="000000" w:themeColor="text1"/>
        </w:rPr>
        <w:t xml:space="preserve"> </w:t>
      </w:r>
      <w:r w:rsidR="004D6ED1" w:rsidRPr="00B67F80">
        <w:rPr>
          <w:color w:val="000000" w:themeColor="text1"/>
        </w:rPr>
        <w:t xml:space="preserve">of one another </w:t>
      </w:r>
      <w:r w:rsidR="005A6DBF" w:rsidRPr="00B67F80">
        <w:rPr>
          <w:color w:val="000000" w:themeColor="text1"/>
        </w:rPr>
        <w:t xml:space="preserve">for the full </w:t>
      </w:r>
      <w:r w:rsidR="00DB647C" w:rsidRPr="00B67F80">
        <w:rPr>
          <w:color w:val="000000" w:themeColor="text1"/>
        </w:rPr>
        <w:t>period and</w:t>
      </w:r>
      <w:r w:rsidR="00FB3018" w:rsidRPr="00B67F80">
        <w:rPr>
          <w:color w:val="000000" w:themeColor="text1"/>
        </w:rPr>
        <w:t xml:space="preserve"> remain below the 95% </w:t>
      </w:r>
      <w:r w:rsidR="00AD29A6">
        <w:rPr>
          <w:color w:val="000000" w:themeColor="text1"/>
        </w:rPr>
        <w:t>confidence</w:t>
      </w:r>
      <w:r w:rsidR="00AD29A6" w:rsidRPr="00B67F80">
        <w:rPr>
          <w:color w:val="000000" w:themeColor="text1"/>
        </w:rPr>
        <w:t xml:space="preserve"> </w:t>
      </w:r>
      <w:r w:rsidR="00FB3018" w:rsidRPr="00B67F80">
        <w:rPr>
          <w:color w:val="000000" w:themeColor="text1"/>
        </w:rPr>
        <w:t>level for most shorter record lengths</w:t>
      </w:r>
      <w:r w:rsidR="005A6DBF" w:rsidRPr="00B67F80">
        <w:rPr>
          <w:color w:val="000000" w:themeColor="text1"/>
        </w:rPr>
        <w:t xml:space="preserve"> (Figs. </w:t>
      </w:r>
      <w:r w:rsidR="00DB647C" w:rsidRPr="00B67F80">
        <w:rPr>
          <w:color w:val="000000" w:themeColor="text1"/>
        </w:rPr>
        <w:t>S</w:t>
      </w:r>
      <w:r w:rsidR="00DB647C">
        <w:rPr>
          <w:color w:val="000000" w:themeColor="text1"/>
        </w:rPr>
        <w:t>4</w:t>
      </w:r>
      <w:r w:rsidR="00DB647C" w:rsidRPr="00B67F80">
        <w:rPr>
          <w:color w:val="000000" w:themeColor="text1"/>
        </w:rPr>
        <w:t>d</w:t>
      </w:r>
      <w:r w:rsidR="005A6DBF" w:rsidRPr="00B67F80">
        <w:rPr>
          <w:color w:val="000000" w:themeColor="text1"/>
        </w:rPr>
        <w:t>-f).</w:t>
      </w:r>
      <w:r w:rsidR="00EC0303" w:rsidRPr="00B67F80">
        <w:rPr>
          <w:color w:val="000000" w:themeColor="text1"/>
        </w:rPr>
        <w:t xml:space="preserve"> Similarly, </w:t>
      </w:r>
      <w:r w:rsidR="00EC0303" w:rsidRPr="00B67F80">
        <w:rPr>
          <w:color w:val="000000" w:themeColor="text1"/>
        </w:rPr>
        <w:sym w:font="Symbol" w:char="F02D"/>
      </w:r>
      <w:r w:rsidR="00EC0303" w:rsidRPr="00B67F80">
        <w:rPr>
          <w:color w:val="000000" w:themeColor="text1"/>
        </w:rPr>
        <w:t xml:space="preserve">OLR trends from Terra and Aqua </w:t>
      </w:r>
      <w:r w:rsidR="004D6ED1" w:rsidRPr="00B67F80">
        <w:rPr>
          <w:color w:val="000000" w:themeColor="text1"/>
        </w:rPr>
        <w:t>differ</w:t>
      </w:r>
      <w:r w:rsidR="00EC0303" w:rsidRPr="00B67F80">
        <w:rPr>
          <w:color w:val="000000" w:themeColor="text1"/>
        </w:rPr>
        <w:t xml:space="preserve"> </w:t>
      </w:r>
      <w:r w:rsidR="004D6ED1" w:rsidRPr="00B67F80">
        <w:rPr>
          <w:color w:val="000000" w:themeColor="text1"/>
        </w:rPr>
        <w:t>by</w:t>
      </w:r>
      <w:r w:rsidR="00EC0303" w:rsidRPr="00B67F80">
        <w:rPr>
          <w:color w:val="000000" w:themeColor="text1"/>
        </w:rPr>
        <w:t xml:space="preserve"> 0.06 Wm</w:t>
      </w:r>
      <w:r w:rsidR="004D6ED1" w:rsidRPr="00B67F80">
        <w:rPr>
          <w:color w:val="000000" w:themeColor="text1"/>
          <w:vertAlign w:val="superscript"/>
        </w:rPr>
        <w:sym w:font="Symbol" w:char="F02D"/>
      </w:r>
      <w:r w:rsidR="00EC0303" w:rsidRPr="00B67F80">
        <w:rPr>
          <w:color w:val="000000" w:themeColor="text1"/>
          <w:vertAlign w:val="superscript"/>
        </w:rPr>
        <w:t>2</w:t>
      </w:r>
      <w:r w:rsidR="00EC0303" w:rsidRPr="00B67F80">
        <w:rPr>
          <w:color w:val="000000" w:themeColor="text1"/>
        </w:rPr>
        <w:t xml:space="preserve"> per decade of one another</w:t>
      </w:r>
      <w:r w:rsidR="005F5470" w:rsidRPr="00B67F80">
        <w:rPr>
          <w:color w:val="000000" w:themeColor="text1"/>
        </w:rPr>
        <w:t xml:space="preserve">, which is also within the 95% </w:t>
      </w:r>
      <w:r w:rsidR="00AD29A6">
        <w:rPr>
          <w:color w:val="000000" w:themeColor="text1"/>
        </w:rPr>
        <w:t>confidence</w:t>
      </w:r>
      <w:r w:rsidR="00AD29A6" w:rsidRPr="00B67F80">
        <w:rPr>
          <w:color w:val="000000" w:themeColor="text1"/>
        </w:rPr>
        <w:t xml:space="preserve"> </w:t>
      </w:r>
      <w:r w:rsidR="005F5470" w:rsidRPr="00B67F80">
        <w:rPr>
          <w:color w:val="000000" w:themeColor="text1"/>
        </w:rPr>
        <w:t>level</w:t>
      </w:r>
      <w:r w:rsidR="00EC0303" w:rsidRPr="00B67F80">
        <w:rPr>
          <w:color w:val="000000" w:themeColor="text1"/>
        </w:rPr>
        <w:t xml:space="preserve"> (Figs. </w:t>
      </w:r>
      <w:r w:rsidR="00DB647C" w:rsidRPr="00B67F80">
        <w:rPr>
          <w:color w:val="000000" w:themeColor="text1"/>
        </w:rPr>
        <w:t>S</w:t>
      </w:r>
      <w:r w:rsidR="00DB647C">
        <w:rPr>
          <w:color w:val="000000" w:themeColor="text1"/>
        </w:rPr>
        <w:t>5</w:t>
      </w:r>
      <w:r w:rsidR="00DB647C" w:rsidRPr="00B67F80">
        <w:rPr>
          <w:color w:val="000000" w:themeColor="text1"/>
        </w:rPr>
        <w:t>d</w:t>
      </w:r>
      <w:r w:rsidR="00EC0303" w:rsidRPr="00B67F80">
        <w:rPr>
          <w:color w:val="000000" w:themeColor="text1"/>
        </w:rPr>
        <w:t>-f).</w:t>
      </w:r>
    </w:p>
    <w:p w14:paraId="465B8D6C" w14:textId="4DE55631" w:rsidR="00C65BF9" w:rsidRPr="00B67F80" w:rsidRDefault="009E0804" w:rsidP="006A0C2A">
      <w:pPr>
        <w:spacing w:line="480" w:lineRule="auto"/>
        <w:ind w:firstLine="720"/>
        <w:jc w:val="both"/>
        <w:rPr>
          <w:color w:val="000000" w:themeColor="text1"/>
        </w:rPr>
      </w:pPr>
      <w:r w:rsidRPr="00B67F80">
        <w:rPr>
          <w:color w:val="000000" w:themeColor="text1"/>
        </w:rPr>
        <w:t>Further validation of the CERES</w:t>
      </w:r>
      <w:r w:rsidR="002C08C0" w:rsidRPr="00B67F80">
        <w:rPr>
          <w:color w:val="000000" w:themeColor="text1"/>
        </w:rPr>
        <w:t xml:space="preserve"> record</w:t>
      </w:r>
      <w:r w:rsidRPr="00B67F80">
        <w:rPr>
          <w:color w:val="000000" w:themeColor="text1"/>
        </w:rPr>
        <w:t xml:space="preserve"> is provided in Loeb et al. (2021), who compared CERES EBAF </w:t>
      </w:r>
      <w:r w:rsidR="00F43418" w:rsidRPr="00B67F80">
        <w:rPr>
          <w:color w:val="000000" w:themeColor="text1"/>
        </w:rPr>
        <w:t>variations</w:t>
      </w:r>
      <w:r w:rsidRPr="00B67F80">
        <w:rPr>
          <w:color w:val="000000" w:themeColor="text1"/>
        </w:rPr>
        <w:t xml:space="preserve"> in global mean net TOA flux with estimates of </w:t>
      </w:r>
      <w:r w:rsidR="00F43418" w:rsidRPr="00B67F80">
        <w:rPr>
          <w:color w:val="000000" w:themeColor="text1"/>
        </w:rPr>
        <w:t>planetary heat uptake</w:t>
      </w:r>
      <w:r w:rsidRPr="00B67F80">
        <w:rPr>
          <w:color w:val="000000" w:themeColor="text1"/>
        </w:rPr>
        <w:t xml:space="preserve"> from in</w:t>
      </w:r>
      <w:r w:rsidR="00F43418" w:rsidRPr="00B67F80">
        <w:rPr>
          <w:color w:val="000000" w:themeColor="text1"/>
        </w:rPr>
        <w:t xml:space="preserve"> </w:t>
      </w:r>
      <w:r w:rsidRPr="00B67F80">
        <w:rPr>
          <w:color w:val="000000" w:themeColor="text1"/>
        </w:rPr>
        <w:t>situ data for mid-2005 to mid-2019</w:t>
      </w:r>
      <w:r w:rsidR="00F43418" w:rsidRPr="00B67F80">
        <w:rPr>
          <w:color w:val="000000" w:themeColor="text1"/>
        </w:rPr>
        <w:t>. The in situ data used is derived by an inventory of the rates of changes of energy stored in all components of the climate system, with the primary contribution from differences of overlapping annual 0–2,000 m ocean heat content anomalies from Argo float profiles.</w:t>
      </w:r>
      <w:r w:rsidR="000555A5" w:rsidRPr="00B67F80">
        <w:rPr>
          <w:color w:val="000000" w:themeColor="text1"/>
        </w:rPr>
        <w:t xml:space="preserve"> As shown in Loeb et al. (2021), the trend in the difference between the CERES and in situ data is 0.068</w:t>
      </w:r>
      <w:r w:rsidR="000555A5" w:rsidRPr="00B67F80">
        <w:rPr>
          <w:color w:val="000000" w:themeColor="text1"/>
        </w:rPr>
        <w:sym w:font="Symbol" w:char="F0B1"/>
      </w:r>
      <w:r w:rsidR="000555A5" w:rsidRPr="00B67F80">
        <w:rPr>
          <w:color w:val="000000" w:themeColor="text1"/>
        </w:rPr>
        <w:t>0.29 W m</w:t>
      </w:r>
      <w:r w:rsidR="000555A5" w:rsidRPr="00B67F80">
        <w:rPr>
          <w:color w:val="000000" w:themeColor="text1"/>
          <w:vertAlign w:val="superscript"/>
        </w:rPr>
        <w:t>−2</w:t>
      </w:r>
      <w:r w:rsidR="000555A5" w:rsidRPr="00B67F80">
        <w:rPr>
          <w:color w:val="000000" w:themeColor="text1"/>
        </w:rPr>
        <w:t xml:space="preserve"> decade</w:t>
      </w:r>
      <w:r w:rsidR="000555A5" w:rsidRPr="00B67F80">
        <w:rPr>
          <w:color w:val="000000" w:themeColor="text1"/>
          <w:vertAlign w:val="superscript"/>
        </w:rPr>
        <w:t>−1</w:t>
      </w:r>
      <w:r w:rsidR="0012427E" w:rsidRPr="00B67F80">
        <w:rPr>
          <w:color w:val="000000" w:themeColor="text1"/>
        </w:rPr>
        <w:t xml:space="preserve">, which is similar in magnitude to the </w:t>
      </w:r>
      <w:r w:rsidR="007E2443" w:rsidRPr="00B67F80">
        <w:rPr>
          <w:color w:val="000000" w:themeColor="text1"/>
        </w:rPr>
        <w:t xml:space="preserve">comparison between </w:t>
      </w:r>
      <w:r w:rsidR="0012427E" w:rsidRPr="00B67F80">
        <w:rPr>
          <w:color w:val="000000" w:themeColor="text1"/>
        </w:rPr>
        <w:t>CERES Terra and Aqua</w:t>
      </w:r>
      <w:r w:rsidR="007E2443" w:rsidRPr="00B67F80">
        <w:rPr>
          <w:color w:val="000000" w:themeColor="text1"/>
        </w:rPr>
        <w:t>.</w:t>
      </w:r>
      <w:r w:rsidR="0012427E" w:rsidRPr="00B67F80">
        <w:rPr>
          <w:color w:val="000000" w:themeColor="text1"/>
        </w:rPr>
        <w:t xml:space="preserve"> </w:t>
      </w:r>
      <w:r w:rsidR="00C03229">
        <w:rPr>
          <w:color w:val="000000" w:themeColor="text1"/>
        </w:rPr>
        <w:t>An i</w:t>
      </w:r>
      <w:r w:rsidR="00C03229" w:rsidRPr="00B67F80">
        <w:rPr>
          <w:color w:val="000000" w:themeColor="text1"/>
        </w:rPr>
        <w:t xml:space="preserve">ndependent </w:t>
      </w:r>
      <w:r w:rsidR="006A0C2A" w:rsidRPr="00B67F80">
        <w:rPr>
          <w:color w:val="000000" w:themeColor="text1"/>
        </w:rPr>
        <w:t>analys</w:t>
      </w:r>
      <w:r w:rsidR="00C03229">
        <w:rPr>
          <w:color w:val="000000" w:themeColor="text1"/>
        </w:rPr>
        <w:t>i</w:t>
      </w:r>
      <w:r w:rsidR="006A0C2A" w:rsidRPr="00B67F80">
        <w:rPr>
          <w:color w:val="000000" w:themeColor="text1"/>
        </w:rPr>
        <w:t xml:space="preserve">s of the CERES data by </w:t>
      </w:r>
      <w:proofErr w:type="spellStart"/>
      <w:r w:rsidR="006A0C2A" w:rsidRPr="00B67F80">
        <w:rPr>
          <w:color w:val="000000" w:themeColor="text1"/>
        </w:rPr>
        <w:t>Datseris</w:t>
      </w:r>
      <w:proofErr w:type="spellEnd"/>
      <w:r w:rsidR="006A0C2A" w:rsidRPr="00B67F80">
        <w:rPr>
          <w:color w:val="000000" w:themeColor="text1"/>
        </w:rPr>
        <w:t xml:space="preserve"> and Stevens (2021) confirm our findings</w:t>
      </w:r>
      <w:r w:rsidR="00082BCC" w:rsidRPr="00B67F80">
        <w:rPr>
          <w:color w:val="000000" w:themeColor="text1"/>
        </w:rPr>
        <w:t>. Additionally,</w:t>
      </w:r>
      <w:r w:rsidR="006A0C2A" w:rsidRPr="00B67F80">
        <w:rPr>
          <w:color w:val="000000" w:themeColor="text1"/>
        </w:rPr>
        <w:t xml:space="preserve"> Hakuba et al. (2021) use a combination of altimetric and gravimetric observations from GRACE to find a similar trend in EEI. </w:t>
      </w:r>
      <w:r w:rsidR="00C65BF9" w:rsidRPr="00B67F80">
        <w:rPr>
          <w:color w:val="000000" w:themeColor="text1"/>
        </w:rPr>
        <w:t>The</w:t>
      </w:r>
      <w:r w:rsidR="006A0C2A" w:rsidRPr="00B67F80">
        <w:rPr>
          <w:color w:val="000000" w:themeColor="text1"/>
        </w:rPr>
        <w:t>se results</w:t>
      </w:r>
      <w:r w:rsidR="00C65BF9" w:rsidRPr="00B67F80">
        <w:rPr>
          <w:color w:val="000000" w:themeColor="text1"/>
        </w:rPr>
        <w:t xml:space="preserve"> stand in </w:t>
      </w:r>
      <w:r w:rsidR="006A0C2A" w:rsidRPr="00B67F80">
        <w:rPr>
          <w:color w:val="000000" w:themeColor="text1"/>
        </w:rPr>
        <w:t>marked</w:t>
      </w:r>
      <w:r w:rsidR="00C65BF9" w:rsidRPr="00B67F80">
        <w:rPr>
          <w:color w:val="000000" w:themeColor="text1"/>
        </w:rPr>
        <w:t xml:space="preserve"> contrast with Matthews (2021), who claim</w:t>
      </w:r>
      <w:r w:rsidR="004E7DAB" w:rsidRPr="00B67F80">
        <w:rPr>
          <w:color w:val="000000" w:themeColor="text1"/>
        </w:rPr>
        <w:t xml:space="preserve"> that there are “spurious calibration drifts</w:t>
      </w:r>
      <w:r w:rsidR="009359D2" w:rsidRPr="00B67F80">
        <w:rPr>
          <w:color w:val="000000" w:themeColor="text1"/>
        </w:rPr>
        <w:t>”</w:t>
      </w:r>
      <w:r w:rsidR="004E7DAB" w:rsidRPr="00B67F80">
        <w:rPr>
          <w:color w:val="000000" w:themeColor="text1"/>
        </w:rPr>
        <w:t xml:space="preserve"> in the CERES record based upon </w:t>
      </w:r>
      <w:r w:rsidR="009359D2" w:rsidRPr="00B67F80">
        <w:rPr>
          <w:color w:val="000000" w:themeColor="text1"/>
        </w:rPr>
        <w:t xml:space="preserve">an analysis of lunar </w:t>
      </w:r>
      <w:r w:rsidR="00A303D8" w:rsidRPr="00B67F80">
        <w:rPr>
          <w:color w:val="000000" w:themeColor="text1"/>
        </w:rPr>
        <w:t>reflectance</w:t>
      </w:r>
      <w:r w:rsidR="009359D2" w:rsidRPr="00B67F80">
        <w:rPr>
          <w:color w:val="000000" w:themeColor="text1"/>
        </w:rPr>
        <w:t xml:space="preserve"> measured by CERES.</w:t>
      </w:r>
      <w:r w:rsidR="00D03BAC" w:rsidRPr="00B67F80">
        <w:rPr>
          <w:color w:val="000000" w:themeColor="text1"/>
        </w:rPr>
        <w:t xml:space="preserve"> A direct comparison between the adjusted CERES Terra reflected SW</w:t>
      </w:r>
      <w:r w:rsidR="00107997" w:rsidRPr="00B67F80">
        <w:rPr>
          <w:color w:val="000000" w:themeColor="text1"/>
        </w:rPr>
        <w:t xml:space="preserve"> </w:t>
      </w:r>
      <w:r w:rsidR="008B3671" w:rsidRPr="00B67F80">
        <w:rPr>
          <w:color w:val="000000" w:themeColor="text1"/>
        </w:rPr>
        <w:t>values</w:t>
      </w:r>
      <w:r w:rsidR="002C55EE" w:rsidRPr="00B67F80">
        <w:rPr>
          <w:color w:val="000000" w:themeColor="text1"/>
        </w:rPr>
        <w:t xml:space="preserve"> proposed</w:t>
      </w:r>
      <w:r w:rsidR="00B35416" w:rsidRPr="00B67F80">
        <w:rPr>
          <w:color w:val="000000" w:themeColor="text1"/>
        </w:rPr>
        <w:t xml:space="preserve"> </w:t>
      </w:r>
      <w:r w:rsidR="002C55EE" w:rsidRPr="00B67F80">
        <w:rPr>
          <w:color w:val="000000" w:themeColor="text1"/>
        </w:rPr>
        <w:t>by</w:t>
      </w:r>
      <w:r w:rsidR="00B35416" w:rsidRPr="00B67F80">
        <w:rPr>
          <w:color w:val="000000" w:themeColor="text1"/>
        </w:rPr>
        <w:t xml:space="preserve"> Matthews (2021)</w:t>
      </w:r>
      <w:r w:rsidR="00D03BAC" w:rsidRPr="00B67F80">
        <w:rPr>
          <w:color w:val="000000" w:themeColor="text1"/>
        </w:rPr>
        <w:t xml:space="preserve"> and the official CERES SSF1deg Ed4.1 </w:t>
      </w:r>
      <w:r w:rsidR="00107997" w:rsidRPr="00B67F80">
        <w:rPr>
          <w:color w:val="000000" w:themeColor="text1"/>
        </w:rPr>
        <w:t xml:space="preserve">product </w:t>
      </w:r>
      <w:r w:rsidR="00B35416" w:rsidRPr="00B67F80">
        <w:rPr>
          <w:color w:val="000000" w:themeColor="text1"/>
        </w:rPr>
        <w:t xml:space="preserve">reveals that Matthews (2021) made </w:t>
      </w:r>
      <w:r w:rsidR="00107997" w:rsidRPr="00B67F80">
        <w:rPr>
          <w:color w:val="000000" w:themeColor="text1"/>
        </w:rPr>
        <w:t xml:space="preserve">the </w:t>
      </w:r>
      <w:r w:rsidR="00107997" w:rsidRPr="00B67F80">
        <w:rPr>
          <w:color w:val="000000" w:themeColor="text1"/>
        </w:rPr>
        <w:lastRenderedPageBreak/>
        <w:t>largest “</w:t>
      </w:r>
      <w:r w:rsidR="00B35416" w:rsidRPr="00B67F80">
        <w:rPr>
          <w:color w:val="000000" w:themeColor="text1"/>
        </w:rPr>
        <w:t>corrections</w:t>
      </w:r>
      <w:r w:rsidR="00107997" w:rsidRPr="00B67F80">
        <w:rPr>
          <w:color w:val="000000" w:themeColor="text1"/>
        </w:rPr>
        <w:t>”</w:t>
      </w:r>
      <w:r w:rsidR="00B35416" w:rsidRPr="00B67F80">
        <w:rPr>
          <w:color w:val="000000" w:themeColor="text1"/>
        </w:rPr>
        <w:t xml:space="preserve"> </w:t>
      </w:r>
      <w:r w:rsidR="009E2344" w:rsidRPr="00B67F80">
        <w:rPr>
          <w:color w:val="000000" w:themeColor="text1"/>
        </w:rPr>
        <w:t xml:space="preserve">to the CERES </w:t>
      </w:r>
      <w:r w:rsidR="00B74C67" w:rsidRPr="00B67F80">
        <w:rPr>
          <w:color w:val="000000" w:themeColor="text1"/>
        </w:rPr>
        <w:t>record</w:t>
      </w:r>
      <w:r w:rsidR="009E2344" w:rsidRPr="00B67F80">
        <w:rPr>
          <w:color w:val="000000" w:themeColor="text1"/>
        </w:rPr>
        <w:t xml:space="preserve"> </w:t>
      </w:r>
      <w:r w:rsidR="00107997" w:rsidRPr="00B67F80">
        <w:rPr>
          <w:color w:val="000000" w:themeColor="text1"/>
        </w:rPr>
        <w:t>(</w:t>
      </w:r>
      <w:r w:rsidR="00B35416" w:rsidRPr="00B67F80">
        <w:rPr>
          <w:color w:val="000000" w:themeColor="text1"/>
        </w:rPr>
        <w:t xml:space="preserve">reaching </w:t>
      </w:r>
      <w:r w:rsidR="00B35416" w:rsidRPr="00B67F80">
        <w:rPr>
          <w:rFonts w:ascii="Symbol" w:hAnsi="Symbol"/>
          <w:color w:val="000000" w:themeColor="text1"/>
        </w:rPr>
        <w:t></w:t>
      </w:r>
      <w:r w:rsidR="00B35416" w:rsidRPr="00B67F80">
        <w:rPr>
          <w:color w:val="000000" w:themeColor="text1"/>
        </w:rPr>
        <w:t>0.8 Wm</w:t>
      </w:r>
      <w:r w:rsidR="00B35416" w:rsidRPr="00B67F80">
        <w:rPr>
          <w:color w:val="000000" w:themeColor="text1"/>
          <w:vertAlign w:val="superscript"/>
        </w:rPr>
        <w:t>-2</w:t>
      </w:r>
      <w:r w:rsidR="00107997" w:rsidRPr="00B67F80">
        <w:rPr>
          <w:color w:val="000000" w:themeColor="text1"/>
        </w:rPr>
        <w:t>) prior to when CERES Terra even started making lunar observations in 10</w:t>
      </w:r>
      <w:r w:rsidR="00B35416" w:rsidRPr="00B67F80">
        <w:rPr>
          <w:color w:val="000000" w:themeColor="text1"/>
        </w:rPr>
        <w:t xml:space="preserve">/2002 </w:t>
      </w:r>
      <w:r w:rsidR="00107997" w:rsidRPr="00B67F80">
        <w:rPr>
          <w:color w:val="000000" w:themeColor="text1"/>
        </w:rPr>
        <w:t xml:space="preserve">(Fig. </w:t>
      </w:r>
      <w:r w:rsidR="001E71BB" w:rsidRPr="00B67F80">
        <w:rPr>
          <w:color w:val="000000" w:themeColor="text1"/>
        </w:rPr>
        <w:t>S</w:t>
      </w:r>
      <w:r w:rsidR="001E71BB">
        <w:rPr>
          <w:color w:val="000000" w:themeColor="text1"/>
        </w:rPr>
        <w:t>6</w:t>
      </w:r>
      <w:r w:rsidR="001E71BB" w:rsidRPr="00B67F80">
        <w:rPr>
          <w:color w:val="000000" w:themeColor="text1"/>
        </w:rPr>
        <w:t>a</w:t>
      </w:r>
      <w:r w:rsidR="00107997" w:rsidRPr="00B67F80">
        <w:rPr>
          <w:color w:val="000000" w:themeColor="text1"/>
        </w:rPr>
        <w:t xml:space="preserve">). </w:t>
      </w:r>
      <w:r w:rsidR="009E2344" w:rsidRPr="00B67F80">
        <w:rPr>
          <w:color w:val="000000" w:themeColor="text1"/>
        </w:rPr>
        <w:t xml:space="preserve">If we restrict </w:t>
      </w:r>
      <w:r w:rsidR="00107997" w:rsidRPr="00B67F80">
        <w:rPr>
          <w:color w:val="000000" w:themeColor="text1"/>
        </w:rPr>
        <w:t xml:space="preserve">the comparison </w:t>
      </w:r>
      <w:r w:rsidR="009E2344" w:rsidRPr="00B67F80">
        <w:rPr>
          <w:color w:val="000000" w:themeColor="text1"/>
        </w:rPr>
        <w:t xml:space="preserve">only </w:t>
      </w:r>
      <w:r w:rsidR="00107997" w:rsidRPr="00B67F80">
        <w:rPr>
          <w:color w:val="000000" w:themeColor="text1"/>
        </w:rPr>
        <w:t xml:space="preserve">to </w:t>
      </w:r>
      <w:r w:rsidR="00736ACD" w:rsidRPr="00B67F80">
        <w:rPr>
          <w:color w:val="000000" w:themeColor="text1"/>
        </w:rPr>
        <w:t>dates</w:t>
      </w:r>
      <w:r w:rsidR="00107997" w:rsidRPr="00B67F80">
        <w:rPr>
          <w:color w:val="000000" w:themeColor="text1"/>
        </w:rPr>
        <w:t xml:space="preserve"> </w:t>
      </w:r>
      <w:r w:rsidR="00736ACD" w:rsidRPr="00B67F80">
        <w:rPr>
          <w:color w:val="000000" w:themeColor="text1"/>
        </w:rPr>
        <w:t>when</w:t>
      </w:r>
      <w:r w:rsidR="00107997" w:rsidRPr="00B67F80">
        <w:rPr>
          <w:color w:val="000000" w:themeColor="text1"/>
        </w:rPr>
        <w:t xml:space="preserve"> CERES scans of the moon exist</w:t>
      </w:r>
      <w:r w:rsidR="00736ACD" w:rsidRPr="00B67F80">
        <w:rPr>
          <w:color w:val="000000" w:themeColor="text1"/>
        </w:rPr>
        <w:t xml:space="preserve"> </w:t>
      </w:r>
      <w:r w:rsidR="00107997" w:rsidRPr="00B67F80">
        <w:rPr>
          <w:color w:val="000000" w:themeColor="text1"/>
        </w:rPr>
        <w:t>(</w:t>
      </w:r>
      <w:r w:rsidR="00736ACD" w:rsidRPr="00B67F80">
        <w:rPr>
          <w:color w:val="000000" w:themeColor="text1"/>
        </w:rPr>
        <w:t xml:space="preserve">Fig. </w:t>
      </w:r>
      <w:r w:rsidR="001E71BB" w:rsidRPr="00B67F80">
        <w:rPr>
          <w:color w:val="000000" w:themeColor="text1"/>
        </w:rPr>
        <w:t>S</w:t>
      </w:r>
      <w:r w:rsidR="001E71BB">
        <w:rPr>
          <w:color w:val="000000" w:themeColor="text1"/>
        </w:rPr>
        <w:t>6</w:t>
      </w:r>
      <w:r w:rsidR="001E71BB" w:rsidRPr="00B67F80">
        <w:rPr>
          <w:color w:val="000000" w:themeColor="text1"/>
        </w:rPr>
        <w:t>b</w:t>
      </w:r>
      <w:r w:rsidR="00107997" w:rsidRPr="00B67F80">
        <w:rPr>
          <w:color w:val="000000" w:themeColor="text1"/>
        </w:rPr>
        <w:t>)</w:t>
      </w:r>
      <w:r w:rsidR="009E2344" w:rsidRPr="00B67F80">
        <w:rPr>
          <w:color w:val="000000" w:themeColor="text1"/>
        </w:rPr>
        <w:t>,</w:t>
      </w:r>
      <w:r w:rsidR="00107997" w:rsidRPr="00B67F80">
        <w:rPr>
          <w:color w:val="000000" w:themeColor="text1"/>
        </w:rPr>
        <w:t xml:space="preserve"> </w:t>
      </w:r>
      <w:r w:rsidR="009E2344" w:rsidRPr="00B67F80">
        <w:rPr>
          <w:color w:val="000000" w:themeColor="text1"/>
        </w:rPr>
        <w:t>there is v</w:t>
      </w:r>
      <w:r w:rsidR="00736ACD" w:rsidRPr="00B67F80">
        <w:rPr>
          <w:color w:val="000000" w:themeColor="text1"/>
        </w:rPr>
        <w:t>irtually no trend difference</w:t>
      </w:r>
      <w:r w:rsidR="00107997" w:rsidRPr="00B67F80">
        <w:rPr>
          <w:color w:val="000000" w:themeColor="text1"/>
        </w:rPr>
        <w:t xml:space="preserve"> </w:t>
      </w:r>
      <w:r w:rsidR="00736ACD" w:rsidRPr="00B67F80">
        <w:rPr>
          <w:color w:val="000000" w:themeColor="text1"/>
        </w:rPr>
        <w:t>between the two records (</w:t>
      </w:r>
      <w:r w:rsidR="00107997" w:rsidRPr="00B67F80">
        <w:rPr>
          <w:color w:val="000000" w:themeColor="text1"/>
        </w:rPr>
        <w:t xml:space="preserve">trend difference </w:t>
      </w:r>
      <w:r w:rsidR="00736ACD" w:rsidRPr="00B67F80">
        <w:rPr>
          <w:color w:val="000000" w:themeColor="text1"/>
        </w:rPr>
        <w:t>of</w:t>
      </w:r>
      <w:r w:rsidR="00107997" w:rsidRPr="00B67F80">
        <w:rPr>
          <w:color w:val="000000" w:themeColor="text1"/>
        </w:rPr>
        <w:t xml:space="preserve"> </w:t>
      </w:r>
      <w:r w:rsidR="00107997" w:rsidRPr="00B67F80">
        <w:rPr>
          <w:rFonts w:ascii="Symbol" w:hAnsi="Symbol"/>
          <w:color w:val="000000" w:themeColor="text1"/>
        </w:rPr>
        <w:t></w:t>
      </w:r>
      <w:r w:rsidR="00107997" w:rsidRPr="00B67F80">
        <w:rPr>
          <w:color w:val="000000" w:themeColor="text1"/>
        </w:rPr>
        <w:t>0.012 Wm</w:t>
      </w:r>
      <w:r w:rsidR="00107997" w:rsidRPr="00B67F80">
        <w:rPr>
          <w:color w:val="000000" w:themeColor="text1"/>
          <w:vertAlign w:val="superscript"/>
        </w:rPr>
        <w:t>-2</w:t>
      </w:r>
      <w:r w:rsidR="00107997" w:rsidRPr="00B67F80">
        <w:rPr>
          <w:color w:val="000000" w:themeColor="text1"/>
        </w:rPr>
        <w:t xml:space="preserve"> per decade</w:t>
      </w:r>
      <w:r w:rsidR="00736ACD" w:rsidRPr="00B67F80">
        <w:rPr>
          <w:color w:val="000000" w:themeColor="text1"/>
        </w:rPr>
        <w:t>)</w:t>
      </w:r>
      <w:r w:rsidR="00107997" w:rsidRPr="00B67F80">
        <w:rPr>
          <w:color w:val="000000" w:themeColor="text1"/>
        </w:rPr>
        <w:t>.</w:t>
      </w:r>
      <w:r w:rsidR="00080723" w:rsidRPr="00B67F80">
        <w:rPr>
          <w:color w:val="000000" w:themeColor="text1"/>
        </w:rPr>
        <w:t xml:space="preserve"> The CERES lunar data thus confirms that CERES onboard calibration</w:t>
      </w:r>
      <w:r w:rsidR="00850765" w:rsidRPr="00B67F80">
        <w:rPr>
          <w:color w:val="000000" w:themeColor="text1"/>
        </w:rPr>
        <w:t xml:space="preserve"> sources</w:t>
      </w:r>
      <w:r w:rsidR="00080723" w:rsidRPr="00B67F80">
        <w:rPr>
          <w:color w:val="000000" w:themeColor="text1"/>
        </w:rPr>
        <w:t xml:space="preserve"> </w:t>
      </w:r>
      <w:r w:rsidR="008B3671" w:rsidRPr="00B67F80">
        <w:rPr>
          <w:color w:val="000000" w:themeColor="text1"/>
        </w:rPr>
        <w:t>are</w:t>
      </w:r>
      <w:r w:rsidR="00080723" w:rsidRPr="00B67F80">
        <w:rPr>
          <w:color w:val="000000" w:themeColor="text1"/>
        </w:rPr>
        <w:t xml:space="preserve"> </w:t>
      </w:r>
      <w:r w:rsidR="00850765" w:rsidRPr="00B67F80">
        <w:rPr>
          <w:color w:val="000000" w:themeColor="text1"/>
        </w:rPr>
        <w:t xml:space="preserve">performing </w:t>
      </w:r>
      <w:r w:rsidR="008B3671" w:rsidRPr="00B67F80">
        <w:rPr>
          <w:color w:val="000000" w:themeColor="text1"/>
        </w:rPr>
        <w:t>nominally</w:t>
      </w:r>
      <w:r w:rsidR="00080723" w:rsidRPr="00B67F80">
        <w:rPr>
          <w:color w:val="000000" w:themeColor="text1"/>
        </w:rPr>
        <w:t xml:space="preserve">. </w:t>
      </w:r>
    </w:p>
    <w:p w14:paraId="604E7407" w14:textId="77777777" w:rsidR="00702C49" w:rsidRPr="00B67F80" w:rsidRDefault="00702C49" w:rsidP="00AF362C">
      <w:pPr>
        <w:numPr>
          <w:ilvl w:val="1"/>
          <w:numId w:val="18"/>
        </w:numPr>
        <w:spacing w:line="480" w:lineRule="auto"/>
        <w:ind w:left="360"/>
        <w:jc w:val="both"/>
        <w:rPr>
          <w:b/>
          <w:bCs/>
          <w:color w:val="000000" w:themeColor="text1"/>
        </w:rPr>
      </w:pPr>
      <w:r w:rsidRPr="00B67F80">
        <w:rPr>
          <w:b/>
          <w:bCs/>
          <w:color w:val="000000" w:themeColor="text1"/>
        </w:rPr>
        <w:t>Within-Atmosphere Transport</w:t>
      </w:r>
    </w:p>
    <w:p w14:paraId="5694CB39" w14:textId="16A43138" w:rsidR="004B75D8" w:rsidRPr="00B67F80" w:rsidRDefault="000C38FE" w:rsidP="004B75D8">
      <w:pPr>
        <w:spacing w:line="480" w:lineRule="auto"/>
        <w:ind w:firstLine="720"/>
        <w:jc w:val="both"/>
        <w:rPr>
          <w:color w:val="000000" w:themeColor="text1"/>
          <w:lang w:val="en-GB"/>
        </w:rPr>
      </w:pPr>
      <w:r w:rsidRPr="00B67F80">
        <w:rPr>
          <w:color w:val="000000" w:themeColor="text1"/>
          <w:lang w:val="en-GB"/>
        </w:rPr>
        <w:t>Trends in TEDIV for 2000/03-2020/02</w:t>
      </w:r>
      <w:r w:rsidR="00A23071" w:rsidRPr="00B67F80">
        <w:rPr>
          <w:color w:val="000000" w:themeColor="text1"/>
          <w:lang w:val="en-GB"/>
        </w:rPr>
        <w:t xml:space="preserve"> from ERA5 </w:t>
      </w:r>
      <w:r w:rsidR="00DC3BC8" w:rsidRPr="00B67F80">
        <w:rPr>
          <w:color w:val="000000" w:themeColor="text1"/>
          <w:lang w:val="en-GB"/>
        </w:rPr>
        <w:t>A</w:t>
      </w:r>
      <w:r w:rsidR="00A23071" w:rsidRPr="00B67F80">
        <w:rPr>
          <w:color w:val="000000" w:themeColor="text1"/>
          <w:lang w:val="en-GB"/>
        </w:rPr>
        <w:t xml:space="preserve">nalysis, </w:t>
      </w:r>
      <w:r w:rsidR="00E50FBF" w:rsidRPr="00B67F80">
        <w:rPr>
          <w:color w:val="000000" w:themeColor="text1"/>
          <w:lang w:val="en-GB"/>
        </w:rPr>
        <w:t xml:space="preserve">ERA5 </w:t>
      </w:r>
      <w:r w:rsidR="00DC3BC8" w:rsidRPr="00B67F80">
        <w:rPr>
          <w:color w:val="000000" w:themeColor="text1"/>
          <w:lang w:val="en-GB"/>
        </w:rPr>
        <w:t>F</w:t>
      </w:r>
      <w:r w:rsidR="00A23071" w:rsidRPr="00B67F80">
        <w:rPr>
          <w:color w:val="000000" w:themeColor="text1"/>
          <w:lang w:val="en-GB"/>
        </w:rPr>
        <w:t xml:space="preserve">orecasts and </w:t>
      </w:r>
      <w:r w:rsidR="00E50FBF" w:rsidRPr="00B67F80">
        <w:rPr>
          <w:color w:val="000000" w:themeColor="text1"/>
          <w:lang w:val="en-GB"/>
        </w:rPr>
        <w:t xml:space="preserve">IFS </w:t>
      </w:r>
      <w:r w:rsidR="00A23071" w:rsidRPr="00B67F80">
        <w:rPr>
          <w:color w:val="000000" w:themeColor="text1"/>
          <w:lang w:val="en-GB"/>
        </w:rPr>
        <w:t>AMIP</w:t>
      </w:r>
      <w:r w:rsidR="001A5900" w:rsidRPr="00B67F80">
        <w:rPr>
          <w:color w:val="000000" w:themeColor="text1"/>
          <w:lang w:val="en-GB"/>
        </w:rPr>
        <w:t xml:space="preserve"> are provided in</w:t>
      </w:r>
      <w:r w:rsidR="00A23071" w:rsidRPr="00B67F80">
        <w:rPr>
          <w:color w:val="000000" w:themeColor="text1"/>
          <w:lang w:val="en-GB"/>
        </w:rPr>
        <w:t xml:space="preserve"> </w:t>
      </w:r>
      <w:r w:rsidR="00CC5E36" w:rsidRPr="00B67F80">
        <w:rPr>
          <w:color w:val="000000" w:themeColor="text1"/>
          <w:lang w:val="en-GB"/>
        </w:rPr>
        <w:t>Figs. 3a-c</w:t>
      </w:r>
      <w:r w:rsidR="001A5900" w:rsidRPr="00B67F80">
        <w:rPr>
          <w:color w:val="000000" w:themeColor="text1"/>
          <w:lang w:val="en-GB"/>
        </w:rPr>
        <w:t xml:space="preserve">. </w:t>
      </w:r>
      <w:r w:rsidR="007B7CFF" w:rsidRPr="00B67F80">
        <w:rPr>
          <w:color w:val="000000" w:themeColor="text1"/>
        </w:rPr>
        <w:t>Regions with positive TEDIV trends correspond to increasingly divergent lateral energy fluxes, and negative trends correspond to convergent fluxes</w:t>
      </w:r>
      <w:r w:rsidR="007B7CFF" w:rsidRPr="00B67F80">
        <w:rPr>
          <w:color w:val="000000" w:themeColor="text1"/>
          <w:lang w:val="en-GB"/>
        </w:rPr>
        <w:t xml:space="preserve">. </w:t>
      </w:r>
      <w:r w:rsidR="00722291" w:rsidRPr="00B67F80">
        <w:rPr>
          <w:color w:val="000000" w:themeColor="text1"/>
          <w:lang w:val="en-GB"/>
        </w:rPr>
        <w:t xml:space="preserve">The trends based on ERA5 forecasts and IFS-AMIP are similar to those from ERA5 Analysis over ocean, suggesting that the ERA5 Analysis patterns are not a spurious signal from changes in the observing system. All three results </w:t>
      </w:r>
      <w:r w:rsidR="008C2CF4" w:rsidRPr="00B67F80">
        <w:rPr>
          <w:color w:val="000000" w:themeColor="text1"/>
          <w:lang w:val="en-GB"/>
        </w:rPr>
        <w:t>show</w:t>
      </w:r>
      <w:r w:rsidR="00722291" w:rsidRPr="00B67F80">
        <w:rPr>
          <w:color w:val="000000" w:themeColor="text1"/>
          <w:lang w:val="en-GB"/>
        </w:rPr>
        <w:t xml:space="preserve"> that </w:t>
      </w:r>
      <w:r w:rsidR="008C2CF4" w:rsidRPr="00B67F80">
        <w:rPr>
          <w:color w:val="000000" w:themeColor="text1"/>
          <w:lang w:val="en-GB"/>
        </w:rPr>
        <w:t xml:space="preserve">the magnitudes of </w:t>
      </w:r>
      <w:r w:rsidR="00722291" w:rsidRPr="00B67F80">
        <w:rPr>
          <w:color w:val="000000" w:themeColor="text1"/>
          <w:lang w:val="en-GB"/>
        </w:rPr>
        <w:t xml:space="preserve">TEDIV trends generally exceed those </w:t>
      </w:r>
      <w:r w:rsidR="00F336DA" w:rsidRPr="00B67F80">
        <w:rPr>
          <w:color w:val="000000" w:themeColor="text1"/>
          <w:lang w:val="en-GB"/>
        </w:rPr>
        <w:t>for</w:t>
      </w:r>
      <w:r w:rsidR="00722291" w:rsidRPr="00B67F80">
        <w:rPr>
          <w:color w:val="000000" w:themeColor="text1"/>
          <w:lang w:val="en-GB"/>
        </w:rPr>
        <w:t xml:space="preserve"> net TOA flux (Figs. 1a-c). </w:t>
      </w:r>
      <w:r w:rsidR="009E6C75" w:rsidRPr="00B67F80">
        <w:rPr>
          <w:color w:val="000000" w:themeColor="text1"/>
          <w:lang w:val="en-GB"/>
        </w:rPr>
        <w:t xml:space="preserve">Large positive trends in TEDIV are observed over </w:t>
      </w:r>
      <w:r w:rsidR="0075390B" w:rsidRPr="00B67F80">
        <w:rPr>
          <w:color w:val="000000" w:themeColor="text1"/>
          <w:lang w:val="en-GB"/>
        </w:rPr>
        <w:t>the eastern Pacific Ocean</w:t>
      </w:r>
      <w:r w:rsidR="00CF2AF0" w:rsidRPr="00B67F80">
        <w:rPr>
          <w:color w:val="000000" w:themeColor="text1"/>
          <w:lang w:val="en-GB"/>
        </w:rPr>
        <w:t xml:space="preserve"> to the north and south of the Intertropical Convergence Zone (ITCZ)</w:t>
      </w:r>
      <w:r w:rsidR="00786361" w:rsidRPr="00B67F80">
        <w:rPr>
          <w:color w:val="000000" w:themeColor="text1"/>
          <w:lang w:val="en-GB"/>
        </w:rPr>
        <w:t>,</w:t>
      </w:r>
      <w:r w:rsidR="00CF2AF0" w:rsidRPr="00B67F80">
        <w:rPr>
          <w:color w:val="000000" w:themeColor="text1"/>
          <w:lang w:val="en-GB"/>
        </w:rPr>
        <w:t xml:space="preserve"> </w:t>
      </w:r>
      <w:r w:rsidR="00543440" w:rsidRPr="00B67F80">
        <w:rPr>
          <w:color w:val="000000" w:themeColor="text1"/>
          <w:lang w:val="en-GB"/>
        </w:rPr>
        <w:t xml:space="preserve">where trends are weakly negative but intensify towards the west over the </w:t>
      </w:r>
      <w:r w:rsidR="00A303D8" w:rsidRPr="00B67F80">
        <w:rPr>
          <w:color w:val="000000" w:themeColor="text1"/>
          <w:lang w:val="en-GB"/>
        </w:rPr>
        <w:t>Maritime</w:t>
      </w:r>
      <w:r w:rsidR="00543440" w:rsidRPr="00B67F80">
        <w:rPr>
          <w:color w:val="000000" w:themeColor="text1"/>
          <w:lang w:val="en-GB"/>
        </w:rPr>
        <w:t xml:space="preserve"> Continent. T</w:t>
      </w:r>
      <w:r w:rsidR="009E6C75" w:rsidRPr="00B67F80">
        <w:rPr>
          <w:color w:val="000000" w:themeColor="text1"/>
          <w:lang w:val="en-GB"/>
        </w:rPr>
        <w:t>rends over the</w:t>
      </w:r>
      <w:r w:rsidR="00863274" w:rsidRPr="00B67F80">
        <w:rPr>
          <w:color w:val="000000" w:themeColor="text1"/>
          <w:lang w:val="en-GB"/>
        </w:rPr>
        <w:t xml:space="preserve"> Indian Ocean and</w:t>
      </w:r>
      <w:r w:rsidR="009E6C75" w:rsidRPr="00B67F80">
        <w:rPr>
          <w:color w:val="000000" w:themeColor="text1"/>
          <w:lang w:val="en-GB"/>
        </w:rPr>
        <w:t xml:space="preserve"> North Atlantic are generally negative</w:t>
      </w:r>
      <w:r w:rsidR="00863274" w:rsidRPr="00B67F80">
        <w:rPr>
          <w:color w:val="000000" w:themeColor="text1"/>
          <w:lang w:val="en-GB"/>
        </w:rPr>
        <w:t>,</w:t>
      </w:r>
      <w:r w:rsidR="0065620A" w:rsidRPr="00B67F80">
        <w:rPr>
          <w:color w:val="000000" w:themeColor="text1"/>
          <w:lang w:val="en-GB"/>
        </w:rPr>
        <w:t xml:space="preserve"> except over the Gulf Stream, where </w:t>
      </w:r>
      <w:r w:rsidR="0065620A" w:rsidRPr="00B67F80">
        <w:rPr>
          <w:color w:val="000000" w:themeColor="text1"/>
        </w:rPr>
        <w:t xml:space="preserve">a strong positive trend </w:t>
      </w:r>
      <w:r w:rsidR="00391A3B" w:rsidRPr="00B67F80">
        <w:rPr>
          <w:color w:val="000000" w:themeColor="text1"/>
        </w:rPr>
        <w:t>is apparent in all three results</w:t>
      </w:r>
      <w:r w:rsidR="0065620A" w:rsidRPr="00B67F80">
        <w:rPr>
          <w:color w:val="000000" w:themeColor="text1"/>
        </w:rPr>
        <w:t xml:space="preserve">. </w:t>
      </w:r>
      <w:r w:rsidR="00EA588A" w:rsidRPr="00B67F80">
        <w:rPr>
          <w:color w:val="000000" w:themeColor="text1"/>
          <w:lang w:val="en-GB"/>
        </w:rPr>
        <w:t>Except for the area of positive TEDIV trends stretching from the Barents and Kara Seas, trends over the Arctic Ocean are generally negative, but the magnitude of the trends differs between these three results, with ERA5 forecasts showing the strongest negative trends.</w:t>
      </w:r>
      <w:r w:rsidR="004B75D8" w:rsidRPr="00B67F80">
        <w:rPr>
          <w:color w:val="000000" w:themeColor="text1"/>
          <w:lang w:val="en-GB"/>
        </w:rPr>
        <w:t xml:space="preserve"> </w:t>
      </w:r>
      <w:r w:rsidR="004B75D8" w:rsidRPr="004B75D8">
        <w:rPr>
          <w:color w:val="000000" w:themeColor="text1"/>
          <w:lang w:val="en-GB"/>
        </w:rPr>
        <w:t>Over the Barents and Kara Seas, </w:t>
      </w:r>
      <w:r w:rsidR="004B75D8" w:rsidRPr="004B75D8">
        <w:rPr>
          <w:color w:val="000000" w:themeColor="text1"/>
        </w:rPr>
        <w:t>the increase in divergence</w:t>
      </w:r>
      <w:r w:rsidR="00BC275C" w:rsidRPr="00B67F80">
        <w:rPr>
          <w:color w:val="000000" w:themeColor="text1"/>
        </w:rPr>
        <w:t xml:space="preserve"> is likely </w:t>
      </w:r>
      <w:r w:rsidR="004B75D8" w:rsidRPr="004B75D8">
        <w:rPr>
          <w:color w:val="000000" w:themeColor="text1"/>
        </w:rPr>
        <w:t>due to sea ice loss</w:t>
      </w:r>
      <w:r w:rsidR="00BC275C" w:rsidRPr="00B67F80">
        <w:rPr>
          <w:color w:val="000000" w:themeColor="text1"/>
        </w:rPr>
        <w:t>, which leads</w:t>
      </w:r>
      <w:r w:rsidR="004B75D8" w:rsidRPr="004B75D8">
        <w:rPr>
          <w:color w:val="000000" w:themeColor="text1"/>
        </w:rPr>
        <w:t xml:space="preserve"> </w:t>
      </w:r>
      <w:r w:rsidR="00BC275C" w:rsidRPr="00B67F80">
        <w:rPr>
          <w:color w:val="000000" w:themeColor="text1"/>
        </w:rPr>
        <w:t>to</w:t>
      </w:r>
      <w:r w:rsidR="004B75D8" w:rsidRPr="004B75D8">
        <w:rPr>
          <w:color w:val="000000" w:themeColor="text1"/>
        </w:rPr>
        <w:t xml:space="preserve"> enhanced </w:t>
      </w:r>
      <w:r w:rsidR="00BC275C" w:rsidRPr="00B67F80">
        <w:rPr>
          <w:color w:val="000000" w:themeColor="text1"/>
        </w:rPr>
        <w:t xml:space="preserve">surface-to-atmosphere heat flux and </w:t>
      </w:r>
      <w:r w:rsidR="004B75D8" w:rsidRPr="004B75D8">
        <w:rPr>
          <w:color w:val="000000" w:themeColor="text1"/>
        </w:rPr>
        <w:t>divergence of energy</w:t>
      </w:r>
      <w:r w:rsidR="004B75D8" w:rsidRPr="00B67F80">
        <w:rPr>
          <w:color w:val="000000" w:themeColor="text1"/>
          <w:lang w:val="en-GB"/>
        </w:rPr>
        <w:t>.</w:t>
      </w:r>
    </w:p>
    <w:p w14:paraId="51A5E0A6" w14:textId="755FA7C1" w:rsidR="00702C49" w:rsidRPr="00B67F80" w:rsidRDefault="00102EC0" w:rsidP="00B66723">
      <w:pPr>
        <w:spacing w:line="480" w:lineRule="auto"/>
        <w:ind w:firstLine="720"/>
        <w:jc w:val="both"/>
        <w:rPr>
          <w:color w:val="000000" w:themeColor="text1"/>
          <w:lang w:val="en-GB"/>
        </w:rPr>
      </w:pPr>
      <w:r w:rsidRPr="00B67F80">
        <w:rPr>
          <w:color w:val="000000" w:themeColor="text1"/>
          <w:lang w:val="en-GB"/>
        </w:rPr>
        <w:t>Over land, trends for ERA5 analysis are notably greater in magnitude compared to both ERA</w:t>
      </w:r>
      <w:r w:rsidR="00C90804" w:rsidRPr="00B67F80">
        <w:rPr>
          <w:color w:val="000000" w:themeColor="text1"/>
          <w:lang w:val="en-GB"/>
        </w:rPr>
        <w:t>5</w:t>
      </w:r>
      <w:r w:rsidRPr="00B67F80">
        <w:rPr>
          <w:color w:val="000000" w:themeColor="text1"/>
          <w:lang w:val="en-GB"/>
        </w:rPr>
        <w:t xml:space="preserve"> forecast and </w:t>
      </w:r>
      <w:r w:rsidR="00C90804" w:rsidRPr="00B67F80">
        <w:rPr>
          <w:color w:val="000000" w:themeColor="text1"/>
          <w:lang w:val="en-GB"/>
        </w:rPr>
        <w:t>IFS-</w:t>
      </w:r>
      <w:r w:rsidRPr="00B67F80">
        <w:rPr>
          <w:color w:val="000000" w:themeColor="text1"/>
          <w:lang w:val="en-GB"/>
        </w:rPr>
        <w:t xml:space="preserve">AMIP. This </w:t>
      </w:r>
      <w:r w:rsidR="003234A2" w:rsidRPr="00B67F80">
        <w:rPr>
          <w:color w:val="000000" w:themeColor="text1"/>
          <w:lang w:val="en-GB"/>
        </w:rPr>
        <w:t>points to</w:t>
      </w:r>
      <w:r w:rsidRPr="00B67F80">
        <w:rPr>
          <w:color w:val="000000" w:themeColor="text1"/>
          <w:lang w:val="en-GB"/>
        </w:rPr>
        <w:t xml:space="preserve"> a greater uncertainty associated with TEDIV </w:t>
      </w:r>
      <w:r w:rsidR="003234A2" w:rsidRPr="00B67F80">
        <w:rPr>
          <w:color w:val="000000" w:themeColor="text1"/>
          <w:lang w:val="en-GB"/>
        </w:rPr>
        <w:t xml:space="preserve">derived </w:t>
      </w:r>
      <w:r w:rsidR="003234A2" w:rsidRPr="00B67F80">
        <w:rPr>
          <w:color w:val="000000" w:themeColor="text1"/>
          <w:lang w:val="en-GB"/>
        </w:rPr>
        <w:lastRenderedPageBreak/>
        <w:t xml:space="preserve">directly from </w:t>
      </w:r>
      <w:r w:rsidRPr="00B67F80">
        <w:rPr>
          <w:color w:val="000000" w:themeColor="text1"/>
          <w:lang w:val="en-GB"/>
        </w:rPr>
        <w:t xml:space="preserve">atmospheric profiles </w:t>
      </w:r>
      <w:r w:rsidR="003234A2" w:rsidRPr="00B67F80">
        <w:rPr>
          <w:color w:val="000000" w:themeColor="text1"/>
          <w:lang w:val="en-GB"/>
        </w:rPr>
        <w:t>over land</w:t>
      </w:r>
      <w:r w:rsidR="00C90804" w:rsidRPr="00B67F80">
        <w:rPr>
          <w:color w:val="000000" w:themeColor="text1"/>
          <w:lang w:val="en-GB"/>
        </w:rPr>
        <w:t xml:space="preserve">. </w:t>
      </w:r>
      <w:r w:rsidR="00BA1919" w:rsidRPr="00B67F80">
        <w:rPr>
          <w:color w:val="000000" w:themeColor="text1"/>
          <w:lang w:val="en-GB"/>
        </w:rPr>
        <w:t>Before computing TEDIV, we perform a vertically uniform correction to the winds to achieve mass conservation. As such, there is no correction for errors in the vertical structure of the wind divergence (as the vertical error structure is hard to estimate), which over topography are likely larger (also arising from numerical noise). TEDIV also contains vertical covariances between atmospheric energy and wind divergence (i.e., the vertical error structure of the wind divergence will project on TEDIV). Since the wind divergence errors likely have trends as well (e.g.</w:t>
      </w:r>
      <w:r w:rsidR="00256DBD">
        <w:rPr>
          <w:color w:val="000000" w:themeColor="text1"/>
          <w:lang w:val="en-GB"/>
        </w:rPr>
        <w:t>,</w:t>
      </w:r>
      <w:r w:rsidR="00BA1919" w:rsidRPr="00B67F80">
        <w:rPr>
          <w:color w:val="000000" w:themeColor="text1"/>
          <w:lang w:val="en-GB"/>
        </w:rPr>
        <w:t xml:space="preserve"> from changes in the observing system), we see noisy trend patterns in TEDIV over land. </w:t>
      </w:r>
      <w:r w:rsidR="00EB06B5" w:rsidRPr="00B67F80">
        <w:rPr>
          <w:color w:val="000000" w:themeColor="text1"/>
          <w:lang w:val="en-GB"/>
        </w:rPr>
        <w:t>While a</w:t>
      </w:r>
      <w:r w:rsidR="00C90804" w:rsidRPr="00B67F80">
        <w:rPr>
          <w:color w:val="000000" w:themeColor="text1"/>
          <w:lang w:val="en-GB"/>
        </w:rPr>
        <w:t xml:space="preserve"> substantial fraction of the noisy patterns seen from the ERA5 fields is related to numerical noise over topography</w:t>
      </w:r>
      <w:r w:rsidR="00EB06B5" w:rsidRPr="00B67F80">
        <w:rPr>
          <w:color w:val="000000" w:themeColor="text1"/>
          <w:lang w:val="en-GB"/>
        </w:rPr>
        <w:t>,</w:t>
      </w:r>
      <w:r w:rsidR="00C90804" w:rsidRPr="00B67F80">
        <w:rPr>
          <w:color w:val="000000" w:themeColor="text1"/>
          <w:lang w:val="en-GB"/>
        </w:rPr>
        <w:t xml:space="preserve"> some of the non-zero trends over land are similar in ERA5 </w:t>
      </w:r>
      <w:r w:rsidR="00E5132D" w:rsidRPr="00B67F80">
        <w:rPr>
          <w:color w:val="000000" w:themeColor="text1"/>
          <w:lang w:val="en-GB"/>
        </w:rPr>
        <w:t xml:space="preserve">analysis </w:t>
      </w:r>
      <w:r w:rsidR="00C90804" w:rsidRPr="00B67F80">
        <w:rPr>
          <w:color w:val="000000" w:themeColor="text1"/>
          <w:lang w:val="en-GB"/>
        </w:rPr>
        <w:t>and ERA5 forecasts (e.g.</w:t>
      </w:r>
      <w:r w:rsidR="00256DBD">
        <w:rPr>
          <w:color w:val="000000" w:themeColor="text1"/>
          <w:lang w:val="en-GB"/>
        </w:rPr>
        <w:t>,</w:t>
      </w:r>
      <w:r w:rsidR="00C90804" w:rsidRPr="00B67F80">
        <w:rPr>
          <w:color w:val="000000" w:themeColor="text1"/>
          <w:lang w:val="en-GB"/>
        </w:rPr>
        <w:t xml:space="preserve"> over central Africa), which </w:t>
      </w:r>
      <w:r w:rsidR="00CC5E36" w:rsidRPr="00B67F80">
        <w:rPr>
          <w:color w:val="000000" w:themeColor="text1"/>
          <w:lang w:val="en-GB"/>
        </w:rPr>
        <w:t>suggests</w:t>
      </w:r>
      <w:r w:rsidR="00C90804" w:rsidRPr="00B67F80">
        <w:rPr>
          <w:color w:val="000000" w:themeColor="text1"/>
          <w:lang w:val="en-GB"/>
        </w:rPr>
        <w:t xml:space="preserve"> spurious jumps in the observing system in that area affecting </w:t>
      </w:r>
      <w:r w:rsidR="00EB06B5" w:rsidRPr="00B67F80">
        <w:rPr>
          <w:color w:val="000000" w:themeColor="text1"/>
          <w:lang w:val="en-GB"/>
        </w:rPr>
        <w:t xml:space="preserve">both </w:t>
      </w:r>
      <w:r w:rsidR="00C90804" w:rsidRPr="00B67F80">
        <w:rPr>
          <w:color w:val="000000" w:themeColor="text1"/>
          <w:lang w:val="en-GB"/>
        </w:rPr>
        <w:t>analyses and short-term forecasts</w:t>
      </w:r>
      <w:r w:rsidR="003234A2" w:rsidRPr="00B67F80">
        <w:rPr>
          <w:color w:val="000000" w:themeColor="text1"/>
          <w:lang w:val="en-GB"/>
        </w:rPr>
        <w:t>.</w:t>
      </w:r>
      <w:r w:rsidR="00BC5A04" w:rsidRPr="00B67F80">
        <w:rPr>
          <w:color w:val="000000" w:themeColor="text1"/>
          <w:lang w:val="en-GB"/>
        </w:rPr>
        <w:t xml:space="preserve"> </w:t>
      </w:r>
      <w:r w:rsidR="00154B9D" w:rsidRPr="00B67F80">
        <w:rPr>
          <w:color w:val="000000" w:themeColor="text1"/>
          <w:lang w:val="en-GB"/>
        </w:rPr>
        <w:t>Some of the features of TEDIV trends over land may also be realistic and balance observed trends in net TOA flux, such as the negative trends over northern China (compare Figs 3b and 1a).</w:t>
      </w:r>
    </w:p>
    <w:p w14:paraId="3CA6E1AC" w14:textId="423870F0" w:rsidR="0004308F" w:rsidRPr="005A7CFB" w:rsidRDefault="00A96806" w:rsidP="00067505">
      <w:pPr>
        <w:spacing w:line="480" w:lineRule="auto"/>
        <w:ind w:firstLine="720"/>
        <w:jc w:val="both"/>
        <w:rPr>
          <w:color w:val="000000" w:themeColor="text1"/>
          <w:lang w:val="en-GB"/>
        </w:rPr>
      </w:pPr>
      <w:r w:rsidRPr="00B67F80">
        <w:rPr>
          <w:color w:val="000000" w:themeColor="text1"/>
          <w:lang w:val="en-GB"/>
        </w:rPr>
        <w:t xml:space="preserve">Despite large regional trends in TEDIV, hemispheric average trends are near zero </w:t>
      </w:r>
      <w:r w:rsidR="00013BED" w:rsidRPr="00B67F80">
        <w:rPr>
          <w:color w:val="000000" w:themeColor="text1"/>
          <w:lang w:val="en-GB"/>
        </w:rPr>
        <w:t>for ERA5 Analysis</w:t>
      </w:r>
      <w:r w:rsidR="00256DBD">
        <w:rPr>
          <w:color w:val="000000" w:themeColor="text1"/>
          <w:lang w:val="en-GB"/>
        </w:rPr>
        <w:t xml:space="preserve"> and IFS AMIP</w:t>
      </w:r>
      <w:r w:rsidR="009559EC">
        <w:rPr>
          <w:color w:val="000000" w:themeColor="text1"/>
          <w:lang w:val="en-GB"/>
        </w:rPr>
        <w:t>, whe</w:t>
      </w:r>
      <w:r w:rsidR="00B80162">
        <w:rPr>
          <w:color w:val="000000" w:themeColor="text1"/>
          <w:lang w:val="en-GB"/>
        </w:rPr>
        <w:t>reas</w:t>
      </w:r>
      <w:r w:rsidR="009559EC">
        <w:rPr>
          <w:color w:val="000000" w:themeColor="text1"/>
          <w:lang w:val="en-GB"/>
        </w:rPr>
        <w:t xml:space="preserve"> the NH</w:t>
      </w:r>
      <w:r w:rsidRPr="00B67F80">
        <w:rPr>
          <w:color w:val="000000" w:themeColor="text1"/>
          <w:lang w:val="en-GB"/>
        </w:rPr>
        <w:t xml:space="preserve"> </w:t>
      </w:r>
      <w:r w:rsidR="009559EC">
        <w:rPr>
          <w:color w:val="000000" w:themeColor="text1"/>
          <w:lang w:val="en-GB"/>
        </w:rPr>
        <w:t xml:space="preserve">trend for ERA5 exceeds the 95% confidence interval </w:t>
      </w:r>
      <w:r w:rsidRPr="00B67F80">
        <w:rPr>
          <w:color w:val="000000" w:themeColor="text1"/>
          <w:lang w:val="en-GB"/>
        </w:rPr>
        <w:t>(Table 2</w:t>
      </w:r>
      <w:r w:rsidRPr="00F55494">
        <w:rPr>
          <w:color w:val="000000" w:themeColor="text1"/>
          <w:lang w:val="en-GB"/>
        </w:rPr>
        <w:t xml:space="preserve">). </w:t>
      </w:r>
      <w:r w:rsidR="00A97F89">
        <w:rPr>
          <w:color w:val="000000" w:themeColor="text1"/>
          <w:lang w:val="en-GB"/>
        </w:rPr>
        <w:t xml:space="preserve">Time series of hemispheric </w:t>
      </w:r>
      <w:r w:rsidR="00B04A9F">
        <w:rPr>
          <w:color w:val="000000" w:themeColor="text1"/>
          <w:lang w:val="en-GB"/>
        </w:rPr>
        <w:t xml:space="preserve">and global </w:t>
      </w:r>
      <w:r w:rsidR="00A97F89">
        <w:rPr>
          <w:color w:val="000000" w:themeColor="text1"/>
          <w:lang w:val="en-GB"/>
        </w:rPr>
        <w:t xml:space="preserve">average anomalies </w:t>
      </w:r>
      <w:r w:rsidR="00B04A9F">
        <w:rPr>
          <w:color w:val="000000" w:themeColor="text1"/>
          <w:lang w:val="en-GB"/>
        </w:rPr>
        <w:t xml:space="preserve">in TEDIV </w:t>
      </w:r>
      <w:r w:rsidR="00A97F89">
        <w:rPr>
          <w:color w:val="000000" w:themeColor="text1"/>
          <w:lang w:val="en-GB"/>
        </w:rPr>
        <w:t>(Figs. S7a-</w:t>
      </w:r>
      <w:r w:rsidR="00B04A9F">
        <w:rPr>
          <w:color w:val="000000" w:themeColor="text1"/>
          <w:lang w:val="en-GB"/>
        </w:rPr>
        <w:t>c</w:t>
      </w:r>
      <w:r w:rsidR="00A97F89">
        <w:rPr>
          <w:color w:val="000000" w:themeColor="text1"/>
          <w:lang w:val="en-GB"/>
        </w:rPr>
        <w:t>)</w:t>
      </w:r>
      <w:r w:rsidR="00B04A9F">
        <w:rPr>
          <w:color w:val="000000" w:themeColor="text1"/>
          <w:lang w:val="en-GB"/>
        </w:rPr>
        <w:t xml:space="preserve"> clearly show spurious variations in ERA5 forecast results</w:t>
      </w:r>
      <w:r w:rsidR="00735700">
        <w:rPr>
          <w:color w:val="000000" w:themeColor="text1"/>
          <w:lang w:val="en-GB"/>
        </w:rPr>
        <w:t xml:space="preserve">. The drifts are </w:t>
      </w:r>
      <w:r w:rsidR="009B43EE">
        <w:rPr>
          <w:color w:val="000000" w:themeColor="text1"/>
          <w:lang w:val="en-GB"/>
        </w:rPr>
        <w:t xml:space="preserve">likely </w:t>
      </w:r>
      <w:r w:rsidR="00B04A9F">
        <w:rPr>
          <w:color w:val="000000" w:themeColor="text1"/>
          <w:lang w:val="en-GB"/>
        </w:rPr>
        <w:t>due to</w:t>
      </w:r>
      <w:r w:rsidR="009B43EE">
        <w:rPr>
          <w:color w:val="000000" w:themeColor="text1"/>
          <w:lang w:val="en-GB"/>
        </w:rPr>
        <w:t xml:space="preserve"> </w:t>
      </w:r>
      <w:r w:rsidR="009B43EE" w:rsidRPr="009B43EE">
        <w:rPr>
          <w:color w:val="000000" w:themeColor="text1"/>
          <w:lang w:val="en-GB"/>
        </w:rPr>
        <w:t>changes in the obs</w:t>
      </w:r>
      <w:r w:rsidR="009B43EE">
        <w:rPr>
          <w:color w:val="000000" w:themeColor="text1"/>
          <w:lang w:val="en-GB"/>
        </w:rPr>
        <w:t>erving</w:t>
      </w:r>
      <w:r w:rsidR="009B43EE" w:rsidRPr="009B43EE">
        <w:rPr>
          <w:color w:val="000000" w:themeColor="text1"/>
          <w:lang w:val="en-GB"/>
        </w:rPr>
        <w:t xml:space="preserve"> system</w:t>
      </w:r>
      <w:r w:rsidR="00067505">
        <w:rPr>
          <w:color w:val="000000" w:themeColor="text1"/>
          <w:lang w:val="en-GB"/>
        </w:rPr>
        <w:t>, which are</w:t>
      </w:r>
      <w:r w:rsidR="002049C5">
        <w:rPr>
          <w:color w:val="000000" w:themeColor="text1"/>
          <w:lang w:val="en-GB"/>
        </w:rPr>
        <w:t xml:space="preserve"> pronounced because assimilation increments are not considered here. </w:t>
      </w:r>
      <w:r w:rsidR="00A14362" w:rsidRPr="00B67F80">
        <w:rPr>
          <w:color w:val="000000" w:themeColor="text1"/>
          <w:lang w:val="en-GB"/>
        </w:rPr>
        <w:t xml:space="preserve">Global TEDIV trends based </w:t>
      </w:r>
      <w:r w:rsidR="0051260F">
        <w:rPr>
          <w:color w:val="000000" w:themeColor="text1"/>
          <w:lang w:val="en-GB"/>
        </w:rPr>
        <w:t xml:space="preserve">ERA5 Analysis </w:t>
      </w:r>
      <w:r w:rsidR="00151935">
        <w:rPr>
          <w:color w:val="000000" w:themeColor="text1"/>
          <w:lang w:val="en-GB"/>
        </w:rPr>
        <w:t xml:space="preserve">are zero </w:t>
      </w:r>
      <w:r w:rsidR="0051260F">
        <w:rPr>
          <w:color w:val="000000" w:themeColor="text1"/>
          <w:lang w:val="en-GB"/>
        </w:rPr>
        <w:t>by construction</w:t>
      </w:r>
      <w:r w:rsidR="00151935">
        <w:rPr>
          <w:color w:val="000000" w:themeColor="text1"/>
          <w:lang w:val="en-GB"/>
        </w:rPr>
        <w:t>, while</w:t>
      </w:r>
      <w:r w:rsidR="0051260F">
        <w:rPr>
          <w:color w:val="000000" w:themeColor="text1"/>
          <w:lang w:val="en-GB"/>
        </w:rPr>
        <w:t xml:space="preserve"> </w:t>
      </w:r>
      <w:r w:rsidR="00151935">
        <w:rPr>
          <w:color w:val="000000" w:themeColor="text1"/>
          <w:lang w:val="en-GB"/>
        </w:rPr>
        <w:t xml:space="preserve">they are close to zero </w:t>
      </w:r>
      <w:r w:rsidR="00067505">
        <w:rPr>
          <w:color w:val="000000" w:themeColor="text1"/>
          <w:lang w:val="en-GB"/>
        </w:rPr>
        <w:t xml:space="preserve">for </w:t>
      </w:r>
      <w:r w:rsidR="00A14362" w:rsidRPr="00B67F80">
        <w:rPr>
          <w:color w:val="000000" w:themeColor="text1"/>
          <w:lang w:val="en-GB"/>
        </w:rPr>
        <w:t>IFS-AMIP TEDIV since the model conserves energy (to a relatively high degree).</w:t>
      </w:r>
      <w:r w:rsidR="009E3701">
        <w:rPr>
          <w:color w:val="000000" w:themeColor="text1"/>
          <w:lang w:val="en-GB"/>
        </w:rPr>
        <w:t xml:space="preserve"> </w:t>
      </w:r>
      <w:r w:rsidR="00D60D28">
        <w:rPr>
          <w:color w:val="000000" w:themeColor="text1"/>
          <w:lang w:val="en-GB"/>
        </w:rPr>
        <w:t>For the EP region</w:t>
      </w:r>
      <w:r w:rsidR="009E3701">
        <w:rPr>
          <w:color w:val="000000" w:themeColor="text1"/>
          <w:lang w:val="en-GB"/>
        </w:rPr>
        <w:t xml:space="preserve">, ERA5 Forecasts is in better agreement with ERA5 </w:t>
      </w:r>
      <w:r w:rsidR="007A65B4">
        <w:rPr>
          <w:color w:val="000000" w:themeColor="text1"/>
          <w:lang w:val="en-GB"/>
        </w:rPr>
        <w:t>A</w:t>
      </w:r>
      <w:r w:rsidR="009E3701">
        <w:rPr>
          <w:color w:val="000000" w:themeColor="text1"/>
          <w:lang w:val="en-GB"/>
        </w:rPr>
        <w:t>nalysis</w:t>
      </w:r>
      <w:r w:rsidR="00195528">
        <w:rPr>
          <w:color w:val="000000" w:themeColor="text1"/>
          <w:lang w:val="en-GB"/>
        </w:rPr>
        <w:t xml:space="preserve"> (Fig. S7d)</w:t>
      </w:r>
      <w:r w:rsidR="009E3701">
        <w:rPr>
          <w:color w:val="000000" w:themeColor="text1"/>
          <w:lang w:val="en-GB"/>
        </w:rPr>
        <w:t xml:space="preserve"> </w:t>
      </w:r>
      <w:r w:rsidR="002616C9">
        <w:rPr>
          <w:color w:val="000000" w:themeColor="text1"/>
          <w:lang w:val="en-GB"/>
        </w:rPr>
        <w:t>since there is a much greater signal-to-noise ratio</w:t>
      </w:r>
      <w:r w:rsidR="00195528">
        <w:rPr>
          <w:color w:val="000000" w:themeColor="text1"/>
          <w:lang w:val="en-GB"/>
        </w:rPr>
        <w:t xml:space="preserve"> compared to hemispheric averages</w:t>
      </w:r>
      <w:r w:rsidR="00D60D28">
        <w:rPr>
          <w:color w:val="000000" w:themeColor="text1"/>
          <w:lang w:val="en-GB"/>
        </w:rPr>
        <w:t xml:space="preserve">, while IFS AMIP shows weaker </w:t>
      </w:r>
      <w:r w:rsidR="00D60D28" w:rsidRPr="005A7CFB">
        <w:rPr>
          <w:color w:val="000000" w:themeColor="text1"/>
          <w:lang w:val="en-GB"/>
        </w:rPr>
        <w:t>va</w:t>
      </w:r>
      <w:r w:rsidR="00D60D28" w:rsidRPr="001C61E3">
        <w:rPr>
          <w:color w:val="000000" w:themeColor="text1"/>
          <w:lang w:val="en-GB"/>
        </w:rPr>
        <w:t>riability</w:t>
      </w:r>
      <w:r w:rsidR="005A7CFB" w:rsidRPr="001C61E3">
        <w:rPr>
          <w:color w:val="000000" w:themeColor="text1"/>
          <w:lang w:val="en-GB"/>
        </w:rPr>
        <w:t xml:space="preserve"> </w:t>
      </w:r>
      <w:r w:rsidR="001C61E3">
        <w:rPr>
          <w:color w:val="000000" w:themeColor="text1"/>
          <w:lang w:val="en-GB"/>
        </w:rPr>
        <w:t>since it</w:t>
      </w:r>
      <w:r w:rsidR="005A7CFB" w:rsidRPr="00D05BCD">
        <w:rPr>
          <w:color w:val="000000" w:themeColor="text1"/>
          <w:lang w:val="en-GB"/>
        </w:rPr>
        <w:t xml:space="preserve"> </w:t>
      </w:r>
      <w:r w:rsidR="001C61E3">
        <w:rPr>
          <w:color w:val="000000" w:themeColor="text1"/>
          <w:lang w:val="en-GB"/>
        </w:rPr>
        <w:t>is determined from</w:t>
      </w:r>
      <w:r w:rsidR="005A7CFB" w:rsidRPr="00D05BCD">
        <w:rPr>
          <w:color w:val="000000" w:themeColor="text1"/>
          <w:lang w:val="en-GB"/>
        </w:rPr>
        <w:t xml:space="preserve"> an average </w:t>
      </w:r>
      <w:r w:rsidR="001C61E3">
        <w:rPr>
          <w:color w:val="000000" w:themeColor="text1"/>
          <w:lang w:val="en-GB"/>
        </w:rPr>
        <w:t>of</w:t>
      </w:r>
      <w:r w:rsidR="005A7CFB" w:rsidRPr="00D05BCD">
        <w:rPr>
          <w:color w:val="000000" w:themeColor="text1"/>
          <w:lang w:val="en-GB"/>
        </w:rPr>
        <w:t xml:space="preserve"> ten realizations</w:t>
      </w:r>
      <w:r w:rsidR="001C61E3">
        <w:rPr>
          <w:color w:val="000000" w:themeColor="text1"/>
          <w:lang w:val="en-GB"/>
        </w:rPr>
        <w:t>.</w:t>
      </w:r>
    </w:p>
    <w:p w14:paraId="63A824B5" w14:textId="77777777" w:rsidR="00702C49" w:rsidRPr="00B67F80" w:rsidRDefault="00702C49" w:rsidP="005D18D4">
      <w:pPr>
        <w:keepNext/>
        <w:numPr>
          <w:ilvl w:val="1"/>
          <w:numId w:val="18"/>
        </w:numPr>
        <w:spacing w:line="480" w:lineRule="auto"/>
        <w:ind w:left="446" w:hanging="446"/>
        <w:jc w:val="both"/>
        <w:rPr>
          <w:b/>
          <w:bCs/>
          <w:color w:val="000000" w:themeColor="text1"/>
        </w:rPr>
      </w:pPr>
      <w:r w:rsidRPr="00B67F80">
        <w:rPr>
          <w:b/>
          <w:bCs/>
          <w:color w:val="000000" w:themeColor="text1"/>
        </w:rPr>
        <w:lastRenderedPageBreak/>
        <w:t>Surface</w:t>
      </w:r>
    </w:p>
    <w:p w14:paraId="0381F92A" w14:textId="0A517BA3" w:rsidR="0090527C" w:rsidRPr="00B67F80" w:rsidRDefault="00B66723" w:rsidP="008629F7">
      <w:pPr>
        <w:spacing w:line="480" w:lineRule="auto"/>
        <w:ind w:firstLine="720"/>
        <w:jc w:val="both"/>
        <w:rPr>
          <w:color w:val="000000" w:themeColor="text1"/>
          <w:lang w:val="en-GB"/>
        </w:rPr>
      </w:pPr>
      <w:r w:rsidRPr="00B67F80">
        <w:rPr>
          <w:color w:val="000000" w:themeColor="text1"/>
          <w:lang w:val="en-GB"/>
        </w:rPr>
        <w:t>Trend</w:t>
      </w:r>
      <w:r w:rsidR="00FD287D" w:rsidRPr="00B67F80">
        <w:rPr>
          <w:color w:val="000000" w:themeColor="text1"/>
          <w:lang w:val="en-GB"/>
        </w:rPr>
        <w:t xml:space="preserve"> maps of</w:t>
      </w:r>
      <w:r w:rsidRPr="00B67F80">
        <w:rPr>
          <w:color w:val="000000" w:themeColor="text1"/>
          <w:lang w:val="en-GB"/>
        </w:rPr>
        <w:t xml:space="preserve">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Pr="00B67F80">
        <w:rPr>
          <w:color w:val="000000" w:themeColor="text1"/>
          <w:lang w:val="en-GB"/>
        </w:rPr>
        <w:t xml:space="preserve"> using the Inferred method (</w:t>
      </w:r>
      <w:r w:rsidR="00FD287D" w:rsidRPr="00B67F80">
        <w:rPr>
          <w:color w:val="000000" w:themeColor="text1"/>
          <w:lang w:val="en-GB"/>
        </w:rPr>
        <w:t>Eq. 1</w:t>
      </w:r>
      <w:r w:rsidR="001E710E" w:rsidRPr="00B67F80">
        <w:rPr>
          <w:color w:val="000000" w:themeColor="text1"/>
          <w:lang w:val="en-GB"/>
        </w:rPr>
        <w:t>)</w:t>
      </w:r>
      <w:r w:rsidRPr="00B67F80">
        <w:rPr>
          <w:color w:val="000000" w:themeColor="text1"/>
          <w:lang w:val="en-GB"/>
        </w:rPr>
        <w:t>, ERA5 forecasts and IFS AMIP</w:t>
      </w:r>
      <w:r w:rsidR="00FD287D" w:rsidRPr="00B67F80">
        <w:rPr>
          <w:color w:val="000000" w:themeColor="text1"/>
          <w:lang w:val="en-GB"/>
        </w:rPr>
        <w:t xml:space="preserve"> are provided in Figs. 4a-c</w:t>
      </w:r>
      <w:r w:rsidRPr="00B67F80">
        <w:rPr>
          <w:color w:val="000000" w:themeColor="text1"/>
          <w:lang w:val="en-GB"/>
        </w:rPr>
        <w:t xml:space="preserve">. </w:t>
      </w:r>
      <w:r w:rsidR="00FD287D" w:rsidRPr="00B67F80">
        <w:rPr>
          <w:color w:val="000000" w:themeColor="text1"/>
          <w:lang w:val="en-GB"/>
        </w:rPr>
        <w:t xml:space="preserve">In the latter two cases,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00FD287D" w:rsidRPr="00B67F80">
        <w:rPr>
          <w:color w:val="000000" w:themeColor="text1"/>
          <w:lang w:val="en-GB"/>
        </w:rPr>
        <w:t xml:space="preserve"> is determined from the sum of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m:t>
            </m:r>
          </m:sub>
        </m:sSub>
      </m:oMath>
      <w:r w:rsidR="00FD287D" w:rsidRPr="00B67F80">
        <w:rPr>
          <w:color w:val="000000" w:themeColor="text1"/>
        </w:rPr>
        <w:t>,</w:t>
      </w:r>
      <w:r w:rsidR="00DB532D" w:rsidRPr="00B67F8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L</m:t>
            </m:r>
          </m:sub>
        </m:sSub>
      </m:oMath>
      <w:r w:rsidR="00FD287D" w:rsidRPr="00B67F80">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S</m:t>
            </m:r>
          </m:sub>
        </m:sSub>
      </m:oMath>
      <w:r w:rsidR="00FD287D" w:rsidRPr="00B67F80">
        <w:rPr>
          <w:color w:val="000000" w:themeColor="text1"/>
        </w:rPr>
        <w:t>.</w:t>
      </w:r>
      <w:r w:rsidR="005F760B" w:rsidRPr="00B67F80">
        <w:rPr>
          <w:color w:val="000000" w:themeColor="text1"/>
        </w:rPr>
        <w:t xml:space="preserve"> </w:t>
      </w:r>
      <w:r w:rsidR="0090527C" w:rsidRPr="00B67F80">
        <w:rPr>
          <w:color w:val="000000" w:themeColor="text1"/>
          <w:lang w:val="en-GB"/>
        </w:rPr>
        <w:t xml:space="preserve">Comparing Figs. 3a and 4a, it is evident that regional trend patterns and magnitudes in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0090527C" w:rsidRPr="00B67F80">
        <w:rPr>
          <w:color w:val="000000" w:themeColor="text1"/>
          <w:lang w:val="en-GB"/>
        </w:rPr>
        <w:t xml:space="preserve"> are mainly determined by those in TEDIV. This is </w:t>
      </w:r>
      <w:r w:rsidR="002A57E7" w:rsidRPr="00B67F80">
        <w:rPr>
          <w:color w:val="000000" w:themeColor="text1"/>
          <w:lang w:val="en-GB"/>
        </w:rPr>
        <w:t>consistent</w:t>
      </w:r>
      <w:r w:rsidR="0090527C" w:rsidRPr="00B67F80">
        <w:rPr>
          <w:color w:val="000000" w:themeColor="text1"/>
          <w:lang w:val="en-GB"/>
        </w:rPr>
        <w:t xml:space="preserve"> with what previous studies have shown for spatial patterns in climatological mean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0090527C" w:rsidRPr="00B67F80">
        <w:rPr>
          <w:color w:val="000000" w:themeColor="text1"/>
          <w:lang w:val="en-GB"/>
        </w:rPr>
        <w:t xml:space="preserve"> (Liu et al. 2020; Mayer et al. 2017; Trenberth and Fasullo 2017).</w:t>
      </w:r>
      <w:r w:rsidR="002A57E7" w:rsidRPr="00B67F80">
        <w:rPr>
          <w:color w:val="000000" w:themeColor="text1"/>
          <w:lang w:val="en-GB"/>
        </w:rPr>
        <w:t xml:space="preserve"> </w:t>
      </w:r>
      <w:r w:rsidR="00361131" w:rsidRPr="00B67F80">
        <w:rPr>
          <w:color w:val="000000" w:themeColor="text1"/>
          <w:lang w:val="en-GB"/>
        </w:rPr>
        <w:t>Consequently</w:t>
      </w:r>
      <w:r w:rsidR="002A57E7" w:rsidRPr="00B67F80">
        <w:rPr>
          <w:color w:val="000000" w:themeColor="text1"/>
          <w:lang w:val="en-GB"/>
        </w:rPr>
        <w:t xml:space="preserve">, </w:t>
      </w:r>
      <w:r w:rsidR="002A57E7" w:rsidRPr="00B67F80">
        <w:rPr>
          <w:color w:val="000000" w:themeColor="text1"/>
        </w:rPr>
        <w:t>trends for the Inferred method over land are largely spurious (see Section 4.2).</w:t>
      </w:r>
    </w:p>
    <w:p w14:paraId="15B051F1" w14:textId="3266F51B" w:rsidR="00871139" w:rsidRPr="00B67F80" w:rsidRDefault="005B30AB" w:rsidP="008629F7">
      <w:pPr>
        <w:spacing w:line="480" w:lineRule="auto"/>
        <w:ind w:firstLine="720"/>
        <w:jc w:val="both"/>
        <w:rPr>
          <w:color w:val="000000" w:themeColor="text1"/>
          <w:lang w:val="en-GB"/>
        </w:rPr>
      </w:pPr>
      <w:r w:rsidRPr="00B67F80">
        <w:rPr>
          <w:color w:val="000000" w:themeColor="text1"/>
        </w:rPr>
        <w:t xml:space="preserve">Over ocean, </w:t>
      </w:r>
      <w:r w:rsidRPr="00B67F80">
        <w:rPr>
          <w:color w:val="000000" w:themeColor="text1"/>
          <w:lang w:val="en-GB"/>
        </w:rPr>
        <w:t>l</w:t>
      </w:r>
      <w:r w:rsidR="005F760B" w:rsidRPr="00B67F80">
        <w:rPr>
          <w:color w:val="000000" w:themeColor="text1"/>
          <w:lang w:val="en-GB"/>
        </w:rPr>
        <w:t xml:space="preserve">arge-scale patterns of surface flux trends </w:t>
      </w:r>
      <w:r w:rsidR="00E75CA6" w:rsidRPr="00B67F80">
        <w:rPr>
          <w:color w:val="000000" w:themeColor="text1"/>
          <w:lang w:val="en-GB"/>
        </w:rPr>
        <w:t xml:space="preserve">from the three methods </w:t>
      </w:r>
      <w:r w:rsidR="005F760B" w:rsidRPr="00B67F80">
        <w:rPr>
          <w:color w:val="000000" w:themeColor="text1"/>
          <w:lang w:val="en-GB"/>
        </w:rPr>
        <w:t xml:space="preserve">are similar over </w:t>
      </w:r>
      <w:r w:rsidR="00DA1B90" w:rsidRPr="00B67F80">
        <w:rPr>
          <w:color w:val="000000" w:themeColor="text1"/>
          <w:lang w:val="en-GB"/>
        </w:rPr>
        <w:t xml:space="preserve">the </w:t>
      </w:r>
      <w:r w:rsidR="005F760B" w:rsidRPr="00B67F80">
        <w:rPr>
          <w:color w:val="000000" w:themeColor="text1"/>
          <w:lang w:val="en-GB"/>
        </w:rPr>
        <w:t xml:space="preserve">Southern Ocean, </w:t>
      </w:r>
      <w:r w:rsidR="00272C35" w:rsidRPr="00B67F80">
        <w:rPr>
          <w:color w:val="000000" w:themeColor="text1"/>
          <w:lang w:val="en-GB"/>
        </w:rPr>
        <w:t>S</w:t>
      </w:r>
      <w:r w:rsidR="005F760B" w:rsidRPr="00B67F80">
        <w:rPr>
          <w:color w:val="000000" w:themeColor="text1"/>
          <w:lang w:val="en-GB"/>
        </w:rPr>
        <w:t xml:space="preserve">outhern Indian Ocean, </w:t>
      </w:r>
      <w:r w:rsidR="006C643B" w:rsidRPr="00B67F80">
        <w:rPr>
          <w:color w:val="000000" w:themeColor="text1"/>
          <w:lang w:val="en-GB"/>
        </w:rPr>
        <w:t>Barents</w:t>
      </w:r>
      <w:r w:rsidR="00817DF6" w:rsidRPr="00B67F80">
        <w:rPr>
          <w:color w:val="000000" w:themeColor="text1"/>
          <w:lang w:val="en-GB"/>
        </w:rPr>
        <w:t xml:space="preserve"> Sea, and</w:t>
      </w:r>
      <w:r w:rsidR="00DA1B90" w:rsidRPr="00B67F80">
        <w:rPr>
          <w:color w:val="000000" w:themeColor="text1"/>
          <w:lang w:val="en-GB"/>
        </w:rPr>
        <w:t xml:space="preserve"> the </w:t>
      </w:r>
      <w:r w:rsidR="005F760B" w:rsidRPr="00B67F80">
        <w:rPr>
          <w:color w:val="000000" w:themeColor="text1"/>
          <w:lang w:val="en-GB"/>
        </w:rPr>
        <w:t>Kuroshio Current and Gulf stream.</w:t>
      </w:r>
      <w:r w:rsidR="00DA1B90" w:rsidRPr="00B67F80">
        <w:rPr>
          <w:color w:val="000000" w:themeColor="text1"/>
          <w:lang w:val="en-GB"/>
        </w:rPr>
        <w:t xml:space="preserve"> </w:t>
      </w:r>
      <w:r w:rsidR="00CA118B" w:rsidRPr="00B67F80">
        <w:rPr>
          <w:color w:val="000000" w:themeColor="text1"/>
          <w:lang w:val="en-GB"/>
        </w:rPr>
        <w:t xml:space="preserve">Trends over the Gulf Stream are </w:t>
      </w:r>
      <w:r w:rsidR="00817DF6" w:rsidRPr="00B67F80">
        <w:rPr>
          <w:color w:val="000000" w:themeColor="text1"/>
          <w:lang w:val="en-GB"/>
        </w:rPr>
        <w:t>particularly noteworthy</w:t>
      </w:r>
      <w:r w:rsidR="00CA118B" w:rsidRPr="00B67F80">
        <w:rPr>
          <w:color w:val="000000" w:themeColor="text1"/>
          <w:lang w:val="en-GB"/>
        </w:rPr>
        <w:t xml:space="preserve">, as all three results show large negative trends, implying increased surface-to-atmosphere heat flux. </w:t>
      </w:r>
      <w:r w:rsidR="00CA118B" w:rsidRPr="00B67F80">
        <w:rPr>
          <w:color w:val="000000" w:themeColor="text1"/>
        </w:rPr>
        <w:t xml:space="preserve">In this region, the climatological mean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00CA118B" w:rsidRPr="00B67F80">
        <w:rPr>
          <w:color w:val="000000" w:themeColor="text1"/>
          <w:lang w:val="en-GB"/>
        </w:rPr>
        <w:t xml:space="preserve"> </w:t>
      </w:r>
      <w:r w:rsidR="00CA118B" w:rsidRPr="00B67F80">
        <w:rPr>
          <w:color w:val="000000" w:themeColor="text1"/>
        </w:rPr>
        <w:t>is also strongly negative since the atmosphere is supplied energy from warm water masses transporting energy poleward (</w:t>
      </w:r>
      <w:r w:rsidR="00817DF6" w:rsidRPr="00B67F80">
        <w:rPr>
          <w:color w:val="000000" w:themeColor="text1"/>
        </w:rPr>
        <w:t xml:space="preserve">Trenberth and Fasullo, 2017; </w:t>
      </w:r>
      <w:r w:rsidR="00CA118B" w:rsidRPr="00B67F80">
        <w:rPr>
          <w:color w:val="000000" w:themeColor="text1"/>
        </w:rPr>
        <w:t xml:space="preserve">Mayer et al., 2021). </w:t>
      </w:r>
      <w:r w:rsidR="001E710E" w:rsidRPr="00B67F80">
        <w:rPr>
          <w:color w:val="000000" w:themeColor="text1"/>
          <w:lang w:val="en-GB"/>
        </w:rPr>
        <w:t>W</w:t>
      </w:r>
      <w:r w:rsidR="00DA1B90" w:rsidRPr="00B67F80">
        <w:rPr>
          <w:color w:val="000000" w:themeColor="text1"/>
          <w:lang w:val="en-GB"/>
        </w:rPr>
        <w:t>e</w:t>
      </w:r>
      <w:r w:rsidR="00FC6B95" w:rsidRPr="00B67F80">
        <w:rPr>
          <w:color w:val="000000" w:themeColor="text1"/>
          <w:lang w:val="en-GB"/>
        </w:rPr>
        <w:t xml:space="preserve"> also</w:t>
      </w:r>
      <w:r w:rsidR="00DA1B90" w:rsidRPr="00B67F80">
        <w:rPr>
          <w:color w:val="000000" w:themeColor="text1"/>
          <w:lang w:val="en-GB"/>
        </w:rPr>
        <w:t xml:space="preserve"> find large </w:t>
      </w:r>
      <w:r w:rsidR="001D22E6" w:rsidRPr="00B67F80">
        <w:rPr>
          <w:color w:val="000000" w:themeColor="text1"/>
          <w:lang w:val="en-GB"/>
        </w:rPr>
        <w:t>negative trends</w:t>
      </w:r>
      <w:r w:rsidR="001E710E" w:rsidRPr="00B67F80">
        <w:rPr>
          <w:color w:val="000000" w:themeColor="text1"/>
          <w:lang w:val="en-GB"/>
        </w:rPr>
        <w:t xml:space="preserve"> for Inferred (Fig. 4a) and ERA5 forecasts (Fig. 4b) </w:t>
      </w:r>
      <w:r w:rsidR="00DA1B90" w:rsidRPr="00B67F80">
        <w:rPr>
          <w:color w:val="000000" w:themeColor="text1"/>
          <w:lang w:val="en-GB"/>
        </w:rPr>
        <w:t xml:space="preserve">over the East Pacific </w:t>
      </w:r>
      <w:proofErr w:type="gramStart"/>
      <w:r w:rsidR="00DA1B90" w:rsidRPr="00B67F80">
        <w:rPr>
          <w:color w:val="000000" w:themeColor="text1"/>
          <w:lang w:val="en-GB"/>
        </w:rPr>
        <w:t>off of</w:t>
      </w:r>
      <w:proofErr w:type="gramEnd"/>
      <w:r w:rsidR="00DA1B90" w:rsidRPr="00B67F80">
        <w:rPr>
          <w:color w:val="000000" w:themeColor="text1"/>
          <w:lang w:val="en-GB"/>
        </w:rPr>
        <w:t xml:space="preserve"> North and South America</w:t>
      </w:r>
      <w:r w:rsidR="001D22E6" w:rsidRPr="00B67F80">
        <w:rPr>
          <w:color w:val="000000" w:themeColor="text1"/>
          <w:lang w:val="en-GB"/>
        </w:rPr>
        <w:t xml:space="preserve"> and a line of positive trends along the equatorial Pacific stretching from the Maritime Continent to Central America.</w:t>
      </w:r>
      <w:r w:rsidR="00154B9D" w:rsidRPr="00B67F80">
        <w:rPr>
          <w:color w:val="000000" w:themeColor="text1"/>
          <w:lang w:val="en-GB"/>
        </w:rPr>
        <w:t xml:space="preserve"> All three products show </w:t>
      </w:r>
      <w:r w:rsidR="006C643B" w:rsidRPr="00B67F80">
        <w:rPr>
          <w:color w:val="000000" w:themeColor="text1"/>
          <w:lang w:val="en-GB"/>
        </w:rPr>
        <w:t>significant</w:t>
      </w:r>
      <w:r w:rsidR="00154B9D" w:rsidRPr="00B67F80">
        <w:rPr>
          <w:color w:val="000000" w:themeColor="text1"/>
          <w:lang w:val="en-GB"/>
        </w:rPr>
        <w:t xml:space="preserve"> positive trends in the Atlantic between the equator and ~40N.</w:t>
      </w:r>
      <w:r w:rsidR="001D22E6" w:rsidRPr="00B67F80">
        <w:rPr>
          <w:color w:val="000000" w:themeColor="text1"/>
          <w:lang w:val="en-GB"/>
        </w:rPr>
        <w:t xml:space="preserve"> The</w:t>
      </w:r>
      <w:r w:rsidR="001E710E" w:rsidRPr="00B67F80">
        <w:rPr>
          <w:color w:val="000000" w:themeColor="text1"/>
          <w:lang w:val="en-GB"/>
        </w:rPr>
        <w:t xml:space="preserve"> trends are </w:t>
      </w:r>
      <w:r w:rsidR="001D22E6" w:rsidRPr="00B67F80">
        <w:rPr>
          <w:color w:val="000000" w:themeColor="text1"/>
          <w:lang w:val="en-GB"/>
        </w:rPr>
        <w:t xml:space="preserve">generally </w:t>
      </w:r>
      <w:r w:rsidR="001E710E" w:rsidRPr="00B67F80">
        <w:rPr>
          <w:color w:val="000000" w:themeColor="text1"/>
          <w:lang w:val="en-GB"/>
        </w:rPr>
        <w:t>more pronounced for</w:t>
      </w:r>
      <w:r w:rsidR="001D22E6" w:rsidRPr="00B67F80">
        <w:rPr>
          <w:color w:val="000000" w:themeColor="text1"/>
          <w:lang w:val="en-GB"/>
        </w:rPr>
        <w:t xml:space="preserve"> Inferred than for ERA5 </w:t>
      </w:r>
      <w:r w:rsidR="00272C35" w:rsidRPr="00B67F80">
        <w:rPr>
          <w:color w:val="000000" w:themeColor="text1"/>
          <w:lang w:val="en-GB"/>
        </w:rPr>
        <w:t>F</w:t>
      </w:r>
      <w:r w:rsidR="001D22E6" w:rsidRPr="00B67F80">
        <w:rPr>
          <w:color w:val="000000" w:themeColor="text1"/>
          <w:lang w:val="en-GB"/>
        </w:rPr>
        <w:t>orecasts. In contrast, th</w:t>
      </w:r>
      <w:r w:rsidR="001E710E" w:rsidRPr="00B67F80">
        <w:rPr>
          <w:color w:val="000000" w:themeColor="text1"/>
          <w:lang w:val="en-GB"/>
        </w:rPr>
        <w:t>is trend pattern</w:t>
      </w:r>
      <w:r w:rsidR="001D22E6" w:rsidRPr="00B67F80">
        <w:rPr>
          <w:color w:val="000000" w:themeColor="text1"/>
          <w:lang w:val="en-GB"/>
        </w:rPr>
        <w:t xml:space="preserve"> </w:t>
      </w:r>
      <w:r w:rsidR="001E710E" w:rsidRPr="00B67F80">
        <w:rPr>
          <w:color w:val="000000" w:themeColor="text1"/>
          <w:lang w:val="en-GB"/>
        </w:rPr>
        <w:t>is</w:t>
      </w:r>
      <w:r w:rsidR="001D22E6" w:rsidRPr="00B67F80">
        <w:rPr>
          <w:color w:val="000000" w:themeColor="text1"/>
          <w:lang w:val="en-GB"/>
        </w:rPr>
        <w:t xml:space="preserve"> less evident for IFS AMIP (Fig. 4c)</w:t>
      </w:r>
      <w:r w:rsidR="001E710E" w:rsidRPr="00B67F80">
        <w:rPr>
          <w:color w:val="000000" w:themeColor="text1"/>
          <w:lang w:val="en-GB"/>
        </w:rPr>
        <w:t xml:space="preserve">, which entirely misses the </w:t>
      </w:r>
      <w:r w:rsidR="006C643B" w:rsidRPr="00B67F80">
        <w:rPr>
          <w:color w:val="000000" w:themeColor="text1"/>
          <w:lang w:val="en-GB"/>
        </w:rPr>
        <w:t>positive</w:t>
      </w:r>
      <w:r w:rsidR="001E710E" w:rsidRPr="00B67F80">
        <w:rPr>
          <w:color w:val="000000" w:themeColor="text1"/>
          <w:lang w:val="en-GB"/>
        </w:rPr>
        <w:t xml:space="preserve"> trends along the equator</w:t>
      </w:r>
      <w:r w:rsidR="001D22E6" w:rsidRPr="00B67F80">
        <w:rPr>
          <w:color w:val="000000" w:themeColor="text1"/>
          <w:lang w:val="en-GB"/>
        </w:rPr>
        <w:t xml:space="preserve">. </w:t>
      </w:r>
    </w:p>
    <w:p w14:paraId="78FB7E5D" w14:textId="511C1E06" w:rsidR="005F760B" w:rsidRPr="00B67F80" w:rsidRDefault="00E022EA" w:rsidP="004E55FA">
      <w:pPr>
        <w:spacing w:line="480" w:lineRule="auto"/>
        <w:ind w:firstLine="720"/>
        <w:jc w:val="both"/>
        <w:rPr>
          <w:color w:val="000000" w:themeColor="text1"/>
        </w:rPr>
      </w:pPr>
      <w:r w:rsidRPr="00B67F80">
        <w:rPr>
          <w:color w:val="000000" w:themeColor="text1"/>
          <w:lang w:val="en-GB"/>
        </w:rPr>
        <w:t xml:space="preserve">In order to further decompose trends in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Pr="00B67F80">
        <w:rPr>
          <w:color w:val="000000" w:themeColor="text1"/>
          <w:lang w:val="en-GB"/>
        </w:rPr>
        <w:t xml:space="preserve"> in terms of radiative</w:t>
      </w:r>
      <w:r w:rsidR="00D945DE" w:rsidRPr="00B67F80">
        <w:rPr>
          <w:color w:val="000000" w:themeColor="text1"/>
          <w:lang w:val="en-GB"/>
        </w:rPr>
        <w:t xml:space="preserve"> </w:t>
      </w:r>
      <w:r w:rsidRPr="00B67F80">
        <w:rPr>
          <w:color w:val="000000" w:themeColor="text1"/>
          <w:lang w:val="en-GB"/>
        </w:rPr>
        <w:t>and non-radiative components, we compute</w:t>
      </w:r>
      <w:r w:rsidR="004C082C" w:rsidRPr="00B67F80">
        <w:rPr>
          <w:color w:val="000000" w:themeColor="text1"/>
          <w:lang w:val="en-GB"/>
        </w:rPr>
        <w:t xml:space="preserve"> trends in</w:t>
      </w:r>
      <w:r w:rsidRPr="00B67F80">
        <w:rPr>
          <w:color w:val="000000" w:themeColor="text1"/>
          <w:lang w:val="en-GB"/>
        </w:rPr>
        <w:t xml:space="preserve"> net total radiative flux</w:t>
      </w:r>
      <w:r w:rsidR="00156EDB" w:rsidRPr="00B67F80">
        <w:rPr>
          <w:color w:val="000000" w:themeColor="text1"/>
          <w:lang w:val="en-GB"/>
        </w:rPr>
        <w:t xml:space="preserve"> at the surface</w:t>
      </w:r>
      <w:r w:rsidR="00D945DE" w:rsidRPr="00B67F80">
        <w:rPr>
          <w:color w:val="000000" w:themeColor="text1"/>
          <w:lang w:val="en-GB"/>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m:t>
            </m:r>
          </m:sub>
        </m:sSub>
      </m:oMath>
      <w:r w:rsidR="00D945DE" w:rsidRPr="00B67F80">
        <w:rPr>
          <w:color w:val="000000" w:themeColor="text1"/>
        </w:rPr>
        <w:t>)</w:t>
      </w:r>
      <w:r w:rsidRPr="00B67F80">
        <w:rPr>
          <w:color w:val="000000" w:themeColor="text1"/>
          <w:lang w:val="en-GB"/>
        </w:rPr>
        <w:t xml:space="preserve"> from CERES (Fig. 5a) and determine the</w:t>
      </w:r>
      <w:r w:rsidR="00156EDB" w:rsidRPr="00B67F80">
        <w:rPr>
          <w:color w:val="000000" w:themeColor="text1"/>
          <w:lang w:val="en-GB"/>
        </w:rPr>
        <w:t xml:space="preserve"> </w:t>
      </w:r>
      <w:r w:rsidR="00156EDB" w:rsidRPr="00B67F80">
        <w:rPr>
          <w:color w:val="000000" w:themeColor="text1"/>
        </w:rPr>
        <w:t xml:space="preserve">“inferred” </w:t>
      </w:r>
      <w:r w:rsidRPr="00B67F80">
        <w:rPr>
          <w:color w:val="000000" w:themeColor="text1"/>
          <w:lang w:val="en-GB"/>
        </w:rPr>
        <w:t>surface turbulent flux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m:t>
            </m:r>
          </m:sub>
        </m:sSub>
      </m:oMath>
      <w:r w:rsidR="00D945DE" w:rsidRPr="00B67F80">
        <w:rPr>
          <w:color w:val="000000" w:themeColor="text1"/>
          <w:lang w:val="en-GB"/>
        </w:rPr>
        <w:t xml:space="preserve">) </w:t>
      </w:r>
      <w:r w:rsidR="004C082C" w:rsidRPr="00B67F80">
        <w:rPr>
          <w:color w:val="000000" w:themeColor="text1"/>
          <w:lang w:val="en-GB"/>
        </w:rPr>
        <w:t xml:space="preserve">trends based upon </w:t>
      </w:r>
      <w:r w:rsidR="00D945DE" w:rsidRPr="00B67F80">
        <w:rPr>
          <w:color w:val="000000" w:themeColor="text1"/>
          <w:lang w:val="en-GB"/>
        </w:rPr>
        <w:t>Eq. (2)</w:t>
      </w:r>
      <w:r w:rsidR="00A40621" w:rsidRPr="00B67F80">
        <w:rPr>
          <w:color w:val="000000" w:themeColor="text1"/>
          <w:lang w:val="en-GB"/>
        </w:rPr>
        <w:t xml:space="preserve"> in Fig. </w:t>
      </w:r>
      <w:r w:rsidR="0086192C" w:rsidRPr="00B67F80">
        <w:rPr>
          <w:color w:val="000000" w:themeColor="text1"/>
          <w:lang w:val="en-GB"/>
        </w:rPr>
        <w:t>6a</w:t>
      </w:r>
      <w:r w:rsidR="00A40621" w:rsidRPr="00B67F80">
        <w:rPr>
          <w:color w:val="000000" w:themeColor="text1"/>
          <w:lang w:val="en-GB"/>
        </w:rPr>
        <w:t>.</w:t>
      </w:r>
      <w:r w:rsidR="004C082C" w:rsidRPr="00B67F80">
        <w:rPr>
          <w:color w:val="000000" w:themeColor="text1"/>
          <w:lang w:val="en-GB"/>
        </w:rPr>
        <w:t xml:space="preserve"> </w:t>
      </w:r>
      <w:r w:rsidR="0086192C" w:rsidRPr="00B67F80">
        <w:rPr>
          <w:color w:val="000000" w:themeColor="text1"/>
          <w:lang w:val="en-GB"/>
        </w:rPr>
        <w:lastRenderedPageBreak/>
        <w:t xml:space="preserve">These are compared with </w:t>
      </w:r>
      <w:r w:rsidR="00523FAC" w:rsidRPr="00B67F80">
        <w:rPr>
          <w:color w:val="000000" w:themeColor="text1"/>
          <w:lang w:val="en-GB"/>
        </w:rPr>
        <w:t xml:space="preserve">regional trends in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m:t>
            </m:r>
          </m:sub>
        </m:sSub>
      </m:oMath>
      <w:r w:rsidR="00523FAC" w:rsidRPr="00B67F80">
        <w:rPr>
          <w:color w:val="000000" w:themeColor="text1"/>
          <w:lang w:val="en-GB"/>
        </w:rPr>
        <w:t xml:space="preserve"> and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m:t>
            </m:r>
          </m:sub>
        </m:sSub>
      </m:oMath>
      <w:r w:rsidR="00523FAC" w:rsidRPr="00B67F80">
        <w:rPr>
          <w:color w:val="000000" w:themeColor="text1"/>
          <w:lang w:val="en-GB"/>
        </w:rPr>
        <w:t xml:space="preserve"> for ERA5 </w:t>
      </w:r>
      <w:r w:rsidR="00272C35" w:rsidRPr="00B67F80">
        <w:rPr>
          <w:color w:val="000000" w:themeColor="text1"/>
          <w:lang w:val="en-GB"/>
        </w:rPr>
        <w:t>F</w:t>
      </w:r>
      <w:r w:rsidR="00523FAC" w:rsidRPr="00B67F80">
        <w:rPr>
          <w:color w:val="000000" w:themeColor="text1"/>
          <w:lang w:val="en-GB"/>
        </w:rPr>
        <w:t xml:space="preserve">orecasts </w:t>
      </w:r>
      <w:r w:rsidR="00300D00" w:rsidRPr="00B67F80">
        <w:rPr>
          <w:color w:val="000000" w:themeColor="text1"/>
          <w:lang w:val="en-GB"/>
        </w:rPr>
        <w:t>(</w:t>
      </w:r>
      <w:r w:rsidR="00523FAC" w:rsidRPr="00B67F80">
        <w:rPr>
          <w:color w:val="000000" w:themeColor="text1"/>
          <w:lang w:val="en-GB"/>
        </w:rPr>
        <w:t>Figs. 5b and 6b</w:t>
      </w:r>
      <w:r w:rsidR="00300D00" w:rsidRPr="00B67F80">
        <w:rPr>
          <w:color w:val="000000" w:themeColor="text1"/>
          <w:lang w:val="en-GB"/>
        </w:rPr>
        <w:t>)</w:t>
      </w:r>
      <w:r w:rsidR="00523FAC" w:rsidRPr="00B67F80">
        <w:rPr>
          <w:color w:val="000000" w:themeColor="text1"/>
          <w:lang w:val="en-GB"/>
        </w:rPr>
        <w:t xml:space="preserve">. </w:t>
      </w:r>
      <w:r w:rsidR="00B84980" w:rsidRPr="00B67F80">
        <w:rPr>
          <w:color w:val="000000" w:themeColor="text1"/>
          <w:lang w:val="en-GB"/>
        </w:rPr>
        <w:t xml:space="preserve">In Fig. 6b,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m:t>
            </m:r>
          </m:sub>
        </m:sSub>
      </m:oMath>
      <w:r w:rsidR="00B84980" w:rsidRPr="00B67F80">
        <w:rPr>
          <w:color w:val="000000" w:themeColor="text1"/>
          <w:lang w:val="en-GB"/>
        </w:rPr>
        <w:t xml:space="preserve"> is obtained directly from the sum of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L</m:t>
            </m:r>
          </m:sub>
        </m:sSub>
      </m:oMath>
      <w:r w:rsidR="00B84980" w:rsidRPr="00B67F80">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S</m:t>
            </m:r>
          </m:sub>
        </m:sSub>
      </m:oMath>
      <w:r w:rsidR="00B84980" w:rsidRPr="00B67F80">
        <w:rPr>
          <w:color w:val="000000" w:themeColor="text1"/>
        </w:rPr>
        <w:t xml:space="preserve">. </w:t>
      </w:r>
      <w:r w:rsidR="00E23674" w:rsidRPr="00B67F80">
        <w:rPr>
          <w:color w:val="000000" w:themeColor="text1"/>
        </w:rPr>
        <w:t xml:space="preserve">While the trend patterns </w:t>
      </w:r>
      <w:r w:rsidR="00C06079" w:rsidRPr="00B67F80">
        <w:rPr>
          <w:color w:val="000000" w:themeColor="text1"/>
        </w:rPr>
        <w:t>in</w:t>
      </w:r>
      <w:r w:rsidR="00C06079" w:rsidRPr="00B67F80">
        <w:rPr>
          <w:color w:val="000000" w:themeColor="text1"/>
          <w:lang w:val="en-GB"/>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m:t>
            </m:r>
          </m:sub>
        </m:sSub>
      </m:oMath>
      <w:r w:rsidR="00C06079" w:rsidRPr="00B67F80">
        <w:rPr>
          <w:color w:val="000000" w:themeColor="text1"/>
        </w:rPr>
        <w:t xml:space="preserve"> </w:t>
      </w:r>
      <w:r w:rsidR="00E23674" w:rsidRPr="00B67F80">
        <w:rPr>
          <w:color w:val="000000" w:themeColor="text1"/>
        </w:rPr>
        <w:t>are similar</w:t>
      </w:r>
      <w:r w:rsidR="00C06079" w:rsidRPr="00B67F80">
        <w:rPr>
          <w:color w:val="000000" w:themeColor="text1"/>
        </w:rPr>
        <w:t xml:space="preserve"> between CERES and ERA5</w:t>
      </w:r>
      <w:r w:rsidR="00272C35" w:rsidRPr="00B67F80">
        <w:rPr>
          <w:color w:val="000000" w:themeColor="text1"/>
        </w:rPr>
        <w:t xml:space="preserve"> Forecasts</w:t>
      </w:r>
      <w:r w:rsidR="00E23674" w:rsidRPr="00B67F80">
        <w:rPr>
          <w:color w:val="000000" w:themeColor="text1"/>
        </w:rPr>
        <w:t xml:space="preserve">, their magnitudes are </w:t>
      </w:r>
      <w:r w:rsidR="00C06079" w:rsidRPr="00B67F80">
        <w:rPr>
          <w:color w:val="000000" w:themeColor="text1"/>
        </w:rPr>
        <w:t>quite</w:t>
      </w:r>
      <w:r w:rsidR="00E23674" w:rsidRPr="00B67F80">
        <w:rPr>
          <w:color w:val="000000" w:themeColor="text1"/>
        </w:rPr>
        <w:t xml:space="preserve"> different. Large differences are evident over the west tropical Pacific Ocean, where ERA5</w:t>
      </w:r>
      <w:r w:rsidR="00272C35" w:rsidRPr="00B67F80">
        <w:rPr>
          <w:color w:val="000000" w:themeColor="text1"/>
        </w:rPr>
        <w:t xml:space="preserve"> Forecasts</w:t>
      </w:r>
      <w:r w:rsidR="00E23674" w:rsidRPr="00B67F80">
        <w:rPr>
          <w:color w:val="000000" w:themeColor="text1"/>
        </w:rPr>
        <w:t xml:space="preserve"> shows large positive trends that are absent in CERES.</w:t>
      </w:r>
      <w:r w:rsidR="001A1275" w:rsidRPr="00B67F80">
        <w:rPr>
          <w:color w:val="000000" w:themeColor="text1"/>
        </w:rPr>
        <w:t xml:space="preserve"> </w:t>
      </w:r>
      <w:r w:rsidR="00CF14B9" w:rsidRPr="00B67F80">
        <w:rPr>
          <w:color w:val="000000" w:themeColor="text1"/>
        </w:rPr>
        <w:t>R</w:t>
      </w:r>
      <w:r w:rsidR="00570D7C" w:rsidRPr="00B67F80">
        <w:rPr>
          <w:color w:val="000000" w:themeColor="text1"/>
        </w:rPr>
        <w:t>egional trend</w:t>
      </w:r>
      <w:r w:rsidR="00D2605F" w:rsidRPr="00B67F80">
        <w:rPr>
          <w:color w:val="000000" w:themeColor="text1"/>
        </w:rPr>
        <w:t xml:space="preserve"> pattern</w:t>
      </w:r>
      <w:r w:rsidR="00CF14B9" w:rsidRPr="00B67F80">
        <w:rPr>
          <w:color w:val="000000" w:themeColor="text1"/>
        </w:rPr>
        <w:t xml:space="preserve">s </w:t>
      </w:r>
      <w:r w:rsidR="00D2605F" w:rsidRPr="00B67F80">
        <w:rPr>
          <w:color w:val="000000" w:themeColor="text1"/>
        </w:rPr>
        <w:t xml:space="preserve">in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m:t>
            </m:r>
          </m:sub>
        </m:sSub>
      </m:oMath>
      <w:r w:rsidR="00CF14B9" w:rsidRPr="00B67F80">
        <w:rPr>
          <w:color w:val="000000" w:themeColor="text1"/>
          <w:lang w:val="en-GB"/>
        </w:rPr>
        <w:t xml:space="preserve"> </w:t>
      </w:r>
      <w:r w:rsidR="00D2605F" w:rsidRPr="00B67F80">
        <w:rPr>
          <w:color w:val="000000" w:themeColor="text1"/>
        </w:rPr>
        <w:t>are</w:t>
      </w:r>
      <w:r w:rsidR="00CF14B9" w:rsidRPr="00B67F80">
        <w:rPr>
          <w:color w:val="000000" w:themeColor="text1"/>
        </w:rPr>
        <w:t xml:space="preserve"> similar over ocean, but the inferred method </w:t>
      </w:r>
      <w:r w:rsidR="0098707D" w:rsidRPr="00B67F80">
        <w:rPr>
          <w:color w:val="000000" w:themeColor="text1"/>
        </w:rPr>
        <w:t xml:space="preserve">produces generally </w:t>
      </w:r>
      <w:r w:rsidR="00D2605F" w:rsidRPr="00B67F80">
        <w:rPr>
          <w:color w:val="000000" w:themeColor="text1"/>
        </w:rPr>
        <w:t>larger</w:t>
      </w:r>
      <w:r w:rsidR="00070C41" w:rsidRPr="00B67F80">
        <w:rPr>
          <w:color w:val="000000" w:themeColor="text1"/>
        </w:rPr>
        <w:t xml:space="preserve"> </w:t>
      </w:r>
      <w:r w:rsidR="00D2605F" w:rsidRPr="00B67F80">
        <w:rPr>
          <w:color w:val="000000" w:themeColor="text1"/>
        </w:rPr>
        <w:t>values</w:t>
      </w:r>
      <w:r w:rsidR="00070C41" w:rsidRPr="00B67F80">
        <w:rPr>
          <w:color w:val="000000" w:themeColor="text1"/>
        </w:rPr>
        <w:t xml:space="preserve">. </w:t>
      </w:r>
      <w:r w:rsidR="00570D7C" w:rsidRPr="00B67F80">
        <w:rPr>
          <w:color w:val="000000" w:themeColor="text1"/>
        </w:rPr>
        <w:t xml:space="preserve">There is good agreement over the eastern Pacific off the west coast of the Americas, where trends are predominantly negative. </w:t>
      </w:r>
      <w:r w:rsidR="0079397B" w:rsidRPr="00B67F80">
        <w:rPr>
          <w:color w:val="000000" w:themeColor="text1"/>
        </w:rPr>
        <w:t>T</w:t>
      </w:r>
      <w:r w:rsidR="00570D7C" w:rsidRPr="00B67F80">
        <w:rPr>
          <w:color w:val="000000" w:themeColor="text1"/>
        </w:rPr>
        <w:t>rends</w:t>
      </w:r>
      <w:r w:rsidR="00890CD0" w:rsidRPr="00B67F80">
        <w:rPr>
          <w:color w:val="000000" w:themeColor="text1"/>
        </w:rPr>
        <w:t xml:space="preserve"> in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m:t>
            </m:r>
          </m:sub>
        </m:sSub>
      </m:oMath>
      <w:r w:rsidR="00890CD0" w:rsidRPr="00B67F80">
        <w:rPr>
          <w:color w:val="000000" w:themeColor="text1"/>
          <w:lang w:val="en-GB"/>
        </w:rPr>
        <w:t xml:space="preserve"> </w:t>
      </w:r>
      <w:r w:rsidR="00890CD0" w:rsidRPr="00B67F80">
        <w:rPr>
          <w:color w:val="000000" w:themeColor="text1"/>
        </w:rPr>
        <w:t>are</w:t>
      </w:r>
      <w:r w:rsidR="00570D7C" w:rsidRPr="00B67F80">
        <w:rPr>
          <w:color w:val="000000" w:themeColor="text1"/>
        </w:rPr>
        <w:t xml:space="preserve"> </w:t>
      </w:r>
      <w:r w:rsidR="00890CD0" w:rsidRPr="00B67F80">
        <w:rPr>
          <w:color w:val="000000" w:themeColor="text1"/>
        </w:rPr>
        <w:t xml:space="preserve">generally </w:t>
      </w:r>
      <w:r w:rsidR="00570D7C" w:rsidRPr="00B67F80">
        <w:rPr>
          <w:color w:val="000000" w:themeColor="text1"/>
        </w:rPr>
        <w:t xml:space="preserve">much </w:t>
      </w:r>
      <w:r w:rsidR="00890CD0" w:rsidRPr="00B67F80">
        <w:rPr>
          <w:color w:val="000000" w:themeColor="text1"/>
        </w:rPr>
        <w:t>larger</w:t>
      </w:r>
      <w:r w:rsidR="00570D7C" w:rsidRPr="00B67F80">
        <w:rPr>
          <w:color w:val="000000" w:themeColor="text1"/>
        </w:rPr>
        <w:t xml:space="preserve"> than </w:t>
      </w:r>
      <w:r w:rsidR="0079397B" w:rsidRPr="00B67F80">
        <w:rPr>
          <w:color w:val="000000" w:themeColor="text1"/>
        </w:rPr>
        <w:t xml:space="preserve">those in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S</m:t>
            </m:r>
          </m:sub>
        </m:sSub>
      </m:oMath>
      <w:r w:rsidR="00570D7C" w:rsidRPr="00B67F80">
        <w:rPr>
          <w:color w:val="000000" w:themeColor="text1"/>
        </w:rPr>
        <w:t>, suggest</w:t>
      </w:r>
      <w:r w:rsidR="0079397B" w:rsidRPr="00B67F80">
        <w:rPr>
          <w:color w:val="000000" w:themeColor="text1"/>
        </w:rPr>
        <w:t xml:space="preserve">ing </w:t>
      </w:r>
      <w:r w:rsidR="00570D7C" w:rsidRPr="00B67F80">
        <w:rPr>
          <w:color w:val="000000" w:themeColor="text1"/>
        </w:rPr>
        <w:t xml:space="preserve">a dominant role for surface turbulent heat flux </w:t>
      </w:r>
      <w:r w:rsidR="003530ED" w:rsidRPr="00B67F80">
        <w:rPr>
          <w:color w:val="000000" w:themeColor="text1"/>
        </w:rPr>
        <w:t>over net surface radiation</w:t>
      </w:r>
      <w:r w:rsidR="0079397B" w:rsidRPr="00B67F80">
        <w:rPr>
          <w:color w:val="000000" w:themeColor="text1"/>
        </w:rPr>
        <w:t xml:space="preserve"> at regional scales</w:t>
      </w:r>
      <w:r w:rsidR="00570D7C" w:rsidRPr="00B67F80">
        <w:rPr>
          <w:color w:val="000000" w:themeColor="text1"/>
        </w:rPr>
        <w:t xml:space="preserve">. </w:t>
      </w:r>
    </w:p>
    <w:p w14:paraId="749F8666" w14:textId="7300C486" w:rsidR="000A363A" w:rsidRPr="00B67F80" w:rsidRDefault="00CC5E36" w:rsidP="000A363A">
      <w:pPr>
        <w:spacing w:line="480" w:lineRule="auto"/>
        <w:ind w:firstLine="720"/>
        <w:jc w:val="both"/>
        <w:rPr>
          <w:color w:val="000000" w:themeColor="text1"/>
        </w:rPr>
      </w:pPr>
      <w:r w:rsidRPr="00B67F80">
        <w:rPr>
          <w:color w:val="000000" w:themeColor="text1"/>
        </w:rPr>
        <w:t>T</w:t>
      </w:r>
      <w:r w:rsidR="00BA4FC2" w:rsidRPr="00B67F80">
        <w:rPr>
          <w:color w:val="000000" w:themeColor="text1"/>
        </w:rPr>
        <w:t>rends in surface turbulent flux from the SeaFlux V3 (Roberts et al., 2020) and OAFlux</w:t>
      </w:r>
      <w:r w:rsidR="00CA0553" w:rsidRPr="00B67F80">
        <w:rPr>
          <w:color w:val="000000" w:themeColor="text1"/>
        </w:rPr>
        <w:t xml:space="preserve"> V3 (Yu and Weller, 2007)</w:t>
      </w:r>
      <w:r w:rsidR="00BA4FC2" w:rsidRPr="00B67F80">
        <w:rPr>
          <w:color w:val="000000" w:themeColor="text1"/>
        </w:rPr>
        <w:t xml:space="preserve"> products for 08/2002-07/2018</w:t>
      </w:r>
      <w:r w:rsidRPr="00B67F80">
        <w:rPr>
          <w:color w:val="000000" w:themeColor="text1"/>
        </w:rPr>
        <w:t xml:space="preserve"> (Figs. </w:t>
      </w:r>
      <w:r w:rsidR="007548B3" w:rsidRPr="00B67F80">
        <w:rPr>
          <w:color w:val="000000" w:themeColor="text1"/>
        </w:rPr>
        <w:t>S</w:t>
      </w:r>
      <w:r w:rsidR="003D2A80">
        <w:rPr>
          <w:color w:val="000000" w:themeColor="text1"/>
        </w:rPr>
        <w:t>8</w:t>
      </w:r>
      <w:r w:rsidR="007548B3" w:rsidRPr="00B67F80">
        <w:rPr>
          <w:color w:val="000000" w:themeColor="text1"/>
        </w:rPr>
        <w:t>a</w:t>
      </w:r>
      <w:r w:rsidRPr="00B67F80">
        <w:rPr>
          <w:color w:val="000000" w:themeColor="text1"/>
        </w:rPr>
        <w:t>-b) are</w:t>
      </w:r>
      <w:r w:rsidR="00BD78C5" w:rsidRPr="00B67F80">
        <w:rPr>
          <w:color w:val="000000" w:themeColor="text1"/>
        </w:rPr>
        <w:t xml:space="preserve"> g</w:t>
      </w:r>
      <w:r w:rsidR="00BA4FC2" w:rsidRPr="00B67F80">
        <w:rPr>
          <w:color w:val="000000" w:themeColor="text1"/>
        </w:rPr>
        <w:t xml:space="preserve">enerally </w:t>
      </w:r>
      <w:r w:rsidRPr="00B67F80">
        <w:rPr>
          <w:color w:val="000000" w:themeColor="text1"/>
        </w:rPr>
        <w:t xml:space="preserve">in </w:t>
      </w:r>
      <w:r w:rsidR="00BA4FC2" w:rsidRPr="00B67F80">
        <w:rPr>
          <w:color w:val="000000" w:themeColor="text1"/>
        </w:rPr>
        <w:t>poor agreement everywhere</w:t>
      </w:r>
      <w:r w:rsidR="004B18B1" w:rsidRPr="00B67F80">
        <w:rPr>
          <w:color w:val="000000" w:themeColor="text1"/>
        </w:rPr>
        <w:t>.</w:t>
      </w:r>
      <w:r w:rsidR="00BA4FC2" w:rsidRPr="00B67F80">
        <w:rPr>
          <w:color w:val="000000" w:themeColor="text1"/>
        </w:rPr>
        <w:t xml:space="preserve"> </w:t>
      </w:r>
      <w:r w:rsidR="00BD78C5" w:rsidRPr="00B67F80">
        <w:rPr>
          <w:color w:val="000000" w:themeColor="text1"/>
        </w:rPr>
        <w:t>The lack of agreement is surprising since SeaFlux and OAFlux are dedicated surface turbulent heat products.</w:t>
      </w:r>
      <w:r w:rsidR="000A363A" w:rsidRPr="00B67F80">
        <w:rPr>
          <w:color w:val="000000" w:themeColor="text1"/>
        </w:rPr>
        <w:t xml:space="preserve"> According to Robertson et al. (2020), trends from these products are less reliable due to problems with wind speed retrievals from Special Sensor Microwave Imager/Sounder satellite sensors and excessive upward trends in Optimal Interpolation Sea Surface Temperature</w:t>
      </w:r>
      <w:r w:rsidR="00930967" w:rsidRPr="00B67F80">
        <w:rPr>
          <w:color w:val="000000" w:themeColor="text1"/>
        </w:rPr>
        <w:t xml:space="preserve"> (OISST)</w:t>
      </w:r>
      <w:r w:rsidR="000A363A" w:rsidRPr="00B67F80">
        <w:rPr>
          <w:color w:val="000000" w:themeColor="text1"/>
        </w:rPr>
        <w:t xml:space="preserve"> data.</w:t>
      </w:r>
    </w:p>
    <w:p w14:paraId="28353927" w14:textId="77777777" w:rsidR="00702C49" w:rsidRPr="00B67F80" w:rsidRDefault="00702C49" w:rsidP="003746E8">
      <w:pPr>
        <w:keepNext/>
        <w:numPr>
          <w:ilvl w:val="1"/>
          <w:numId w:val="18"/>
        </w:numPr>
        <w:spacing w:line="480" w:lineRule="auto"/>
        <w:ind w:left="360"/>
        <w:jc w:val="both"/>
        <w:rPr>
          <w:b/>
          <w:bCs/>
          <w:color w:val="000000" w:themeColor="text1"/>
        </w:rPr>
      </w:pPr>
      <w:r w:rsidRPr="00B67F80">
        <w:rPr>
          <w:b/>
          <w:bCs/>
          <w:color w:val="000000" w:themeColor="text1"/>
        </w:rPr>
        <w:t>Within Ocean</w:t>
      </w:r>
    </w:p>
    <w:p w14:paraId="56760088" w14:textId="7F803E3D" w:rsidR="006B3463" w:rsidRPr="00B67F80" w:rsidRDefault="00C843C6" w:rsidP="00EB5704">
      <w:pPr>
        <w:spacing w:line="480" w:lineRule="auto"/>
        <w:ind w:firstLine="720"/>
        <w:jc w:val="both"/>
        <w:rPr>
          <w:color w:val="000000" w:themeColor="text1"/>
        </w:rPr>
      </w:pPr>
      <w:r w:rsidRPr="00B67F80">
        <w:rPr>
          <w:color w:val="000000" w:themeColor="text1"/>
        </w:rPr>
        <w:t xml:space="preserve">A </w:t>
      </w:r>
      <w:r w:rsidR="006845DB" w:rsidRPr="00B67F80">
        <w:rPr>
          <w:color w:val="000000" w:themeColor="text1"/>
        </w:rPr>
        <w:t>b</w:t>
      </w:r>
      <w:r w:rsidRPr="00B67F80">
        <w:rPr>
          <w:color w:val="000000" w:themeColor="text1"/>
        </w:rPr>
        <w:t>e</w:t>
      </w:r>
      <w:r w:rsidR="006845DB" w:rsidRPr="00B67F80">
        <w:rPr>
          <w:color w:val="000000" w:themeColor="text1"/>
        </w:rPr>
        <w:t>nefit</w:t>
      </w:r>
      <w:r w:rsidRPr="00B67F80">
        <w:rPr>
          <w:color w:val="000000" w:themeColor="text1"/>
        </w:rPr>
        <w:t xml:space="preserve"> of ocean reanalys</w:t>
      </w:r>
      <w:r w:rsidR="00512B64" w:rsidRPr="00B67F80">
        <w:rPr>
          <w:color w:val="000000" w:themeColor="text1"/>
        </w:rPr>
        <w:t>is</w:t>
      </w:r>
      <w:r w:rsidRPr="00B67F80">
        <w:rPr>
          <w:color w:val="000000" w:themeColor="text1"/>
        </w:rPr>
        <w:t xml:space="preserve"> is that </w:t>
      </w:r>
      <w:r w:rsidR="00512B64" w:rsidRPr="00B67F80">
        <w:rPr>
          <w:color w:val="000000" w:themeColor="text1"/>
        </w:rPr>
        <w:t>i</w:t>
      </w:r>
      <w:r w:rsidRPr="00B67F80">
        <w:rPr>
          <w:color w:val="000000" w:themeColor="text1"/>
        </w:rPr>
        <w:t>t provide</w:t>
      </w:r>
      <w:r w:rsidR="00512B64" w:rsidRPr="00B67F80">
        <w:rPr>
          <w:color w:val="000000" w:themeColor="text1"/>
        </w:rPr>
        <w:t>s</w:t>
      </w:r>
      <w:r w:rsidRPr="00B67F80">
        <w:rPr>
          <w:color w:val="000000" w:themeColor="text1"/>
        </w:rPr>
        <w:t xml:space="preserve"> </w:t>
      </w:r>
      <w:r w:rsidR="001D4DB2" w:rsidRPr="00B67F80">
        <w:rPr>
          <w:color w:val="000000" w:themeColor="text1"/>
        </w:rPr>
        <w:t xml:space="preserve">continuous </w:t>
      </w:r>
      <w:r w:rsidRPr="00B67F80">
        <w:rPr>
          <w:color w:val="000000" w:themeColor="text1"/>
        </w:rPr>
        <w:t xml:space="preserve">coverage of the </w:t>
      </w:r>
      <w:r w:rsidR="003B4A03" w:rsidRPr="00B67F80">
        <w:rPr>
          <w:color w:val="000000" w:themeColor="text1"/>
        </w:rPr>
        <w:t xml:space="preserve">global </w:t>
      </w:r>
      <w:r w:rsidRPr="00B67F80">
        <w:rPr>
          <w:color w:val="000000" w:themeColor="text1"/>
        </w:rPr>
        <w:t>oceans</w:t>
      </w:r>
      <w:r w:rsidR="001D4DB2" w:rsidRPr="00B67F80">
        <w:rPr>
          <w:color w:val="000000" w:themeColor="text1"/>
        </w:rPr>
        <w:t xml:space="preserve"> </w:t>
      </w:r>
      <w:r w:rsidRPr="00B67F80">
        <w:rPr>
          <w:color w:val="000000" w:themeColor="text1"/>
        </w:rPr>
        <w:t xml:space="preserve">and therefore </w:t>
      </w:r>
      <w:r w:rsidR="003B4A03" w:rsidRPr="00B67F80">
        <w:rPr>
          <w:color w:val="000000" w:themeColor="text1"/>
        </w:rPr>
        <w:t xml:space="preserve">can </w:t>
      </w:r>
      <w:r w:rsidR="008251F4" w:rsidRPr="00B67F80">
        <w:rPr>
          <w:color w:val="000000" w:themeColor="text1"/>
        </w:rPr>
        <w:t>resolve</w:t>
      </w:r>
      <w:r w:rsidRPr="00B67F80">
        <w:rPr>
          <w:color w:val="000000" w:themeColor="text1"/>
        </w:rPr>
        <w:t xml:space="preserve"> higher frequency variability of ocean heating rate </w:t>
      </w:r>
      <w:r w:rsidR="003B4A03" w:rsidRPr="00B67F80">
        <w:rPr>
          <w:color w:val="000000" w:themeColor="text1"/>
        </w:rPr>
        <w:t>than</w:t>
      </w:r>
      <w:r w:rsidRPr="00B67F80">
        <w:rPr>
          <w:color w:val="000000" w:themeColor="text1"/>
        </w:rPr>
        <w:t xml:space="preserve"> methods that rely </w:t>
      </w:r>
      <w:r w:rsidR="008251F4" w:rsidRPr="00B67F80">
        <w:rPr>
          <w:color w:val="000000" w:themeColor="text1"/>
        </w:rPr>
        <w:t xml:space="preserve">primarily on </w:t>
      </w:r>
      <w:r w:rsidR="007953C5" w:rsidRPr="00B67F80">
        <w:rPr>
          <w:color w:val="000000" w:themeColor="text1"/>
        </w:rPr>
        <w:t xml:space="preserve">in situ </w:t>
      </w:r>
      <w:r w:rsidR="008251F4" w:rsidRPr="00B67F80">
        <w:rPr>
          <w:color w:val="000000" w:themeColor="text1"/>
        </w:rPr>
        <w:t>data</w:t>
      </w:r>
      <w:r w:rsidR="007953C5" w:rsidRPr="00B67F80">
        <w:rPr>
          <w:color w:val="000000" w:themeColor="text1"/>
        </w:rPr>
        <w:t xml:space="preserve"> like Argo</w:t>
      </w:r>
      <w:r w:rsidR="008251F4" w:rsidRPr="00B67F80">
        <w:rPr>
          <w:color w:val="000000" w:themeColor="text1"/>
        </w:rPr>
        <w:t xml:space="preserve">. </w:t>
      </w:r>
      <w:r w:rsidR="0097397F" w:rsidRPr="00B67F80">
        <w:rPr>
          <w:color w:val="000000" w:themeColor="text1"/>
        </w:rPr>
        <w:t xml:space="preserve">We compare </w:t>
      </w:r>
      <w:r w:rsidR="007E6A39" w:rsidRPr="00B67F80">
        <w:rPr>
          <w:color w:val="000000" w:themeColor="text1"/>
        </w:rPr>
        <w:t xml:space="preserve">ORAS5, ORAS6.1 and ORAS6-ctrl </w:t>
      </w:r>
      <w:r w:rsidR="00914949" w:rsidRPr="00B67F80">
        <w:rPr>
          <w:color w:val="000000" w:themeColor="text1"/>
        </w:rPr>
        <w:t xml:space="preserve">global </w:t>
      </w:r>
      <w:r w:rsidR="006D19B9" w:rsidRPr="00B67F80">
        <w:rPr>
          <w:color w:val="000000" w:themeColor="text1"/>
        </w:rPr>
        <w:t xml:space="preserve">monthly </w:t>
      </w:r>
      <w:r w:rsidR="0097397F" w:rsidRPr="00B67F80">
        <w:rPr>
          <w:color w:val="000000" w:themeColor="text1"/>
        </w:rPr>
        <w:t>anomalies</w:t>
      </w:r>
      <w:r w:rsidR="007E6A39" w:rsidRPr="00B67F80">
        <w:rPr>
          <w:color w:val="000000" w:themeColor="text1"/>
        </w:rPr>
        <w:t xml:space="preserve"> </w:t>
      </w:r>
      <w:r w:rsidR="0097397F" w:rsidRPr="00B67F80">
        <w:rPr>
          <w:color w:val="000000" w:themeColor="text1"/>
        </w:rPr>
        <w:t>in full-depth global ocean heating rate</w:t>
      </w:r>
      <w:r w:rsidR="006D19B9" w:rsidRPr="00B67F80">
        <w:rPr>
          <w:color w:val="000000" w:themeColor="text1"/>
        </w:rPr>
        <w:t xml:space="preserve"> for 03/2000-02/2020 </w:t>
      </w:r>
      <w:r w:rsidR="007E6A39" w:rsidRPr="00B67F80">
        <w:rPr>
          <w:color w:val="000000" w:themeColor="text1"/>
        </w:rPr>
        <w:t>(</w:t>
      </w:r>
      <w:r w:rsidR="0007794E" w:rsidRPr="00B67F80">
        <w:rPr>
          <w:color w:val="000000" w:themeColor="text1"/>
        </w:rPr>
        <w:t>Figs. 7a-c</w:t>
      </w:r>
      <w:r w:rsidR="007E6A39" w:rsidRPr="00B67F80">
        <w:rPr>
          <w:color w:val="000000" w:themeColor="text1"/>
        </w:rPr>
        <w:t>)</w:t>
      </w:r>
      <w:r w:rsidR="0007794E" w:rsidRPr="00B67F80">
        <w:rPr>
          <w:color w:val="000000" w:themeColor="text1"/>
        </w:rPr>
        <w:t xml:space="preserve"> and the</w:t>
      </w:r>
      <w:r w:rsidR="00A75FC7" w:rsidRPr="00B67F80">
        <w:rPr>
          <w:color w:val="000000" w:themeColor="text1"/>
        </w:rPr>
        <w:t xml:space="preserve"> hemispheric and global averages, anomaly standard deviations and</w:t>
      </w:r>
      <w:r w:rsidR="0007794E" w:rsidRPr="00B67F80">
        <w:rPr>
          <w:color w:val="000000" w:themeColor="text1"/>
        </w:rPr>
        <w:t xml:space="preserve"> trends </w:t>
      </w:r>
      <w:r w:rsidR="007E6A39" w:rsidRPr="00B67F80">
        <w:rPr>
          <w:color w:val="000000" w:themeColor="text1"/>
        </w:rPr>
        <w:t>(</w:t>
      </w:r>
      <w:r w:rsidR="0007794E" w:rsidRPr="00B67F80">
        <w:rPr>
          <w:color w:val="000000" w:themeColor="text1"/>
        </w:rPr>
        <w:t>Table 3</w:t>
      </w:r>
      <w:r w:rsidR="007E6A39" w:rsidRPr="00B67F80">
        <w:rPr>
          <w:color w:val="000000" w:themeColor="text1"/>
        </w:rPr>
        <w:t>).</w:t>
      </w:r>
      <w:r w:rsidR="0007794E" w:rsidRPr="00B67F80">
        <w:rPr>
          <w:color w:val="000000" w:themeColor="text1"/>
        </w:rPr>
        <w:t xml:space="preserve"> </w:t>
      </w:r>
      <w:r w:rsidR="00010C6E" w:rsidRPr="00B67F80">
        <w:rPr>
          <w:color w:val="000000" w:themeColor="text1"/>
        </w:rPr>
        <w:t>Anomalies for ORAS5 and ORAP6.1 are similar and show a correlation of 0.5. In contrast, ORAP6-ctrl show</w:t>
      </w:r>
      <w:r w:rsidR="007953C5" w:rsidRPr="00B67F80">
        <w:rPr>
          <w:color w:val="000000" w:themeColor="text1"/>
        </w:rPr>
        <w:t>s</w:t>
      </w:r>
      <w:r w:rsidR="00010C6E" w:rsidRPr="00B67F80">
        <w:rPr>
          <w:color w:val="000000" w:themeColor="text1"/>
        </w:rPr>
        <w:t xml:space="preserve"> </w:t>
      </w:r>
      <w:r w:rsidR="000D07E5" w:rsidRPr="00B67F80">
        <w:rPr>
          <w:color w:val="000000" w:themeColor="text1"/>
        </w:rPr>
        <w:lastRenderedPageBreak/>
        <w:t xml:space="preserve">much </w:t>
      </w:r>
      <w:r w:rsidR="00010C6E" w:rsidRPr="00B67F80">
        <w:rPr>
          <w:color w:val="000000" w:themeColor="text1"/>
        </w:rPr>
        <w:t>weaker variability than the other two reanalyses, with a monthly standard deviation that is 3</w:t>
      </w:r>
      <w:r w:rsidR="00A75FC7" w:rsidRPr="00B67F80">
        <w:rPr>
          <w:color w:val="000000" w:themeColor="text1"/>
        </w:rPr>
        <w:t>8</w:t>
      </w:r>
      <w:r w:rsidR="00010C6E" w:rsidRPr="00B67F80">
        <w:rPr>
          <w:color w:val="000000" w:themeColor="text1"/>
        </w:rPr>
        <w:t>% smaller than ORAP6.1</w:t>
      </w:r>
      <w:r w:rsidR="003430CC" w:rsidRPr="00B67F80">
        <w:rPr>
          <w:color w:val="000000" w:themeColor="text1"/>
        </w:rPr>
        <w:t>,</w:t>
      </w:r>
      <w:r w:rsidR="00010C6E" w:rsidRPr="00B67F80">
        <w:rPr>
          <w:color w:val="000000" w:themeColor="text1"/>
        </w:rPr>
        <w:t xml:space="preserve"> and a correlation with ORAP6.1 of only 0.31.</w:t>
      </w:r>
      <w:r w:rsidR="009A7F43" w:rsidRPr="00B67F80">
        <w:rPr>
          <w:color w:val="000000" w:themeColor="text1"/>
        </w:rPr>
        <w:t xml:space="preserve"> This implies that assimilating more data significantly increases higher-frequency variability. </w:t>
      </w:r>
      <w:r w:rsidR="006D19B9" w:rsidRPr="00B67F80">
        <w:rPr>
          <w:color w:val="000000" w:themeColor="text1"/>
        </w:rPr>
        <w:t>ORAP6.1 shows</w:t>
      </w:r>
      <w:r w:rsidR="000D07E5" w:rsidRPr="00B67F80">
        <w:rPr>
          <w:color w:val="000000" w:themeColor="text1"/>
        </w:rPr>
        <w:t xml:space="preserve"> a sudden decrease </w:t>
      </w:r>
      <w:r w:rsidR="000D2B4D" w:rsidRPr="00B67F80">
        <w:rPr>
          <w:color w:val="000000" w:themeColor="text1"/>
        </w:rPr>
        <w:t xml:space="preserve">around 2005 (Fig. 7b) </w:t>
      </w:r>
      <w:r w:rsidR="000D07E5" w:rsidRPr="00B67F80">
        <w:rPr>
          <w:color w:val="000000" w:themeColor="text1"/>
        </w:rPr>
        <w:t>that is not apparent in ORAS5 or ORAP6.1-ctrl.</w:t>
      </w:r>
      <w:r w:rsidR="00354696" w:rsidRPr="00B67F80">
        <w:rPr>
          <w:color w:val="000000" w:themeColor="text1"/>
        </w:rPr>
        <w:t xml:space="preserve"> </w:t>
      </w:r>
      <w:r w:rsidR="009C01BD" w:rsidRPr="00B67F80">
        <w:rPr>
          <w:color w:val="000000" w:themeColor="text1"/>
        </w:rPr>
        <w:t>This dip causes</w:t>
      </w:r>
      <w:r w:rsidR="00760E36" w:rsidRPr="00B67F80">
        <w:rPr>
          <w:color w:val="000000" w:themeColor="text1"/>
        </w:rPr>
        <w:t xml:space="preserve"> </w:t>
      </w:r>
      <w:r w:rsidR="009C01BD" w:rsidRPr="00B67F80">
        <w:rPr>
          <w:color w:val="000000" w:themeColor="text1"/>
        </w:rPr>
        <w:t xml:space="preserve">the </w:t>
      </w:r>
      <w:r w:rsidR="00760E36" w:rsidRPr="00B67F80">
        <w:rPr>
          <w:color w:val="000000" w:themeColor="text1"/>
        </w:rPr>
        <w:t xml:space="preserve">trend in ORAP6.1 for 07/2005-12/2019 </w:t>
      </w:r>
      <w:r w:rsidR="00450BBC" w:rsidRPr="00B67F80">
        <w:rPr>
          <w:color w:val="000000" w:themeColor="text1"/>
        </w:rPr>
        <w:t xml:space="preserve">(Table 4) </w:t>
      </w:r>
      <w:r w:rsidR="009C01BD" w:rsidRPr="00B67F80">
        <w:rPr>
          <w:color w:val="000000" w:themeColor="text1"/>
        </w:rPr>
        <w:t>to</w:t>
      </w:r>
      <w:r w:rsidR="00760E36" w:rsidRPr="00B67F80">
        <w:rPr>
          <w:color w:val="000000" w:themeColor="text1"/>
        </w:rPr>
        <w:t xml:space="preserve"> </w:t>
      </w:r>
      <w:r w:rsidR="009C01BD" w:rsidRPr="00B67F80">
        <w:rPr>
          <w:color w:val="000000" w:themeColor="text1"/>
        </w:rPr>
        <w:t xml:space="preserve">be </w:t>
      </w:r>
      <w:r w:rsidR="00760E36" w:rsidRPr="00B67F80">
        <w:rPr>
          <w:color w:val="000000" w:themeColor="text1"/>
        </w:rPr>
        <w:t xml:space="preserve">much larger </w:t>
      </w:r>
      <w:r w:rsidR="00450BBC" w:rsidRPr="00B67F80">
        <w:rPr>
          <w:color w:val="000000" w:themeColor="text1"/>
        </w:rPr>
        <w:t>than</w:t>
      </w:r>
      <w:r w:rsidR="00760E36" w:rsidRPr="00B67F80">
        <w:rPr>
          <w:color w:val="000000" w:themeColor="text1"/>
        </w:rPr>
        <w:t xml:space="preserve"> </w:t>
      </w:r>
      <w:r w:rsidR="002E5287" w:rsidRPr="00B67F80">
        <w:rPr>
          <w:color w:val="000000" w:themeColor="text1"/>
        </w:rPr>
        <w:t>for 0</w:t>
      </w:r>
      <w:r w:rsidR="00450BBC" w:rsidRPr="00B67F80">
        <w:rPr>
          <w:color w:val="000000" w:themeColor="text1"/>
        </w:rPr>
        <w:t>3</w:t>
      </w:r>
      <w:r w:rsidR="002E5287" w:rsidRPr="00B67F80">
        <w:rPr>
          <w:color w:val="000000" w:themeColor="text1"/>
        </w:rPr>
        <w:t>/2000-02/2020 (Table 3).</w:t>
      </w:r>
      <w:r w:rsidR="00760E36" w:rsidRPr="00B67F80">
        <w:rPr>
          <w:color w:val="000000" w:themeColor="text1"/>
        </w:rPr>
        <w:t xml:space="preserve"> </w:t>
      </w:r>
      <w:r w:rsidR="006B3463" w:rsidRPr="00B67F80">
        <w:rPr>
          <w:color w:val="000000" w:themeColor="text1"/>
        </w:rPr>
        <w:t>T</w:t>
      </w:r>
      <w:r w:rsidR="00C11029" w:rsidRPr="00B67F80">
        <w:rPr>
          <w:color w:val="000000" w:themeColor="text1"/>
        </w:rPr>
        <w:t xml:space="preserve">he </w:t>
      </w:r>
      <w:r w:rsidR="00EE16E1" w:rsidRPr="00B67F80">
        <w:rPr>
          <w:color w:val="000000" w:themeColor="text1"/>
        </w:rPr>
        <w:t xml:space="preserve">dip in ORAP6.1 </w:t>
      </w:r>
      <w:r w:rsidR="00C11029" w:rsidRPr="00B67F80">
        <w:rPr>
          <w:color w:val="000000" w:themeColor="text1"/>
        </w:rPr>
        <w:t xml:space="preserve">is likely caused by </w:t>
      </w:r>
      <w:r w:rsidR="005E1076" w:rsidRPr="00B67F80">
        <w:rPr>
          <w:color w:val="000000" w:themeColor="text1"/>
        </w:rPr>
        <w:t>the</w:t>
      </w:r>
      <w:r w:rsidR="00C11029" w:rsidRPr="00B67F80">
        <w:rPr>
          <w:color w:val="000000" w:themeColor="text1"/>
        </w:rPr>
        <w:t xml:space="preserve"> model bias correction method. </w:t>
      </w:r>
      <w:r w:rsidR="006912D9" w:rsidRPr="00B67F80">
        <w:rPr>
          <w:color w:val="000000" w:themeColor="text1"/>
        </w:rPr>
        <w:t>Prior to 2005, ORAP6.1</w:t>
      </w:r>
      <w:r w:rsidR="003579FD" w:rsidRPr="00B67F80">
        <w:rPr>
          <w:color w:val="000000" w:themeColor="text1"/>
        </w:rPr>
        <w:t xml:space="preserve"> heating rates are </w:t>
      </w:r>
      <w:proofErr w:type="gramStart"/>
      <w:r w:rsidR="003579FD" w:rsidRPr="00B67F80">
        <w:rPr>
          <w:color w:val="000000" w:themeColor="text1"/>
        </w:rPr>
        <w:t>similar to</w:t>
      </w:r>
      <w:proofErr w:type="gramEnd"/>
      <w:r w:rsidR="003579FD" w:rsidRPr="00B67F80">
        <w:rPr>
          <w:color w:val="000000" w:themeColor="text1"/>
        </w:rPr>
        <w:t xml:space="preserve"> </w:t>
      </w:r>
      <w:r w:rsidR="00361131" w:rsidRPr="00B67F80">
        <w:rPr>
          <w:color w:val="000000" w:themeColor="text1"/>
        </w:rPr>
        <w:t>ORAS5,</w:t>
      </w:r>
      <w:r w:rsidR="003579FD" w:rsidRPr="00B67F80">
        <w:rPr>
          <w:color w:val="000000" w:themeColor="text1"/>
        </w:rPr>
        <w:t xml:space="preserve"> but </w:t>
      </w:r>
      <w:r w:rsidR="009259AF" w:rsidRPr="00B67F80">
        <w:rPr>
          <w:color w:val="000000" w:themeColor="text1"/>
        </w:rPr>
        <w:t xml:space="preserve">ocean </w:t>
      </w:r>
      <w:r w:rsidR="003579FD" w:rsidRPr="00B67F80">
        <w:rPr>
          <w:color w:val="000000" w:themeColor="text1"/>
        </w:rPr>
        <w:t>temperatures</w:t>
      </w:r>
      <w:r w:rsidR="006912D9" w:rsidRPr="00B67F80">
        <w:rPr>
          <w:color w:val="000000" w:themeColor="text1"/>
        </w:rPr>
        <w:t xml:space="preserve"> </w:t>
      </w:r>
      <w:r w:rsidR="003579FD" w:rsidRPr="00B67F80">
        <w:rPr>
          <w:color w:val="000000" w:themeColor="text1"/>
        </w:rPr>
        <w:t>are</w:t>
      </w:r>
      <w:r w:rsidR="006912D9" w:rsidRPr="00B67F80">
        <w:rPr>
          <w:color w:val="000000" w:themeColor="text1"/>
        </w:rPr>
        <w:t xml:space="preserve"> </w:t>
      </w:r>
      <w:r w:rsidR="00EE16E1" w:rsidRPr="00B67F80">
        <w:rPr>
          <w:color w:val="000000" w:themeColor="text1"/>
        </w:rPr>
        <w:t xml:space="preserve">much </w:t>
      </w:r>
      <w:r w:rsidR="006912D9" w:rsidRPr="00B67F80">
        <w:rPr>
          <w:color w:val="000000" w:themeColor="text1"/>
        </w:rPr>
        <w:t>warmer than ORAS5 in the Southern Ocean.</w:t>
      </w:r>
      <w:r w:rsidR="006B3463" w:rsidRPr="00B67F80">
        <w:rPr>
          <w:color w:val="000000" w:themeColor="text1"/>
        </w:rPr>
        <w:t xml:space="preserve"> When Argo data are </w:t>
      </w:r>
      <w:r w:rsidR="00EE16E1" w:rsidRPr="00B67F80">
        <w:rPr>
          <w:color w:val="000000" w:themeColor="text1"/>
        </w:rPr>
        <w:t>assimilated</w:t>
      </w:r>
      <w:r w:rsidR="006B3463" w:rsidRPr="00B67F80">
        <w:rPr>
          <w:color w:val="000000" w:themeColor="text1"/>
        </w:rPr>
        <w:t xml:space="preserve">, the </w:t>
      </w:r>
      <w:r w:rsidR="00EE16E1" w:rsidRPr="00B67F80">
        <w:rPr>
          <w:color w:val="000000" w:themeColor="text1"/>
        </w:rPr>
        <w:t xml:space="preserve">ORAP6.1 </w:t>
      </w:r>
      <w:r w:rsidR="006B3463" w:rsidRPr="00B67F80">
        <w:rPr>
          <w:color w:val="000000" w:themeColor="text1"/>
        </w:rPr>
        <w:t>data assimilation increment cool</w:t>
      </w:r>
      <w:r w:rsidR="000570CB" w:rsidRPr="00B67F80">
        <w:rPr>
          <w:color w:val="000000" w:themeColor="text1"/>
        </w:rPr>
        <w:t>s</w:t>
      </w:r>
      <w:r w:rsidR="006B3463" w:rsidRPr="00B67F80">
        <w:rPr>
          <w:color w:val="000000" w:themeColor="text1"/>
        </w:rPr>
        <w:t xml:space="preserve"> the ocean, causing a </w:t>
      </w:r>
      <w:r w:rsidR="00EB5704" w:rsidRPr="00B67F80">
        <w:rPr>
          <w:color w:val="000000" w:themeColor="text1"/>
        </w:rPr>
        <w:t>sudden decrease</w:t>
      </w:r>
      <w:r w:rsidR="006B3463" w:rsidRPr="00B67F80">
        <w:rPr>
          <w:color w:val="000000" w:themeColor="text1"/>
        </w:rPr>
        <w:t xml:space="preserve"> in </w:t>
      </w:r>
      <w:r w:rsidR="00EB5704" w:rsidRPr="00B67F80">
        <w:rPr>
          <w:color w:val="000000" w:themeColor="text1"/>
        </w:rPr>
        <w:t xml:space="preserve">ocean </w:t>
      </w:r>
      <w:r w:rsidR="006B3463" w:rsidRPr="00B67F80">
        <w:rPr>
          <w:color w:val="000000" w:themeColor="text1"/>
        </w:rPr>
        <w:t>heating rate around 2005.</w:t>
      </w:r>
      <w:r w:rsidR="00C11029" w:rsidRPr="00B67F80">
        <w:rPr>
          <w:color w:val="000000" w:themeColor="text1"/>
        </w:rPr>
        <w:t xml:space="preserve"> </w:t>
      </w:r>
      <w:r w:rsidR="006B3463" w:rsidRPr="00B67F80">
        <w:rPr>
          <w:color w:val="000000" w:themeColor="text1"/>
        </w:rPr>
        <w:t>This</w:t>
      </w:r>
      <w:r w:rsidR="00EB5704" w:rsidRPr="00B67F80">
        <w:rPr>
          <w:color w:val="000000" w:themeColor="text1"/>
        </w:rPr>
        <w:t xml:space="preserve"> problem</w:t>
      </w:r>
      <w:r w:rsidR="006B3463" w:rsidRPr="00B67F80">
        <w:rPr>
          <w:color w:val="000000" w:themeColor="text1"/>
        </w:rPr>
        <w:t xml:space="preserve"> illustrates one of the greatest challenges in ocean reanalyses: how to balance the temporal consistency of the </w:t>
      </w:r>
      <w:r w:rsidR="00A03201" w:rsidRPr="00B67F80">
        <w:rPr>
          <w:color w:val="000000" w:themeColor="text1"/>
        </w:rPr>
        <w:t xml:space="preserve">model simulation </w:t>
      </w:r>
      <w:r w:rsidR="006B3463" w:rsidRPr="00B67F80">
        <w:rPr>
          <w:color w:val="000000" w:themeColor="text1"/>
        </w:rPr>
        <w:t>with the increased accuracy of the state estimation in the data rich period</w:t>
      </w:r>
      <w:r w:rsidR="00EB5704" w:rsidRPr="00B67F80">
        <w:rPr>
          <w:color w:val="000000" w:themeColor="text1"/>
        </w:rPr>
        <w:t>s</w:t>
      </w:r>
      <w:r w:rsidR="00E443B9" w:rsidRPr="00B67F80">
        <w:rPr>
          <w:color w:val="000000" w:themeColor="text1"/>
        </w:rPr>
        <w:t>.</w:t>
      </w:r>
      <w:r w:rsidR="00EB5704" w:rsidRPr="00B67F80">
        <w:rPr>
          <w:color w:val="000000" w:themeColor="text1"/>
        </w:rPr>
        <w:t xml:space="preserve"> </w:t>
      </w:r>
      <w:r w:rsidR="00E443B9" w:rsidRPr="00B67F80">
        <w:rPr>
          <w:color w:val="000000" w:themeColor="text1"/>
        </w:rPr>
        <w:t>Th</w:t>
      </w:r>
      <w:r w:rsidR="000570CB" w:rsidRPr="00B67F80">
        <w:rPr>
          <w:color w:val="000000" w:themeColor="text1"/>
        </w:rPr>
        <w:t>is underscores the need</w:t>
      </w:r>
      <w:r w:rsidR="00E443B9" w:rsidRPr="00B67F80">
        <w:rPr>
          <w:color w:val="000000" w:themeColor="text1"/>
        </w:rPr>
        <w:t xml:space="preserve"> </w:t>
      </w:r>
      <w:r w:rsidR="00EB5704" w:rsidRPr="00B67F80">
        <w:rPr>
          <w:color w:val="000000" w:themeColor="text1"/>
        </w:rPr>
        <w:t>for improved treatment</w:t>
      </w:r>
      <w:r w:rsidR="003704A9" w:rsidRPr="00B67F80">
        <w:rPr>
          <w:color w:val="000000" w:themeColor="text1"/>
        </w:rPr>
        <w:t>s</w:t>
      </w:r>
      <w:r w:rsidR="00EB5704" w:rsidRPr="00B67F80">
        <w:rPr>
          <w:color w:val="000000" w:themeColor="text1"/>
        </w:rPr>
        <w:t xml:space="preserve"> of model error </w:t>
      </w:r>
      <w:r w:rsidR="000570CB" w:rsidRPr="00B67F80">
        <w:rPr>
          <w:color w:val="000000" w:themeColor="text1"/>
        </w:rPr>
        <w:t>i</w:t>
      </w:r>
      <w:r w:rsidR="00EB5704" w:rsidRPr="00B67F80">
        <w:rPr>
          <w:color w:val="000000" w:themeColor="text1"/>
        </w:rPr>
        <w:t>n reanalyses.</w:t>
      </w:r>
    </w:p>
    <w:p w14:paraId="5FD25993" w14:textId="2511A021" w:rsidR="00A649A0" w:rsidRPr="00B67F80" w:rsidRDefault="00AC5A8D" w:rsidP="007C22FA">
      <w:pPr>
        <w:spacing w:line="480" w:lineRule="auto"/>
        <w:ind w:firstLine="720"/>
        <w:jc w:val="both"/>
        <w:rPr>
          <w:color w:val="000000" w:themeColor="text1"/>
        </w:rPr>
      </w:pPr>
      <w:r w:rsidRPr="00B67F80">
        <w:rPr>
          <w:color w:val="000000" w:themeColor="text1"/>
        </w:rPr>
        <w:t>Agreement among g</w:t>
      </w:r>
      <w:r w:rsidR="004829BB" w:rsidRPr="00B67F80">
        <w:rPr>
          <w:color w:val="000000" w:themeColor="text1"/>
        </w:rPr>
        <w:t xml:space="preserve">lobal annual variations in CERES net TOA flux and ocean heating rate for the </w:t>
      </w:r>
      <w:r w:rsidR="00765028" w:rsidRPr="00B67F80">
        <w:rPr>
          <w:color w:val="000000" w:themeColor="text1"/>
        </w:rPr>
        <w:t xml:space="preserve">three </w:t>
      </w:r>
      <w:r w:rsidR="004829BB" w:rsidRPr="00B67F80">
        <w:rPr>
          <w:color w:val="000000" w:themeColor="text1"/>
        </w:rPr>
        <w:t>ocean reanalyses, Argo-only</w:t>
      </w:r>
      <w:r w:rsidRPr="00B67F80">
        <w:rPr>
          <w:color w:val="000000" w:themeColor="text1"/>
        </w:rPr>
        <w:t>,</w:t>
      </w:r>
      <w:r w:rsidR="004829BB" w:rsidRPr="00B67F80">
        <w:rPr>
          <w:color w:val="000000" w:themeColor="text1"/>
        </w:rPr>
        <w:t xml:space="preserve"> and combined Argo and </w:t>
      </w:r>
      <w:r w:rsidR="00D44BDE" w:rsidRPr="00B67F80">
        <w:rPr>
          <w:color w:val="000000" w:themeColor="text1"/>
        </w:rPr>
        <w:t xml:space="preserve">satellite altimetry data </w:t>
      </w:r>
      <w:r w:rsidR="004829BB" w:rsidRPr="00B67F80">
        <w:rPr>
          <w:color w:val="000000" w:themeColor="text1"/>
        </w:rPr>
        <w:t>(Argo+SA)</w:t>
      </w:r>
      <w:r w:rsidR="00D44BDE" w:rsidRPr="00B67F80">
        <w:rPr>
          <w:color w:val="000000" w:themeColor="text1"/>
        </w:rPr>
        <w:t xml:space="preserve"> </w:t>
      </w:r>
      <w:r w:rsidRPr="00B67F80">
        <w:rPr>
          <w:color w:val="000000" w:themeColor="text1"/>
        </w:rPr>
        <w:t>is mixed (</w:t>
      </w:r>
      <w:r w:rsidR="004829BB" w:rsidRPr="00B67F80">
        <w:rPr>
          <w:color w:val="000000" w:themeColor="text1"/>
        </w:rPr>
        <w:t>Fig</w:t>
      </w:r>
      <w:r w:rsidR="007953C5" w:rsidRPr="00B67F80">
        <w:rPr>
          <w:color w:val="000000" w:themeColor="text1"/>
        </w:rPr>
        <w:t>s</w:t>
      </w:r>
      <w:r w:rsidR="004829BB" w:rsidRPr="00B67F80">
        <w:rPr>
          <w:color w:val="000000" w:themeColor="text1"/>
        </w:rPr>
        <w:t xml:space="preserve">. </w:t>
      </w:r>
      <w:r w:rsidR="00154DE4" w:rsidRPr="00B67F80">
        <w:rPr>
          <w:color w:val="000000" w:themeColor="text1"/>
        </w:rPr>
        <w:t>8</w:t>
      </w:r>
      <w:r w:rsidR="007953C5" w:rsidRPr="00B67F80">
        <w:rPr>
          <w:color w:val="000000" w:themeColor="text1"/>
        </w:rPr>
        <w:t>a-e</w:t>
      </w:r>
      <w:r w:rsidRPr="00B67F80">
        <w:rPr>
          <w:color w:val="000000" w:themeColor="text1"/>
        </w:rPr>
        <w:t>)</w:t>
      </w:r>
      <w:r w:rsidR="00FE04B3" w:rsidRPr="00B67F80">
        <w:rPr>
          <w:color w:val="000000" w:themeColor="text1"/>
        </w:rPr>
        <w:t>.</w:t>
      </w:r>
      <w:r w:rsidR="009C01BD" w:rsidRPr="00B67F80">
        <w:rPr>
          <w:color w:val="000000" w:themeColor="text1"/>
        </w:rPr>
        <w:t xml:space="preserve"> </w:t>
      </w:r>
      <w:r w:rsidR="00765028" w:rsidRPr="00B67F80">
        <w:rPr>
          <w:color w:val="000000" w:themeColor="text1"/>
        </w:rPr>
        <w:t xml:space="preserve">Of the three reanalyses (Figs. </w:t>
      </w:r>
      <w:r w:rsidR="00154DE4" w:rsidRPr="00B67F80">
        <w:rPr>
          <w:color w:val="000000" w:themeColor="text1"/>
        </w:rPr>
        <w:t>8</w:t>
      </w:r>
      <w:r w:rsidR="00765028" w:rsidRPr="00B67F80">
        <w:rPr>
          <w:color w:val="000000" w:themeColor="text1"/>
        </w:rPr>
        <w:t>a-c), ORAP6-ctrl provides the best agreement with CERES</w:t>
      </w:r>
      <w:r w:rsidR="00A860F6" w:rsidRPr="00B67F80">
        <w:rPr>
          <w:color w:val="000000" w:themeColor="text1"/>
        </w:rPr>
        <w:t xml:space="preserve"> </w:t>
      </w:r>
      <w:r w:rsidR="00C54A20" w:rsidRPr="00B67F80">
        <w:rPr>
          <w:color w:val="000000" w:themeColor="text1"/>
        </w:rPr>
        <w:t>prior to</w:t>
      </w:r>
      <w:r w:rsidR="00A860F6" w:rsidRPr="00B67F80">
        <w:rPr>
          <w:color w:val="000000" w:themeColor="text1"/>
        </w:rPr>
        <w:t xml:space="preserve"> 2013</w:t>
      </w:r>
      <w:r w:rsidR="00C54A20" w:rsidRPr="00B67F80">
        <w:rPr>
          <w:color w:val="000000" w:themeColor="text1"/>
        </w:rPr>
        <w:t xml:space="preserve">. After </w:t>
      </w:r>
      <w:r w:rsidR="00A649A0" w:rsidRPr="00B67F80">
        <w:rPr>
          <w:color w:val="000000" w:themeColor="text1"/>
        </w:rPr>
        <w:t>2013</w:t>
      </w:r>
      <w:r w:rsidR="00C54A20" w:rsidRPr="00B67F80">
        <w:rPr>
          <w:color w:val="000000" w:themeColor="text1"/>
        </w:rPr>
        <w:t>,</w:t>
      </w:r>
      <w:r w:rsidR="00A860F6" w:rsidRPr="00B67F80">
        <w:rPr>
          <w:color w:val="000000" w:themeColor="text1"/>
        </w:rPr>
        <w:t xml:space="preserve"> </w:t>
      </w:r>
      <w:r w:rsidR="00C54A20" w:rsidRPr="00B67F80">
        <w:rPr>
          <w:color w:val="000000" w:themeColor="text1"/>
        </w:rPr>
        <w:t xml:space="preserve">ORAP6-ctrl ocean heating rates are </w:t>
      </w:r>
      <w:r w:rsidR="00F66721" w:rsidRPr="00B67F80">
        <w:rPr>
          <w:color w:val="000000" w:themeColor="text1"/>
        </w:rPr>
        <w:t>smaller</w:t>
      </w:r>
      <w:r w:rsidR="00C54A20" w:rsidRPr="00B67F80">
        <w:rPr>
          <w:color w:val="000000" w:themeColor="text1"/>
        </w:rPr>
        <w:t xml:space="preserve"> than those for ORAS5 and ORAP6.1, </w:t>
      </w:r>
      <w:r w:rsidR="00AA2C15" w:rsidRPr="00B67F80">
        <w:rPr>
          <w:color w:val="000000" w:themeColor="text1"/>
        </w:rPr>
        <w:t>which</w:t>
      </w:r>
      <w:r w:rsidR="00C54A20" w:rsidRPr="00B67F80">
        <w:rPr>
          <w:color w:val="000000" w:themeColor="text1"/>
        </w:rPr>
        <w:t xml:space="preserve"> show better agreement with CERES</w:t>
      </w:r>
      <w:r w:rsidR="00DD670A" w:rsidRPr="00B67F80">
        <w:rPr>
          <w:color w:val="000000" w:themeColor="text1"/>
        </w:rPr>
        <w:t xml:space="preserve"> </w:t>
      </w:r>
      <w:r w:rsidR="0040017D" w:rsidRPr="00B67F80">
        <w:rPr>
          <w:color w:val="000000" w:themeColor="text1"/>
        </w:rPr>
        <w:t>for</w:t>
      </w:r>
      <w:r w:rsidR="00DD670A" w:rsidRPr="00B67F80">
        <w:rPr>
          <w:color w:val="000000" w:themeColor="text1"/>
        </w:rPr>
        <w:t xml:space="preserve"> that period</w:t>
      </w:r>
      <w:r w:rsidR="00C54A20" w:rsidRPr="00B67F80">
        <w:rPr>
          <w:color w:val="000000" w:themeColor="text1"/>
        </w:rPr>
        <w:t xml:space="preserve">. </w:t>
      </w:r>
      <w:r w:rsidR="007C22FA" w:rsidRPr="00B67F80">
        <w:rPr>
          <w:color w:val="000000" w:themeColor="text1"/>
        </w:rPr>
        <w:t>This suggest</w:t>
      </w:r>
      <w:r w:rsidR="001A35D0" w:rsidRPr="00B67F80">
        <w:rPr>
          <w:color w:val="000000" w:themeColor="text1"/>
        </w:rPr>
        <w:t>s</w:t>
      </w:r>
      <w:r w:rsidR="007C22FA" w:rsidRPr="00B67F80">
        <w:rPr>
          <w:color w:val="000000" w:themeColor="text1"/>
        </w:rPr>
        <w:t xml:space="preserve"> that surface forcing and SST information alone are sufficient to estimate ocean heating rate variability during some periods, but in other periods subsurface information </w:t>
      </w:r>
      <w:r w:rsidR="007953C5" w:rsidRPr="00B67F80">
        <w:rPr>
          <w:color w:val="000000" w:themeColor="text1"/>
        </w:rPr>
        <w:t>may be necessary</w:t>
      </w:r>
      <w:r w:rsidR="007C22FA" w:rsidRPr="00B67F80">
        <w:rPr>
          <w:color w:val="000000" w:themeColor="text1"/>
        </w:rPr>
        <w:t xml:space="preserve">. </w:t>
      </w:r>
      <w:r w:rsidR="00E9724E" w:rsidRPr="00B67F80">
        <w:rPr>
          <w:color w:val="000000" w:themeColor="text1"/>
        </w:rPr>
        <w:t xml:space="preserve">When only Argo data are considered, annual variations are very noisy (Fig. </w:t>
      </w:r>
      <w:r w:rsidR="00154DE4" w:rsidRPr="00B67F80">
        <w:rPr>
          <w:color w:val="000000" w:themeColor="text1"/>
        </w:rPr>
        <w:t>8</w:t>
      </w:r>
      <w:r w:rsidR="00E9724E" w:rsidRPr="00B67F80">
        <w:rPr>
          <w:color w:val="000000" w:themeColor="text1"/>
        </w:rPr>
        <w:t>d).</w:t>
      </w:r>
      <w:r w:rsidR="003A5BCF" w:rsidRPr="00B67F80">
        <w:rPr>
          <w:color w:val="000000" w:themeColor="text1"/>
        </w:rPr>
        <w:t xml:space="preserve"> </w:t>
      </w:r>
      <w:r w:rsidRPr="00B67F80">
        <w:rPr>
          <w:color w:val="000000" w:themeColor="text1"/>
        </w:rPr>
        <w:t>T</w:t>
      </w:r>
      <w:r w:rsidR="003A5BCF" w:rsidRPr="00B67F80">
        <w:rPr>
          <w:color w:val="000000" w:themeColor="text1"/>
        </w:rPr>
        <w:t xml:space="preserve">he variability is much greater for 0-2000 m than 0-700 m, a finding also noted in Trenberth et al. (2016). </w:t>
      </w:r>
      <w:r w:rsidR="00E9724E" w:rsidRPr="00B67F80">
        <w:rPr>
          <w:color w:val="000000" w:themeColor="text1"/>
        </w:rPr>
        <w:t xml:space="preserve">The noise is significantly reduced when Argo and satellite altimetry data are combined </w:t>
      </w:r>
      <w:r w:rsidR="00E9724E" w:rsidRPr="00B67F80">
        <w:rPr>
          <w:color w:val="000000" w:themeColor="text1"/>
        </w:rPr>
        <w:lastRenderedPageBreak/>
        <w:t xml:space="preserve">(Fig. </w:t>
      </w:r>
      <w:r w:rsidR="00273322" w:rsidRPr="00B67F80">
        <w:rPr>
          <w:color w:val="000000" w:themeColor="text1"/>
        </w:rPr>
        <w:t>8</w:t>
      </w:r>
      <w:r w:rsidR="00E9724E" w:rsidRPr="00B67F80">
        <w:rPr>
          <w:color w:val="000000" w:themeColor="text1"/>
        </w:rPr>
        <w:t>e).</w:t>
      </w:r>
      <w:r w:rsidR="00662E37" w:rsidRPr="00B67F80">
        <w:rPr>
          <w:color w:val="000000" w:themeColor="text1"/>
        </w:rPr>
        <w:t xml:space="preserve"> Nevertheless, the Argo-only and Argo+SA</w:t>
      </w:r>
      <w:r w:rsidR="00595CF1" w:rsidRPr="00B67F80">
        <w:rPr>
          <w:color w:val="000000" w:themeColor="text1"/>
        </w:rPr>
        <w:t xml:space="preserve"> global</w:t>
      </w:r>
      <w:r w:rsidR="00662E37" w:rsidRPr="00B67F80">
        <w:rPr>
          <w:color w:val="000000" w:themeColor="text1"/>
        </w:rPr>
        <w:t xml:space="preserve"> trends are similar to CERES</w:t>
      </w:r>
      <w:r w:rsidR="00924545" w:rsidRPr="00B67F80">
        <w:rPr>
          <w:color w:val="000000" w:themeColor="text1"/>
        </w:rPr>
        <w:t xml:space="preserve"> while ORAP5 and ORAP6-ctrl</w:t>
      </w:r>
      <w:r w:rsidR="00662E37" w:rsidRPr="00B67F80">
        <w:rPr>
          <w:color w:val="000000" w:themeColor="text1"/>
        </w:rPr>
        <w:t xml:space="preserve"> </w:t>
      </w:r>
      <w:r w:rsidR="00924545" w:rsidRPr="00B67F80">
        <w:rPr>
          <w:color w:val="000000" w:themeColor="text1"/>
        </w:rPr>
        <w:t>show weaker trends</w:t>
      </w:r>
      <w:r w:rsidR="00A03BBE" w:rsidRPr="00B67F80">
        <w:rPr>
          <w:color w:val="000000" w:themeColor="text1"/>
        </w:rPr>
        <w:t xml:space="preserve"> (Tables 1 and 4)</w:t>
      </w:r>
      <w:r w:rsidR="005D2B63" w:rsidRPr="00B67F80">
        <w:rPr>
          <w:color w:val="000000" w:themeColor="text1"/>
        </w:rPr>
        <w:t>. As noted earlier, ORAP6.1 trends are much larger due to the discontinuity around 2005</w:t>
      </w:r>
      <w:r w:rsidR="00924545" w:rsidRPr="00B67F80">
        <w:rPr>
          <w:color w:val="000000" w:themeColor="text1"/>
        </w:rPr>
        <w:t>.</w:t>
      </w:r>
      <w:r w:rsidR="00595CF1" w:rsidRPr="00B67F80">
        <w:rPr>
          <w:color w:val="000000" w:themeColor="text1"/>
        </w:rPr>
        <w:t xml:space="preserve"> </w:t>
      </w:r>
    </w:p>
    <w:p w14:paraId="1028572E" w14:textId="46EEC3CA" w:rsidR="005050DB" w:rsidRPr="00B67F80" w:rsidRDefault="002731D0" w:rsidP="00B52345">
      <w:pPr>
        <w:spacing w:line="480" w:lineRule="auto"/>
        <w:ind w:firstLine="720"/>
        <w:jc w:val="both"/>
        <w:rPr>
          <w:color w:val="000000" w:themeColor="text1"/>
        </w:rPr>
      </w:pPr>
      <w:r w:rsidRPr="00B67F80">
        <w:rPr>
          <w:color w:val="000000" w:themeColor="text1"/>
        </w:rPr>
        <w:t>Except for</w:t>
      </w:r>
      <w:r w:rsidR="00E26DC8" w:rsidRPr="00B67F80">
        <w:rPr>
          <w:color w:val="000000" w:themeColor="text1"/>
        </w:rPr>
        <w:t xml:space="preserve"> ORAP6.1, </w:t>
      </w:r>
      <w:r w:rsidRPr="00B67F80">
        <w:rPr>
          <w:color w:val="000000" w:themeColor="text1"/>
        </w:rPr>
        <w:t>all</w:t>
      </w:r>
      <w:r w:rsidR="00E26DC8" w:rsidRPr="00B67F80">
        <w:rPr>
          <w:color w:val="000000" w:themeColor="text1"/>
        </w:rPr>
        <w:t xml:space="preserve"> the datasets show larger hemispheric mean ocean heating rates for the SH than the NH</w:t>
      </w:r>
      <w:r w:rsidR="0040017D" w:rsidRPr="00B67F80">
        <w:rPr>
          <w:color w:val="000000" w:themeColor="text1"/>
        </w:rPr>
        <w:t xml:space="preserve"> for 07/2005-12/2019</w:t>
      </w:r>
      <w:r w:rsidR="00E26DC8" w:rsidRPr="00B67F80">
        <w:rPr>
          <w:color w:val="000000" w:themeColor="text1"/>
        </w:rPr>
        <w:t xml:space="preserve"> (Table 4). </w:t>
      </w:r>
      <w:r w:rsidR="008B5733" w:rsidRPr="00B67F80">
        <w:rPr>
          <w:color w:val="000000" w:themeColor="text1"/>
        </w:rPr>
        <w:t>Overall</w:t>
      </w:r>
      <w:r w:rsidR="00216100" w:rsidRPr="00B67F80">
        <w:rPr>
          <w:color w:val="000000" w:themeColor="text1"/>
        </w:rPr>
        <w:t>, ORAS6-ctrl show</w:t>
      </w:r>
      <w:r w:rsidR="007953C5" w:rsidRPr="00B67F80">
        <w:rPr>
          <w:color w:val="000000" w:themeColor="text1"/>
        </w:rPr>
        <w:t>s</w:t>
      </w:r>
      <w:r w:rsidR="00216100" w:rsidRPr="00B67F80">
        <w:rPr>
          <w:color w:val="000000" w:themeColor="text1"/>
        </w:rPr>
        <w:t xml:space="preserve"> the best agreement with Argo and Argo+SA</w:t>
      </w:r>
      <w:r w:rsidR="002643DB" w:rsidRPr="00B67F80">
        <w:rPr>
          <w:color w:val="000000" w:themeColor="text1"/>
        </w:rPr>
        <w:t xml:space="preserve">. </w:t>
      </w:r>
      <w:r w:rsidR="004673CE" w:rsidRPr="00B67F80">
        <w:rPr>
          <w:color w:val="000000" w:themeColor="text1"/>
        </w:rPr>
        <w:t>For ORAP6.1, the SH heating rate is a factor of 2.5 smaller than the NH value</w:t>
      </w:r>
      <w:r w:rsidR="007953C5" w:rsidRPr="00B67F80">
        <w:rPr>
          <w:color w:val="000000" w:themeColor="text1"/>
        </w:rPr>
        <w:t>,</w:t>
      </w:r>
      <w:r w:rsidR="0026696E" w:rsidRPr="00B67F80">
        <w:rPr>
          <w:color w:val="000000" w:themeColor="text1"/>
        </w:rPr>
        <w:t xml:space="preserve"> and</w:t>
      </w:r>
      <w:r w:rsidR="004673CE" w:rsidRPr="00B67F80">
        <w:rPr>
          <w:color w:val="000000" w:themeColor="text1"/>
        </w:rPr>
        <w:t xml:space="preserve"> </w:t>
      </w:r>
      <w:r w:rsidR="008B5733" w:rsidRPr="00B67F80">
        <w:rPr>
          <w:color w:val="000000" w:themeColor="text1"/>
        </w:rPr>
        <w:t xml:space="preserve">a factor of 3 smaller </w:t>
      </w:r>
      <w:r w:rsidR="0026696E" w:rsidRPr="00B67F80">
        <w:rPr>
          <w:color w:val="000000" w:themeColor="text1"/>
        </w:rPr>
        <w:t>compared</w:t>
      </w:r>
      <w:r w:rsidR="008B5733" w:rsidRPr="00B67F80">
        <w:rPr>
          <w:color w:val="000000" w:themeColor="text1"/>
        </w:rPr>
        <w:t xml:space="preserve"> </w:t>
      </w:r>
      <w:r w:rsidR="0026696E" w:rsidRPr="00B67F80">
        <w:rPr>
          <w:color w:val="000000" w:themeColor="text1"/>
        </w:rPr>
        <w:t>to</w:t>
      </w:r>
      <w:r w:rsidR="008B5733" w:rsidRPr="00B67F80">
        <w:rPr>
          <w:color w:val="000000" w:themeColor="text1"/>
        </w:rPr>
        <w:t xml:space="preserve"> the </w:t>
      </w:r>
      <w:r w:rsidR="009A329E" w:rsidRPr="00B67F80">
        <w:rPr>
          <w:color w:val="000000" w:themeColor="text1"/>
        </w:rPr>
        <w:t>SH value</w:t>
      </w:r>
      <w:r w:rsidR="007953C5" w:rsidRPr="00B67F80">
        <w:rPr>
          <w:color w:val="000000" w:themeColor="text1"/>
        </w:rPr>
        <w:t>s</w:t>
      </w:r>
      <w:r w:rsidR="009A329E" w:rsidRPr="00B67F80">
        <w:rPr>
          <w:color w:val="000000" w:themeColor="text1"/>
        </w:rPr>
        <w:t xml:space="preserve"> fr</w:t>
      </w:r>
      <w:r w:rsidR="007953C5" w:rsidRPr="00B67F80">
        <w:rPr>
          <w:color w:val="000000" w:themeColor="text1"/>
        </w:rPr>
        <w:t>om</w:t>
      </w:r>
      <w:r w:rsidR="009A329E" w:rsidRPr="00B67F80">
        <w:rPr>
          <w:color w:val="000000" w:themeColor="text1"/>
        </w:rPr>
        <w:t xml:space="preserve"> the </w:t>
      </w:r>
      <w:r w:rsidR="008B5733" w:rsidRPr="00B67F80">
        <w:rPr>
          <w:color w:val="000000" w:themeColor="text1"/>
        </w:rPr>
        <w:t>other datasets</w:t>
      </w:r>
      <w:r w:rsidR="0026696E" w:rsidRPr="00B67F80">
        <w:rPr>
          <w:color w:val="000000" w:themeColor="text1"/>
        </w:rPr>
        <w:t xml:space="preserve"> in Table 4</w:t>
      </w:r>
      <w:r w:rsidR="008B5733" w:rsidRPr="00B67F80">
        <w:rPr>
          <w:color w:val="000000" w:themeColor="text1"/>
        </w:rPr>
        <w:t>.</w:t>
      </w:r>
      <w:r w:rsidR="0026696E" w:rsidRPr="00B67F80">
        <w:rPr>
          <w:color w:val="000000" w:themeColor="text1"/>
        </w:rPr>
        <w:t xml:space="preserve"> </w:t>
      </w:r>
    </w:p>
    <w:p w14:paraId="28D84292" w14:textId="4F1698BB" w:rsidR="00702C49" w:rsidRPr="00B67F80" w:rsidRDefault="00595CF1" w:rsidP="00E6376A">
      <w:pPr>
        <w:spacing w:line="480" w:lineRule="auto"/>
        <w:ind w:firstLine="720"/>
        <w:jc w:val="both"/>
        <w:rPr>
          <w:color w:val="000000" w:themeColor="text1"/>
        </w:rPr>
      </w:pPr>
      <w:r w:rsidRPr="00B67F80">
        <w:rPr>
          <w:color w:val="000000" w:themeColor="text1"/>
        </w:rPr>
        <w:t>A general consensus amon</w:t>
      </w:r>
      <w:r w:rsidR="00F66721" w:rsidRPr="00B67F80">
        <w:rPr>
          <w:color w:val="000000" w:themeColor="text1"/>
        </w:rPr>
        <w:t>g</w:t>
      </w:r>
      <w:r w:rsidRPr="00B67F80">
        <w:rPr>
          <w:color w:val="000000" w:themeColor="text1"/>
        </w:rPr>
        <w:t xml:space="preserve">st all of the ocean datasets is a tendency for larger trends </w:t>
      </w:r>
      <w:r w:rsidR="00036A96" w:rsidRPr="00B67F80">
        <w:rPr>
          <w:color w:val="000000" w:themeColor="text1"/>
        </w:rPr>
        <w:t xml:space="preserve">in ocean heating rate </w:t>
      </w:r>
      <w:r w:rsidRPr="00B67F80">
        <w:rPr>
          <w:color w:val="000000" w:themeColor="text1"/>
        </w:rPr>
        <w:t>in the NH than the SH after 2005</w:t>
      </w:r>
      <w:r w:rsidR="00F66721" w:rsidRPr="00B67F80">
        <w:rPr>
          <w:color w:val="000000" w:themeColor="text1"/>
        </w:rPr>
        <w:t xml:space="preserve"> (Table 4)</w:t>
      </w:r>
      <w:r w:rsidR="00B52345" w:rsidRPr="00B67F80">
        <w:rPr>
          <w:color w:val="000000" w:themeColor="text1"/>
        </w:rPr>
        <w:t xml:space="preserve">, but there is poor agreement on the magnitude of the trends. </w:t>
      </w:r>
      <w:r w:rsidR="00036A96" w:rsidRPr="00B67F80">
        <w:rPr>
          <w:color w:val="000000" w:themeColor="text1"/>
        </w:rPr>
        <w:t xml:space="preserve">This makes determination of trends in ocean heat transport </w:t>
      </w:r>
      <w:r w:rsidR="00E6376A" w:rsidRPr="00B67F80">
        <w:rPr>
          <w:color w:val="000000" w:themeColor="text1"/>
        </w:rPr>
        <w:t>derived</w:t>
      </w:r>
      <w:r w:rsidR="00036A96" w:rsidRPr="00B67F80">
        <w:rPr>
          <w:color w:val="000000" w:themeColor="text1"/>
        </w:rPr>
        <w:t xml:space="preserve"> a</w:t>
      </w:r>
      <w:r w:rsidR="00E6376A" w:rsidRPr="00B67F80">
        <w:rPr>
          <w:color w:val="000000" w:themeColor="text1"/>
        </w:rPr>
        <w:t>s</w:t>
      </w:r>
      <w:r w:rsidR="00036A96" w:rsidRPr="00B67F80">
        <w:rPr>
          <w:color w:val="000000" w:themeColor="text1"/>
        </w:rPr>
        <w:t xml:space="preserve"> </w:t>
      </w:r>
      <w:r w:rsidR="00E6376A" w:rsidRPr="00B67F80">
        <w:rPr>
          <w:color w:val="000000" w:themeColor="text1"/>
        </w:rPr>
        <w:t xml:space="preserve">a </w:t>
      </w:r>
      <w:r w:rsidR="00036A96" w:rsidRPr="00B67F80">
        <w:rPr>
          <w:color w:val="000000" w:themeColor="text1"/>
        </w:rPr>
        <w:t xml:space="preserve">residual </w:t>
      </w:r>
      <w:r w:rsidR="00E6376A" w:rsidRPr="00B67F80">
        <w:rPr>
          <w:color w:val="000000" w:themeColor="text1"/>
        </w:rPr>
        <w:t>between</w:t>
      </w:r>
      <w:r w:rsidR="00036A96" w:rsidRPr="00B67F80">
        <w:rPr>
          <w:color w:val="000000" w:themeColor="text1"/>
        </w:rPr>
        <w:t xml:space="preserve"> net surface flux and ocean heating rate highly uncertain. </w:t>
      </w:r>
    </w:p>
    <w:p w14:paraId="02EF39FD" w14:textId="1B9176D1" w:rsidR="007C6C5F" w:rsidRPr="00B67F80" w:rsidRDefault="002C77BC" w:rsidP="00DE690E">
      <w:pPr>
        <w:keepNext/>
        <w:spacing w:line="480" w:lineRule="auto"/>
        <w:jc w:val="both"/>
        <w:rPr>
          <w:b/>
          <w:bCs/>
          <w:color w:val="000000" w:themeColor="text1"/>
        </w:rPr>
      </w:pPr>
      <w:r w:rsidRPr="00B67F80">
        <w:rPr>
          <w:b/>
          <w:bCs/>
          <w:color w:val="000000" w:themeColor="text1"/>
        </w:rPr>
        <w:t xml:space="preserve">5. </w:t>
      </w:r>
      <w:r w:rsidR="00702C49" w:rsidRPr="00B67F80">
        <w:rPr>
          <w:b/>
          <w:bCs/>
          <w:color w:val="000000" w:themeColor="text1"/>
        </w:rPr>
        <w:t xml:space="preserve">Summary </w:t>
      </w:r>
    </w:p>
    <w:p w14:paraId="087D85C4" w14:textId="50DA050F" w:rsidR="005D729F" w:rsidRPr="00B67F80" w:rsidRDefault="005D729F" w:rsidP="005D729F">
      <w:pPr>
        <w:spacing w:line="480" w:lineRule="auto"/>
        <w:jc w:val="both"/>
        <w:rPr>
          <w:color w:val="000000" w:themeColor="text1"/>
        </w:rPr>
      </w:pPr>
      <w:r w:rsidRPr="00B67F80">
        <w:rPr>
          <w:color w:val="000000" w:themeColor="text1"/>
        </w:rPr>
        <w:tab/>
      </w:r>
      <w:r w:rsidR="00BD2CD4" w:rsidRPr="00B67F80">
        <w:rPr>
          <w:color w:val="000000" w:themeColor="text1"/>
        </w:rPr>
        <w:t xml:space="preserve">This study uses satellite and atmospheric and oceanic reanalysis datasets to </w:t>
      </w:r>
      <w:r w:rsidR="00E7321B" w:rsidRPr="00B67F80">
        <w:rPr>
          <w:color w:val="000000" w:themeColor="text1"/>
        </w:rPr>
        <w:t xml:space="preserve">address the following question: </w:t>
      </w:r>
      <w:r w:rsidR="00E7321B" w:rsidRPr="00B67F80">
        <w:rPr>
          <w:i/>
          <w:iCs/>
          <w:color w:val="000000" w:themeColor="text1"/>
        </w:rPr>
        <w:t>To what extent can we trust observed 20-year trends in different components of Earth’s energy budget and energy flows within the climate system”.</w:t>
      </w:r>
      <w:r w:rsidR="00E7321B" w:rsidRPr="00B67F80">
        <w:rPr>
          <w:color w:val="000000" w:themeColor="text1"/>
        </w:rPr>
        <w:t xml:space="preserve"> </w:t>
      </w:r>
      <w:r w:rsidR="00BD2CD4" w:rsidRPr="00B67F80">
        <w:rPr>
          <w:color w:val="000000" w:themeColor="text1"/>
        </w:rPr>
        <w:t xml:space="preserve">We focus on trends </w:t>
      </w:r>
      <w:r w:rsidR="00E7321B" w:rsidRPr="00B67F80">
        <w:rPr>
          <w:color w:val="000000" w:themeColor="text1"/>
        </w:rPr>
        <w:t xml:space="preserve">after 2000 </w:t>
      </w:r>
      <w:r w:rsidR="00BD2CD4" w:rsidRPr="00B67F80">
        <w:rPr>
          <w:color w:val="000000" w:themeColor="text1"/>
        </w:rPr>
        <w:t xml:space="preserve">in TOA radiation, </w:t>
      </w:r>
      <w:r w:rsidR="00BD2CD4" w:rsidRPr="00B67F80">
        <w:rPr>
          <w:rFonts w:eastAsiaTheme="minorHAnsi"/>
          <w:color w:val="000000" w:themeColor="text1"/>
        </w:rPr>
        <w:t>TEDIV,</w:t>
      </w:r>
      <w:r w:rsidR="00F43C6A" w:rsidRPr="00B67F80">
        <w:rPr>
          <w:rFonts w:eastAsiaTheme="minorHAnsi"/>
          <w:color w:val="000000" w:themeColor="text1"/>
        </w:rPr>
        <w:t xml:space="preserve"> surface flux</w:t>
      </w:r>
      <w:r w:rsidR="0057740C" w:rsidRPr="00B67F80">
        <w:rPr>
          <w:rFonts w:eastAsiaTheme="minorHAnsi"/>
          <w:color w:val="000000" w:themeColor="text1"/>
        </w:rPr>
        <w:t>,</w:t>
      </w:r>
      <w:r w:rsidR="00BD2CD4" w:rsidRPr="00B67F80">
        <w:rPr>
          <w:rFonts w:eastAsiaTheme="minorHAnsi"/>
          <w:color w:val="000000" w:themeColor="text1"/>
        </w:rPr>
        <w:t xml:space="preserve"> </w:t>
      </w:r>
      <w:r w:rsidR="00F43C6A" w:rsidRPr="00B67F80">
        <w:rPr>
          <w:rFonts w:eastAsiaTheme="minorHAnsi"/>
          <w:color w:val="000000" w:themeColor="text1"/>
        </w:rPr>
        <w:t>and within-ocean heating rate</w:t>
      </w:r>
      <w:r w:rsidR="0092141F" w:rsidRPr="00B67F80">
        <w:rPr>
          <w:rFonts w:eastAsiaTheme="minorHAnsi"/>
          <w:color w:val="000000" w:themeColor="text1"/>
        </w:rPr>
        <w:t xml:space="preserve"> using </w:t>
      </w:r>
      <w:r w:rsidR="0092141F" w:rsidRPr="00B67F80">
        <w:rPr>
          <w:color w:val="000000" w:themeColor="text1"/>
        </w:rPr>
        <w:t>satellite observations from CERES and different versions of atmospheric and oceanic reanalysis datasets from ECMWF.</w:t>
      </w:r>
      <w:r w:rsidR="00F43C6A" w:rsidRPr="00B67F80">
        <w:rPr>
          <w:rFonts w:eastAsiaTheme="minorHAnsi"/>
          <w:color w:val="000000" w:themeColor="text1"/>
        </w:rPr>
        <w:t xml:space="preserve"> </w:t>
      </w:r>
      <w:r w:rsidR="00E7321B" w:rsidRPr="00B67F80">
        <w:rPr>
          <w:rFonts w:eastAsiaTheme="minorHAnsi"/>
          <w:color w:val="000000" w:themeColor="text1"/>
        </w:rPr>
        <w:t xml:space="preserve">As the </w:t>
      </w:r>
      <w:r w:rsidR="00E7321B" w:rsidRPr="00B67F80">
        <w:rPr>
          <w:color w:val="000000" w:themeColor="text1"/>
        </w:rPr>
        <w:t xml:space="preserve">trends are likely influenced by both anthropogenic forcing and internal variability, there is no expectation that these are </w:t>
      </w:r>
      <w:r w:rsidR="00073CE0" w:rsidRPr="00B67F80">
        <w:rPr>
          <w:color w:val="000000" w:themeColor="text1"/>
        </w:rPr>
        <w:t xml:space="preserve">solely </w:t>
      </w:r>
      <w:r w:rsidR="00E7321B" w:rsidRPr="00B67F80">
        <w:rPr>
          <w:color w:val="000000" w:themeColor="text1"/>
        </w:rPr>
        <w:t xml:space="preserve">representative of </w:t>
      </w:r>
      <w:r w:rsidR="002731D0" w:rsidRPr="00B67F80">
        <w:rPr>
          <w:color w:val="000000" w:themeColor="text1"/>
        </w:rPr>
        <w:t>longer-term</w:t>
      </w:r>
      <w:r w:rsidR="00E7321B" w:rsidRPr="00B67F80">
        <w:rPr>
          <w:color w:val="000000" w:themeColor="text1"/>
        </w:rPr>
        <w:t xml:space="preserve"> trends.</w:t>
      </w:r>
      <w:r w:rsidR="000F3DBD" w:rsidRPr="00B67F80">
        <w:rPr>
          <w:color w:val="000000" w:themeColor="text1"/>
        </w:rPr>
        <w:t xml:space="preserve"> </w:t>
      </w:r>
    </w:p>
    <w:p w14:paraId="69880E20" w14:textId="5700E0C5" w:rsidR="003E574B" w:rsidRPr="00B67F80" w:rsidRDefault="0057740C" w:rsidP="003E574B">
      <w:pPr>
        <w:spacing w:line="480" w:lineRule="auto"/>
        <w:ind w:firstLine="720"/>
        <w:jc w:val="both"/>
        <w:rPr>
          <w:color w:val="000000" w:themeColor="text1"/>
        </w:rPr>
      </w:pPr>
      <w:r w:rsidRPr="00B67F80">
        <w:rPr>
          <w:color w:val="000000" w:themeColor="text1"/>
        </w:rPr>
        <w:t xml:space="preserve">Regional trends in TOA net downward radiation from CERES, ERA5 and IFS AMIP are markedly different over the Eastern Pacific Ocean </w:t>
      </w:r>
      <w:r w:rsidR="00B51B79" w:rsidRPr="00B67F80">
        <w:rPr>
          <w:color w:val="000000" w:themeColor="text1"/>
        </w:rPr>
        <w:t>off</w:t>
      </w:r>
      <w:r w:rsidRPr="00B67F80">
        <w:rPr>
          <w:color w:val="000000" w:themeColor="text1"/>
        </w:rPr>
        <w:t xml:space="preserve"> North America, where large increases in SST have been observed during the CERES period. Whereas CERES observes large positive </w:t>
      </w:r>
      <w:r w:rsidRPr="00B67F80">
        <w:rPr>
          <w:color w:val="000000" w:themeColor="text1"/>
        </w:rPr>
        <w:lastRenderedPageBreak/>
        <w:t>trends associated with a reduction in low cloud cover, ERA5 shows negative net TOA flux trends throughout most of the Eastern Pacific Ocean region and IFS AMIP shows weaker positive trends. These results suggest that the low cloud response to SST change may be too weak in ERA5 and IFS AMIP.</w:t>
      </w:r>
      <w:r w:rsidR="00171CD8" w:rsidRPr="00B67F80">
        <w:rPr>
          <w:color w:val="000000" w:themeColor="text1"/>
        </w:rPr>
        <w:t xml:space="preserve"> ERA5 and IFS AMIP show better agreement with CERES over the Atlantic off of North America and Europe, </w:t>
      </w:r>
      <w:r w:rsidR="00C918FD" w:rsidRPr="00B67F80">
        <w:rPr>
          <w:color w:val="000000" w:themeColor="text1"/>
        </w:rPr>
        <w:t>t</w:t>
      </w:r>
      <w:r w:rsidR="00171CD8" w:rsidRPr="00B67F80">
        <w:rPr>
          <w:color w:val="000000" w:themeColor="text1"/>
        </w:rPr>
        <w:t>he Indian Ocean between 20</w:t>
      </w:r>
      <w:r w:rsidR="00171CD8" w:rsidRPr="00B67F80">
        <w:rPr>
          <w:color w:val="000000" w:themeColor="text1"/>
        </w:rPr>
        <w:sym w:font="Symbol" w:char="F0B0"/>
      </w:r>
      <w:r w:rsidR="00171CD8" w:rsidRPr="00B67F80">
        <w:rPr>
          <w:color w:val="000000" w:themeColor="text1"/>
        </w:rPr>
        <w:t>-30</w:t>
      </w:r>
      <w:r w:rsidR="00171CD8" w:rsidRPr="00B67F80">
        <w:rPr>
          <w:color w:val="000000" w:themeColor="text1"/>
        </w:rPr>
        <w:sym w:font="Symbol" w:char="F0B0"/>
      </w:r>
      <w:r w:rsidR="00171CD8" w:rsidRPr="00B67F80">
        <w:rPr>
          <w:color w:val="000000" w:themeColor="text1"/>
        </w:rPr>
        <w:t>S, and over sea ice regions off the coast of Antarctica.</w:t>
      </w:r>
      <w:r w:rsidR="003E574B" w:rsidRPr="00B67F80">
        <w:rPr>
          <w:color w:val="000000" w:themeColor="text1"/>
        </w:rPr>
        <w:t xml:space="preserve"> </w:t>
      </w:r>
      <w:r w:rsidR="00AF1A07" w:rsidRPr="00B67F80">
        <w:rPr>
          <w:color w:val="000000" w:themeColor="text1"/>
        </w:rPr>
        <w:t>Trends are generally</w:t>
      </w:r>
      <w:r w:rsidR="00B563D1" w:rsidRPr="00B67F80">
        <w:rPr>
          <w:color w:val="000000" w:themeColor="text1"/>
        </w:rPr>
        <w:t xml:space="preserve"> inconsistent over the</w:t>
      </w:r>
      <w:r w:rsidR="003E574B" w:rsidRPr="00B67F80">
        <w:rPr>
          <w:color w:val="000000" w:themeColor="text1"/>
        </w:rPr>
        <w:t xml:space="preserve"> Arctic Ocean</w:t>
      </w:r>
      <w:r w:rsidR="00DD670A" w:rsidRPr="00B67F80">
        <w:rPr>
          <w:color w:val="000000" w:themeColor="text1"/>
        </w:rPr>
        <w:t xml:space="preserve">, except </w:t>
      </w:r>
      <w:r w:rsidR="00AF1A07" w:rsidRPr="00B67F80">
        <w:rPr>
          <w:color w:val="000000" w:themeColor="text1"/>
        </w:rPr>
        <w:t>in areas near</w:t>
      </w:r>
      <w:r w:rsidR="00DD670A" w:rsidRPr="00B67F80">
        <w:rPr>
          <w:color w:val="000000" w:themeColor="text1"/>
        </w:rPr>
        <w:t xml:space="preserve"> the sea ice edge </w:t>
      </w:r>
      <w:r w:rsidR="00AF1A07" w:rsidRPr="00B67F80">
        <w:rPr>
          <w:color w:val="000000" w:themeColor="text1"/>
        </w:rPr>
        <w:t xml:space="preserve">that are associated with steep declines in </w:t>
      </w:r>
      <w:r w:rsidR="00DD670A" w:rsidRPr="00B67F80">
        <w:rPr>
          <w:color w:val="000000" w:themeColor="text1"/>
        </w:rPr>
        <w:t>sea ice concentration</w:t>
      </w:r>
      <w:r w:rsidR="003E574B" w:rsidRPr="00B67F80">
        <w:rPr>
          <w:color w:val="000000" w:themeColor="text1"/>
        </w:rPr>
        <w:t>.</w:t>
      </w:r>
      <w:r w:rsidR="00AF1A07" w:rsidRPr="00B67F80">
        <w:rPr>
          <w:color w:val="000000" w:themeColor="text1"/>
        </w:rPr>
        <w:t xml:space="preserve"> We find that CERES global mean trends appear to be robust based upon multiple lines of evidence, including direct comparisons between CERES instruments on Terra and Aqua (consistent to &lt; 0.1 W m</w:t>
      </w:r>
      <w:r w:rsidR="00AF1A07" w:rsidRPr="00B67F80">
        <w:rPr>
          <w:color w:val="000000" w:themeColor="text1"/>
          <w:vertAlign w:val="superscript"/>
        </w:rPr>
        <w:t>-2</w:t>
      </w:r>
      <w:r w:rsidR="00AF1A07" w:rsidRPr="00B67F80">
        <w:rPr>
          <w:color w:val="000000" w:themeColor="text1"/>
        </w:rPr>
        <w:t xml:space="preserve"> decade</w:t>
      </w:r>
      <w:r w:rsidR="00AF1A07" w:rsidRPr="00B67F80">
        <w:rPr>
          <w:color w:val="000000" w:themeColor="text1"/>
          <w:vertAlign w:val="superscript"/>
        </w:rPr>
        <w:t>-1</w:t>
      </w:r>
      <w:r w:rsidR="00AF1A07" w:rsidRPr="00B67F80">
        <w:rPr>
          <w:color w:val="000000" w:themeColor="text1"/>
        </w:rPr>
        <w:t>), comparisons with in-situ measurements from Argo and results that use a combination of altimetric and gravimetric observations from GRACE.</w:t>
      </w:r>
    </w:p>
    <w:p w14:paraId="6EB37CF7" w14:textId="06A2EFC6" w:rsidR="00BD5A6B" w:rsidRPr="00B67F80" w:rsidRDefault="0057740C" w:rsidP="00941239">
      <w:pPr>
        <w:spacing w:line="480" w:lineRule="auto"/>
        <w:ind w:firstLine="720"/>
        <w:jc w:val="both"/>
        <w:rPr>
          <w:color w:val="000000" w:themeColor="text1"/>
        </w:rPr>
      </w:pPr>
      <w:r w:rsidRPr="00B67F80">
        <w:rPr>
          <w:color w:val="000000" w:themeColor="text1"/>
        </w:rPr>
        <w:t>CERES trends in net TOA flux between the SH and NH are very close to one another, implying an insignificant 0.02</w:t>
      </w:r>
      <w:r w:rsidRPr="00B67F80">
        <w:rPr>
          <w:color w:val="000000" w:themeColor="text1"/>
        </w:rPr>
        <w:sym w:font="Symbol" w:char="F0B1"/>
      </w:r>
      <w:r w:rsidRPr="00B67F80">
        <w:rPr>
          <w:color w:val="000000" w:themeColor="text1"/>
        </w:rPr>
        <w:t xml:space="preserve">0.1 PW change to the combined ocean-atmosphere cross-equatorial heat transport over the </w:t>
      </w:r>
      <w:r w:rsidR="00C779B8" w:rsidRPr="00B67F80">
        <w:rPr>
          <w:color w:val="000000" w:themeColor="text1"/>
        </w:rPr>
        <w:t>first</w:t>
      </w:r>
      <w:r w:rsidRPr="00B67F80">
        <w:rPr>
          <w:color w:val="000000" w:themeColor="text1"/>
        </w:rPr>
        <w:t xml:space="preserve"> 20 years</w:t>
      </w:r>
      <w:r w:rsidR="00C779B8" w:rsidRPr="00B67F80">
        <w:rPr>
          <w:color w:val="000000" w:themeColor="text1"/>
        </w:rPr>
        <w:t xml:space="preserve"> of the 21</w:t>
      </w:r>
      <w:r w:rsidR="00C779B8" w:rsidRPr="00B67F80">
        <w:rPr>
          <w:color w:val="000000" w:themeColor="text1"/>
          <w:vertAlign w:val="superscript"/>
        </w:rPr>
        <w:t>st</w:t>
      </w:r>
      <w:r w:rsidR="00C779B8" w:rsidRPr="00B67F80">
        <w:rPr>
          <w:color w:val="000000" w:themeColor="text1"/>
        </w:rPr>
        <w:t xml:space="preserve"> century</w:t>
      </w:r>
      <w:r w:rsidRPr="00B67F80">
        <w:rPr>
          <w:color w:val="000000" w:themeColor="text1"/>
        </w:rPr>
        <w:t xml:space="preserve">. ERA5 and IFS AMIP also show insignificant hemispheric </w:t>
      </w:r>
      <w:r w:rsidR="00C779B8" w:rsidRPr="00B67F80">
        <w:rPr>
          <w:color w:val="000000" w:themeColor="text1"/>
        </w:rPr>
        <w:t xml:space="preserve">trend </w:t>
      </w:r>
      <w:r w:rsidRPr="00B67F80">
        <w:rPr>
          <w:color w:val="000000" w:themeColor="text1"/>
        </w:rPr>
        <w:t>differences</w:t>
      </w:r>
      <w:r w:rsidR="003E574B" w:rsidRPr="00B67F80">
        <w:rPr>
          <w:color w:val="000000" w:themeColor="text1"/>
        </w:rPr>
        <w:t xml:space="preserve">, but </w:t>
      </w:r>
      <w:r w:rsidR="00C779B8" w:rsidRPr="00B67F80">
        <w:rPr>
          <w:color w:val="000000" w:themeColor="text1"/>
        </w:rPr>
        <w:t>their</w:t>
      </w:r>
      <w:r w:rsidR="003E574B" w:rsidRPr="00B67F80">
        <w:rPr>
          <w:color w:val="000000" w:themeColor="text1"/>
        </w:rPr>
        <w:t xml:space="preserve"> SH, NH and global</w:t>
      </w:r>
      <w:r w:rsidR="0076127A" w:rsidRPr="00B67F80">
        <w:rPr>
          <w:color w:val="000000" w:themeColor="text1"/>
        </w:rPr>
        <w:t xml:space="preserve"> mean</w:t>
      </w:r>
      <w:r w:rsidR="003E574B" w:rsidRPr="00B67F80">
        <w:rPr>
          <w:color w:val="000000" w:themeColor="text1"/>
        </w:rPr>
        <w:t xml:space="preserve"> trends </w:t>
      </w:r>
      <w:r w:rsidR="00C779B8" w:rsidRPr="00B67F80">
        <w:rPr>
          <w:color w:val="000000" w:themeColor="text1"/>
        </w:rPr>
        <w:t>are smaller than</w:t>
      </w:r>
      <w:r w:rsidR="003E574B" w:rsidRPr="00B67F80">
        <w:rPr>
          <w:color w:val="000000" w:themeColor="text1"/>
        </w:rPr>
        <w:t xml:space="preserve"> CERES. </w:t>
      </w:r>
      <w:r w:rsidR="0076127A" w:rsidRPr="00B67F80">
        <w:rPr>
          <w:color w:val="000000" w:themeColor="text1"/>
        </w:rPr>
        <w:t xml:space="preserve">Surprisingly, </w:t>
      </w:r>
      <w:r w:rsidRPr="00B67F80">
        <w:rPr>
          <w:color w:val="000000" w:themeColor="text1"/>
        </w:rPr>
        <w:t xml:space="preserve">ERA5 </w:t>
      </w:r>
      <w:r w:rsidR="00C918FD" w:rsidRPr="00B67F80">
        <w:rPr>
          <w:color w:val="000000" w:themeColor="text1"/>
        </w:rPr>
        <w:t xml:space="preserve">climatological </w:t>
      </w:r>
      <w:r w:rsidR="0076127A" w:rsidRPr="00B67F80">
        <w:rPr>
          <w:color w:val="000000" w:themeColor="text1"/>
        </w:rPr>
        <w:t>average</w:t>
      </w:r>
      <w:r w:rsidRPr="00B67F80">
        <w:rPr>
          <w:color w:val="000000" w:themeColor="text1"/>
        </w:rPr>
        <w:t xml:space="preserve"> net </w:t>
      </w:r>
      <w:r w:rsidR="003E574B" w:rsidRPr="00B67F80">
        <w:rPr>
          <w:color w:val="000000" w:themeColor="text1"/>
        </w:rPr>
        <w:t xml:space="preserve">TOA </w:t>
      </w:r>
      <w:r w:rsidRPr="00B67F80">
        <w:rPr>
          <w:color w:val="000000" w:themeColor="text1"/>
        </w:rPr>
        <w:t xml:space="preserve">fluxes are </w:t>
      </w:r>
      <w:r w:rsidR="0076127A" w:rsidRPr="00B67F80">
        <w:rPr>
          <w:color w:val="000000" w:themeColor="text1"/>
        </w:rPr>
        <w:t>approximately</w:t>
      </w:r>
      <w:r w:rsidRPr="00B67F80">
        <w:rPr>
          <w:color w:val="000000" w:themeColor="text1"/>
        </w:rPr>
        <w:t xml:space="preserve"> half as large as CERES in the SH and more than nine times larger in the NH, while the global mean difference is only 0.05 Wm</w:t>
      </w:r>
      <w:r w:rsidR="00C779B8" w:rsidRPr="00B67F80">
        <w:rPr>
          <w:rFonts w:ascii="Symbol" w:hAnsi="Symbol"/>
          <w:color w:val="000000" w:themeColor="text1"/>
          <w:vertAlign w:val="superscript"/>
        </w:rPr>
        <w:t></w:t>
      </w:r>
      <w:r w:rsidRPr="00B67F80">
        <w:rPr>
          <w:color w:val="000000" w:themeColor="text1"/>
          <w:vertAlign w:val="superscript"/>
        </w:rPr>
        <w:t>2</w:t>
      </w:r>
      <w:r w:rsidRPr="00B67F80">
        <w:rPr>
          <w:color w:val="000000" w:themeColor="text1"/>
        </w:rPr>
        <w:t>. The ERA5</w:t>
      </w:r>
      <w:r w:rsidR="00817CF4" w:rsidRPr="00B67F80">
        <w:rPr>
          <w:color w:val="000000" w:themeColor="text1"/>
        </w:rPr>
        <w:t xml:space="preserve"> and IFS AMIP</w:t>
      </w:r>
      <w:r w:rsidRPr="00B67F80">
        <w:rPr>
          <w:color w:val="000000" w:themeColor="text1"/>
        </w:rPr>
        <w:t xml:space="preserve"> hemispheric asymmetr</w:t>
      </w:r>
      <w:r w:rsidR="00817CF4" w:rsidRPr="00B67F80">
        <w:rPr>
          <w:color w:val="000000" w:themeColor="text1"/>
        </w:rPr>
        <w:t>ies</w:t>
      </w:r>
      <w:r w:rsidRPr="00B67F80">
        <w:rPr>
          <w:color w:val="000000" w:themeColor="text1"/>
        </w:rPr>
        <w:t xml:space="preserve"> in mean net TOA flux impl</w:t>
      </w:r>
      <w:r w:rsidR="00817CF4" w:rsidRPr="00B67F80">
        <w:rPr>
          <w:color w:val="000000" w:themeColor="text1"/>
        </w:rPr>
        <w:t>y</w:t>
      </w:r>
      <w:r w:rsidRPr="00B67F80">
        <w:rPr>
          <w:color w:val="000000" w:themeColor="text1"/>
        </w:rPr>
        <w:t xml:space="preserve"> a NH-to-</w:t>
      </w:r>
      <w:r w:rsidR="00817CF4" w:rsidRPr="00B67F80">
        <w:rPr>
          <w:color w:val="000000" w:themeColor="text1"/>
        </w:rPr>
        <w:t>S</w:t>
      </w:r>
      <w:r w:rsidRPr="00B67F80">
        <w:rPr>
          <w:color w:val="000000" w:themeColor="text1"/>
        </w:rPr>
        <w:t>H cross-equatorial heat transport by the ocean-atmosphere system</w:t>
      </w:r>
      <w:r w:rsidR="00817CF4" w:rsidRPr="00B67F80">
        <w:rPr>
          <w:color w:val="000000" w:themeColor="text1"/>
        </w:rPr>
        <w:t>.</w:t>
      </w:r>
      <w:r w:rsidRPr="00B67F80">
        <w:rPr>
          <w:color w:val="000000" w:themeColor="text1"/>
        </w:rPr>
        <w:t xml:space="preserve"> </w:t>
      </w:r>
      <w:r w:rsidR="007820C5" w:rsidRPr="00B67F80">
        <w:rPr>
          <w:color w:val="000000" w:themeColor="text1"/>
        </w:rPr>
        <w:t>That is in marked</w:t>
      </w:r>
      <w:r w:rsidR="00063887" w:rsidRPr="00B67F80">
        <w:rPr>
          <w:color w:val="000000" w:themeColor="text1"/>
        </w:rPr>
        <w:t xml:space="preserve"> contrast</w:t>
      </w:r>
      <w:r w:rsidR="007820C5" w:rsidRPr="00B67F80">
        <w:rPr>
          <w:color w:val="000000" w:themeColor="text1"/>
        </w:rPr>
        <w:t xml:space="preserve"> to</w:t>
      </w:r>
      <w:r w:rsidR="00063887" w:rsidRPr="00B67F80">
        <w:rPr>
          <w:color w:val="000000" w:themeColor="text1"/>
        </w:rPr>
        <w:t xml:space="preserve"> </w:t>
      </w:r>
      <w:r w:rsidRPr="00B67F80">
        <w:rPr>
          <w:color w:val="000000" w:themeColor="text1"/>
        </w:rPr>
        <w:t>CERES</w:t>
      </w:r>
      <w:r w:rsidR="007820C5" w:rsidRPr="00B67F80">
        <w:rPr>
          <w:color w:val="000000" w:themeColor="text1"/>
        </w:rPr>
        <w:t>, which</w:t>
      </w:r>
      <w:r w:rsidR="00832C18" w:rsidRPr="00B67F80">
        <w:rPr>
          <w:color w:val="000000" w:themeColor="text1"/>
        </w:rPr>
        <w:t xml:space="preserve"> shows a</w:t>
      </w:r>
      <w:r w:rsidR="005E4105" w:rsidRPr="00B67F80">
        <w:rPr>
          <w:color w:val="000000" w:themeColor="text1"/>
        </w:rPr>
        <w:t xml:space="preserve"> 0.17 PW</w:t>
      </w:r>
      <w:r w:rsidR="00832C18" w:rsidRPr="00B67F80">
        <w:rPr>
          <w:color w:val="000000" w:themeColor="text1"/>
        </w:rPr>
        <w:t xml:space="preserve"> SH-to-NH cross-equatorial heat transport</w:t>
      </w:r>
      <w:r w:rsidR="00005E84" w:rsidRPr="00B67F80">
        <w:rPr>
          <w:color w:val="000000" w:themeColor="text1"/>
        </w:rPr>
        <w:t>, consistent with expectation (</w:t>
      </w:r>
      <w:r w:rsidR="00670908" w:rsidRPr="00B67F80">
        <w:rPr>
          <w:color w:val="000000" w:themeColor="text1"/>
        </w:rPr>
        <w:t>Frierson et al., 2013</w:t>
      </w:r>
      <w:r w:rsidR="00005E84" w:rsidRPr="00B67F80">
        <w:rPr>
          <w:color w:val="000000" w:themeColor="text1"/>
        </w:rPr>
        <w:t>)</w:t>
      </w:r>
      <w:r w:rsidRPr="00B67F80">
        <w:rPr>
          <w:color w:val="000000" w:themeColor="text1"/>
        </w:rPr>
        <w:t>. A possible reason for the inconsistent hemispheric values</w:t>
      </w:r>
      <w:r w:rsidR="003E574B" w:rsidRPr="00B67F80">
        <w:rPr>
          <w:color w:val="000000" w:themeColor="text1"/>
        </w:rPr>
        <w:t xml:space="preserve"> in ERA5 and IFS AMIP</w:t>
      </w:r>
      <w:r w:rsidRPr="00B67F80">
        <w:rPr>
          <w:color w:val="000000" w:themeColor="text1"/>
        </w:rPr>
        <w:t xml:space="preserve"> could be due to an unrealistic representation of how clouds are distributed between the hemispheres.</w:t>
      </w:r>
      <w:r w:rsidR="003519EE" w:rsidRPr="00B67F80">
        <w:rPr>
          <w:color w:val="000000" w:themeColor="text1"/>
        </w:rPr>
        <w:t xml:space="preserve"> </w:t>
      </w:r>
    </w:p>
    <w:p w14:paraId="73AE2AA8" w14:textId="56C4379E" w:rsidR="00AC28D1" w:rsidRPr="00B67F80" w:rsidRDefault="00E80D31" w:rsidP="00941239">
      <w:pPr>
        <w:spacing w:line="480" w:lineRule="auto"/>
        <w:ind w:firstLine="720"/>
        <w:jc w:val="both"/>
        <w:rPr>
          <w:color w:val="000000" w:themeColor="text1"/>
          <w:lang w:val="en-GB"/>
        </w:rPr>
      </w:pPr>
      <w:r w:rsidRPr="00B67F80">
        <w:rPr>
          <w:color w:val="000000" w:themeColor="text1"/>
          <w:lang w:val="en-GB"/>
        </w:rPr>
        <w:lastRenderedPageBreak/>
        <w:t xml:space="preserve">We compare TEDIV calculated directly from ERA5 analysed profiles of temperature, humidity and winds (ERA5 Analysis) with </w:t>
      </w:r>
      <w:r w:rsidR="00BD222C" w:rsidRPr="00B67F80">
        <w:rPr>
          <w:color w:val="000000" w:themeColor="text1"/>
          <w:lang w:val="en-GB"/>
        </w:rPr>
        <w:t>TEDIV</w:t>
      </w:r>
      <w:r w:rsidRPr="00B67F80">
        <w:rPr>
          <w:color w:val="000000" w:themeColor="text1"/>
          <w:lang w:val="en-GB"/>
        </w:rPr>
        <w:t xml:space="preserve"> obtained as a residual between TOA and surface fluxes from </w:t>
      </w:r>
      <w:r w:rsidRPr="00B67F80">
        <w:rPr>
          <w:color w:val="000000" w:themeColor="text1"/>
        </w:rPr>
        <w:t xml:space="preserve">ERA5 short-term forecasts and IFS AMIP. </w:t>
      </w:r>
      <w:r w:rsidRPr="00B67F80">
        <w:rPr>
          <w:color w:val="000000" w:themeColor="text1"/>
          <w:lang w:val="en-GB"/>
        </w:rPr>
        <w:t xml:space="preserve">Trends based on ERA5 forecasts and IFS AMIP are similar to those from ERA5 Analysis over ocean, suggesting that the ERA5 Analysis patterns are not a spurious signal from changes in the observing system. </w:t>
      </w:r>
      <w:r w:rsidR="008B0825" w:rsidRPr="00B67F80">
        <w:rPr>
          <w:color w:val="000000" w:themeColor="text1"/>
          <w:lang w:val="en-GB"/>
        </w:rPr>
        <w:t xml:space="preserve">Regional trends in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S</m:t>
            </m:r>
          </m:sub>
        </m:sSub>
      </m:oMath>
      <w:r w:rsidR="008B0825" w:rsidRPr="00B67F80">
        <w:rPr>
          <w:color w:val="000000" w:themeColor="text1"/>
          <w:lang w:val="en-GB"/>
        </w:rPr>
        <w:t xml:space="preserve"> are </w:t>
      </w:r>
      <w:r w:rsidR="00BE1975" w:rsidRPr="00B67F80">
        <w:rPr>
          <w:color w:val="000000" w:themeColor="text1"/>
          <w:lang w:val="en-GB"/>
        </w:rPr>
        <w:t xml:space="preserve">determined </w:t>
      </w:r>
      <w:r w:rsidR="008B0825" w:rsidRPr="00B67F80">
        <w:rPr>
          <w:color w:val="000000" w:themeColor="text1"/>
          <w:lang w:val="en-GB"/>
        </w:rPr>
        <w:t xml:space="preserve">mainly by those in TEDIV, and therefore exhibit similar features. We find consistent negative </w:t>
      </w:r>
      <w:r w:rsidR="00E424C1" w:rsidRPr="00B67F80">
        <w:rPr>
          <w:color w:val="000000" w:themeColor="text1"/>
          <w:lang w:val="en-GB"/>
        </w:rPr>
        <w:t>t</w:t>
      </w:r>
      <w:r w:rsidR="008B0825" w:rsidRPr="00B67F80">
        <w:rPr>
          <w:color w:val="000000" w:themeColor="text1"/>
          <w:lang w:val="en-GB"/>
        </w:rPr>
        <w:t xml:space="preserve">rends over the Gulf Stream, implying increased surface-to-atmosphere heat flux. </w:t>
      </w:r>
      <w:r w:rsidR="00C30662" w:rsidRPr="00B67F80">
        <w:rPr>
          <w:color w:val="000000" w:themeColor="text1"/>
          <w:lang w:val="en-GB"/>
        </w:rPr>
        <w:t>I</w:t>
      </w:r>
      <w:r w:rsidR="00124D33" w:rsidRPr="00B67F80">
        <w:rPr>
          <w:color w:val="000000" w:themeColor="text1"/>
          <w:lang w:val="en-GB"/>
        </w:rPr>
        <w:t>ncreases</w:t>
      </w:r>
      <w:r w:rsidR="00E424C1" w:rsidRPr="00B67F80">
        <w:rPr>
          <w:color w:val="000000" w:themeColor="text1"/>
          <w:lang w:val="en-GB"/>
        </w:rPr>
        <w:t xml:space="preserve"> surface-to-atmosphere heat flux </w:t>
      </w:r>
      <w:r w:rsidR="00C30662" w:rsidRPr="00B67F80">
        <w:rPr>
          <w:color w:val="000000" w:themeColor="text1"/>
          <w:lang w:val="en-GB"/>
        </w:rPr>
        <w:t xml:space="preserve">are also observed </w:t>
      </w:r>
      <w:r w:rsidR="00E424C1" w:rsidRPr="00B67F80">
        <w:rPr>
          <w:color w:val="000000" w:themeColor="text1"/>
          <w:lang w:val="en-GB"/>
        </w:rPr>
        <w:t xml:space="preserve">over </w:t>
      </w:r>
      <w:r w:rsidR="00124D33" w:rsidRPr="00B67F80">
        <w:rPr>
          <w:color w:val="000000" w:themeColor="text1"/>
          <w:lang w:val="en-GB"/>
        </w:rPr>
        <w:t xml:space="preserve">large portions of </w:t>
      </w:r>
      <w:r w:rsidR="00E424C1" w:rsidRPr="00B67F80">
        <w:rPr>
          <w:color w:val="000000" w:themeColor="text1"/>
          <w:lang w:val="en-GB"/>
        </w:rPr>
        <w:t>the eastern Pacific Ocean off the coasts of North and South America.</w:t>
      </w:r>
      <w:r w:rsidR="009E08F4" w:rsidRPr="00B67F80">
        <w:rPr>
          <w:color w:val="000000" w:themeColor="text1"/>
          <w:lang w:val="en-GB"/>
        </w:rPr>
        <w:t xml:space="preserve"> </w:t>
      </w:r>
      <w:r w:rsidR="00BD5A6B" w:rsidRPr="00B67F80">
        <w:rPr>
          <w:color w:val="000000" w:themeColor="text1"/>
        </w:rPr>
        <w:t>While trend patterns in net surface</w:t>
      </w:r>
      <w:r w:rsidR="00BD5A6B" w:rsidRPr="00B67F80">
        <w:rPr>
          <w:color w:val="000000" w:themeColor="text1"/>
          <w:lang w:val="en-GB"/>
        </w:rPr>
        <w:t xml:space="preserve"> </w:t>
      </w:r>
      <w:r w:rsidR="00BD222C" w:rsidRPr="00B67F80">
        <w:rPr>
          <w:color w:val="000000" w:themeColor="text1"/>
          <w:lang w:val="en-GB"/>
        </w:rPr>
        <w:t xml:space="preserve">radiation </w:t>
      </w:r>
      <w:r w:rsidR="00BD5A6B" w:rsidRPr="00B67F80">
        <w:rPr>
          <w:color w:val="000000" w:themeColor="text1"/>
        </w:rPr>
        <w:t xml:space="preserve">are similar between CERES and ERA5 Forecasts, large differences are evident over the west tropical Pacific Ocean, where ERA5 Forecasts show large positive trends </w:t>
      </w:r>
      <w:r w:rsidR="00BD222C" w:rsidRPr="00B67F80">
        <w:rPr>
          <w:color w:val="000000" w:themeColor="text1"/>
        </w:rPr>
        <w:t>not observed</w:t>
      </w:r>
      <w:r w:rsidR="00BD5A6B" w:rsidRPr="00B67F80">
        <w:rPr>
          <w:color w:val="000000" w:themeColor="text1"/>
        </w:rPr>
        <w:t xml:space="preserve"> </w:t>
      </w:r>
      <w:r w:rsidR="00BD222C" w:rsidRPr="00B67F80">
        <w:rPr>
          <w:color w:val="000000" w:themeColor="text1"/>
        </w:rPr>
        <w:t>by</w:t>
      </w:r>
      <w:r w:rsidR="00BD5A6B" w:rsidRPr="00B67F80">
        <w:rPr>
          <w:color w:val="000000" w:themeColor="text1"/>
        </w:rPr>
        <w:t xml:space="preserve"> CERES.</w:t>
      </w:r>
      <w:r w:rsidR="00EC009F" w:rsidRPr="00B67F80">
        <w:rPr>
          <w:color w:val="000000" w:themeColor="text1"/>
        </w:rPr>
        <w:t xml:space="preserve"> </w:t>
      </w:r>
      <w:r w:rsidR="00BD222C" w:rsidRPr="00B67F80">
        <w:rPr>
          <w:color w:val="000000" w:themeColor="text1"/>
        </w:rPr>
        <w:t>R</w:t>
      </w:r>
      <w:r w:rsidR="00BD5A6B" w:rsidRPr="00B67F80">
        <w:rPr>
          <w:color w:val="000000" w:themeColor="text1"/>
        </w:rPr>
        <w:t xml:space="preserve">egional trends in surface turbulent heat flux from an inferred method that uses an energy budget constraint </w:t>
      </w:r>
      <w:r w:rsidR="00BD222C" w:rsidRPr="00B67F80">
        <w:rPr>
          <w:color w:val="000000" w:themeColor="text1"/>
        </w:rPr>
        <w:t>involving</w:t>
      </w:r>
      <w:r w:rsidR="00BD5A6B" w:rsidRPr="00B67F80">
        <w:rPr>
          <w:color w:val="000000" w:themeColor="text1"/>
        </w:rPr>
        <w:t xml:space="preserve"> CERES and ERA5 analysis data </w:t>
      </w:r>
      <w:r w:rsidR="00BD222C" w:rsidRPr="00B67F80">
        <w:rPr>
          <w:color w:val="000000" w:themeColor="text1"/>
        </w:rPr>
        <w:t>show a</w:t>
      </w:r>
      <w:r w:rsidR="00D31362" w:rsidRPr="00B67F80">
        <w:rPr>
          <w:color w:val="000000" w:themeColor="text1"/>
        </w:rPr>
        <w:t xml:space="preserve"> </w:t>
      </w:r>
      <w:r w:rsidR="00BD5A6B" w:rsidRPr="00B67F80">
        <w:rPr>
          <w:color w:val="000000" w:themeColor="text1"/>
        </w:rPr>
        <w:t xml:space="preserve">similar </w:t>
      </w:r>
      <w:r w:rsidR="00BD222C" w:rsidRPr="00B67F80">
        <w:rPr>
          <w:color w:val="000000" w:themeColor="text1"/>
        </w:rPr>
        <w:t xml:space="preserve">pattern </w:t>
      </w:r>
      <w:r w:rsidR="00BD5A6B" w:rsidRPr="00B67F80">
        <w:rPr>
          <w:color w:val="000000" w:themeColor="text1"/>
        </w:rPr>
        <w:t xml:space="preserve">over ocean </w:t>
      </w:r>
      <w:r w:rsidR="00BD222C" w:rsidRPr="00B67F80">
        <w:rPr>
          <w:color w:val="000000" w:themeColor="text1"/>
        </w:rPr>
        <w:t xml:space="preserve">to </w:t>
      </w:r>
      <w:r w:rsidR="00BD5A6B" w:rsidRPr="00B67F80">
        <w:rPr>
          <w:color w:val="000000" w:themeColor="text1"/>
        </w:rPr>
        <w:t xml:space="preserve">that obtained from the direct sum of sensible and latent heat from ERA5 </w:t>
      </w:r>
      <w:r w:rsidR="00BD222C" w:rsidRPr="00B67F80">
        <w:rPr>
          <w:color w:val="000000" w:themeColor="text1"/>
        </w:rPr>
        <w:t>F</w:t>
      </w:r>
      <w:r w:rsidR="00BD5A6B" w:rsidRPr="00B67F80">
        <w:rPr>
          <w:color w:val="000000" w:themeColor="text1"/>
        </w:rPr>
        <w:t xml:space="preserve">orecasts. </w:t>
      </w:r>
      <w:r w:rsidR="00690BB7" w:rsidRPr="00B67F80">
        <w:rPr>
          <w:color w:val="000000" w:themeColor="text1"/>
        </w:rPr>
        <w:t>In contrast, t</w:t>
      </w:r>
      <w:r w:rsidR="00BD5A6B" w:rsidRPr="00B67F80">
        <w:rPr>
          <w:color w:val="000000" w:themeColor="text1"/>
        </w:rPr>
        <w:t xml:space="preserve">rends from SeaFlux V3 and OAFlux V3 show poor agreement likely </w:t>
      </w:r>
      <w:r w:rsidR="00E00101" w:rsidRPr="00B67F80">
        <w:rPr>
          <w:color w:val="000000" w:themeColor="text1"/>
        </w:rPr>
        <w:t xml:space="preserve">because of </w:t>
      </w:r>
      <w:r w:rsidR="00BD5A6B" w:rsidRPr="00B67F80">
        <w:rPr>
          <w:color w:val="000000" w:themeColor="text1"/>
        </w:rPr>
        <w:t>an excessive trend in OISST input data.</w:t>
      </w:r>
    </w:p>
    <w:p w14:paraId="364A0D48" w14:textId="45F6F6A3" w:rsidR="003C703A" w:rsidRPr="00B67F80" w:rsidRDefault="00D10EFD" w:rsidP="003C703A">
      <w:pPr>
        <w:spacing w:line="480" w:lineRule="auto"/>
        <w:ind w:firstLine="720"/>
        <w:jc w:val="both"/>
        <w:rPr>
          <w:color w:val="000000" w:themeColor="text1"/>
        </w:rPr>
      </w:pPr>
      <w:r w:rsidRPr="00B67F80">
        <w:rPr>
          <w:color w:val="000000" w:themeColor="text1"/>
        </w:rPr>
        <w:t>Comparisons of m</w:t>
      </w:r>
      <w:r w:rsidR="0062752E" w:rsidRPr="00B67F80">
        <w:rPr>
          <w:color w:val="000000" w:themeColor="text1"/>
        </w:rPr>
        <w:t xml:space="preserve">onthly </w:t>
      </w:r>
      <w:r w:rsidR="00EC009F" w:rsidRPr="00B67F80">
        <w:rPr>
          <w:color w:val="000000" w:themeColor="text1"/>
        </w:rPr>
        <w:t>ocean heating rate</w:t>
      </w:r>
      <w:r w:rsidR="0062752E" w:rsidRPr="00B67F80">
        <w:rPr>
          <w:color w:val="000000" w:themeColor="text1"/>
        </w:rPr>
        <w:t>s</w:t>
      </w:r>
      <w:r w:rsidR="00EC009F" w:rsidRPr="00B67F80">
        <w:rPr>
          <w:color w:val="000000" w:themeColor="text1"/>
        </w:rPr>
        <w:t xml:space="preserve"> amongst </w:t>
      </w:r>
      <w:r w:rsidR="00AC28D1" w:rsidRPr="00B67F80">
        <w:rPr>
          <w:color w:val="000000" w:themeColor="text1"/>
        </w:rPr>
        <w:t>ORAS5, ORAP6.1 and ORAP6-ctrl</w:t>
      </w:r>
      <w:r w:rsidRPr="00B67F80">
        <w:rPr>
          <w:color w:val="000000" w:themeColor="text1"/>
        </w:rPr>
        <w:t xml:space="preserve"> illustrate some of the challenges associated with ocean reanalysis</w:t>
      </w:r>
      <w:r w:rsidR="0062752E" w:rsidRPr="00B67F80">
        <w:rPr>
          <w:color w:val="000000" w:themeColor="text1"/>
        </w:rPr>
        <w:t>.</w:t>
      </w:r>
      <w:r w:rsidR="003347E6" w:rsidRPr="00B67F80">
        <w:rPr>
          <w:color w:val="000000" w:themeColor="text1"/>
        </w:rPr>
        <w:t xml:space="preserve"> The ORAP6-ctrl is a control version of ORAP6.1 that uses the same model setup and atmospheric forcing as ORAP6.1, but only uses SST and SSS nudging at the surface. The difference between ORAP6.1 and ORAP6-ctrl thus indicates the impact of data assimilation on ocean heating rates. </w:t>
      </w:r>
      <w:r w:rsidR="008679F2" w:rsidRPr="00B67F80">
        <w:rPr>
          <w:color w:val="000000" w:themeColor="text1"/>
        </w:rPr>
        <w:t>While a</w:t>
      </w:r>
      <w:r w:rsidR="003347E6" w:rsidRPr="00B67F80">
        <w:rPr>
          <w:color w:val="000000" w:themeColor="text1"/>
        </w:rPr>
        <w:t>nomalies for ORAS5 and ORAP6.1 are similar</w:t>
      </w:r>
      <w:r w:rsidR="008679F2" w:rsidRPr="00B67F80">
        <w:rPr>
          <w:color w:val="000000" w:themeColor="text1"/>
        </w:rPr>
        <w:t xml:space="preserve">, variability for </w:t>
      </w:r>
      <w:r w:rsidR="003347E6" w:rsidRPr="00B67F80">
        <w:rPr>
          <w:color w:val="000000" w:themeColor="text1"/>
        </w:rPr>
        <w:t xml:space="preserve">ORAP6-ctrl </w:t>
      </w:r>
      <w:r w:rsidR="008679F2" w:rsidRPr="00B67F80">
        <w:rPr>
          <w:color w:val="000000" w:themeColor="text1"/>
        </w:rPr>
        <w:t>is 38% weaker than ORAP6.1. This</w:t>
      </w:r>
      <w:r w:rsidR="003347E6" w:rsidRPr="00B67F80">
        <w:rPr>
          <w:color w:val="000000" w:themeColor="text1"/>
        </w:rPr>
        <w:t xml:space="preserve"> implies that assimilating more data significantly increases higher-frequency variability.</w:t>
      </w:r>
      <w:r w:rsidR="003C703A" w:rsidRPr="00B67F80">
        <w:rPr>
          <w:color w:val="000000" w:themeColor="text1"/>
        </w:rPr>
        <w:t xml:space="preserve"> ORAP6.1 </w:t>
      </w:r>
      <w:r w:rsidR="00EC009F" w:rsidRPr="00B67F80">
        <w:rPr>
          <w:color w:val="000000" w:themeColor="text1"/>
        </w:rPr>
        <w:t xml:space="preserve">also </w:t>
      </w:r>
      <w:r w:rsidR="003C703A" w:rsidRPr="00B67F80">
        <w:rPr>
          <w:color w:val="000000" w:themeColor="text1"/>
        </w:rPr>
        <w:lastRenderedPageBreak/>
        <w:t xml:space="preserve">shows </w:t>
      </w:r>
      <w:r w:rsidR="00EC009F" w:rsidRPr="00B67F80">
        <w:rPr>
          <w:color w:val="000000" w:themeColor="text1"/>
        </w:rPr>
        <w:t>a sudden decrease around 2005 that is not apparent in ORAS5 or ORAP6.1-ctrl</w:t>
      </w:r>
      <w:r w:rsidR="00AF37C9" w:rsidRPr="00B67F80">
        <w:rPr>
          <w:color w:val="000000" w:themeColor="text1"/>
        </w:rPr>
        <w:t>, which causes</w:t>
      </w:r>
      <w:r w:rsidR="00EC009F" w:rsidRPr="00B67F80">
        <w:rPr>
          <w:color w:val="000000" w:themeColor="text1"/>
        </w:rPr>
        <w:t xml:space="preserve"> </w:t>
      </w:r>
      <w:r w:rsidR="00AF37C9" w:rsidRPr="00B67F80">
        <w:rPr>
          <w:color w:val="000000" w:themeColor="text1"/>
        </w:rPr>
        <w:t xml:space="preserve">a spurious </w:t>
      </w:r>
      <w:r w:rsidR="00EC009F" w:rsidRPr="00B67F80">
        <w:rPr>
          <w:color w:val="000000" w:themeColor="text1"/>
        </w:rPr>
        <w:t xml:space="preserve">trend in ORAP6.1. </w:t>
      </w:r>
      <w:r w:rsidR="003C703A" w:rsidRPr="00B67F80">
        <w:rPr>
          <w:color w:val="000000" w:themeColor="text1"/>
        </w:rPr>
        <w:t xml:space="preserve">This dip </w:t>
      </w:r>
      <w:r w:rsidR="00AF37C9" w:rsidRPr="00B67F80">
        <w:rPr>
          <w:color w:val="000000" w:themeColor="text1"/>
        </w:rPr>
        <w:t xml:space="preserve">is likely associated with </w:t>
      </w:r>
      <w:r w:rsidR="004863F6" w:rsidRPr="00B67F80">
        <w:rPr>
          <w:color w:val="000000" w:themeColor="text1"/>
        </w:rPr>
        <w:t>a warm bias in the</w:t>
      </w:r>
      <w:r w:rsidR="00AF37C9" w:rsidRPr="00B67F80">
        <w:rPr>
          <w:color w:val="000000" w:themeColor="text1"/>
        </w:rPr>
        <w:t xml:space="preserve"> model </w:t>
      </w:r>
      <w:r w:rsidR="004863F6" w:rsidRPr="00B67F80">
        <w:rPr>
          <w:color w:val="000000" w:themeColor="text1"/>
        </w:rPr>
        <w:t>that gets corrected after the introduction of Argo data in 2005</w:t>
      </w:r>
      <w:r w:rsidR="00320A58" w:rsidRPr="00B67F80">
        <w:rPr>
          <w:color w:val="000000" w:themeColor="text1"/>
        </w:rPr>
        <w:t xml:space="preserve"> by the data assimilation </w:t>
      </w:r>
      <w:r w:rsidR="006C643B" w:rsidRPr="00B67F80">
        <w:rPr>
          <w:color w:val="000000" w:themeColor="text1"/>
        </w:rPr>
        <w:t>increment</w:t>
      </w:r>
      <w:r w:rsidR="00320A58" w:rsidRPr="00B67F80">
        <w:rPr>
          <w:color w:val="000000" w:themeColor="text1"/>
        </w:rPr>
        <w:t>, leading to a steep decline in ocean heating rate</w:t>
      </w:r>
      <w:r w:rsidR="00EC009F" w:rsidRPr="00B67F80">
        <w:rPr>
          <w:color w:val="000000" w:themeColor="text1"/>
        </w:rPr>
        <w:t>.</w:t>
      </w:r>
      <w:r w:rsidR="00320A58" w:rsidRPr="00B67F80">
        <w:rPr>
          <w:color w:val="000000" w:themeColor="text1"/>
        </w:rPr>
        <w:t xml:space="preserve"> Balancing the temporal consistency </w:t>
      </w:r>
      <w:r w:rsidR="00176B1A" w:rsidRPr="00B67F80">
        <w:rPr>
          <w:color w:val="000000" w:themeColor="text1"/>
        </w:rPr>
        <w:t>between</w:t>
      </w:r>
      <w:r w:rsidR="00320A58" w:rsidRPr="00B67F80">
        <w:rPr>
          <w:color w:val="000000" w:themeColor="text1"/>
        </w:rPr>
        <w:t xml:space="preserve"> the model simulation </w:t>
      </w:r>
      <w:r w:rsidR="00176B1A" w:rsidRPr="00B67F80">
        <w:rPr>
          <w:color w:val="000000" w:themeColor="text1"/>
        </w:rPr>
        <w:t>and</w:t>
      </w:r>
      <w:r w:rsidR="00320A58" w:rsidRPr="00B67F80">
        <w:rPr>
          <w:color w:val="000000" w:themeColor="text1"/>
        </w:rPr>
        <w:t xml:space="preserve"> </w:t>
      </w:r>
      <w:r w:rsidR="001F1AAF" w:rsidRPr="00B67F80">
        <w:rPr>
          <w:color w:val="000000" w:themeColor="text1"/>
        </w:rPr>
        <w:t xml:space="preserve">introduction of new data in </w:t>
      </w:r>
      <w:r w:rsidR="001B384E" w:rsidRPr="00B67F80">
        <w:rPr>
          <w:color w:val="000000" w:themeColor="text1"/>
        </w:rPr>
        <w:t>a</w:t>
      </w:r>
      <w:r w:rsidR="001F1AAF" w:rsidRPr="00B67F80">
        <w:rPr>
          <w:color w:val="000000" w:themeColor="text1"/>
        </w:rPr>
        <w:t xml:space="preserve"> </w:t>
      </w:r>
      <w:r w:rsidR="001B384E" w:rsidRPr="00B67F80">
        <w:rPr>
          <w:color w:val="000000" w:themeColor="text1"/>
        </w:rPr>
        <w:t>time series</w:t>
      </w:r>
      <w:r w:rsidR="001F1AAF" w:rsidRPr="00B67F80">
        <w:rPr>
          <w:color w:val="000000" w:themeColor="text1"/>
        </w:rPr>
        <w:t xml:space="preserve"> </w:t>
      </w:r>
      <w:r w:rsidR="00176B1A" w:rsidRPr="00B67F80">
        <w:rPr>
          <w:color w:val="000000" w:themeColor="text1"/>
        </w:rPr>
        <w:t>remains a challenge in both ocean and atmosphere reanalysis systems</w:t>
      </w:r>
      <w:r w:rsidR="001F1AAF" w:rsidRPr="00B67F80">
        <w:rPr>
          <w:color w:val="000000" w:themeColor="text1"/>
        </w:rPr>
        <w:t>. The impact on trends can be especially large, depend</w:t>
      </w:r>
      <w:r w:rsidR="00AB0E23" w:rsidRPr="00B67F80">
        <w:rPr>
          <w:color w:val="000000" w:themeColor="text1"/>
        </w:rPr>
        <w:t>ing</w:t>
      </w:r>
      <w:r w:rsidR="001F1AAF" w:rsidRPr="00B67F80">
        <w:rPr>
          <w:color w:val="000000" w:themeColor="text1"/>
        </w:rPr>
        <w:t xml:space="preserve"> on the magnitude of the model bias and </w:t>
      </w:r>
      <w:r w:rsidR="00C73A45" w:rsidRPr="00B67F80">
        <w:rPr>
          <w:color w:val="000000" w:themeColor="text1"/>
        </w:rPr>
        <w:t xml:space="preserve">the location within the time series </w:t>
      </w:r>
      <w:r w:rsidR="002E1672" w:rsidRPr="00B67F80">
        <w:rPr>
          <w:color w:val="000000" w:themeColor="text1"/>
        </w:rPr>
        <w:t xml:space="preserve">new </w:t>
      </w:r>
      <w:r w:rsidR="00A01E5A" w:rsidRPr="00B67F80">
        <w:rPr>
          <w:color w:val="000000" w:themeColor="text1"/>
        </w:rPr>
        <w:t xml:space="preserve">data </w:t>
      </w:r>
      <w:r w:rsidR="0065262F" w:rsidRPr="00B67F80">
        <w:rPr>
          <w:color w:val="000000" w:themeColor="text1"/>
        </w:rPr>
        <w:t>are introduced/removed</w:t>
      </w:r>
      <w:r w:rsidR="00A01E5A" w:rsidRPr="00B67F80">
        <w:rPr>
          <w:color w:val="000000" w:themeColor="text1"/>
        </w:rPr>
        <w:t>.</w:t>
      </w:r>
      <w:r w:rsidR="00176B1A" w:rsidRPr="00B67F80">
        <w:rPr>
          <w:color w:val="000000" w:themeColor="text1"/>
        </w:rPr>
        <w:t xml:space="preserve"> </w:t>
      </w:r>
    </w:p>
    <w:p w14:paraId="48C12DE2" w14:textId="15A0ABCC" w:rsidR="002D475F" w:rsidRPr="00B67F80" w:rsidRDefault="00402B1F" w:rsidP="003C703A">
      <w:pPr>
        <w:spacing w:line="480" w:lineRule="auto"/>
        <w:ind w:firstLine="720"/>
        <w:jc w:val="both"/>
        <w:rPr>
          <w:color w:val="000000" w:themeColor="text1"/>
        </w:rPr>
      </w:pPr>
      <w:r w:rsidRPr="00B67F80">
        <w:rPr>
          <w:color w:val="000000" w:themeColor="text1"/>
        </w:rPr>
        <w:t>G</w:t>
      </w:r>
      <w:r w:rsidR="00EC009F" w:rsidRPr="00B67F80">
        <w:rPr>
          <w:color w:val="000000" w:themeColor="text1"/>
        </w:rPr>
        <w:t>lobal annual variations in CERES net TOA flux and ocean heating rate for the three ocean reanalyses, Argo-only</w:t>
      </w:r>
      <w:r w:rsidR="00AC5A8D" w:rsidRPr="00B67F80">
        <w:rPr>
          <w:color w:val="000000" w:themeColor="text1"/>
        </w:rPr>
        <w:t>,</w:t>
      </w:r>
      <w:r w:rsidR="00EC009F" w:rsidRPr="00B67F80">
        <w:rPr>
          <w:color w:val="000000" w:themeColor="text1"/>
        </w:rPr>
        <w:t xml:space="preserve"> and combined </w:t>
      </w:r>
      <w:proofErr w:type="gramStart"/>
      <w:r w:rsidR="00EC009F" w:rsidRPr="00B67F80">
        <w:rPr>
          <w:color w:val="000000" w:themeColor="text1"/>
        </w:rPr>
        <w:t>Argo</w:t>
      </w:r>
      <w:proofErr w:type="gramEnd"/>
      <w:r w:rsidR="00EC009F" w:rsidRPr="00B67F80">
        <w:rPr>
          <w:color w:val="000000" w:themeColor="text1"/>
        </w:rPr>
        <w:t xml:space="preserve"> and satellite altimetry data (Argo+SA)</w:t>
      </w:r>
      <w:r w:rsidRPr="00B67F80">
        <w:rPr>
          <w:color w:val="000000" w:themeColor="text1"/>
        </w:rPr>
        <w:t xml:space="preserve"> are also compared</w:t>
      </w:r>
      <w:r w:rsidR="00EC009F" w:rsidRPr="00B67F80">
        <w:rPr>
          <w:color w:val="000000" w:themeColor="text1"/>
        </w:rPr>
        <w:t xml:space="preserve">. </w:t>
      </w:r>
      <w:r w:rsidR="002D475F" w:rsidRPr="00B67F80">
        <w:rPr>
          <w:color w:val="000000" w:themeColor="text1"/>
        </w:rPr>
        <w:t xml:space="preserve">Of the three reanalyses, ORAP6-ctrl provides the best agreement with CERES up to 2013, while ORAS5 and ORAP6.1 are in better agreement with CERES after 2013. </w:t>
      </w:r>
      <w:r w:rsidRPr="00B67F80">
        <w:rPr>
          <w:color w:val="000000" w:themeColor="text1"/>
        </w:rPr>
        <w:t>From this we conclude</w:t>
      </w:r>
      <w:r w:rsidR="002D475F" w:rsidRPr="00B67F80">
        <w:rPr>
          <w:color w:val="000000" w:themeColor="text1"/>
        </w:rPr>
        <w:t xml:space="preserve"> that surface forcing and SST information </w:t>
      </w:r>
      <w:r w:rsidRPr="00B67F80">
        <w:rPr>
          <w:color w:val="000000" w:themeColor="text1"/>
        </w:rPr>
        <w:t>may be</w:t>
      </w:r>
      <w:r w:rsidR="002D475F" w:rsidRPr="00B67F80">
        <w:rPr>
          <w:color w:val="000000" w:themeColor="text1"/>
        </w:rPr>
        <w:t xml:space="preserve"> sufficient to estimate ocean heating rate variability </w:t>
      </w:r>
      <w:r w:rsidRPr="00B67F80">
        <w:rPr>
          <w:color w:val="000000" w:themeColor="text1"/>
        </w:rPr>
        <w:t>for</w:t>
      </w:r>
      <w:r w:rsidR="002D475F" w:rsidRPr="00B67F80">
        <w:rPr>
          <w:color w:val="000000" w:themeColor="text1"/>
        </w:rPr>
        <w:t xml:space="preserve"> some periods, but other periods </w:t>
      </w:r>
      <w:r w:rsidRPr="00B67F80">
        <w:rPr>
          <w:color w:val="000000" w:themeColor="text1"/>
        </w:rPr>
        <w:t xml:space="preserve">may also require </w:t>
      </w:r>
      <w:r w:rsidR="002D475F" w:rsidRPr="00B67F80">
        <w:rPr>
          <w:color w:val="000000" w:themeColor="text1"/>
        </w:rPr>
        <w:t xml:space="preserve">subsurface information. </w:t>
      </w:r>
    </w:p>
    <w:p w14:paraId="51247646" w14:textId="1ACC8341" w:rsidR="00702C49" w:rsidRPr="00B67F80" w:rsidRDefault="00F03B83" w:rsidP="002D475F">
      <w:pPr>
        <w:spacing w:line="480" w:lineRule="auto"/>
        <w:ind w:firstLine="720"/>
        <w:jc w:val="both"/>
        <w:rPr>
          <w:color w:val="000000" w:themeColor="text1"/>
        </w:rPr>
      </w:pPr>
      <w:r w:rsidRPr="00B67F80">
        <w:rPr>
          <w:color w:val="000000" w:themeColor="text1"/>
        </w:rPr>
        <w:t>All</w:t>
      </w:r>
      <w:r w:rsidR="00EC009F" w:rsidRPr="00B67F80">
        <w:rPr>
          <w:color w:val="000000" w:themeColor="text1"/>
        </w:rPr>
        <w:t xml:space="preserve"> the </w:t>
      </w:r>
      <w:r w:rsidR="009D362C" w:rsidRPr="00B67F80">
        <w:rPr>
          <w:color w:val="000000" w:themeColor="text1"/>
        </w:rPr>
        <w:t xml:space="preserve">ocean </w:t>
      </w:r>
      <w:r w:rsidR="00EC009F" w:rsidRPr="00B67F80">
        <w:rPr>
          <w:color w:val="000000" w:themeColor="text1"/>
        </w:rPr>
        <w:t>datasets</w:t>
      </w:r>
      <w:r w:rsidR="009D362C" w:rsidRPr="00B67F80">
        <w:rPr>
          <w:color w:val="000000" w:themeColor="text1"/>
        </w:rPr>
        <w:t xml:space="preserve"> except ORAP6.1</w:t>
      </w:r>
      <w:r w:rsidR="00EC009F" w:rsidRPr="00B67F80">
        <w:rPr>
          <w:color w:val="000000" w:themeColor="text1"/>
        </w:rPr>
        <w:t xml:space="preserve"> show larger hemispheric mean ocean heating rates for the SH than the NH. ORAS6-ctrl shows the best </w:t>
      </w:r>
      <w:r w:rsidR="006D4D18" w:rsidRPr="00B67F80">
        <w:rPr>
          <w:color w:val="000000" w:themeColor="text1"/>
        </w:rPr>
        <w:t xml:space="preserve">overall </w:t>
      </w:r>
      <w:r w:rsidR="00EC009F" w:rsidRPr="00B67F80">
        <w:rPr>
          <w:color w:val="000000" w:themeColor="text1"/>
        </w:rPr>
        <w:t xml:space="preserve">agreement with Argo and Argo+SA. For ORAP6.1, the SH heating rate is a factor of 2.5 smaller than the NH value, and a factor of 3 smaller compared to the SH values from the other datasets. </w:t>
      </w:r>
      <w:r w:rsidRPr="00B67F80">
        <w:rPr>
          <w:color w:val="000000" w:themeColor="text1"/>
        </w:rPr>
        <w:t>All</w:t>
      </w:r>
      <w:r w:rsidR="002D475F" w:rsidRPr="00B67F80">
        <w:rPr>
          <w:color w:val="000000" w:themeColor="text1"/>
        </w:rPr>
        <w:t xml:space="preserve"> the ocean datasets</w:t>
      </w:r>
      <w:r w:rsidR="009D362C" w:rsidRPr="00B67F80">
        <w:rPr>
          <w:color w:val="000000" w:themeColor="text1"/>
        </w:rPr>
        <w:t xml:space="preserve"> show</w:t>
      </w:r>
      <w:r w:rsidR="002D475F" w:rsidRPr="00B67F80">
        <w:rPr>
          <w:color w:val="000000" w:themeColor="text1"/>
        </w:rPr>
        <w:t xml:space="preserve"> larger trends in ocean heating rate in the NH than the SH after 2005, but there is poor agreement on the magnitude of the trends. </w:t>
      </w:r>
      <w:r w:rsidR="00504B10" w:rsidRPr="00B67F80">
        <w:rPr>
          <w:color w:val="000000" w:themeColor="text1"/>
        </w:rPr>
        <w:t xml:space="preserve">Consequently, </w:t>
      </w:r>
      <w:r w:rsidR="002D475F" w:rsidRPr="00B67F80">
        <w:rPr>
          <w:color w:val="000000" w:themeColor="text1"/>
        </w:rPr>
        <w:t xml:space="preserve">determination of trends in ocean heat transport derived as a residual between net surface flux and ocean heating rate </w:t>
      </w:r>
      <w:r w:rsidR="00504B10" w:rsidRPr="00B67F80">
        <w:rPr>
          <w:color w:val="000000" w:themeColor="text1"/>
        </w:rPr>
        <w:t xml:space="preserve">is </w:t>
      </w:r>
      <w:r w:rsidR="002D475F" w:rsidRPr="00B67F80">
        <w:rPr>
          <w:color w:val="000000" w:themeColor="text1"/>
        </w:rPr>
        <w:t xml:space="preserve">highly uncertain. </w:t>
      </w:r>
    </w:p>
    <w:p w14:paraId="6688A82F" w14:textId="77777777" w:rsidR="00E7194F" w:rsidRPr="007C7EF4" w:rsidRDefault="00E7194F" w:rsidP="00E7194F">
      <w:pPr>
        <w:keepNext/>
        <w:jc w:val="both"/>
        <w:rPr>
          <w:rFonts w:eastAsiaTheme="minorEastAsia"/>
          <w:color w:val="000000" w:themeColor="text1"/>
        </w:rPr>
      </w:pPr>
      <w:r w:rsidRPr="007C7EF4">
        <w:rPr>
          <w:b/>
          <w:color w:val="000000" w:themeColor="text1"/>
        </w:rPr>
        <w:t>Acknowledgements</w:t>
      </w:r>
      <w:r w:rsidRPr="007C7EF4">
        <w:rPr>
          <w:rFonts w:eastAsiaTheme="minorEastAsia"/>
          <w:color w:val="000000" w:themeColor="text1"/>
        </w:rPr>
        <w:t xml:space="preserve"> </w:t>
      </w:r>
    </w:p>
    <w:p w14:paraId="23A8F29C" w14:textId="77777777" w:rsidR="00E7194F" w:rsidRPr="007C7EF4" w:rsidRDefault="00E7194F" w:rsidP="00E7194F">
      <w:pPr>
        <w:ind w:firstLine="720"/>
      </w:pPr>
      <w:r w:rsidRPr="007C7EF4">
        <w:rPr>
          <w:color w:val="000000" w:themeColor="text1"/>
        </w:rPr>
        <w:t xml:space="preserve">We thank the CERES science, algorithm, and data management teams and the NASA Science Mission Directorate for supporting this research. MM’s contribution was funded by EU </w:t>
      </w:r>
      <w:r w:rsidRPr="007C7EF4">
        <w:rPr>
          <w:color w:val="000000" w:themeColor="text1"/>
        </w:rPr>
        <w:lastRenderedPageBreak/>
        <w:t>H2020 Grant agreement No. 862626 (EUROSEA) as well as Austrian Science Fund project P33177. This is PMEL Contribution Number 5351.</w:t>
      </w:r>
    </w:p>
    <w:p w14:paraId="237014DA" w14:textId="77777777" w:rsidR="00E7194F" w:rsidRPr="007C7EF4" w:rsidRDefault="00E7194F" w:rsidP="00E7194F"/>
    <w:p w14:paraId="1DDCC24B" w14:textId="77777777" w:rsidR="00E7194F" w:rsidRPr="00C11FAF" w:rsidRDefault="00E7194F" w:rsidP="00E7194F">
      <w:pPr>
        <w:rPr>
          <w:b/>
          <w:bCs/>
        </w:rPr>
      </w:pPr>
      <w:r w:rsidRPr="007C7EF4">
        <w:rPr>
          <w:b/>
          <w:bCs/>
        </w:rPr>
        <w:t>Open Research</w:t>
      </w:r>
    </w:p>
    <w:p w14:paraId="39167B95" w14:textId="77777777" w:rsidR="00E7194F" w:rsidRPr="007C7EF4" w:rsidRDefault="00E7194F" w:rsidP="00E7194F">
      <w:r w:rsidRPr="007C7EF4">
        <w:t>Data Availability Statement</w:t>
      </w:r>
    </w:p>
    <w:p w14:paraId="65043698" w14:textId="7BB09606" w:rsidR="00E7194F" w:rsidRDefault="00E7194F" w:rsidP="00E7194F">
      <w:pPr>
        <w:keepNext/>
        <w:jc w:val="both"/>
      </w:pPr>
      <w:r w:rsidRPr="007C7EF4">
        <w:t>CERES_EBAF Ed4.1 was obtained from the CERES ordering page at http://ceres.larc.nasa.gov/order_data.php. ERA5 data are publicly available via the Copernicus Climate Change Service climate. (</w:t>
      </w:r>
      <w:hyperlink r:id="rId9" w:history="1">
        <w:r w:rsidRPr="001E01C2">
          <w:rPr>
            <w:rStyle w:val="Hyperlink"/>
          </w:rPr>
          <w:t>https://confluence.ecmwf.int/display/CKB/</w:t>
        </w:r>
      </w:hyperlink>
      <w:r w:rsidRPr="007C7EF4">
        <w:t>).</w:t>
      </w:r>
    </w:p>
    <w:p w14:paraId="17B37588" w14:textId="75A72CC0" w:rsidR="00804F98" w:rsidRDefault="00804F98" w:rsidP="00804F98">
      <w:pPr>
        <w:ind w:firstLine="720"/>
        <w:jc w:val="both"/>
        <w:rPr>
          <w:color w:val="000000" w:themeColor="text1"/>
        </w:rPr>
      </w:pPr>
    </w:p>
    <w:p w14:paraId="7C16C373" w14:textId="42E846B6" w:rsidR="00115FBC" w:rsidRDefault="00115FBC" w:rsidP="00804F98">
      <w:pPr>
        <w:ind w:firstLine="720"/>
        <w:jc w:val="both"/>
        <w:rPr>
          <w:color w:val="000000" w:themeColor="text1"/>
        </w:rPr>
      </w:pPr>
    </w:p>
    <w:p w14:paraId="63ED8CE8" w14:textId="77777777" w:rsidR="00115FBC" w:rsidRPr="00B67F80" w:rsidRDefault="00115FBC" w:rsidP="00804F98">
      <w:pPr>
        <w:ind w:firstLine="720"/>
        <w:jc w:val="both"/>
        <w:rPr>
          <w:color w:val="000000" w:themeColor="text1"/>
        </w:rPr>
      </w:pPr>
    </w:p>
    <w:p w14:paraId="5CF2E1EE" w14:textId="77777777" w:rsidR="00BC3452" w:rsidRDefault="00BC3452">
      <w:pPr>
        <w:rPr>
          <w:color w:val="000000" w:themeColor="text1"/>
        </w:rPr>
      </w:pPr>
      <w:r>
        <w:rPr>
          <w:color w:val="000000" w:themeColor="text1"/>
        </w:rPr>
        <w:br w:type="page"/>
      </w:r>
    </w:p>
    <w:p w14:paraId="679FF505" w14:textId="157B3614" w:rsidR="00BC3452" w:rsidRPr="00BC3452" w:rsidRDefault="00BC3452" w:rsidP="00BC3452">
      <w:pPr>
        <w:jc w:val="both"/>
        <w:rPr>
          <w:b/>
          <w:bCs/>
          <w:color w:val="000000" w:themeColor="text1"/>
        </w:rPr>
      </w:pPr>
      <w:r>
        <w:rPr>
          <w:b/>
          <w:bCs/>
          <w:color w:val="000000" w:themeColor="text1"/>
        </w:rPr>
        <w:lastRenderedPageBreak/>
        <w:t xml:space="preserve">6. </w:t>
      </w:r>
      <w:r w:rsidRPr="00BC3452">
        <w:rPr>
          <w:b/>
          <w:bCs/>
          <w:color w:val="000000" w:themeColor="text1"/>
        </w:rPr>
        <w:t>Figure Captions</w:t>
      </w:r>
    </w:p>
    <w:p w14:paraId="1C57AF72" w14:textId="77777777" w:rsidR="00BC3452" w:rsidRDefault="00BC3452" w:rsidP="00BC3452">
      <w:pPr>
        <w:jc w:val="both"/>
        <w:rPr>
          <w:color w:val="000000" w:themeColor="text1"/>
        </w:rPr>
      </w:pPr>
    </w:p>
    <w:p w14:paraId="05CE2B01" w14:textId="0F0BE843" w:rsidR="00BC3452" w:rsidRDefault="00BC3452" w:rsidP="00BC3452">
      <w:pPr>
        <w:rPr>
          <w:lang w:eastAsia="zh-CN" w:bidi="th-TH"/>
        </w:rPr>
      </w:pPr>
      <w:r w:rsidRPr="001B4B85">
        <w:rPr>
          <w:b/>
          <w:bCs/>
          <w:lang w:eastAsia="zh-CN" w:bidi="th-TH"/>
        </w:rPr>
        <w:t>Figure 1.</w:t>
      </w:r>
      <w:r w:rsidRPr="001B4B85">
        <w:rPr>
          <w:lang w:eastAsia="zh-CN" w:bidi="th-TH"/>
        </w:rPr>
        <w:t xml:space="preserve"> </w:t>
      </w:r>
      <w:r w:rsidR="004B022F" w:rsidRPr="004B022F">
        <w:rPr>
          <w:lang w:eastAsia="zh-CN" w:bidi="th-TH"/>
        </w:rPr>
        <w:t>Trends in TOA Net Radiation for 2000/03-2020/02. (a) CERES-EBAF, (b) ERA5 forecasts and (c) IFS AMIP.</w:t>
      </w:r>
    </w:p>
    <w:p w14:paraId="51546F8C" w14:textId="77777777" w:rsidR="00BC3452" w:rsidRDefault="00BC3452" w:rsidP="00BC3452">
      <w:pPr>
        <w:rPr>
          <w:lang w:eastAsia="zh-CN" w:bidi="th-TH"/>
        </w:rPr>
      </w:pPr>
    </w:p>
    <w:p w14:paraId="61BB0214" w14:textId="5F082044" w:rsidR="004B022F" w:rsidRDefault="004B022F" w:rsidP="004B022F">
      <w:pPr>
        <w:rPr>
          <w:lang w:eastAsia="zh-CN" w:bidi="th-TH"/>
        </w:rPr>
      </w:pPr>
      <w:r w:rsidRPr="001B4B85">
        <w:rPr>
          <w:b/>
          <w:bCs/>
          <w:lang w:eastAsia="zh-CN" w:bidi="th-TH"/>
        </w:rPr>
        <w:t xml:space="preserve">Figure </w:t>
      </w:r>
      <w:r>
        <w:rPr>
          <w:b/>
          <w:bCs/>
          <w:lang w:eastAsia="zh-CN" w:bidi="th-TH"/>
        </w:rPr>
        <w:t>2</w:t>
      </w:r>
      <w:r w:rsidRPr="001B4B85">
        <w:rPr>
          <w:b/>
          <w:bCs/>
          <w:lang w:eastAsia="zh-CN" w:bidi="th-TH"/>
        </w:rPr>
        <w:t>.</w:t>
      </w:r>
      <w:r w:rsidRPr="001B4B85">
        <w:rPr>
          <w:lang w:eastAsia="zh-CN" w:bidi="th-TH"/>
        </w:rPr>
        <w:t xml:space="preserve"> </w:t>
      </w:r>
      <w:r w:rsidRPr="004B022F">
        <w:rPr>
          <w:lang w:eastAsia="zh-CN" w:bidi="th-TH"/>
        </w:rPr>
        <w:t>CERES net TOA flux trends against record length for CERES SSF1deg Terra (top) and Terra – Aqua (bottom) for (a, d) SH, (b, e) NH, (c, f) Global. Start date is 03/2000 for Terra and 07/2002 for Terra – Aqua. Gray shading corresponds to 95% confidence interval.</w:t>
      </w:r>
    </w:p>
    <w:p w14:paraId="55CAB302" w14:textId="49DA53FD" w:rsidR="004B022F" w:rsidRDefault="004B022F" w:rsidP="004B022F">
      <w:pPr>
        <w:rPr>
          <w:lang w:eastAsia="zh-CN" w:bidi="th-TH"/>
        </w:rPr>
      </w:pPr>
    </w:p>
    <w:p w14:paraId="0AA4F5E3" w14:textId="296CC6E6" w:rsidR="004B022F" w:rsidRDefault="004B022F" w:rsidP="004B022F">
      <w:pPr>
        <w:rPr>
          <w:lang w:eastAsia="zh-CN" w:bidi="th-TH"/>
        </w:rPr>
      </w:pPr>
      <w:r w:rsidRPr="001B4B85">
        <w:rPr>
          <w:b/>
          <w:bCs/>
          <w:lang w:eastAsia="zh-CN" w:bidi="th-TH"/>
        </w:rPr>
        <w:t xml:space="preserve">Figure </w:t>
      </w:r>
      <w:r>
        <w:rPr>
          <w:b/>
          <w:bCs/>
          <w:lang w:eastAsia="zh-CN" w:bidi="th-TH"/>
        </w:rPr>
        <w:t>3</w:t>
      </w:r>
      <w:r w:rsidRPr="001B4B85">
        <w:rPr>
          <w:b/>
          <w:bCs/>
          <w:lang w:eastAsia="zh-CN" w:bidi="th-TH"/>
        </w:rPr>
        <w:t>.</w:t>
      </w:r>
      <w:r w:rsidRPr="001B4B85">
        <w:rPr>
          <w:lang w:eastAsia="zh-CN" w:bidi="th-TH"/>
        </w:rPr>
        <w:t xml:space="preserve"> </w:t>
      </w:r>
      <w:r w:rsidRPr="004B022F">
        <w:rPr>
          <w:lang w:eastAsia="zh-CN" w:bidi="th-TH"/>
        </w:rPr>
        <w:t>Trends in TEDIV for 2000/03-2020/02. (a) ERA5 Analysis (directly from wind, T, q etc), (b) ERA5 forecasts (net TOA – FS) and (c) IFS AMIP (net TOA – FS).</w:t>
      </w:r>
    </w:p>
    <w:p w14:paraId="57D4DB2A" w14:textId="77777777" w:rsidR="004B022F" w:rsidRDefault="004B022F" w:rsidP="004B022F">
      <w:pPr>
        <w:rPr>
          <w:lang w:eastAsia="zh-CN" w:bidi="th-TH"/>
        </w:rPr>
      </w:pPr>
    </w:p>
    <w:p w14:paraId="305DD26E" w14:textId="5D573FE5" w:rsidR="004B022F" w:rsidRDefault="004B022F" w:rsidP="004B022F">
      <w:pPr>
        <w:rPr>
          <w:lang w:eastAsia="zh-CN" w:bidi="th-TH"/>
        </w:rPr>
      </w:pPr>
      <w:r w:rsidRPr="001B4B85">
        <w:rPr>
          <w:b/>
          <w:bCs/>
          <w:lang w:eastAsia="zh-CN" w:bidi="th-TH"/>
        </w:rPr>
        <w:t xml:space="preserve">Figure </w:t>
      </w:r>
      <w:r>
        <w:rPr>
          <w:b/>
          <w:bCs/>
          <w:lang w:eastAsia="zh-CN" w:bidi="th-TH"/>
        </w:rPr>
        <w:t>4</w:t>
      </w:r>
      <w:r w:rsidRPr="001B4B85">
        <w:rPr>
          <w:b/>
          <w:bCs/>
          <w:lang w:eastAsia="zh-CN" w:bidi="th-TH"/>
        </w:rPr>
        <w:t>.</w:t>
      </w:r>
      <w:r w:rsidRPr="001B4B85">
        <w:rPr>
          <w:lang w:eastAsia="zh-CN" w:bidi="th-TH"/>
        </w:rPr>
        <w:t xml:space="preserve"> </w:t>
      </w:r>
      <w:r w:rsidRPr="004B022F">
        <w:rPr>
          <w:lang w:eastAsia="zh-CN" w:bidi="th-TH"/>
        </w:rPr>
        <w:t>Trends in surface flux (positive downward) for 2000/03-2020/02. (a) Inferred (CERES TOA Net − ERA5 TEDIV), (b) ERA5 forecasts and (c) IFS AMIP.</w:t>
      </w:r>
    </w:p>
    <w:p w14:paraId="1A5E825B" w14:textId="77777777" w:rsidR="004B022F" w:rsidRDefault="004B022F" w:rsidP="004B022F">
      <w:pPr>
        <w:rPr>
          <w:lang w:eastAsia="zh-CN" w:bidi="th-TH"/>
        </w:rPr>
      </w:pPr>
    </w:p>
    <w:p w14:paraId="50319C78" w14:textId="0F030DFA" w:rsidR="004B022F" w:rsidRDefault="004B022F" w:rsidP="004B022F">
      <w:pPr>
        <w:rPr>
          <w:lang w:eastAsia="zh-CN" w:bidi="th-TH"/>
        </w:rPr>
      </w:pPr>
      <w:r w:rsidRPr="001B4B85">
        <w:rPr>
          <w:b/>
          <w:bCs/>
          <w:lang w:eastAsia="zh-CN" w:bidi="th-TH"/>
        </w:rPr>
        <w:t xml:space="preserve">Figure </w:t>
      </w:r>
      <w:r>
        <w:rPr>
          <w:b/>
          <w:bCs/>
          <w:lang w:eastAsia="zh-CN" w:bidi="th-TH"/>
        </w:rPr>
        <w:t>5</w:t>
      </w:r>
      <w:r w:rsidRPr="001B4B85">
        <w:rPr>
          <w:b/>
          <w:bCs/>
          <w:lang w:eastAsia="zh-CN" w:bidi="th-TH"/>
        </w:rPr>
        <w:t>.</w:t>
      </w:r>
      <w:r w:rsidRPr="001B4B85">
        <w:rPr>
          <w:lang w:eastAsia="zh-CN" w:bidi="th-TH"/>
        </w:rPr>
        <w:t xml:space="preserve"> </w:t>
      </w:r>
      <w:r w:rsidRPr="004B022F">
        <w:rPr>
          <w:lang w:eastAsia="zh-CN" w:bidi="th-TH"/>
        </w:rPr>
        <w:t>Trend for 200208-202002 in net total radiative flux at the surface (positive down) from (a) CERES and (b) ERA5 forecasts.</w:t>
      </w:r>
    </w:p>
    <w:p w14:paraId="033BDF1B" w14:textId="08738C0A" w:rsidR="004B022F" w:rsidRDefault="004B022F" w:rsidP="004B022F">
      <w:pPr>
        <w:rPr>
          <w:lang w:eastAsia="zh-CN" w:bidi="th-TH"/>
        </w:rPr>
      </w:pPr>
    </w:p>
    <w:p w14:paraId="311FC5C2" w14:textId="0A293C34" w:rsidR="004B022F" w:rsidRDefault="004B022F" w:rsidP="004B022F">
      <w:pPr>
        <w:rPr>
          <w:lang w:eastAsia="zh-CN" w:bidi="th-TH"/>
        </w:rPr>
      </w:pPr>
      <w:r w:rsidRPr="001B4B85">
        <w:rPr>
          <w:b/>
          <w:bCs/>
          <w:lang w:eastAsia="zh-CN" w:bidi="th-TH"/>
        </w:rPr>
        <w:t xml:space="preserve">Figure </w:t>
      </w:r>
      <w:r>
        <w:rPr>
          <w:b/>
          <w:bCs/>
          <w:lang w:eastAsia="zh-CN" w:bidi="th-TH"/>
        </w:rPr>
        <w:t>6</w:t>
      </w:r>
      <w:r w:rsidRPr="001B4B85">
        <w:rPr>
          <w:b/>
          <w:bCs/>
          <w:lang w:eastAsia="zh-CN" w:bidi="th-TH"/>
        </w:rPr>
        <w:t>.</w:t>
      </w:r>
      <w:r w:rsidRPr="001B4B85">
        <w:rPr>
          <w:lang w:eastAsia="zh-CN" w:bidi="th-TH"/>
        </w:rPr>
        <w:t xml:space="preserve"> </w:t>
      </w:r>
      <w:r w:rsidRPr="004B022F">
        <w:rPr>
          <w:lang w:eastAsia="zh-CN" w:bidi="th-TH"/>
        </w:rPr>
        <w:t>Trends in surface turbulent heat flux (positive downward) for 2002/08-2020/02. (a) Inferred (CERES TOA Net − ERA5 TEDIV − CERES Surface Net) and (b) ERA5 forecasts.</w:t>
      </w:r>
    </w:p>
    <w:p w14:paraId="53D02044" w14:textId="77777777" w:rsidR="004B022F" w:rsidRDefault="004B022F" w:rsidP="004B022F">
      <w:pPr>
        <w:rPr>
          <w:lang w:eastAsia="zh-CN" w:bidi="th-TH"/>
        </w:rPr>
      </w:pPr>
    </w:p>
    <w:p w14:paraId="6668BC88" w14:textId="0AB45902" w:rsidR="004B022F" w:rsidRDefault="004B022F" w:rsidP="004B022F">
      <w:pPr>
        <w:rPr>
          <w:lang w:eastAsia="zh-CN" w:bidi="th-TH"/>
        </w:rPr>
      </w:pPr>
      <w:r w:rsidRPr="001B4B85">
        <w:rPr>
          <w:b/>
          <w:bCs/>
          <w:lang w:eastAsia="zh-CN" w:bidi="th-TH"/>
        </w:rPr>
        <w:t xml:space="preserve">Figure </w:t>
      </w:r>
      <w:r>
        <w:rPr>
          <w:b/>
          <w:bCs/>
          <w:lang w:eastAsia="zh-CN" w:bidi="th-TH"/>
        </w:rPr>
        <w:t>7</w:t>
      </w:r>
      <w:r w:rsidRPr="001B4B85">
        <w:rPr>
          <w:b/>
          <w:bCs/>
          <w:lang w:eastAsia="zh-CN" w:bidi="th-TH"/>
        </w:rPr>
        <w:t>.</w:t>
      </w:r>
      <w:r w:rsidRPr="001B4B85">
        <w:rPr>
          <w:lang w:eastAsia="zh-CN" w:bidi="th-TH"/>
        </w:rPr>
        <w:t xml:space="preserve"> </w:t>
      </w:r>
      <w:r w:rsidRPr="004B022F">
        <w:rPr>
          <w:lang w:eastAsia="zh-CN" w:bidi="th-TH"/>
        </w:rPr>
        <w:t>Monthly global anomalies in ocean heating rate for (a) ORAS5, (b) ORAP6.1, (c) ORAP6-ctrl.</w:t>
      </w:r>
    </w:p>
    <w:p w14:paraId="43C74CCF" w14:textId="7012C09F" w:rsidR="004B022F" w:rsidRDefault="004B022F" w:rsidP="004B022F">
      <w:pPr>
        <w:rPr>
          <w:lang w:eastAsia="zh-CN" w:bidi="th-TH"/>
        </w:rPr>
      </w:pPr>
    </w:p>
    <w:p w14:paraId="1A748907" w14:textId="4D1736DA" w:rsidR="004B022F" w:rsidRDefault="004B022F" w:rsidP="004B022F">
      <w:pPr>
        <w:rPr>
          <w:lang w:eastAsia="zh-CN" w:bidi="th-TH"/>
        </w:rPr>
      </w:pPr>
      <w:r w:rsidRPr="001B4B85">
        <w:rPr>
          <w:b/>
          <w:bCs/>
          <w:lang w:eastAsia="zh-CN" w:bidi="th-TH"/>
        </w:rPr>
        <w:t xml:space="preserve">Figure </w:t>
      </w:r>
      <w:r>
        <w:rPr>
          <w:b/>
          <w:bCs/>
          <w:lang w:eastAsia="zh-CN" w:bidi="th-TH"/>
        </w:rPr>
        <w:t>8</w:t>
      </w:r>
      <w:r w:rsidRPr="001B4B85">
        <w:rPr>
          <w:b/>
          <w:bCs/>
          <w:lang w:eastAsia="zh-CN" w:bidi="th-TH"/>
        </w:rPr>
        <w:t>.</w:t>
      </w:r>
      <w:r w:rsidRPr="001B4B85">
        <w:rPr>
          <w:lang w:eastAsia="zh-CN" w:bidi="th-TH"/>
        </w:rPr>
        <w:t xml:space="preserve"> </w:t>
      </w:r>
      <w:r w:rsidRPr="004B022F">
        <w:rPr>
          <w:lang w:eastAsia="zh-CN" w:bidi="th-TH"/>
        </w:rPr>
        <w:t>Global annual mean variation in CERES net TOA flux and ocean heating rate for 0-700 m and full-depth or 0-2000 m for: (a) ORAS5; (b) ORAP6.1; (c) ORAP6-ctrl; (d) Argo; (e) Argo+SLA.</w:t>
      </w:r>
    </w:p>
    <w:p w14:paraId="063C22BE" w14:textId="21462DCC" w:rsidR="00E62BE3" w:rsidRPr="00B67F80" w:rsidRDefault="00E62BE3" w:rsidP="00BC3452">
      <w:pPr>
        <w:jc w:val="both"/>
        <w:rPr>
          <w:rFonts w:eastAsiaTheme="minorEastAsia"/>
          <w:color w:val="000000" w:themeColor="text1"/>
        </w:rPr>
      </w:pPr>
      <w:r w:rsidRPr="00B67F80">
        <w:rPr>
          <w:color w:val="000000" w:themeColor="text1"/>
        </w:rPr>
        <w:br w:type="page"/>
      </w:r>
    </w:p>
    <w:p w14:paraId="510F24E6" w14:textId="2D30F18F" w:rsidR="002E7889" w:rsidRPr="00B67F80" w:rsidRDefault="00BC3452" w:rsidP="0017616E">
      <w:pPr>
        <w:spacing w:after="240"/>
        <w:ind w:left="360" w:hanging="360"/>
        <w:rPr>
          <w:b/>
          <w:bCs/>
          <w:color w:val="000000" w:themeColor="text1"/>
        </w:rPr>
      </w:pPr>
      <w:r>
        <w:rPr>
          <w:b/>
          <w:bCs/>
          <w:color w:val="000000" w:themeColor="text1"/>
        </w:rPr>
        <w:lastRenderedPageBreak/>
        <w:t xml:space="preserve">7. </w:t>
      </w:r>
      <w:r w:rsidR="0079421B" w:rsidRPr="00B67F80">
        <w:rPr>
          <w:b/>
          <w:bCs/>
          <w:color w:val="000000" w:themeColor="text1"/>
        </w:rPr>
        <w:t>References</w:t>
      </w:r>
    </w:p>
    <w:p w14:paraId="062097A8" w14:textId="789BEFBD" w:rsidR="00FE3A6E" w:rsidRPr="00B67F80" w:rsidRDefault="00FE3A6E" w:rsidP="00FE3A6E">
      <w:pPr>
        <w:ind w:left="547" w:hanging="547"/>
        <w:rPr>
          <w:color w:val="000000" w:themeColor="text1"/>
        </w:rPr>
      </w:pPr>
      <w:r w:rsidRPr="00B67F80">
        <w:rPr>
          <w:color w:val="000000" w:themeColor="text1"/>
        </w:rPr>
        <w:t xml:space="preserve">Bryan, K. 1982. </w:t>
      </w:r>
      <w:r w:rsidR="006C643B" w:rsidRPr="00B67F80">
        <w:rPr>
          <w:color w:val="000000" w:themeColor="text1"/>
        </w:rPr>
        <w:t>Poleward</w:t>
      </w:r>
      <w:r w:rsidRPr="00B67F80">
        <w:rPr>
          <w:color w:val="000000" w:themeColor="text1"/>
        </w:rPr>
        <w:t xml:space="preserve"> heat transport by the ocean: Observations and models. </w:t>
      </w:r>
      <w:r w:rsidRPr="00B67F80">
        <w:rPr>
          <w:i/>
          <w:iCs/>
          <w:color w:val="000000" w:themeColor="text1"/>
        </w:rPr>
        <w:t xml:space="preserve">Ann. Rev. Earth Planet. Sci. 10, </w:t>
      </w:r>
      <w:r w:rsidRPr="00B67F80">
        <w:rPr>
          <w:color w:val="000000" w:themeColor="text1"/>
        </w:rPr>
        <w:t>15-30.</w:t>
      </w:r>
    </w:p>
    <w:p w14:paraId="3289ADAB" w14:textId="77777777" w:rsidR="00FE3A6E" w:rsidRPr="00B67F80" w:rsidRDefault="00FE3A6E" w:rsidP="00E22C77">
      <w:pPr>
        <w:ind w:left="547" w:hanging="547"/>
        <w:rPr>
          <w:color w:val="000000" w:themeColor="text1"/>
        </w:rPr>
      </w:pPr>
    </w:p>
    <w:p w14:paraId="5A3866FF" w14:textId="20573894" w:rsidR="00C8087E" w:rsidRPr="00B67F80" w:rsidRDefault="00C8087E">
      <w:pPr>
        <w:ind w:left="547" w:hanging="547"/>
        <w:rPr>
          <w:color w:val="000000" w:themeColor="text1"/>
          <w:lang w:val="de-AT"/>
        </w:rPr>
      </w:pPr>
      <w:r w:rsidRPr="00B67F80">
        <w:rPr>
          <w:color w:val="000000" w:themeColor="text1"/>
        </w:rPr>
        <w:t xml:space="preserve">Buizza, R., and Coauthors, 2018: Advancing global and regional reanalyses. </w:t>
      </w:r>
      <w:r w:rsidRPr="00B67F80">
        <w:rPr>
          <w:color w:val="000000" w:themeColor="text1"/>
          <w:lang w:val="de-AT"/>
        </w:rPr>
        <w:t>Bull. Amer. Meteor. Soc., 99, ES139–ES144, https://doi.org/10.1175/BAMS-D-17-0312.1.</w:t>
      </w:r>
    </w:p>
    <w:p w14:paraId="6CC2E686" w14:textId="77777777" w:rsidR="00C8087E" w:rsidRPr="00B67F80" w:rsidRDefault="00C8087E" w:rsidP="00E22C77">
      <w:pPr>
        <w:ind w:left="547" w:hanging="547"/>
        <w:rPr>
          <w:color w:val="000000" w:themeColor="text1"/>
          <w:lang w:val="de-AT"/>
        </w:rPr>
      </w:pPr>
    </w:p>
    <w:p w14:paraId="60AF9FF9" w14:textId="75663317" w:rsidR="00E22C77" w:rsidRPr="00B67F80" w:rsidRDefault="00E22C77" w:rsidP="00E22C77">
      <w:pPr>
        <w:ind w:left="547" w:hanging="547"/>
        <w:rPr>
          <w:color w:val="000000" w:themeColor="text1"/>
        </w:rPr>
      </w:pPr>
      <w:r w:rsidRPr="00B67F80">
        <w:rPr>
          <w:color w:val="000000" w:themeColor="text1"/>
        </w:rPr>
        <w:t xml:space="preserve">Collins, W. D., P. J. Rasch, B. E. Eaton, B. V. Khattatov, J.-F. Lamarque, and C. S. </w:t>
      </w:r>
      <w:proofErr w:type="spellStart"/>
      <w:r w:rsidRPr="00B67F80">
        <w:rPr>
          <w:color w:val="000000" w:themeColor="text1"/>
        </w:rPr>
        <w:t>Zender</w:t>
      </w:r>
      <w:proofErr w:type="spellEnd"/>
      <w:r w:rsidRPr="00B67F80">
        <w:rPr>
          <w:color w:val="000000" w:themeColor="text1"/>
        </w:rPr>
        <w:t xml:space="preserve">, 2001: Simulating aerosols using a chemical transport model with assimilation of satellite aerosol retrievals: Methodology for INDOEX. J. </w:t>
      </w:r>
      <w:proofErr w:type="spellStart"/>
      <w:r w:rsidRPr="00B67F80">
        <w:rPr>
          <w:color w:val="000000" w:themeColor="text1"/>
        </w:rPr>
        <w:t>Geophys</w:t>
      </w:r>
      <w:proofErr w:type="spellEnd"/>
      <w:r w:rsidRPr="00B67F80">
        <w:rPr>
          <w:color w:val="000000" w:themeColor="text1"/>
        </w:rPr>
        <w:t>. Res., 106, 7313–7336, doi:10.1029/2000JD900507.</w:t>
      </w:r>
    </w:p>
    <w:p w14:paraId="5D308C72" w14:textId="77777777" w:rsidR="00E22C77" w:rsidRPr="00B67F80" w:rsidRDefault="00E22C77" w:rsidP="00E13D52">
      <w:pPr>
        <w:ind w:left="547" w:hanging="547"/>
        <w:rPr>
          <w:color w:val="000000" w:themeColor="text1"/>
        </w:rPr>
      </w:pPr>
    </w:p>
    <w:p w14:paraId="726D77F3" w14:textId="3A10927E" w:rsidR="00910515" w:rsidRPr="00B67F80" w:rsidRDefault="00910515" w:rsidP="00910515">
      <w:pPr>
        <w:ind w:left="547" w:hanging="547"/>
        <w:rPr>
          <w:color w:val="000000" w:themeColor="text1"/>
        </w:rPr>
      </w:pPr>
      <w:r w:rsidRPr="00B67F80">
        <w:rPr>
          <w:color w:val="000000" w:themeColor="text1"/>
        </w:rPr>
        <w:t>Datseris, G., &amp; Stevens, B. (2021). Earth’s albedo and its symmetry. AGU Advances, 2, e2021AV000440. https:// doi.org/10.1029/2021AV000440.</w:t>
      </w:r>
    </w:p>
    <w:p w14:paraId="1DD9D3B6" w14:textId="77777777" w:rsidR="00910515" w:rsidRPr="00B67F80" w:rsidRDefault="00910515">
      <w:pPr>
        <w:ind w:left="547" w:hanging="547"/>
        <w:rPr>
          <w:color w:val="000000" w:themeColor="text1"/>
        </w:rPr>
      </w:pPr>
    </w:p>
    <w:p w14:paraId="09CEE7E7" w14:textId="0DAF6C49" w:rsidR="004A2EA2" w:rsidRPr="00B67F80" w:rsidRDefault="004A2EA2">
      <w:pPr>
        <w:ind w:left="547" w:hanging="547"/>
        <w:rPr>
          <w:color w:val="000000" w:themeColor="text1"/>
        </w:rPr>
      </w:pPr>
      <w:r w:rsidRPr="00B67F80">
        <w:rPr>
          <w:color w:val="000000" w:themeColor="text1"/>
        </w:rPr>
        <w:t xml:space="preserve">Dee, D. P., M. Balmaseda, G. Balsamo, R. </w:t>
      </w:r>
      <w:proofErr w:type="spellStart"/>
      <w:r w:rsidRPr="00B67F80">
        <w:rPr>
          <w:color w:val="000000" w:themeColor="text1"/>
        </w:rPr>
        <w:t>Engelen</w:t>
      </w:r>
      <w:proofErr w:type="spellEnd"/>
      <w:r w:rsidRPr="00B67F80">
        <w:rPr>
          <w:color w:val="000000" w:themeColor="text1"/>
        </w:rPr>
        <w:t xml:space="preserve">, A. J. Simmons, and J.-N. </w:t>
      </w:r>
      <w:proofErr w:type="spellStart"/>
      <w:r w:rsidRPr="00B67F80">
        <w:rPr>
          <w:color w:val="000000" w:themeColor="text1"/>
        </w:rPr>
        <w:t>Thépaut</w:t>
      </w:r>
      <w:proofErr w:type="spellEnd"/>
      <w:r w:rsidRPr="00B67F80">
        <w:rPr>
          <w:color w:val="000000" w:themeColor="text1"/>
        </w:rPr>
        <w:t>, 2014: Toward a consistent reanalysis of the climate system. Bull. Amer. Meteor. Soc., 95, 1235–1248, https://doi.org/10.1175/BAMS-D-13-00043.1.</w:t>
      </w:r>
    </w:p>
    <w:p w14:paraId="1EDDAF63" w14:textId="77777777" w:rsidR="004A2EA2" w:rsidRPr="00B67F80" w:rsidRDefault="004A2EA2" w:rsidP="00B317E1">
      <w:pPr>
        <w:ind w:left="547" w:hanging="547"/>
        <w:rPr>
          <w:color w:val="000000" w:themeColor="text1"/>
        </w:rPr>
      </w:pPr>
    </w:p>
    <w:p w14:paraId="598E9C5A" w14:textId="756E2DBD" w:rsidR="00B317E1" w:rsidRPr="00B67F80" w:rsidRDefault="00B317E1" w:rsidP="00B317E1">
      <w:pPr>
        <w:ind w:left="547" w:hanging="547"/>
        <w:rPr>
          <w:color w:val="000000" w:themeColor="text1"/>
        </w:rPr>
      </w:pPr>
      <w:r w:rsidRPr="00B67F80">
        <w:rPr>
          <w:color w:val="000000" w:themeColor="text1"/>
        </w:rPr>
        <w:t xml:space="preserve">Dines, W. H., 1917: The heat balance of the atmosphere, J. R. </w:t>
      </w:r>
      <w:proofErr w:type="spellStart"/>
      <w:r w:rsidRPr="00B67F80">
        <w:rPr>
          <w:color w:val="000000" w:themeColor="text1"/>
        </w:rPr>
        <w:t>Meteorol</w:t>
      </w:r>
      <w:proofErr w:type="spellEnd"/>
      <w:r w:rsidRPr="00B67F80">
        <w:rPr>
          <w:color w:val="000000" w:themeColor="text1"/>
        </w:rPr>
        <w:t>. Joc., 43, 151-158.</w:t>
      </w:r>
    </w:p>
    <w:p w14:paraId="4E0FE44F" w14:textId="77777777" w:rsidR="00B317E1" w:rsidRPr="00B67F80" w:rsidRDefault="00B317E1" w:rsidP="004E55FA">
      <w:pPr>
        <w:rPr>
          <w:color w:val="000000" w:themeColor="text1"/>
        </w:rPr>
      </w:pPr>
    </w:p>
    <w:p w14:paraId="44665FE0" w14:textId="6F954F4B" w:rsidR="00E13D52" w:rsidRPr="00B67F80" w:rsidRDefault="00E13D52" w:rsidP="00E13D52">
      <w:pPr>
        <w:ind w:left="547" w:hanging="547"/>
        <w:rPr>
          <w:color w:val="000000" w:themeColor="text1"/>
        </w:rPr>
      </w:pPr>
      <w:r w:rsidRPr="00B67F80">
        <w:rPr>
          <w:color w:val="000000" w:themeColor="text1"/>
        </w:rPr>
        <w:t>Doelling, D. R., and Coauthors, 2013: Geostationary enhanced temporal interpolation for CERES flux products. J. Atmos. Oceanic Technol., 30, 1072–1090, https://doi.org/10.1175/JTECH-D-12-00136.1.</w:t>
      </w:r>
    </w:p>
    <w:p w14:paraId="67EFE483" w14:textId="77777777" w:rsidR="00E13D52" w:rsidRPr="00B67F80" w:rsidRDefault="00E13D52" w:rsidP="005555CA">
      <w:pPr>
        <w:ind w:left="547" w:hanging="547"/>
        <w:rPr>
          <w:color w:val="000000" w:themeColor="text1"/>
        </w:rPr>
      </w:pPr>
    </w:p>
    <w:p w14:paraId="73036A28" w14:textId="20B8ADCA" w:rsidR="005555CA" w:rsidRPr="00B67F80" w:rsidRDefault="005555CA" w:rsidP="005555CA">
      <w:pPr>
        <w:ind w:left="547" w:hanging="547"/>
        <w:rPr>
          <w:color w:val="000000" w:themeColor="text1"/>
        </w:rPr>
      </w:pPr>
      <w:r w:rsidRPr="00B67F80">
        <w:rPr>
          <w:color w:val="000000" w:themeColor="text1"/>
        </w:rPr>
        <w:t xml:space="preserve">Donohoe A., J. Marshall, D. Ferreira, D. McGee, 2013: The relationship between ITCZ location and atmospheric heat transport across the equator: from the seasonal cycle to the last glacial maximum. J. </w:t>
      </w:r>
      <w:proofErr w:type="spellStart"/>
      <w:r w:rsidRPr="00B67F80">
        <w:rPr>
          <w:color w:val="000000" w:themeColor="text1"/>
        </w:rPr>
        <w:t>Climat</w:t>
      </w:r>
      <w:proofErr w:type="spellEnd"/>
      <w:r w:rsidRPr="00B67F80">
        <w:rPr>
          <w:color w:val="000000" w:themeColor="text1"/>
        </w:rPr>
        <w:t>, 26:3597–3618. doi:10.1175/JCLI-D-12-00467.1.</w:t>
      </w:r>
    </w:p>
    <w:p w14:paraId="7CF9BE25" w14:textId="77777777" w:rsidR="005555CA" w:rsidRPr="00B67F80" w:rsidRDefault="005555CA" w:rsidP="002A2952">
      <w:pPr>
        <w:ind w:left="547" w:hanging="547"/>
        <w:rPr>
          <w:color w:val="000000" w:themeColor="text1"/>
        </w:rPr>
      </w:pPr>
    </w:p>
    <w:p w14:paraId="4D59D974" w14:textId="1F54381F" w:rsidR="002A2952" w:rsidRPr="00B67F80" w:rsidRDefault="002A2952" w:rsidP="002A2952">
      <w:pPr>
        <w:ind w:left="547" w:hanging="547"/>
        <w:rPr>
          <w:color w:val="000000" w:themeColor="text1"/>
        </w:rPr>
      </w:pPr>
      <w:r w:rsidRPr="00B67F80">
        <w:rPr>
          <w:color w:val="000000" w:themeColor="text1"/>
        </w:rPr>
        <w:t>Fasullo, J. T., and K. E. Trenberth, 2008a: The annual cycle of the energy budget: Part I: Global mean and land–ocean exchanges. J. Climate, 21, 2297–2312, https://doi.org/10.1175/2007JCLI1935.1.</w:t>
      </w:r>
    </w:p>
    <w:p w14:paraId="415C88A5" w14:textId="77777777" w:rsidR="002A2952" w:rsidRPr="00B67F80" w:rsidRDefault="002A2952" w:rsidP="002A2952">
      <w:pPr>
        <w:ind w:left="547" w:hanging="547"/>
        <w:rPr>
          <w:color w:val="000000" w:themeColor="text1"/>
        </w:rPr>
      </w:pPr>
    </w:p>
    <w:p w14:paraId="279417FF" w14:textId="55BB078B" w:rsidR="002A2952" w:rsidRPr="00B67F80" w:rsidRDefault="002A2952" w:rsidP="002A2952">
      <w:pPr>
        <w:ind w:left="547" w:hanging="547"/>
        <w:rPr>
          <w:color w:val="000000" w:themeColor="text1"/>
        </w:rPr>
      </w:pPr>
      <w:r w:rsidRPr="00B67F80">
        <w:rPr>
          <w:color w:val="000000" w:themeColor="text1"/>
        </w:rPr>
        <w:t xml:space="preserve">Fasullo, J. T., and K. E. Trenberth, 2008b: The annual cycle of the energy budget: Part II: Meridional structures and poleward transports. J. Climate, 21, 2313–2325, </w:t>
      </w:r>
      <w:hyperlink r:id="rId10" w:history="1">
        <w:r w:rsidR="00907587" w:rsidRPr="00B67F80">
          <w:rPr>
            <w:rStyle w:val="Hyperlink"/>
            <w:color w:val="000000" w:themeColor="text1"/>
          </w:rPr>
          <w:t>https://doi.org/10.1175/2007JCLI1936.1</w:t>
        </w:r>
      </w:hyperlink>
      <w:r w:rsidRPr="00B67F80">
        <w:rPr>
          <w:color w:val="000000" w:themeColor="text1"/>
        </w:rPr>
        <w:t>.</w:t>
      </w:r>
    </w:p>
    <w:p w14:paraId="26B53F6F" w14:textId="031D54EA" w:rsidR="00907587" w:rsidRPr="00B67F80" w:rsidRDefault="00907587" w:rsidP="002A2952">
      <w:pPr>
        <w:ind w:left="547" w:hanging="547"/>
        <w:rPr>
          <w:color w:val="000000" w:themeColor="text1"/>
        </w:rPr>
      </w:pPr>
    </w:p>
    <w:p w14:paraId="174F3A53" w14:textId="666073E4" w:rsidR="00907587" w:rsidRPr="00B67F80" w:rsidRDefault="00907587" w:rsidP="00907587">
      <w:pPr>
        <w:ind w:left="547" w:hanging="547"/>
        <w:rPr>
          <w:color w:val="000000" w:themeColor="text1"/>
        </w:rPr>
      </w:pPr>
      <w:r w:rsidRPr="00B67F80">
        <w:rPr>
          <w:color w:val="000000" w:themeColor="text1"/>
        </w:rPr>
        <w:t xml:space="preserve">Frierson, D. M. W., Y.-T. Hwang, N. S. </w:t>
      </w:r>
      <w:proofErr w:type="spellStart"/>
      <w:r w:rsidRPr="00B67F80">
        <w:rPr>
          <w:color w:val="000000" w:themeColor="text1"/>
        </w:rPr>
        <w:t>Fuckar</w:t>
      </w:r>
      <w:proofErr w:type="spellEnd"/>
      <w:r w:rsidRPr="00B67F80">
        <w:rPr>
          <w:color w:val="000000" w:themeColor="text1"/>
        </w:rPr>
        <w:t xml:space="preserve">, R. Seager, S. M. Kang, A. Donohoe, E. A. Maroon, X. Liu, D. S. </w:t>
      </w:r>
      <w:proofErr w:type="spellStart"/>
      <w:r w:rsidRPr="00B67F80">
        <w:rPr>
          <w:color w:val="000000" w:themeColor="text1"/>
        </w:rPr>
        <w:t>Battisi</w:t>
      </w:r>
      <w:proofErr w:type="spellEnd"/>
      <w:r w:rsidRPr="00B67F80">
        <w:rPr>
          <w:color w:val="000000" w:themeColor="text1"/>
        </w:rPr>
        <w:t xml:space="preserve">, 2013: Contribution of ocean overturning circulation to tropical rainfall peak in the northern hemisphere. Nat </w:t>
      </w:r>
      <w:proofErr w:type="spellStart"/>
      <w:r w:rsidRPr="00B67F80">
        <w:rPr>
          <w:color w:val="000000" w:themeColor="text1"/>
        </w:rPr>
        <w:t>Geosci</w:t>
      </w:r>
      <w:proofErr w:type="spellEnd"/>
      <w:r w:rsidRPr="00B67F80">
        <w:rPr>
          <w:color w:val="000000" w:themeColor="text1"/>
        </w:rPr>
        <w:t>. doi:10.1038/NGEO1987.</w:t>
      </w:r>
    </w:p>
    <w:p w14:paraId="4BE0A2B7" w14:textId="77777777" w:rsidR="002A2952" w:rsidRPr="00B67F80" w:rsidRDefault="002A2952" w:rsidP="007C6C5F">
      <w:pPr>
        <w:ind w:left="547" w:hanging="547"/>
        <w:rPr>
          <w:color w:val="000000" w:themeColor="text1"/>
        </w:rPr>
      </w:pPr>
    </w:p>
    <w:p w14:paraId="2D2F1E52" w14:textId="103356E5" w:rsidR="005B11E4" w:rsidRPr="00B67F80" w:rsidRDefault="005B11E4" w:rsidP="007C6C5F">
      <w:pPr>
        <w:ind w:left="547" w:hanging="547"/>
        <w:rPr>
          <w:color w:val="000000" w:themeColor="text1"/>
        </w:rPr>
      </w:pPr>
      <w:r w:rsidRPr="00B67F80">
        <w:rPr>
          <w:color w:val="000000" w:themeColor="text1"/>
        </w:rPr>
        <w:t xml:space="preserve">Gelaro, R., </w:t>
      </w:r>
      <w:r w:rsidR="00C8087E" w:rsidRPr="00B67F80">
        <w:rPr>
          <w:color w:val="000000" w:themeColor="text1"/>
        </w:rPr>
        <w:t>and Coauthors</w:t>
      </w:r>
      <w:r w:rsidRPr="00B67F80">
        <w:rPr>
          <w:color w:val="000000" w:themeColor="text1"/>
        </w:rPr>
        <w:t>, 2017: The Modern-Era Retrospective Analysis for Research and Applications, Version 2 (MERRA-2), J. Climate, 30, 5419-5454. DOI: 10.1175/JCLI-D-16-0758.1.</w:t>
      </w:r>
    </w:p>
    <w:p w14:paraId="340491BD" w14:textId="77777777" w:rsidR="005B11E4" w:rsidRPr="00B67F80" w:rsidRDefault="005B11E4" w:rsidP="007C6C5F">
      <w:pPr>
        <w:ind w:left="547" w:hanging="547"/>
        <w:rPr>
          <w:color w:val="000000" w:themeColor="text1"/>
        </w:rPr>
      </w:pPr>
    </w:p>
    <w:p w14:paraId="751AE5FB" w14:textId="03D2401C" w:rsidR="00486A43" w:rsidRPr="00B67F80" w:rsidRDefault="00486A43" w:rsidP="007C6C5F">
      <w:pPr>
        <w:ind w:left="547" w:hanging="547"/>
        <w:rPr>
          <w:color w:val="000000" w:themeColor="text1"/>
        </w:rPr>
      </w:pPr>
      <w:r w:rsidRPr="00B67F80">
        <w:rPr>
          <w:color w:val="000000" w:themeColor="text1"/>
        </w:rPr>
        <w:lastRenderedPageBreak/>
        <w:t xml:space="preserve">Gelman, A., J. B. Carlin, H. S. Stern, D. B. Dunson, A. </w:t>
      </w:r>
      <w:proofErr w:type="spellStart"/>
      <w:r w:rsidRPr="00B67F80">
        <w:rPr>
          <w:color w:val="000000" w:themeColor="text1"/>
        </w:rPr>
        <w:t>Vehtari</w:t>
      </w:r>
      <w:proofErr w:type="spellEnd"/>
      <w:r w:rsidRPr="00B67F80">
        <w:rPr>
          <w:color w:val="000000" w:themeColor="text1"/>
        </w:rPr>
        <w:t xml:space="preserve">, and D. B. Rubin, 2013: Bayesian Data Analysis. Third Edition. London: Chapman &amp; Hall / CRC Press. </w:t>
      </w:r>
      <w:r w:rsidR="00A824F4" w:rsidRPr="00B67F80">
        <w:rPr>
          <w:color w:val="000000" w:themeColor="text1"/>
        </w:rPr>
        <w:t>654 pp.</w:t>
      </w:r>
    </w:p>
    <w:p w14:paraId="33F23409" w14:textId="013C0387" w:rsidR="00F861FF" w:rsidRPr="00B67F80" w:rsidRDefault="00F861FF" w:rsidP="007C6C5F">
      <w:pPr>
        <w:ind w:left="547" w:hanging="547"/>
        <w:rPr>
          <w:color w:val="000000" w:themeColor="text1"/>
        </w:rPr>
      </w:pPr>
    </w:p>
    <w:p w14:paraId="221E9E87" w14:textId="77777777" w:rsidR="00C740C1" w:rsidRPr="00B67F80" w:rsidRDefault="00910515" w:rsidP="00C740C1">
      <w:pPr>
        <w:ind w:left="547" w:hanging="547"/>
        <w:rPr>
          <w:color w:val="000000" w:themeColor="text1"/>
        </w:rPr>
      </w:pPr>
      <w:r w:rsidRPr="00B67F80">
        <w:rPr>
          <w:color w:val="000000" w:themeColor="text1"/>
        </w:rPr>
        <w:t xml:space="preserve">Hakuba, M. Z., </w:t>
      </w:r>
      <w:proofErr w:type="spellStart"/>
      <w:r w:rsidRPr="00B67F80">
        <w:rPr>
          <w:color w:val="000000" w:themeColor="text1"/>
        </w:rPr>
        <w:t>Frederikse</w:t>
      </w:r>
      <w:proofErr w:type="spellEnd"/>
      <w:r w:rsidRPr="00B67F80">
        <w:rPr>
          <w:color w:val="000000" w:themeColor="text1"/>
        </w:rPr>
        <w:t xml:space="preserve">, T., &amp; </w:t>
      </w:r>
      <w:proofErr w:type="spellStart"/>
      <w:r w:rsidRPr="00B67F80">
        <w:rPr>
          <w:color w:val="000000" w:themeColor="text1"/>
        </w:rPr>
        <w:t>Landerer</w:t>
      </w:r>
      <w:proofErr w:type="spellEnd"/>
      <w:r w:rsidRPr="00B67F80">
        <w:rPr>
          <w:color w:val="000000" w:themeColor="text1"/>
        </w:rPr>
        <w:t xml:space="preserve">, F. W. (2021). Earth's energy imbalance from the ocean perspective (2005–2019). Geophysical Research Letters, 48, e2021GL093624. </w:t>
      </w:r>
      <w:hyperlink r:id="rId11" w:history="1">
        <w:r w:rsidR="00B839E0" w:rsidRPr="00B67F80">
          <w:rPr>
            <w:rStyle w:val="Hyperlink"/>
            <w:color w:val="000000" w:themeColor="text1"/>
          </w:rPr>
          <w:t>https://doi.org/10.1029/2021GL093624</w:t>
        </w:r>
      </w:hyperlink>
      <w:r w:rsidRPr="00B67F80">
        <w:rPr>
          <w:color w:val="000000" w:themeColor="text1"/>
        </w:rPr>
        <w:t>.</w:t>
      </w:r>
    </w:p>
    <w:p w14:paraId="5403CC0D" w14:textId="77777777" w:rsidR="00C740C1" w:rsidRPr="00B67F80" w:rsidRDefault="00C740C1" w:rsidP="00C740C1">
      <w:pPr>
        <w:ind w:left="547" w:hanging="547"/>
        <w:rPr>
          <w:color w:val="000000" w:themeColor="text1"/>
        </w:rPr>
      </w:pPr>
    </w:p>
    <w:p w14:paraId="328F836B" w14:textId="7D94E435" w:rsidR="00C740C1" w:rsidRPr="00C740C1" w:rsidRDefault="00C740C1" w:rsidP="002148CA">
      <w:pPr>
        <w:ind w:left="547" w:hanging="547"/>
        <w:rPr>
          <w:color w:val="000000" w:themeColor="text1"/>
        </w:rPr>
      </w:pPr>
      <w:r w:rsidRPr="00C740C1">
        <w:rPr>
          <w:color w:val="000000" w:themeColor="text1"/>
          <w:bdr w:val="none" w:sz="0" w:space="0" w:color="auto" w:frame="1"/>
        </w:rPr>
        <w:t xml:space="preserve">Hartmann, Dennis </w:t>
      </w:r>
      <w:proofErr w:type="gramStart"/>
      <w:r w:rsidRPr="00C740C1">
        <w:rPr>
          <w:color w:val="000000" w:themeColor="text1"/>
          <w:bdr w:val="none" w:sz="0" w:space="0" w:color="auto" w:frame="1"/>
        </w:rPr>
        <w:t>L.</w:t>
      </w:r>
      <w:proofErr w:type="gramEnd"/>
      <w:r w:rsidRPr="00C740C1">
        <w:rPr>
          <w:color w:val="000000" w:themeColor="text1"/>
          <w:bdr w:val="none" w:sz="0" w:space="0" w:color="auto" w:frame="1"/>
        </w:rPr>
        <w:t xml:space="preserve"> and Paulo Ceppi, 2014: Trends in the CERES Data Set 2000-2013: The Effects of Ice Melt and Jet Shifts and Comparison to Climate Models. </w:t>
      </w:r>
      <w:r w:rsidRPr="00C740C1">
        <w:rPr>
          <w:rFonts w:ascii="inherit" w:hAnsi="inherit"/>
          <w:i/>
          <w:iCs/>
          <w:color w:val="000000" w:themeColor="text1"/>
          <w:bdr w:val="none" w:sz="0" w:space="0" w:color="auto" w:frame="1"/>
        </w:rPr>
        <w:t xml:space="preserve">J. </w:t>
      </w:r>
      <w:proofErr w:type="gramStart"/>
      <w:r w:rsidRPr="00C740C1">
        <w:rPr>
          <w:rFonts w:ascii="inherit" w:hAnsi="inherit"/>
          <w:i/>
          <w:iCs/>
          <w:color w:val="000000" w:themeColor="text1"/>
          <w:bdr w:val="none" w:sz="0" w:space="0" w:color="auto" w:frame="1"/>
        </w:rPr>
        <w:t>Climate </w:t>
      </w:r>
      <w:r w:rsidRPr="00C740C1">
        <w:rPr>
          <w:rFonts w:ascii="inherit" w:hAnsi="inherit"/>
          <w:color w:val="000000" w:themeColor="text1"/>
          <w:bdr w:val="none" w:sz="0" w:space="0" w:color="auto" w:frame="1"/>
        </w:rPr>
        <w:t>,</w:t>
      </w:r>
      <w:proofErr w:type="gramEnd"/>
      <w:r w:rsidRPr="00C740C1">
        <w:rPr>
          <w:rFonts w:ascii="inherit" w:hAnsi="inherit"/>
          <w:color w:val="000000" w:themeColor="text1"/>
          <w:bdr w:val="none" w:sz="0" w:space="0" w:color="auto" w:frame="1"/>
        </w:rPr>
        <w:t xml:space="preserve"> 27</w:t>
      </w:r>
      <w:r w:rsidRPr="00C740C1">
        <w:rPr>
          <w:color w:val="000000" w:themeColor="text1"/>
          <w:bdr w:val="none" w:sz="0" w:space="0" w:color="auto" w:frame="1"/>
        </w:rPr>
        <w:t>, doi:10.1175/JCLI-D-13-00411.1, 2444-2456</w:t>
      </w:r>
    </w:p>
    <w:p w14:paraId="5EB9D313" w14:textId="77777777" w:rsidR="00910515" w:rsidRPr="00B67F80" w:rsidRDefault="00910515" w:rsidP="00D05BCD">
      <w:pPr>
        <w:rPr>
          <w:color w:val="000000" w:themeColor="text1"/>
        </w:rPr>
      </w:pPr>
    </w:p>
    <w:p w14:paraId="766001EB" w14:textId="08707EB6" w:rsidR="00F861FF" w:rsidRPr="00B67F80" w:rsidRDefault="00F861FF" w:rsidP="00F861FF">
      <w:pPr>
        <w:ind w:left="547" w:hanging="547"/>
        <w:rPr>
          <w:color w:val="000000" w:themeColor="text1"/>
        </w:rPr>
      </w:pPr>
      <w:r w:rsidRPr="00B67F80">
        <w:rPr>
          <w:color w:val="000000" w:themeColor="text1"/>
        </w:rPr>
        <w:t xml:space="preserve">Hersbach, H., and Coauthors, 2020:TheERA5global </w:t>
      </w:r>
      <w:proofErr w:type="spellStart"/>
      <w:r w:rsidRPr="00B67F80">
        <w:rPr>
          <w:color w:val="000000" w:themeColor="text1"/>
        </w:rPr>
        <w:t>reanalysis.Quart</w:t>
      </w:r>
      <w:proofErr w:type="spellEnd"/>
      <w:r w:rsidRPr="00B67F80">
        <w:rPr>
          <w:color w:val="000000" w:themeColor="text1"/>
        </w:rPr>
        <w:t xml:space="preserve">. J. Roy. Meteor. Soc., 146, 1999–2049, </w:t>
      </w:r>
      <w:hyperlink r:id="rId12" w:history="1">
        <w:r w:rsidR="00D864F3" w:rsidRPr="00B67F80">
          <w:rPr>
            <w:rStyle w:val="Hyperlink"/>
            <w:color w:val="000000" w:themeColor="text1"/>
          </w:rPr>
          <w:t>https://doi.org/10.1002/qj.3803</w:t>
        </w:r>
      </w:hyperlink>
      <w:r w:rsidRPr="00B67F80">
        <w:rPr>
          <w:color w:val="000000" w:themeColor="text1"/>
        </w:rPr>
        <w:t>.</w:t>
      </w:r>
    </w:p>
    <w:p w14:paraId="535E294F" w14:textId="7AC56C56" w:rsidR="00D864F3" w:rsidRPr="00B67F80" w:rsidRDefault="00D864F3" w:rsidP="00F861FF">
      <w:pPr>
        <w:ind w:left="547" w:hanging="547"/>
        <w:rPr>
          <w:color w:val="000000" w:themeColor="text1"/>
        </w:rPr>
      </w:pPr>
    </w:p>
    <w:p w14:paraId="02DA1E8D" w14:textId="3114FB0F" w:rsidR="00D864F3" w:rsidRPr="00B67F80" w:rsidRDefault="00D864F3">
      <w:pPr>
        <w:ind w:left="547" w:hanging="547"/>
        <w:rPr>
          <w:color w:val="000000" w:themeColor="text1"/>
        </w:rPr>
      </w:pPr>
      <w:r w:rsidRPr="00B67F80">
        <w:rPr>
          <w:color w:val="000000" w:themeColor="text1"/>
        </w:rPr>
        <w:t xml:space="preserve">Hersbach, H., </w:t>
      </w:r>
      <w:r w:rsidR="005469D6" w:rsidRPr="00B67F80">
        <w:rPr>
          <w:color w:val="000000" w:themeColor="text1"/>
        </w:rPr>
        <w:t xml:space="preserve">C. </w:t>
      </w:r>
      <w:proofErr w:type="spellStart"/>
      <w:r w:rsidRPr="00B67F80">
        <w:rPr>
          <w:color w:val="000000" w:themeColor="text1"/>
        </w:rPr>
        <w:t>Peubey</w:t>
      </w:r>
      <w:proofErr w:type="spellEnd"/>
      <w:r w:rsidRPr="00B67F80">
        <w:rPr>
          <w:color w:val="000000" w:themeColor="text1"/>
        </w:rPr>
        <w:t xml:space="preserve">, </w:t>
      </w:r>
      <w:r w:rsidR="005469D6" w:rsidRPr="00B67F80">
        <w:rPr>
          <w:color w:val="000000" w:themeColor="text1"/>
        </w:rPr>
        <w:t>A. J.</w:t>
      </w:r>
      <w:r w:rsidRPr="00B67F80">
        <w:rPr>
          <w:color w:val="000000" w:themeColor="text1"/>
        </w:rPr>
        <w:t xml:space="preserve"> Simmons, </w:t>
      </w:r>
      <w:r w:rsidR="005469D6" w:rsidRPr="00B67F80">
        <w:rPr>
          <w:color w:val="000000" w:themeColor="text1"/>
        </w:rPr>
        <w:t>P</w:t>
      </w:r>
      <w:r w:rsidRPr="00B67F80">
        <w:rPr>
          <w:color w:val="000000" w:themeColor="text1"/>
        </w:rPr>
        <w:t xml:space="preserve">. </w:t>
      </w:r>
      <w:proofErr w:type="spellStart"/>
      <w:r w:rsidRPr="00B67F80">
        <w:rPr>
          <w:color w:val="000000" w:themeColor="text1"/>
        </w:rPr>
        <w:t>Berrisford</w:t>
      </w:r>
      <w:proofErr w:type="spellEnd"/>
      <w:r w:rsidRPr="00B67F80">
        <w:rPr>
          <w:color w:val="000000" w:themeColor="text1"/>
        </w:rPr>
        <w:t xml:space="preserve">, P. </w:t>
      </w:r>
      <w:proofErr w:type="spellStart"/>
      <w:r w:rsidRPr="00B67F80">
        <w:rPr>
          <w:color w:val="000000" w:themeColor="text1"/>
        </w:rPr>
        <w:t>Poli</w:t>
      </w:r>
      <w:proofErr w:type="spellEnd"/>
      <w:r w:rsidRPr="00B67F80">
        <w:rPr>
          <w:color w:val="000000" w:themeColor="text1"/>
        </w:rPr>
        <w:t xml:space="preserve">, </w:t>
      </w:r>
      <w:r w:rsidR="005469D6" w:rsidRPr="00B67F80">
        <w:rPr>
          <w:color w:val="000000" w:themeColor="text1"/>
        </w:rPr>
        <w:t>and D</w:t>
      </w:r>
      <w:r w:rsidRPr="00B67F80">
        <w:rPr>
          <w:color w:val="000000" w:themeColor="text1"/>
        </w:rPr>
        <w:t>.</w:t>
      </w:r>
      <w:r w:rsidR="005469D6" w:rsidRPr="00B67F80">
        <w:rPr>
          <w:color w:val="000000" w:themeColor="text1"/>
        </w:rPr>
        <w:t xml:space="preserve"> P.</w:t>
      </w:r>
      <w:r w:rsidRPr="00B67F80">
        <w:rPr>
          <w:color w:val="000000" w:themeColor="text1"/>
        </w:rPr>
        <w:t xml:space="preserve"> Dee, 2015</w:t>
      </w:r>
      <w:r w:rsidR="005469D6" w:rsidRPr="00B67F80">
        <w:rPr>
          <w:color w:val="000000" w:themeColor="text1"/>
        </w:rPr>
        <w:t>:</w:t>
      </w:r>
      <w:r w:rsidRPr="00B67F80">
        <w:rPr>
          <w:color w:val="000000" w:themeColor="text1"/>
        </w:rPr>
        <w:t xml:space="preserve"> ERA-20CM: a twentieth-century atmospheric model ensemble. Quarterly Journal of the Royal Meteorological Society, 141, 2350–2375.</w:t>
      </w:r>
    </w:p>
    <w:p w14:paraId="394E8E55" w14:textId="77777777" w:rsidR="00486A43" w:rsidRPr="00B67F80" w:rsidRDefault="00486A43" w:rsidP="007C6C5F">
      <w:pPr>
        <w:ind w:left="547" w:hanging="547"/>
        <w:rPr>
          <w:color w:val="000000" w:themeColor="text1"/>
        </w:rPr>
      </w:pPr>
    </w:p>
    <w:p w14:paraId="146E462B" w14:textId="38E312B7" w:rsidR="00D90F33" w:rsidRPr="00B67F80" w:rsidRDefault="00D90F33" w:rsidP="007C6C5F">
      <w:pPr>
        <w:ind w:left="547" w:hanging="547"/>
        <w:rPr>
          <w:color w:val="000000" w:themeColor="text1"/>
        </w:rPr>
      </w:pPr>
      <w:r w:rsidRPr="00B67F80">
        <w:rPr>
          <w:color w:val="000000" w:themeColor="text1"/>
        </w:rPr>
        <w:t xml:space="preserve">Hunt, G. E., R. Kandel, and A. T. </w:t>
      </w:r>
      <w:proofErr w:type="spellStart"/>
      <w:r w:rsidRPr="00B67F80">
        <w:rPr>
          <w:color w:val="000000" w:themeColor="text1"/>
        </w:rPr>
        <w:t>Mecherikunnel</w:t>
      </w:r>
      <w:proofErr w:type="spellEnd"/>
      <w:r w:rsidRPr="00B67F80">
        <w:rPr>
          <w:color w:val="000000" w:themeColor="text1"/>
        </w:rPr>
        <w:t xml:space="preserve">, 1986: A history of </w:t>
      </w:r>
      <w:proofErr w:type="spellStart"/>
      <w:r w:rsidRPr="00B67F80">
        <w:rPr>
          <w:color w:val="000000" w:themeColor="text1"/>
        </w:rPr>
        <w:t>presatellite</w:t>
      </w:r>
      <w:proofErr w:type="spellEnd"/>
      <w:r w:rsidRPr="00B67F80">
        <w:rPr>
          <w:color w:val="000000" w:themeColor="text1"/>
        </w:rPr>
        <w:t xml:space="preserve"> investigations of Earth’s radiation budget. Rev. </w:t>
      </w:r>
      <w:proofErr w:type="spellStart"/>
      <w:r w:rsidRPr="00B67F80">
        <w:rPr>
          <w:color w:val="000000" w:themeColor="text1"/>
        </w:rPr>
        <w:t>Geophys</w:t>
      </w:r>
      <w:proofErr w:type="spellEnd"/>
      <w:r w:rsidRPr="00B67F80">
        <w:rPr>
          <w:color w:val="000000" w:themeColor="text1"/>
        </w:rPr>
        <w:t>., 24, 351-356.</w:t>
      </w:r>
    </w:p>
    <w:p w14:paraId="7A51D004" w14:textId="77777777" w:rsidR="00D90F33" w:rsidRPr="00B67F80" w:rsidRDefault="00D90F33" w:rsidP="007C6C5F">
      <w:pPr>
        <w:ind w:left="547" w:hanging="547"/>
        <w:rPr>
          <w:color w:val="000000" w:themeColor="text1"/>
        </w:rPr>
      </w:pPr>
    </w:p>
    <w:p w14:paraId="3A30F7B6" w14:textId="33938974" w:rsidR="00A01BC6" w:rsidRPr="00B67F80" w:rsidRDefault="00A01BC6" w:rsidP="007C6C5F">
      <w:pPr>
        <w:ind w:left="547" w:hanging="547"/>
        <w:rPr>
          <w:color w:val="000000" w:themeColor="text1"/>
        </w:rPr>
      </w:pPr>
      <w:r w:rsidRPr="00B67F80">
        <w:rPr>
          <w:color w:val="000000" w:themeColor="text1"/>
        </w:rPr>
        <w:t xml:space="preserve">Johnson, G. C., Hosoda, S., Jayne, S. R., </w:t>
      </w:r>
      <w:proofErr w:type="spellStart"/>
      <w:r w:rsidRPr="00B67F80">
        <w:rPr>
          <w:color w:val="000000" w:themeColor="text1"/>
        </w:rPr>
        <w:t>Oke</w:t>
      </w:r>
      <w:proofErr w:type="spellEnd"/>
      <w:r w:rsidRPr="00B67F80">
        <w:rPr>
          <w:color w:val="000000" w:themeColor="text1"/>
        </w:rPr>
        <w:t>, P. R., Riser, S. C., Roemmich, D., ... &amp; Xu, J. (2022). Argo—Two Decades: Global Oceanography, Revolutionized. Annual review of marine science, 14, 379-403.</w:t>
      </w:r>
    </w:p>
    <w:p w14:paraId="5962F6F8" w14:textId="77777777" w:rsidR="00A01BC6" w:rsidRPr="00B67F80" w:rsidRDefault="00A01BC6" w:rsidP="007C6C5F">
      <w:pPr>
        <w:ind w:left="547" w:hanging="547"/>
        <w:rPr>
          <w:color w:val="000000" w:themeColor="text1"/>
        </w:rPr>
      </w:pPr>
    </w:p>
    <w:p w14:paraId="52B4FF6B" w14:textId="2AAA1135" w:rsidR="007C6C5F" w:rsidRPr="00B67F80" w:rsidRDefault="00DF1052" w:rsidP="007C6C5F">
      <w:pPr>
        <w:ind w:left="547" w:hanging="547"/>
        <w:rPr>
          <w:color w:val="000000" w:themeColor="text1"/>
        </w:rPr>
      </w:pPr>
      <w:r w:rsidRPr="00B67F80">
        <w:rPr>
          <w:color w:val="000000" w:themeColor="text1"/>
        </w:rPr>
        <w:t>Kato, S., N. G. Loeb, J. T. Fasullo, K. E. Trenberth, P. H. Lauritzen, F. G. Rose, D. A. Rutan, and M. Satoh, 2021: Regional energy and water budget of a precipitating atmosphere over ocean. J. Climate, 34,  DOI: 10.1175/JCLI-D-20-0175.1.</w:t>
      </w:r>
    </w:p>
    <w:p w14:paraId="234579F8" w14:textId="77777777" w:rsidR="00233E9A" w:rsidRPr="00B67F80" w:rsidRDefault="00233E9A" w:rsidP="007C6C5F">
      <w:pPr>
        <w:ind w:left="547" w:hanging="547"/>
        <w:rPr>
          <w:color w:val="000000" w:themeColor="text1"/>
        </w:rPr>
      </w:pPr>
    </w:p>
    <w:p w14:paraId="0D45EA05" w14:textId="1FAC25D4" w:rsidR="00233E9A" w:rsidRPr="00B67F80" w:rsidRDefault="00233E9A" w:rsidP="00233E9A">
      <w:pPr>
        <w:ind w:left="547" w:hanging="547"/>
        <w:rPr>
          <w:color w:val="000000" w:themeColor="text1"/>
        </w:rPr>
      </w:pPr>
      <w:r w:rsidRPr="00B67F80">
        <w:rPr>
          <w:color w:val="000000" w:themeColor="text1"/>
        </w:rPr>
        <w:t>Kato, S., F. G. Rose, D. A. Rutan, T. J. Thorsen, N. G. Loeb, D. R. Doelling, X. Huang, W. L. Smith, W. Su, and S.-H. Ham, 2018: Surface irradiances of Edition 4.0 Clouds and the Earth’s Radiant Energy System (CERES) Energy Balanced and Filled (EBAF) data product. J. Climate, 31, 4501-4527. DOI: 10.1175/JCLI-D-17-0523.1.</w:t>
      </w:r>
    </w:p>
    <w:p w14:paraId="2A340751" w14:textId="2A5A69D9" w:rsidR="00295629" w:rsidRPr="00B67F80" w:rsidRDefault="00295629" w:rsidP="00233E9A">
      <w:pPr>
        <w:ind w:left="547" w:hanging="547"/>
        <w:rPr>
          <w:color w:val="000000" w:themeColor="text1"/>
        </w:rPr>
      </w:pPr>
    </w:p>
    <w:p w14:paraId="699B8218" w14:textId="0EA0261C" w:rsidR="00295629" w:rsidRPr="00B67F80" w:rsidRDefault="00295629" w:rsidP="00233E9A">
      <w:pPr>
        <w:ind w:left="547" w:hanging="547"/>
        <w:rPr>
          <w:color w:val="000000" w:themeColor="text1"/>
        </w:rPr>
      </w:pPr>
      <w:r w:rsidRPr="00B67F80">
        <w:rPr>
          <w:color w:val="000000" w:themeColor="text1"/>
        </w:rPr>
        <w:t xml:space="preserve">Kato, S., N. G. Loeb, J. T. Fasullo, K. E. Trenberth, P. H. </w:t>
      </w:r>
      <w:proofErr w:type="spellStart"/>
      <w:r w:rsidRPr="00B67F80">
        <w:rPr>
          <w:color w:val="000000" w:themeColor="text1"/>
        </w:rPr>
        <w:t>Laurizen</w:t>
      </w:r>
      <w:proofErr w:type="spellEnd"/>
      <w:r w:rsidRPr="00B67F80">
        <w:rPr>
          <w:color w:val="000000" w:themeColor="text1"/>
        </w:rPr>
        <w:t>, F. G. Rose, D. A. Rutan, and M. Satoh, 2021: Regional energy and water budget of a precipitating atmosphere over ocean. J. Climate</w:t>
      </w:r>
      <w:r w:rsidR="00353F7E">
        <w:rPr>
          <w:color w:val="000000" w:themeColor="text1"/>
        </w:rPr>
        <w:t>, 34, 4189-4205, DOI:</w:t>
      </w:r>
      <w:r w:rsidR="00353F7E" w:rsidRPr="00353F7E">
        <w:t xml:space="preserve"> </w:t>
      </w:r>
      <w:r w:rsidR="00353F7E" w:rsidRPr="00353F7E">
        <w:rPr>
          <w:color w:val="000000" w:themeColor="text1"/>
        </w:rPr>
        <w:t>10.1175/JCLI-D-20-0175.1</w:t>
      </w:r>
      <w:r w:rsidRPr="00B67F80">
        <w:rPr>
          <w:color w:val="000000" w:themeColor="text1"/>
        </w:rPr>
        <w:t>.</w:t>
      </w:r>
    </w:p>
    <w:p w14:paraId="7E234219" w14:textId="77777777" w:rsidR="00DF1052" w:rsidRPr="00B67F80" w:rsidRDefault="00DF1052" w:rsidP="00E645E3">
      <w:pPr>
        <w:ind w:left="547" w:hanging="547"/>
        <w:rPr>
          <w:color w:val="000000" w:themeColor="text1"/>
        </w:rPr>
      </w:pPr>
    </w:p>
    <w:p w14:paraId="4FFCF4F8" w14:textId="735E27A1" w:rsidR="00E645E3" w:rsidRPr="00B67F80" w:rsidRDefault="00E645E3" w:rsidP="00E645E3">
      <w:pPr>
        <w:ind w:left="547" w:hanging="547"/>
        <w:rPr>
          <w:color w:val="000000" w:themeColor="text1"/>
        </w:rPr>
      </w:pPr>
      <w:r w:rsidRPr="00B67F80">
        <w:rPr>
          <w:rFonts w:eastAsiaTheme="minorEastAsia"/>
          <w:color w:val="000000" w:themeColor="text1"/>
        </w:rPr>
        <w:t xml:space="preserve">L’Ecuyer, T. S., H. </w:t>
      </w:r>
      <w:proofErr w:type="spellStart"/>
      <w:r w:rsidRPr="00B67F80">
        <w:rPr>
          <w:rFonts w:eastAsiaTheme="minorEastAsia"/>
          <w:color w:val="000000" w:themeColor="text1"/>
        </w:rPr>
        <w:t>Beaudoing</w:t>
      </w:r>
      <w:proofErr w:type="spellEnd"/>
      <w:r w:rsidRPr="00B67F80">
        <w:rPr>
          <w:rFonts w:eastAsiaTheme="minorEastAsia"/>
          <w:color w:val="000000" w:themeColor="text1"/>
        </w:rPr>
        <w:t xml:space="preserve">, M. </w:t>
      </w:r>
      <w:proofErr w:type="spellStart"/>
      <w:r w:rsidRPr="00B67F80">
        <w:rPr>
          <w:rFonts w:eastAsiaTheme="minorEastAsia"/>
          <w:color w:val="000000" w:themeColor="text1"/>
        </w:rPr>
        <w:t>Rodell</w:t>
      </w:r>
      <w:proofErr w:type="spellEnd"/>
      <w:r w:rsidRPr="00B67F80">
        <w:rPr>
          <w:rFonts w:eastAsiaTheme="minorEastAsia"/>
          <w:color w:val="000000" w:themeColor="text1"/>
        </w:rPr>
        <w:t xml:space="preserve">, W. Olson, B. Lin, S. Kato, C. A. </w:t>
      </w:r>
      <w:proofErr w:type="spellStart"/>
      <w:r w:rsidRPr="00B67F80">
        <w:rPr>
          <w:rFonts w:eastAsiaTheme="minorEastAsia"/>
          <w:color w:val="000000" w:themeColor="text1"/>
        </w:rPr>
        <w:t>Clayson</w:t>
      </w:r>
      <w:proofErr w:type="spellEnd"/>
      <w:r w:rsidRPr="00B67F80">
        <w:rPr>
          <w:rFonts w:eastAsiaTheme="minorEastAsia"/>
          <w:color w:val="000000" w:themeColor="text1"/>
        </w:rPr>
        <w:t xml:space="preserve">, E. Wood, E. Clark, R. Adler, G. Huffman, M. </w:t>
      </w:r>
      <w:proofErr w:type="spellStart"/>
      <w:r w:rsidRPr="00B67F80">
        <w:rPr>
          <w:rFonts w:eastAsiaTheme="minorEastAsia"/>
          <w:color w:val="000000" w:themeColor="text1"/>
        </w:rPr>
        <w:t>Bosilovich</w:t>
      </w:r>
      <w:proofErr w:type="spellEnd"/>
      <w:r w:rsidRPr="00B67F80">
        <w:rPr>
          <w:rFonts w:eastAsiaTheme="minorEastAsia"/>
          <w:color w:val="000000" w:themeColor="text1"/>
        </w:rPr>
        <w:t xml:space="preserve">, F. Robertson, J. S. </w:t>
      </w:r>
      <w:proofErr w:type="spellStart"/>
      <w:r w:rsidRPr="00B67F80">
        <w:rPr>
          <w:rFonts w:eastAsiaTheme="minorEastAsia"/>
          <w:color w:val="000000" w:themeColor="text1"/>
        </w:rPr>
        <w:t>Famiglietti</w:t>
      </w:r>
      <w:proofErr w:type="spellEnd"/>
      <w:r w:rsidRPr="00B67F80">
        <w:rPr>
          <w:rFonts w:eastAsiaTheme="minorEastAsia"/>
          <w:color w:val="000000" w:themeColor="text1"/>
        </w:rPr>
        <w:t xml:space="preserve">, P. R. Houser, D. Chambers, E. Fetzer, X. Gao, G. Gu, K. Hilburn, D. P. </w:t>
      </w:r>
      <w:proofErr w:type="spellStart"/>
      <w:r w:rsidRPr="00B67F80">
        <w:rPr>
          <w:rFonts w:eastAsiaTheme="minorEastAsia"/>
          <w:color w:val="000000" w:themeColor="text1"/>
        </w:rPr>
        <w:t>Lettenmaier</w:t>
      </w:r>
      <w:proofErr w:type="spellEnd"/>
      <w:r w:rsidRPr="00B67F80">
        <w:rPr>
          <w:rFonts w:eastAsiaTheme="minorEastAsia"/>
          <w:color w:val="000000" w:themeColor="text1"/>
        </w:rPr>
        <w:t xml:space="preserve">, W. T. Liu, C. A. Schlosser, and J. </w:t>
      </w:r>
      <w:proofErr w:type="spellStart"/>
      <w:r w:rsidRPr="00B67F80">
        <w:rPr>
          <w:rFonts w:eastAsiaTheme="minorEastAsia"/>
          <w:color w:val="000000" w:themeColor="text1"/>
        </w:rPr>
        <w:t>Scheffield</w:t>
      </w:r>
      <w:proofErr w:type="spellEnd"/>
      <w:r w:rsidRPr="00B67F80">
        <w:rPr>
          <w:rFonts w:eastAsiaTheme="minorEastAsia"/>
          <w:color w:val="000000" w:themeColor="text1"/>
        </w:rPr>
        <w:t xml:space="preserve">, 2015:  The observed state of global energy balance in the early 21st century.  </w:t>
      </w:r>
      <w:r w:rsidRPr="00B67F80">
        <w:rPr>
          <w:rFonts w:eastAsiaTheme="minorEastAsia"/>
          <w:i/>
          <w:color w:val="000000" w:themeColor="text1"/>
        </w:rPr>
        <w:t>J. Climate</w:t>
      </w:r>
      <w:r w:rsidRPr="00B67F80">
        <w:rPr>
          <w:rFonts w:eastAsiaTheme="minorEastAsia"/>
          <w:color w:val="000000" w:themeColor="text1"/>
        </w:rPr>
        <w:t xml:space="preserve">, </w:t>
      </w:r>
      <w:r w:rsidRPr="00B67F80">
        <w:rPr>
          <w:rFonts w:eastAsiaTheme="minorEastAsia"/>
          <w:b/>
          <w:color w:val="000000" w:themeColor="text1"/>
        </w:rPr>
        <w:t>28</w:t>
      </w:r>
      <w:r w:rsidRPr="00B67F80">
        <w:rPr>
          <w:rFonts w:eastAsiaTheme="minorEastAsia"/>
          <w:color w:val="000000" w:themeColor="text1"/>
        </w:rPr>
        <w:t>, 8319-8346.</w:t>
      </w:r>
    </w:p>
    <w:p w14:paraId="527A457F" w14:textId="77777777" w:rsidR="00E645E3" w:rsidRPr="00B67F80" w:rsidRDefault="00E645E3" w:rsidP="007C6C5F">
      <w:pPr>
        <w:ind w:left="547" w:hanging="547"/>
        <w:rPr>
          <w:color w:val="000000" w:themeColor="text1"/>
        </w:rPr>
      </w:pPr>
    </w:p>
    <w:p w14:paraId="25BE1DFD" w14:textId="5DA0818F" w:rsidR="0059377B" w:rsidRPr="00B67F80" w:rsidRDefault="0059377B" w:rsidP="007C6C5F">
      <w:pPr>
        <w:ind w:left="547" w:hanging="547"/>
        <w:rPr>
          <w:color w:val="000000" w:themeColor="text1"/>
        </w:rPr>
      </w:pPr>
      <w:r w:rsidRPr="00B67F80">
        <w:rPr>
          <w:color w:val="000000" w:themeColor="text1"/>
        </w:rPr>
        <w:lastRenderedPageBreak/>
        <w:t xml:space="preserve">Liu, C., R. P. Allan, M. Mayer, R. </w:t>
      </w:r>
      <w:proofErr w:type="spellStart"/>
      <w:r w:rsidRPr="00B67F80">
        <w:rPr>
          <w:color w:val="000000" w:themeColor="text1"/>
        </w:rPr>
        <w:t>Hyder</w:t>
      </w:r>
      <w:proofErr w:type="spellEnd"/>
      <w:r w:rsidRPr="00B67F80">
        <w:rPr>
          <w:color w:val="000000" w:themeColor="text1"/>
        </w:rPr>
        <w:t xml:space="preserve">, D. </w:t>
      </w:r>
      <w:proofErr w:type="spellStart"/>
      <w:r w:rsidRPr="00B67F80">
        <w:rPr>
          <w:color w:val="000000" w:themeColor="text1"/>
        </w:rPr>
        <w:t>Desbruyeres</w:t>
      </w:r>
      <w:proofErr w:type="spellEnd"/>
      <w:r w:rsidRPr="00B67F80">
        <w:rPr>
          <w:color w:val="000000" w:themeColor="text1"/>
        </w:rPr>
        <w:t>, L. Cheng, J. Xu, F. Xu, and Y. Zhang, 2020: Variability in the global energy budget and transports 1985-2017. Climate Dynamics, 55:3381–3396. https://doi.org/10.1007/s00382-020-05451-8.</w:t>
      </w:r>
    </w:p>
    <w:p w14:paraId="55E468D7" w14:textId="77777777" w:rsidR="0059377B" w:rsidRPr="00B67F80" w:rsidRDefault="0059377B" w:rsidP="007C6C5F">
      <w:pPr>
        <w:ind w:left="547" w:hanging="547"/>
        <w:rPr>
          <w:color w:val="000000" w:themeColor="text1"/>
        </w:rPr>
      </w:pPr>
    </w:p>
    <w:p w14:paraId="2B0F5F67" w14:textId="39FDBA64" w:rsidR="00480C29" w:rsidRPr="00B67F80" w:rsidRDefault="00480C29" w:rsidP="007C6C5F">
      <w:pPr>
        <w:ind w:left="547" w:hanging="547"/>
        <w:rPr>
          <w:color w:val="000000" w:themeColor="text1"/>
        </w:rPr>
      </w:pPr>
      <w:r w:rsidRPr="00B67F80">
        <w:rPr>
          <w:rFonts w:eastAsiaTheme="minorEastAsia"/>
          <w:color w:val="000000" w:themeColor="text1"/>
        </w:rPr>
        <w:t xml:space="preserve">Loeb, N. G., D. A. Rutan, S. Kato, and W. Wang, 2014: Observing interannual variations in Hadley circulation atmospheric diabatic heating and circulation strength, </w:t>
      </w:r>
      <w:r w:rsidRPr="00B67F80">
        <w:rPr>
          <w:rFonts w:eastAsiaTheme="minorEastAsia"/>
          <w:i/>
          <w:color w:val="000000" w:themeColor="text1"/>
        </w:rPr>
        <w:t>J. Climate</w:t>
      </w:r>
      <w:r w:rsidRPr="00B67F80">
        <w:rPr>
          <w:rFonts w:eastAsiaTheme="minorEastAsia"/>
          <w:color w:val="000000" w:themeColor="text1"/>
        </w:rPr>
        <w:t>, 27, DOI: 10.1175/JCLI-D-13-00656.1.</w:t>
      </w:r>
    </w:p>
    <w:p w14:paraId="40C67346" w14:textId="16BD472F" w:rsidR="00CA0FDA" w:rsidRPr="00B67F80" w:rsidRDefault="00CA0FDA" w:rsidP="007C6C5F">
      <w:pPr>
        <w:ind w:left="547" w:hanging="547"/>
        <w:rPr>
          <w:color w:val="000000" w:themeColor="text1"/>
        </w:rPr>
      </w:pPr>
    </w:p>
    <w:p w14:paraId="76608F77" w14:textId="3CA28A37" w:rsidR="00CA0FDA" w:rsidRPr="00B67F80" w:rsidRDefault="00CA0FDA" w:rsidP="007C6C5F">
      <w:pPr>
        <w:ind w:left="547" w:hanging="547"/>
        <w:rPr>
          <w:color w:val="000000" w:themeColor="text1"/>
        </w:rPr>
      </w:pPr>
      <w:r w:rsidRPr="00B67F80">
        <w:rPr>
          <w:color w:val="000000" w:themeColor="text1"/>
        </w:rPr>
        <w:t>Loeb, N.G., H. Wang, A. Cheng, S. Kato, J.T. Fasullo, K.-M. Xu, and R.P. Allan, 2016: Observational constraints on atmospheric and oceanic cross-equatorial heat transports: Revisiting the precipitation asymmetry problem in climate models. Climate Dynamics, 46(9-10), 3239-3257. doi:10.1007/s00382-015-2766-z.</w:t>
      </w:r>
    </w:p>
    <w:p w14:paraId="1CC05D55" w14:textId="77777777" w:rsidR="00480C29" w:rsidRPr="00B67F80" w:rsidRDefault="00480C29" w:rsidP="007C6C5F">
      <w:pPr>
        <w:ind w:left="547" w:hanging="547"/>
        <w:rPr>
          <w:color w:val="000000" w:themeColor="text1"/>
        </w:rPr>
      </w:pPr>
    </w:p>
    <w:p w14:paraId="67C98C8C" w14:textId="2895FAB9" w:rsidR="007C6C5F" w:rsidRPr="00B67F80" w:rsidRDefault="00551D4B" w:rsidP="007C6C5F">
      <w:pPr>
        <w:ind w:left="547" w:hanging="547"/>
        <w:rPr>
          <w:color w:val="000000" w:themeColor="text1"/>
          <w:lang w:val="fr-FR"/>
        </w:rPr>
      </w:pPr>
      <w:r w:rsidRPr="00B67F80">
        <w:rPr>
          <w:color w:val="000000" w:themeColor="text1"/>
        </w:rPr>
        <w:t xml:space="preserve">Loeb, N.G., N. Manalo-Smith, W. Su, M. Shankar, and S. Thomas, 2016: CERES top-of-atmosphere Earth radiation budget climate data record: Accounting for in-orbit changes in instrument calibration. </w:t>
      </w:r>
      <w:proofErr w:type="spellStart"/>
      <w:r w:rsidRPr="00B67F80">
        <w:rPr>
          <w:i/>
          <w:color w:val="000000" w:themeColor="text1"/>
          <w:lang w:val="fr-FR"/>
        </w:rPr>
        <w:t>Remote</w:t>
      </w:r>
      <w:proofErr w:type="spellEnd"/>
      <w:r w:rsidRPr="00B67F80">
        <w:rPr>
          <w:i/>
          <w:color w:val="000000" w:themeColor="text1"/>
          <w:lang w:val="fr-FR"/>
        </w:rPr>
        <w:t xml:space="preserve"> Sens</w:t>
      </w:r>
      <w:r w:rsidRPr="00B67F80">
        <w:rPr>
          <w:color w:val="000000" w:themeColor="text1"/>
          <w:lang w:val="fr-FR"/>
        </w:rPr>
        <w:t>., 8, 182; doi:10.3390/rs8030182.</w:t>
      </w:r>
    </w:p>
    <w:p w14:paraId="3D5CD4BB" w14:textId="77777777" w:rsidR="007C6C5F" w:rsidRPr="00B67F80" w:rsidRDefault="007C6C5F" w:rsidP="007C6C5F">
      <w:pPr>
        <w:ind w:left="547" w:hanging="547"/>
        <w:rPr>
          <w:color w:val="000000" w:themeColor="text1"/>
          <w:lang w:val="fr-FR"/>
        </w:rPr>
      </w:pPr>
    </w:p>
    <w:p w14:paraId="2CB4FAD7" w14:textId="21EF197F" w:rsidR="00834850" w:rsidRPr="00B67F80" w:rsidRDefault="00855B2F" w:rsidP="007C6C5F">
      <w:pPr>
        <w:ind w:left="547" w:hanging="547"/>
        <w:rPr>
          <w:color w:val="000000" w:themeColor="text1"/>
        </w:rPr>
      </w:pPr>
      <w:r w:rsidRPr="00B67F80">
        <w:rPr>
          <w:color w:val="000000" w:themeColor="text1"/>
          <w:lang w:val="fr-FR"/>
        </w:rPr>
        <w:t xml:space="preserve">Loeb, N. G., </w:t>
      </w:r>
      <w:proofErr w:type="spellStart"/>
      <w:r w:rsidRPr="00B67F80">
        <w:rPr>
          <w:color w:val="000000" w:themeColor="text1"/>
          <w:lang w:val="fr-FR"/>
        </w:rPr>
        <w:t>Doelling</w:t>
      </w:r>
      <w:proofErr w:type="spellEnd"/>
      <w:r w:rsidRPr="00B67F80">
        <w:rPr>
          <w:color w:val="000000" w:themeColor="text1"/>
          <w:lang w:val="fr-FR"/>
        </w:rPr>
        <w:t xml:space="preserve">, D. R., Wang, H., Su, W., Nguyen, C., </w:t>
      </w:r>
      <w:proofErr w:type="spellStart"/>
      <w:r w:rsidRPr="00B67F80">
        <w:rPr>
          <w:color w:val="000000" w:themeColor="text1"/>
          <w:lang w:val="fr-FR"/>
        </w:rPr>
        <w:t>Corbett</w:t>
      </w:r>
      <w:proofErr w:type="spellEnd"/>
      <w:r w:rsidRPr="00B67F80">
        <w:rPr>
          <w:color w:val="000000" w:themeColor="text1"/>
          <w:lang w:val="fr-FR"/>
        </w:rPr>
        <w:t xml:space="preserve">, J. G., et al. </w:t>
      </w:r>
      <w:r w:rsidRPr="00B67F80">
        <w:rPr>
          <w:color w:val="000000" w:themeColor="text1"/>
        </w:rPr>
        <w:t>(2018</w:t>
      </w:r>
      <w:r w:rsidR="00626169" w:rsidRPr="00B67F80">
        <w:rPr>
          <w:color w:val="000000" w:themeColor="text1"/>
        </w:rPr>
        <w:t>a</w:t>
      </w:r>
      <w:r w:rsidRPr="00B67F80">
        <w:rPr>
          <w:color w:val="000000" w:themeColor="text1"/>
        </w:rPr>
        <w:t xml:space="preserve">). Clouds and the Earth's Radiant Energy System (CERES) energy balanced and filled (EBAF) top‐of‐atmosphere (TOA) Edition 4.0 data product. Journal of Climate, 31, 895–918. </w:t>
      </w:r>
      <w:hyperlink r:id="rId13" w:history="1">
        <w:r w:rsidR="00551D4B" w:rsidRPr="00B67F80">
          <w:rPr>
            <w:rStyle w:val="Hyperlink"/>
            <w:color w:val="000000" w:themeColor="text1"/>
          </w:rPr>
          <w:t>https://doi.org/10.1175/JCLI‐D‐17‐0208.1</w:t>
        </w:r>
      </w:hyperlink>
      <w:r w:rsidR="007D0A8C" w:rsidRPr="00B67F80">
        <w:rPr>
          <w:color w:val="000000" w:themeColor="text1"/>
        </w:rPr>
        <w:t>.</w:t>
      </w:r>
    </w:p>
    <w:p w14:paraId="548855BC" w14:textId="77777777" w:rsidR="00551D4B" w:rsidRPr="00B67F80" w:rsidRDefault="00551D4B" w:rsidP="007C6C5F">
      <w:pPr>
        <w:ind w:left="547" w:hanging="547"/>
        <w:rPr>
          <w:color w:val="000000" w:themeColor="text1"/>
        </w:rPr>
      </w:pPr>
    </w:p>
    <w:p w14:paraId="30D6C0A4" w14:textId="1BE3653C" w:rsidR="00551D4B" w:rsidRPr="00B67F80" w:rsidRDefault="00551D4B" w:rsidP="007C6C5F">
      <w:pPr>
        <w:ind w:left="547" w:hanging="547"/>
        <w:rPr>
          <w:color w:val="000000" w:themeColor="text1"/>
        </w:rPr>
      </w:pPr>
      <w:r w:rsidRPr="00B67F80">
        <w:rPr>
          <w:color w:val="000000" w:themeColor="text1"/>
        </w:rPr>
        <w:t>Loeb, N.G., T.J. Thorsen, J.R. Norris, H. Wang, and W. Su, 2018b: Changes in Earth’s energy budget during and after the “Pause” in Global Warming: An observational perspective. MDPI Climate, 6, 62; doi:10.3390/cli6030062.</w:t>
      </w:r>
    </w:p>
    <w:p w14:paraId="7DAF5CCD" w14:textId="18B175BA" w:rsidR="00C47AFB" w:rsidRPr="00B67F80" w:rsidRDefault="00C47AFB" w:rsidP="007C6C5F">
      <w:pPr>
        <w:ind w:left="547" w:hanging="547"/>
        <w:rPr>
          <w:color w:val="000000" w:themeColor="text1"/>
        </w:rPr>
      </w:pPr>
    </w:p>
    <w:p w14:paraId="717D3ED2" w14:textId="77777777" w:rsidR="00C47AFB" w:rsidRPr="00B67F80" w:rsidRDefault="00C47AFB" w:rsidP="00C47AFB">
      <w:pPr>
        <w:ind w:left="547" w:hanging="547"/>
        <w:rPr>
          <w:color w:val="000000" w:themeColor="text1"/>
        </w:rPr>
      </w:pPr>
      <w:r w:rsidRPr="00B67F80">
        <w:rPr>
          <w:color w:val="000000" w:themeColor="text1"/>
        </w:rPr>
        <w:t xml:space="preserve">Loeb, N. G., H. Wang, R. P. Allan, T. Andrews, K. </w:t>
      </w:r>
      <w:proofErr w:type="spellStart"/>
      <w:r w:rsidRPr="00B67F80">
        <w:rPr>
          <w:color w:val="000000" w:themeColor="text1"/>
        </w:rPr>
        <w:t>Armour</w:t>
      </w:r>
      <w:proofErr w:type="spellEnd"/>
      <w:r w:rsidRPr="00B67F80">
        <w:rPr>
          <w:color w:val="000000" w:themeColor="text1"/>
        </w:rPr>
        <w:t>, J.N.S. Cole, et al., 2020: New generation of climate models track recent unprecedented changes in earth's radiation budget observed by CERES. Geophysical Research Letters, 47, doi:10.1029/2019GL086705.</w:t>
      </w:r>
    </w:p>
    <w:p w14:paraId="6AFE26ED" w14:textId="77777777" w:rsidR="00C47AFB" w:rsidRPr="00B67F80" w:rsidRDefault="00C47AFB" w:rsidP="007C6C5F">
      <w:pPr>
        <w:ind w:left="547" w:hanging="547"/>
        <w:rPr>
          <w:color w:val="000000" w:themeColor="text1"/>
        </w:rPr>
      </w:pPr>
    </w:p>
    <w:p w14:paraId="46EBA0F4" w14:textId="4F6D64FF" w:rsidR="00551D4B" w:rsidRPr="00B67F80" w:rsidRDefault="00551D4B" w:rsidP="007C6C5F">
      <w:pPr>
        <w:ind w:left="547" w:hanging="547"/>
        <w:rPr>
          <w:color w:val="000000" w:themeColor="text1"/>
        </w:rPr>
      </w:pPr>
    </w:p>
    <w:p w14:paraId="32C863E1" w14:textId="23058E90" w:rsidR="00551D4B" w:rsidRPr="00B67F80" w:rsidRDefault="00551D4B" w:rsidP="007C6C5F">
      <w:pPr>
        <w:ind w:left="547" w:hanging="547"/>
        <w:rPr>
          <w:color w:val="000000" w:themeColor="text1"/>
        </w:rPr>
      </w:pPr>
      <w:r w:rsidRPr="00B67F80">
        <w:rPr>
          <w:color w:val="000000" w:themeColor="text1"/>
        </w:rPr>
        <w:t xml:space="preserve">Loeb, N. G., G. C. Johnson, T. J. Thorsen, J. M. Lyman, F. G. Rose, and S. Kato, 2021: Satellite and ocean data reveal marked increase in Earth’s heating rate. </w:t>
      </w:r>
      <w:proofErr w:type="spellStart"/>
      <w:r w:rsidRPr="00B67F80">
        <w:rPr>
          <w:color w:val="000000" w:themeColor="text1"/>
        </w:rPr>
        <w:t>Geophys</w:t>
      </w:r>
      <w:proofErr w:type="spellEnd"/>
      <w:r w:rsidRPr="00B67F80">
        <w:rPr>
          <w:color w:val="000000" w:themeColor="text1"/>
        </w:rPr>
        <w:t xml:space="preserve">. Res. Lett., 48, e2021GL093047. </w:t>
      </w:r>
      <w:hyperlink r:id="rId14" w:history="1">
        <w:r w:rsidRPr="00B67F80">
          <w:rPr>
            <w:rStyle w:val="Hyperlink"/>
            <w:color w:val="000000" w:themeColor="text1"/>
          </w:rPr>
          <w:t>https://doi.org/10.1029/2021GL093047</w:t>
        </w:r>
      </w:hyperlink>
      <w:r w:rsidRPr="00B67F80">
        <w:rPr>
          <w:color w:val="000000" w:themeColor="text1"/>
        </w:rPr>
        <w:t>.</w:t>
      </w:r>
    </w:p>
    <w:p w14:paraId="5E9A2230" w14:textId="07F7732F" w:rsidR="00551D4B" w:rsidRPr="00B67F80" w:rsidRDefault="00551D4B" w:rsidP="007C6C5F">
      <w:pPr>
        <w:ind w:left="547" w:hanging="547"/>
        <w:rPr>
          <w:color w:val="000000" w:themeColor="text1"/>
        </w:rPr>
      </w:pPr>
    </w:p>
    <w:p w14:paraId="74BB8503" w14:textId="19CA44AD" w:rsidR="00B317E1" w:rsidRPr="00B67F80" w:rsidRDefault="00B317E1" w:rsidP="00B317E1">
      <w:pPr>
        <w:ind w:left="547" w:hanging="547"/>
        <w:rPr>
          <w:color w:val="000000" w:themeColor="text1"/>
        </w:rPr>
      </w:pPr>
      <w:r w:rsidRPr="00B67F80">
        <w:rPr>
          <w:color w:val="000000" w:themeColor="text1"/>
        </w:rPr>
        <w:t>London, J., 1957: A study of the atmospheric heat balance, final report, contract USAF8S1911221165, New York Univ., New York.</w:t>
      </w:r>
    </w:p>
    <w:p w14:paraId="7BFD3370" w14:textId="77777777" w:rsidR="00B317E1" w:rsidRPr="00B67F80" w:rsidRDefault="00B317E1" w:rsidP="005907D4">
      <w:pPr>
        <w:ind w:left="547" w:hanging="547"/>
        <w:rPr>
          <w:color w:val="000000" w:themeColor="text1"/>
        </w:rPr>
      </w:pPr>
    </w:p>
    <w:p w14:paraId="0CB0FF40" w14:textId="7E78D12A" w:rsidR="005907D4" w:rsidRPr="00B67F80" w:rsidRDefault="005907D4" w:rsidP="005907D4">
      <w:pPr>
        <w:ind w:left="547" w:hanging="547"/>
        <w:rPr>
          <w:color w:val="000000" w:themeColor="text1"/>
        </w:rPr>
      </w:pPr>
      <w:r w:rsidRPr="00B67F80">
        <w:rPr>
          <w:color w:val="000000" w:themeColor="text1"/>
        </w:rPr>
        <w:t xml:space="preserve">Marshall J., A. Donohoe, D. Ferreira, and D. McGee, 2013: The ocean’s role in setting the mean position of the inter-tropical convergence zone. </w:t>
      </w:r>
      <w:proofErr w:type="spellStart"/>
      <w:r w:rsidRPr="00B67F80">
        <w:rPr>
          <w:color w:val="000000" w:themeColor="text1"/>
        </w:rPr>
        <w:t>Clim</w:t>
      </w:r>
      <w:proofErr w:type="spellEnd"/>
      <w:r w:rsidRPr="00B67F80">
        <w:rPr>
          <w:color w:val="000000" w:themeColor="text1"/>
        </w:rPr>
        <w:t xml:space="preserve"> </w:t>
      </w:r>
      <w:proofErr w:type="spellStart"/>
      <w:r w:rsidRPr="00B67F80">
        <w:rPr>
          <w:color w:val="000000" w:themeColor="text1"/>
        </w:rPr>
        <w:t>Dyn</w:t>
      </w:r>
      <w:proofErr w:type="spellEnd"/>
      <w:r w:rsidRPr="00B67F80">
        <w:rPr>
          <w:color w:val="000000" w:themeColor="text1"/>
        </w:rPr>
        <w:t>. doi:10.1007/s00382-013-1767-z.</w:t>
      </w:r>
    </w:p>
    <w:p w14:paraId="4D4D222E" w14:textId="4B24CE72" w:rsidR="005907D4" w:rsidRPr="00B67F80" w:rsidRDefault="005907D4" w:rsidP="00225E05">
      <w:pPr>
        <w:rPr>
          <w:color w:val="000000" w:themeColor="text1"/>
        </w:rPr>
      </w:pPr>
    </w:p>
    <w:p w14:paraId="12EB39E0" w14:textId="3CD89D11" w:rsidR="005418CC" w:rsidRPr="00B67F80" w:rsidRDefault="005418CC" w:rsidP="005418CC">
      <w:pPr>
        <w:ind w:left="547" w:hanging="547"/>
        <w:rPr>
          <w:color w:val="000000" w:themeColor="text1"/>
        </w:rPr>
      </w:pPr>
      <w:r w:rsidRPr="00B67F80">
        <w:rPr>
          <w:color w:val="000000" w:themeColor="text1"/>
        </w:rPr>
        <w:t xml:space="preserve">Matthews, G., 2021: NASA CERES spurious calibration drifts corrected by lunar scans to show the Sun is not increasing global warming and allow immediate CRF detection. </w:t>
      </w:r>
      <w:proofErr w:type="spellStart"/>
      <w:r w:rsidRPr="00B67F80">
        <w:rPr>
          <w:color w:val="000000" w:themeColor="text1"/>
        </w:rPr>
        <w:t>Geophys</w:t>
      </w:r>
      <w:proofErr w:type="spellEnd"/>
      <w:r w:rsidRPr="00B67F80">
        <w:rPr>
          <w:color w:val="000000" w:themeColor="text1"/>
        </w:rPr>
        <w:t>. Res. Lett., 48, e2021GL092994. https://doi.org/10.1029/2021GL092994.</w:t>
      </w:r>
    </w:p>
    <w:p w14:paraId="362AA698" w14:textId="77777777" w:rsidR="005418CC" w:rsidRPr="00B67F80" w:rsidRDefault="005418CC" w:rsidP="00480C29">
      <w:pPr>
        <w:ind w:left="547" w:hanging="547"/>
        <w:rPr>
          <w:color w:val="000000" w:themeColor="text1"/>
        </w:rPr>
      </w:pPr>
    </w:p>
    <w:p w14:paraId="5E10D61C" w14:textId="528D5463" w:rsidR="00CA22B9" w:rsidRPr="00B67F80" w:rsidRDefault="00CA22B9" w:rsidP="00480C29">
      <w:pPr>
        <w:ind w:left="547" w:hanging="547"/>
        <w:rPr>
          <w:color w:val="000000" w:themeColor="text1"/>
        </w:rPr>
      </w:pPr>
      <w:r w:rsidRPr="00B67F80">
        <w:rPr>
          <w:color w:val="000000" w:themeColor="text1"/>
        </w:rPr>
        <w:t xml:space="preserve">Mayer, J., M. Mayer, and L. </w:t>
      </w:r>
      <w:proofErr w:type="spellStart"/>
      <w:r w:rsidRPr="00B67F80">
        <w:rPr>
          <w:color w:val="000000" w:themeColor="text1"/>
        </w:rPr>
        <w:t>Haimberger</w:t>
      </w:r>
      <w:proofErr w:type="spellEnd"/>
      <w:r w:rsidRPr="00B67F80">
        <w:rPr>
          <w:color w:val="000000" w:themeColor="text1"/>
        </w:rPr>
        <w:t>, 2021: Consistency and homogeneity of atmospheric energy, moisture, and mass budgets in ERA5. J. Climate, 34(10), 3955-3974.</w:t>
      </w:r>
    </w:p>
    <w:p w14:paraId="2D5EF4BF" w14:textId="77777777" w:rsidR="00CA22B9" w:rsidRPr="00B67F80" w:rsidRDefault="00CA22B9" w:rsidP="00480C29">
      <w:pPr>
        <w:ind w:left="547" w:hanging="547"/>
        <w:rPr>
          <w:color w:val="000000" w:themeColor="text1"/>
        </w:rPr>
      </w:pPr>
    </w:p>
    <w:p w14:paraId="0D571308" w14:textId="04793FCB" w:rsidR="00480C29" w:rsidRPr="00B67F80" w:rsidRDefault="00480C29" w:rsidP="00480C29">
      <w:pPr>
        <w:ind w:left="547" w:hanging="547"/>
        <w:rPr>
          <w:rFonts w:eastAsiaTheme="minorEastAsia"/>
          <w:color w:val="000000" w:themeColor="text1"/>
        </w:rPr>
      </w:pPr>
      <w:r w:rsidRPr="00B67F80">
        <w:rPr>
          <w:rFonts w:eastAsiaTheme="minorEastAsia"/>
          <w:color w:val="000000" w:themeColor="text1"/>
        </w:rPr>
        <w:t xml:space="preserve">Mayer, M., L. </w:t>
      </w:r>
      <w:proofErr w:type="spellStart"/>
      <w:r w:rsidRPr="00B67F80">
        <w:rPr>
          <w:rFonts w:eastAsiaTheme="minorEastAsia"/>
          <w:color w:val="000000" w:themeColor="text1"/>
        </w:rPr>
        <w:t>Haimberger</w:t>
      </w:r>
      <w:proofErr w:type="spellEnd"/>
      <w:r w:rsidRPr="00B67F80">
        <w:rPr>
          <w:rFonts w:eastAsiaTheme="minorEastAsia"/>
          <w:color w:val="000000" w:themeColor="text1"/>
        </w:rPr>
        <w:t xml:space="preserve">, J. M. Edwards, and P. </w:t>
      </w:r>
      <w:proofErr w:type="spellStart"/>
      <w:r w:rsidRPr="00B67F80">
        <w:rPr>
          <w:rFonts w:eastAsiaTheme="minorEastAsia"/>
          <w:color w:val="000000" w:themeColor="text1"/>
        </w:rPr>
        <w:t>Hyder</w:t>
      </w:r>
      <w:proofErr w:type="spellEnd"/>
      <w:r w:rsidRPr="00B67F80">
        <w:rPr>
          <w:rFonts w:eastAsiaTheme="minorEastAsia"/>
          <w:color w:val="000000" w:themeColor="text1"/>
        </w:rPr>
        <w:t>, 2017: Toward consistent diagnostics of the coupled atmosphere and ocean energy budget, J. Climate, 30, DOI: 10.1175/JCLI-D-17-0137.1.</w:t>
      </w:r>
    </w:p>
    <w:p w14:paraId="3A90F170" w14:textId="33563A35" w:rsidR="009538E8" w:rsidRPr="00B67F80" w:rsidRDefault="009538E8" w:rsidP="00480C29">
      <w:pPr>
        <w:ind w:left="547" w:hanging="547"/>
        <w:rPr>
          <w:rFonts w:eastAsiaTheme="minorEastAsia"/>
          <w:color w:val="000000" w:themeColor="text1"/>
        </w:rPr>
      </w:pPr>
    </w:p>
    <w:p w14:paraId="0E03C38C" w14:textId="330D7465" w:rsidR="009538E8" w:rsidRPr="00B67F80" w:rsidRDefault="009538E8" w:rsidP="009538E8">
      <w:pPr>
        <w:ind w:left="547" w:hanging="547"/>
        <w:rPr>
          <w:color w:val="000000" w:themeColor="text1"/>
        </w:rPr>
      </w:pPr>
      <w:r w:rsidRPr="00B67F80">
        <w:rPr>
          <w:color w:val="000000" w:themeColor="text1"/>
        </w:rPr>
        <w:t xml:space="preserve">Mayer, M., and L. </w:t>
      </w:r>
      <w:proofErr w:type="spellStart"/>
      <w:r w:rsidRPr="00B67F80">
        <w:rPr>
          <w:color w:val="000000" w:themeColor="text1"/>
        </w:rPr>
        <w:t>Haimberger</w:t>
      </w:r>
      <w:proofErr w:type="spellEnd"/>
      <w:r w:rsidRPr="00B67F80">
        <w:rPr>
          <w:color w:val="000000" w:themeColor="text1"/>
        </w:rPr>
        <w:t xml:space="preserve">, L., 2012: Poleward atmospheric energy transports and their variability as evaluated from ECMWF reanalysis data. J. of Climate, 25(2), 734–752. </w:t>
      </w:r>
      <w:hyperlink r:id="rId15" w:history="1">
        <w:r w:rsidR="00C17EC5" w:rsidRPr="00B67F80">
          <w:rPr>
            <w:rStyle w:val="Hyperlink"/>
            <w:color w:val="000000" w:themeColor="text1"/>
          </w:rPr>
          <w:t>https://doi.org/10.1175/JCLI-D-11-00202.1</w:t>
        </w:r>
      </w:hyperlink>
      <w:r w:rsidRPr="00B67F80">
        <w:rPr>
          <w:color w:val="000000" w:themeColor="text1"/>
        </w:rPr>
        <w:t>.</w:t>
      </w:r>
    </w:p>
    <w:p w14:paraId="40D54168" w14:textId="5E4D5E61" w:rsidR="00C17EC5" w:rsidRPr="00B67F80" w:rsidRDefault="00C17EC5" w:rsidP="009538E8">
      <w:pPr>
        <w:ind w:left="547" w:hanging="547"/>
        <w:rPr>
          <w:color w:val="000000" w:themeColor="text1"/>
        </w:rPr>
      </w:pPr>
    </w:p>
    <w:p w14:paraId="592A8CE6" w14:textId="64380802" w:rsidR="00C17EC5" w:rsidRPr="00B67F80" w:rsidRDefault="00C17EC5" w:rsidP="009538E8">
      <w:pPr>
        <w:ind w:left="547" w:hanging="547"/>
        <w:rPr>
          <w:color w:val="000000" w:themeColor="text1"/>
        </w:rPr>
      </w:pPr>
      <w:r w:rsidRPr="00B67F80">
        <w:rPr>
          <w:color w:val="000000" w:themeColor="text1"/>
        </w:rPr>
        <w:t xml:space="preserve">Mayer, M., L. </w:t>
      </w:r>
      <w:proofErr w:type="spellStart"/>
      <w:r w:rsidRPr="00B67F80">
        <w:rPr>
          <w:color w:val="000000" w:themeColor="text1"/>
        </w:rPr>
        <w:t>Haimberger</w:t>
      </w:r>
      <w:proofErr w:type="spellEnd"/>
      <w:r w:rsidRPr="00B67F80">
        <w:rPr>
          <w:color w:val="000000" w:themeColor="text1"/>
        </w:rPr>
        <w:t xml:space="preserve">, and M. A. Balmaseda, 2014: On the energy exchange between tropical ocean basins related to ENSO. </w:t>
      </w:r>
      <w:r w:rsidRPr="00B67F80">
        <w:rPr>
          <w:i/>
          <w:iCs/>
          <w:color w:val="000000" w:themeColor="text1"/>
        </w:rPr>
        <w:t>J. Climate</w:t>
      </w:r>
      <w:r w:rsidRPr="00B67F80">
        <w:rPr>
          <w:color w:val="000000" w:themeColor="text1"/>
        </w:rPr>
        <w:t xml:space="preserve">, </w:t>
      </w:r>
      <w:r w:rsidRPr="00B67F80">
        <w:rPr>
          <w:i/>
          <w:iCs/>
          <w:color w:val="000000" w:themeColor="text1"/>
        </w:rPr>
        <w:t>27</w:t>
      </w:r>
      <w:r w:rsidRPr="00B67F80">
        <w:rPr>
          <w:color w:val="000000" w:themeColor="text1"/>
        </w:rPr>
        <w:t>(17), 6393-6403.</w:t>
      </w:r>
    </w:p>
    <w:p w14:paraId="3C08A7A6" w14:textId="191A9CC1" w:rsidR="00480C29" w:rsidRPr="00B67F80" w:rsidRDefault="00480C29" w:rsidP="00551D4B">
      <w:pPr>
        <w:ind w:left="547" w:hanging="547"/>
        <w:rPr>
          <w:color w:val="000000" w:themeColor="text1"/>
        </w:rPr>
      </w:pPr>
    </w:p>
    <w:p w14:paraId="0CDA7B05" w14:textId="77777777" w:rsidR="008D4853" w:rsidRPr="00B67F80" w:rsidRDefault="008D4853" w:rsidP="008D4853">
      <w:pPr>
        <w:ind w:left="547" w:hanging="547"/>
        <w:rPr>
          <w:color w:val="000000" w:themeColor="text1"/>
        </w:rPr>
      </w:pPr>
      <w:r w:rsidRPr="00B67F80">
        <w:rPr>
          <w:color w:val="000000" w:themeColor="text1"/>
        </w:rPr>
        <w:t xml:space="preserve">Mayer, M., Alonso Balmaseda, M., &amp; </w:t>
      </w:r>
      <w:proofErr w:type="spellStart"/>
      <w:r w:rsidRPr="00B67F80">
        <w:rPr>
          <w:color w:val="000000" w:themeColor="text1"/>
        </w:rPr>
        <w:t>Haimberger</w:t>
      </w:r>
      <w:proofErr w:type="spellEnd"/>
      <w:r w:rsidRPr="00B67F80">
        <w:rPr>
          <w:color w:val="000000" w:themeColor="text1"/>
        </w:rPr>
        <w:t xml:space="preserve">, L. (2018). Unprecedented 2015/2016 Indo‐Pacific heat transfer speeds up tropical Pacific heat recharge. </w:t>
      </w:r>
      <w:r w:rsidRPr="00B67F80">
        <w:rPr>
          <w:i/>
          <w:iCs/>
          <w:color w:val="000000" w:themeColor="text1"/>
        </w:rPr>
        <w:t>Geophysical research letters</w:t>
      </w:r>
      <w:r w:rsidRPr="00B67F80">
        <w:rPr>
          <w:color w:val="000000" w:themeColor="text1"/>
        </w:rPr>
        <w:t xml:space="preserve">, </w:t>
      </w:r>
      <w:r w:rsidRPr="00B67F80">
        <w:rPr>
          <w:i/>
          <w:iCs/>
          <w:color w:val="000000" w:themeColor="text1"/>
        </w:rPr>
        <w:t>45</w:t>
      </w:r>
      <w:r w:rsidRPr="00B67F80">
        <w:rPr>
          <w:color w:val="000000" w:themeColor="text1"/>
        </w:rPr>
        <w:t>(7), 3274-3284.</w:t>
      </w:r>
    </w:p>
    <w:p w14:paraId="1ED77A16" w14:textId="77777777" w:rsidR="008D4853" w:rsidRPr="00B67F80" w:rsidRDefault="008D4853" w:rsidP="00551D4B">
      <w:pPr>
        <w:ind w:left="547" w:hanging="547"/>
        <w:rPr>
          <w:color w:val="000000" w:themeColor="text1"/>
        </w:rPr>
      </w:pPr>
    </w:p>
    <w:p w14:paraId="4D21DB28" w14:textId="3D8359F7" w:rsidR="00D80902" w:rsidRPr="00B67F80" w:rsidRDefault="00D80902" w:rsidP="00EB5B5E">
      <w:pPr>
        <w:ind w:left="547" w:hanging="547"/>
        <w:rPr>
          <w:color w:val="000000" w:themeColor="text1"/>
        </w:rPr>
      </w:pPr>
      <w:r w:rsidRPr="00B67F80">
        <w:rPr>
          <w:color w:val="000000" w:themeColor="text1"/>
        </w:rPr>
        <w:t>Mélard, G., and R. Roy, 1987: On confidence intervals and tests for autocorrelations. Comp. Stat. Data Analysis, 5, 31-44.</w:t>
      </w:r>
    </w:p>
    <w:p w14:paraId="7D70AB8A" w14:textId="77777777" w:rsidR="00D80902" w:rsidRPr="00B67F80" w:rsidRDefault="00D80902" w:rsidP="00EB5B5E">
      <w:pPr>
        <w:ind w:left="547" w:hanging="547"/>
        <w:rPr>
          <w:color w:val="000000" w:themeColor="text1"/>
        </w:rPr>
      </w:pPr>
    </w:p>
    <w:p w14:paraId="28040CF5" w14:textId="64A73387" w:rsidR="00EB5B5E" w:rsidRPr="00B67F80" w:rsidRDefault="00EB5B5E" w:rsidP="00EB5B5E">
      <w:pPr>
        <w:ind w:left="547" w:hanging="547"/>
        <w:rPr>
          <w:color w:val="000000" w:themeColor="text1"/>
        </w:rPr>
      </w:pPr>
      <w:r w:rsidRPr="00B67F80">
        <w:rPr>
          <w:color w:val="000000" w:themeColor="text1"/>
        </w:rPr>
        <w:t xml:space="preserve">Minnis, P., S. Sun-Mack, Y. Chen, F. Chang, C. R. Yost, W. L. Smith, P. W. Heck, R. F. </w:t>
      </w:r>
      <w:proofErr w:type="spellStart"/>
      <w:r w:rsidRPr="00B67F80">
        <w:rPr>
          <w:color w:val="000000" w:themeColor="text1"/>
        </w:rPr>
        <w:t>Arduini</w:t>
      </w:r>
      <w:proofErr w:type="spellEnd"/>
      <w:r w:rsidRPr="00B67F80">
        <w:rPr>
          <w:color w:val="000000" w:themeColor="text1"/>
        </w:rPr>
        <w:t xml:space="preserve">, S. T. </w:t>
      </w:r>
      <w:proofErr w:type="spellStart"/>
      <w:r w:rsidRPr="00B67F80">
        <w:rPr>
          <w:color w:val="000000" w:themeColor="text1"/>
        </w:rPr>
        <w:t>Bedka</w:t>
      </w:r>
      <w:proofErr w:type="spellEnd"/>
      <w:r w:rsidRPr="00B67F80">
        <w:rPr>
          <w:color w:val="000000" w:themeColor="text1"/>
        </w:rPr>
        <w:t xml:space="preserve">, Y. Yi, G. Hong, Z. Jin, D. </w:t>
      </w:r>
      <w:proofErr w:type="spellStart"/>
      <w:r w:rsidRPr="00B67F80">
        <w:rPr>
          <w:color w:val="000000" w:themeColor="text1"/>
        </w:rPr>
        <w:t>Painemal</w:t>
      </w:r>
      <w:proofErr w:type="spellEnd"/>
      <w:r w:rsidRPr="00B67F80">
        <w:rPr>
          <w:color w:val="000000" w:themeColor="text1"/>
        </w:rPr>
        <w:t xml:space="preserve">, R. </w:t>
      </w:r>
      <w:proofErr w:type="spellStart"/>
      <w:r w:rsidRPr="00B67F80">
        <w:rPr>
          <w:color w:val="000000" w:themeColor="text1"/>
        </w:rPr>
        <w:t>Palikonda</w:t>
      </w:r>
      <w:proofErr w:type="spellEnd"/>
      <w:r w:rsidRPr="00B67F80">
        <w:rPr>
          <w:color w:val="000000" w:themeColor="text1"/>
        </w:rPr>
        <w:t xml:space="preserve">, B. R. </w:t>
      </w:r>
      <w:proofErr w:type="spellStart"/>
      <w:r w:rsidRPr="00B67F80">
        <w:rPr>
          <w:color w:val="000000" w:themeColor="text1"/>
        </w:rPr>
        <w:t>Scarino</w:t>
      </w:r>
      <w:proofErr w:type="spellEnd"/>
      <w:r w:rsidRPr="00B67F80">
        <w:rPr>
          <w:color w:val="000000" w:themeColor="text1"/>
        </w:rPr>
        <w:t xml:space="preserve">, D. A. Spangenberg, R. A. Smith, Q. Z. </w:t>
      </w:r>
      <w:proofErr w:type="spellStart"/>
      <w:r w:rsidRPr="00B67F80">
        <w:rPr>
          <w:color w:val="000000" w:themeColor="text1"/>
        </w:rPr>
        <w:t>Trepte</w:t>
      </w:r>
      <w:proofErr w:type="spellEnd"/>
      <w:r w:rsidRPr="00B67F80">
        <w:rPr>
          <w:color w:val="000000" w:themeColor="text1"/>
        </w:rPr>
        <w:t xml:space="preserve">, P. Yang, Y. </w:t>
      </w:r>
      <w:proofErr w:type="spellStart"/>
      <w:r w:rsidRPr="00B67F80">
        <w:rPr>
          <w:color w:val="000000" w:themeColor="text1"/>
        </w:rPr>
        <w:t>Xie</w:t>
      </w:r>
      <w:proofErr w:type="spellEnd"/>
      <w:r w:rsidRPr="00B67F80">
        <w:rPr>
          <w:color w:val="000000" w:themeColor="text1"/>
        </w:rPr>
        <w:t xml:space="preserve">, 2020: CERES MODIS Cloud Product Retrievals for Edition 4–Part I: Algorithm Changes. IEEE Transactions on Geoscience and Remote Sensing, 1-37. </w:t>
      </w:r>
      <w:proofErr w:type="spellStart"/>
      <w:r w:rsidRPr="00B67F80">
        <w:rPr>
          <w:color w:val="000000" w:themeColor="text1"/>
        </w:rPr>
        <w:t>doi</w:t>
      </w:r>
      <w:proofErr w:type="spellEnd"/>
      <w:r w:rsidRPr="00B67F80">
        <w:rPr>
          <w:color w:val="000000" w:themeColor="text1"/>
        </w:rPr>
        <w:t>: </w:t>
      </w:r>
      <w:hyperlink r:id="rId16" w:tooltip="DOI link" w:history="1">
        <w:r w:rsidRPr="00B67F80">
          <w:rPr>
            <w:rStyle w:val="Hyperlink"/>
            <w:color w:val="000000" w:themeColor="text1"/>
          </w:rPr>
          <w:t>10.1109/TGRS.2020.3008866</w:t>
        </w:r>
      </w:hyperlink>
      <w:r w:rsidRPr="00B67F80">
        <w:rPr>
          <w:color w:val="000000" w:themeColor="text1"/>
        </w:rPr>
        <w:t>.</w:t>
      </w:r>
    </w:p>
    <w:p w14:paraId="41381020" w14:textId="77777777" w:rsidR="00EB5B5E" w:rsidRPr="00B67F80" w:rsidRDefault="00EB5B5E" w:rsidP="00C47AFB">
      <w:pPr>
        <w:ind w:left="547" w:hanging="547"/>
        <w:rPr>
          <w:color w:val="000000" w:themeColor="text1"/>
        </w:rPr>
      </w:pPr>
    </w:p>
    <w:p w14:paraId="0E90FDEA" w14:textId="0ACEF921" w:rsidR="00C47AFB" w:rsidRPr="00B67F80" w:rsidRDefault="00C47AFB" w:rsidP="00C47AFB">
      <w:pPr>
        <w:ind w:left="547" w:hanging="547"/>
        <w:rPr>
          <w:color w:val="000000" w:themeColor="text1"/>
        </w:rPr>
      </w:pPr>
      <w:r w:rsidRPr="00B67F80">
        <w:rPr>
          <w:color w:val="000000" w:themeColor="text1"/>
        </w:rPr>
        <w:t xml:space="preserve">Myers, T. A., C. R. </w:t>
      </w:r>
      <w:proofErr w:type="spellStart"/>
      <w:r w:rsidRPr="00B67F80">
        <w:rPr>
          <w:color w:val="000000" w:themeColor="text1"/>
        </w:rPr>
        <w:t>Mechoso</w:t>
      </w:r>
      <w:proofErr w:type="spellEnd"/>
      <w:r w:rsidRPr="00B67F80">
        <w:rPr>
          <w:color w:val="000000" w:themeColor="text1"/>
        </w:rPr>
        <w:t xml:space="preserve">, G. V. </w:t>
      </w:r>
      <w:proofErr w:type="spellStart"/>
      <w:r w:rsidRPr="00B67F80">
        <w:rPr>
          <w:color w:val="000000" w:themeColor="text1"/>
        </w:rPr>
        <w:t>Cesana</w:t>
      </w:r>
      <w:proofErr w:type="spellEnd"/>
      <w:r w:rsidRPr="00B67F80">
        <w:rPr>
          <w:color w:val="000000" w:themeColor="text1"/>
        </w:rPr>
        <w:t xml:space="preserve">, M. J. </w:t>
      </w:r>
      <w:proofErr w:type="spellStart"/>
      <w:r w:rsidRPr="00B67F80">
        <w:rPr>
          <w:color w:val="000000" w:themeColor="text1"/>
        </w:rPr>
        <w:t>DeFlorio</w:t>
      </w:r>
      <w:proofErr w:type="spellEnd"/>
      <w:r w:rsidRPr="00B67F80">
        <w:rPr>
          <w:color w:val="000000" w:themeColor="text1"/>
        </w:rPr>
        <w:t xml:space="preserve">, </w:t>
      </w:r>
      <w:r w:rsidR="006815C7" w:rsidRPr="00B67F80">
        <w:rPr>
          <w:color w:val="000000" w:themeColor="text1"/>
        </w:rPr>
        <w:t>and</w:t>
      </w:r>
      <w:r w:rsidRPr="00B67F80">
        <w:rPr>
          <w:color w:val="000000" w:themeColor="text1"/>
        </w:rPr>
        <w:t xml:space="preserve"> D. E. </w:t>
      </w:r>
      <w:proofErr w:type="spellStart"/>
      <w:r w:rsidRPr="00B67F80">
        <w:rPr>
          <w:color w:val="000000" w:themeColor="text1"/>
        </w:rPr>
        <w:t>Waliser</w:t>
      </w:r>
      <w:proofErr w:type="spellEnd"/>
      <w:r w:rsidRPr="00B67F80">
        <w:rPr>
          <w:color w:val="000000" w:themeColor="text1"/>
        </w:rPr>
        <w:t>, 2018</w:t>
      </w:r>
      <w:r w:rsidR="006815C7" w:rsidRPr="00B67F80">
        <w:rPr>
          <w:color w:val="000000" w:themeColor="text1"/>
        </w:rPr>
        <w:t>:</w:t>
      </w:r>
      <w:r w:rsidRPr="00B67F80">
        <w:rPr>
          <w:color w:val="000000" w:themeColor="text1"/>
        </w:rPr>
        <w:t xml:space="preserve"> Cloud feedback key to marine heatwave off Baja California. Geophysical Research Letters, 45, 4345–4352. https://doi.org/10.1029/2018GL078242.</w:t>
      </w:r>
    </w:p>
    <w:p w14:paraId="1F9B1EC1" w14:textId="1430E91E" w:rsidR="00C47AFB" w:rsidRPr="00B67F80" w:rsidRDefault="00C47AFB" w:rsidP="00551D4B">
      <w:pPr>
        <w:ind w:left="547" w:hanging="547"/>
        <w:rPr>
          <w:color w:val="000000" w:themeColor="text1"/>
        </w:rPr>
      </w:pPr>
    </w:p>
    <w:p w14:paraId="6ACD8EE7" w14:textId="5C7B3026" w:rsidR="00DE17B7" w:rsidRPr="00B67F80" w:rsidRDefault="00DE17B7" w:rsidP="00DE17B7">
      <w:pPr>
        <w:ind w:left="547" w:hanging="547"/>
        <w:rPr>
          <w:color w:val="000000" w:themeColor="text1"/>
        </w:rPr>
      </w:pPr>
      <w:r w:rsidRPr="00B67F80">
        <w:rPr>
          <w:color w:val="000000" w:themeColor="text1"/>
        </w:rPr>
        <w:t xml:space="preserve">Oort, A. H., and T. H. Vonder Haar, 1976: On the observed annual cycle in the ocean–atmosphere heat balance over the Northern Hemisphere. J. Phys. </w:t>
      </w:r>
      <w:proofErr w:type="spellStart"/>
      <w:r w:rsidRPr="00B67F80">
        <w:rPr>
          <w:color w:val="000000" w:themeColor="text1"/>
        </w:rPr>
        <w:t>Oceanogr</w:t>
      </w:r>
      <w:proofErr w:type="spellEnd"/>
      <w:r w:rsidRPr="00B67F80">
        <w:rPr>
          <w:color w:val="000000" w:themeColor="text1"/>
        </w:rPr>
        <w:t>., 6, 781–800.</w:t>
      </w:r>
    </w:p>
    <w:p w14:paraId="65AA12F5" w14:textId="77777777" w:rsidR="00DE17B7" w:rsidRPr="00B67F80" w:rsidRDefault="00DE17B7" w:rsidP="00E22C77">
      <w:pPr>
        <w:ind w:left="547" w:hanging="547"/>
        <w:rPr>
          <w:color w:val="000000" w:themeColor="text1"/>
        </w:rPr>
      </w:pPr>
    </w:p>
    <w:p w14:paraId="0DA0DFCB" w14:textId="796B464D" w:rsidR="001C0DF0" w:rsidRPr="00B67F80" w:rsidRDefault="001C0DF0" w:rsidP="001C0DF0">
      <w:pPr>
        <w:ind w:left="547" w:hanging="547"/>
        <w:rPr>
          <w:color w:val="000000" w:themeColor="text1"/>
        </w:rPr>
      </w:pPr>
      <w:r w:rsidRPr="00B67F80">
        <w:rPr>
          <w:color w:val="000000" w:themeColor="text1"/>
        </w:rPr>
        <w:t>Raghuraman, S. P., D. J. Paynter, and V. Ramaswamy, 2021: Anthropogenic forcing and response yield observed positive trend in Earth's energy imbalance. </w:t>
      </w:r>
      <w:r w:rsidRPr="00B67F80">
        <w:rPr>
          <w:i/>
          <w:iCs/>
          <w:color w:val="000000" w:themeColor="text1"/>
        </w:rPr>
        <w:t>Nature Communications</w:t>
      </w:r>
      <w:r w:rsidRPr="00B67F80">
        <w:rPr>
          <w:color w:val="000000" w:themeColor="text1"/>
        </w:rPr>
        <w:t>, 12, 4557, DOI:</w:t>
      </w:r>
      <w:hyperlink r:id="rId17" w:tgtFrame="_blank" w:history="1">
        <w:r w:rsidRPr="00B67F80">
          <w:rPr>
            <w:rStyle w:val="Hyperlink"/>
            <w:color w:val="000000" w:themeColor="text1"/>
          </w:rPr>
          <w:t>10.1038/s41467-021-24544-4</w:t>
        </w:r>
      </w:hyperlink>
      <w:r w:rsidRPr="00B67F80">
        <w:rPr>
          <w:color w:val="000000" w:themeColor="text1"/>
        </w:rPr>
        <w:t>.</w:t>
      </w:r>
    </w:p>
    <w:p w14:paraId="074FC953" w14:textId="77777777" w:rsidR="001C0DF0" w:rsidRPr="00B67F80" w:rsidRDefault="001C0DF0" w:rsidP="00E22C77">
      <w:pPr>
        <w:ind w:left="547" w:hanging="547"/>
        <w:rPr>
          <w:color w:val="000000" w:themeColor="text1"/>
        </w:rPr>
      </w:pPr>
    </w:p>
    <w:p w14:paraId="336BD62D" w14:textId="5B3260C7" w:rsidR="00E22C77" w:rsidRPr="00B67F80" w:rsidRDefault="00E22C77" w:rsidP="00E22C77">
      <w:pPr>
        <w:ind w:left="547" w:hanging="547"/>
        <w:rPr>
          <w:color w:val="000000" w:themeColor="text1"/>
        </w:rPr>
      </w:pPr>
      <w:r w:rsidRPr="00B67F80">
        <w:rPr>
          <w:color w:val="000000" w:themeColor="text1"/>
        </w:rPr>
        <w:t>Rienecker, M. M., and Coauthors, 2008: The GEOS-5 Data Assimilation System—Documentation of versions 5.0.1, 5.1.0, and 5.2.0. NASA Tech. Memo. NASA/TM-2008-104606, Vol. 27, 97 pp., http://gmao.gsfc.nasa.gov/pubs/docs/Rienecker369.pdf.</w:t>
      </w:r>
    </w:p>
    <w:p w14:paraId="6B6358BF" w14:textId="77777777" w:rsidR="00E22C77" w:rsidRPr="00B67F80" w:rsidRDefault="00E22C77" w:rsidP="003D63FD">
      <w:pPr>
        <w:ind w:left="547" w:hanging="547"/>
        <w:rPr>
          <w:color w:val="000000" w:themeColor="text1"/>
        </w:rPr>
      </w:pPr>
    </w:p>
    <w:p w14:paraId="1A493610" w14:textId="30441A36" w:rsidR="00BA4FC2" w:rsidRPr="00B67F80" w:rsidRDefault="00BA4FC2" w:rsidP="00BA4FC2">
      <w:pPr>
        <w:ind w:left="547" w:hanging="547"/>
        <w:rPr>
          <w:color w:val="000000" w:themeColor="text1"/>
        </w:rPr>
      </w:pPr>
      <w:r w:rsidRPr="00B67F80">
        <w:rPr>
          <w:color w:val="000000" w:themeColor="text1"/>
        </w:rPr>
        <w:t xml:space="preserve">Roberts, J. B., C. A. </w:t>
      </w:r>
      <w:proofErr w:type="spellStart"/>
      <w:r w:rsidRPr="00B67F80">
        <w:rPr>
          <w:color w:val="000000" w:themeColor="text1"/>
        </w:rPr>
        <w:t>Clayson</w:t>
      </w:r>
      <w:proofErr w:type="spellEnd"/>
      <w:r w:rsidRPr="00B67F80">
        <w:rPr>
          <w:color w:val="000000" w:themeColor="text1"/>
        </w:rPr>
        <w:t xml:space="preserve">, and F. R. Robertson, 2020: SeaFlux v3: An updated climate data record of ocean turbulent fluxes. https://doi.org/10.5067/SEAFLUX/DATA101; data available at </w:t>
      </w:r>
      <w:hyperlink r:id="rId18" w:history="1">
        <w:r w:rsidR="00027527" w:rsidRPr="00B67F80">
          <w:rPr>
            <w:rStyle w:val="Hyperlink"/>
            <w:color w:val="000000" w:themeColor="text1"/>
          </w:rPr>
          <w:t>https://ghrc.nsstc.nasa.gov/pub/SEAFLUX/</w:t>
        </w:r>
      </w:hyperlink>
      <w:r w:rsidRPr="00B67F80">
        <w:rPr>
          <w:color w:val="000000" w:themeColor="text1"/>
        </w:rPr>
        <w:t>.</w:t>
      </w:r>
    </w:p>
    <w:p w14:paraId="7B1105E4" w14:textId="22B01997" w:rsidR="00027527" w:rsidRPr="00B67F80" w:rsidRDefault="00027527" w:rsidP="00BA4FC2">
      <w:pPr>
        <w:ind w:left="547" w:hanging="547"/>
        <w:rPr>
          <w:color w:val="000000" w:themeColor="text1"/>
        </w:rPr>
      </w:pPr>
    </w:p>
    <w:p w14:paraId="58D28DF8" w14:textId="423E511C" w:rsidR="00027527" w:rsidRPr="00B67F80" w:rsidRDefault="00027527" w:rsidP="00BA4FC2">
      <w:pPr>
        <w:ind w:left="547" w:hanging="547"/>
        <w:rPr>
          <w:color w:val="000000" w:themeColor="text1"/>
        </w:rPr>
      </w:pPr>
      <w:r w:rsidRPr="00B67F80">
        <w:rPr>
          <w:color w:val="000000" w:themeColor="text1"/>
          <w:lang w:val="fr-FR"/>
        </w:rPr>
        <w:t xml:space="preserve">Roberts, C. D., </w:t>
      </w:r>
      <w:proofErr w:type="spellStart"/>
      <w:r w:rsidRPr="00B67F80">
        <w:rPr>
          <w:color w:val="000000" w:themeColor="text1"/>
          <w:lang w:val="fr-FR"/>
        </w:rPr>
        <w:t>Senan</w:t>
      </w:r>
      <w:proofErr w:type="spellEnd"/>
      <w:r w:rsidRPr="00B67F80">
        <w:rPr>
          <w:color w:val="000000" w:themeColor="text1"/>
          <w:lang w:val="fr-FR"/>
        </w:rPr>
        <w:t xml:space="preserve">, R., </w:t>
      </w:r>
      <w:proofErr w:type="spellStart"/>
      <w:r w:rsidRPr="00B67F80">
        <w:rPr>
          <w:color w:val="000000" w:themeColor="text1"/>
          <w:lang w:val="fr-FR"/>
        </w:rPr>
        <w:t>Molteni</w:t>
      </w:r>
      <w:proofErr w:type="spellEnd"/>
      <w:r w:rsidRPr="00B67F80">
        <w:rPr>
          <w:color w:val="000000" w:themeColor="text1"/>
          <w:lang w:val="fr-FR"/>
        </w:rPr>
        <w:t xml:space="preserve">, F., </w:t>
      </w:r>
      <w:proofErr w:type="spellStart"/>
      <w:r w:rsidRPr="00B67F80">
        <w:rPr>
          <w:color w:val="000000" w:themeColor="text1"/>
          <w:lang w:val="fr-FR"/>
        </w:rPr>
        <w:t>Boussetta</w:t>
      </w:r>
      <w:proofErr w:type="spellEnd"/>
      <w:r w:rsidRPr="00B67F80">
        <w:rPr>
          <w:color w:val="000000" w:themeColor="text1"/>
          <w:lang w:val="fr-FR"/>
        </w:rPr>
        <w:t xml:space="preserve">, S., Mayer, M., &amp; </w:t>
      </w:r>
      <w:proofErr w:type="spellStart"/>
      <w:r w:rsidRPr="00B67F80">
        <w:rPr>
          <w:color w:val="000000" w:themeColor="text1"/>
          <w:lang w:val="fr-FR"/>
        </w:rPr>
        <w:t>Keeley</w:t>
      </w:r>
      <w:proofErr w:type="spellEnd"/>
      <w:r w:rsidRPr="00B67F80">
        <w:rPr>
          <w:color w:val="000000" w:themeColor="text1"/>
          <w:lang w:val="fr-FR"/>
        </w:rPr>
        <w:t xml:space="preserve">, S. P. (2018). </w:t>
      </w:r>
      <w:r w:rsidRPr="00B67F80">
        <w:rPr>
          <w:color w:val="000000" w:themeColor="text1"/>
        </w:rPr>
        <w:t xml:space="preserve">Climate model configurations of the ECMWF Integrated Forecasting System (ECMWF-IFS cycle 43r1) for </w:t>
      </w:r>
      <w:proofErr w:type="spellStart"/>
      <w:r w:rsidRPr="00B67F80">
        <w:rPr>
          <w:color w:val="000000" w:themeColor="text1"/>
        </w:rPr>
        <w:t>HighResMIP</w:t>
      </w:r>
      <w:proofErr w:type="spellEnd"/>
      <w:r w:rsidRPr="00B67F80">
        <w:rPr>
          <w:color w:val="000000" w:themeColor="text1"/>
        </w:rPr>
        <w:t xml:space="preserve">. </w:t>
      </w:r>
      <w:r w:rsidRPr="00B67F80">
        <w:rPr>
          <w:i/>
          <w:iCs/>
          <w:color w:val="000000" w:themeColor="text1"/>
        </w:rPr>
        <w:t>Geoscientific model development</w:t>
      </w:r>
      <w:r w:rsidRPr="00B67F80">
        <w:rPr>
          <w:color w:val="000000" w:themeColor="text1"/>
        </w:rPr>
        <w:t xml:space="preserve">, </w:t>
      </w:r>
      <w:r w:rsidRPr="00B67F80">
        <w:rPr>
          <w:i/>
          <w:iCs/>
          <w:color w:val="000000" w:themeColor="text1"/>
        </w:rPr>
        <w:t>11</w:t>
      </w:r>
      <w:r w:rsidRPr="00B67F80">
        <w:rPr>
          <w:color w:val="000000" w:themeColor="text1"/>
        </w:rPr>
        <w:t>(9), 3681-3712.</w:t>
      </w:r>
    </w:p>
    <w:p w14:paraId="4B60034F" w14:textId="77777777" w:rsidR="00BA4FC2" w:rsidRPr="00B67F80" w:rsidRDefault="00BA4FC2" w:rsidP="003D63FD">
      <w:pPr>
        <w:ind w:left="547" w:hanging="547"/>
        <w:rPr>
          <w:color w:val="000000" w:themeColor="text1"/>
        </w:rPr>
      </w:pPr>
    </w:p>
    <w:p w14:paraId="4C442452" w14:textId="5C4482EF" w:rsidR="003D63FD" w:rsidRPr="00B67F80" w:rsidRDefault="003D63FD" w:rsidP="003D63FD">
      <w:pPr>
        <w:ind w:left="547" w:hanging="547"/>
        <w:rPr>
          <w:color w:val="000000" w:themeColor="text1"/>
        </w:rPr>
      </w:pPr>
      <w:r w:rsidRPr="00B67F80">
        <w:rPr>
          <w:color w:val="000000" w:themeColor="text1"/>
        </w:rPr>
        <w:t xml:space="preserve">Robertson, F. R., and Coauthors, 2020: Uncertainties in ocean latent heat flux variations over recent decades in satellite-based estimates and reduced observation reanalyses. J. Climate, 33, 8415–8437, </w:t>
      </w:r>
      <w:hyperlink r:id="rId19" w:history="1">
        <w:r w:rsidR="005C3A06" w:rsidRPr="00B67F80">
          <w:rPr>
            <w:rStyle w:val="Hyperlink"/>
            <w:color w:val="000000" w:themeColor="text1"/>
          </w:rPr>
          <w:t>https://doi.org/10.1175/JCLI-D-19-0954.1</w:t>
        </w:r>
      </w:hyperlink>
      <w:r w:rsidRPr="00B67F80">
        <w:rPr>
          <w:color w:val="000000" w:themeColor="text1"/>
        </w:rPr>
        <w:t>.</w:t>
      </w:r>
    </w:p>
    <w:p w14:paraId="3A1B926E" w14:textId="1B5902F2" w:rsidR="005C3A06" w:rsidRPr="00B67F80" w:rsidRDefault="005C3A06" w:rsidP="003D63FD">
      <w:pPr>
        <w:ind w:left="547" w:hanging="547"/>
        <w:rPr>
          <w:color w:val="000000" w:themeColor="text1"/>
        </w:rPr>
      </w:pPr>
    </w:p>
    <w:p w14:paraId="7CD0AE4D" w14:textId="48803A7F" w:rsidR="00E22C77" w:rsidRPr="00B67F80" w:rsidRDefault="00E22C77" w:rsidP="00E22C77">
      <w:pPr>
        <w:ind w:left="547" w:hanging="547"/>
        <w:rPr>
          <w:color w:val="000000" w:themeColor="text1"/>
        </w:rPr>
      </w:pPr>
      <w:r w:rsidRPr="00B67F80">
        <w:rPr>
          <w:color w:val="000000" w:themeColor="text1"/>
        </w:rPr>
        <w:t xml:space="preserve">Rutan, D., F. Rose, M. Roman, N. Manalo-Smith, C. Schaaf, and T. Charlock, 2009: Development and assessment of broadband surface albedo from Clouds and the Earth’s Radiant Energy System clouds and radiation swath data product. J. </w:t>
      </w:r>
      <w:proofErr w:type="spellStart"/>
      <w:r w:rsidRPr="00B67F80">
        <w:rPr>
          <w:color w:val="000000" w:themeColor="text1"/>
        </w:rPr>
        <w:t>Geophys</w:t>
      </w:r>
      <w:proofErr w:type="spellEnd"/>
      <w:r w:rsidRPr="00B67F80">
        <w:rPr>
          <w:color w:val="000000" w:themeColor="text1"/>
        </w:rPr>
        <w:t>. Res., 114, D08125, doi:10.1029/2008JD010669.</w:t>
      </w:r>
    </w:p>
    <w:p w14:paraId="26F2EC22" w14:textId="77777777" w:rsidR="00E22C77" w:rsidRPr="00B67F80" w:rsidRDefault="00E22C77" w:rsidP="00211187">
      <w:pPr>
        <w:ind w:left="547" w:hanging="547"/>
        <w:rPr>
          <w:color w:val="000000" w:themeColor="text1"/>
        </w:rPr>
      </w:pPr>
    </w:p>
    <w:p w14:paraId="6851EC76" w14:textId="3C434C3E" w:rsidR="00211187" w:rsidRPr="00B67F80" w:rsidRDefault="00211187" w:rsidP="00211187">
      <w:pPr>
        <w:ind w:left="547" w:hanging="547"/>
        <w:rPr>
          <w:color w:val="000000" w:themeColor="text1"/>
        </w:rPr>
      </w:pPr>
      <w:r w:rsidRPr="00B67F80">
        <w:rPr>
          <w:color w:val="000000" w:themeColor="text1"/>
        </w:rPr>
        <w:t>Rutan, D. A., S. Kato, D. R. Doelling, F. G. Rose, L. T. Nguyen, T. E. Caldwell, and N. G. Loeb, 2015: CERES synoptic product: Methodology and validation of surface radiant flux. </w:t>
      </w:r>
      <w:r w:rsidRPr="00B67F80">
        <w:rPr>
          <w:i/>
          <w:iCs/>
          <w:color w:val="000000" w:themeColor="text1"/>
        </w:rPr>
        <w:t>J. Atmos. Oceanic Technol.</w:t>
      </w:r>
      <w:r w:rsidRPr="00B67F80">
        <w:rPr>
          <w:color w:val="000000" w:themeColor="text1"/>
        </w:rPr>
        <w:t>, </w:t>
      </w:r>
      <w:r w:rsidRPr="00B67F80">
        <w:rPr>
          <w:b/>
          <w:bCs/>
          <w:color w:val="000000" w:themeColor="text1"/>
        </w:rPr>
        <w:t>32</w:t>
      </w:r>
      <w:r w:rsidRPr="00B67F80">
        <w:rPr>
          <w:color w:val="000000" w:themeColor="text1"/>
        </w:rPr>
        <w:t xml:space="preserve">, 1121–1143, </w:t>
      </w:r>
      <w:proofErr w:type="spellStart"/>
      <w:r w:rsidRPr="00B67F80">
        <w:rPr>
          <w:color w:val="000000" w:themeColor="text1"/>
        </w:rPr>
        <w:t>doi</w:t>
      </w:r>
      <w:proofErr w:type="spellEnd"/>
      <w:r w:rsidRPr="00B67F80">
        <w:rPr>
          <w:color w:val="000000" w:themeColor="text1"/>
        </w:rPr>
        <w:t>: </w:t>
      </w:r>
      <w:hyperlink r:id="rId20" w:history="1">
        <w:r w:rsidRPr="00B67F80">
          <w:rPr>
            <w:rStyle w:val="Hyperlink"/>
            <w:color w:val="000000" w:themeColor="text1"/>
          </w:rPr>
          <w:t>10.1175/JTECH-D-14-00165.1</w:t>
        </w:r>
      </w:hyperlink>
      <w:r w:rsidRPr="00B67F80">
        <w:rPr>
          <w:color w:val="000000" w:themeColor="text1"/>
        </w:rPr>
        <w:t>.</w:t>
      </w:r>
    </w:p>
    <w:p w14:paraId="3C356AED" w14:textId="77777777" w:rsidR="00211187" w:rsidRPr="00B67F80" w:rsidRDefault="00211187" w:rsidP="005C3A06">
      <w:pPr>
        <w:ind w:left="547" w:hanging="547"/>
        <w:rPr>
          <w:color w:val="000000" w:themeColor="text1"/>
        </w:rPr>
      </w:pPr>
    </w:p>
    <w:p w14:paraId="40D2C339" w14:textId="07C56EB9" w:rsidR="005C3A06" w:rsidRPr="00B67F80" w:rsidRDefault="005C3A06" w:rsidP="005C3A06">
      <w:pPr>
        <w:ind w:left="547" w:hanging="547"/>
        <w:rPr>
          <w:color w:val="000000" w:themeColor="text1"/>
        </w:rPr>
      </w:pPr>
      <w:r w:rsidRPr="00B67F80">
        <w:rPr>
          <w:color w:val="000000" w:themeColor="text1"/>
        </w:rPr>
        <w:t>Santer, B. D., T. M. L.</w:t>
      </w:r>
      <w:r w:rsidR="000B7CAB" w:rsidRPr="00B67F80">
        <w:rPr>
          <w:color w:val="000000" w:themeColor="text1"/>
        </w:rPr>
        <w:t xml:space="preserve"> </w:t>
      </w:r>
      <w:r w:rsidRPr="00B67F80">
        <w:rPr>
          <w:color w:val="000000" w:themeColor="text1"/>
        </w:rPr>
        <w:t xml:space="preserve">Wigley, J. S. Boyle, D. J. </w:t>
      </w:r>
      <w:proofErr w:type="spellStart"/>
      <w:r w:rsidRPr="00B67F80">
        <w:rPr>
          <w:color w:val="000000" w:themeColor="text1"/>
        </w:rPr>
        <w:t>Gaffen</w:t>
      </w:r>
      <w:proofErr w:type="spellEnd"/>
      <w:r w:rsidRPr="00B67F80">
        <w:rPr>
          <w:color w:val="000000" w:themeColor="text1"/>
        </w:rPr>
        <w:t xml:space="preserve">, J. J. </w:t>
      </w:r>
      <w:proofErr w:type="spellStart"/>
      <w:r w:rsidRPr="00B67F80">
        <w:rPr>
          <w:color w:val="000000" w:themeColor="text1"/>
        </w:rPr>
        <w:t>Hnilo</w:t>
      </w:r>
      <w:proofErr w:type="spellEnd"/>
      <w:r w:rsidRPr="00B67F80">
        <w:rPr>
          <w:color w:val="000000" w:themeColor="text1"/>
        </w:rPr>
        <w:t xml:space="preserve">, D. </w:t>
      </w:r>
      <w:proofErr w:type="spellStart"/>
      <w:r w:rsidRPr="00B67F80">
        <w:rPr>
          <w:color w:val="000000" w:themeColor="text1"/>
        </w:rPr>
        <w:t>Nychka</w:t>
      </w:r>
      <w:proofErr w:type="spellEnd"/>
      <w:r w:rsidRPr="00B67F80">
        <w:rPr>
          <w:color w:val="000000" w:themeColor="text1"/>
        </w:rPr>
        <w:t>, et al., 2000: Statistical significance of trends and trend differences in layer-average atmospheric temperature time series. J</w:t>
      </w:r>
      <w:r w:rsidR="00CF0209" w:rsidRPr="00B67F80">
        <w:rPr>
          <w:color w:val="000000" w:themeColor="text1"/>
        </w:rPr>
        <w:t>.</w:t>
      </w:r>
      <w:r w:rsidRPr="00B67F80">
        <w:rPr>
          <w:color w:val="000000" w:themeColor="text1"/>
        </w:rPr>
        <w:t xml:space="preserve"> </w:t>
      </w:r>
      <w:proofErr w:type="spellStart"/>
      <w:r w:rsidRPr="00B67F80">
        <w:rPr>
          <w:color w:val="000000" w:themeColor="text1"/>
        </w:rPr>
        <w:t>Geophys</w:t>
      </w:r>
      <w:proofErr w:type="spellEnd"/>
      <w:r w:rsidR="00CF0209" w:rsidRPr="00B67F80">
        <w:rPr>
          <w:color w:val="000000" w:themeColor="text1"/>
        </w:rPr>
        <w:t>.</w:t>
      </w:r>
      <w:r w:rsidRPr="00B67F80">
        <w:rPr>
          <w:color w:val="000000" w:themeColor="text1"/>
        </w:rPr>
        <w:t xml:space="preserve"> Res</w:t>
      </w:r>
      <w:r w:rsidR="00CF0209" w:rsidRPr="00B67F80">
        <w:rPr>
          <w:color w:val="000000" w:themeColor="text1"/>
        </w:rPr>
        <w:t>.</w:t>
      </w:r>
      <w:r w:rsidRPr="00B67F80">
        <w:rPr>
          <w:color w:val="000000" w:themeColor="text1"/>
        </w:rPr>
        <w:t>, 105, 7337–7356.</w:t>
      </w:r>
      <w:r w:rsidR="00060947" w:rsidRPr="00B67F80">
        <w:rPr>
          <w:color w:val="000000" w:themeColor="text1"/>
        </w:rPr>
        <w:t xml:space="preserve"> </w:t>
      </w:r>
      <w:r w:rsidRPr="00B67F80">
        <w:rPr>
          <w:color w:val="000000" w:themeColor="text1"/>
        </w:rPr>
        <w:t>https://doi.org/10.1029/1999jd901105</w:t>
      </w:r>
    </w:p>
    <w:p w14:paraId="52D91F15" w14:textId="77777777" w:rsidR="003D63FD" w:rsidRPr="00B67F80" w:rsidRDefault="003D63FD" w:rsidP="00551D4B">
      <w:pPr>
        <w:ind w:left="547" w:hanging="547"/>
        <w:rPr>
          <w:color w:val="000000" w:themeColor="text1"/>
        </w:rPr>
      </w:pPr>
    </w:p>
    <w:p w14:paraId="74C43DEE" w14:textId="5AB7A8F1" w:rsidR="00551D4B" w:rsidRPr="00B67F80" w:rsidRDefault="00551D4B" w:rsidP="00551D4B">
      <w:pPr>
        <w:ind w:left="547" w:hanging="547"/>
        <w:rPr>
          <w:color w:val="000000" w:themeColor="text1"/>
        </w:rPr>
      </w:pPr>
      <w:r w:rsidRPr="00B67F80">
        <w:rPr>
          <w:color w:val="000000" w:themeColor="text1"/>
        </w:rPr>
        <w:t xml:space="preserve">Shankar, M., W. Su, N. Manalo-Smith, N. G. Loeb, 2020: Generation of a Seamless Earth Radiation Budget Climate Data Record: A New Methodology for Placing Overlapping Satellite Instruments on the Same Radiometric Scale. Remote Sensing, 12(17), 2787. </w:t>
      </w:r>
      <w:proofErr w:type="spellStart"/>
      <w:r w:rsidRPr="00B67F80">
        <w:rPr>
          <w:color w:val="000000" w:themeColor="text1"/>
        </w:rPr>
        <w:t>doi</w:t>
      </w:r>
      <w:proofErr w:type="spellEnd"/>
      <w:r w:rsidRPr="00B67F80">
        <w:rPr>
          <w:color w:val="000000" w:themeColor="text1"/>
        </w:rPr>
        <w:t>: </w:t>
      </w:r>
      <w:hyperlink r:id="rId21" w:tooltip="DOI link" w:history="1">
        <w:r w:rsidRPr="00B67F80">
          <w:rPr>
            <w:rStyle w:val="Hyperlink"/>
            <w:color w:val="000000" w:themeColor="text1"/>
          </w:rPr>
          <w:t>10.3390/rs12172787</w:t>
        </w:r>
      </w:hyperlink>
      <w:r w:rsidRPr="00B67F80">
        <w:rPr>
          <w:color w:val="000000" w:themeColor="text1"/>
        </w:rPr>
        <w:t>.</w:t>
      </w:r>
    </w:p>
    <w:p w14:paraId="5EE78CD4" w14:textId="57B2105D" w:rsidR="00480C29" w:rsidRPr="00B67F80" w:rsidRDefault="00480C29" w:rsidP="00551D4B">
      <w:pPr>
        <w:ind w:left="547" w:hanging="547"/>
        <w:rPr>
          <w:color w:val="000000" w:themeColor="text1"/>
        </w:rPr>
      </w:pPr>
    </w:p>
    <w:p w14:paraId="78889D98" w14:textId="4CE897F7" w:rsidR="00480C29" w:rsidRPr="00B67F80" w:rsidRDefault="00480C29" w:rsidP="00551D4B">
      <w:pPr>
        <w:ind w:left="547" w:hanging="547"/>
        <w:rPr>
          <w:color w:val="000000" w:themeColor="text1"/>
        </w:rPr>
      </w:pPr>
      <w:r w:rsidRPr="00B67F80">
        <w:rPr>
          <w:color w:val="000000" w:themeColor="text1"/>
        </w:rPr>
        <w:t xml:space="preserve">Stephens, G. L., J. Li, M. Wild, C. A. </w:t>
      </w:r>
      <w:proofErr w:type="spellStart"/>
      <w:r w:rsidRPr="00B67F80">
        <w:rPr>
          <w:color w:val="000000" w:themeColor="text1"/>
        </w:rPr>
        <w:t>Clayson</w:t>
      </w:r>
      <w:proofErr w:type="spellEnd"/>
      <w:r w:rsidRPr="00B67F80">
        <w:rPr>
          <w:color w:val="000000" w:themeColor="text1"/>
        </w:rPr>
        <w:t xml:space="preserve">, N. Loeb, S. Kato, T. L’Ecuyer, P. W. Stackhouse, M. </w:t>
      </w:r>
      <w:proofErr w:type="spellStart"/>
      <w:r w:rsidRPr="00B67F80">
        <w:rPr>
          <w:color w:val="000000" w:themeColor="text1"/>
        </w:rPr>
        <w:t>Lebsock</w:t>
      </w:r>
      <w:proofErr w:type="spellEnd"/>
      <w:r w:rsidRPr="00B67F80">
        <w:rPr>
          <w:color w:val="000000" w:themeColor="text1"/>
        </w:rPr>
        <w:t xml:space="preserve">, and T, Andrews, 2012: An update on Earth’s energy balance </w:t>
      </w:r>
      <w:proofErr w:type="gramStart"/>
      <w:r w:rsidRPr="00B67F80">
        <w:rPr>
          <w:color w:val="000000" w:themeColor="text1"/>
        </w:rPr>
        <w:t>in light of</w:t>
      </w:r>
      <w:proofErr w:type="gramEnd"/>
      <w:r w:rsidRPr="00B67F80">
        <w:rPr>
          <w:color w:val="000000" w:themeColor="text1"/>
        </w:rPr>
        <w:t xml:space="preserve"> the latest global observations, </w:t>
      </w:r>
      <w:r w:rsidRPr="00B67F80">
        <w:rPr>
          <w:i/>
          <w:color w:val="000000" w:themeColor="text1"/>
        </w:rPr>
        <w:t>Nature Geoscience</w:t>
      </w:r>
      <w:r w:rsidRPr="00B67F80">
        <w:rPr>
          <w:color w:val="000000" w:themeColor="text1"/>
        </w:rPr>
        <w:t xml:space="preserve">, </w:t>
      </w:r>
      <w:r w:rsidRPr="00B67F80">
        <w:rPr>
          <w:b/>
          <w:color w:val="000000" w:themeColor="text1"/>
        </w:rPr>
        <w:t>5</w:t>
      </w:r>
      <w:r w:rsidRPr="00B67F80">
        <w:rPr>
          <w:color w:val="000000" w:themeColor="text1"/>
        </w:rPr>
        <w:t>, DOI: 10.1038/NGEO1580.</w:t>
      </w:r>
    </w:p>
    <w:p w14:paraId="694C57DB" w14:textId="3B4DEFF0" w:rsidR="00337C99" w:rsidRPr="00B67F80" w:rsidRDefault="00337C99" w:rsidP="00551D4B">
      <w:pPr>
        <w:ind w:left="547" w:hanging="547"/>
        <w:rPr>
          <w:color w:val="000000" w:themeColor="text1"/>
        </w:rPr>
      </w:pPr>
    </w:p>
    <w:p w14:paraId="37FA9ABC" w14:textId="12E85BAF" w:rsidR="00337C99" w:rsidRPr="00B67F80" w:rsidRDefault="00337C99" w:rsidP="00337C99">
      <w:pPr>
        <w:ind w:left="547" w:hanging="547"/>
        <w:rPr>
          <w:color w:val="000000" w:themeColor="text1"/>
        </w:rPr>
      </w:pPr>
      <w:r w:rsidRPr="00B67F80">
        <w:rPr>
          <w:color w:val="000000" w:themeColor="text1"/>
        </w:rPr>
        <w:t xml:space="preserve">Stephens G. L., D. O’Brien, P. J. Webster, P. </w:t>
      </w:r>
      <w:proofErr w:type="spellStart"/>
      <w:r w:rsidRPr="00B67F80">
        <w:rPr>
          <w:color w:val="000000" w:themeColor="text1"/>
        </w:rPr>
        <w:t>Pilewski</w:t>
      </w:r>
      <w:proofErr w:type="spellEnd"/>
      <w:r w:rsidRPr="00B67F80">
        <w:rPr>
          <w:color w:val="000000" w:themeColor="text1"/>
        </w:rPr>
        <w:t xml:space="preserve">, S. Kato, J.-L. Li, 2015: The albedo of Earth. Rev </w:t>
      </w:r>
      <w:proofErr w:type="spellStart"/>
      <w:r w:rsidRPr="00B67F80">
        <w:rPr>
          <w:color w:val="000000" w:themeColor="text1"/>
        </w:rPr>
        <w:t>Geophys</w:t>
      </w:r>
      <w:proofErr w:type="spellEnd"/>
      <w:r w:rsidRPr="00B67F80">
        <w:rPr>
          <w:color w:val="000000" w:themeColor="text1"/>
        </w:rPr>
        <w:t>. doi:10.1002/2014RG000449.</w:t>
      </w:r>
    </w:p>
    <w:p w14:paraId="255A194B" w14:textId="77777777" w:rsidR="00480C29" w:rsidRPr="00B67F80" w:rsidRDefault="00480C29" w:rsidP="00551D4B">
      <w:pPr>
        <w:ind w:left="547" w:hanging="547"/>
        <w:rPr>
          <w:color w:val="000000" w:themeColor="text1"/>
        </w:rPr>
      </w:pPr>
    </w:p>
    <w:p w14:paraId="3756E672" w14:textId="737DEA53" w:rsidR="00E61975" w:rsidRPr="00B67F80" w:rsidRDefault="00E61975" w:rsidP="00E61975">
      <w:pPr>
        <w:ind w:left="547" w:hanging="547"/>
        <w:rPr>
          <w:color w:val="000000" w:themeColor="text1"/>
        </w:rPr>
      </w:pPr>
      <w:r w:rsidRPr="00B67F80">
        <w:rPr>
          <w:color w:val="000000" w:themeColor="text1"/>
        </w:rPr>
        <w:t xml:space="preserve">Storto, A., et al., 2019: Ocean Reanalyses: Recent Advances and Unsolved Challenges. Front. Mar. Sci, 6:418. </w:t>
      </w:r>
      <w:proofErr w:type="spellStart"/>
      <w:r w:rsidRPr="00B67F80">
        <w:rPr>
          <w:color w:val="000000" w:themeColor="text1"/>
        </w:rPr>
        <w:t>doi</w:t>
      </w:r>
      <w:proofErr w:type="spellEnd"/>
      <w:r w:rsidRPr="00B67F80">
        <w:rPr>
          <w:color w:val="000000" w:themeColor="text1"/>
        </w:rPr>
        <w:t>: 10.3389/fmars.2019.00418.</w:t>
      </w:r>
    </w:p>
    <w:p w14:paraId="3B7DFBCB" w14:textId="77777777" w:rsidR="00E61975" w:rsidRPr="00B67F80" w:rsidRDefault="00E61975" w:rsidP="00DE17B7">
      <w:pPr>
        <w:ind w:left="547" w:hanging="547"/>
        <w:rPr>
          <w:color w:val="000000" w:themeColor="text1"/>
        </w:rPr>
      </w:pPr>
    </w:p>
    <w:p w14:paraId="0A26C2C8" w14:textId="12EC3714" w:rsidR="00DE17B7" w:rsidRPr="00B67F80" w:rsidRDefault="00DE17B7" w:rsidP="00DE17B7">
      <w:pPr>
        <w:ind w:left="547" w:hanging="547"/>
        <w:rPr>
          <w:color w:val="000000" w:themeColor="text1"/>
        </w:rPr>
      </w:pPr>
      <w:r w:rsidRPr="00B67F80">
        <w:rPr>
          <w:color w:val="000000" w:themeColor="text1"/>
        </w:rPr>
        <w:t xml:space="preserve">Trenberth, K. E., 1979: Mean annual poleward energy transports by the oceans in the Southern Hemisphere. </w:t>
      </w:r>
      <w:proofErr w:type="spellStart"/>
      <w:r w:rsidRPr="00B67F80">
        <w:rPr>
          <w:color w:val="000000" w:themeColor="text1"/>
        </w:rPr>
        <w:t>Dyn</w:t>
      </w:r>
      <w:proofErr w:type="spellEnd"/>
      <w:r w:rsidRPr="00B67F80">
        <w:rPr>
          <w:color w:val="000000" w:themeColor="text1"/>
        </w:rPr>
        <w:t>. Atmos. Oceans, 4, 57–64.</w:t>
      </w:r>
    </w:p>
    <w:p w14:paraId="0153E2D8" w14:textId="77777777" w:rsidR="00DE17B7" w:rsidRPr="00B67F80" w:rsidRDefault="00DE17B7" w:rsidP="00551D4B">
      <w:pPr>
        <w:ind w:left="547" w:hanging="547"/>
        <w:rPr>
          <w:color w:val="000000" w:themeColor="text1"/>
        </w:rPr>
      </w:pPr>
    </w:p>
    <w:p w14:paraId="7609FB2F" w14:textId="2F200DAC" w:rsidR="005F14F2" w:rsidRPr="00B67F80" w:rsidRDefault="005F14F2" w:rsidP="00551D4B">
      <w:pPr>
        <w:ind w:left="547" w:hanging="547"/>
        <w:rPr>
          <w:color w:val="000000" w:themeColor="text1"/>
        </w:rPr>
      </w:pPr>
      <w:r w:rsidRPr="00B67F80">
        <w:rPr>
          <w:color w:val="000000" w:themeColor="text1"/>
        </w:rPr>
        <w:t>Trenberth, K. E., and J. M. Caron, 2001: Estimates of meridional atmosphere and ocean heat transports. J. Climate, 14, 3433-3443.</w:t>
      </w:r>
    </w:p>
    <w:p w14:paraId="7BB94397" w14:textId="77777777" w:rsidR="005F14F2" w:rsidRPr="00B67F80" w:rsidRDefault="005F14F2" w:rsidP="00551D4B">
      <w:pPr>
        <w:ind w:left="547" w:hanging="547"/>
        <w:rPr>
          <w:color w:val="000000" w:themeColor="text1"/>
        </w:rPr>
      </w:pPr>
    </w:p>
    <w:p w14:paraId="652FA81A" w14:textId="6C0290CA" w:rsidR="00342B4B" w:rsidRPr="00B67F80" w:rsidRDefault="00342B4B" w:rsidP="00551D4B">
      <w:pPr>
        <w:ind w:left="547" w:hanging="547"/>
        <w:rPr>
          <w:color w:val="000000" w:themeColor="text1"/>
        </w:rPr>
      </w:pPr>
      <w:r w:rsidRPr="00B67F80">
        <w:rPr>
          <w:color w:val="000000" w:themeColor="text1"/>
        </w:rPr>
        <w:t xml:space="preserve">Trenberth, K. E., and J. T. Fasullo, 2008: An observational estimate of inferred ocean energy divergence, J. Phys. </w:t>
      </w:r>
      <w:proofErr w:type="spellStart"/>
      <w:r w:rsidRPr="00B67F80">
        <w:rPr>
          <w:color w:val="000000" w:themeColor="text1"/>
        </w:rPr>
        <w:t>Oceanog</w:t>
      </w:r>
      <w:proofErr w:type="spellEnd"/>
      <w:r w:rsidRPr="00B67F80">
        <w:rPr>
          <w:color w:val="000000" w:themeColor="text1"/>
        </w:rPr>
        <w:t>., 38, DOI: 10.1175/2007JPO3833.1.</w:t>
      </w:r>
    </w:p>
    <w:p w14:paraId="7E56CBB5" w14:textId="77777777" w:rsidR="00342B4B" w:rsidRPr="00B67F80" w:rsidRDefault="00342B4B" w:rsidP="004E55FA">
      <w:pPr>
        <w:rPr>
          <w:color w:val="000000" w:themeColor="text1"/>
        </w:rPr>
      </w:pPr>
    </w:p>
    <w:p w14:paraId="00A1BAEA" w14:textId="7018B14D" w:rsidR="00480C29" w:rsidRPr="00B67F80" w:rsidRDefault="00480C29" w:rsidP="00551D4B">
      <w:pPr>
        <w:ind w:left="547" w:hanging="547"/>
        <w:rPr>
          <w:color w:val="000000" w:themeColor="text1"/>
        </w:rPr>
      </w:pPr>
      <w:r w:rsidRPr="00B67F80">
        <w:rPr>
          <w:color w:val="000000" w:themeColor="text1"/>
        </w:rPr>
        <w:t xml:space="preserve">Trenberth, K. E., J. T. Fasullo, and J. </w:t>
      </w:r>
      <w:proofErr w:type="spellStart"/>
      <w:r w:rsidRPr="00B67F80">
        <w:rPr>
          <w:color w:val="000000" w:themeColor="text1"/>
        </w:rPr>
        <w:t>Kiehl</w:t>
      </w:r>
      <w:proofErr w:type="spellEnd"/>
      <w:r w:rsidRPr="00B67F80">
        <w:rPr>
          <w:color w:val="000000" w:themeColor="text1"/>
        </w:rPr>
        <w:t xml:space="preserve">, 2009: Earth’s global energy budget, </w:t>
      </w:r>
      <w:r w:rsidRPr="00B67F80">
        <w:rPr>
          <w:i/>
          <w:color w:val="000000" w:themeColor="text1"/>
        </w:rPr>
        <w:t>Bull. Amer. Meteor. Soc.</w:t>
      </w:r>
      <w:r w:rsidRPr="00B67F80">
        <w:rPr>
          <w:color w:val="000000" w:themeColor="text1"/>
        </w:rPr>
        <w:t>, DOI: 10.1175/2008BAMS2634.1.</w:t>
      </w:r>
    </w:p>
    <w:p w14:paraId="5216F17F" w14:textId="77777777" w:rsidR="00480C29" w:rsidRPr="00B67F80" w:rsidRDefault="00480C29" w:rsidP="00551D4B">
      <w:pPr>
        <w:ind w:left="547" w:hanging="547"/>
        <w:rPr>
          <w:color w:val="000000" w:themeColor="text1"/>
        </w:rPr>
      </w:pPr>
    </w:p>
    <w:p w14:paraId="18997562" w14:textId="5DEBFA67" w:rsidR="00561A41" w:rsidRPr="00B67F80" w:rsidRDefault="003D63FD" w:rsidP="003D63FD">
      <w:pPr>
        <w:ind w:left="547" w:hanging="547"/>
        <w:rPr>
          <w:rFonts w:eastAsiaTheme="minorEastAsia"/>
          <w:color w:val="000000" w:themeColor="text1"/>
        </w:rPr>
      </w:pPr>
      <w:r w:rsidRPr="00B67F80">
        <w:rPr>
          <w:color w:val="000000" w:themeColor="text1"/>
        </w:rPr>
        <w:t xml:space="preserve">Trenberth, K. E., </w:t>
      </w:r>
      <w:r w:rsidRPr="00B67F80">
        <w:rPr>
          <w:rFonts w:eastAsiaTheme="minorEastAsia"/>
          <w:color w:val="000000" w:themeColor="text1"/>
        </w:rPr>
        <w:t xml:space="preserve">J. T. Fasullo, and J. </w:t>
      </w:r>
      <w:proofErr w:type="spellStart"/>
      <w:r w:rsidRPr="00B67F80">
        <w:rPr>
          <w:rFonts w:eastAsiaTheme="minorEastAsia"/>
          <w:color w:val="000000" w:themeColor="text1"/>
        </w:rPr>
        <w:t>Mackaro</w:t>
      </w:r>
      <w:proofErr w:type="spellEnd"/>
      <w:r w:rsidRPr="00B67F80">
        <w:rPr>
          <w:rFonts w:eastAsiaTheme="minorEastAsia"/>
          <w:color w:val="000000" w:themeColor="text1"/>
        </w:rPr>
        <w:t xml:space="preserve">, 2011: Atmospheric moisture transports from ocean to land and global energy flows in reanalyses. J. Climate, 24, 4907–4924, </w:t>
      </w:r>
      <w:hyperlink r:id="rId22" w:history="1">
        <w:r w:rsidR="00561A41" w:rsidRPr="00B67F80">
          <w:rPr>
            <w:rStyle w:val="Hyperlink"/>
            <w:rFonts w:eastAsiaTheme="minorEastAsia"/>
            <w:color w:val="000000" w:themeColor="text1"/>
          </w:rPr>
          <w:t>https://doi.org/10.1175/2011JCLI4171.1</w:t>
        </w:r>
      </w:hyperlink>
      <w:r w:rsidRPr="00B67F80">
        <w:rPr>
          <w:rFonts w:eastAsiaTheme="minorEastAsia"/>
          <w:color w:val="000000" w:themeColor="text1"/>
        </w:rPr>
        <w:t>.</w:t>
      </w:r>
    </w:p>
    <w:p w14:paraId="2C8D3415" w14:textId="66543BF6" w:rsidR="00561A41" w:rsidRPr="00B67F80" w:rsidRDefault="00561A41" w:rsidP="003D63FD">
      <w:pPr>
        <w:ind w:left="547" w:hanging="547"/>
        <w:rPr>
          <w:rFonts w:eastAsiaTheme="minorEastAsia"/>
          <w:color w:val="000000" w:themeColor="text1"/>
        </w:rPr>
      </w:pPr>
    </w:p>
    <w:p w14:paraId="4018A520" w14:textId="074E329F" w:rsidR="00BA6D49" w:rsidRPr="00B67F80" w:rsidRDefault="003A5BCF" w:rsidP="00BA6D49">
      <w:pPr>
        <w:ind w:left="547" w:hanging="547"/>
        <w:rPr>
          <w:rFonts w:eastAsiaTheme="minorEastAsia"/>
          <w:color w:val="000000" w:themeColor="text1"/>
        </w:rPr>
      </w:pPr>
      <w:r w:rsidRPr="00B67F80">
        <w:rPr>
          <w:rFonts w:eastAsiaTheme="minorEastAsia"/>
          <w:color w:val="000000" w:themeColor="text1"/>
        </w:rPr>
        <w:t xml:space="preserve">Trenberth, K. E., J. T. Fasullo, K. von </w:t>
      </w:r>
      <w:proofErr w:type="spellStart"/>
      <w:r w:rsidRPr="00B67F80">
        <w:rPr>
          <w:rFonts w:eastAsiaTheme="minorEastAsia"/>
          <w:color w:val="000000" w:themeColor="text1"/>
        </w:rPr>
        <w:t>Schuckmann</w:t>
      </w:r>
      <w:proofErr w:type="spellEnd"/>
      <w:r w:rsidRPr="00B67F80">
        <w:rPr>
          <w:rFonts w:eastAsiaTheme="minorEastAsia"/>
          <w:color w:val="000000" w:themeColor="text1"/>
        </w:rPr>
        <w:t>, and L. Cheng, Insights into Earth’s energy imbalance from multiple sources. J</w:t>
      </w:r>
      <w:r w:rsidR="00BA6D49" w:rsidRPr="00B67F80">
        <w:rPr>
          <w:rFonts w:eastAsiaTheme="minorEastAsia"/>
          <w:color w:val="000000" w:themeColor="text1"/>
        </w:rPr>
        <w:t xml:space="preserve">. Climate, 29, 7495-7505, </w:t>
      </w:r>
      <w:proofErr w:type="spellStart"/>
      <w:r w:rsidR="00BA6D49" w:rsidRPr="00B67F80">
        <w:rPr>
          <w:rFonts w:eastAsiaTheme="minorEastAsia"/>
          <w:color w:val="000000" w:themeColor="text1"/>
        </w:rPr>
        <w:t>doi</w:t>
      </w:r>
      <w:proofErr w:type="spellEnd"/>
      <w:r w:rsidR="00BA6D49" w:rsidRPr="00B67F80">
        <w:rPr>
          <w:rFonts w:eastAsiaTheme="minorEastAsia"/>
          <w:color w:val="000000" w:themeColor="text1"/>
        </w:rPr>
        <w:t>: 10.1175/JCLI-D-16-0339.1.</w:t>
      </w:r>
    </w:p>
    <w:p w14:paraId="3B612EA2" w14:textId="77777777" w:rsidR="00BA6D49" w:rsidRPr="00B67F80" w:rsidRDefault="00BA6D49" w:rsidP="003D63FD">
      <w:pPr>
        <w:ind w:left="547" w:hanging="547"/>
        <w:rPr>
          <w:rFonts w:eastAsiaTheme="minorEastAsia"/>
          <w:color w:val="000000" w:themeColor="text1"/>
        </w:rPr>
      </w:pPr>
    </w:p>
    <w:p w14:paraId="488D36C4" w14:textId="63447223" w:rsidR="001A450E" w:rsidRPr="00B67F80" w:rsidRDefault="001A450E" w:rsidP="003D63FD">
      <w:pPr>
        <w:ind w:left="547" w:hanging="547"/>
        <w:rPr>
          <w:rFonts w:eastAsiaTheme="minorEastAsia"/>
          <w:color w:val="000000" w:themeColor="text1"/>
        </w:rPr>
      </w:pPr>
      <w:r w:rsidRPr="00B67F80">
        <w:rPr>
          <w:rFonts w:eastAsiaTheme="minorEastAsia"/>
          <w:color w:val="000000" w:themeColor="text1"/>
        </w:rPr>
        <w:t>Trenberth, K. E., and J. Fasullo, 2017: Atlantic meridional</w:t>
      </w:r>
      <w:r w:rsidR="00253E12" w:rsidRPr="00B67F80">
        <w:rPr>
          <w:rFonts w:eastAsiaTheme="minorEastAsia"/>
          <w:color w:val="000000" w:themeColor="text1"/>
        </w:rPr>
        <w:t xml:space="preserve"> heat transports computed from balancing Earth’s energy locally. </w:t>
      </w:r>
      <w:proofErr w:type="spellStart"/>
      <w:r w:rsidR="00253E12" w:rsidRPr="00B67F80">
        <w:rPr>
          <w:rFonts w:eastAsiaTheme="minorEastAsia"/>
          <w:color w:val="000000" w:themeColor="text1"/>
        </w:rPr>
        <w:t>Geophys</w:t>
      </w:r>
      <w:proofErr w:type="spellEnd"/>
      <w:r w:rsidR="00253E12" w:rsidRPr="00B67F80">
        <w:rPr>
          <w:rFonts w:eastAsiaTheme="minorEastAsia"/>
          <w:color w:val="000000" w:themeColor="text1"/>
        </w:rPr>
        <w:t>. Res. Lett., 44, 1919-1927, doi:10.1002/2016GL072475.</w:t>
      </w:r>
    </w:p>
    <w:p w14:paraId="644B1A1C" w14:textId="77777777" w:rsidR="001A450E" w:rsidRPr="00B67F80" w:rsidRDefault="001A450E" w:rsidP="00551D4B">
      <w:pPr>
        <w:ind w:left="547" w:hanging="547"/>
        <w:rPr>
          <w:rFonts w:eastAsiaTheme="minorEastAsia"/>
          <w:color w:val="000000" w:themeColor="text1"/>
        </w:rPr>
      </w:pPr>
    </w:p>
    <w:p w14:paraId="489D2410" w14:textId="40F2369B" w:rsidR="00561A41" w:rsidRPr="00B67F80" w:rsidRDefault="00480C29" w:rsidP="004E55FA">
      <w:pPr>
        <w:ind w:left="540" w:hanging="540"/>
        <w:rPr>
          <w:color w:val="000000" w:themeColor="text1"/>
        </w:rPr>
      </w:pPr>
      <w:r w:rsidRPr="00B67F80">
        <w:rPr>
          <w:rFonts w:eastAsiaTheme="minorEastAsia"/>
          <w:color w:val="000000" w:themeColor="text1"/>
        </w:rPr>
        <w:t>Trenberth, K. E., and J. Fasullo, 2018: Applications of an updated atmospheric energetics formulation. </w:t>
      </w:r>
      <w:r w:rsidRPr="00B67F80">
        <w:rPr>
          <w:rFonts w:eastAsiaTheme="minorEastAsia"/>
          <w:i/>
          <w:iCs/>
          <w:color w:val="000000" w:themeColor="text1"/>
        </w:rPr>
        <w:t>J. Climate</w:t>
      </w:r>
      <w:r w:rsidRPr="00B67F80">
        <w:rPr>
          <w:rFonts w:eastAsiaTheme="minorEastAsia"/>
          <w:color w:val="000000" w:themeColor="text1"/>
        </w:rPr>
        <w:t>, </w:t>
      </w:r>
      <w:r w:rsidRPr="00B67F80">
        <w:rPr>
          <w:rFonts w:eastAsiaTheme="minorEastAsia"/>
          <w:b/>
          <w:bCs/>
          <w:color w:val="000000" w:themeColor="text1"/>
        </w:rPr>
        <w:t>31</w:t>
      </w:r>
      <w:r w:rsidRPr="00B67F80">
        <w:rPr>
          <w:rFonts w:eastAsiaTheme="minorEastAsia"/>
          <w:color w:val="000000" w:themeColor="text1"/>
        </w:rPr>
        <w:t>, 6263-6279, Doi: </w:t>
      </w:r>
      <w:hyperlink r:id="rId23" w:tgtFrame="_blank" w:history="1">
        <w:r w:rsidRPr="00B67F80">
          <w:rPr>
            <w:rStyle w:val="Hyperlink"/>
            <w:rFonts w:eastAsiaTheme="minorEastAsia"/>
            <w:color w:val="000000" w:themeColor="text1"/>
          </w:rPr>
          <w:t>10.1175/JCLI-D-17-0838</w:t>
        </w:r>
      </w:hyperlink>
      <w:r w:rsidRPr="00B67F80">
        <w:rPr>
          <w:rFonts w:eastAsiaTheme="minorEastAsia"/>
          <w:color w:val="000000" w:themeColor="text1"/>
          <w:u w:val="single"/>
        </w:rPr>
        <w:t>.</w:t>
      </w:r>
    </w:p>
    <w:p w14:paraId="35EC5B41" w14:textId="77777777" w:rsidR="00561A41" w:rsidRPr="00B67F80" w:rsidRDefault="00561A41" w:rsidP="00DE17B7">
      <w:pPr>
        <w:rPr>
          <w:color w:val="000000" w:themeColor="text1"/>
        </w:rPr>
      </w:pPr>
    </w:p>
    <w:p w14:paraId="0291B05F" w14:textId="62356040" w:rsidR="00E535AF" w:rsidRDefault="00E535AF" w:rsidP="004E55FA">
      <w:pPr>
        <w:ind w:left="540" w:hanging="540"/>
        <w:rPr>
          <w:color w:val="000000" w:themeColor="text1"/>
        </w:rPr>
      </w:pPr>
      <w:proofErr w:type="spellStart"/>
      <w:r w:rsidRPr="00E535AF">
        <w:rPr>
          <w:color w:val="000000" w:themeColor="text1"/>
        </w:rPr>
        <w:t>Trepte</w:t>
      </w:r>
      <w:proofErr w:type="spellEnd"/>
      <w:r w:rsidRPr="00E535AF">
        <w:rPr>
          <w:color w:val="000000" w:themeColor="text1"/>
        </w:rPr>
        <w:t xml:space="preserve">, Q. Z., P. </w:t>
      </w:r>
      <w:proofErr w:type="spellStart"/>
      <w:r w:rsidRPr="00E535AF">
        <w:rPr>
          <w:color w:val="000000" w:themeColor="text1"/>
        </w:rPr>
        <w:t>Minnis</w:t>
      </w:r>
      <w:proofErr w:type="spellEnd"/>
      <w:r w:rsidRPr="00E535AF">
        <w:rPr>
          <w:color w:val="000000" w:themeColor="text1"/>
        </w:rPr>
        <w:t xml:space="preserve">, S. Sun-Mack, C. R. Yost, Y. Chen, Z. </w:t>
      </w:r>
      <w:proofErr w:type="spellStart"/>
      <w:r w:rsidRPr="00E535AF">
        <w:rPr>
          <w:color w:val="000000" w:themeColor="text1"/>
        </w:rPr>
        <w:t>Jin</w:t>
      </w:r>
      <w:proofErr w:type="spellEnd"/>
      <w:r w:rsidRPr="00E535AF">
        <w:rPr>
          <w:color w:val="000000" w:themeColor="text1"/>
        </w:rPr>
        <w:t xml:space="preserve">, G. Hong, F. Chang, W. L. Smith, K. M. </w:t>
      </w:r>
      <w:proofErr w:type="spellStart"/>
      <w:r w:rsidRPr="00E535AF">
        <w:rPr>
          <w:color w:val="000000" w:themeColor="text1"/>
        </w:rPr>
        <w:t>Bedka</w:t>
      </w:r>
      <w:proofErr w:type="spellEnd"/>
      <w:r w:rsidRPr="00E535AF">
        <w:rPr>
          <w:color w:val="000000" w:themeColor="text1"/>
        </w:rPr>
        <w:t xml:space="preserve">, T. L. Chee, 2019: Global Cloud Detection for CERES Edition 4 Using Terra and Aqua MODIS Data. IEEE Transactions on Geoscience and Remote Sensing, 1-40. </w:t>
      </w:r>
      <w:proofErr w:type="spellStart"/>
      <w:r w:rsidRPr="00E535AF">
        <w:rPr>
          <w:color w:val="000000" w:themeColor="text1"/>
        </w:rPr>
        <w:t>doi</w:t>
      </w:r>
      <w:proofErr w:type="spellEnd"/>
      <w:r w:rsidRPr="00E535AF">
        <w:rPr>
          <w:color w:val="000000" w:themeColor="text1"/>
        </w:rPr>
        <w:t>: 10.1109/TGRS.2019.2926620</w:t>
      </w:r>
      <w:r>
        <w:rPr>
          <w:color w:val="000000" w:themeColor="text1"/>
        </w:rPr>
        <w:t>.</w:t>
      </w:r>
    </w:p>
    <w:p w14:paraId="3B1B8A18" w14:textId="77777777" w:rsidR="00E535AF" w:rsidRDefault="00E535AF" w:rsidP="004E55FA">
      <w:pPr>
        <w:ind w:left="540" w:hanging="540"/>
        <w:rPr>
          <w:color w:val="000000" w:themeColor="text1"/>
        </w:rPr>
      </w:pPr>
    </w:p>
    <w:p w14:paraId="2C7E0C5A" w14:textId="1A549D19" w:rsidR="00DE17B7" w:rsidRPr="00B67F80" w:rsidRDefault="00DE17B7" w:rsidP="004E55FA">
      <w:pPr>
        <w:ind w:left="540" w:hanging="540"/>
        <w:rPr>
          <w:color w:val="000000" w:themeColor="text1"/>
        </w:rPr>
      </w:pPr>
      <w:proofErr w:type="spellStart"/>
      <w:r w:rsidRPr="00B67F80">
        <w:rPr>
          <w:color w:val="000000" w:themeColor="text1"/>
        </w:rPr>
        <w:t>Vonder</w:t>
      </w:r>
      <w:proofErr w:type="spellEnd"/>
      <w:r w:rsidRPr="00B67F80">
        <w:rPr>
          <w:color w:val="000000" w:themeColor="text1"/>
        </w:rPr>
        <w:t xml:space="preserve"> </w:t>
      </w:r>
      <w:proofErr w:type="spellStart"/>
      <w:r w:rsidRPr="00B67F80">
        <w:rPr>
          <w:color w:val="000000" w:themeColor="text1"/>
        </w:rPr>
        <w:t>Haar</w:t>
      </w:r>
      <w:proofErr w:type="spellEnd"/>
      <w:r w:rsidRPr="00B67F80">
        <w:rPr>
          <w:color w:val="000000" w:themeColor="text1"/>
        </w:rPr>
        <w:t xml:space="preserve">, T. H., and A. H. Oort, 1973: A new estimate of annual poleward energy transport by the oceans. J. Phys. </w:t>
      </w:r>
      <w:proofErr w:type="spellStart"/>
      <w:r w:rsidRPr="00B67F80">
        <w:rPr>
          <w:color w:val="000000" w:themeColor="text1"/>
        </w:rPr>
        <w:t>Oceanogr</w:t>
      </w:r>
      <w:proofErr w:type="spellEnd"/>
      <w:r w:rsidRPr="00B67F80">
        <w:rPr>
          <w:color w:val="000000" w:themeColor="text1"/>
        </w:rPr>
        <w:t>., 3, 169–172.</w:t>
      </w:r>
    </w:p>
    <w:p w14:paraId="3BE29497" w14:textId="4E43C4C3" w:rsidR="00DE17B7" w:rsidRPr="00B67F80" w:rsidRDefault="00DE17B7" w:rsidP="007C6C5F">
      <w:pPr>
        <w:ind w:left="547" w:hanging="547"/>
        <w:rPr>
          <w:color w:val="000000" w:themeColor="text1"/>
        </w:rPr>
      </w:pPr>
    </w:p>
    <w:p w14:paraId="697863BC" w14:textId="2ABBCD64" w:rsidR="00446436" w:rsidRPr="00B67F80" w:rsidRDefault="00446436" w:rsidP="004E55FA">
      <w:pPr>
        <w:ind w:left="547" w:hanging="547"/>
        <w:rPr>
          <w:rStyle w:val="Hyperlink"/>
          <w:color w:val="000000" w:themeColor="text1"/>
        </w:rPr>
      </w:pPr>
      <w:r w:rsidRPr="00B67F80">
        <w:rPr>
          <w:color w:val="000000" w:themeColor="text1"/>
        </w:rPr>
        <w:t xml:space="preserve">Wild, M., </w:t>
      </w:r>
      <w:r w:rsidR="005719FB" w:rsidRPr="00B67F80">
        <w:rPr>
          <w:color w:val="000000" w:themeColor="text1"/>
        </w:rPr>
        <w:t xml:space="preserve">D. </w:t>
      </w:r>
      <w:proofErr w:type="spellStart"/>
      <w:r w:rsidRPr="00B67F80">
        <w:rPr>
          <w:color w:val="000000" w:themeColor="text1"/>
        </w:rPr>
        <w:t>Folini</w:t>
      </w:r>
      <w:proofErr w:type="spellEnd"/>
      <w:r w:rsidRPr="00B67F80">
        <w:rPr>
          <w:color w:val="000000" w:themeColor="text1"/>
        </w:rPr>
        <w:t xml:space="preserve">, </w:t>
      </w:r>
      <w:r w:rsidR="005719FB" w:rsidRPr="00B67F80">
        <w:rPr>
          <w:color w:val="000000" w:themeColor="text1"/>
        </w:rPr>
        <w:t xml:space="preserve">C. </w:t>
      </w:r>
      <w:proofErr w:type="spellStart"/>
      <w:r w:rsidRPr="00B67F80">
        <w:rPr>
          <w:color w:val="000000" w:themeColor="text1"/>
        </w:rPr>
        <w:t>Schär</w:t>
      </w:r>
      <w:proofErr w:type="spellEnd"/>
      <w:r w:rsidRPr="00B67F80">
        <w:rPr>
          <w:color w:val="000000" w:themeColor="text1"/>
        </w:rPr>
        <w:t xml:space="preserve">, </w:t>
      </w:r>
      <w:r w:rsidR="005719FB" w:rsidRPr="00B67F80">
        <w:rPr>
          <w:color w:val="000000" w:themeColor="text1"/>
        </w:rPr>
        <w:t xml:space="preserve">N. </w:t>
      </w:r>
      <w:r w:rsidRPr="00B67F80">
        <w:rPr>
          <w:color w:val="000000" w:themeColor="text1"/>
        </w:rPr>
        <w:t xml:space="preserve">Loeb, N., </w:t>
      </w:r>
      <w:r w:rsidR="005719FB" w:rsidRPr="00B67F80">
        <w:rPr>
          <w:color w:val="000000" w:themeColor="text1"/>
        </w:rPr>
        <w:t xml:space="preserve">E. G. </w:t>
      </w:r>
      <w:r w:rsidRPr="00B67F80">
        <w:rPr>
          <w:color w:val="000000" w:themeColor="text1"/>
        </w:rPr>
        <w:t xml:space="preserve">Dutton, </w:t>
      </w:r>
      <w:r w:rsidR="005719FB" w:rsidRPr="00B67F80">
        <w:rPr>
          <w:color w:val="000000" w:themeColor="text1"/>
        </w:rPr>
        <w:t xml:space="preserve">G. </w:t>
      </w:r>
      <w:r w:rsidRPr="00B67F80">
        <w:rPr>
          <w:color w:val="000000" w:themeColor="text1"/>
        </w:rPr>
        <w:t>König-​</w:t>
      </w:r>
      <w:proofErr w:type="spellStart"/>
      <w:r w:rsidRPr="00B67F80">
        <w:rPr>
          <w:color w:val="000000" w:themeColor="text1"/>
        </w:rPr>
        <w:t>Langlo</w:t>
      </w:r>
      <w:proofErr w:type="spellEnd"/>
      <w:r w:rsidRPr="00B67F80">
        <w:rPr>
          <w:color w:val="000000" w:themeColor="text1"/>
        </w:rPr>
        <w:t>,</w:t>
      </w:r>
      <w:r w:rsidR="005719FB" w:rsidRPr="00B67F80">
        <w:rPr>
          <w:color w:val="000000" w:themeColor="text1"/>
        </w:rPr>
        <w:t xml:space="preserve"> 2013: The global energy balance from a surface perspective.</w:t>
      </w:r>
      <w:r w:rsidRPr="00B67F80">
        <w:rPr>
          <w:color w:val="000000" w:themeColor="text1"/>
        </w:rPr>
        <w:t xml:space="preserve"> </w:t>
      </w:r>
      <w:r w:rsidRPr="00B67F80">
        <w:rPr>
          <w:i/>
          <w:iCs/>
          <w:color w:val="000000" w:themeColor="text1"/>
        </w:rPr>
        <w:t>Climate Dynamics,</w:t>
      </w:r>
      <w:r w:rsidRPr="00B67F80">
        <w:rPr>
          <w:color w:val="000000" w:themeColor="text1"/>
        </w:rPr>
        <w:t> 40, 3107-​3134, 2013 </w:t>
      </w:r>
      <w:hyperlink r:id="rId24" w:history="1">
        <w:r w:rsidRPr="00B67F80">
          <w:rPr>
            <w:rStyle w:val="Hyperlink"/>
            <w:color w:val="000000" w:themeColor="text1"/>
          </w:rPr>
          <w:t>https://doi.org/doi:10.1007/s00382-​012-1569-8</w:t>
        </w:r>
      </w:hyperlink>
      <w:r w:rsidR="00A54EBE" w:rsidRPr="00B67F80">
        <w:rPr>
          <w:rStyle w:val="Hyperlink"/>
          <w:color w:val="000000" w:themeColor="text1"/>
        </w:rPr>
        <w:t>.</w:t>
      </w:r>
    </w:p>
    <w:p w14:paraId="01C33552" w14:textId="2605F0F7" w:rsidR="00A54EBE" w:rsidRPr="00B67F80" w:rsidRDefault="00A54EBE" w:rsidP="004E55FA">
      <w:pPr>
        <w:ind w:left="547" w:hanging="547"/>
        <w:rPr>
          <w:rStyle w:val="Hyperlink"/>
          <w:color w:val="000000" w:themeColor="text1"/>
        </w:rPr>
      </w:pPr>
    </w:p>
    <w:p w14:paraId="4CFA0D32" w14:textId="414FCDA5" w:rsidR="006D0A45" w:rsidRPr="00B67F80" w:rsidRDefault="006D0A45" w:rsidP="006D0A45">
      <w:pPr>
        <w:ind w:left="547" w:hanging="547"/>
        <w:rPr>
          <w:rStyle w:val="Hyperlink"/>
          <w:color w:val="000000" w:themeColor="text1"/>
        </w:rPr>
      </w:pPr>
      <w:r w:rsidRPr="00B67F80">
        <w:rPr>
          <w:rStyle w:val="Hyperlink"/>
          <w:color w:val="000000" w:themeColor="text1"/>
          <w:u w:val="none"/>
        </w:rPr>
        <w:t xml:space="preserve">Willis, J. K., D. Roemmich, and B. </w:t>
      </w:r>
      <w:proofErr w:type="spellStart"/>
      <w:r w:rsidRPr="00B67F80">
        <w:rPr>
          <w:rStyle w:val="Hyperlink"/>
          <w:color w:val="000000" w:themeColor="text1"/>
          <w:u w:val="none"/>
        </w:rPr>
        <w:t>Cornuelle</w:t>
      </w:r>
      <w:proofErr w:type="spellEnd"/>
      <w:r w:rsidRPr="00B67F80">
        <w:rPr>
          <w:rStyle w:val="Hyperlink"/>
          <w:color w:val="000000" w:themeColor="text1"/>
          <w:u w:val="none"/>
        </w:rPr>
        <w:t>, 2003: Combining altimetric height with broadscale profile data to estimate steric height, heat storage, subsurface temperature, and sea-surface temperature variability. Journal of Geophysical Research, 108. https://doi.org/10.1029/2002jc001755</w:t>
      </w:r>
      <w:r w:rsidRPr="00B67F80">
        <w:rPr>
          <w:rStyle w:val="Hyperlink"/>
          <w:color w:val="000000" w:themeColor="text1"/>
        </w:rPr>
        <w:t>.</w:t>
      </w:r>
    </w:p>
    <w:p w14:paraId="673CF334" w14:textId="77777777" w:rsidR="006D0A45" w:rsidRPr="00B67F80" w:rsidRDefault="006D0A45" w:rsidP="004E55FA">
      <w:pPr>
        <w:ind w:left="547" w:hanging="547"/>
        <w:rPr>
          <w:rStyle w:val="Hyperlink"/>
          <w:color w:val="000000" w:themeColor="text1"/>
        </w:rPr>
      </w:pPr>
    </w:p>
    <w:p w14:paraId="66E852A1" w14:textId="67D6FF04" w:rsidR="00A54EBE" w:rsidRPr="00B67F80" w:rsidRDefault="00A54EBE" w:rsidP="00A54EBE">
      <w:pPr>
        <w:ind w:left="547" w:hanging="547"/>
        <w:rPr>
          <w:color w:val="000000" w:themeColor="text1"/>
        </w:rPr>
      </w:pPr>
      <w:r w:rsidRPr="00B67F80">
        <w:rPr>
          <w:color w:val="000000" w:themeColor="text1"/>
        </w:rPr>
        <w:t xml:space="preserve">Yu, L., 2019: Global air–sea fluxes of heat, fresh water, and Momentum: Energy budget closure and unanswered questions. </w:t>
      </w:r>
      <w:proofErr w:type="spellStart"/>
      <w:r w:rsidRPr="00B67F80">
        <w:rPr>
          <w:color w:val="000000" w:themeColor="text1"/>
        </w:rPr>
        <w:t>Annu</w:t>
      </w:r>
      <w:proofErr w:type="spellEnd"/>
      <w:r w:rsidRPr="00B67F80">
        <w:rPr>
          <w:color w:val="000000" w:themeColor="text1"/>
        </w:rPr>
        <w:t xml:space="preserve">. Rev. Mar. Sci., 11, 227-248. </w:t>
      </w:r>
      <w:hyperlink r:id="rId25" w:history="1">
        <w:r w:rsidRPr="00B67F80">
          <w:rPr>
            <w:rStyle w:val="Hyperlink"/>
            <w:color w:val="000000" w:themeColor="text1"/>
          </w:rPr>
          <w:t>https://doi.org/10.1146/annurev-marine-010816-060704</w:t>
        </w:r>
      </w:hyperlink>
      <w:r w:rsidRPr="00B67F80">
        <w:rPr>
          <w:color w:val="000000" w:themeColor="text1"/>
        </w:rPr>
        <w:t>.</w:t>
      </w:r>
    </w:p>
    <w:p w14:paraId="3E022428" w14:textId="74904375" w:rsidR="0083227A" w:rsidRPr="00B67F80" w:rsidRDefault="0083227A" w:rsidP="00A54EBE">
      <w:pPr>
        <w:ind w:left="547" w:hanging="547"/>
        <w:rPr>
          <w:color w:val="000000" w:themeColor="text1"/>
        </w:rPr>
      </w:pPr>
    </w:p>
    <w:p w14:paraId="6526D114" w14:textId="776356C8" w:rsidR="00BA4FC2" w:rsidRPr="00B67F80" w:rsidRDefault="00BA4FC2" w:rsidP="00BA4FC2">
      <w:pPr>
        <w:ind w:left="547" w:hanging="547"/>
        <w:rPr>
          <w:color w:val="000000" w:themeColor="text1"/>
        </w:rPr>
      </w:pPr>
      <w:r w:rsidRPr="00B67F80">
        <w:rPr>
          <w:color w:val="000000" w:themeColor="text1"/>
        </w:rPr>
        <w:t>Yu, L., and R. A. Weller, 2007: Objectively analyzed air–sea heat fluxes for the global ice-free oceans (1981–2005). Bull. Amer. Meteor. Soc., 88, 527–540, https://doi.org/10.1175/BAMS-88-4-527.</w:t>
      </w:r>
    </w:p>
    <w:p w14:paraId="56582198" w14:textId="77777777" w:rsidR="00BA4FC2" w:rsidRPr="00B67F80" w:rsidRDefault="00BA4FC2" w:rsidP="0083227A">
      <w:pPr>
        <w:ind w:left="547" w:hanging="547"/>
        <w:rPr>
          <w:color w:val="000000" w:themeColor="text1"/>
        </w:rPr>
      </w:pPr>
    </w:p>
    <w:p w14:paraId="1DDD7528" w14:textId="19330BCB" w:rsidR="0083227A" w:rsidRPr="00B67F80" w:rsidRDefault="0083227A" w:rsidP="0083227A">
      <w:pPr>
        <w:ind w:left="547" w:hanging="547"/>
        <w:rPr>
          <w:color w:val="000000" w:themeColor="text1"/>
        </w:rPr>
      </w:pPr>
      <w:r w:rsidRPr="00B67F80">
        <w:rPr>
          <w:color w:val="000000" w:themeColor="text1"/>
        </w:rPr>
        <w:t xml:space="preserve">Zuo, H., </w:t>
      </w:r>
      <w:r w:rsidR="000B10ED" w:rsidRPr="00B67F80">
        <w:rPr>
          <w:color w:val="000000" w:themeColor="text1"/>
        </w:rPr>
        <w:t xml:space="preserve">M. A. </w:t>
      </w:r>
      <w:r w:rsidRPr="00B67F80">
        <w:rPr>
          <w:color w:val="000000" w:themeColor="text1"/>
        </w:rPr>
        <w:t xml:space="preserve">Balmaseda, </w:t>
      </w:r>
      <w:r w:rsidR="000B10ED" w:rsidRPr="00B67F80">
        <w:rPr>
          <w:color w:val="000000" w:themeColor="text1"/>
        </w:rPr>
        <w:t xml:space="preserve">E. </w:t>
      </w:r>
      <w:r w:rsidRPr="00B67F80">
        <w:rPr>
          <w:color w:val="000000" w:themeColor="text1"/>
        </w:rPr>
        <w:t xml:space="preserve">de </w:t>
      </w:r>
      <w:proofErr w:type="spellStart"/>
      <w:r w:rsidRPr="00B67F80">
        <w:rPr>
          <w:color w:val="000000" w:themeColor="text1"/>
        </w:rPr>
        <w:t>Boisseson</w:t>
      </w:r>
      <w:proofErr w:type="spellEnd"/>
      <w:r w:rsidRPr="00B67F80">
        <w:rPr>
          <w:color w:val="000000" w:themeColor="text1"/>
        </w:rPr>
        <w:t xml:space="preserve">, </w:t>
      </w:r>
      <w:r w:rsidR="000B10ED" w:rsidRPr="00B67F80">
        <w:rPr>
          <w:color w:val="000000" w:themeColor="text1"/>
        </w:rPr>
        <w:t xml:space="preserve">S. </w:t>
      </w:r>
      <w:proofErr w:type="spellStart"/>
      <w:r w:rsidRPr="00B67F80">
        <w:rPr>
          <w:color w:val="000000" w:themeColor="text1"/>
        </w:rPr>
        <w:t>Tietsche</w:t>
      </w:r>
      <w:proofErr w:type="spellEnd"/>
      <w:r w:rsidRPr="00B67F80">
        <w:rPr>
          <w:color w:val="000000" w:themeColor="text1"/>
        </w:rPr>
        <w:t xml:space="preserve">, </w:t>
      </w:r>
      <w:r w:rsidR="000B10ED" w:rsidRPr="00B67F80">
        <w:rPr>
          <w:color w:val="000000" w:themeColor="text1"/>
        </w:rPr>
        <w:t xml:space="preserve">M. </w:t>
      </w:r>
      <w:r w:rsidRPr="00B67F80">
        <w:rPr>
          <w:color w:val="000000" w:themeColor="text1"/>
        </w:rPr>
        <w:t xml:space="preserve">Mayer, and </w:t>
      </w:r>
      <w:r w:rsidR="000B10ED" w:rsidRPr="00B67F80">
        <w:rPr>
          <w:color w:val="000000" w:themeColor="text1"/>
        </w:rPr>
        <w:t xml:space="preserve">P. </w:t>
      </w:r>
      <w:r w:rsidRPr="00B67F80">
        <w:rPr>
          <w:color w:val="000000" w:themeColor="text1"/>
        </w:rPr>
        <w:t xml:space="preserve">de </w:t>
      </w:r>
      <w:proofErr w:type="spellStart"/>
      <w:r w:rsidRPr="00B67F80">
        <w:rPr>
          <w:color w:val="000000" w:themeColor="text1"/>
        </w:rPr>
        <w:t>Rosnay</w:t>
      </w:r>
      <w:proofErr w:type="spellEnd"/>
      <w:r w:rsidR="00AB5056" w:rsidRPr="00B67F80">
        <w:rPr>
          <w:color w:val="000000" w:themeColor="text1"/>
        </w:rPr>
        <w:t>, 2021</w:t>
      </w:r>
      <w:r w:rsidRPr="00B67F80">
        <w:rPr>
          <w:color w:val="000000" w:themeColor="text1"/>
        </w:rPr>
        <w:t xml:space="preserve">: The ORAP6 ocean and sea-ice reanalysis: description and evaluation, EGU General Assembly </w:t>
      </w:r>
      <w:r w:rsidRPr="00B67F80">
        <w:rPr>
          <w:color w:val="000000" w:themeColor="text1"/>
        </w:rPr>
        <w:lastRenderedPageBreak/>
        <w:t>2021, online, 19–30 Apr 2021, EGU21-9997, </w:t>
      </w:r>
      <w:hyperlink r:id="rId26" w:tgtFrame="_blank" w:tooltip="Original URL: https://doi.org/10.5194/egusphere-egu21-9997  Click to follow link." w:history="1">
        <w:r w:rsidRPr="00B67F80">
          <w:rPr>
            <w:rStyle w:val="Hyperlink"/>
            <w:color w:val="000000" w:themeColor="text1"/>
          </w:rPr>
          <w:t>https://doi.org/10.5194/egusphere-egu21-9997</w:t>
        </w:r>
      </w:hyperlink>
      <w:r w:rsidRPr="00B67F80">
        <w:rPr>
          <w:color w:val="000000" w:themeColor="text1"/>
        </w:rPr>
        <w:t>, 2021.</w:t>
      </w:r>
    </w:p>
    <w:p w14:paraId="5D78C854" w14:textId="77777777" w:rsidR="0083227A" w:rsidRPr="00B67F80" w:rsidRDefault="0083227A" w:rsidP="00A54EBE">
      <w:pPr>
        <w:ind w:left="547" w:hanging="547"/>
        <w:rPr>
          <w:color w:val="000000" w:themeColor="text1"/>
        </w:rPr>
      </w:pPr>
    </w:p>
    <w:p w14:paraId="4672DAFC" w14:textId="2D8242DC" w:rsidR="00AB5056" w:rsidRPr="00B67F80" w:rsidRDefault="000B10ED" w:rsidP="00AB5056">
      <w:pPr>
        <w:ind w:left="547" w:hanging="547"/>
        <w:rPr>
          <w:color w:val="000000" w:themeColor="text1"/>
        </w:rPr>
      </w:pPr>
      <w:r w:rsidRPr="00B67F80">
        <w:rPr>
          <w:color w:val="000000" w:themeColor="text1"/>
        </w:rPr>
        <w:t xml:space="preserve">Zuo, H., </w:t>
      </w:r>
      <w:r w:rsidR="00AB5056" w:rsidRPr="00B67F80">
        <w:rPr>
          <w:color w:val="000000" w:themeColor="text1"/>
        </w:rPr>
        <w:t xml:space="preserve">M. A. </w:t>
      </w:r>
      <w:r w:rsidRPr="00B67F80">
        <w:rPr>
          <w:color w:val="000000" w:themeColor="text1"/>
        </w:rPr>
        <w:t xml:space="preserve">Balmaseda, </w:t>
      </w:r>
      <w:r w:rsidR="00AB5056" w:rsidRPr="00B67F80">
        <w:rPr>
          <w:color w:val="000000" w:themeColor="text1"/>
        </w:rPr>
        <w:t xml:space="preserve">S. </w:t>
      </w:r>
      <w:proofErr w:type="spellStart"/>
      <w:r w:rsidR="00AB5056" w:rsidRPr="00B67F80">
        <w:rPr>
          <w:color w:val="000000" w:themeColor="text1"/>
        </w:rPr>
        <w:t>Tietsche</w:t>
      </w:r>
      <w:proofErr w:type="spellEnd"/>
      <w:r w:rsidR="00AB5056" w:rsidRPr="00B67F80">
        <w:rPr>
          <w:color w:val="000000" w:themeColor="text1"/>
        </w:rPr>
        <w:t xml:space="preserve">, K. </w:t>
      </w:r>
      <w:proofErr w:type="spellStart"/>
      <w:r w:rsidR="00AB5056" w:rsidRPr="00B67F80">
        <w:rPr>
          <w:color w:val="000000" w:themeColor="text1"/>
        </w:rPr>
        <w:t>Mogensen</w:t>
      </w:r>
      <w:proofErr w:type="spellEnd"/>
      <w:r w:rsidR="00AB5056" w:rsidRPr="00B67F80">
        <w:rPr>
          <w:color w:val="000000" w:themeColor="text1"/>
        </w:rPr>
        <w:t>, and M. Mayer, 2019:</w:t>
      </w:r>
      <w:r w:rsidRPr="00B67F80">
        <w:rPr>
          <w:color w:val="000000" w:themeColor="text1"/>
        </w:rPr>
        <w:t xml:space="preserve">The ECMWF operational ensemble reanalysis–analysis system for ocean and sea ice: </w:t>
      </w:r>
      <w:r w:rsidR="00AB5056" w:rsidRPr="00B67F80">
        <w:rPr>
          <w:color w:val="000000" w:themeColor="text1"/>
        </w:rPr>
        <w:t>A</w:t>
      </w:r>
      <w:r w:rsidRPr="00B67F80">
        <w:rPr>
          <w:color w:val="000000" w:themeColor="text1"/>
        </w:rPr>
        <w:t xml:space="preserve"> description of the system and assessment</w:t>
      </w:r>
      <w:r w:rsidR="00AB5056" w:rsidRPr="00B67F80">
        <w:rPr>
          <w:color w:val="000000" w:themeColor="text1"/>
        </w:rPr>
        <w:t>. Ocean Sci., 15, 779–808, https://doi.org/10.5194/os-15-779-2019.</w:t>
      </w:r>
    </w:p>
    <w:p w14:paraId="2842D793" w14:textId="77777777" w:rsidR="00A54EBE" w:rsidRPr="00B67F80" w:rsidRDefault="00A54EBE" w:rsidP="00A54EBE">
      <w:pPr>
        <w:ind w:left="547" w:hanging="547"/>
        <w:rPr>
          <w:color w:val="000000" w:themeColor="text1"/>
        </w:rPr>
      </w:pPr>
    </w:p>
    <w:p w14:paraId="4BEBA329" w14:textId="77777777" w:rsidR="005F53D5" w:rsidRPr="00B67F80" w:rsidRDefault="005F53D5">
      <w:pPr>
        <w:rPr>
          <w:color w:val="000000" w:themeColor="text1"/>
        </w:rPr>
      </w:pPr>
      <w:r w:rsidRPr="00B67F80">
        <w:rPr>
          <w:color w:val="000000" w:themeColor="text1"/>
        </w:rPr>
        <w:br w:type="page"/>
      </w:r>
    </w:p>
    <w:p w14:paraId="6F15A568" w14:textId="77777777" w:rsidR="005F53D5" w:rsidRPr="00B67F80" w:rsidRDefault="005F53D5" w:rsidP="005F53D5">
      <w:pPr>
        <w:ind w:left="360"/>
        <w:jc w:val="center"/>
        <w:rPr>
          <w:b/>
          <w:bCs/>
          <w:color w:val="000000" w:themeColor="text1"/>
        </w:rPr>
      </w:pPr>
      <w:r w:rsidRPr="00B67F80">
        <w:rPr>
          <w:b/>
          <w:bCs/>
          <w:color w:val="000000" w:themeColor="text1"/>
        </w:rPr>
        <w:lastRenderedPageBreak/>
        <w:t>Tables</w:t>
      </w:r>
    </w:p>
    <w:p w14:paraId="2C776A96" w14:textId="77777777" w:rsidR="005F53D5" w:rsidRPr="00B67F80" w:rsidRDefault="005F53D5" w:rsidP="005F53D5">
      <w:pPr>
        <w:ind w:left="360"/>
        <w:rPr>
          <w:color w:val="000000" w:themeColor="text1"/>
        </w:rPr>
      </w:pPr>
    </w:p>
    <w:p w14:paraId="7C40D43B" w14:textId="4C8C062D" w:rsidR="005F53D5" w:rsidRPr="00B67F80" w:rsidRDefault="005F53D5" w:rsidP="0087656A">
      <w:pPr>
        <w:spacing w:after="120"/>
        <w:ind w:left="360" w:hanging="360"/>
        <w:rPr>
          <w:color w:val="000000" w:themeColor="text1"/>
          <w:sz w:val="20"/>
          <w:szCs w:val="20"/>
        </w:rPr>
      </w:pPr>
      <w:r w:rsidRPr="00B67F80">
        <w:rPr>
          <w:color w:val="000000" w:themeColor="text1"/>
          <w:sz w:val="20"/>
          <w:szCs w:val="20"/>
        </w:rPr>
        <w:t xml:space="preserve">Table 1 CERES and ERA5 Southern Hemisphere (SH), Northern Hemisphere (NH) and Global ASR, </w:t>
      </w:r>
      <w:r w:rsidRPr="00B67F80">
        <w:rPr>
          <w:color w:val="000000" w:themeColor="text1"/>
          <w:kern w:val="24"/>
          <w:sz w:val="20"/>
          <w:szCs w:val="20"/>
        </w:rPr>
        <w:t>−</w:t>
      </w:r>
      <w:r w:rsidRPr="00B67F80">
        <w:rPr>
          <w:color w:val="000000" w:themeColor="text1"/>
          <w:sz w:val="20"/>
          <w:szCs w:val="20"/>
        </w:rPr>
        <w:t xml:space="preserve">OLR and NET TOA flux </w:t>
      </w:r>
      <w:r w:rsidR="00BE6718" w:rsidRPr="00B67F80">
        <w:rPr>
          <w:color w:val="000000" w:themeColor="text1"/>
          <w:sz w:val="20"/>
          <w:szCs w:val="20"/>
        </w:rPr>
        <w:t xml:space="preserve">average, </w:t>
      </w:r>
      <w:r w:rsidRPr="00B67F80">
        <w:rPr>
          <w:color w:val="000000" w:themeColor="text1"/>
          <w:sz w:val="20"/>
          <w:szCs w:val="20"/>
        </w:rPr>
        <w:t>monthly anomaly standard deviation (</w:t>
      </w:r>
      <w:proofErr w:type="spellStart"/>
      <w:r w:rsidRPr="00B67F80">
        <w:rPr>
          <w:color w:val="000000" w:themeColor="text1"/>
          <w:sz w:val="20"/>
          <w:szCs w:val="20"/>
        </w:rPr>
        <w:t>Stdev</w:t>
      </w:r>
      <w:proofErr w:type="spellEnd"/>
      <w:r w:rsidRPr="00B67F80">
        <w:rPr>
          <w:color w:val="000000" w:themeColor="text1"/>
          <w:sz w:val="20"/>
          <w:szCs w:val="20"/>
        </w:rPr>
        <w:t>)</w:t>
      </w:r>
      <w:r w:rsidR="00BE6718" w:rsidRPr="00B67F80">
        <w:rPr>
          <w:color w:val="000000" w:themeColor="text1"/>
          <w:sz w:val="20"/>
          <w:szCs w:val="20"/>
        </w:rPr>
        <w:t xml:space="preserve"> and</w:t>
      </w:r>
      <w:r w:rsidRPr="00B67F80">
        <w:rPr>
          <w:color w:val="000000" w:themeColor="text1"/>
          <w:sz w:val="20"/>
          <w:szCs w:val="20"/>
        </w:rPr>
        <w:t xml:space="preserve"> trend for 03/2000-02/2020.</w:t>
      </w:r>
      <w:r w:rsidR="00C87785" w:rsidRPr="00B67F80">
        <w:rPr>
          <w:color w:val="000000" w:themeColor="text1"/>
          <w:sz w:val="20"/>
          <w:szCs w:val="20"/>
        </w:rPr>
        <w:t xml:space="preserve"> Numbers in parentheses correspond to uncertainty at 95% </w:t>
      </w:r>
      <w:r w:rsidR="00AD29A6">
        <w:rPr>
          <w:color w:val="000000" w:themeColor="text1"/>
          <w:sz w:val="20"/>
          <w:szCs w:val="20"/>
        </w:rPr>
        <w:t>confidence</w:t>
      </w:r>
      <w:r w:rsidR="00AD29A6" w:rsidRPr="00B67F80">
        <w:rPr>
          <w:color w:val="000000" w:themeColor="text1"/>
          <w:sz w:val="20"/>
          <w:szCs w:val="20"/>
        </w:rPr>
        <w:t xml:space="preserve"> </w:t>
      </w:r>
      <w:r w:rsidR="00C87785" w:rsidRPr="00B67F80">
        <w:rPr>
          <w:color w:val="000000" w:themeColor="text1"/>
          <w:sz w:val="20"/>
          <w:szCs w:val="20"/>
        </w:rPr>
        <w:t>level.</w:t>
      </w:r>
      <w:r w:rsidR="0087656A" w:rsidRPr="00B67F80">
        <w:rPr>
          <w:color w:val="000000" w:themeColor="text1"/>
          <w:sz w:val="20"/>
          <w:szCs w:val="20"/>
        </w:rPr>
        <w:t xml:space="preserve"> Bold indicates trend </w:t>
      </w:r>
      <w:r w:rsidR="00AD29A6">
        <w:rPr>
          <w:color w:val="000000" w:themeColor="text1"/>
          <w:sz w:val="20"/>
          <w:szCs w:val="20"/>
        </w:rPr>
        <w:t xml:space="preserve">is </w:t>
      </w:r>
      <w:r w:rsidR="0087656A" w:rsidRPr="00B67F80">
        <w:rPr>
          <w:color w:val="000000" w:themeColor="text1"/>
          <w:sz w:val="20"/>
          <w:szCs w:val="20"/>
        </w:rPr>
        <w:t xml:space="preserve">above </w:t>
      </w:r>
      <w:r w:rsidR="00AD29A6">
        <w:rPr>
          <w:color w:val="000000" w:themeColor="text1"/>
          <w:sz w:val="20"/>
          <w:szCs w:val="20"/>
        </w:rPr>
        <w:t xml:space="preserve">the </w:t>
      </w:r>
      <w:r w:rsidR="0087656A" w:rsidRPr="00B67F80">
        <w:rPr>
          <w:color w:val="000000" w:themeColor="text1"/>
          <w:sz w:val="20"/>
          <w:szCs w:val="20"/>
        </w:rPr>
        <w:t xml:space="preserve">95% </w:t>
      </w:r>
      <w:r w:rsidR="00AD29A6">
        <w:rPr>
          <w:color w:val="000000" w:themeColor="text1"/>
          <w:sz w:val="20"/>
          <w:szCs w:val="20"/>
        </w:rPr>
        <w:t>confidence level</w:t>
      </w:r>
      <w:r w:rsidR="0087656A" w:rsidRPr="00B67F80">
        <w:rPr>
          <w:color w:val="000000" w:themeColor="text1"/>
          <w:sz w:val="20"/>
          <w:szCs w:val="20"/>
        </w:rPr>
        <w:t>.</w:t>
      </w:r>
    </w:p>
    <w:tbl>
      <w:tblPr>
        <w:tblStyle w:val="TableGrid"/>
        <w:tblW w:w="9391" w:type="dxa"/>
        <w:jc w:val="center"/>
        <w:tblLayout w:type="fixed"/>
        <w:tblLook w:val="04A0" w:firstRow="1" w:lastRow="0" w:firstColumn="1" w:lastColumn="0" w:noHBand="0" w:noVBand="1"/>
      </w:tblPr>
      <w:tblGrid>
        <w:gridCol w:w="1296"/>
        <w:gridCol w:w="895"/>
        <w:gridCol w:w="895"/>
        <w:gridCol w:w="896"/>
        <w:gridCol w:w="929"/>
        <w:gridCol w:w="896"/>
        <w:gridCol w:w="896"/>
        <w:gridCol w:w="896"/>
        <w:gridCol w:w="896"/>
        <w:gridCol w:w="896"/>
      </w:tblGrid>
      <w:tr w:rsidR="00B67F80" w:rsidRPr="00B67F80" w14:paraId="329FCD53" w14:textId="77777777" w:rsidTr="00B26E7C">
        <w:trPr>
          <w:jc w:val="center"/>
        </w:trPr>
        <w:tc>
          <w:tcPr>
            <w:tcW w:w="1296" w:type="dxa"/>
            <w:vAlign w:val="center"/>
          </w:tcPr>
          <w:p w14:paraId="5E1AD02C" w14:textId="77777777" w:rsidR="005F53D5" w:rsidRPr="00B67F80" w:rsidRDefault="005F53D5" w:rsidP="00B26E7C">
            <w:pPr>
              <w:jc w:val="center"/>
              <w:rPr>
                <w:color w:val="000000" w:themeColor="text1"/>
                <w:sz w:val="20"/>
                <w:szCs w:val="20"/>
              </w:rPr>
            </w:pPr>
          </w:p>
        </w:tc>
        <w:tc>
          <w:tcPr>
            <w:tcW w:w="8095" w:type="dxa"/>
            <w:gridSpan w:val="9"/>
            <w:vAlign w:val="center"/>
          </w:tcPr>
          <w:p w14:paraId="45B101D3" w14:textId="77777777" w:rsidR="005F53D5" w:rsidRPr="00B67F80" w:rsidRDefault="005F53D5" w:rsidP="00B26E7C">
            <w:pPr>
              <w:jc w:val="center"/>
              <w:rPr>
                <w:b/>
                <w:bCs/>
                <w:color w:val="000000" w:themeColor="text1"/>
                <w:sz w:val="20"/>
                <w:szCs w:val="20"/>
              </w:rPr>
            </w:pPr>
            <w:r w:rsidRPr="00B67F80">
              <w:rPr>
                <w:b/>
                <w:bCs/>
                <w:color w:val="000000" w:themeColor="text1"/>
                <w:sz w:val="20"/>
                <w:szCs w:val="20"/>
              </w:rPr>
              <w:t>CERES</w:t>
            </w:r>
          </w:p>
        </w:tc>
      </w:tr>
      <w:tr w:rsidR="00B67F80" w:rsidRPr="00B67F80" w14:paraId="6236A5D9" w14:textId="77777777" w:rsidTr="00B26E7C">
        <w:trPr>
          <w:jc w:val="center"/>
        </w:trPr>
        <w:tc>
          <w:tcPr>
            <w:tcW w:w="1296" w:type="dxa"/>
            <w:vAlign w:val="center"/>
          </w:tcPr>
          <w:p w14:paraId="3794C28B" w14:textId="77777777" w:rsidR="005F53D5" w:rsidRPr="00B67F80" w:rsidRDefault="005F53D5" w:rsidP="00B26E7C">
            <w:pPr>
              <w:jc w:val="center"/>
              <w:rPr>
                <w:color w:val="000000" w:themeColor="text1"/>
                <w:sz w:val="20"/>
                <w:szCs w:val="20"/>
              </w:rPr>
            </w:pPr>
          </w:p>
        </w:tc>
        <w:tc>
          <w:tcPr>
            <w:tcW w:w="2686" w:type="dxa"/>
            <w:gridSpan w:val="3"/>
            <w:vAlign w:val="center"/>
          </w:tcPr>
          <w:p w14:paraId="60F81CB8" w14:textId="77777777" w:rsidR="005F53D5" w:rsidRPr="00B67F80" w:rsidRDefault="005F53D5" w:rsidP="00B26E7C">
            <w:pPr>
              <w:jc w:val="center"/>
              <w:rPr>
                <w:color w:val="000000" w:themeColor="text1"/>
                <w:sz w:val="20"/>
                <w:szCs w:val="20"/>
              </w:rPr>
            </w:pPr>
            <w:r w:rsidRPr="00B67F80">
              <w:rPr>
                <w:color w:val="000000" w:themeColor="text1"/>
                <w:sz w:val="20"/>
                <w:szCs w:val="20"/>
              </w:rPr>
              <w:t>ASR</w:t>
            </w:r>
          </w:p>
        </w:tc>
        <w:tc>
          <w:tcPr>
            <w:tcW w:w="2721" w:type="dxa"/>
            <w:gridSpan w:val="3"/>
            <w:vAlign w:val="center"/>
          </w:tcPr>
          <w:p w14:paraId="2972B0F6"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w:t>
            </w:r>
            <w:r w:rsidRPr="00B67F80">
              <w:rPr>
                <w:color w:val="000000" w:themeColor="text1"/>
                <w:sz w:val="20"/>
                <w:szCs w:val="20"/>
              </w:rPr>
              <w:t>OLR</w:t>
            </w:r>
          </w:p>
        </w:tc>
        <w:tc>
          <w:tcPr>
            <w:tcW w:w="2688" w:type="dxa"/>
            <w:gridSpan w:val="3"/>
            <w:vAlign w:val="center"/>
          </w:tcPr>
          <w:p w14:paraId="2FFB9959" w14:textId="77777777" w:rsidR="005F53D5" w:rsidRPr="00B67F80" w:rsidRDefault="005F53D5" w:rsidP="00B26E7C">
            <w:pPr>
              <w:jc w:val="center"/>
              <w:rPr>
                <w:color w:val="000000" w:themeColor="text1"/>
                <w:sz w:val="20"/>
                <w:szCs w:val="20"/>
              </w:rPr>
            </w:pPr>
            <w:r w:rsidRPr="00B67F80">
              <w:rPr>
                <w:color w:val="000000" w:themeColor="text1"/>
                <w:sz w:val="20"/>
                <w:szCs w:val="20"/>
              </w:rPr>
              <w:t>Net</w:t>
            </w:r>
          </w:p>
        </w:tc>
      </w:tr>
      <w:tr w:rsidR="00B67F80" w:rsidRPr="00B67F80" w14:paraId="5B2672F6" w14:textId="77777777" w:rsidTr="00B26E7C">
        <w:trPr>
          <w:jc w:val="center"/>
        </w:trPr>
        <w:tc>
          <w:tcPr>
            <w:tcW w:w="1296" w:type="dxa"/>
            <w:vAlign w:val="center"/>
          </w:tcPr>
          <w:p w14:paraId="658570B6" w14:textId="77777777" w:rsidR="005F53D5" w:rsidRPr="00B67F80" w:rsidRDefault="005F53D5" w:rsidP="00B26E7C">
            <w:pPr>
              <w:jc w:val="center"/>
              <w:rPr>
                <w:color w:val="000000" w:themeColor="text1"/>
                <w:sz w:val="20"/>
                <w:szCs w:val="20"/>
              </w:rPr>
            </w:pPr>
          </w:p>
        </w:tc>
        <w:tc>
          <w:tcPr>
            <w:tcW w:w="895" w:type="dxa"/>
            <w:vAlign w:val="center"/>
          </w:tcPr>
          <w:p w14:paraId="4B41F220" w14:textId="77777777" w:rsidR="005F53D5" w:rsidRPr="00B67F80" w:rsidRDefault="005F53D5" w:rsidP="00B26E7C">
            <w:pPr>
              <w:jc w:val="center"/>
              <w:rPr>
                <w:color w:val="000000" w:themeColor="text1"/>
                <w:sz w:val="20"/>
                <w:szCs w:val="20"/>
              </w:rPr>
            </w:pPr>
            <w:r w:rsidRPr="00B67F80">
              <w:rPr>
                <w:color w:val="000000" w:themeColor="text1"/>
                <w:sz w:val="20"/>
                <w:szCs w:val="20"/>
              </w:rPr>
              <w:t>SH</w:t>
            </w:r>
          </w:p>
        </w:tc>
        <w:tc>
          <w:tcPr>
            <w:tcW w:w="895" w:type="dxa"/>
            <w:vAlign w:val="center"/>
          </w:tcPr>
          <w:p w14:paraId="3BF280B4" w14:textId="77777777" w:rsidR="005F53D5" w:rsidRPr="00B67F80" w:rsidRDefault="005F53D5"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61405361" w14:textId="77777777" w:rsidR="005F53D5" w:rsidRPr="00B67F80" w:rsidRDefault="005F53D5" w:rsidP="00B26E7C">
            <w:pPr>
              <w:jc w:val="center"/>
              <w:rPr>
                <w:color w:val="000000" w:themeColor="text1"/>
                <w:sz w:val="20"/>
                <w:szCs w:val="20"/>
              </w:rPr>
            </w:pPr>
            <w:r w:rsidRPr="00B67F80">
              <w:rPr>
                <w:color w:val="000000" w:themeColor="text1"/>
                <w:sz w:val="20"/>
                <w:szCs w:val="20"/>
              </w:rPr>
              <w:t>Global</w:t>
            </w:r>
          </w:p>
        </w:tc>
        <w:tc>
          <w:tcPr>
            <w:tcW w:w="929" w:type="dxa"/>
            <w:vAlign w:val="center"/>
          </w:tcPr>
          <w:p w14:paraId="7BCB8FD8" w14:textId="77777777" w:rsidR="005F53D5" w:rsidRPr="00B67F80" w:rsidRDefault="005F53D5"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4B5A48FB" w14:textId="77777777" w:rsidR="005F53D5" w:rsidRPr="00B67F80" w:rsidRDefault="005F53D5"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61AE943B" w14:textId="77777777" w:rsidR="005F53D5" w:rsidRPr="00B67F80" w:rsidRDefault="005F53D5" w:rsidP="00B26E7C">
            <w:pPr>
              <w:jc w:val="center"/>
              <w:rPr>
                <w:color w:val="000000" w:themeColor="text1"/>
                <w:sz w:val="20"/>
                <w:szCs w:val="20"/>
              </w:rPr>
            </w:pPr>
            <w:r w:rsidRPr="00B67F80">
              <w:rPr>
                <w:color w:val="000000" w:themeColor="text1"/>
                <w:sz w:val="20"/>
                <w:szCs w:val="20"/>
              </w:rPr>
              <w:t>Global</w:t>
            </w:r>
          </w:p>
        </w:tc>
        <w:tc>
          <w:tcPr>
            <w:tcW w:w="896" w:type="dxa"/>
            <w:vAlign w:val="center"/>
          </w:tcPr>
          <w:p w14:paraId="01798D7B" w14:textId="77777777" w:rsidR="005F53D5" w:rsidRPr="00B67F80" w:rsidRDefault="005F53D5"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2F354655" w14:textId="77777777" w:rsidR="005F53D5" w:rsidRPr="00B67F80" w:rsidRDefault="005F53D5"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29D7E986" w14:textId="77777777" w:rsidR="005F53D5" w:rsidRPr="00B67F80" w:rsidRDefault="005F53D5" w:rsidP="00B26E7C">
            <w:pPr>
              <w:jc w:val="center"/>
              <w:rPr>
                <w:color w:val="000000" w:themeColor="text1"/>
                <w:sz w:val="20"/>
                <w:szCs w:val="20"/>
              </w:rPr>
            </w:pPr>
            <w:r w:rsidRPr="00B67F80">
              <w:rPr>
                <w:color w:val="000000" w:themeColor="text1"/>
                <w:sz w:val="20"/>
                <w:szCs w:val="20"/>
              </w:rPr>
              <w:t>Global</w:t>
            </w:r>
          </w:p>
        </w:tc>
      </w:tr>
      <w:tr w:rsidR="00B67F80" w:rsidRPr="00B67F80" w14:paraId="534E8921" w14:textId="77777777" w:rsidTr="00B26E7C">
        <w:trPr>
          <w:jc w:val="center"/>
        </w:trPr>
        <w:tc>
          <w:tcPr>
            <w:tcW w:w="1296" w:type="dxa"/>
            <w:vAlign w:val="center"/>
          </w:tcPr>
          <w:p w14:paraId="6D152F2E" w14:textId="77777777" w:rsidR="005F53D5" w:rsidRPr="00B67F80" w:rsidRDefault="005F53D5" w:rsidP="00B26E7C">
            <w:pPr>
              <w:jc w:val="center"/>
              <w:rPr>
                <w:color w:val="000000" w:themeColor="text1"/>
                <w:sz w:val="20"/>
                <w:szCs w:val="20"/>
              </w:rPr>
            </w:pPr>
            <w:r w:rsidRPr="00B67F80">
              <w:rPr>
                <w:color w:val="000000" w:themeColor="text1"/>
                <w:sz w:val="20"/>
                <w:szCs w:val="20"/>
              </w:rPr>
              <w:t>Mean</w:t>
            </w:r>
          </w:p>
          <w:p w14:paraId="60BFD7C4" w14:textId="77777777" w:rsidR="005F53D5" w:rsidRPr="00B67F80" w:rsidRDefault="005F53D5"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3AC57550" w14:textId="6F3D3165" w:rsidR="005F53D5" w:rsidRPr="00B67F80" w:rsidRDefault="005C6334" w:rsidP="00B26E7C">
            <w:pPr>
              <w:jc w:val="center"/>
              <w:rPr>
                <w:color w:val="000000" w:themeColor="text1"/>
                <w:sz w:val="20"/>
                <w:szCs w:val="20"/>
              </w:rPr>
            </w:pPr>
            <w:r w:rsidRPr="00B67F80">
              <w:rPr>
                <w:color w:val="000000" w:themeColor="text1"/>
                <w:sz w:val="20"/>
                <w:szCs w:val="20"/>
              </w:rPr>
              <w:t>241</w:t>
            </w:r>
            <w:r w:rsidR="005F53D5" w:rsidRPr="00B67F80">
              <w:rPr>
                <w:color w:val="000000" w:themeColor="text1"/>
                <w:sz w:val="20"/>
                <w:szCs w:val="20"/>
              </w:rPr>
              <w:t>.</w:t>
            </w:r>
            <w:r w:rsidRPr="00B67F80">
              <w:rPr>
                <w:color w:val="000000" w:themeColor="text1"/>
                <w:sz w:val="20"/>
                <w:szCs w:val="20"/>
              </w:rPr>
              <w:t>0</w:t>
            </w:r>
          </w:p>
        </w:tc>
        <w:tc>
          <w:tcPr>
            <w:tcW w:w="895" w:type="dxa"/>
            <w:vAlign w:val="center"/>
          </w:tcPr>
          <w:p w14:paraId="4432423F" w14:textId="199CF451" w:rsidR="005F53D5" w:rsidRPr="00B67F80" w:rsidRDefault="005F53D5" w:rsidP="00B26E7C">
            <w:pPr>
              <w:jc w:val="center"/>
              <w:rPr>
                <w:color w:val="000000" w:themeColor="text1"/>
                <w:sz w:val="20"/>
                <w:szCs w:val="20"/>
              </w:rPr>
            </w:pPr>
            <w:r w:rsidRPr="00B67F80">
              <w:rPr>
                <w:color w:val="000000" w:themeColor="text1"/>
                <w:sz w:val="20"/>
                <w:szCs w:val="20"/>
              </w:rPr>
              <w:t>240.9</w:t>
            </w:r>
          </w:p>
        </w:tc>
        <w:tc>
          <w:tcPr>
            <w:tcW w:w="896" w:type="dxa"/>
            <w:vAlign w:val="center"/>
          </w:tcPr>
          <w:p w14:paraId="57244FF7" w14:textId="2E441FF7" w:rsidR="005F53D5" w:rsidRPr="00B67F80" w:rsidRDefault="005C6334" w:rsidP="00B26E7C">
            <w:pPr>
              <w:jc w:val="center"/>
              <w:rPr>
                <w:color w:val="000000" w:themeColor="text1"/>
                <w:sz w:val="20"/>
                <w:szCs w:val="20"/>
              </w:rPr>
            </w:pPr>
            <w:r w:rsidRPr="00B67F80">
              <w:rPr>
                <w:color w:val="000000" w:themeColor="text1"/>
                <w:sz w:val="20"/>
                <w:szCs w:val="20"/>
              </w:rPr>
              <w:t>241</w:t>
            </w:r>
            <w:r w:rsidR="005F53D5" w:rsidRPr="00B67F80">
              <w:rPr>
                <w:color w:val="000000" w:themeColor="text1"/>
                <w:sz w:val="20"/>
                <w:szCs w:val="20"/>
              </w:rPr>
              <w:t>.</w:t>
            </w:r>
            <w:r w:rsidRPr="00B67F80">
              <w:rPr>
                <w:color w:val="000000" w:themeColor="text1"/>
                <w:sz w:val="20"/>
                <w:szCs w:val="20"/>
              </w:rPr>
              <w:t>0</w:t>
            </w:r>
          </w:p>
        </w:tc>
        <w:tc>
          <w:tcPr>
            <w:tcW w:w="929" w:type="dxa"/>
            <w:vAlign w:val="center"/>
          </w:tcPr>
          <w:p w14:paraId="271C91D8" w14:textId="77777777" w:rsidR="005F53D5" w:rsidRPr="00B67F80" w:rsidRDefault="005F53D5" w:rsidP="00B26E7C">
            <w:pPr>
              <w:jc w:val="center"/>
              <w:rPr>
                <w:color w:val="000000" w:themeColor="text1"/>
                <w:sz w:val="20"/>
                <w:szCs w:val="20"/>
              </w:rPr>
            </w:pPr>
            <w:r w:rsidRPr="00B67F80">
              <w:rPr>
                <w:color w:val="000000" w:themeColor="text1"/>
                <w:sz w:val="20"/>
                <w:szCs w:val="20"/>
              </w:rPr>
              <w:sym w:font="Symbol" w:char="F02D"/>
            </w:r>
            <w:r w:rsidRPr="00B67F80">
              <w:rPr>
                <w:color w:val="000000" w:themeColor="text1"/>
                <w:sz w:val="20"/>
                <w:szCs w:val="20"/>
              </w:rPr>
              <w:t>239.6</w:t>
            </w:r>
          </w:p>
        </w:tc>
        <w:tc>
          <w:tcPr>
            <w:tcW w:w="896" w:type="dxa"/>
            <w:vAlign w:val="center"/>
          </w:tcPr>
          <w:p w14:paraId="0E13E084" w14:textId="77777777" w:rsidR="005F53D5" w:rsidRPr="00B67F80" w:rsidRDefault="005F53D5" w:rsidP="00B26E7C">
            <w:pPr>
              <w:jc w:val="center"/>
              <w:rPr>
                <w:color w:val="000000" w:themeColor="text1"/>
                <w:sz w:val="20"/>
                <w:szCs w:val="20"/>
              </w:rPr>
            </w:pPr>
            <w:r w:rsidRPr="00B67F80">
              <w:rPr>
                <w:color w:val="000000" w:themeColor="text1"/>
                <w:sz w:val="20"/>
                <w:szCs w:val="20"/>
              </w:rPr>
              <w:sym w:font="Symbol" w:char="F02D"/>
            </w:r>
            <w:r w:rsidRPr="00B67F80">
              <w:rPr>
                <w:color w:val="000000" w:themeColor="text1"/>
                <w:sz w:val="20"/>
                <w:szCs w:val="20"/>
              </w:rPr>
              <w:t>240.9</w:t>
            </w:r>
          </w:p>
        </w:tc>
        <w:tc>
          <w:tcPr>
            <w:tcW w:w="896" w:type="dxa"/>
            <w:vAlign w:val="center"/>
          </w:tcPr>
          <w:p w14:paraId="2B98E1A6" w14:textId="77777777" w:rsidR="005F53D5" w:rsidRPr="00B67F80" w:rsidRDefault="005F53D5" w:rsidP="00B26E7C">
            <w:pPr>
              <w:jc w:val="center"/>
              <w:rPr>
                <w:color w:val="000000" w:themeColor="text1"/>
                <w:sz w:val="20"/>
                <w:szCs w:val="20"/>
              </w:rPr>
            </w:pPr>
            <w:r w:rsidRPr="00B67F80">
              <w:rPr>
                <w:color w:val="000000" w:themeColor="text1"/>
                <w:sz w:val="20"/>
                <w:szCs w:val="20"/>
              </w:rPr>
              <w:sym w:font="Symbol" w:char="F02D"/>
            </w:r>
            <w:r w:rsidRPr="00B67F80">
              <w:rPr>
                <w:color w:val="000000" w:themeColor="text1"/>
                <w:sz w:val="20"/>
                <w:szCs w:val="20"/>
              </w:rPr>
              <w:t>240.2</w:t>
            </w:r>
          </w:p>
        </w:tc>
        <w:tc>
          <w:tcPr>
            <w:tcW w:w="896" w:type="dxa"/>
            <w:vAlign w:val="center"/>
          </w:tcPr>
          <w:p w14:paraId="231571E7" w14:textId="77777777" w:rsidR="005F53D5" w:rsidRPr="00B67F80" w:rsidRDefault="005F53D5" w:rsidP="00B26E7C">
            <w:pPr>
              <w:jc w:val="center"/>
              <w:rPr>
                <w:color w:val="000000" w:themeColor="text1"/>
                <w:sz w:val="20"/>
                <w:szCs w:val="20"/>
              </w:rPr>
            </w:pPr>
            <w:r w:rsidRPr="00B67F80">
              <w:rPr>
                <w:color w:val="000000" w:themeColor="text1"/>
                <w:sz w:val="20"/>
                <w:szCs w:val="20"/>
              </w:rPr>
              <w:t>1.39</w:t>
            </w:r>
          </w:p>
        </w:tc>
        <w:tc>
          <w:tcPr>
            <w:tcW w:w="896" w:type="dxa"/>
            <w:vAlign w:val="center"/>
          </w:tcPr>
          <w:p w14:paraId="08BF612B" w14:textId="77777777" w:rsidR="005F53D5" w:rsidRPr="00B67F80" w:rsidRDefault="005F53D5" w:rsidP="00B26E7C">
            <w:pPr>
              <w:jc w:val="center"/>
              <w:rPr>
                <w:color w:val="000000" w:themeColor="text1"/>
                <w:sz w:val="20"/>
                <w:szCs w:val="20"/>
              </w:rPr>
            </w:pPr>
            <w:r w:rsidRPr="00B67F80">
              <w:rPr>
                <w:color w:val="000000" w:themeColor="text1"/>
                <w:sz w:val="20"/>
                <w:szCs w:val="20"/>
              </w:rPr>
              <w:t>0.076</w:t>
            </w:r>
          </w:p>
        </w:tc>
        <w:tc>
          <w:tcPr>
            <w:tcW w:w="896" w:type="dxa"/>
            <w:vAlign w:val="center"/>
          </w:tcPr>
          <w:p w14:paraId="30FF7594" w14:textId="77777777" w:rsidR="005F53D5" w:rsidRPr="00B67F80" w:rsidRDefault="005F53D5" w:rsidP="00B26E7C">
            <w:pPr>
              <w:jc w:val="center"/>
              <w:rPr>
                <w:color w:val="000000" w:themeColor="text1"/>
                <w:sz w:val="20"/>
                <w:szCs w:val="20"/>
              </w:rPr>
            </w:pPr>
            <w:r w:rsidRPr="00B67F80">
              <w:rPr>
                <w:color w:val="000000" w:themeColor="text1"/>
                <w:sz w:val="20"/>
                <w:szCs w:val="20"/>
              </w:rPr>
              <w:t>0.73</w:t>
            </w:r>
          </w:p>
        </w:tc>
      </w:tr>
      <w:tr w:rsidR="00B67F80" w:rsidRPr="00B67F80" w14:paraId="663F9540" w14:textId="77777777" w:rsidTr="00B26E7C">
        <w:trPr>
          <w:jc w:val="center"/>
        </w:trPr>
        <w:tc>
          <w:tcPr>
            <w:tcW w:w="1296" w:type="dxa"/>
            <w:vAlign w:val="center"/>
          </w:tcPr>
          <w:p w14:paraId="06EF9314" w14:textId="77777777" w:rsidR="005F53D5" w:rsidRPr="00B67F80" w:rsidRDefault="005F53D5" w:rsidP="00B26E7C">
            <w:pPr>
              <w:jc w:val="center"/>
              <w:rPr>
                <w:color w:val="000000" w:themeColor="text1"/>
                <w:sz w:val="20"/>
                <w:szCs w:val="20"/>
              </w:rPr>
            </w:pPr>
            <w:proofErr w:type="spellStart"/>
            <w:r w:rsidRPr="00B67F80">
              <w:rPr>
                <w:color w:val="000000" w:themeColor="text1"/>
                <w:sz w:val="20"/>
                <w:szCs w:val="20"/>
              </w:rPr>
              <w:t>Stdev</w:t>
            </w:r>
            <w:proofErr w:type="spellEnd"/>
          </w:p>
          <w:p w14:paraId="2FEA22CF" w14:textId="77777777" w:rsidR="005F53D5" w:rsidRPr="00B67F80" w:rsidRDefault="005F53D5"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4446300C"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0.98</w:t>
            </w:r>
          </w:p>
        </w:tc>
        <w:tc>
          <w:tcPr>
            <w:tcW w:w="895" w:type="dxa"/>
            <w:vAlign w:val="center"/>
          </w:tcPr>
          <w:p w14:paraId="53AE15D3"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0.94</w:t>
            </w:r>
          </w:p>
        </w:tc>
        <w:tc>
          <w:tcPr>
            <w:tcW w:w="896" w:type="dxa"/>
            <w:vAlign w:val="center"/>
          </w:tcPr>
          <w:p w14:paraId="588814D8"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0.67</w:t>
            </w:r>
          </w:p>
        </w:tc>
        <w:tc>
          <w:tcPr>
            <w:tcW w:w="929" w:type="dxa"/>
            <w:vAlign w:val="center"/>
          </w:tcPr>
          <w:p w14:paraId="77949076"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0.74</w:t>
            </w:r>
          </w:p>
        </w:tc>
        <w:tc>
          <w:tcPr>
            <w:tcW w:w="896" w:type="dxa"/>
            <w:vAlign w:val="center"/>
          </w:tcPr>
          <w:p w14:paraId="1976F196"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0.83</w:t>
            </w:r>
          </w:p>
        </w:tc>
        <w:tc>
          <w:tcPr>
            <w:tcW w:w="896" w:type="dxa"/>
            <w:vAlign w:val="center"/>
          </w:tcPr>
          <w:p w14:paraId="031EBE92"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0.51</w:t>
            </w:r>
          </w:p>
        </w:tc>
        <w:tc>
          <w:tcPr>
            <w:tcW w:w="896" w:type="dxa"/>
            <w:vAlign w:val="center"/>
          </w:tcPr>
          <w:p w14:paraId="4D81878F"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0.89</w:t>
            </w:r>
          </w:p>
        </w:tc>
        <w:tc>
          <w:tcPr>
            <w:tcW w:w="896" w:type="dxa"/>
            <w:vAlign w:val="center"/>
          </w:tcPr>
          <w:p w14:paraId="7D3A4C58"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0.88</w:t>
            </w:r>
          </w:p>
        </w:tc>
        <w:tc>
          <w:tcPr>
            <w:tcW w:w="896" w:type="dxa"/>
            <w:vAlign w:val="center"/>
          </w:tcPr>
          <w:p w14:paraId="408FC32E"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0.69</w:t>
            </w:r>
          </w:p>
        </w:tc>
      </w:tr>
      <w:tr w:rsidR="00B67F80" w:rsidRPr="00B67F80" w14:paraId="09E7F470" w14:textId="77777777" w:rsidTr="00B26E7C">
        <w:trPr>
          <w:jc w:val="center"/>
        </w:trPr>
        <w:tc>
          <w:tcPr>
            <w:tcW w:w="1296" w:type="dxa"/>
            <w:vAlign w:val="center"/>
          </w:tcPr>
          <w:p w14:paraId="304D946A" w14:textId="77777777" w:rsidR="005F53D5" w:rsidRPr="00B67F80" w:rsidRDefault="005F53D5" w:rsidP="00B26E7C">
            <w:pPr>
              <w:jc w:val="center"/>
              <w:rPr>
                <w:color w:val="000000" w:themeColor="text1"/>
                <w:sz w:val="20"/>
                <w:szCs w:val="20"/>
              </w:rPr>
            </w:pPr>
            <w:r w:rsidRPr="00B67F80">
              <w:rPr>
                <w:color w:val="000000" w:themeColor="text1"/>
                <w:sz w:val="20"/>
                <w:szCs w:val="20"/>
              </w:rPr>
              <w:t>Trend</w:t>
            </w:r>
          </w:p>
          <w:p w14:paraId="2B436A05" w14:textId="77777777" w:rsidR="005F53D5" w:rsidRPr="00B67F80" w:rsidRDefault="005F53D5"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54470E8B" w14:textId="77777777" w:rsidR="005F53D5" w:rsidRPr="00B67F80" w:rsidRDefault="005F53D5" w:rsidP="00B26E7C">
            <w:pPr>
              <w:pStyle w:val="NormalWeb"/>
              <w:jc w:val="center"/>
              <w:rPr>
                <w:color w:val="000000" w:themeColor="text1"/>
                <w:sz w:val="20"/>
                <w:szCs w:val="20"/>
              </w:rPr>
            </w:pPr>
            <w:r w:rsidRPr="00B67F80">
              <w:rPr>
                <w:b/>
                <w:bCs/>
                <w:color w:val="000000" w:themeColor="text1"/>
                <w:kern w:val="24"/>
                <w:sz w:val="20"/>
                <w:szCs w:val="20"/>
              </w:rPr>
              <w:t>0.65</w:t>
            </w:r>
          </w:p>
          <w:p w14:paraId="4505C456" w14:textId="77777777" w:rsidR="005F53D5" w:rsidRPr="00B67F80" w:rsidRDefault="005F53D5" w:rsidP="00B26E7C">
            <w:pPr>
              <w:jc w:val="center"/>
              <w:rPr>
                <w:color w:val="000000" w:themeColor="text1"/>
                <w:sz w:val="20"/>
                <w:szCs w:val="20"/>
              </w:rPr>
            </w:pPr>
            <w:r w:rsidRPr="00B67F80">
              <w:rPr>
                <w:b/>
                <w:bCs/>
                <w:color w:val="000000" w:themeColor="text1"/>
                <w:kern w:val="24"/>
                <w:sz w:val="20"/>
                <w:szCs w:val="20"/>
              </w:rPr>
              <w:t>(0.29)</w:t>
            </w:r>
          </w:p>
        </w:tc>
        <w:tc>
          <w:tcPr>
            <w:tcW w:w="895" w:type="dxa"/>
            <w:vAlign w:val="center"/>
          </w:tcPr>
          <w:p w14:paraId="0949E8EB" w14:textId="77777777" w:rsidR="005F53D5" w:rsidRPr="00B67F80" w:rsidRDefault="005F53D5" w:rsidP="00B26E7C">
            <w:pPr>
              <w:pStyle w:val="NormalWeb"/>
              <w:jc w:val="center"/>
              <w:rPr>
                <w:color w:val="000000" w:themeColor="text1"/>
                <w:sz w:val="20"/>
                <w:szCs w:val="20"/>
              </w:rPr>
            </w:pPr>
            <w:r w:rsidRPr="00B67F80">
              <w:rPr>
                <w:b/>
                <w:bCs/>
                <w:color w:val="000000" w:themeColor="text1"/>
                <w:kern w:val="24"/>
                <w:sz w:val="20"/>
                <w:szCs w:val="20"/>
              </w:rPr>
              <w:t>0.72</w:t>
            </w:r>
          </w:p>
          <w:p w14:paraId="73793265" w14:textId="068B22D2" w:rsidR="005F53D5" w:rsidRPr="00B67F80" w:rsidRDefault="005F53D5" w:rsidP="00B26E7C">
            <w:pPr>
              <w:jc w:val="center"/>
              <w:rPr>
                <w:color w:val="000000" w:themeColor="text1"/>
                <w:sz w:val="20"/>
                <w:szCs w:val="20"/>
              </w:rPr>
            </w:pPr>
            <w:r w:rsidRPr="00B67F80">
              <w:rPr>
                <w:b/>
                <w:bCs/>
                <w:color w:val="000000" w:themeColor="text1"/>
                <w:kern w:val="24"/>
                <w:sz w:val="20"/>
                <w:szCs w:val="20"/>
              </w:rPr>
              <w:t>(0.</w:t>
            </w:r>
            <w:r w:rsidR="00F45288" w:rsidRPr="00B67F80">
              <w:rPr>
                <w:b/>
                <w:bCs/>
                <w:color w:val="000000" w:themeColor="text1"/>
                <w:kern w:val="24"/>
                <w:sz w:val="20"/>
                <w:szCs w:val="20"/>
              </w:rPr>
              <w:t>28</w:t>
            </w:r>
            <w:r w:rsidRPr="00B67F80">
              <w:rPr>
                <w:b/>
                <w:bCs/>
                <w:color w:val="000000" w:themeColor="text1"/>
                <w:kern w:val="24"/>
                <w:sz w:val="20"/>
                <w:szCs w:val="20"/>
              </w:rPr>
              <w:t>)</w:t>
            </w:r>
          </w:p>
        </w:tc>
        <w:tc>
          <w:tcPr>
            <w:tcW w:w="896" w:type="dxa"/>
            <w:vAlign w:val="center"/>
          </w:tcPr>
          <w:p w14:paraId="0B8F4149" w14:textId="77777777" w:rsidR="005F53D5" w:rsidRPr="00B67F80" w:rsidRDefault="005F53D5" w:rsidP="00B26E7C">
            <w:pPr>
              <w:pStyle w:val="NormalWeb"/>
              <w:jc w:val="center"/>
              <w:rPr>
                <w:color w:val="000000" w:themeColor="text1"/>
                <w:sz w:val="20"/>
                <w:szCs w:val="20"/>
              </w:rPr>
            </w:pPr>
            <w:r w:rsidRPr="00B67F80">
              <w:rPr>
                <w:b/>
                <w:bCs/>
                <w:color w:val="000000" w:themeColor="text1"/>
                <w:kern w:val="24"/>
                <w:sz w:val="20"/>
                <w:szCs w:val="20"/>
              </w:rPr>
              <w:t>0.68</w:t>
            </w:r>
          </w:p>
          <w:p w14:paraId="11C832E9" w14:textId="77777777" w:rsidR="005F53D5" w:rsidRPr="00B67F80" w:rsidRDefault="005F53D5" w:rsidP="00B26E7C">
            <w:pPr>
              <w:jc w:val="center"/>
              <w:rPr>
                <w:color w:val="000000" w:themeColor="text1"/>
                <w:sz w:val="20"/>
                <w:szCs w:val="20"/>
              </w:rPr>
            </w:pPr>
            <w:r w:rsidRPr="00B67F80">
              <w:rPr>
                <w:b/>
                <w:bCs/>
                <w:color w:val="000000" w:themeColor="text1"/>
                <w:kern w:val="24"/>
                <w:sz w:val="20"/>
                <w:szCs w:val="20"/>
              </w:rPr>
              <w:t>(0.24)</w:t>
            </w:r>
          </w:p>
        </w:tc>
        <w:tc>
          <w:tcPr>
            <w:tcW w:w="929" w:type="dxa"/>
            <w:vAlign w:val="center"/>
          </w:tcPr>
          <w:p w14:paraId="4855E09F" w14:textId="77777777" w:rsidR="005F53D5" w:rsidRPr="00B67F80" w:rsidRDefault="005F53D5" w:rsidP="00B26E7C">
            <w:pPr>
              <w:pStyle w:val="NormalWeb"/>
              <w:jc w:val="center"/>
              <w:rPr>
                <w:color w:val="000000" w:themeColor="text1"/>
                <w:sz w:val="20"/>
                <w:szCs w:val="20"/>
              </w:rPr>
            </w:pPr>
            <w:r w:rsidRPr="00B67F80">
              <w:rPr>
                <w:color w:val="000000" w:themeColor="text1"/>
                <w:kern w:val="24"/>
                <w:sz w:val="20"/>
                <w:szCs w:val="20"/>
              </w:rPr>
              <w:t>−0.27</w:t>
            </w:r>
          </w:p>
          <w:p w14:paraId="219714A5" w14:textId="22C38ED5" w:rsidR="005F53D5" w:rsidRPr="00B67F80" w:rsidRDefault="005F53D5" w:rsidP="00B26E7C">
            <w:pPr>
              <w:jc w:val="center"/>
              <w:rPr>
                <w:color w:val="000000" w:themeColor="text1"/>
                <w:sz w:val="20"/>
                <w:szCs w:val="20"/>
              </w:rPr>
            </w:pPr>
            <w:r w:rsidRPr="00B67F80">
              <w:rPr>
                <w:color w:val="000000" w:themeColor="text1"/>
                <w:kern w:val="24"/>
                <w:sz w:val="20"/>
                <w:szCs w:val="20"/>
              </w:rPr>
              <w:t>(0.</w:t>
            </w:r>
            <w:r w:rsidR="00F45288" w:rsidRPr="00B67F80">
              <w:rPr>
                <w:color w:val="000000" w:themeColor="text1"/>
                <w:kern w:val="24"/>
                <w:sz w:val="20"/>
                <w:szCs w:val="20"/>
              </w:rPr>
              <w:t>3</w:t>
            </w:r>
            <w:r w:rsidRPr="00B67F80">
              <w:rPr>
                <w:color w:val="000000" w:themeColor="text1"/>
                <w:kern w:val="24"/>
                <w:sz w:val="20"/>
                <w:szCs w:val="20"/>
              </w:rPr>
              <w:t>3)</w:t>
            </w:r>
          </w:p>
        </w:tc>
        <w:tc>
          <w:tcPr>
            <w:tcW w:w="896" w:type="dxa"/>
            <w:vAlign w:val="center"/>
          </w:tcPr>
          <w:p w14:paraId="3BFFD276" w14:textId="77777777" w:rsidR="005F53D5" w:rsidRPr="00B67F80" w:rsidRDefault="005F53D5" w:rsidP="00B26E7C">
            <w:pPr>
              <w:pStyle w:val="NormalWeb"/>
              <w:jc w:val="center"/>
              <w:rPr>
                <w:b/>
                <w:bCs/>
                <w:color w:val="000000" w:themeColor="text1"/>
                <w:sz w:val="20"/>
                <w:szCs w:val="20"/>
              </w:rPr>
            </w:pPr>
            <w:r w:rsidRPr="00B67F80">
              <w:rPr>
                <w:b/>
                <w:bCs/>
                <w:color w:val="000000" w:themeColor="text1"/>
                <w:kern w:val="24"/>
                <w:sz w:val="20"/>
                <w:szCs w:val="20"/>
              </w:rPr>
              <w:t>−0.26</w:t>
            </w:r>
          </w:p>
          <w:p w14:paraId="6039CE82" w14:textId="434B523A" w:rsidR="005F53D5" w:rsidRPr="00B67F80" w:rsidRDefault="005F53D5" w:rsidP="00B26E7C">
            <w:pPr>
              <w:jc w:val="center"/>
              <w:rPr>
                <w:b/>
                <w:bCs/>
                <w:color w:val="000000" w:themeColor="text1"/>
                <w:sz w:val="20"/>
                <w:szCs w:val="20"/>
              </w:rPr>
            </w:pPr>
            <w:r w:rsidRPr="00B67F80">
              <w:rPr>
                <w:b/>
                <w:bCs/>
                <w:color w:val="000000" w:themeColor="text1"/>
                <w:kern w:val="24"/>
                <w:sz w:val="20"/>
                <w:szCs w:val="20"/>
              </w:rPr>
              <w:t>(0.2</w:t>
            </w:r>
            <w:r w:rsidR="00F45288" w:rsidRPr="00B67F80">
              <w:rPr>
                <w:b/>
                <w:bCs/>
                <w:color w:val="000000" w:themeColor="text1"/>
                <w:kern w:val="24"/>
                <w:sz w:val="20"/>
                <w:szCs w:val="20"/>
              </w:rPr>
              <w:t>6</w:t>
            </w:r>
            <w:r w:rsidRPr="00B67F80">
              <w:rPr>
                <w:b/>
                <w:bCs/>
                <w:color w:val="000000" w:themeColor="text1"/>
                <w:kern w:val="24"/>
                <w:sz w:val="20"/>
                <w:szCs w:val="20"/>
              </w:rPr>
              <w:t>)</w:t>
            </w:r>
          </w:p>
        </w:tc>
        <w:tc>
          <w:tcPr>
            <w:tcW w:w="896" w:type="dxa"/>
            <w:vAlign w:val="center"/>
          </w:tcPr>
          <w:p w14:paraId="24B442AC" w14:textId="77777777" w:rsidR="005F53D5" w:rsidRPr="00B67F80" w:rsidRDefault="005F53D5" w:rsidP="00B26E7C">
            <w:pPr>
              <w:pStyle w:val="NormalWeb"/>
              <w:jc w:val="center"/>
              <w:rPr>
                <w:b/>
                <w:bCs/>
                <w:color w:val="000000" w:themeColor="text1"/>
                <w:sz w:val="20"/>
                <w:szCs w:val="20"/>
              </w:rPr>
            </w:pPr>
            <w:r w:rsidRPr="00B67F80">
              <w:rPr>
                <w:b/>
                <w:bCs/>
                <w:color w:val="000000" w:themeColor="text1"/>
                <w:kern w:val="24"/>
                <w:sz w:val="20"/>
                <w:szCs w:val="20"/>
              </w:rPr>
              <w:t>−0.26</w:t>
            </w:r>
          </w:p>
          <w:p w14:paraId="326E741C" w14:textId="77777777" w:rsidR="005F53D5" w:rsidRPr="00B67F80" w:rsidRDefault="005F53D5" w:rsidP="00B26E7C">
            <w:pPr>
              <w:jc w:val="center"/>
              <w:rPr>
                <w:b/>
                <w:bCs/>
                <w:color w:val="000000" w:themeColor="text1"/>
                <w:sz w:val="20"/>
                <w:szCs w:val="20"/>
              </w:rPr>
            </w:pPr>
            <w:r w:rsidRPr="00B67F80">
              <w:rPr>
                <w:b/>
                <w:bCs/>
                <w:color w:val="000000" w:themeColor="text1"/>
                <w:kern w:val="24"/>
                <w:sz w:val="20"/>
                <w:szCs w:val="20"/>
              </w:rPr>
              <w:t>(0.24)</w:t>
            </w:r>
          </w:p>
        </w:tc>
        <w:tc>
          <w:tcPr>
            <w:tcW w:w="896" w:type="dxa"/>
            <w:vAlign w:val="center"/>
          </w:tcPr>
          <w:p w14:paraId="526935C8" w14:textId="77777777" w:rsidR="005F53D5" w:rsidRPr="00B67F80" w:rsidRDefault="005F53D5" w:rsidP="00B26E7C">
            <w:pPr>
              <w:pStyle w:val="NormalWeb"/>
              <w:jc w:val="center"/>
              <w:rPr>
                <w:color w:val="000000" w:themeColor="text1"/>
                <w:sz w:val="20"/>
                <w:szCs w:val="20"/>
              </w:rPr>
            </w:pPr>
            <w:r w:rsidRPr="00B67F80">
              <w:rPr>
                <w:b/>
                <w:bCs/>
                <w:color w:val="000000" w:themeColor="text1"/>
                <w:kern w:val="24"/>
                <w:sz w:val="20"/>
                <w:szCs w:val="20"/>
              </w:rPr>
              <w:t>0.38</w:t>
            </w:r>
          </w:p>
          <w:p w14:paraId="29410ACE" w14:textId="77777777" w:rsidR="005F53D5" w:rsidRPr="00B67F80" w:rsidRDefault="005F53D5" w:rsidP="00B26E7C">
            <w:pPr>
              <w:jc w:val="center"/>
              <w:rPr>
                <w:color w:val="000000" w:themeColor="text1"/>
                <w:sz w:val="20"/>
                <w:szCs w:val="20"/>
              </w:rPr>
            </w:pPr>
            <w:r w:rsidRPr="00B67F80">
              <w:rPr>
                <w:b/>
                <w:bCs/>
                <w:color w:val="000000" w:themeColor="text1"/>
                <w:kern w:val="24"/>
                <w:sz w:val="20"/>
                <w:szCs w:val="20"/>
              </w:rPr>
              <w:t>(0.32)</w:t>
            </w:r>
          </w:p>
        </w:tc>
        <w:tc>
          <w:tcPr>
            <w:tcW w:w="896" w:type="dxa"/>
            <w:vAlign w:val="center"/>
          </w:tcPr>
          <w:p w14:paraId="3F484FD0" w14:textId="77777777" w:rsidR="005F53D5" w:rsidRPr="00B67F80" w:rsidRDefault="005F53D5" w:rsidP="00B26E7C">
            <w:pPr>
              <w:pStyle w:val="NormalWeb"/>
              <w:jc w:val="center"/>
              <w:rPr>
                <w:color w:val="000000" w:themeColor="text1"/>
                <w:sz w:val="20"/>
                <w:szCs w:val="20"/>
              </w:rPr>
            </w:pPr>
            <w:r w:rsidRPr="00B67F80">
              <w:rPr>
                <w:b/>
                <w:bCs/>
                <w:color w:val="000000" w:themeColor="text1"/>
                <w:kern w:val="24"/>
                <w:sz w:val="20"/>
                <w:szCs w:val="20"/>
              </w:rPr>
              <w:t>0.46</w:t>
            </w:r>
          </w:p>
          <w:p w14:paraId="542AA345" w14:textId="3B9E5489" w:rsidR="005F53D5" w:rsidRPr="00B67F80" w:rsidRDefault="005F53D5" w:rsidP="00B26E7C">
            <w:pPr>
              <w:jc w:val="center"/>
              <w:rPr>
                <w:color w:val="000000" w:themeColor="text1"/>
                <w:sz w:val="20"/>
                <w:szCs w:val="20"/>
              </w:rPr>
            </w:pPr>
            <w:r w:rsidRPr="00B67F80">
              <w:rPr>
                <w:b/>
                <w:bCs/>
                <w:color w:val="000000" w:themeColor="text1"/>
                <w:kern w:val="24"/>
                <w:sz w:val="20"/>
                <w:szCs w:val="20"/>
              </w:rPr>
              <w:t>(0.</w:t>
            </w:r>
            <w:r w:rsidR="00F45288" w:rsidRPr="00B67F80">
              <w:rPr>
                <w:b/>
                <w:bCs/>
                <w:color w:val="000000" w:themeColor="text1"/>
                <w:kern w:val="24"/>
                <w:sz w:val="20"/>
                <w:szCs w:val="20"/>
              </w:rPr>
              <w:t>27</w:t>
            </w:r>
            <w:r w:rsidRPr="00B67F80">
              <w:rPr>
                <w:b/>
                <w:bCs/>
                <w:color w:val="000000" w:themeColor="text1"/>
                <w:kern w:val="24"/>
                <w:sz w:val="20"/>
                <w:szCs w:val="20"/>
              </w:rPr>
              <w:t>)</w:t>
            </w:r>
          </w:p>
        </w:tc>
        <w:tc>
          <w:tcPr>
            <w:tcW w:w="896" w:type="dxa"/>
            <w:vAlign w:val="center"/>
          </w:tcPr>
          <w:p w14:paraId="02C67D90" w14:textId="77777777" w:rsidR="005F53D5" w:rsidRPr="00B67F80" w:rsidRDefault="005F53D5" w:rsidP="00B26E7C">
            <w:pPr>
              <w:pStyle w:val="NormalWeb"/>
              <w:jc w:val="center"/>
              <w:rPr>
                <w:color w:val="000000" w:themeColor="text1"/>
                <w:sz w:val="20"/>
                <w:szCs w:val="20"/>
              </w:rPr>
            </w:pPr>
            <w:r w:rsidRPr="00B67F80">
              <w:rPr>
                <w:b/>
                <w:bCs/>
                <w:color w:val="000000" w:themeColor="text1"/>
                <w:kern w:val="24"/>
                <w:sz w:val="20"/>
                <w:szCs w:val="20"/>
              </w:rPr>
              <w:t>0.42</w:t>
            </w:r>
          </w:p>
          <w:p w14:paraId="13CBBB95" w14:textId="441DE0F7" w:rsidR="005F53D5" w:rsidRPr="00B67F80" w:rsidRDefault="005F53D5" w:rsidP="00B26E7C">
            <w:pPr>
              <w:jc w:val="center"/>
              <w:rPr>
                <w:color w:val="000000" w:themeColor="text1"/>
                <w:sz w:val="20"/>
                <w:szCs w:val="20"/>
              </w:rPr>
            </w:pPr>
            <w:r w:rsidRPr="00B67F80">
              <w:rPr>
                <w:b/>
                <w:bCs/>
                <w:color w:val="000000" w:themeColor="text1"/>
                <w:kern w:val="24"/>
                <w:sz w:val="20"/>
                <w:szCs w:val="20"/>
              </w:rPr>
              <w:t>(0.</w:t>
            </w:r>
            <w:r w:rsidR="00F45288" w:rsidRPr="00B67F80">
              <w:rPr>
                <w:b/>
                <w:bCs/>
                <w:color w:val="000000" w:themeColor="text1"/>
                <w:kern w:val="24"/>
                <w:sz w:val="20"/>
                <w:szCs w:val="20"/>
              </w:rPr>
              <w:t>23</w:t>
            </w:r>
            <w:r w:rsidRPr="00B67F80">
              <w:rPr>
                <w:b/>
                <w:bCs/>
                <w:color w:val="000000" w:themeColor="text1"/>
                <w:kern w:val="24"/>
                <w:sz w:val="20"/>
                <w:szCs w:val="20"/>
              </w:rPr>
              <w:t>)</w:t>
            </w:r>
          </w:p>
        </w:tc>
      </w:tr>
      <w:tr w:rsidR="00B67F80" w:rsidRPr="00B67F80" w14:paraId="6823150A" w14:textId="77777777" w:rsidTr="00B26E7C">
        <w:trPr>
          <w:jc w:val="center"/>
        </w:trPr>
        <w:tc>
          <w:tcPr>
            <w:tcW w:w="9391" w:type="dxa"/>
            <w:gridSpan w:val="10"/>
            <w:vAlign w:val="center"/>
          </w:tcPr>
          <w:p w14:paraId="229924BC" w14:textId="77777777" w:rsidR="005F53D5" w:rsidRPr="00B67F80" w:rsidRDefault="005F53D5" w:rsidP="00B26E7C">
            <w:pPr>
              <w:jc w:val="center"/>
              <w:rPr>
                <w:color w:val="000000" w:themeColor="text1"/>
                <w:sz w:val="20"/>
                <w:szCs w:val="20"/>
              </w:rPr>
            </w:pPr>
          </w:p>
        </w:tc>
      </w:tr>
      <w:tr w:rsidR="00B67F80" w:rsidRPr="00B67F80" w14:paraId="19DBC880" w14:textId="77777777" w:rsidTr="00B26E7C">
        <w:trPr>
          <w:jc w:val="center"/>
        </w:trPr>
        <w:tc>
          <w:tcPr>
            <w:tcW w:w="1296" w:type="dxa"/>
            <w:vAlign w:val="center"/>
          </w:tcPr>
          <w:p w14:paraId="24EB0B2F" w14:textId="77777777" w:rsidR="005F53D5" w:rsidRPr="00B67F80" w:rsidRDefault="005F53D5" w:rsidP="00B26E7C">
            <w:pPr>
              <w:jc w:val="center"/>
              <w:rPr>
                <w:color w:val="000000" w:themeColor="text1"/>
                <w:sz w:val="20"/>
                <w:szCs w:val="20"/>
              </w:rPr>
            </w:pPr>
          </w:p>
        </w:tc>
        <w:tc>
          <w:tcPr>
            <w:tcW w:w="8095" w:type="dxa"/>
            <w:gridSpan w:val="9"/>
            <w:vAlign w:val="center"/>
          </w:tcPr>
          <w:p w14:paraId="6818C8C9" w14:textId="752EBB04" w:rsidR="005F53D5" w:rsidRPr="00B67F80" w:rsidRDefault="005F53D5" w:rsidP="00B26E7C">
            <w:pPr>
              <w:jc w:val="center"/>
              <w:rPr>
                <w:b/>
                <w:bCs/>
                <w:color w:val="000000" w:themeColor="text1"/>
                <w:sz w:val="20"/>
                <w:szCs w:val="20"/>
              </w:rPr>
            </w:pPr>
            <w:r w:rsidRPr="00B67F80">
              <w:rPr>
                <w:b/>
                <w:bCs/>
                <w:color w:val="000000" w:themeColor="text1"/>
                <w:sz w:val="20"/>
                <w:szCs w:val="20"/>
              </w:rPr>
              <w:t>ERA5</w:t>
            </w:r>
            <w:r w:rsidR="00E04245" w:rsidRPr="00B67F80">
              <w:rPr>
                <w:b/>
                <w:bCs/>
                <w:color w:val="000000" w:themeColor="text1"/>
                <w:sz w:val="20"/>
                <w:szCs w:val="20"/>
              </w:rPr>
              <w:t xml:space="preserve"> Forecasts</w:t>
            </w:r>
          </w:p>
        </w:tc>
      </w:tr>
      <w:tr w:rsidR="00B67F80" w:rsidRPr="00B67F80" w14:paraId="64AC920D" w14:textId="77777777" w:rsidTr="00B26E7C">
        <w:trPr>
          <w:jc w:val="center"/>
        </w:trPr>
        <w:tc>
          <w:tcPr>
            <w:tcW w:w="1296" w:type="dxa"/>
            <w:vAlign w:val="center"/>
          </w:tcPr>
          <w:p w14:paraId="1FA7852F" w14:textId="77777777" w:rsidR="005F53D5" w:rsidRPr="00B67F80" w:rsidRDefault="005F53D5" w:rsidP="00B26E7C">
            <w:pPr>
              <w:jc w:val="center"/>
              <w:rPr>
                <w:color w:val="000000" w:themeColor="text1"/>
                <w:sz w:val="20"/>
                <w:szCs w:val="20"/>
              </w:rPr>
            </w:pPr>
          </w:p>
        </w:tc>
        <w:tc>
          <w:tcPr>
            <w:tcW w:w="2686" w:type="dxa"/>
            <w:gridSpan w:val="3"/>
            <w:vAlign w:val="center"/>
          </w:tcPr>
          <w:p w14:paraId="78AD15C4" w14:textId="77777777" w:rsidR="005F53D5" w:rsidRPr="00B67F80" w:rsidRDefault="005F53D5" w:rsidP="00B26E7C">
            <w:pPr>
              <w:jc w:val="center"/>
              <w:rPr>
                <w:color w:val="000000" w:themeColor="text1"/>
                <w:sz w:val="20"/>
                <w:szCs w:val="20"/>
              </w:rPr>
            </w:pPr>
            <w:r w:rsidRPr="00B67F80">
              <w:rPr>
                <w:color w:val="000000" w:themeColor="text1"/>
                <w:sz w:val="20"/>
                <w:szCs w:val="20"/>
              </w:rPr>
              <w:t>ASR</w:t>
            </w:r>
          </w:p>
        </w:tc>
        <w:tc>
          <w:tcPr>
            <w:tcW w:w="2721" w:type="dxa"/>
            <w:gridSpan w:val="3"/>
            <w:vAlign w:val="center"/>
          </w:tcPr>
          <w:p w14:paraId="2328FB2A" w14:textId="77777777" w:rsidR="005F53D5" w:rsidRPr="00B67F80" w:rsidRDefault="005F53D5" w:rsidP="00B26E7C">
            <w:pPr>
              <w:jc w:val="center"/>
              <w:rPr>
                <w:color w:val="000000" w:themeColor="text1"/>
                <w:sz w:val="20"/>
                <w:szCs w:val="20"/>
              </w:rPr>
            </w:pPr>
            <w:r w:rsidRPr="00B67F80">
              <w:rPr>
                <w:color w:val="000000" w:themeColor="text1"/>
                <w:sz w:val="20"/>
                <w:szCs w:val="20"/>
              </w:rPr>
              <w:t>-OLR</w:t>
            </w:r>
          </w:p>
        </w:tc>
        <w:tc>
          <w:tcPr>
            <w:tcW w:w="2688" w:type="dxa"/>
            <w:gridSpan w:val="3"/>
            <w:vAlign w:val="center"/>
          </w:tcPr>
          <w:p w14:paraId="76383094" w14:textId="77777777" w:rsidR="005F53D5" w:rsidRPr="00B67F80" w:rsidRDefault="005F53D5" w:rsidP="00B26E7C">
            <w:pPr>
              <w:jc w:val="center"/>
              <w:rPr>
                <w:color w:val="000000" w:themeColor="text1"/>
                <w:sz w:val="20"/>
                <w:szCs w:val="20"/>
              </w:rPr>
            </w:pPr>
            <w:r w:rsidRPr="00B67F80">
              <w:rPr>
                <w:color w:val="000000" w:themeColor="text1"/>
                <w:sz w:val="20"/>
                <w:szCs w:val="20"/>
              </w:rPr>
              <w:t>Net</w:t>
            </w:r>
          </w:p>
        </w:tc>
      </w:tr>
      <w:tr w:rsidR="00B67F80" w:rsidRPr="00B67F80" w14:paraId="617601E9" w14:textId="77777777" w:rsidTr="00B26E7C">
        <w:trPr>
          <w:jc w:val="center"/>
        </w:trPr>
        <w:tc>
          <w:tcPr>
            <w:tcW w:w="1296" w:type="dxa"/>
            <w:vAlign w:val="center"/>
          </w:tcPr>
          <w:p w14:paraId="4B6BF954" w14:textId="77777777" w:rsidR="005F53D5" w:rsidRPr="00B67F80" w:rsidRDefault="005F53D5" w:rsidP="00B26E7C">
            <w:pPr>
              <w:jc w:val="center"/>
              <w:rPr>
                <w:color w:val="000000" w:themeColor="text1"/>
                <w:sz w:val="20"/>
                <w:szCs w:val="20"/>
              </w:rPr>
            </w:pPr>
          </w:p>
        </w:tc>
        <w:tc>
          <w:tcPr>
            <w:tcW w:w="895" w:type="dxa"/>
            <w:vAlign w:val="center"/>
          </w:tcPr>
          <w:p w14:paraId="0848E7FB" w14:textId="77777777" w:rsidR="005F53D5" w:rsidRPr="00B67F80" w:rsidRDefault="005F53D5" w:rsidP="00B26E7C">
            <w:pPr>
              <w:jc w:val="center"/>
              <w:rPr>
                <w:color w:val="000000" w:themeColor="text1"/>
                <w:sz w:val="20"/>
                <w:szCs w:val="20"/>
              </w:rPr>
            </w:pPr>
            <w:r w:rsidRPr="00B67F80">
              <w:rPr>
                <w:color w:val="000000" w:themeColor="text1"/>
                <w:sz w:val="20"/>
                <w:szCs w:val="20"/>
              </w:rPr>
              <w:t>SH</w:t>
            </w:r>
          </w:p>
        </w:tc>
        <w:tc>
          <w:tcPr>
            <w:tcW w:w="895" w:type="dxa"/>
            <w:vAlign w:val="center"/>
          </w:tcPr>
          <w:p w14:paraId="6FF84134" w14:textId="77777777" w:rsidR="005F53D5" w:rsidRPr="00B67F80" w:rsidRDefault="005F53D5"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21EA4A80" w14:textId="77777777" w:rsidR="005F53D5" w:rsidRPr="00B67F80" w:rsidRDefault="005F53D5" w:rsidP="00B26E7C">
            <w:pPr>
              <w:jc w:val="center"/>
              <w:rPr>
                <w:color w:val="000000" w:themeColor="text1"/>
                <w:sz w:val="20"/>
                <w:szCs w:val="20"/>
              </w:rPr>
            </w:pPr>
            <w:r w:rsidRPr="00B67F80">
              <w:rPr>
                <w:color w:val="000000" w:themeColor="text1"/>
                <w:sz w:val="20"/>
                <w:szCs w:val="20"/>
              </w:rPr>
              <w:t>Global</w:t>
            </w:r>
          </w:p>
        </w:tc>
        <w:tc>
          <w:tcPr>
            <w:tcW w:w="929" w:type="dxa"/>
            <w:vAlign w:val="center"/>
          </w:tcPr>
          <w:p w14:paraId="3438C57A" w14:textId="77777777" w:rsidR="005F53D5" w:rsidRPr="00B67F80" w:rsidRDefault="005F53D5"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00FC9CE9" w14:textId="77777777" w:rsidR="005F53D5" w:rsidRPr="00B67F80" w:rsidRDefault="005F53D5"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761C43F9" w14:textId="77777777" w:rsidR="005F53D5" w:rsidRPr="00B67F80" w:rsidRDefault="005F53D5" w:rsidP="00B26E7C">
            <w:pPr>
              <w:jc w:val="center"/>
              <w:rPr>
                <w:color w:val="000000" w:themeColor="text1"/>
                <w:sz w:val="20"/>
                <w:szCs w:val="20"/>
              </w:rPr>
            </w:pPr>
            <w:r w:rsidRPr="00B67F80">
              <w:rPr>
                <w:color w:val="000000" w:themeColor="text1"/>
                <w:sz w:val="20"/>
                <w:szCs w:val="20"/>
              </w:rPr>
              <w:t>Global</w:t>
            </w:r>
          </w:p>
        </w:tc>
        <w:tc>
          <w:tcPr>
            <w:tcW w:w="896" w:type="dxa"/>
            <w:vAlign w:val="center"/>
          </w:tcPr>
          <w:p w14:paraId="3568A38A" w14:textId="77777777" w:rsidR="005F53D5" w:rsidRPr="00B67F80" w:rsidRDefault="005F53D5"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0A56C2B9" w14:textId="77777777" w:rsidR="005F53D5" w:rsidRPr="00B67F80" w:rsidRDefault="005F53D5"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3D78E1AA" w14:textId="77777777" w:rsidR="005F53D5" w:rsidRPr="00B67F80" w:rsidRDefault="005F53D5" w:rsidP="00B26E7C">
            <w:pPr>
              <w:jc w:val="center"/>
              <w:rPr>
                <w:color w:val="000000" w:themeColor="text1"/>
                <w:sz w:val="20"/>
                <w:szCs w:val="20"/>
              </w:rPr>
            </w:pPr>
            <w:r w:rsidRPr="00B67F80">
              <w:rPr>
                <w:color w:val="000000" w:themeColor="text1"/>
                <w:sz w:val="20"/>
                <w:szCs w:val="20"/>
              </w:rPr>
              <w:t>Global</w:t>
            </w:r>
          </w:p>
        </w:tc>
      </w:tr>
      <w:tr w:rsidR="00B67F80" w:rsidRPr="00B67F80" w14:paraId="1BE025B1" w14:textId="77777777" w:rsidTr="00B26E7C">
        <w:trPr>
          <w:jc w:val="center"/>
        </w:trPr>
        <w:tc>
          <w:tcPr>
            <w:tcW w:w="1296" w:type="dxa"/>
            <w:vAlign w:val="center"/>
          </w:tcPr>
          <w:p w14:paraId="0734289B" w14:textId="77777777" w:rsidR="005F53D5" w:rsidRPr="00B67F80" w:rsidRDefault="005F53D5" w:rsidP="00B26E7C">
            <w:pPr>
              <w:jc w:val="center"/>
              <w:rPr>
                <w:color w:val="000000" w:themeColor="text1"/>
                <w:sz w:val="20"/>
                <w:szCs w:val="20"/>
              </w:rPr>
            </w:pPr>
            <w:r w:rsidRPr="00B67F80">
              <w:rPr>
                <w:color w:val="000000" w:themeColor="text1"/>
                <w:sz w:val="20"/>
                <w:szCs w:val="20"/>
              </w:rPr>
              <w:t>Mean</w:t>
            </w:r>
          </w:p>
          <w:p w14:paraId="7706776E" w14:textId="77777777" w:rsidR="005F53D5" w:rsidRPr="00B67F80" w:rsidRDefault="005F53D5"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4E20AED8"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242.2</w:t>
            </w:r>
          </w:p>
        </w:tc>
        <w:tc>
          <w:tcPr>
            <w:tcW w:w="895" w:type="dxa"/>
            <w:vAlign w:val="center"/>
          </w:tcPr>
          <w:p w14:paraId="56E08649"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243.4</w:t>
            </w:r>
          </w:p>
        </w:tc>
        <w:tc>
          <w:tcPr>
            <w:tcW w:w="896" w:type="dxa"/>
            <w:vAlign w:val="center"/>
          </w:tcPr>
          <w:p w14:paraId="7E8C74FC"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242.8</w:t>
            </w:r>
          </w:p>
        </w:tc>
        <w:tc>
          <w:tcPr>
            <w:tcW w:w="929" w:type="dxa"/>
            <w:vAlign w:val="center"/>
          </w:tcPr>
          <w:p w14:paraId="6D70D8E9"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−241.6</w:t>
            </w:r>
          </w:p>
        </w:tc>
        <w:tc>
          <w:tcPr>
            <w:tcW w:w="896" w:type="dxa"/>
            <w:vAlign w:val="center"/>
          </w:tcPr>
          <w:p w14:paraId="1D3E5C1B"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−242.7</w:t>
            </w:r>
          </w:p>
        </w:tc>
        <w:tc>
          <w:tcPr>
            <w:tcW w:w="896" w:type="dxa"/>
            <w:vAlign w:val="center"/>
          </w:tcPr>
          <w:p w14:paraId="7C603C37"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−242.1</w:t>
            </w:r>
          </w:p>
        </w:tc>
        <w:tc>
          <w:tcPr>
            <w:tcW w:w="896" w:type="dxa"/>
            <w:vAlign w:val="center"/>
          </w:tcPr>
          <w:p w14:paraId="12F303F8"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0.66</w:t>
            </w:r>
          </w:p>
        </w:tc>
        <w:tc>
          <w:tcPr>
            <w:tcW w:w="896" w:type="dxa"/>
            <w:vAlign w:val="center"/>
          </w:tcPr>
          <w:p w14:paraId="0FEBE97C"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0.71</w:t>
            </w:r>
          </w:p>
        </w:tc>
        <w:tc>
          <w:tcPr>
            <w:tcW w:w="896" w:type="dxa"/>
            <w:vAlign w:val="center"/>
          </w:tcPr>
          <w:p w14:paraId="6868E9D9"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0.68</w:t>
            </w:r>
          </w:p>
        </w:tc>
      </w:tr>
      <w:tr w:rsidR="00B67F80" w:rsidRPr="00B67F80" w14:paraId="42B7681C" w14:textId="77777777" w:rsidTr="00B26E7C">
        <w:trPr>
          <w:jc w:val="center"/>
        </w:trPr>
        <w:tc>
          <w:tcPr>
            <w:tcW w:w="1296" w:type="dxa"/>
            <w:vAlign w:val="center"/>
          </w:tcPr>
          <w:p w14:paraId="0112B472" w14:textId="77777777" w:rsidR="005F53D5" w:rsidRPr="00B67F80" w:rsidRDefault="005F53D5" w:rsidP="00B26E7C">
            <w:pPr>
              <w:jc w:val="center"/>
              <w:rPr>
                <w:color w:val="000000" w:themeColor="text1"/>
                <w:sz w:val="20"/>
                <w:szCs w:val="20"/>
              </w:rPr>
            </w:pPr>
            <w:proofErr w:type="spellStart"/>
            <w:r w:rsidRPr="00B67F80">
              <w:rPr>
                <w:color w:val="000000" w:themeColor="text1"/>
                <w:sz w:val="20"/>
                <w:szCs w:val="20"/>
              </w:rPr>
              <w:t>Stdev</w:t>
            </w:r>
            <w:proofErr w:type="spellEnd"/>
          </w:p>
          <w:p w14:paraId="45A13548" w14:textId="77777777" w:rsidR="005F53D5" w:rsidRPr="00B67F80" w:rsidRDefault="005F53D5"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5485EA04" w14:textId="77777777" w:rsidR="005F53D5" w:rsidRPr="00B67F80" w:rsidRDefault="005F53D5" w:rsidP="00B26E7C">
            <w:pPr>
              <w:jc w:val="center"/>
              <w:rPr>
                <w:color w:val="000000" w:themeColor="text1"/>
                <w:sz w:val="20"/>
                <w:szCs w:val="20"/>
              </w:rPr>
            </w:pPr>
            <w:r w:rsidRPr="00B67F80">
              <w:rPr>
                <w:color w:val="000000" w:themeColor="text1"/>
                <w:sz w:val="20"/>
                <w:szCs w:val="20"/>
              </w:rPr>
              <w:t>0.89</w:t>
            </w:r>
          </w:p>
        </w:tc>
        <w:tc>
          <w:tcPr>
            <w:tcW w:w="895" w:type="dxa"/>
            <w:vAlign w:val="center"/>
          </w:tcPr>
          <w:p w14:paraId="306F7F1C" w14:textId="77777777" w:rsidR="005F53D5" w:rsidRPr="00B67F80" w:rsidRDefault="005F53D5" w:rsidP="00B26E7C">
            <w:pPr>
              <w:jc w:val="center"/>
              <w:rPr>
                <w:color w:val="000000" w:themeColor="text1"/>
                <w:sz w:val="20"/>
                <w:szCs w:val="20"/>
              </w:rPr>
            </w:pPr>
            <w:r w:rsidRPr="00B67F80">
              <w:rPr>
                <w:color w:val="000000" w:themeColor="text1"/>
                <w:sz w:val="20"/>
                <w:szCs w:val="20"/>
              </w:rPr>
              <w:t>0.76</w:t>
            </w:r>
          </w:p>
        </w:tc>
        <w:tc>
          <w:tcPr>
            <w:tcW w:w="896" w:type="dxa"/>
            <w:vAlign w:val="center"/>
          </w:tcPr>
          <w:p w14:paraId="406C1EFA" w14:textId="77777777" w:rsidR="005F53D5" w:rsidRPr="00B67F80" w:rsidRDefault="005F53D5" w:rsidP="00B26E7C">
            <w:pPr>
              <w:jc w:val="center"/>
              <w:rPr>
                <w:color w:val="000000" w:themeColor="text1"/>
                <w:sz w:val="20"/>
                <w:szCs w:val="20"/>
              </w:rPr>
            </w:pPr>
            <w:r w:rsidRPr="00B67F80">
              <w:rPr>
                <w:color w:val="000000" w:themeColor="text1"/>
                <w:sz w:val="20"/>
                <w:szCs w:val="20"/>
              </w:rPr>
              <w:t>0.52</w:t>
            </w:r>
          </w:p>
        </w:tc>
        <w:tc>
          <w:tcPr>
            <w:tcW w:w="929" w:type="dxa"/>
            <w:vAlign w:val="center"/>
          </w:tcPr>
          <w:p w14:paraId="0EED3371" w14:textId="77777777" w:rsidR="005F53D5" w:rsidRPr="00B67F80" w:rsidRDefault="005F53D5" w:rsidP="00B26E7C">
            <w:pPr>
              <w:jc w:val="center"/>
              <w:rPr>
                <w:color w:val="000000" w:themeColor="text1"/>
                <w:sz w:val="20"/>
                <w:szCs w:val="20"/>
              </w:rPr>
            </w:pPr>
            <w:r w:rsidRPr="00B67F80">
              <w:rPr>
                <w:color w:val="000000" w:themeColor="text1"/>
                <w:sz w:val="20"/>
                <w:szCs w:val="20"/>
              </w:rPr>
              <w:t>0.69</w:t>
            </w:r>
          </w:p>
        </w:tc>
        <w:tc>
          <w:tcPr>
            <w:tcW w:w="896" w:type="dxa"/>
            <w:vAlign w:val="center"/>
          </w:tcPr>
          <w:p w14:paraId="3CDB28A1" w14:textId="494C2B5D" w:rsidR="005F53D5" w:rsidRPr="00B67F80" w:rsidRDefault="005F53D5" w:rsidP="00B26E7C">
            <w:pPr>
              <w:jc w:val="center"/>
              <w:rPr>
                <w:color w:val="000000" w:themeColor="text1"/>
                <w:sz w:val="20"/>
                <w:szCs w:val="20"/>
              </w:rPr>
            </w:pPr>
            <w:r w:rsidRPr="00B67F80">
              <w:rPr>
                <w:color w:val="000000" w:themeColor="text1"/>
                <w:sz w:val="20"/>
                <w:szCs w:val="20"/>
              </w:rPr>
              <w:t>0.7</w:t>
            </w:r>
            <w:r w:rsidR="003B52DF" w:rsidRPr="00B67F80">
              <w:rPr>
                <w:color w:val="000000" w:themeColor="text1"/>
                <w:sz w:val="20"/>
                <w:szCs w:val="20"/>
              </w:rPr>
              <w:t>2</w:t>
            </w:r>
          </w:p>
        </w:tc>
        <w:tc>
          <w:tcPr>
            <w:tcW w:w="896" w:type="dxa"/>
            <w:vAlign w:val="center"/>
          </w:tcPr>
          <w:p w14:paraId="3EB27344" w14:textId="77777777" w:rsidR="005F53D5" w:rsidRPr="00B67F80" w:rsidRDefault="005F53D5" w:rsidP="00B26E7C">
            <w:pPr>
              <w:jc w:val="center"/>
              <w:rPr>
                <w:color w:val="000000" w:themeColor="text1"/>
                <w:sz w:val="20"/>
                <w:szCs w:val="20"/>
              </w:rPr>
            </w:pPr>
            <w:r w:rsidRPr="00B67F80">
              <w:rPr>
                <w:color w:val="000000" w:themeColor="text1"/>
                <w:sz w:val="20"/>
                <w:szCs w:val="20"/>
              </w:rPr>
              <w:t>0.41</w:t>
            </w:r>
          </w:p>
        </w:tc>
        <w:tc>
          <w:tcPr>
            <w:tcW w:w="896" w:type="dxa"/>
            <w:vAlign w:val="center"/>
          </w:tcPr>
          <w:p w14:paraId="5EFCDC2E" w14:textId="77777777" w:rsidR="005F53D5" w:rsidRPr="00B67F80" w:rsidRDefault="005F53D5" w:rsidP="00B26E7C">
            <w:pPr>
              <w:jc w:val="center"/>
              <w:rPr>
                <w:color w:val="000000" w:themeColor="text1"/>
                <w:sz w:val="20"/>
                <w:szCs w:val="20"/>
              </w:rPr>
            </w:pPr>
            <w:r w:rsidRPr="00B67F80">
              <w:rPr>
                <w:color w:val="000000" w:themeColor="text1"/>
                <w:sz w:val="20"/>
                <w:szCs w:val="20"/>
              </w:rPr>
              <w:t>0.82</w:t>
            </w:r>
          </w:p>
        </w:tc>
        <w:tc>
          <w:tcPr>
            <w:tcW w:w="896" w:type="dxa"/>
            <w:vAlign w:val="center"/>
          </w:tcPr>
          <w:p w14:paraId="2597C0CE" w14:textId="77777777" w:rsidR="005F53D5" w:rsidRPr="00B67F80" w:rsidRDefault="005F53D5" w:rsidP="00B26E7C">
            <w:pPr>
              <w:jc w:val="center"/>
              <w:rPr>
                <w:color w:val="000000" w:themeColor="text1"/>
                <w:sz w:val="20"/>
                <w:szCs w:val="20"/>
              </w:rPr>
            </w:pPr>
            <w:r w:rsidRPr="00B67F80">
              <w:rPr>
                <w:color w:val="000000" w:themeColor="text1"/>
                <w:sz w:val="20"/>
                <w:szCs w:val="20"/>
              </w:rPr>
              <w:t>0.79</w:t>
            </w:r>
          </w:p>
        </w:tc>
        <w:tc>
          <w:tcPr>
            <w:tcW w:w="896" w:type="dxa"/>
            <w:vAlign w:val="center"/>
          </w:tcPr>
          <w:p w14:paraId="49CC6E7C" w14:textId="0A285B24" w:rsidR="005F53D5" w:rsidRPr="00B67F80" w:rsidRDefault="005F53D5" w:rsidP="00B26E7C">
            <w:pPr>
              <w:jc w:val="center"/>
              <w:rPr>
                <w:color w:val="000000" w:themeColor="text1"/>
                <w:sz w:val="20"/>
                <w:szCs w:val="20"/>
              </w:rPr>
            </w:pPr>
            <w:r w:rsidRPr="00B67F80">
              <w:rPr>
                <w:color w:val="000000" w:themeColor="text1"/>
                <w:sz w:val="20"/>
                <w:szCs w:val="20"/>
              </w:rPr>
              <w:t>0.6</w:t>
            </w:r>
            <w:r w:rsidR="00784A73" w:rsidRPr="00B67F80">
              <w:rPr>
                <w:color w:val="000000" w:themeColor="text1"/>
                <w:sz w:val="20"/>
                <w:szCs w:val="20"/>
              </w:rPr>
              <w:t>1</w:t>
            </w:r>
          </w:p>
        </w:tc>
      </w:tr>
      <w:tr w:rsidR="00B67F80" w:rsidRPr="00B67F80" w14:paraId="05C7892B" w14:textId="77777777" w:rsidTr="00B26E7C">
        <w:trPr>
          <w:jc w:val="center"/>
        </w:trPr>
        <w:tc>
          <w:tcPr>
            <w:tcW w:w="1296" w:type="dxa"/>
            <w:vAlign w:val="center"/>
          </w:tcPr>
          <w:p w14:paraId="1121C494" w14:textId="77777777" w:rsidR="005F53D5" w:rsidRPr="00B67F80" w:rsidRDefault="005F53D5" w:rsidP="00B26E7C">
            <w:pPr>
              <w:jc w:val="center"/>
              <w:rPr>
                <w:color w:val="000000" w:themeColor="text1"/>
                <w:sz w:val="20"/>
                <w:szCs w:val="20"/>
              </w:rPr>
            </w:pPr>
            <w:r w:rsidRPr="00B67F80">
              <w:rPr>
                <w:color w:val="000000" w:themeColor="text1"/>
                <w:sz w:val="20"/>
                <w:szCs w:val="20"/>
              </w:rPr>
              <w:t>Trend</w:t>
            </w:r>
          </w:p>
          <w:p w14:paraId="577F2367" w14:textId="77777777" w:rsidR="005F53D5" w:rsidRPr="00B67F80" w:rsidRDefault="005F53D5"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437E04C1" w14:textId="77777777" w:rsidR="005F53D5" w:rsidRPr="00B67F80" w:rsidRDefault="005F53D5" w:rsidP="00B26E7C">
            <w:pPr>
              <w:pStyle w:val="NormalWeb"/>
              <w:jc w:val="center"/>
              <w:rPr>
                <w:color w:val="000000" w:themeColor="text1"/>
                <w:sz w:val="20"/>
                <w:szCs w:val="20"/>
              </w:rPr>
            </w:pPr>
            <w:r w:rsidRPr="00B67F80">
              <w:rPr>
                <w:color w:val="000000" w:themeColor="text1"/>
                <w:kern w:val="24"/>
                <w:sz w:val="20"/>
                <w:szCs w:val="20"/>
              </w:rPr>
              <w:t>0.10</w:t>
            </w:r>
          </w:p>
          <w:p w14:paraId="54892DE3"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(0.29)</w:t>
            </w:r>
          </w:p>
        </w:tc>
        <w:tc>
          <w:tcPr>
            <w:tcW w:w="895" w:type="dxa"/>
            <w:vAlign w:val="center"/>
          </w:tcPr>
          <w:p w14:paraId="2DB24C23" w14:textId="77777777" w:rsidR="005F53D5" w:rsidRPr="00B67F80" w:rsidRDefault="005F53D5" w:rsidP="00B26E7C">
            <w:pPr>
              <w:pStyle w:val="NormalWeb"/>
              <w:jc w:val="center"/>
              <w:rPr>
                <w:color w:val="000000" w:themeColor="text1"/>
                <w:sz w:val="20"/>
                <w:szCs w:val="20"/>
              </w:rPr>
            </w:pPr>
            <w:r w:rsidRPr="00B67F80">
              <w:rPr>
                <w:color w:val="000000" w:themeColor="text1"/>
                <w:kern w:val="24"/>
                <w:sz w:val="20"/>
                <w:szCs w:val="20"/>
              </w:rPr>
              <w:t>0.19</w:t>
            </w:r>
          </w:p>
          <w:p w14:paraId="2C1F990F" w14:textId="493D2B13" w:rsidR="005F53D5" w:rsidRPr="00B67F80" w:rsidRDefault="005F53D5" w:rsidP="00B26E7C">
            <w:pPr>
              <w:jc w:val="center"/>
              <w:rPr>
                <w:color w:val="000000" w:themeColor="text1"/>
                <w:sz w:val="20"/>
                <w:szCs w:val="20"/>
              </w:rPr>
            </w:pPr>
            <w:r w:rsidRPr="00B67F80">
              <w:rPr>
                <w:color w:val="000000" w:themeColor="text1"/>
                <w:kern w:val="24"/>
                <w:sz w:val="20"/>
                <w:szCs w:val="20"/>
              </w:rPr>
              <w:t>(0.</w:t>
            </w:r>
            <w:r w:rsidR="00CA79B1" w:rsidRPr="00B67F80">
              <w:rPr>
                <w:color w:val="000000" w:themeColor="text1"/>
                <w:kern w:val="24"/>
                <w:sz w:val="20"/>
                <w:szCs w:val="20"/>
              </w:rPr>
              <w:t>24</w:t>
            </w:r>
            <w:r w:rsidRPr="00B67F80">
              <w:rPr>
                <w:color w:val="000000" w:themeColor="text1"/>
                <w:kern w:val="24"/>
                <w:sz w:val="20"/>
                <w:szCs w:val="20"/>
              </w:rPr>
              <w:t>)</w:t>
            </w:r>
          </w:p>
        </w:tc>
        <w:tc>
          <w:tcPr>
            <w:tcW w:w="896" w:type="dxa"/>
            <w:vAlign w:val="center"/>
          </w:tcPr>
          <w:p w14:paraId="533F8CB8" w14:textId="77777777" w:rsidR="005F53D5" w:rsidRPr="00B67F80" w:rsidRDefault="005F53D5" w:rsidP="00B26E7C">
            <w:pPr>
              <w:pStyle w:val="NormalWeb"/>
              <w:jc w:val="center"/>
              <w:rPr>
                <w:color w:val="000000" w:themeColor="text1"/>
                <w:sz w:val="20"/>
                <w:szCs w:val="20"/>
              </w:rPr>
            </w:pPr>
            <w:r w:rsidRPr="00B67F80">
              <w:rPr>
                <w:color w:val="000000" w:themeColor="text1"/>
                <w:kern w:val="24"/>
                <w:sz w:val="20"/>
                <w:szCs w:val="20"/>
              </w:rPr>
              <w:t>0.15</w:t>
            </w:r>
          </w:p>
          <w:p w14:paraId="4806587E"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(0.24)</w:t>
            </w:r>
          </w:p>
        </w:tc>
        <w:tc>
          <w:tcPr>
            <w:tcW w:w="929" w:type="dxa"/>
            <w:vAlign w:val="center"/>
          </w:tcPr>
          <w:p w14:paraId="367DB7F6" w14:textId="77777777" w:rsidR="005F53D5" w:rsidRPr="00B67F80" w:rsidRDefault="005F53D5" w:rsidP="00B26E7C">
            <w:pPr>
              <w:pStyle w:val="NormalWeb"/>
              <w:jc w:val="center"/>
              <w:rPr>
                <w:color w:val="000000" w:themeColor="text1"/>
                <w:sz w:val="20"/>
                <w:szCs w:val="20"/>
              </w:rPr>
            </w:pPr>
            <w:r w:rsidRPr="00B67F80">
              <w:rPr>
                <w:color w:val="000000" w:themeColor="text1"/>
                <w:kern w:val="24"/>
                <w:sz w:val="20"/>
                <w:szCs w:val="20"/>
              </w:rPr>
              <w:t>−0.11</w:t>
            </w:r>
          </w:p>
          <w:p w14:paraId="10071836" w14:textId="4AAA5E2E" w:rsidR="005F53D5" w:rsidRPr="00B67F80" w:rsidRDefault="005F53D5" w:rsidP="00B26E7C">
            <w:pPr>
              <w:jc w:val="center"/>
              <w:rPr>
                <w:color w:val="000000" w:themeColor="text1"/>
                <w:sz w:val="20"/>
                <w:szCs w:val="20"/>
              </w:rPr>
            </w:pPr>
            <w:r w:rsidRPr="00B67F80">
              <w:rPr>
                <w:color w:val="000000" w:themeColor="text1"/>
                <w:kern w:val="24"/>
                <w:sz w:val="20"/>
                <w:szCs w:val="20"/>
              </w:rPr>
              <w:t>(0.</w:t>
            </w:r>
            <w:r w:rsidR="000016D6" w:rsidRPr="00B67F80">
              <w:rPr>
                <w:color w:val="000000" w:themeColor="text1"/>
                <w:kern w:val="24"/>
                <w:sz w:val="20"/>
                <w:szCs w:val="20"/>
              </w:rPr>
              <w:t>28</w:t>
            </w:r>
            <w:r w:rsidRPr="00B67F80">
              <w:rPr>
                <w:color w:val="000000" w:themeColor="text1"/>
                <w:kern w:val="24"/>
                <w:sz w:val="20"/>
                <w:szCs w:val="20"/>
              </w:rPr>
              <w:t>)</w:t>
            </w:r>
          </w:p>
        </w:tc>
        <w:tc>
          <w:tcPr>
            <w:tcW w:w="896" w:type="dxa"/>
            <w:vAlign w:val="center"/>
          </w:tcPr>
          <w:p w14:paraId="7B3879CC" w14:textId="04EBE23B" w:rsidR="005F53D5" w:rsidRPr="00B67F80" w:rsidRDefault="005F53D5" w:rsidP="00B26E7C">
            <w:pPr>
              <w:pStyle w:val="NormalWeb"/>
              <w:jc w:val="center"/>
              <w:rPr>
                <w:color w:val="000000" w:themeColor="text1"/>
                <w:sz w:val="20"/>
                <w:szCs w:val="20"/>
              </w:rPr>
            </w:pPr>
            <w:r w:rsidRPr="00B67F80">
              <w:rPr>
                <w:color w:val="000000" w:themeColor="text1"/>
                <w:kern w:val="24"/>
                <w:sz w:val="20"/>
                <w:szCs w:val="20"/>
              </w:rPr>
              <w:t>−0.</w:t>
            </w:r>
            <w:r w:rsidR="009002BC" w:rsidRPr="00B67F80">
              <w:rPr>
                <w:color w:val="000000" w:themeColor="text1"/>
                <w:kern w:val="24"/>
                <w:sz w:val="20"/>
                <w:szCs w:val="20"/>
              </w:rPr>
              <w:t>13</w:t>
            </w:r>
          </w:p>
          <w:p w14:paraId="40A5916D" w14:textId="6852AAE7" w:rsidR="005F53D5" w:rsidRPr="00B67F80" w:rsidRDefault="005F53D5" w:rsidP="00B26E7C">
            <w:pPr>
              <w:jc w:val="center"/>
              <w:rPr>
                <w:color w:val="000000" w:themeColor="text1"/>
                <w:sz w:val="20"/>
                <w:szCs w:val="20"/>
              </w:rPr>
            </w:pPr>
            <w:r w:rsidRPr="00B67F80">
              <w:rPr>
                <w:color w:val="000000" w:themeColor="text1"/>
                <w:kern w:val="24"/>
                <w:sz w:val="20"/>
                <w:szCs w:val="20"/>
              </w:rPr>
              <w:t>(0.</w:t>
            </w:r>
            <w:r w:rsidR="00CA79B1" w:rsidRPr="00B67F80">
              <w:rPr>
                <w:color w:val="000000" w:themeColor="text1"/>
                <w:kern w:val="24"/>
                <w:sz w:val="20"/>
                <w:szCs w:val="20"/>
              </w:rPr>
              <w:t>22</w:t>
            </w:r>
            <w:r w:rsidRPr="00B67F80">
              <w:rPr>
                <w:color w:val="000000" w:themeColor="text1"/>
                <w:kern w:val="24"/>
                <w:sz w:val="20"/>
                <w:szCs w:val="20"/>
              </w:rPr>
              <w:t>)</w:t>
            </w:r>
          </w:p>
        </w:tc>
        <w:tc>
          <w:tcPr>
            <w:tcW w:w="896" w:type="dxa"/>
            <w:vAlign w:val="center"/>
          </w:tcPr>
          <w:p w14:paraId="2AC8E86D" w14:textId="77777777" w:rsidR="005F53D5" w:rsidRPr="00B67F80" w:rsidRDefault="005F53D5" w:rsidP="00B26E7C">
            <w:pPr>
              <w:pStyle w:val="NormalWeb"/>
              <w:jc w:val="center"/>
              <w:rPr>
                <w:color w:val="000000" w:themeColor="text1"/>
                <w:sz w:val="20"/>
                <w:szCs w:val="20"/>
              </w:rPr>
            </w:pPr>
            <w:r w:rsidRPr="00B67F80">
              <w:rPr>
                <w:color w:val="000000" w:themeColor="text1"/>
                <w:kern w:val="24"/>
                <w:sz w:val="20"/>
                <w:szCs w:val="20"/>
              </w:rPr>
              <w:t>−0.12</w:t>
            </w:r>
          </w:p>
          <w:p w14:paraId="788971AA" w14:textId="467345F8" w:rsidR="005F53D5" w:rsidRPr="00B67F80" w:rsidRDefault="005F53D5" w:rsidP="00B26E7C">
            <w:pPr>
              <w:jc w:val="center"/>
              <w:rPr>
                <w:color w:val="000000" w:themeColor="text1"/>
                <w:sz w:val="20"/>
                <w:szCs w:val="20"/>
              </w:rPr>
            </w:pPr>
            <w:r w:rsidRPr="00B67F80">
              <w:rPr>
                <w:color w:val="000000" w:themeColor="text1"/>
                <w:kern w:val="24"/>
                <w:sz w:val="20"/>
                <w:szCs w:val="20"/>
              </w:rPr>
              <w:t>(0.</w:t>
            </w:r>
            <w:r w:rsidR="00CA79B1" w:rsidRPr="00B67F80">
              <w:rPr>
                <w:color w:val="000000" w:themeColor="text1"/>
                <w:kern w:val="24"/>
                <w:sz w:val="20"/>
                <w:szCs w:val="20"/>
              </w:rPr>
              <w:t>21</w:t>
            </w:r>
            <w:r w:rsidRPr="00B67F80">
              <w:rPr>
                <w:color w:val="000000" w:themeColor="text1"/>
                <w:kern w:val="24"/>
                <w:sz w:val="20"/>
                <w:szCs w:val="20"/>
              </w:rPr>
              <w:t>)</w:t>
            </w:r>
          </w:p>
        </w:tc>
        <w:tc>
          <w:tcPr>
            <w:tcW w:w="896" w:type="dxa"/>
            <w:vAlign w:val="center"/>
          </w:tcPr>
          <w:p w14:paraId="4BDA7F51" w14:textId="50848C5F" w:rsidR="005F53D5" w:rsidRPr="00B67F80" w:rsidRDefault="002C40B4" w:rsidP="00B26E7C">
            <w:pPr>
              <w:pStyle w:val="NormalWeb"/>
              <w:jc w:val="center"/>
              <w:rPr>
                <w:color w:val="000000" w:themeColor="text1"/>
                <w:sz w:val="20"/>
                <w:szCs w:val="20"/>
              </w:rPr>
            </w:pPr>
            <w:r w:rsidRPr="00B67F80">
              <w:rPr>
                <w:color w:val="000000" w:themeColor="text1"/>
                <w:kern w:val="24"/>
                <w:sz w:val="20"/>
                <w:szCs w:val="20"/>
              </w:rPr>
              <w:t>−</w:t>
            </w:r>
            <w:r w:rsidR="005F53D5" w:rsidRPr="00B67F80">
              <w:rPr>
                <w:color w:val="000000" w:themeColor="text1"/>
                <w:kern w:val="24"/>
                <w:sz w:val="20"/>
                <w:szCs w:val="20"/>
              </w:rPr>
              <w:t>0.0</w:t>
            </w:r>
            <w:r w:rsidR="000016D6" w:rsidRPr="00B67F80">
              <w:rPr>
                <w:color w:val="000000" w:themeColor="text1"/>
                <w:kern w:val="24"/>
                <w:sz w:val="20"/>
                <w:szCs w:val="20"/>
              </w:rPr>
              <w:t>1</w:t>
            </w:r>
          </w:p>
          <w:p w14:paraId="18532A4F" w14:textId="0809FD72" w:rsidR="005F53D5" w:rsidRPr="00B67F80" w:rsidRDefault="005F53D5" w:rsidP="00B26E7C">
            <w:pPr>
              <w:jc w:val="center"/>
              <w:rPr>
                <w:color w:val="000000" w:themeColor="text1"/>
                <w:sz w:val="20"/>
                <w:szCs w:val="20"/>
              </w:rPr>
            </w:pPr>
            <w:r w:rsidRPr="00B67F80">
              <w:rPr>
                <w:color w:val="000000" w:themeColor="text1"/>
                <w:kern w:val="24"/>
                <w:sz w:val="20"/>
                <w:szCs w:val="20"/>
              </w:rPr>
              <w:t>(</w:t>
            </w:r>
            <w:r w:rsidR="002C40B4" w:rsidRPr="00B67F80">
              <w:rPr>
                <w:color w:val="000000" w:themeColor="text1"/>
                <w:kern w:val="24"/>
                <w:sz w:val="20"/>
                <w:szCs w:val="20"/>
              </w:rPr>
              <w:t>0.29</w:t>
            </w:r>
            <w:r w:rsidRPr="00B67F80">
              <w:rPr>
                <w:color w:val="000000" w:themeColor="text1"/>
                <w:kern w:val="24"/>
                <w:sz w:val="20"/>
                <w:szCs w:val="20"/>
              </w:rPr>
              <w:t>)</w:t>
            </w:r>
          </w:p>
        </w:tc>
        <w:tc>
          <w:tcPr>
            <w:tcW w:w="896" w:type="dxa"/>
            <w:vAlign w:val="center"/>
          </w:tcPr>
          <w:p w14:paraId="498AD10C" w14:textId="024CA53B" w:rsidR="005F53D5" w:rsidRPr="00B67F80" w:rsidRDefault="005F53D5" w:rsidP="00B26E7C">
            <w:pPr>
              <w:pStyle w:val="NormalWeb"/>
              <w:jc w:val="center"/>
              <w:rPr>
                <w:color w:val="000000" w:themeColor="text1"/>
                <w:sz w:val="20"/>
                <w:szCs w:val="20"/>
              </w:rPr>
            </w:pPr>
            <w:r w:rsidRPr="00B67F80">
              <w:rPr>
                <w:color w:val="000000" w:themeColor="text1"/>
                <w:kern w:val="24"/>
                <w:sz w:val="20"/>
                <w:szCs w:val="20"/>
              </w:rPr>
              <w:t>0.</w:t>
            </w:r>
            <w:r w:rsidR="00035CE8" w:rsidRPr="00B67F80">
              <w:rPr>
                <w:color w:val="000000" w:themeColor="text1"/>
                <w:kern w:val="24"/>
                <w:sz w:val="20"/>
                <w:szCs w:val="20"/>
              </w:rPr>
              <w:t>06</w:t>
            </w:r>
          </w:p>
          <w:p w14:paraId="6D82839C" w14:textId="516B7F5B" w:rsidR="005F53D5" w:rsidRPr="00B67F80" w:rsidRDefault="005F53D5" w:rsidP="00B26E7C">
            <w:pPr>
              <w:jc w:val="center"/>
              <w:rPr>
                <w:color w:val="000000" w:themeColor="text1"/>
                <w:sz w:val="20"/>
                <w:szCs w:val="20"/>
              </w:rPr>
            </w:pPr>
            <w:r w:rsidRPr="00B67F80">
              <w:rPr>
                <w:color w:val="000000" w:themeColor="text1"/>
                <w:kern w:val="24"/>
                <w:sz w:val="20"/>
                <w:szCs w:val="20"/>
              </w:rPr>
              <w:t>(0.</w:t>
            </w:r>
            <w:r w:rsidR="00CA79B1" w:rsidRPr="00B67F80">
              <w:rPr>
                <w:color w:val="000000" w:themeColor="text1"/>
                <w:kern w:val="24"/>
                <w:sz w:val="20"/>
                <w:szCs w:val="20"/>
              </w:rPr>
              <w:t>26</w:t>
            </w:r>
            <w:r w:rsidRPr="00B67F80">
              <w:rPr>
                <w:color w:val="000000" w:themeColor="text1"/>
                <w:kern w:val="24"/>
                <w:sz w:val="20"/>
                <w:szCs w:val="20"/>
              </w:rPr>
              <w:t>)</w:t>
            </w:r>
          </w:p>
        </w:tc>
        <w:tc>
          <w:tcPr>
            <w:tcW w:w="896" w:type="dxa"/>
            <w:vAlign w:val="center"/>
          </w:tcPr>
          <w:p w14:paraId="42FFF819" w14:textId="2401A55F" w:rsidR="005F53D5" w:rsidRPr="00B67F80" w:rsidRDefault="005F53D5" w:rsidP="00B26E7C">
            <w:pPr>
              <w:pStyle w:val="NormalWeb"/>
              <w:jc w:val="center"/>
              <w:rPr>
                <w:color w:val="000000" w:themeColor="text1"/>
                <w:sz w:val="20"/>
                <w:szCs w:val="20"/>
              </w:rPr>
            </w:pPr>
            <w:r w:rsidRPr="00B67F80">
              <w:rPr>
                <w:color w:val="000000" w:themeColor="text1"/>
                <w:kern w:val="24"/>
                <w:sz w:val="20"/>
                <w:szCs w:val="20"/>
              </w:rPr>
              <w:t>0.02</w:t>
            </w:r>
            <w:r w:rsidR="00784A73" w:rsidRPr="00B67F80">
              <w:rPr>
                <w:color w:val="000000" w:themeColor="text1"/>
                <w:kern w:val="24"/>
                <w:sz w:val="20"/>
                <w:szCs w:val="20"/>
              </w:rPr>
              <w:t>6</w:t>
            </w:r>
          </w:p>
          <w:p w14:paraId="70DDBDCE" w14:textId="77777777" w:rsidR="005F53D5" w:rsidRPr="00B67F80" w:rsidRDefault="005F53D5" w:rsidP="00B26E7C">
            <w:pPr>
              <w:jc w:val="center"/>
              <w:rPr>
                <w:color w:val="000000" w:themeColor="text1"/>
                <w:sz w:val="20"/>
                <w:szCs w:val="20"/>
              </w:rPr>
            </w:pPr>
            <w:r w:rsidRPr="00B67F80">
              <w:rPr>
                <w:color w:val="000000" w:themeColor="text1"/>
                <w:kern w:val="24"/>
                <w:sz w:val="20"/>
                <w:szCs w:val="20"/>
              </w:rPr>
              <w:t>(0.25)</w:t>
            </w:r>
          </w:p>
        </w:tc>
      </w:tr>
      <w:tr w:rsidR="00B67F80" w:rsidRPr="00B67F80" w14:paraId="4AA61AC3" w14:textId="77777777" w:rsidTr="00B26E7C">
        <w:trPr>
          <w:jc w:val="center"/>
        </w:trPr>
        <w:tc>
          <w:tcPr>
            <w:tcW w:w="9391" w:type="dxa"/>
            <w:gridSpan w:val="10"/>
            <w:vAlign w:val="center"/>
          </w:tcPr>
          <w:p w14:paraId="468A81E5" w14:textId="77777777" w:rsidR="00280CFE" w:rsidRPr="00B67F80" w:rsidRDefault="00280CFE" w:rsidP="00B26E7C">
            <w:pPr>
              <w:jc w:val="center"/>
              <w:rPr>
                <w:color w:val="000000" w:themeColor="text1"/>
                <w:sz w:val="20"/>
                <w:szCs w:val="20"/>
              </w:rPr>
            </w:pPr>
          </w:p>
        </w:tc>
      </w:tr>
      <w:tr w:rsidR="00B67F80" w:rsidRPr="00B67F80" w14:paraId="38CFF673" w14:textId="77777777" w:rsidTr="00B26E7C">
        <w:trPr>
          <w:jc w:val="center"/>
        </w:trPr>
        <w:tc>
          <w:tcPr>
            <w:tcW w:w="1296" w:type="dxa"/>
            <w:vAlign w:val="center"/>
          </w:tcPr>
          <w:p w14:paraId="615D8C3F" w14:textId="77777777" w:rsidR="00280CFE" w:rsidRPr="00B67F80" w:rsidRDefault="00280CFE" w:rsidP="00B26E7C">
            <w:pPr>
              <w:jc w:val="center"/>
              <w:rPr>
                <w:color w:val="000000" w:themeColor="text1"/>
                <w:sz w:val="20"/>
                <w:szCs w:val="20"/>
              </w:rPr>
            </w:pPr>
          </w:p>
        </w:tc>
        <w:tc>
          <w:tcPr>
            <w:tcW w:w="8095" w:type="dxa"/>
            <w:gridSpan w:val="9"/>
            <w:vAlign w:val="center"/>
          </w:tcPr>
          <w:p w14:paraId="5CDA2BD2" w14:textId="7710D186" w:rsidR="00280CFE" w:rsidRPr="00B67F80" w:rsidRDefault="00280CFE" w:rsidP="00B26E7C">
            <w:pPr>
              <w:jc w:val="center"/>
              <w:rPr>
                <w:b/>
                <w:bCs/>
                <w:color w:val="000000" w:themeColor="text1"/>
                <w:sz w:val="20"/>
                <w:szCs w:val="20"/>
              </w:rPr>
            </w:pPr>
            <w:r w:rsidRPr="00B67F80">
              <w:rPr>
                <w:b/>
                <w:bCs/>
                <w:color w:val="000000" w:themeColor="text1"/>
                <w:sz w:val="20"/>
                <w:szCs w:val="20"/>
              </w:rPr>
              <w:t>IFS AMIP</w:t>
            </w:r>
          </w:p>
        </w:tc>
      </w:tr>
      <w:tr w:rsidR="00B67F80" w:rsidRPr="00B67F80" w14:paraId="04BCFAEB" w14:textId="77777777" w:rsidTr="00B26E7C">
        <w:trPr>
          <w:jc w:val="center"/>
        </w:trPr>
        <w:tc>
          <w:tcPr>
            <w:tcW w:w="1296" w:type="dxa"/>
            <w:vAlign w:val="center"/>
          </w:tcPr>
          <w:p w14:paraId="1D2E677B" w14:textId="77777777" w:rsidR="00280CFE" w:rsidRPr="00B67F80" w:rsidRDefault="00280CFE" w:rsidP="00B26E7C">
            <w:pPr>
              <w:jc w:val="center"/>
              <w:rPr>
                <w:color w:val="000000" w:themeColor="text1"/>
                <w:sz w:val="20"/>
                <w:szCs w:val="20"/>
              </w:rPr>
            </w:pPr>
          </w:p>
        </w:tc>
        <w:tc>
          <w:tcPr>
            <w:tcW w:w="2686" w:type="dxa"/>
            <w:gridSpan w:val="3"/>
            <w:vAlign w:val="center"/>
          </w:tcPr>
          <w:p w14:paraId="18449B06" w14:textId="77777777" w:rsidR="00280CFE" w:rsidRPr="00B67F80" w:rsidRDefault="00280CFE" w:rsidP="00B26E7C">
            <w:pPr>
              <w:jc w:val="center"/>
              <w:rPr>
                <w:color w:val="000000" w:themeColor="text1"/>
                <w:sz w:val="20"/>
                <w:szCs w:val="20"/>
              </w:rPr>
            </w:pPr>
            <w:r w:rsidRPr="00B67F80">
              <w:rPr>
                <w:color w:val="000000" w:themeColor="text1"/>
                <w:sz w:val="20"/>
                <w:szCs w:val="20"/>
              </w:rPr>
              <w:t>ASR</w:t>
            </w:r>
          </w:p>
        </w:tc>
        <w:tc>
          <w:tcPr>
            <w:tcW w:w="2721" w:type="dxa"/>
            <w:gridSpan w:val="3"/>
            <w:vAlign w:val="center"/>
          </w:tcPr>
          <w:p w14:paraId="1AFBF7A5" w14:textId="77777777" w:rsidR="00280CFE" w:rsidRPr="00B67F80" w:rsidRDefault="00280CFE" w:rsidP="00B26E7C">
            <w:pPr>
              <w:jc w:val="center"/>
              <w:rPr>
                <w:color w:val="000000" w:themeColor="text1"/>
                <w:sz w:val="20"/>
                <w:szCs w:val="20"/>
              </w:rPr>
            </w:pPr>
            <w:r w:rsidRPr="00B67F80">
              <w:rPr>
                <w:color w:val="000000" w:themeColor="text1"/>
                <w:sz w:val="20"/>
                <w:szCs w:val="20"/>
              </w:rPr>
              <w:t>-OLR</w:t>
            </w:r>
          </w:p>
        </w:tc>
        <w:tc>
          <w:tcPr>
            <w:tcW w:w="2688" w:type="dxa"/>
            <w:gridSpan w:val="3"/>
            <w:vAlign w:val="center"/>
          </w:tcPr>
          <w:p w14:paraId="4F582CD6" w14:textId="77777777" w:rsidR="00280CFE" w:rsidRPr="00B67F80" w:rsidRDefault="00280CFE" w:rsidP="00B26E7C">
            <w:pPr>
              <w:jc w:val="center"/>
              <w:rPr>
                <w:color w:val="000000" w:themeColor="text1"/>
                <w:sz w:val="20"/>
                <w:szCs w:val="20"/>
              </w:rPr>
            </w:pPr>
            <w:r w:rsidRPr="00B67F80">
              <w:rPr>
                <w:color w:val="000000" w:themeColor="text1"/>
                <w:sz w:val="20"/>
                <w:szCs w:val="20"/>
              </w:rPr>
              <w:t>Net</w:t>
            </w:r>
          </w:p>
        </w:tc>
      </w:tr>
      <w:tr w:rsidR="00B67F80" w:rsidRPr="00B67F80" w14:paraId="60657EBD" w14:textId="77777777" w:rsidTr="00B26E7C">
        <w:trPr>
          <w:jc w:val="center"/>
        </w:trPr>
        <w:tc>
          <w:tcPr>
            <w:tcW w:w="1296" w:type="dxa"/>
            <w:vAlign w:val="center"/>
          </w:tcPr>
          <w:p w14:paraId="60F2AF6F" w14:textId="77777777" w:rsidR="00280CFE" w:rsidRPr="00B67F80" w:rsidRDefault="00280CFE" w:rsidP="00B26E7C">
            <w:pPr>
              <w:jc w:val="center"/>
              <w:rPr>
                <w:color w:val="000000" w:themeColor="text1"/>
                <w:sz w:val="20"/>
                <w:szCs w:val="20"/>
              </w:rPr>
            </w:pPr>
          </w:p>
        </w:tc>
        <w:tc>
          <w:tcPr>
            <w:tcW w:w="895" w:type="dxa"/>
            <w:vAlign w:val="center"/>
          </w:tcPr>
          <w:p w14:paraId="594119A7" w14:textId="77777777" w:rsidR="00280CFE" w:rsidRPr="00B67F80" w:rsidRDefault="00280CFE" w:rsidP="00B26E7C">
            <w:pPr>
              <w:jc w:val="center"/>
              <w:rPr>
                <w:color w:val="000000" w:themeColor="text1"/>
                <w:sz w:val="20"/>
                <w:szCs w:val="20"/>
              </w:rPr>
            </w:pPr>
            <w:r w:rsidRPr="00B67F80">
              <w:rPr>
                <w:color w:val="000000" w:themeColor="text1"/>
                <w:sz w:val="20"/>
                <w:szCs w:val="20"/>
              </w:rPr>
              <w:t>SH</w:t>
            </w:r>
          </w:p>
        </w:tc>
        <w:tc>
          <w:tcPr>
            <w:tcW w:w="895" w:type="dxa"/>
            <w:vAlign w:val="center"/>
          </w:tcPr>
          <w:p w14:paraId="3181FDD3" w14:textId="77777777" w:rsidR="00280CFE" w:rsidRPr="00B67F80" w:rsidRDefault="00280CFE"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62F35F8B" w14:textId="77777777" w:rsidR="00280CFE" w:rsidRPr="00B67F80" w:rsidRDefault="00280CFE" w:rsidP="00B26E7C">
            <w:pPr>
              <w:jc w:val="center"/>
              <w:rPr>
                <w:color w:val="000000" w:themeColor="text1"/>
                <w:sz w:val="20"/>
                <w:szCs w:val="20"/>
              </w:rPr>
            </w:pPr>
            <w:r w:rsidRPr="00B67F80">
              <w:rPr>
                <w:color w:val="000000" w:themeColor="text1"/>
                <w:sz w:val="20"/>
                <w:szCs w:val="20"/>
              </w:rPr>
              <w:t>Global</w:t>
            </w:r>
          </w:p>
        </w:tc>
        <w:tc>
          <w:tcPr>
            <w:tcW w:w="929" w:type="dxa"/>
            <w:vAlign w:val="center"/>
          </w:tcPr>
          <w:p w14:paraId="2DA533CF" w14:textId="77777777" w:rsidR="00280CFE" w:rsidRPr="00B67F80" w:rsidRDefault="00280CFE"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35C15DA6" w14:textId="77777777" w:rsidR="00280CFE" w:rsidRPr="00B67F80" w:rsidRDefault="00280CFE"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56326DCA" w14:textId="77777777" w:rsidR="00280CFE" w:rsidRPr="00B67F80" w:rsidRDefault="00280CFE" w:rsidP="00B26E7C">
            <w:pPr>
              <w:jc w:val="center"/>
              <w:rPr>
                <w:color w:val="000000" w:themeColor="text1"/>
                <w:sz w:val="20"/>
                <w:szCs w:val="20"/>
              </w:rPr>
            </w:pPr>
            <w:r w:rsidRPr="00B67F80">
              <w:rPr>
                <w:color w:val="000000" w:themeColor="text1"/>
                <w:sz w:val="20"/>
                <w:szCs w:val="20"/>
              </w:rPr>
              <w:t>Global</w:t>
            </w:r>
          </w:p>
        </w:tc>
        <w:tc>
          <w:tcPr>
            <w:tcW w:w="896" w:type="dxa"/>
            <w:vAlign w:val="center"/>
          </w:tcPr>
          <w:p w14:paraId="67AAB8F8" w14:textId="77777777" w:rsidR="00280CFE" w:rsidRPr="00B67F80" w:rsidRDefault="00280CFE"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1B86F317" w14:textId="77777777" w:rsidR="00280CFE" w:rsidRPr="00B67F80" w:rsidRDefault="00280CFE"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23286989" w14:textId="77777777" w:rsidR="00280CFE" w:rsidRPr="00B67F80" w:rsidRDefault="00280CFE" w:rsidP="00B26E7C">
            <w:pPr>
              <w:jc w:val="center"/>
              <w:rPr>
                <w:color w:val="000000" w:themeColor="text1"/>
                <w:sz w:val="20"/>
                <w:szCs w:val="20"/>
              </w:rPr>
            </w:pPr>
            <w:r w:rsidRPr="00B67F80">
              <w:rPr>
                <w:color w:val="000000" w:themeColor="text1"/>
                <w:sz w:val="20"/>
                <w:szCs w:val="20"/>
              </w:rPr>
              <w:t>Global</w:t>
            </w:r>
          </w:p>
        </w:tc>
      </w:tr>
      <w:tr w:rsidR="00B67F80" w:rsidRPr="00B67F80" w14:paraId="24A7E5B6" w14:textId="77777777" w:rsidTr="00B26E7C">
        <w:trPr>
          <w:jc w:val="center"/>
        </w:trPr>
        <w:tc>
          <w:tcPr>
            <w:tcW w:w="1296" w:type="dxa"/>
            <w:vAlign w:val="center"/>
          </w:tcPr>
          <w:p w14:paraId="30BC0DED" w14:textId="77777777" w:rsidR="004B362E" w:rsidRPr="00B67F80" w:rsidRDefault="004B362E" w:rsidP="004B362E">
            <w:pPr>
              <w:jc w:val="center"/>
              <w:rPr>
                <w:color w:val="000000" w:themeColor="text1"/>
                <w:sz w:val="20"/>
                <w:szCs w:val="20"/>
              </w:rPr>
            </w:pPr>
            <w:r w:rsidRPr="00B67F80">
              <w:rPr>
                <w:color w:val="000000" w:themeColor="text1"/>
                <w:sz w:val="20"/>
                <w:szCs w:val="20"/>
              </w:rPr>
              <w:t>Mean</w:t>
            </w:r>
          </w:p>
          <w:p w14:paraId="396EFAD7" w14:textId="77777777" w:rsidR="004B362E" w:rsidRPr="00B67F80" w:rsidRDefault="004B362E" w:rsidP="004B362E">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7199D75B" w14:textId="2281E22D" w:rsidR="004B362E" w:rsidRPr="00B67F80" w:rsidRDefault="00F677CD" w:rsidP="004B362E">
            <w:pPr>
              <w:jc w:val="center"/>
              <w:rPr>
                <w:color w:val="000000" w:themeColor="text1"/>
                <w:sz w:val="20"/>
                <w:szCs w:val="20"/>
              </w:rPr>
            </w:pPr>
            <w:r w:rsidRPr="00B67F80">
              <w:rPr>
                <w:color w:val="000000" w:themeColor="text1"/>
                <w:sz w:val="20"/>
                <w:szCs w:val="20"/>
              </w:rPr>
              <w:t>239.6</w:t>
            </w:r>
          </w:p>
        </w:tc>
        <w:tc>
          <w:tcPr>
            <w:tcW w:w="895" w:type="dxa"/>
            <w:vAlign w:val="center"/>
          </w:tcPr>
          <w:p w14:paraId="35E7A250" w14:textId="1AAAC9B7" w:rsidR="004B362E" w:rsidRPr="00B67F80" w:rsidRDefault="00112844" w:rsidP="004B362E">
            <w:pPr>
              <w:jc w:val="center"/>
              <w:rPr>
                <w:color w:val="000000" w:themeColor="text1"/>
                <w:sz w:val="20"/>
                <w:szCs w:val="20"/>
              </w:rPr>
            </w:pPr>
            <w:r w:rsidRPr="00B67F80">
              <w:rPr>
                <w:color w:val="000000" w:themeColor="text1"/>
                <w:sz w:val="20"/>
                <w:szCs w:val="20"/>
              </w:rPr>
              <w:t>242.0</w:t>
            </w:r>
          </w:p>
        </w:tc>
        <w:tc>
          <w:tcPr>
            <w:tcW w:w="896" w:type="dxa"/>
            <w:vAlign w:val="center"/>
          </w:tcPr>
          <w:p w14:paraId="124AB267" w14:textId="10918036" w:rsidR="004B362E" w:rsidRPr="00B67F80" w:rsidRDefault="004B362E" w:rsidP="004B362E">
            <w:pPr>
              <w:jc w:val="center"/>
              <w:rPr>
                <w:color w:val="000000" w:themeColor="text1"/>
                <w:sz w:val="20"/>
                <w:szCs w:val="20"/>
              </w:rPr>
            </w:pPr>
            <w:r w:rsidRPr="00B67F80">
              <w:rPr>
                <w:color w:val="000000" w:themeColor="text1"/>
                <w:sz w:val="20"/>
                <w:szCs w:val="20"/>
              </w:rPr>
              <w:t>240.1</w:t>
            </w:r>
          </w:p>
        </w:tc>
        <w:tc>
          <w:tcPr>
            <w:tcW w:w="929" w:type="dxa"/>
            <w:vAlign w:val="center"/>
          </w:tcPr>
          <w:p w14:paraId="56AADD01" w14:textId="5B747C47" w:rsidR="004B362E" w:rsidRPr="00B67F80" w:rsidRDefault="00F677CD" w:rsidP="004B362E">
            <w:pPr>
              <w:jc w:val="center"/>
              <w:rPr>
                <w:color w:val="000000" w:themeColor="text1"/>
                <w:sz w:val="20"/>
                <w:szCs w:val="20"/>
              </w:rPr>
            </w:pPr>
            <w:r w:rsidRPr="00B67F80">
              <w:rPr>
                <w:color w:val="000000" w:themeColor="text1"/>
                <w:sz w:val="20"/>
                <w:szCs w:val="20"/>
              </w:rPr>
              <w:t>-24</w:t>
            </w:r>
            <w:r w:rsidR="009D3D16" w:rsidRPr="00B67F80">
              <w:rPr>
                <w:color w:val="000000" w:themeColor="text1"/>
                <w:sz w:val="20"/>
                <w:szCs w:val="20"/>
              </w:rPr>
              <w:t>1</w:t>
            </w:r>
            <w:r w:rsidR="00112844" w:rsidRPr="00B67F80">
              <w:rPr>
                <w:color w:val="000000" w:themeColor="text1"/>
                <w:sz w:val="20"/>
                <w:szCs w:val="20"/>
              </w:rPr>
              <w:t>.</w:t>
            </w:r>
            <w:r w:rsidR="009D3D16" w:rsidRPr="00B67F80">
              <w:rPr>
                <w:color w:val="000000" w:themeColor="text1"/>
                <w:sz w:val="20"/>
                <w:szCs w:val="20"/>
              </w:rPr>
              <w:t>0</w:t>
            </w:r>
          </w:p>
        </w:tc>
        <w:tc>
          <w:tcPr>
            <w:tcW w:w="896" w:type="dxa"/>
            <w:vAlign w:val="center"/>
          </w:tcPr>
          <w:p w14:paraId="73ED430E" w14:textId="09315975" w:rsidR="004B362E" w:rsidRPr="00B67F80" w:rsidRDefault="00807B37" w:rsidP="004B362E">
            <w:pPr>
              <w:jc w:val="center"/>
              <w:rPr>
                <w:color w:val="000000" w:themeColor="text1"/>
                <w:sz w:val="20"/>
                <w:szCs w:val="20"/>
              </w:rPr>
            </w:pPr>
            <w:r w:rsidRPr="00B67F80">
              <w:rPr>
                <w:color w:val="000000" w:themeColor="text1"/>
                <w:sz w:val="20"/>
                <w:szCs w:val="20"/>
              </w:rPr>
              <w:t>-241.7</w:t>
            </w:r>
          </w:p>
        </w:tc>
        <w:tc>
          <w:tcPr>
            <w:tcW w:w="896" w:type="dxa"/>
            <w:vAlign w:val="center"/>
          </w:tcPr>
          <w:p w14:paraId="70326C2A" w14:textId="36A1EFDE" w:rsidR="004B362E" w:rsidRPr="00B67F80" w:rsidRDefault="004B362E" w:rsidP="004B362E">
            <w:pPr>
              <w:jc w:val="center"/>
              <w:rPr>
                <w:color w:val="000000" w:themeColor="text1"/>
                <w:sz w:val="20"/>
                <w:szCs w:val="20"/>
              </w:rPr>
            </w:pPr>
            <w:r w:rsidRPr="00B67F80">
              <w:rPr>
                <w:color w:val="000000" w:themeColor="text1"/>
                <w:sz w:val="20"/>
                <w:szCs w:val="20"/>
              </w:rPr>
              <w:t>-241.2</w:t>
            </w:r>
          </w:p>
        </w:tc>
        <w:tc>
          <w:tcPr>
            <w:tcW w:w="896" w:type="dxa"/>
            <w:vAlign w:val="center"/>
          </w:tcPr>
          <w:p w14:paraId="596C7FAB" w14:textId="0D3D4545" w:rsidR="004B362E" w:rsidRPr="00B67F80" w:rsidRDefault="00112844" w:rsidP="004B362E">
            <w:pPr>
              <w:jc w:val="center"/>
              <w:rPr>
                <w:color w:val="000000" w:themeColor="text1"/>
                <w:sz w:val="20"/>
                <w:szCs w:val="20"/>
              </w:rPr>
            </w:pPr>
            <w:r w:rsidRPr="00B67F80">
              <w:rPr>
                <w:color w:val="000000" w:themeColor="text1"/>
                <w:sz w:val="20"/>
                <w:szCs w:val="20"/>
              </w:rPr>
              <w:t>-1.4</w:t>
            </w:r>
          </w:p>
        </w:tc>
        <w:tc>
          <w:tcPr>
            <w:tcW w:w="896" w:type="dxa"/>
            <w:vAlign w:val="center"/>
          </w:tcPr>
          <w:p w14:paraId="326A9911" w14:textId="18B0C840" w:rsidR="004B362E" w:rsidRPr="00B67F80" w:rsidRDefault="00807B37" w:rsidP="004B362E">
            <w:pPr>
              <w:jc w:val="center"/>
              <w:rPr>
                <w:color w:val="000000" w:themeColor="text1"/>
                <w:sz w:val="20"/>
                <w:szCs w:val="20"/>
              </w:rPr>
            </w:pPr>
            <w:r w:rsidRPr="00B67F80">
              <w:rPr>
                <w:color w:val="000000" w:themeColor="text1"/>
                <w:sz w:val="20"/>
                <w:szCs w:val="20"/>
              </w:rPr>
              <w:t>0.34</w:t>
            </w:r>
          </w:p>
        </w:tc>
        <w:tc>
          <w:tcPr>
            <w:tcW w:w="896" w:type="dxa"/>
            <w:vAlign w:val="center"/>
          </w:tcPr>
          <w:p w14:paraId="3E7EE1C4" w14:textId="0445A265" w:rsidR="004B362E" w:rsidRPr="00B67F80" w:rsidRDefault="004B362E" w:rsidP="004B362E">
            <w:pPr>
              <w:jc w:val="center"/>
              <w:rPr>
                <w:color w:val="000000" w:themeColor="text1"/>
                <w:sz w:val="20"/>
                <w:szCs w:val="20"/>
              </w:rPr>
            </w:pPr>
            <w:r w:rsidRPr="00B67F80">
              <w:rPr>
                <w:color w:val="000000" w:themeColor="text1"/>
                <w:sz w:val="20"/>
                <w:szCs w:val="20"/>
              </w:rPr>
              <w:t>-1.1</w:t>
            </w:r>
          </w:p>
        </w:tc>
      </w:tr>
      <w:tr w:rsidR="00B67F80" w:rsidRPr="00B67F80" w14:paraId="37929EB1" w14:textId="77777777" w:rsidTr="00B26E7C">
        <w:trPr>
          <w:jc w:val="center"/>
        </w:trPr>
        <w:tc>
          <w:tcPr>
            <w:tcW w:w="1296" w:type="dxa"/>
            <w:vAlign w:val="center"/>
          </w:tcPr>
          <w:p w14:paraId="582431DC" w14:textId="77777777" w:rsidR="004B362E" w:rsidRPr="00B67F80" w:rsidRDefault="004B362E" w:rsidP="004B362E">
            <w:pPr>
              <w:jc w:val="center"/>
              <w:rPr>
                <w:color w:val="000000" w:themeColor="text1"/>
                <w:sz w:val="20"/>
                <w:szCs w:val="20"/>
              </w:rPr>
            </w:pPr>
            <w:proofErr w:type="spellStart"/>
            <w:r w:rsidRPr="00B67F80">
              <w:rPr>
                <w:color w:val="000000" w:themeColor="text1"/>
                <w:sz w:val="20"/>
                <w:szCs w:val="20"/>
              </w:rPr>
              <w:t>Stdev</w:t>
            </w:r>
            <w:proofErr w:type="spellEnd"/>
          </w:p>
          <w:p w14:paraId="7F99AE58" w14:textId="77777777" w:rsidR="004B362E" w:rsidRPr="00B67F80" w:rsidRDefault="004B362E" w:rsidP="004B362E">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45C2559D" w14:textId="06D74FC2" w:rsidR="004B362E" w:rsidRPr="00B67F80" w:rsidRDefault="00F677CD" w:rsidP="004B362E">
            <w:pPr>
              <w:jc w:val="center"/>
              <w:rPr>
                <w:color w:val="000000" w:themeColor="text1"/>
                <w:sz w:val="20"/>
                <w:szCs w:val="20"/>
              </w:rPr>
            </w:pPr>
            <w:r w:rsidRPr="00B67F80">
              <w:rPr>
                <w:color w:val="000000" w:themeColor="text1"/>
                <w:sz w:val="20"/>
                <w:szCs w:val="20"/>
              </w:rPr>
              <w:t>0.62</w:t>
            </w:r>
          </w:p>
        </w:tc>
        <w:tc>
          <w:tcPr>
            <w:tcW w:w="895" w:type="dxa"/>
            <w:vAlign w:val="center"/>
          </w:tcPr>
          <w:p w14:paraId="4B5B3463" w14:textId="5DBA7FBF" w:rsidR="004B362E" w:rsidRPr="00B67F80" w:rsidRDefault="00112844" w:rsidP="004B362E">
            <w:pPr>
              <w:jc w:val="center"/>
              <w:rPr>
                <w:color w:val="000000" w:themeColor="text1"/>
                <w:sz w:val="20"/>
                <w:szCs w:val="20"/>
              </w:rPr>
            </w:pPr>
            <w:r w:rsidRPr="00B67F80">
              <w:rPr>
                <w:color w:val="000000" w:themeColor="text1"/>
                <w:sz w:val="20"/>
                <w:szCs w:val="20"/>
              </w:rPr>
              <w:t>0.64</w:t>
            </w:r>
          </w:p>
        </w:tc>
        <w:tc>
          <w:tcPr>
            <w:tcW w:w="896" w:type="dxa"/>
            <w:vAlign w:val="center"/>
          </w:tcPr>
          <w:p w14:paraId="04F59754" w14:textId="38F04806" w:rsidR="004B362E" w:rsidRPr="00B67F80" w:rsidRDefault="004B362E" w:rsidP="004B362E">
            <w:pPr>
              <w:jc w:val="center"/>
              <w:rPr>
                <w:color w:val="000000" w:themeColor="text1"/>
                <w:sz w:val="20"/>
                <w:szCs w:val="20"/>
              </w:rPr>
            </w:pPr>
            <w:r w:rsidRPr="00B67F80">
              <w:rPr>
                <w:color w:val="000000" w:themeColor="text1"/>
                <w:sz w:val="20"/>
                <w:szCs w:val="20"/>
              </w:rPr>
              <w:t>0.39</w:t>
            </w:r>
          </w:p>
        </w:tc>
        <w:tc>
          <w:tcPr>
            <w:tcW w:w="929" w:type="dxa"/>
            <w:vAlign w:val="center"/>
          </w:tcPr>
          <w:p w14:paraId="5CBB316E" w14:textId="503BB0F8" w:rsidR="004B362E" w:rsidRPr="00B67F80" w:rsidRDefault="00112844" w:rsidP="004B362E">
            <w:pPr>
              <w:jc w:val="center"/>
              <w:rPr>
                <w:color w:val="000000" w:themeColor="text1"/>
                <w:sz w:val="20"/>
                <w:szCs w:val="20"/>
              </w:rPr>
            </w:pPr>
            <w:r w:rsidRPr="00B67F80">
              <w:rPr>
                <w:color w:val="000000" w:themeColor="text1"/>
                <w:sz w:val="20"/>
                <w:szCs w:val="20"/>
              </w:rPr>
              <w:t>0.49</w:t>
            </w:r>
          </w:p>
        </w:tc>
        <w:tc>
          <w:tcPr>
            <w:tcW w:w="896" w:type="dxa"/>
            <w:vAlign w:val="center"/>
          </w:tcPr>
          <w:p w14:paraId="1464207B" w14:textId="73C6017B" w:rsidR="004B362E" w:rsidRPr="00B67F80" w:rsidRDefault="00807B37" w:rsidP="004B362E">
            <w:pPr>
              <w:jc w:val="center"/>
              <w:rPr>
                <w:color w:val="000000" w:themeColor="text1"/>
                <w:sz w:val="20"/>
                <w:szCs w:val="20"/>
              </w:rPr>
            </w:pPr>
            <w:r w:rsidRPr="00B67F80">
              <w:rPr>
                <w:color w:val="000000" w:themeColor="text1"/>
                <w:sz w:val="20"/>
                <w:szCs w:val="20"/>
              </w:rPr>
              <w:t>0.56</w:t>
            </w:r>
          </w:p>
        </w:tc>
        <w:tc>
          <w:tcPr>
            <w:tcW w:w="896" w:type="dxa"/>
            <w:vAlign w:val="center"/>
          </w:tcPr>
          <w:p w14:paraId="603EC827" w14:textId="7D7BD948" w:rsidR="004B362E" w:rsidRPr="00B67F80" w:rsidRDefault="004B362E" w:rsidP="004B362E">
            <w:pPr>
              <w:jc w:val="center"/>
              <w:rPr>
                <w:color w:val="000000" w:themeColor="text1"/>
                <w:sz w:val="20"/>
                <w:szCs w:val="20"/>
              </w:rPr>
            </w:pPr>
            <w:r w:rsidRPr="00B67F80">
              <w:rPr>
                <w:color w:val="000000" w:themeColor="text1"/>
                <w:sz w:val="20"/>
                <w:szCs w:val="20"/>
              </w:rPr>
              <w:t>0.25</w:t>
            </w:r>
          </w:p>
        </w:tc>
        <w:tc>
          <w:tcPr>
            <w:tcW w:w="896" w:type="dxa"/>
            <w:vAlign w:val="center"/>
          </w:tcPr>
          <w:p w14:paraId="63916638" w14:textId="2F1027BD" w:rsidR="004B362E" w:rsidRPr="00B67F80" w:rsidRDefault="00112844" w:rsidP="004B362E">
            <w:pPr>
              <w:jc w:val="center"/>
              <w:rPr>
                <w:color w:val="000000" w:themeColor="text1"/>
                <w:sz w:val="20"/>
                <w:szCs w:val="20"/>
              </w:rPr>
            </w:pPr>
            <w:r w:rsidRPr="00B67F80">
              <w:rPr>
                <w:color w:val="000000" w:themeColor="text1"/>
                <w:sz w:val="20"/>
                <w:szCs w:val="20"/>
              </w:rPr>
              <w:t>0.60</w:t>
            </w:r>
          </w:p>
        </w:tc>
        <w:tc>
          <w:tcPr>
            <w:tcW w:w="896" w:type="dxa"/>
            <w:vAlign w:val="center"/>
          </w:tcPr>
          <w:p w14:paraId="5C0B5B51" w14:textId="3180385D" w:rsidR="004B362E" w:rsidRPr="00B67F80" w:rsidRDefault="00807B37" w:rsidP="004B362E">
            <w:pPr>
              <w:jc w:val="center"/>
              <w:rPr>
                <w:color w:val="000000" w:themeColor="text1"/>
                <w:sz w:val="20"/>
                <w:szCs w:val="20"/>
              </w:rPr>
            </w:pPr>
            <w:r w:rsidRPr="00B67F80">
              <w:rPr>
                <w:color w:val="000000" w:themeColor="text1"/>
                <w:sz w:val="20"/>
                <w:szCs w:val="20"/>
              </w:rPr>
              <w:t>0.68</w:t>
            </w:r>
          </w:p>
        </w:tc>
        <w:tc>
          <w:tcPr>
            <w:tcW w:w="896" w:type="dxa"/>
            <w:vAlign w:val="center"/>
          </w:tcPr>
          <w:p w14:paraId="3ABB1E9F" w14:textId="7E73B988" w:rsidR="004B362E" w:rsidRPr="00B67F80" w:rsidRDefault="004B362E" w:rsidP="004B362E">
            <w:pPr>
              <w:jc w:val="center"/>
              <w:rPr>
                <w:color w:val="000000" w:themeColor="text1"/>
                <w:sz w:val="20"/>
                <w:szCs w:val="20"/>
              </w:rPr>
            </w:pPr>
            <w:r w:rsidRPr="00B67F80">
              <w:rPr>
                <w:color w:val="000000" w:themeColor="text1"/>
                <w:sz w:val="20"/>
                <w:szCs w:val="20"/>
              </w:rPr>
              <w:t>0.49</w:t>
            </w:r>
          </w:p>
        </w:tc>
      </w:tr>
      <w:tr w:rsidR="004B362E" w:rsidRPr="00B67F80" w14:paraId="76AACF74" w14:textId="77777777" w:rsidTr="00B26E7C">
        <w:trPr>
          <w:jc w:val="center"/>
        </w:trPr>
        <w:tc>
          <w:tcPr>
            <w:tcW w:w="1296" w:type="dxa"/>
            <w:vAlign w:val="center"/>
          </w:tcPr>
          <w:p w14:paraId="0EDEB97B" w14:textId="77777777" w:rsidR="004B362E" w:rsidRPr="00B67F80" w:rsidRDefault="004B362E" w:rsidP="004B362E">
            <w:pPr>
              <w:jc w:val="center"/>
              <w:rPr>
                <w:color w:val="000000" w:themeColor="text1"/>
                <w:sz w:val="20"/>
                <w:szCs w:val="20"/>
              </w:rPr>
            </w:pPr>
            <w:r w:rsidRPr="00B67F80">
              <w:rPr>
                <w:color w:val="000000" w:themeColor="text1"/>
                <w:sz w:val="20"/>
                <w:szCs w:val="20"/>
              </w:rPr>
              <w:t>Trend</w:t>
            </w:r>
          </w:p>
          <w:p w14:paraId="117E5A9C" w14:textId="77777777" w:rsidR="004B362E" w:rsidRPr="00B67F80" w:rsidRDefault="004B362E" w:rsidP="004B362E">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0F021AC2" w14:textId="77777777" w:rsidR="004B362E" w:rsidRPr="00B67F80" w:rsidRDefault="00F677CD" w:rsidP="004B362E">
            <w:pPr>
              <w:jc w:val="center"/>
              <w:rPr>
                <w:color w:val="000000" w:themeColor="text1"/>
                <w:sz w:val="20"/>
                <w:szCs w:val="20"/>
              </w:rPr>
            </w:pPr>
            <w:r w:rsidRPr="00B67F80">
              <w:rPr>
                <w:color w:val="000000" w:themeColor="text1"/>
                <w:sz w:val="20"/>
                <w:szCs w:val="20"/>
              </w:rPr>
              <w:t>0.24</w:t>
            </w:r>
          </w:p>
          <w:p w14:paraId="7D9E4808" w14:textId="5D56EC61" w:rsidR="00F677CD" w:rsidRPr="00B67F80" w:rsidRDefault="00F677CD" w:rsidP="004B362E">
            <w:pPr>
              <w:jc w:val="center"/>
              <w:rPr>
                <w:color w:val="000000" w:themeColor="text1"/>
                <w:sz w:val="20"/>
                <w:szCs w:val="20"/>
              </w:rPr>
            </w:pPr>
            <w:r w:rsidRPr="00B67F80">
              <w:rPr>
                <w:color w:val="000000" w:themeColor="text1"/>
                <w:sz w:val="20"/>
                <w:szCs w:val="20"/>
              </w:rPr>
              <w:t>(0.25)</w:t>
            </w:r>
          </w:p>
        </w:tc>
        <w:tc>
          <w:tcPr>
            <w:tcW w:w="895" w:type="dxa"/>
            <w:vAlign w:val="center"/>
          </w:tcPr>
          <w:p w14:paraId="071459FE" w14:textId="77777777" w:rsidR="004B362E" w:rsidRPr="00B67F80" w:rsidRDefault="00112844" w:rsidP="004B362E">
            <w:pPr>
              <w:jc w:val="center"/>
              <w:rPr>
                <w:b/>
                <w:bCs/>
                <w:color w:val="000000" w:themeColor="text1"/>
                <w:sz w:val="20"/>
                <w:szCs w:val="20"/>
              </w:rPr>
            </w:pPr>
            <w:r w:rsidRPr="00B67F80">
              <w:rPr>
                <w:b/>
                <w:bCs/>
                <w:color w:val="000000" w:themeColor="text1"/>
                <w:sz w:val="20"/>
                <w:szCs w:val="20"/>
              </w:rPr>
              <w:t>0.28</w:t>
            </w:r>
          </w:p>
          <w:p w14:paraId="4011A94B" w14:textId="72D12E22" w:rsidR="00112844" w:rsidRPr="00B67F80" w:rsidRDefault="00112844" w:rsidP="004B362E">
            <w:pPr>
              <w:jc w:val="center"/>
              <w:rPr>
                <w:color w:val="000000" w:themeColor="text1"/>
                <w:sz w:val="20"/>
                <w:szCs w:val="20"/>
              </w:rPr>
            </w:pPr>
            <w:r w:rsidRPr="00B67F80">
              <w:rPr>
                <w:b/>
                <w:bCs/>
                <w:color w:val="000000" w:themeColor="text1"/>
                <w:sz w:val="20"/>
                <w:szCs w:val="20"/>
              </w:rPr>
              <w:t>(0.26)</w:t>
            </w:r>
          </w:p>
        </w:tc>
        <w:tc>
          <w:tcPr>
            <w:tcW w:w="896" w:type="dxa"/>
            <w:vAlign w:val="center"/>
          </w:tcPr>
          <w:p w14:paraId="7507CEB1" w14:textId="77777777" w:rsidR="004B362E" w:rsidRPr="00B67F80" w:rsidRDefault="004B362E" w:rsidP="004B362E">
            <w:pPr>
              <w:jc w:val="center"/>
              <w:rPr>
                <w:b/>
                <w:bCs/>
                <w:color w:val="000000" w:themeColor="text1"/>
                <w:sz w:val="20"/>
                <w:szCs w:val="20"/>
              </w:rPr>
            </w:pPr>
            <w:r w:rsidRPr="00B67F80">
              <w:rPr>
                <w:b/>
                <w:bCs/>
                <w:color w:val="000000" w:themeColor="text1"/>
                <w:sz w:val="20"/>
                <w:szCs w:val="20"/>
              </w:rPr>
              <w:t>0.26</w:t>
            </w:r>
          </w:p>
          <w:p w14:paraId="768F3622" w14:textId="47914533" w:rsidR="004B362E" w:rsidRPr="00B67F80" w:rsidRDefault="004B362E" w:rsidP="004B362E">
            <w:pPr>
              <w:jc w:val="center"/>
              <w:rPr>
                <w:color w:val="000000" w:themeColor="text1"/>
                <w:sz w:val="20"/>
                <w:szCs w:val="20"/>
              </w:rPr>
            </w:pPr>
            <w:r w:rsidRPr="00B67F80">
              <w:rPr>
                <w:b/>
                <w:bCs/>
                <w:color w:val="000000" w:themeColor="text1"/>
                <w:sz w:val="20"/>
                <w:szCs w:val="20"/>
              </w:rPr>
              <w:t>(0.19)</w:t>
            </w:r>
          </w:p>
        </w:tc>
        <w:tc>
          <w:tcPr>
            <w:tcW w:w="929" w:type="dxa"/>
            <w:vAlign w:val="center"/>
          </w:tcPr>
          <w:p w14:paraId="384BF1E9" w14:textId="77777777" w:rsidR="004B362E" w:rsidRPr="00B67F80" w:rsidRDefault="00112844" w:rsidP="004B362E">
            <w:pPr>
              <w:jc w:val="center"/>
              <w:rPr>
                <w:color w:val="000000" w:themeColor="text1"/>
                <w:sz w:val="20"/>
                <w:szCs w:val="20"/>
              </w:rPr>
            </w:pPr>
            <w:r w:rsidRPr="00B67F80">
              <w:rPr>
                <w:color w:val="000000" w:themeColor="text1"/>
                <w:sz w:val="20"/>
                <w:szCs w:val="20"/>
              </w:rPr>
              <w:t>-0.019</w:t>
            </w:r>
          </w:p>
          <w:p w14:paraId="3A3E3230" w14:textId="3045E947" w:rsidR="00112844" w:rsidRPr="00B67F80" w:rsidRDefault="00112844" w:rsidP="004B362E">
            <w:pPr>
              <w:jc w:val="center"/>
              <w:rPr>
                <w:color w:val="000000" w:themeColor="text1"/>
                <w:sz w:val="20"/>
                <w:szCs w:val="20"/>
              </w:rPr>
            </w:pPr>
            <w:r w:rsidRPr="00B67F80">
              <w:rPr>
                <w:color w:val="000000" w:themeColor="text1"/>
                <w:sz w:val="20"/>
                <w:szCs w:val="20"/>
              </w:rPr>
              <w:t>(0.27)</w:t>
            </w:r>
          </w:p>
        </w:tc>
        <w:tc>
          <w:tcPr>
            <w:tcW w:w="896" w:type="dxa"/>
            <w:vAlign w:val="center"/>
          </w:tcPr>
          <w:p w14:paraId="32A9512B" w14:textId="77777777" w:rsidR="004B362E" w:rsidRPr="00B67F80" w:rsidRDefault="00807B37" w:rsidP="004B362E">
            <w:pPr>
              <w:jc w:val="center"/>
              <w:rPr>
                <w:color w:val="000000" w:themeColor="text1"/>
                <w:sz w:val="20"/>
                <w:szCs w:val="20"/>
              </w:rPr>
            </w:pPr>
            <w:r w:rsidRPr="00B67F80">
              <w:rPr>
                <w:color w:val="000000" w:themeColor="text1"/>
                <w:sz w:val="20"/>
                <w:szCs w:val="20"/>
              </w:rPr>
              <w:t>-0.046</w:t>
            </w:r>
          </w:p>
          <w:p w14:paraId="5D4B0747" w14:textId="5F965A84" w:rsidR="00807B37" w:rsidRPr="00B67F80" w:rsidRDefault="00807B37" w:rsidP="004B362E">
            <w:pPr>
              <w:jc w:val="center"/>
              <w:rPr>
                <w:color w:val="000000" w:themeColor="text1"/>
                <w:sz w:val="20"/>
                <w:szCs w:val="20"/>
              </w:rPr>
            </w:pPr>
            <w:r w:rsidRPr="00B67F80">
              <w:rPr>
                <w:color w:val="000000" w:themeColor="text1"/>
                <w:sz w:val="20"/>
                <w:szCs w:val="20"/>
              </w:rPr>
              <w:t>(0.24)</w:t>
            </w:r>
          </w:p>
        </w:tc>
        <w:tc>
          <w:tcPr>
            <w:tcW w:w="896" w:type="dxa"/>
            <w:vAlign w:val="center"/>
          </w:tcPr>
          <w:p w14:paraId="134BA3DB" w14:textId="77777777" w:rsidR="004B362E" w:rsidRPr="00B67F80" w:rsidRDefault="004B362E" w:rsidP="004B362E">
            <w:pPr>
              <w:jc w:val="center"/>
              <w:rPr>
                <w:color w:val="000000" w:themeColor="text1"/>
                <w:sz w:val="20"/>
                <w:szCs w:val="20"/>
              </w:rPr>
            </w:pPr>
            <w:r w:rsidRPr="00B67F80">
              <w:rPr>
                <w:color w:val="000000" w:themeColor="text1"/>
                <w:sz w:val="20"/>
                <w:szCs w:val="20"/>
              </w:rPr>
              <w:t>-0.034</w:t>
            </w:r>
          </w:p>
          <w:p w14:paraId="4C0A03A0" w14:textId="57D9D668" w:rsidR="004B362E" w:rsidRPr="00B67F80" w:rsidRDefault="004B362E" w:rsidP="004B362E">
            <w:pPr>
              <w:jc w:val="center"/>
              <w:rPr>
                <w:color w:val="000000" w:themeColor="text1"/>
                <w:sz w:val="20"/>
                <w:szCs w:val="20"/>
              </w:rPr>
            </w:pPr>
            <w:r w:rsidRPr="00B67F80">
              <w:rPr>
                <w:color w:val="000000" w:themeColor="text1"/>
                <w:sz w:val="20"/>
                <w:szCs w:val="20"/>
              </w:rPr>
              <w:t>(0.17)</w:t>
            </w:r>
          </w:p>
        </w:tc>
        <w:tc>
          <w:tcPr>
            <w:tcW w:w="896" w:type="dxa"/>
            <w:vAlign w:val="center"/>
          </w:tcPr>
          <w:p w14:paraId="27F3501D" w14:textId="77777777" w:rsidR="004B362E" w:rsidRPr="00B67F80" w:rsidRDefault="00112844" w:rsidP="004B362E">
            <w:pPr>
              <w:jc w:val="center"/>
              <w:rPr>
                <w:color w:val="000000" w:themeColor="text1"/>
                <w:sz w:val="20"/>
                <w:szCs w:val="20"/>
              </w:rPr>
            </w:pPr>
            <w:r w:rsidRPr="00B67F80">
              <w:rPr>
                <w:color w:val="000000" w:themeColor="text1"/>
                <w:sz w:val="20"/>
                <w:szCs w:val="20"/>
              </w:rPr>
              <w:t>0.22</w:t>
            </w:r>
          </w:p>
          <w:p w14:paraId="473971E6" w14:textId="4CC684B7" w:rsidR="00112844" w:rsidRPr="00B67F80" w:rsidRDefault="00112844" w:rsidP="004B362E">
            <w:pPr>
              <w:jc w:val="center"/>
              <w:rPr>
                <w:color w:val="000000" w:themeColor="text1"/>
                <w:sz w:val="20"/>
                <w:szCs w:val="20"/>
              </w:rPr>
            </w:pPr>
            <w:r w:rsidRPr="00B67F80">
              <w:rPr>
                <w:color w:val="000000" w:themeColor="text1"/>
                <w:sz w:val="20"/>
                <w:szCs w:val="20"/>
              </w:rPr>
              <w:t>(0.24)</w:t>
            </w:r>
          </w:p>
        </w:tc>
        <w:tc>
          <w:tcPr>
            <w:tcW w:w="896" w:type="dxa"/>
            <w:vAlign w:val="center"/>
          </w:tcPr>
          <w:p w14:paraId="7BC29D42" w14:textId="77777777" w:rsidR="004B362E" w:rsidRPr="00B67F80" w:rsidRDefault="00807B37" w:rsidP="004B362E">
            <w:pPr>
              <w:jc w:val="center"/>
              <w:rPr>
                <w:color w:val="000000" w:themeColor="text1"/>
                <w:sz w:val="20"/>
                <w:szCs w:val="20"/>
              </w:rPr>
            </w:pPr>
            <w:r w:rsidRPr="00B67F80">
              <w:rPr>
                <w:color w:val="000000" w:themeColor="text1"/>
                <w:sz w:val="20"/>
                <w:szCs w:val="20"/>
              </w:rPr>
              <w:t>0.24</w:t>
            </w:r>
          </w:p>
          <w:p w14:paraId="23E7A53B" w14:textId="13BC1C6E" w:rsidR="00807B37" w:rsidRPr="00B67F80" w:rsidRDefault="00807B37" w:rsidP="004B362E">
            <w:pPr>
              <w:jc w:val="center"/>
              <w:rPr>
                <w:color w:val="000000" w:themeColor="text1"/>
                <w:sz w:val="20"/>
                <w:szCs w:val="20"/>
              </w:rPr>
            </w:pPr>
            <w:r w:rsidRPr="00B67F80">
              <w:rPr>
                <w:color w:val="000000" w:themeColor="text1"/>
                <w:sz w:val="20"/>
                <w:szCs w:val="20"/>
              </w:rPr>
              <w:t>(0.29)</w:t>
            </w:r>
          </w:p>
        </w:tc>
        <w:tc>
          <w:tcPr>
            <w:tcW w:w="896" w:type="dxa"/>
            <w:vAlign w:val="center"/>
          </w:tcPr>
          <w:p w14:paraId="38A18321" w14:textId="77777777" w:rsidR="004B362E" w:rsidRPr="00B67F80" w:rsidRDefault="004B362E" w:rsidP="004B362E">
            <w:pPr>
              <w:jc w:val="center"/>
              <w:rPr>
                <w:color w:val="000000" w:themeColor="text1"/>
                <w:sz w:val="20"/>
                <w:szCs w:val="20"/>
              </w:rPr>
            </w:pPr>
            <w:r w:rsidRPr="00B67F80">
              <w:rPr>
                <w:color w:val="000000" w:themeColor="text1"/>
                <w:sz w:val="20"/>
                <w:szCs w:val="20"/>
              </w:rPr>
              <w:t>0.23</w:t>
            </w:r>
          </w:p>
          <w:p w14:paraId="7541C18A" w14:textId="2730520C" w:rsidR="004B362E" w:rsidRPr="00B67F80" w:rsidRDefault="004B362E" w:rsidP="004B362E">
            <w:pPr>
              <w:jc w:val="center"/>
              <w:rPr>
                <w:color w:val="000000" w:themeColor="text1"/>
                <w:sz w:val="20"/>
                <w:szCs w:val="20"/>
              </w:rPr>
            </w:pPr>
            <w:r w:rsidRPr="00B67F80">
              <w:rPr>
                <w:color w:val="000000" w:themeColor="text1"/>
                <w:sz w:val="20"/>
                <w:szCs w:val="20"/>
              </w:rPr>
              <w:t>(0.23)</w:t>
            </w:r>
          </w:p>
        </w:tc>
      </w:tr>
    </w:tbl>
    <w:p w14:paraId="52E5D784" w14:textId="77777777" w:rsidR="005F53D5" w:rsidRPr="00B67F80" w:rsidRDefault="005F53D5" w:rsidP="005F53D5">
      <w:pPr>
        <w:ind w:left="360"/>
        <w:rPr>
          <w:color w:val="000000" w:themeColor="text1"/>
        </w:rPr>
      </w:pPr>
    </w:p>
    <w:p w14:paraId="1CFDDA7A" w14:textId="716F0A50" w:rsidR="005F53D5" w:rsidRPr="00B67F80" w:rsidRDefault="005F53D5">
      <w:pPr>
        <w:rPr>
          <w:color w:val="000000" w:themeColor="text1"/>
        </w:rPr>
      </w:pPr>
      <w:r w:rsidRPr="00B67F80">
        <w:rPr>
          <w:color w:val="000000" w:themeColor="text1"/>
        </w:rPr>
        <w:br w:type="page"/>
      </w:r>
    </w:p>
    <w:p w14:paraId="25020EF4" w14:textId="4BED8A75" w:rsidR="00974C24" w:rsidRPr="00B67F80" w:rsidRDefault="00974C24" w:rsidP="00974C24">
      <w:pPr>
        <w:spacing w:after="120"/>
        <w:ind w:left="360" w:hanging="360"/>
        <w:rPr>
          <w:color w:val="000000" w:themeColor="text1"/>
          <w:sz w:val="20"/>
          <w:szCs w:val="20"/>
        </w:rPr>
      </w:pPr>
      <w:r w:rsidRPr="00B67F80">
        <w:rPr>
          <w:color w:val="000000" w:themeColor="text1"/>
          <w:sz w:val="20"/>
          <w:szCs w:val="20"/>
        </w:rPr>
        <w:lastRenderedPageBreak/>
        <w:t xml:space="preserve">Table 2 </w:t>
      </w:r>
      <w:r w:rsidR="00A8498C" w:rsidRPr="00B67F80">
        <w:rPr>
          <w:color w:val="000000" w:themeColor="text1"/>
          <w:sz w:val="20"/>
          <w:szCs w:val="20"/>
        </w:rPr>
        <w:t xml:space="preserve">Average, standard deviation and </w:t>
      </w:r>
      <w:r w:rsidR="00A8498C" w:rsidRPr="00B67F80">
        <w:rPr>
          <w:color w:val="000000" w:themeColor="text1"/>
          <w:sz w:val="20"/>
          <w:szCs w:val="20"/>
          <w:lang w:val="en-GB"/>
        </w:rPr>
        <w:t>t</w:t>
      </w:r>
      <w:r w:rsidRPr="00B67F80">
        <w:rPr>
          <w:color w:val="000000" w:themeColor="text1"/>
          <w:sz w:val="20"/>
          <w:szCs w:val="20"/>
          <w:lang w:val="en-GB"/>
        </w:rPr>
        <w:t xml:space="preserve">rend </w:t>
      </w:r>
      <w:r w:rsidR="00A8498C" w:rsidRPr="00B67F80">
        <w:rPr>
          <w:color w:val="000000" w:themeColor="text1"/>
          <w:sz w:val="20"/>
          <w:szCs w:val="20"/>
          <w:lang w:val="en-GB"/>
        </w:rPr>
        <w:t>for</w:t>
      </w:r>
      <w:r w:rsidRPr="00B67F80">
        <w:rPr>
          <w:color w:val="000000" w:themeColor="text1"/>
          <w:sz w:val="20"/>
          <w:szCs w:val="20"/>
        </w:rPr>
        <w:t xml:space="preserve"> 03/2000-02/2020</w:t>
      </w:r>
      <w:r w:rsidRPr="00B67F80">
        <w:rPr>
          <w:color w:val="000000" w:themeColor="text1"/>
          <w:sz w:val="20"/>
          <w:szCs w:val="20"/>
          <w:lang w:val="en-GB"/>
        </w:rPr>
        <w:t xml:space="preserve"> in TEDIV and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F</m:t>
            </m:r>
          </m:e>
          <m:sub>
            <m:r>
              <w:rPr>
                <w:rFonts w:ascii="Cambria Math" w:hAnsi="Cambria Math"/>
                <w:color w:val="000000" w:themeColor="text1"/>
                <w:sz w:val="20"/>
                <w:szCs w:val="20"/>
              </w:rPr>
              <m:t>S</m:t>
            </m:r>
          </m:sub>
        </m:sSub>
      </m:oMath>
      <w:r w:rsidRPr="00B67F80">
        <w:rPr>
          <w:color w:val="000000" w:themeColor="text1"/>
          <w:sz w:val="20"/>
          <w:szCs w:val="20"/>
        </w:rPr>
        <w:t xml:space="preserve"> for the SH, NH and global. Numbers in parentheses correspond to uncertainty at 95% </w:t>
      </w:r>
      <w:r w:rsidR="00AD29A6">
        <w:rPr>
          <w:color w:val="000000" w:themeColor="text1"/>
          <w:sz w:val="20"/>
          <w:szCs w:val="20"/>
        </w:rPr>
        <w:t>confidence</w:t>
      </w:r>
      <w:r w:rsidR="00AD29A6" w:rsidRPr="00B67F80">
        <w:rPr>
          <w:color w:val="000000" w:themeColor="text1"/>
          <w:sz w:val="20"/>
          <w:szCs w:val="20"/>
        </w:rPr>
        <w:t xml:space="preserve"> </w:t>
      </w:r>
      <w:r w:rsidRPr="00B67F80">
        <w:rPr>
          <w:color w:val="000000" w:themeColor="text1"/>
          <w:sz w:val="20"/>
          <w:szCs w:val="20"/>
        </w:rPr>
        <w:t xml:space="preserve">level. Bold indicates trend </w:t>
      </w:r>
      <w:r w:rsidR="00AD29A6">
        <w:rPr>
          <w:color w:val="000000" w:themeColor="text1"/>
          <w:sz w:val="20"/>
          <w:szCs w:val="20"/>
        </w:rPr>
        <w:t xml:space="preserve">is </w:t>
      </w:r>
      <w:r w:rsidRPr="00B67F80">
        <w:rPr>
          <w:color w:val="000000" w:themeColor="text1"/>
          <w:sz w:val="20"/>
          <w:szCs w:val="20"/>
        </w:rPr>
        <w:t xml:space="preserve">above </w:t>
      </w:r>
      <w:r w:rsidR="00AD29A6">
        <w:rPr>
          <w:color w:val="000000" w:themeColor="text1"/>
          <w:sz w:val="20"/>
          <w:szCs w:val="20"/>
        </w:rPr>
        <w:t xml:space="preserve">the </w:t>
      </w:r>
      <w:r w:rsidRPr="00B67F80">
        <w:rPr>
          <w:color w:val="000000" w:themeColor="text1"/>
          <w:sz w:val="20"/>
          <w:szCs w:val="20"/>
        </w:rPr>
        <w:t xml:space="preserve">95% </w:t>
      </w:r>
      <w:r w:rsidR="00AD29A6">
        <w:rPr>
          <w:color w:val="000000" w:themeColor="text1"/>
          <w:sz w:val="20"/>
          <w:szCs w:val="20"/>
        </w:rPr>
        <w:t>confidence level</w:t>
      </w:r>
      <w:r w:rsidRPr="00B67F80">
        <w:rPr>
          <w:color w:val="000000" w:themeColor="text1"/>
          <w:sz w:val="20"/>
          <w:szCs w:val="20"/>
        </w:rPr>
        <w:t>.</w:t>
      </w:r>
    </w:p>
    <w:p w14:paraId="6632C832" w14:textId="77777777" w:rsidR="00974C24" w:rsidRPr="00B67F80" w:rsidRDefault="00974C24">
      <w:pPr>
        <w:rPr>
          <w:color w:val="000000" w:themeColor="text1"/>
          <w:sz w:val="20"/>
          <w:szCs w:val="20"/>
        </w:rPr>
      </w:pPr>
    </w:p>
    <w:tbl>
      <w:tblPr>
        <w:tblStyle w:val="TableGrid"/>
        <w:tblW w:w="9391" w:type="dxa"/>
        <w:jc w:val="center"/>
        <w:tblLayout w:type="fixed"/>
        <w:tblLook w:val="04A0" w:firstRow="1" w:lastRow="0" w:firstColumn="1" w:lastColumn="0" w:noHBand="0" w:noVBand="1"/>
      </w:tblPr>
      <w:tblGrid>
        <w:gridCol w:w="1296"/>
        <w:gridCol w:w="895"/>
        <w:gridCol w:w="895"/>
        <w:gridCol w:w="896"/>
        <w:gridCol w:w="929"/>
        <w:gridCol w:w="896"/>
        <w:gridCol w:w="896"/>
        <w:gridCol w:w="896"/>
        <w:gridCol w:w="896"/>
        <w:gridCol w:w="896"/>
      </w:tblGrid>
      <w:tr w:rsidR="00B67F80" w:rsidRPr="00B67F80" w14:paraId="78ECAED9" w14:textId="77777777" w:rsidTr="00B26E7C">
        <w:trPr>
          <w:jc w:val="center"/>
        </w:trPr>
        <w:tc>
          <w:tcPr>
            <w:tcW w:w="1296" w:type="dxa"/>
            <w:vAlign w:val="center"/>
          </w:tcPr>
          <w:p w14:paraId="0B7460CE" w14:textId="77777777" w:rsidR="00974C24" w:rsidRPr="00B67F80" w:rsidRDefault="00974C24" w:rsidP="00B26E7C">
            <w:pPr>
              <w:jc w:val="center"/>
              <w:rPr>
                <w:color w:val="000000" w:themeColor="text1"/>
                <w:sz w:val="20"/>
                <w:szCs w:val="20"/>
              </w:rPr>
            </w:pPr>
          </w:p>
        </w:tc>
        <w:tc>
          <w:tcPr>
            <w:tcW w:w="8095" w:type="dxa"/>
            <w:gridSpan w:val="9"/>
            <w:vAlign w:val="center"/>
          </w:tcPr>
          <w:p w14:paraId="0AB26581" w14:textId="4B003291" w:rsidR="00974C24" w:rsidRPr="00B67F80" w:rsidRDefault="00974C24" w:rsidP="00B26E7C">
            <w:pPr>
              <w:jc w:val="center"/>
              <w:rPr>
                <w:b/>
                <w:bCs/>
                <w:color w:val="000000" w:themeColor="text1"/>
                <w:sz w:val="20"/>
                <w:szCs w:val="20"/>
              </w:rPr>
            </w:pPr>
            <w:r w:rsidRPr="00B67F80">
              <w:rPr>
                <w:b/>
                <w:bCs/>
                <w:color w:val="000000" w:themeColor="text1"/>
                <w:sz w:val="20"/>
                <w:szCs w:val="20"/>
              </w:rPr>
              <w:t>TEDIV</w:t>
            </w:r>
          </w:p>
        </w:tc>
      </w:tr>
      <w:tr w:rsidR="00B67F80" w:rsidRPr="00B67F80" w14:paraId="276D780E" w14:textId="77777777" w:rsidTr="00B26E7C">
        <w:trPr>
          <w:jc w:val="center"/>
        </w:trPr>
        <w:tc>
          <w:tcPr>
            <w:tcW w:w="1296" w:type="dxa"/>
            <w:vAlign w:val="center"/>
          </w:tcPr>
          <w:p w14:paraId="2AFCA262" w14:textId="77777777" w:rsidR="00974C24" w:rsidRPr="00B67F80" w:rsidRDefault="00974C24" w:rsidP="00B26E7C">
            <w:pPr>
              <w:jc w:val="center"/>
              <w:rPr>
                <w:color w:val="000000" w:themeColor="text1"/>
                <w:sz w:val="20"/>
                <w:szCs w:val="20"/>
              </w:rPr>
            </w:pPr>
          </w:p>
        </w:tc>
        <w:tc>
          <w:tcPr>
            <w:tcW w:w="2686" w:type="dxa"/>
            <w:gridSpan w:val="3"/>
            <w:vAlign w:val="center"/>
          </w:tcPr>
          <w:p w14:paraId="38EE64A4" w14:textId="21BAE54D" w:rsidR="00974C24" w:rsidRPr="00B67F80" w:rsidRDefault="00974C24" w:rsidP="00B26E7C">
            <w:pPr>
              <w:jc w:val="center"/>
              <w:rPr>
                <w:color w:val="000000" w:themeColor="text1"/>
                <w:sz w:val="20"/>
                <w:szCs w:val="20"/>
              </w:rPr>
            </w:pPr>
            <w:r w:rsidRPr="00B67F80">
              <w:rPr>
                <w:color w:val="000000" w:themeColor="text1"/>
                <w:sz w:val="20"/>
                <w:szCs w:val="20"/>
              </w:rPr>
              <w:t>ERA5 Analysis</w:t>
            </w:r>
          </w:p>
        </w:tc>
        <w:tc>
          <w:tcPr>
            <w:tcW w:w="2721" w:type="dxa"/>
            <w:gridSpan w:val="3"/>
            <w:vAlign w:val="center"/>
          </w:tcPr>
          <w:p w14:paraId="2C97B5A8" w14:textId="0FD3F8DB" w:rsidR="00974C24" w:rsidRPr="00B67F80" w:rsidRDefault="00974C24" w:rsidP="00B26E7C">
            <w:pPr>
              <w:jc w:val="center"/>
              <w:rPr>
                <w:color w:val="000000" w:themeColor="text1"/>
                <w:sz w:val="20"/>
                <w:szCs w:val="20"/>
              </w:rPr>
            </w:pPr>
            <w:r w:rsidRPr="00B67F80">
              <w:rPr>
                <w:color w:val="000000" w:themeColor="text1"/>
                <w:kern w:val="24"/>
                <w:sz w:val="20"/>
                <w:szCs w:val="20"/>
              </w:rPr>
              <w:t>ERA5 Forecasts</w:t>
            </w:r>
          </w:p>
        </w:tc>
        <w:tc>
          <w:tcPr>
            <w:tcW w:w="2688" w:type="dxa"/>
            <w:gridSpan w:val="3"/>
            <w:vAlign w:val="center"/>
          </w:tcPr>
          <w:p w14:paraId="5320ABD9" w14:textId="5AA5DB0E" w:rsidR="00974C24" w:rsidRPr="00B67F80" w:rsidRDefault="00974C24" w:rsidP="00B26E7C">
            <w:pPr>
              <w:jc w:val="center"/>
              <w:rPr>
                <w:color w:val="000000" w:themeColor="text1"/>
                <w:sz w:val="20"/>
                <w:szCs w:val="20"/>
              </w:rPr>
            </w:pPr>
            <w:r w:rsidRPr="00B67F80">
              <w:rPr>
                <w:color w:val="000000" w:themeColor="text1"/>
                <w:sz w:val="20"/>
                <w:szCs w:val="20"/>
              </w:rPr>
              <w:t>IFS AMIP</w:t>
            </w:r>
          </w:p>
        </w:tc>
      </w:tr>
      <w:tr w:rsidR="00B67F80" w:rsidRPr="00B67F80" w14:paraId="7A851B56" w14:textId="77777777" w:rsidTr="00B26E7C">
        <w:trPr>
          <w:jc w:val="center"/>
        </w:trPr>
        <w:tc>
          <w:tcPr>
            <w:tcW w:w="1296" w:type="dxa"/>
            <w:vAlign w:val="center"/>
          </w:tcPr>
          <w:p w14:paraId="2DA36ADB" w14:textId="77777777" w:rsidR="00974C24" w:rsidRPr="00B67F80" w:rsidRDefault="00974C24" w:rsidP="00B26E7C">
            <w:pPr>
              <w:jc w:val="center"/>
              <w:rPr>
                <w:color w:val="000000" w:themeColor="text1"/>
                <w:sz w:val="20"/>
                <w:szCs w:val="20"/>
              </w:rPr>
            </w:pPr>
          </w:p>
        </w:tc>
        <w:tc>
          <w:tcPr>
            <w:tcW w:w="895" w:type="dxa"/>
            <w:vAlign w:val="center"/>
          </w:tcPr>
          <w:p w14:paraId="71472F1E" w14:textId="77777777" w:rsidR="00974C24" w:rsidRPr="00B67F80" w:rsidRDefault="00974C24" w:rsidP="00B26E7C">
            <w:pPr>
              <w:jc w:val="center"/>
              <w:rPr>
                <w:color w:val="000000" w:themeColor="text1"/>
                <w:sz w:val="20"/>
                <w:szCs w:val="20"/>
              </w:rPr>
            </w:pPr>
            <w:r w:rsidRPr="00B67F80">
              <w:rPr>
                <w:color w:val="000000" w:themeColor="text1"/>
                <w:sz w:val="20"/>
                <w:szCs w:val="20"/>
              </w:rPr>
              <w:t>SH</w:t>
            </w:r>
          </w:p>
        </w:tc>
        <w:tc>
          <w:tcPr>
            <w:tcW w:w="895" w:type="dxa"/>
            <w:vAlign w:val="center"/>
          </w:tcPr>
          <w:p w14:paraId="52E790C0" w14:textId="77777777" w:rsidR="00974C24" w:rsidRPr="00B67F80" w:rsidRDefault="00974C24"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18A90386" w14:textId="77777777" w:rsidR="00974C24" w:rsidRPr="00B67F80" w:rsidRDefault="00974C24" w:rsidP="00B26E7C">
            <w:pPr>
              <w:jc w:val="center"/>
              <w:rPr>
                <w:color w:val="000000" w:themeColor="text1"/>
                <w:sz w:val="20"/>
                <w:szCs w:val="20"/>
              </w:rPr>
            </w:pPr>
            <w:r w:rsidRPr="00B67F80">
              <w:rPr>
                <w:color w:val="000000" w:themeColor="text1"/>
                <w:sz w:val="20"/>
                <w:szCs w:val="20"/>
              </w:rPr>
              <w:t>Global</w:t>
            </w:r>
          </w:p>
        </w:tc>
        <w:tc>
          <w:tcPr>
            <w:tcW w:w="929" w:type="dxa"/>
            <w:vAlign w:val="center"/>
          </w:tcPr>
          <w:p w14:paraId="26F8E321" w14:textId="77777777" w:rsidR="00974C24" w:rsidRPr="00B67F80" w:rsidRDefault="00974C24"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352E2C5A" w14:textId="77777777" w:rsidR="00974C24" w:rsidRPr="00B67F80" w:rsidRDefault="00974C24"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4768377C" w14:textId="77777777" w:rsidR="00974C24" w:rsidRPr="00B67F80" w:rsidRDefault="00974C24" w:rsidP="00B26E7C">
            <w:pPr>
              <w:jc w:val="center"/>
              <w:rPr>
                <w:color w:val="000000" w:themeColor="text1"/>
                <w:sz w:val="20"/>
                <w:szCs w:val="20"/>
              </w:rPr>
            </w:pPr>
            <w:r w:rsidRPr="00B67F80">
              <w:rPr>
                <w:color w:val="000000" w:themeColor="text1"/>
                <w:sz w:val="20"/>
                <w:szCs w:val="20"/>
              </w:rPr>
              <w:t>Global</w:t>
            </w:r>
          </w:p>
        </w:tc>
        <w:tc>
          <w:tcPr>
            <w:tcW w:w="896" w:type="dxa"/>
            <w:vAlign w:val="center"/>
          </w:tcPr>
          <w:p w14:paraId="04257222" w14:textId="77777777" w:rsidR="00974C24" w:rsidRPr="00B67F80" w:rsidRDefault="00974C24"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2B982CEA" w14:textId="77777777" w:rsidR="00974C24" w:rsidRPr="00B67F80" w:rsidRDefault="00974C24"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07FFC715" w14:textId="77777777" w:rsidR="00974C24" w:rsidRPr="00B67F80" w:rsidRDefault="00974C24" w:rsidP="00B26E7C">
            <w:pPr>
              <w:jc w:val="center"/>
              <w:rPr>
                <w:color w:val="000000" w:themeColor="text1"/>
                <w:sz w:val="20"/>
                <w:szCs w:val="20"/>
              </w:rPr>
            </w:pPr>
            <w:r w:rsidRPr="00B67F80">
              <w:rPr>
                <w:color w:val="000000" w:themeColor="text1"/>
                <w:sz w:val="20"/>
                <w:szCs w:val="20"/>
              </w:rPr>
              <w:t>Global</w:t>
            </w:r>
          </w:p>
        </w:tc>
      </w:tr>
      <w:tr w:rsidR="00B67F80" w:rsidRPr="00B67F80" w14:paraId="5CC1071A" w14:textId="77777777" w:rsidTr="00B26E7C">
        <w:trPr>
          <w:jc w:val="center"/>
        </w:trPr>
        <w:tc>
          <w:tcPr>
            <w:tcW w:w="1296" w:type="dxa"/>
            <w:vAlign w:val="center"/>
          </w:tcPr>
          <w:p w14:paraId="5F76A09C" w14:textId="77777777" w:rsidR="00974C24" w:rsidRPr="00B67F80" w:rsidRDefault="00974C24" w:rsidP="00B26E7C">
            <w:pPr>
              <w:jc w:val="center"/>
              <w:rPr>
                <w:color w:val="000000" w:themeColor="text1"/>
                <w:sz w:val="20"/>
                <w:szCs w:val="20"/>
              </w:rPr>
            </w:pPr>
            <w:r w:rsidRPr="00B67F80">
              <w:rPr>
                <w:color w:val="000000" w:themeColor="text1"/>
                <w:sz w:val="20"/>
                <w:szCs w:val="20"/>
              </w:rPr>
              <w:t>Mean</w:t>
            </w:r>
          </w:p>
          <w:p w14:paraId="64FC6FF0" w14:textId="77777777" w:rsidR="00974C24" w:rsidRPr="00B67F80" w:rsidRDefault="00974C24"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435F4046" w14:textId="3D63DCEF" w:rsidR="00974C24" w:rsidRPr="00B67F80" w:rsidRDefault="004602B7" w:rsidP="00B26E7C">
            <w:pPr>
              <w:jc w:val="center"/>
              <w:rPr>
                <w:color w:val="000000" w:themeColor="text1"/>
                <w:sz w:val="20"/>
                <w:szCs w:val="20"/>
              </w:rPr>
            </w:pPr>
            <w:r w:rsidRPr="00B67F80">
              <w:rPr>
                <w:color w:val="000000" w:themeColor="text1"/>
                <w:sz w:val="20"/>
                <w:szCs w:val="20"/>
              </w:rPr>
              <w:t>-1.6</w:t>
            </w:r>
          </w:p>
        </w:tc>
        <w:tc>
          <w:tcPr>
            <w:tcW w:w="895" w:type="dxa"/>
            <w:vAlign w:val="center"/>
          </w:tcPr>
          <w:p w14:paraId="3831A176" w14:textId="72DB4A74" w:rsidR="00974C24" w:rsidRPr="00B67F80" w:rsidRDefault="004602B7" w:rsidP="00B26E7C">
            <w:pPr>
              <w:jc w:val="center"/>
              <w:rPr>
                <w:color w:val="000000" w:themeColor="text1"/>
                <w:sz w:val="20"/>
                <w:szCs w:val="20"/>
              </w:rPr>
            </w:pPr>
            <w:r w:rsidRPr="00B67F80">
              <w:rPr>
                <w:color w:val="000000" w:themeColor="text1"/>
                <w:sz w:val="20"/>
                <w:szCs w:val="20"/>
              </w:rPr>
              <w:t>1.6</w:t>
            </w:r>
          </w:p>
        </w:tc>
        <w:tc>
          <w:tcPr>
            <w:tcW w:w="896" w:type="dxa"/>
            <w:vAlign w:val="center"/>
          </w:tcPr>
          <w:p w14:paraId="630BF226" w14:textId="060F09DF" w:rsidR="00974C24" w:rsidRPr="00B67F80" w:rsidRDefault="009B75DC" w:rsidP="00B26E7C">
            <w:pPr>
              <w:jc w:val="center"/>
              <w:rPr>
                <w:color w:val="000000" w:themeColor="text1"/>
                <w:sz w:val="20"/>
                <w:szCs w:val="20"/>
              </w:rPr>
            </w:pPr>
            <w:r w:rsidRPr="00B67F80">
              <w:rPr>
                <w:color w:val="000000" w:themeColor="text1"/>
                <w:sz w:val="20"/>
                <w:szCs w:val="20"/>
              </w:rPr>
              <w:t>0.0</w:t>
            </w:r>
          </w:p>
        </w:tc>
        <w:tc>
          <w:tcPr>
            <w:tcW w:w="929" w:type="dxa"/>
            <w:vAlign w:val="center"/>
          </w:tcPr>
          <w:p w14:paraId="5C55842E" w14:textId="2F70567E" w:rsidR="00974C24" w:rsidRPr="00B67F80" w:rsidRDefault="004602B7" w:rsidP="00B26E7C">
            <w:pPr>
              <w:jc w:val="center"/>
              <w:rPr>
                <w:color w:val="000000" w:themeColor="text1"/>
                <w:sz w:val="20"/>
                <w:szCs w:val="20"/>
              </w:rPr>
            </w:pPr>
            <w:r w:rsidRPr="00B67F80">
              <w:rPr>
                <w:color w:val="000000" w:themeColor="text1"/>
                <w:sz w:val="20"/>
                <w:szCs w:val="20"/>
              </w:rPr>
              <w:t>-5.8</w:t>
            </w:r>
          </w:p>
        </w:tc>
        <w:tc>
          <w:tcPr>
            <w:tcW w:w="896" w:type="dxa"/>
            <w:vAlign w:val="center"/>
          </w:tcPr>
          <w:p w14:paraId="57BCB386" w14:textId="7FBC44CF" w:rsidR="00974C24" w:rsidRPr="00B67F80" w:rsidRDefault="004602B7" w:rsidP="00B26E7C">
            <w:pPr>
              <w:jc w:val="center"/>
              <w:rPr>
                <w:color w:val="000000" w:themeColor="text1"/>
                <w:sz w:val="20"/>
                <w:szCs w:val="20"/>
              </w:rPr>
            </w:pPr>
            <w:r w:rsidRPr="00B67F80">
              <w:rPr>
                <w:color w:val="000000" w:themeColor="text1"/>
                <w:sz w:val="20"/>
                <w:szCs w:val="20"/>
              </w:rPr>
              <w:t>-1.1</w:t>
            </w:r>
          </w:p>
        </w:tc>
        <w:tc>
          <w:tcPr>
            <w:tcW w:w="896" w:type="dxa"/>
            <w:vAlign w:val="center"/>
          </w:tcPr>
          <w:p w14:paraId="7D3FFB36" w14:textId="753EF3C4" w:rsidR="00974C24" w:rsidRPr="00B67F80" w:rsidRDefault="009B75DC" w:rsidP="00B26E7C">
            <w:pPr>
              <w:jc w:val="center"/>
              <w:rPr>
                <w:color w:val="000000" w:themeColor="text1"/>
                <w:sz w:val="20"/>
                <w:szCs w:val="20"/>
              </w:rPr>
            </w:pPr>
            <w:r w:rsidRPr="00B67F80">
              <w:rPr>
                <w:color w:val="000000" w:themeColor="text1"/>
                <w:sz w:val="20"/>
                <w:szCs w:val="20"/>
              </w:rPr>
              <w:t>-3.4</w:t>
            </w:r>
          </w:p>
        </w:tc>
        <w:tc>
          <w:tcPr>
            <w:tcW w:w="896" w:type="dxa"/>
            <w:vAlign w:val="center"/>
          </w:tcPr>
          <w:p w14:paraId="1A953729" w14:textId="45C133F6" w:rsidR="00974C24" w:rsidRPr="00B67F80" w:rsidRDefault="00453AB0" w:rsidP="00B26E7C">
            <w:pPr>
              <w:jc w:val="center"/>
              <w:rPr>
                <w:color w:val="000000" w:themeColor="text1"/>
                <w:sz w:val="20"/>
                <w:szCs w:val="20"/>
              </w:rPr>
            </w:pPr>
            <w:r w:rsidRPr="00B67F80">
              <w:rPr>
                <w:color w:val="000000" w:themeColor="text1"/>
                <w:sz w:val="20"/>
                <w:szCs w:val="20"/>
              </w:rPr>
              <w:t>-3.9</w:t>
            </w:r>
          </w:p>
        </w:tc>
        <w:tc>
          <w:tcPr>
            <w:tcW w:w="896" w:type="dxa"/>
            <w:vAlign w:val="center"/>
          </w:tcPr>
          <w:p w14:paraId="6971F323" w14:textId="32F4EAA5" w:rsidR="00974C24" w:rsidRPr="00B67F80" w:rsidRDefault="00C27F11" w:rsidP="00B26E7C">
            <w:pPr>
              <w:jc w:val="center"/>
              <w:rPr>
                <w:color w:val="000000" w:themeColor="text1"/>
                <w:sz w:val="20"/>
                <w:szCs w:val="20"/>
              </w:rPr>
            </w:pPr>
            <w:r w:rsidRPr="00B67F80">
              <w:rPr>
                <w:color w:val="000000" w:themeColor="text1"/>
                <w:sz w:val="20"/>
                <w:szCs w:val="20"/>
              </w:rPr>
              <w:t>-0.13</w:t>
            </w:r>
          </w:p>
        </w:tc>
        <w:tc>
          <w:tcPr>
            <w:tcW w:w="896" w:type="dxa"/>
            <w:vAlign w:val="center"/>
          </w:tcPr>
          <w:p w14:paraId="53897E59" w14:textId="350373C3" w:rsidR="00974C24" w:rsidRPr="00B67F80" w:rsidRDefault="00C27F11" w:rsidP="00B26E7C">
            <w:pPr>
              <w:jc w:val="center"/>
              <w:rPr>
                <w:color w:val="000000" w:themeColor="text1"/>
                <w:sz w:val="20"/>
                <w:szCs w:val="20"/>
              </w:rPr>
            </w:pPr>
            <w:r w:rsidRPr="00B67F80">
              <w:rPr>
                <w:color w:val="000000" w:themeColor="text1"/>
                <w:sz w:val="20"/>
                <w:szCs w:val="20"/>
              </w:rPr>
              <w:t>-2.1</w:t>
            </w:r>
          </w:p>
        </w:tc>
      </w:tr>
      <w:tr w:rsidR="00B67F80" w:rsidRPr="00B67F80" w14:paraId="57D5AC7D" w14:textId="77777777" w:rsidTr="00B26E7C">
        <w:trPr>
          <w:jc w:val="center"/>
        </w:trPr>
        <w:tc>
          <w:tcPr>
            <w:tcW w:w="1296" w:type="dxa"/>
            <w:vAlign w:val="center"/>
          </w:tcPr>
          <w:p w14:paraId="743A6A6D" w14:textId="77777777" w:rsidR="00974C24" w:rsidRPr="00B67F80" w:rsidRDefault="00974C24" w:rsidP="00B26E7C">
            <w:pPr>
              <w:jc w:val="center"/>
              <w:rPr>
                <w:color w:val="000000" w:themeColor="text1"/>
                <w:sz w:val="20"/>
                <w:szCs w:val="20"/>
              </w:rPr>
            </w:pPr>
            <w:proofErr w:type="spellStart"/>
            <w:r w:rsidRPr="00B67F80">
              <w:rPr>
                <w:color w:val="000000" w:themeColor="text1"/>
                <w:sz w:val="20"/>
                <w:szCs w:val="20"/>
              </w:rPr>
              <w:t>Stdev</w:t>
            </w:r>
            <w:proofErr w:type="spellEnd"/>
          </w:p>
          <w:p w14:paraId="0011CCB7" w14:textId="77777777" w:rsidR="00974C24" w:rsidRPr="00B67F80" w:rsidRDefault="00974C24"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45E7385C" w14:textId="2AAA7266" w:rsidR="00974C24" w:rsidRPr="00B67F80" w:rsidRDefault="004602B7" w:rsidP="00B26E7C">
            <w:pPr>
              <w:jc w:val="center"/>
              <w:rPr>
                <w:color w:val="000000" w:themeColor="text1"/>
                <w:sz w:val="20"/>
                <w:szCs w:val="20"/>
              </w:rPr>
            </w:pPr>
            <w:r w:rsidRPr="00B67F80">
              <w:rPr>
                <w:color w:val="000000" w:themeColor="text1"/>
                <w:sz w:val="20"/>
                <w:szCs w:val="20"/>
              </w:rPr>
              <w:t>0.69</w:t>
            </w:r>
          </w:p>
        </w:tc>
        <w:tc>
          <w:tcPr>
            <w:tcW w:w="895" w:type="dxa"/>
            <w:vAlign w:val="center"/>
          </w:tcPr>
          <w:p w14:paraId="5269FDE2" w14:textId="57A641A9" w:rsidR="00974C24" w:rsidRPr="00B67F80" w:rsidRDefault="004602B7" w:rsidP="00B26E7C">
            <w:pPr>
              <w:jc w:val="center"/>
              <w:rPr>
                <w:color w:val="000000" w:themeColor="text1"/>
                <w:sz w:val="20"/>
                <w:szCs w:val="20"/>
              </w:rPr>
            </w:pPr>
            <w:r w:rsidRPr="00B67F80">
              <w:rPr>
                <w:color w:val="000000" w:themeColor="text1"/>
                <w:sz w:val="20"/>
                <w:szCs w:val="20"/>
              </w:rPr>
              <w:t>0.69</w:t>
            </w:r>
          </w:p>
        </w:tc>
        <w:tc>
          <w:tcPr>
            <w:tcW w:w="896" w:type="dxa"/>
            <w:vAlign w:val="center"/>
          </w:tcPr>
          <w:p w14:paraId="473DB41F" w14:textId="1E443EA2" w:rsidR="00974C24" w:rsidRPr="00B67F80" w:rsidRDefault="009B75DC" w:rsidP="00B26E7C">
            <w:pPr>
              <w:jc w:val="center"/>
              <w:rPr>
                <w:color w:val="000000" w:themeColor="text1"/>
                <w:sz w:val="20"/>
                <w:szCs w:val="20"/>
              </w:rPr>
            </w:pPr>
            <w:r w:rsidRPr="00B67F80">
              <w:rPr>
                <w:color w:val="000000" w:themeColor="text1"/>
                <w:sz w:val="20"/>
                <w:szCs w:val="20"/>
              </w:rPr>
              <w:t>0.0</w:t>
            </w:r>
          </w:p>
        </w:tc>
        <w:tc>
          <w:tcPr>
            <w:tcW w:w="929" w:type="dxa"/>
            <w:vAlign w:val="center"/>
          </w:tcPr>
          <w:p w14:paraId="2533EE1E" w14:textId="39099647" w:rsidR="00974C24" w:rsidRPr="00B67F80" w:rsidRDefault="004602B7" w:rsidP="00B26E7C">
            <w:pPr>
              <w:jc w:val="center"/>
              <w:rPr>
                <w:color w:val="000000" w:themeColor="text1"/>
                <w:sz w:val="20"/>
                <w:szCs w:val="20"/>
              </w:rPr>
            </w:pPr>
            <w:r w:rsidRPr="00B67F80">
              <w:rPr>
                <w:color w:val="000000" w:themeColor="text1"/>
                <w:sz w:val="20"/>
                <w:szCs w:val="20"/>
              </w:rPr>
              <w:t>1.5</w:t>
            </w:r>
          </w:p>
        </w:tc>
        <w:tc>
          <w:tcPr>
            <w:tcW w:w="896" w:type="dxa"/>
            <w:vAlign w:val="center"/>
          </w:tcPr>
          <w:p w14:paraId="5442BB1B" w14:textId="6DB4A655" w:rsidR="00974C24" w:rsidRPr="00B67F80" w:rsidRDefault="004602B7" w:rsidP="00B26E7C">
            <w:pPr>
              <w:jc w:val="center"/>
              <w:rPr>
                <w:color w:val="000000" w:themeColor="text1"/>
                <w:sz w:val="20"/>
                <w:szCs w:val="20"/>
              </w:rPr>
            </w:pPr>
            <w:r w:rsidRPr="00B67F80">
              <w:rPr>
                <w:color w:val="000000" w:themeColor="text1"/>
                <w:sz w:val="20"/>
                <w:szCs w:val="20"/>
              </w:rPr>
              <w:t>1.2</w:t>
            </w:r>
          </w:p>
        </w:tc>
        <w:tc>
          <w:tcPr>
            <w:tcW w:w="896" w:type="dxa"/>
            <w:vAlign w:val="center"/>
          </w:tcPr>
          <w:p w14:paraId="1F10DC38" w14:textId="3F4096BB" w:rsidR="00974C24" w:rsidRPr="00B67F80" w:rsidRDefault="009B75DC" w:rsidP="00B26E7C">
            <w:pPr>
              <w:jc w:val="center"/>
              <w:rPr>
                <w:color w:val="000000" w:themeColor="text1"/>
                <w:sz w:val="20"/>
                <w:szCs w:val="20"/>
              </w:rPr>
            </w:pPr>
            <w:r w:rsidRPr="00B67F80">
              <w:rPr>
                <w:color w:val="000000" w:themeColor="text1"/>
                <w:sz w:val="20"/>
                <w:szCs w:val="20"/>
              </w:rPr>
              <w:t>0.93</w:t>
            </w:r>
          </w:p>
        </w:tc>
        <w:tc>
          <w:tcPr>
            <w:tcW w:w="896" w:type="dxa"/>
            <w:vAlign w:val="center"/>
          </w:tcPr>
          <w:p w14:paraId="64DD08EA" w14:textId="0257575C" w:rsidR="00974C24" w:rsidRPr="00B67F80" w:rsidRDefault="00453AB0" w:rsidP="00B26E7C">
            <w:pPr>
              <w:jc w:val="center"/>
              <w:rPr>
                <w:color w:val="000000" w:themeColor="text1"/>
                <w:sz w:val="20"/>
                <w:szCs w:val="20"/>
              </w:rPr>
            </w:pPr>
            <w:r w:rsidRPr="00B67F80">
              <w:rPr>
                <w:color w:val="000000" w:themeColor="text1"/>
                <w:sz w:val="20"/>
                <w:szCs w:val="20"/>
              </w:rPr>
              <w:t>0.79</w:t>
            </w:r>
          </w:p>
        </w:tc>
        <w:tc>
          <w:tcPr>
            <w:tcW w:w="896" w:type="dxa"/>
            <w:vAlign w:val="center"/>
          </w:tcPr>
          <w:p w14:paraId="0EABD82C" w14:textId="450C3981" w:rsidR="00974C24" w:rsidRPr="00B67F80" w:rsidRDefault="00C27F11" w:rsidP="00B26E7C">
            <w:pPr>
              <w:jc w:val="center"/>
              <w:rPr>
                <w:color w:val="000000" w:themeColor="text1"/>
                <w:sz w:val="20"/>
                <w:szCs w:val="20"/>
              </w:rPr>
            </w:pPr>
            <w:r w:rsidRPr="00B67F80">
              <w:rPr>
                <w:color w:val="000000" w:themeColor="text1"/>
                <w:sz w:val="20"/>
                <w:szCs w:val="20"/>
              </w:rPr>
              <w:t>0.75</w:t>
            </w:r>
          </w:p>
        </w:tc>
        <w:tc>
          <w:tcPr>
            <w:tcW w:w="896" w:type="dxa"/>
            <w:vAlign w:val="center"/>
          </w:tcPr>
          <w:p w14:paraId="7190B752" w14:textId="25D5D202" w:rsidR="00974C24" w:rsidRPr="00B67F80" w:rsidRDefault="00C27F11" w:rsidP="00B26E7C">
            <w:pPr>
              <w:jc w:val="center"/>
              <w:rPr>
                <w:color w:val="000000" w:themeColor="text1"/>
                <w:sz w:val="20"/>
                <w:szCs w:val="20"/>
              </w:rPr>
            </w:pPr>
            <w:r w:rsidRPr="00B67F80">
              <w:rPr>
                <w:color w:val="000000" w:themeColor="text1"/>
                <w:sz w:val="20"/>
                <w:szCs w:val="20"/>
              </w:rPr>
              <w:t>0.47</w:t>
            </w:r>
          </w:p>
        </w:tc>
      </w:tr>
      <w:tr w:rsidR="00B67F80" w:rsidRPr="00B67F80" w14:paraId="57A216B0" w14:textId="77777777" w:rsidTr="00B26E7C">
        <w:trPr>
          <w:jc w:val="center"/>
        </w:trPr>
        <w:tc>
          <w:tcPr>
            <w:tcW w:w="1296" w:type="dxa"/>
            <w:vAlign w:val="center"/>
          </w:tcPr>
          <w:p w14:paraId="3B47203C" w14:textId="77777777" w:rsidR="00974C24" w:rsidRPr="00B67F80" w:rsidRDefault="00974C24" w:rsidP="00B26E7C">
            <w:pPr>
              <w:jc w:val="center"/>
              <w:rPr>
                <w:color w:val="000000" w:themeColor="text1"/>
                <w:sz w:val="20"/>
                <w:szCs w:val="20"/>
              </w:rPr>
            </w:pPr>
            <w:r w:rsidRPr="00B67F80">
              <w:rPr>
                <w:color w:val="000000" w:themeColor="text1"/>
                <w:sz w:val="20"/>
                <w:szCs w:val="20"/>
              </w:rPr>
              <w:t>Trend</w:t>
            </w:r>
          </w:p>
          <w:p w14:paraId="32AC7C0F" w14:textId="77777777" w:rsidR="00974C24" w:rsidRPr="00B67F80" w:rsidRDefault="00974C24"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43CB8027" w14:textId="77777777" w:rsidR="00974C24" w:rsidRPr="00B67F80" w:rsidRDefault="00974C24" w:rsidP="00974C24">
            <w:pPr>
              <w:jc w:val="center"/>
              <w:rPr>
                <w:color w:val="000000" w:themeColor="text1"/>
                <w:sz w:val="20"/>
                <w:szCs w:val="20"/>
              </w:rPr>
            </w:pPr>
            <w:r w:rsidRPr="00B67F80">
              <w:rPr>
                <w:color w:val="000000" w:themeColor="text1"/>
                <w:sz w:val="20"/>
                <w:szCs w:val="20"/>
              </w:rPr>
              <w:t>0.092</w:t>
            </w:r>
          </w:p>
          <w:p w14:paraId="4F693A67" w14:textId="71003DC5" w:rsidR="00974C24" w:rsidRPr="00B67F80" w:rsidRDefault="00974C24" w:rsidP="00974C24">
            <w:pPr>
              <w:jc w:val="center"/>
              <w:rPr>
                <w:color w:val="000000" w:themeColor="text1"/>
                <w:sz w:val="20"/>
                <w:szCs w:val="20"/>
              </w:rPr>
            </w:pPr>
            <w:r w:rsidRPr="00B67F80">
              <w:rPr>
                <w:color w:val="000000" w:themeColor="text1"/>
                <w:sz w:val="20"/>
                <w:szCs w:val="20"/>
              </w:rPr>
              <w:t>(0.15)</w:t>
            </w:r>
          </w:p>
        </w:tc>
        <w:tc>
          <w:tcPr>
            <w:tcW w:w="895" w:type="dxa"/>
            <w:vAlign w:val="center"/>
          </w:tcPr>
          <w:p w14:paraId="72DE3A0F" w14:textId="77777777" w:rsidR="00974C24" w:rsidRPr="00B67F80" w:rsidRDefault="00974C24" w:rsidP="00974C24">
            <w:pPr>
              <w:jc w:val="center"/>
              <w:rPr>
                <w:color w:val="000000" w:themeColor="text1"/>
                <w:sz w:val="20"/>
                <w:szCs w:val="20"/>
              </w:rPr>
            </w:pPr>
            <w:r w:rsidRPr="00B67F80">
              <w:rPr>
                <w:color w:val="000000" w:themeColor="text1"/>
                <w:sz w:val="20"/>
                <w:szCs w:val="20"/>
              </w:rPr>
              <w:t>-0.092</w:t>
            </w:r>
          </w:p>
          <w:p w14:paraId="7836328A" w14:textId="52663567" w:rsidR="00974C24" w:rsidRPr="00B67F80" w:rsidRDefault="00974C24" w:rsidP="00974C24">
            <w:pPr>
              <w:jc w:val="center"/>
              <w:rPr>
                <w:color w:val="000000" w:themeColor="text1"/>
                <w:sz w:val="20"/>
                <w:szCs w:val="20"/>
              </w:rPr>
            </w:pPr>
            <w:r w:rsidRPr="00B67F80">
              <w:rPr>
                <w:color w:val="000000" w:themeColor="text1"/>
                <w:sz w:val="20"/>
                <w:szCs w:val="20"/>
              </w:rPr>
              <w:t>(0.15)</w:t>
            </w:r>
          </w:p>
        </w:tc>
        <w:tc>
          <w:tcPr>
            <w:tcW w:w="896" w:type="dxa"/>
            <w:vAlign w:val="center"/>
          </w:tcPr>
          <w:p w14:paraId="2956705A" w14:textId="1F37579F" w:rsidR="00974C24" w:rsidRPr="00B67F80" w:rsidRDefault="00974C24" w:rsidP="00B26E7C">
            <w:pPr>
              <w:jc w:val="center"/>
              <w:rPr>
                <w:color w:val="000000" w:themeColor="text1"/>
                <w:sz w:val="20"/>
                <w:szCs w:val="20"/>
              </w:rPr>
            </w:pPr>
            <w:r w:rsidRPr="00B67F80">
              <w:rPr>
                <w:color w:val="000000" w:themeColor="text1"/>
                <w:sz w:val="20"/>
                <w:szCs w:val="20"/>
              </w:rPr>
              <w:t>0.0</w:t>
            </w:r>
          </w:p>
        </w:tc>
        <w:tc>
          <w:tcPr>
            <w:tcW w:w="929" w:type="dxa"/>
            <w:vAlign w:val="center"/>
          </w:tcPr>
          <w:p w14:paraId="24EC5466" w14:textId="77777777" w:rsidR="00974C24" w:rsidRPr="00B67F80" w:rsidRDefault="00974C24" w:rsidP="00974C24">
            <w:pPr>
              <w:jc w:val="center"/>
              <w:rPr>
                <w:color w:val="000000" w:themeColor="text1"/>
                <w:sz w:val="20"/>
                <w:szCs w:val="20"/>
              </w:rPr>
            </w:pPr>
            <w:r w:rsidRPr="00B67F80">
              <w:rPr>
                <w:color w:val="000000" w:themeColor="text1"/>
                <w:sz w:val="20"/>
                <w:szCs w:val="20"/>
              </w:rPr>
              <w:t>0.32</w:t>
            </w:r>
          </w:p>
          <w:p w14:paraId="31CDE9E6" w14:textId="196E907E" w:rsidR="00974C24" w:rsidRPr="00B67F80" w:rsidRDefault="00974C24" w:rsidP="00974C24">
            <w:pPr>
              <w:jc w:val="center"/>
              <w:rPr>
                <w:color w:val="000000" w:themeColor="text1"/>
                <w:sz w:val="20"/>
                <w:szCs w:val="20"/>
              </w:rPr>
            </w:pPr>
            <w:r w:rsidRPr="00B67F80">
              <w:rPr>
                <w:color w:val="000000" w:themeColor="text1"/>
                <w:sz w:val="20"/>
                <w:szCs w:val="20"/>
              </w:rPr>
              <w:t>(1.7)</w:t>
            </w:r>
          </w:p>
        </w:tc>
        <w:tc>
          <w:tcPr>
            <w:tcW w:w="896" w:type="dxa"/>
            <w:vAlign w:val="center"/>
          </w:tcPr>
          <w:p w14:paraId="6CBDA5E7" w14:textId="77777777" w:rsidR="00B803D5" w:rsidRPr="00B67F80" w:rsidRDefault="00B803D5" w:rsidP="00B803D5">
            <w:pPr>
              <w:jc w:val="center"/>
              <w:rPr>
                <w:b/>
                <w:bCs/>
                <w:color w:val="000000" w:themeColor="text1"/>
                <w:sz w:val="20"/>
                <w:szCs w:val="20"/>
              </w:rPr>
            </w:pPr>
            <w:r w:rsidRPr="00B67F80">
              <w:rPr>
                <w:b/>
                <w:bCs/>
                <w:color w:val="000000" w:themeColor="text1"/>
                <w:sz w:val="20"/>
                <w:szCs w:val="20"/>
              </w:rPr>
              <w:t>-0.87</w:t>
            </w:r>
          </w:p>
          <w:p w14:paraId="7831504A" w14:textId="429292A4" w:rsidR="00974C24" w:rsidRPr="00B67F80" w:rsidRDefault="00B803D5" w:rsidP="00B803D5">
            <w:pPr>
              <w:jc w:val="center"/>
              <w:rPr>
                <w:b/>
                <w:bCs/>
                <w:color w:val="000000" w:themeColor="text1"/>
                <w:sz w:val="20"/>
                <w:szCs w:val="20"/>
              </w:rPr>
            </w:pPr>
            <w:r w:rsidRPr="00B67F80">
              <w:rPr>
                <w:b/>
                <w:bCs/>
                <w:color w:val="000000" w:themeColor="text1"/>
                <w:sz w:val="20"/>
                <w:szCs w:val="20"/>
              </w:rPr>
              <w:t>(0.70)</w:t>
            </w:r>
          </w:p>
        </w:tc>
        <w:tc>
          <w:tcPr>
            <w:tcW w:w="896" w:type="dxa"/>
            <w:vAlign w:val="center"/>
          </w:tcPr>
          <w:p w14:paraId="6769693C" w14:textId="77777777" w:rsidR="00B803D5" w:rsidRPr="00B67F80" w:rsidRDefault="00B803D5" w:rsidP="00B803D5">
            <w:pPr>
              <w:jc w:val="center"/>
              <w:rPr>
                <w:color w:val="000000" w:themeColor="text1"/>
                <w:sz w:val="20"/>
                <w:szCs w:val="20"/>
              </w:rPr>
            </w:pPr>
            <w:r w:rsidRPr="00B67F80">
              <w:rPr>
                <w:color w:val="000000" w:themeColor="text1"/>
                <w:sz w:val="20"/>
                <w:szCs w:val="20"/>
              </w:rPr>
              <w:t>-0.27</w:t>
            </w:r>
          </w:p>
          <w:p w14:paraId="7E8EF6E3" w14:textId="51F70BD8" w:rsidR="00974C24" w:rsidRPr="00B67F80" w:rsidRDefault="00B803D5" w:rsidP="00B803D5">
            <w:pPr>
              <w:jc w:val="center"/>
              <w:rPr>
                <w:b/>
                <w:bCs/>
                <w:color w:val="000000" w:themeColor="text1"/>
                <w:sz w:val="20"/>
                <w:szCs w:val="20"/>
              </w:rPr>
            </w:pPr>
            <w:r w:rsidRPr="00B67F80">
              <w:rPr>
                <w:color w:val="000000" w:themeColor="text1"/>
                <w:sz w:val="20"/>
                <w:szCs w:val="20"/>
              </w:rPr>
              <w:t>(1.4)</w:t>
            </w:r>
          </w:p>
        </w:tc>
        <w:tc>
          <w:tcPr>
            <w:tcW w:w="896" w:type="dxa"/>
            <w:vAlign w:val="center"/>
          </w:tcPr>
          <w:p w14:paraId="18598385" w14:textId="77777777" w:rsidR="00B803D5" w:rsidRPr="00B67F80" w:rsidRDefault="00B803D5" w:rsidP="00B803D5">
            <w:pPr>
              <w:jc w:val="center"/>
              <w:rPr>
                <w:color w:val="000000" w:themeColor="text1"/>
                <w:sz w:val="20"/>
                <w:szCs w:val="20"/>
              </w:rPr>
            </w:pPr>
            <w:r w:rsidRPr="00B67F80">
              <w:rPr>
                <w:color w:val="000000" w:themeColor="text1"/>
                <w:sz w:val="20"/>
                <w:szCs w:val="20"/>
              </w:rPr>
              <w:t>0.003</w:t>
            </w:r>
          </w:p>
          <w:p w14:paraId="6BACD4E6" w14:textId="3D17532B" w:rsidR="00974C24" w:rsidRPr="00B67F80" w:rsidRDefault="00B803D5" w:rsidP="00B803D5">
            <w:pPr>
              <w:jc w:val="center"/>
              <w:rPr>
                <w:color w:val="000000" w:themeColor="text1"/>
                <w:sz w:val="20"/>
                <w:szCs w:val="20"/>
              </w:rPr>
            </w:pPr>
            <w:r w:rsidRPr="00B67F80">
              <w:rPr>
                <w:color w:val="000000" w:themeColor="text1"/>
                <w:sz w:val="20"/>
                <w:szCs w:val="20"/>
              </w:rPr>
              <w:t>(0.26)</w:t>
            </w:r>
          </w:p>
        </w:tc>
        <w:tc>
          <w:tcPr>
            <w:tcW w:w="896" w:type="dxa"/>
            <w:vAlign w:val="center"/>
          </w:tcPr>
          <w:p w14:paraId="033BBA98" w14:textId="77777777" w:rsidR="00B803D5" w:rsidRPr="00B67F80" w:rsidRDefault="00B803D5" w:rsidP="00B803D5">
            <w:pPr>
              <w:jc w:val="center"/>
              <w:rPr>
                <w:color w:val="000000" w:themeColor="text1"/>
                <w:sz w:val="20"/>
                <w:szCs w:val="20"/>
              </w:rPr>
            </w:pPr>
            <w:r w:rsidRPr="00B67F80">
              <w:rPr>
                <w:color w:val="000000" w:themeColor="text1"/>
                <w:sz w:val="20"/>
                <w:szCs w:val="20"/>
              </w:rPr>
              <w:t>0.039</w:t>
            </w:r>
          </w:p>
          <w:p w14:paraId="562334FA" w14:textId="2571FFBC" w:rsidR="00974C24" w:rsidRPr="00B67F80" w:rsidRDefault="00B803D5" w:rsidP="00B803D5">
            <w:pPr>
              <w:jc w:val="center"/>
              <w:rPr>
                <w:color w:val="000000" w:themeColor="text1"/>
                <w:sz w:val="20"/>
                <w:szCs w:val="20"/>
              </w:rPr>
            </w:pPr>
            <w:r w:rsidRPr="00B67F80">
              <w:rPr>
                <w:color w:val="000000" w:themeColor="text1"/>
                <w:sz w:val="20"/>
                <w:szCs w:val="20"/>
              </w:rPr>
              <w:t>(0.17)</w:t>
            </w:r>
          </w:p>
        </w:tc>
        <w:tc>
          <w:tcPr>
            <w:tcW w:w="896" w:type="dxa"/>
            <w:vAlign w:val="center"/>
          </w:tcPr>
          <w:p w14:paraId="349D5131" w14:textId="77777777" w:rsidR="00B803D5" w:rsidRPr="00B67F80" w:rsidRDefault="00B803D5" w:rsidP="00B803D5">
            <w:pPr>
              <w:jc w:val="center"/>
              <w:rPr>
                <w:color w:val="000000" w:themeColor="text1"/>
                <w:sz w:val="20"/>
                <w:szCs w:val="20"/>
              </w:rPr>
            </w:pPr>
            <w:r w:rsidRPr="00B67F80">
              <w:rPr>
                <w:color w:val="000000" w:themeColor="text1"/>
                <w:sz w:val="20"/>
                <w:szCs w:val="20"/>
              </w:rPr>
              <w:t>0.022</w:t>
            </w:r>
          </w:p>
          <w:p w14:paraId="63A1F788" w14:textId="12408697" w:rsidR="00974C24" w:rsidRPr="00B67F80" w:rsidRDefault="00B803D5" w:rsidP="00B803D5">
            <w:pPr>
              <w:jc w:val="center"/>
              <w:rPr>
                <w:color w:val="000000" w:themeColor="text1"/>
                <w:sz w:val="20"/>
                <w:szCs w:val="20"/>
              </w:rPr>
            </w:pPr>
            <w:r w:rsidRPr="00B67F80">
              <w:rPr>
                <w:color w:val="000000" w:themeColor="text1"/>
                <w:sz w:val="20"/>
                <w:szCs w:val="20"/>
              </w:rPr>
              <w:t>(0.11)</w:t>
            </w:r>
          </w:p>
        </w:tc>
      </w:tr>
      <w:tr w:rsidR="00B67F80" w:rsidRPr="00B67F80" w14:paraId="2FE581FF" w14:textId="77777777" w:rsidTr="00B26E7C">
        <w:trPr>
          <w:jc w:val="center"/>
        </w:trPr>
        <w:tc>
          <w:tcPr>
            <w:tcW w:w="9391" w:type="dxa"/>
            <w:gridSpan w:val="10"/>
            <w:vAlign w:val="center"/>
          </w:tcPr>
          <w:p w14:paraId="004D4891" w14:textId="77777777" w:rsidR="00974C24" w:rsidRPr="00B67F80" w:rsidRDefault="00974C24" w:rsidP="00B26E7C">
            <w:pPr>
              <w:jc w:val="center"/>
              <w:rPr>
                <w:color w:val="000000" w:themeColor="text1"/>
                <w:sz w:val="20"/>
                <w:szCs w:val="20"/>
              </w:rPr>
            </w:pPr>
          </w:p>
        </w:tc>
      </w:tr>
      <w:tr w:rsidR="00B67F80" w:rsidRPr="00B67F80" w14:paraId="441442FD" w14:textId="77777777" w:rsidTr="00B26E7C">
        <w:trPr>
          <w:jc w:val="center"/>
        </w:trPr>
        <w:tc>
          <w:tcPr>
            <w:tcW w:w="1296" w:type="dxa"/>
            <w:vAlign w:val="center"/>
          </w:tcPr>
          <w:p w14:paraId="12B8EAA2" w14:textId="77777777" w:rsidR="00974C24" w:rsidRPr="00B67F80" w:rsidRDefault="00974C24" w:rsidP="00B26E7C">
            <w:pPr>
              <w:jc w:val="center"/>
              <w:rPr>
                <w:color w:val="000000" w:themeColor="text1"/>
                <w:sz w:val="20"/>
                <w:szCs w:val="20"/>
              </w:rPr>
            </w:pPr>
          </w:p>
        </w:tc>
        <w:tc>
          <w:tcPr>
            <w:tcW w:w="8095" w:type="dxa"/>
            <w:gridSpan w:val="9"/>
            <w:vAlign w:val="center"/>
          </w:tcPr>
          <w:p w14:paraId="5B0E064B" w14:textId="2BB3E623" w:rsidR="00974C24" w:rsidRPr="00B67F80" w:rsidRDefault="00B2465B" w:rsidP="00B26E7C">
            <w:pPr>
              <w:jc w:val="center"/>
              <w:rPr>
                <w:b/>
                <w:bCs/>
                <w:color w:val="000000" w:themeColor="text1"/>
                <w:sz w:val="20"/>
                <w:szCs w:val="20"/>
              </w:rPr>
            </w:pPr>
            <m:oMathPara>
              <m:oMath>
                <m:sSub>
                  <m:sSubPr>
                    <m:ctrlPr>
                      <w:rPr>
                        <w:rFonts w:ascii="Cambria Math" w:hAnsi="Cambria Math"/>
                        <w:b/>
                        <w:bCs/>
                        <w:i/>
                        <w:color w:val="000000" w:themeColor="text1"/>
                        <w:sz w:val="20"/>
                        <w:szCs w:val="20"/>
                      </w:rPr>
                    </m:ctrlPr>
                  </m:sSubPr>
                  <m:e>
                    <m:r>
                      <m:rPr>
                        <m:sty m:val="bi"/>
                      </m:rPr>
                      <w:rPr>
                        <w:rFonts w:ascii="Cambria Math" w:hAnsi="Cambria Math"/>
                        <w:color w:val="000000" w:themeColor="text1"/>
                        <w:sz w:val="20"/>
                        <w:szCs w:val="20"/>
                      </w:rPr>
                      <m:t>F</m:t>
                    </m:r>
                  </m:e>
                  <m:sub>
                    <m:r>
                      <m:rPr>
                        <m:sty m:val="bi"/>
                      </m:rPr>
                      <w:rPr>
                        <w:rFonts w:ascii="Cambria Math" w:hAnsi="Cambria Math"/>
                        <w:color w:val="000000" w:themeColor="text1"/>
                        <w:sz w:val="20"/>
                        <w:szCs w:val="20"/>
                      </w:rPr>
                      <m:t>S</m:t>
                    </m:r>
                  </m:sub>
                </m:sSub>
              </m:oMath>
            </m:oMathPara>
          </w:p>
        </w:tc>
      </w:tr>
      <w:tr w:rsidR="00B67F80" w:rsidRPr="00B67F80" w14:paraId="66A0C0FD" w14:textId="77777777" w:rsidTr="00B26E7C">
        <w:trPr>
          <w:jc w:val="center"/>
        </w:trPr>
        <w:tc>
          <w:tcPr>
            <w:tcW w:w="1296" w:type="dxa"/>
            <w:vAlign w:val="center"/>
          </w:tcPr>
          <w:p w14:paraId="585AB249" w14:textId="77777777" w:rsidR="00974C24" w:rsidRPr="00B67F80" w:rsidRDefault="00974C24" w:rsidP="00B26E7C">
            <w:pPr>
              <w:jc w:val="center"/>
              <w:rPr>
                <w:color w:val="000000" w:themeColor="text1"/>
                <w:sz w:val="20"/>
                <w:szCs w:val="20"/>
              </w:rPr>
            </w:pPr>
          </w:p>
        </w:tc>
        <w:tc>
          <w:tcPr>
            <w:tcW w:w="2686" w:type="dxa"/>
            <w:gridSpan w:val="3"/>
            <w:vAlign w:val="center"/>
          </w:tcPr>
          <w:p w14:paraId="2A767436" w14:textId="5DE14F58" w:rsidR="00974C24" w:rsidRPr="00B67F80" w:rsidRDefault="00974C24" w:rsidP="00B26E7C">
            <w:pPr>
              <w:jc w:val="center"/>
              <w:rPr>
                <w:color w:val="000000" w:themeColor="text1"/>
                <w:sz w:val="20"/>
                <w:szCs w:val="20"/>
              </w:rPr>
            </w:pPr>
            <w:r w:rsidRPr="00B67F80">
              <w:rPr>
                <w:color w:val="000000" w:themeColor="text1"/>
                <w:sz w:val="20"/>
                <w:szCs w:val="20"/>
              </w:rPr>
              <w:t>Inferred</w:t>
            </w:r>
          </w:p>
        </w:tc>
        <w:tc>
          <w:tcPr>
            <w:tcW w:w="2721" w:type="dxa"/>
            <w:gridSpan w:val="3"/>
            <w:vAlign w:val="center"/>
          </w:tcPr>
          <w:p w14:paraId="1D54FF5B" w14:textId="1486B2EA" w:rsidR="00974C24" w:rsidRPr="00B67F80" w:rsidRDefault="00974C24" w:rsidP="00B26E7C">
            <w:pPr>
              <w:jc w:val="center"/>
              <w:rPr>
                <w:color w:val="000000" w:themeColor="text1"/>
                <w:sz w:val="20"/>
                <w:szCs w:val="20"/>
              </w:rPr>
            </w:pPr>
            <w:r w:rsidRPr="00B67F80">
              <w:rPr>
                <w:color w:val="000000" w:themeColor="text1"/>
                <w:sz w:val="20"/>
                <w:szCs w:val="20"/>
              </w:rPr>
              <w:t>ERA5 Forecasts</w:t>
            </w:r>
          </w:p>
        </w:tc>
        <w:tc>
          <w:tcPr>
            <w:tcW w:w="2688" w:type="dxa"/>
            <w:gridSpan w:val="3"/>
            <w:vAlign w:val="center"/>
          </w:tcPr>
          <w:p w14:paraId="60D50153" w14:textId="06967956" w:rsidR="00974C24" w:rsidRPr="00B67F80" w:rsidRDefault="00974C24" w:rsidP="00B26E7C">
            <w:pPr>
              <w:jc w:val="center"/>
              <w:rPr>
                <w:color w:val="000000" w:themeColor="text1"/>
                <w:sz w:val="20"/>
                <w:szCs w:val="20"/>
              </w:rPr>
            </w:pPr>
            <w:r w:rsidRPr="00B67F80">
              <w:rPr>
                <w:color w:val="000000" w:themeColor="text1"/>
                <w:sz w:val="20"/>
                <w:szCs w:val="20"/>
              </w:rPr>
              <w:t>IFS AMIP</w:t>
            </w:r>
          </w:p>
        </w:tc>
      </w:tr>
      <w:tr w:rsidR="00B67F80" w:rsidRPr="00B67F80" w14:paraId="6797E927" w14:textId="77777777" w:rsidTr="00B26E7C">
        <w:trPr>
          <w:jc w:val="center"/>
        </w:trPr>
        <w:tc>
          <w:tcPr>
            <w:tcW w:w="1296" w:type="dxa"/>
            <w:vAlign w:val="center"/>
          </w:tcPr>
          <w:p w14:paraId="4018A312" w14:textId="77777777" w:rsidR="00974C24" w:rsidRPr="00B67F80" w:rsidRDefault="00974C24" w:rsidP="00B26E7C">
            <w:pPr>
              <w:jc w:val="center"/>
              <w:rPr>
                <w:color w:val="000000" w:themeColor="text1"/>
                <w:sz w:val="20"/>
                <w:szCs w:val="20"/>
              </w:rPr>
            </w:pPr>
          </w:p>
        </w:tc>
        <w:tc>
          <w:tcPr>
            <w:tcW w:w="895" w:type="dxa"/>
            <w:vAlign w:val="center"/>
          </w:tcPr>
          <w:p w14:paraId="0C34B85E" w14:textId="77777777" w:rsidR="00974C24" w:rsidRPr="00B67F80" w:rsidRDefault="00974C24" w:rsidP="00B26E7C">
            <w:pPr>
              <w:jc w:val="center"/>
              <w:rPr>
                <w:color w:val="000000" w:themeColor="text1"/>
                <w:sz w:val="20"/>
                <w:szCs w:val="20"/>
              </w:rPr>
            </w:pPr>
            <w:r w:rsidRPr="00B67F80">
              <w:rPr>
                <w:color w:val="000000" w:themeColor="text1"/>
                <w:sz w:val="20"/>
                <w:szCs w:val="20"/>
              </w:rPr>
              <w:t>SH</w:t>
            </w:r>
          </w:p>
        </w:tc>
        <w:tc>
          <w:tcPr>
            <w:tcW w:w="895" w:type="dxa"/>
            <w:vAlign w:val="center"/>
          </w:tcPr>
          <w:p w14:paraId="5D91A4EB" w14:textId="77777777" w:rsidR="00974C24" w:rsidRPr="00B67F80" w:rsidRDefault="00974C24"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3770C31B" w14:textId="77777777" w:rsidR="00974C24" w:rsidRPr="00B67F80" w:rsidRDefault="00974C24" w:rsidP="00B26E7C">
            <w:pPr>
              <w:jc w:val="center"/>
              <w:rPr>
                <w:color w:val="000000" w:themeColor="text1"/>
                <w:sz w:val="20"/>
                <w:szCs w:val="20"/>
              </w:rPr>
            </w:pPr>
            <w:r w:rsidRPr="00B67F80">
              <w:rPr>
                <w:color w:val="000000" w:themeColor="text1"/>
                <w:sz w:val="20"/>
                <w:szCs w:val="20"/>
              </w:rPr>
              <w:t>Global</w:t>
            </w:r>
          </w:p>
        </w:tc>
        <w:tc>
          <w:tcPr>
            <w:tcW w:w="929" w:type="dxa"/>
            <w:vAlign w:val="center"/>
          </w:tcPr>
          <w:p w14:paraId="7BF9C6AF" w14:textId="77777777" w:rsidR="00974C24" w:rsidRPr="00B67F80" w:rsidRDefault="00974C24"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38482CA6" w14:textId="77777777" w:rsidR="00974C24" w:rsidRPr="00B67F80" w:rsidRDefault="00974C24"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43E5A68F" w14:textId="77777777" w:rsidR="00974C24" w:rsidRPr="00B67F80" w:rsidRDefault="00974C24" w:rsidP="00B26E7C">
            <w:pPr>
              <w:jc w:val="center"/>
              <w:rPr>
                <w:color w:val="000000" w:themeColor="text1"/>
                <w:sz w:val="20"/>
                <w:szCs w:val="20"/>
              </w:rPr>
            </w:pPr>
            <w:r w:rsidRPr="00B67F80">
              <w:rPr>
                <w:color w:val="000000" w:themeColor="text1"/>
                <w:sz w:val="20"/>
                <w:szCs w:val="20"/>
              </w:rPr>
              <w:t>Global</w:t>
            </w:r>
          </w:p>
        </w:tc>
        <w:tc>
          <w:tcPr>
            <w:tcW w:w="896" w:type="dxa"/>
            <w:vAlign w:val="center"/>
          </w:tcPr>
          <w:p w14:paraId="5C339603" w14:textId="77777777" w:rsidR="00974C24" w:rsidRPr="00B67F80" w:rsidRDefault="00974C24"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420ED7AB" w14:textId="77777777" w:rsidR="00974C24" w:rsidRPr="00B67F80" w:rsidRDefault="00974C24"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4E748826" w14:textId="77777777" w:rsidR="00974C24" w:rsidRPr="00B67F80" w:rsidRDefault="00974C24" w:rsidP="00B26E7C">
            <w:pPr>
              <w:jc w:val="center"/>
              <w:rPr>
                <w:color w:val="000000" w:themeColor="text1"/>
                <w:sz w:val="20"/>
                <w:szCs w:val="20"/>
              </w:rPr>
            </w:pPr>
            <w:r w:rsidRPr="00B67F80">
              <w:rPr>
                <w:color w:val="000000" w:themeColor="text1"/>
                <w:sz w:val="20"/>
                <w:szCs w:val="20"/>
              </w:rPr>
              <w:t>Global</w:t>
            </w:r>
          </w:p>
        </w:tc>
      </w:tr>
      <w:tr w:rsidR="00B67F80" w:rsidRPr="00B67F80" w14:paraId="5B5BD5BC" w14:textId="77777777" w:rsidTr="00B26E7C">
        <w:trPr>
          <w:jc w:val="center"/>
        </w:trPr>
        <w:tc>
          <w:tcPr>
            <w:tcW w:w="1296" w:type="dxa"/>
            <w:vAlign w:val="center"/>
          </w:tcPr>
          <w:p w14:paraId="49D864B8" w14:textId="77777777" w:rsidR="00974C24" w:rsidRPr="00B67F80" w:rsidRDefault="00974C24" w:rsidP="00B26E7C">
            <w:pPr>
              <w:jc w:val="center"/>
              <w:rPr>
                <w:color w:val="000000" w:themeColor="text1"/>
                <w:sz w:val="20"/>
                <w:szCs w:val="20"/>
              </w:rPr>
            </w:pPr>
            <w:r w:rsidRPr="00B67F80">
              <w:rPr>
                <w:color w:val="000000" w:themeColor="text1"/>
                <w:sz w:val="20"/>
                <w:szCs w:val="20"/>
              </w:rPr>
              <w:t>Mean</w:t>
            </w:r>
          </w:p>
          <w:p w14:paraId="0D9CC1BC" w14:textId="77777777" w:rsidR="00974C24" w:rsidRPr="00B67F80" w:rsidRDefault="00974C24"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51C1096F" w14:textId="1A9E9D90" w:rsidR="00974C24" w:rsidRPr="00B67F80" w:rsidRDefault="004602B7" w:rsidP="00B26E7C">
            <w:pPr>
              <w:jc w:val="center"/>
              <w:rPr>
                <w:color w:val="000000" w:themeColor="text1"/>
                <w:sz w:val="20"/>
                <w:szCs w:val="20"/>
              </w:rPr>
            </w:pPr>
            <w:r w:rsidRPr="00B67F80">
              <w:rPr>
                <w:color w:val="000000" w:themeColor="text1"/>
                <w:sz w:val="20"/>
                <w:szCs w:val="20"/>
              </w:rPr>
              <w:t>3.0</w:t>
            </w:r>
          </w:p>
        </w:tc>
        <w:tc>
          <w:tcPr>
            <w:tcW w:w="895" w:type="dxa"/>
            <w:vAlign w:val="center"/>
          </w:tcPr>
          <w:p w14:paraId="7593D3BE" w14:textId="0D38C476" w:rsidR="00974C24" w:rsidRPr="00B67F80" w:rsidRDefault="009B75DC" w:rsidP="00B26E7C">
            <w:pPr>
              <w:jc w:val="center"/>
              <w:rPr>
                <w:color w:val="000000" w:themeColor="text1"/>
                <w:sz w:val="20"/>
                <w:szCs w:val="20"/>
              </w:rPr>
            </w:pPr>
            <w:r w:rsidRPr="00B67F80">
              <w:rPr>
                <w:color w:val="000000" w:themeColor="text1"/>
                <w:sz w:val="20"/>
                <w:szCs w:val="20"/>
              </w:rPr>
              <w:t>-1.5</w:t>
            </w:r>
          </w:p>
        </w:tc>
        <w:tc>
          <w:tcPr>
            <w:tcW w:w="896" w:type="dxa"/>
            <w:vAlign w:val="center"/>
          </w:tcPr>
          <w:p w14:paraId="432F19DB" w14:textId="6C0175D2" w:rsidR="00974C24" w:rsidRPr="00B67F80" w:rsidRDefault="009B75DC" w:rsidP="00B26E7C">
            <w:pPr>
              <w:jc w:val="center"/>
              <w:rPr>
                <w:color w:val="000000" w:themeColor="text1"/>
                <w:sz w:val="20"/>
                <w:szCs w:val="20"/>
              </w:rPr>
            </w:pPr>
            <w:r w:rsidRPr="00B67F80">
              <w:rPr>
                <w:color w:val="000000" w:themeColor="text1"/>
                <w:sz w:val="20"/>
                <w:szCs w:val="20"/>
              </w:rPr>
              <w:t>0.71</w:t>
            </w:r>
          </w:p>
        </w:tc>
        <w:tc>
          <w:tcPr>
            <w:tcW w:w="929" w:type="dxa"/>
            <w:vAlign w:val="center"/>
          </w:tcPr>
          <w:p w14:paraId="00FFCDE4" w14:textId="538F14B6" w:rsidR="00974C24" w:rsidRPr="00B67F80" w:rsidRDefault="004602B7" w:rsidP="00B26E7C">
            <w:pPr>
              <w:jc w:val="center"/>
              <w:rPr>
                <w:color w:val="000000" w:themeColor="text1"/>
                <w:sz w:val="20"/>
                <w:szCs w:val="20"/>
              </w:rPr>
            </w:pPr>
            <w:r w:rsidRPr="00B67F80">
              <w:rPr>
                <w:color w:val="000000" w:themeColor="text1"/>
                <w:sz w:val="20"/>
                <w:szCs w:val="20"/>
              </w:rPr>
              <w:t>6.4</w:t>
            </w:r>
          </w:p>
        </w:tc>
        <w:tc>
          <w:tcPr>
            <w:tcW w:w="896" w:type="dxa"/>
            <w:vAlign w:val="center"/>
          </w:tcPr>
          <w:p w14:paraId="708A4372" w14:textId="73B34E2C" w:rsidR="00974C24" w:rsidRPr="00B67F80" w:rsidRDefault="004602B7" w:rsidP="00B26E7C">
            <w:pPr>
              <w:jc w:val="center"/>
              <w:rPr>
                <w:color w:val="000000" w:themeColor="text1"/>
                <w:sz w:val="20"/>
                <w:szCs w:val="20"/>
              </w:rPr>
            </w:pPr>
            <w:r w:rsidRPr="00B67F80">
              <w:rPr>
                <w:color w:val="000000" w:themeColor="text1"/>
                <w:sz w:val="20"/>
                <w:szCs w:val="20"/>
              </w:rPr>
              <w:t>1.8</w:t>
            </w:r>
          </w:p>
        </w:tc>
        <w:tc>
          <w:tcPr>
            <w:tcW w:w="896" w:type="dxa"/>
            <w:vAlign w:val="center"/>
          </w:tcPr>
          <w:p w14:paraId="034A5F49" w14:textId="3522AFD7" w:rsidR="00974C24" w:rsidRPr="00B67F80" w:rsidRDefault="009B75DC" w:rsidP="00B26E7C">
            <w:pPr>
              <w:jc w:val="center"/>
              <w:rPr>
                <w:color w:val="000000" w:themeColor="text1"/>
                <w:sz w:val="20"/>
                <w:szCs w:val="20"/>
              </w:rPr>
            </w:pPr>
            <w:r w:rsidRPr="00B67F80">
              <w:rPr>
                <w:color w:val="000000" w:themeColor="text1"/>
                <w:sz w:val="20"/>
                <w:szCs w:val="20"/>
              </w:rPr>
              <w:t>4.1</w:t>
            </w:r>
          </w:p>
        </w:tc>
        <w:tc>
          <w:tcPr>
            <w:tcW w:w="896" w:type="dxa"/>
            <w:vAlign w:val="center"/>
          </w:tcPr>
          <w:p w14:paraId="57361DB4" w14:textId="7F4C37CE" w:rsidR="00974C24" w:rsidRPr="00B67F80" w:rsidRDefault="00C27F11" w:rsidP="00B26E7C">
            <w:pPr>
              <w:jc w:val="center"/>
              <w:rPr>
                <w:color w:val="000000" w:themeColor="text1"/>
                <w:sz w:val="20"/>
                <w:szCs w:val="20"/>
              </w:rPr>
            </w:pPr>
            <w:r w:rsidRPr="00B67F80">
              <w:rPr>
                <w:color w:val="000000" w:themeColor="text1"/>
                <w:sz w:val="20"/>
                <w:szCs w:val="20"/>
              </w:rPr>
              <w:t>2.5</w:t>
            </w:r>
          </w:p>
        </w:tc>
        <w:tc>
          <w:tcPr>
            <w:tcW w:w="896" w:type="dxa"/>
            <w:vAlign w:val="center"/>
          </w:tcPr>
          <w:p w14:paraId="521E6659" w14:textId="50D6A1B6" w:rsidR="00974C24" w:rsidRPr="00B67F80" w:rsidRDefault="00C27F11" w:rsidP="00B26E7C">
            <w:pPr>
              <w:jc w:val="center"/>
              <w:rPr>
                <w:color w:val="000000" w:themeColor="text1"/>
                <w:sz w:val="20"/>
                <w:szCs w:val="20"/>
              </w:rPr>
            </w:pPr>
            <w:r w:rsidRPr="00B67F80">
              <w:rPr>
                <w:color w:val="000000" w:themeColor="text1"/>
                <w:sz w:val="20"/>
                <w:szCs w:val="20"/>
              </w:rPr>
              <w:t>0.47</w:t>
            </w:r>
          </w:p>
        </w:tc>
        <w:tc>
          <w:tcPr>
            <w:tcW w:w="896" w:type="dxa"/>
            <w:vAlign w:val="center"/>
          </w:tcPr>
          <w:p w14:paraId="73493AA6" w14:textId="486B4D72" w:rsidR="00974C24" w:rsidRPr="00B67F80" w:rsidRDefault="00C27F11" w:rsidP="00B26E7C">
            <w:pPr>
              <w:jc w:val="center"/>
              <w:rPr>
                <w:color w:val="000000" w:themeColor="text1"/>
                <w:sz w:val="20"/>
                <w:szCs w:val="20"/>
              </w:rPr>
            </w:pPr>
            <w:r w:rsidRPr="00B67F80">
              <w:rPr>
                <w:color w:val="000000" w:themeColor="text1"/>
                <w:sz w:val="20"/>
                <w:szCs w:val="20"/>
              </w:rPr>
              <w:t>1.0</w:t>
            </w:r>
          </w:p>
        </w:tc>
      </w:tr>
      <w:tr w:rsidR="00B67F80" w:rsidRPr="00B67F80" w14:paraId="6843C74C" w14:textId="77777777" w:rsidTr="00B26E7C">
        <w:trPr>
          <w:jc w:val="center"/>
        </w:trPr>
        <w:tc>
          <w:tcPr>
            <w:tcW w:w="1296" w:type="dxa"/>
            <w:vAlign w:val="center"/>
          </w:tcPr>
          <w:p w14:paraId="6D2368A2" w14:textId="77777777" w:rsidR="00974C24" w:rsidRPr="00B67F80" w:rsidRDefault="00974C24" w:rsidP="00B26E7C">
            <w:pPr>
              <w:jc w:val="center"/>
              <w:rPr>
                <w:color w:val="000000" w:themeColor="text1"/>
                <w:sz w:val="20"/>
                <w:szCs w:val="20"/>
              </w:rPr>
            </w:pPr>
            <w:proofErr w:type="spellStart"/>
            <w:r w:rsidRPr="00B67F80">
              <w:rPr>
                <w:color w:val="000000" w:themeColor="text1"/>
                <w:sz w:val="20"/>
                <w:szCs w:val="20"/>
              </w:rPr>
              <w:t>Stdev</w:t>
            </w:r>
            <w:proofErr w:type="spellEnd"/>
          </w:p>
          <w:p w14:paraId="0271F8CE" w14:textId="77777777" w:rsidR="00974C24" w:rsidRPr="00B67F80" w:rsidRDefault="00974C24"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6962A451" w14:textId="506E553D" w:rsidR="00974C24" w:rsidRPr="00B67F80" w:rsidRDefault="004602B7" w:rsidP="00B26E7C">
            <w:pPr>
              <w:jc w:val="center"/>
              <w:rPr>
                <w:color w:val="000000" w:themeColor="text1"/>
                <w:sz w:val="20"/>
                <w:szCs w:val="20"/>
              </w:rPr>
            </w:pPr>
            <w:r w:rsidRPr="00B67F80">
              <w:rPr>
                <w:color w:val="000000" w:themeColor="text1"/>
                <w:sz w:val="20"/>
                <w:szCs w:val="20"/>
              </w:rPr>
              <w:t>1.6</w:t>
            </w:r>
          </w:p>
        </w:tc>
        <w:tc>
          <w:tcPr>
            <w:tcW w:w="895" w:type="dxa"/>
            <w:vAlign w:val="center"/>
          </w:tcPr>
          <w:p w14:paraId="08469B16" w14:textId="6D769CBC" w:rsidR="00974C24" w:rsidRPr="00B67F80" w:rsidRDefault="009B75DC" w:rsidP="00B26E7C">
            <w:pPr>
              <w:jc w:val="center"/>
              <w:rPr>
                <w:color w:val="000000" w:themeColor="text1"/>
                <w:sz w:val="20"/>
                <w:szCs w:val="20"/>
              </w:rPr>
            </w:pPr>
            <w:r w:rsidRPr="00B67F80">
              <w:rPr>
                <w:color w:val="000000" w:themeColor="text1"/>
                <w:sz w:val="20"/>
                <w:szCs w:val="20"/>
              </w:rPr>
              <w:t>1.5</w:t>
            </w:r>
          </w:p>
        </w:tc>
        <w:tc>
          <w:tcPr>
            <w:tcW w:w="896" w:type="dxa"/>
            <w:vAlign w:val="center"/>
          </w:tcPr>
          <w:p w14:paraId="17B85570" w14:textId="32E5BF73" w:rsidR="00974C24" w:rsidRPr="00B67F80" w:rsidRDefault="009B75DC" w:rsidP="00B26E7C">
            <w:pPr>
              <w:jc w:val="center"/>
              <w:rPr>
                <w:color w:val="000000" w:themeColor="text1"/>
                <w:sz w:val="20"/>
                <w:szCs w:val="20"/>
              </w:rPr>
            </w:pPr>
            <w:r w:rsidRPr="00B67F80">
              <w:rPr>
                <w:color w:val="000000" w:themeColor="text1"/>
                <w:sz w:val="20"/>
                <w:szCs w:val="20"/>
              </w:rPr>
              <w:t>1.2</w:t>
            </w:r>
          </w:p>
        </w:tc>
        <w:tc>
          <w:tcPr>
            <w:tcW w:w="929" w:type="dxa"/>
            <w:vAlign w:val="center"/>
          </w:tcPr>
          <w:p w14:paraId="15B2773E" w14:textId="3C07FFA0" w:rsidR="00974C24" w:rsidRPr="00B67F80" w:rsidRDefault="004602B7" w:rsidP="00B26E7C">
            <w:pPr>
              <w:jc w:val="center"/>
              <w:rPr>
                <w:color w:val="000000" w:themeColor="text1"/>
                <w:sz w:val="20"/>
                <w:szCs w:val="20"/>
              </w:rPr>
            </w:pPr>
            <w:r w:rsidRPr="00B67F80">
              <w:rPr>
                <w:color w:val="000000" w:themeColor="text1"/>
                <w:sz w:val="20"/>
                <w:szCs w:val="20"/>
              </w:rPr>
              <w:t>1.7</w:t>
            </w:r>
          </w:p>
        </w:tc>
        <w:tc>
          <w:tcPr>
            <w:tcW w:w="896" w:type="dxa"/>
            <w:vAlign w:val="center"/>
          </w:tcPr>
          <w:p w14:paraId="7A9538EC" w14:textId="77E47872" w:rsidR="00974C24" w:rsidRPr="00B67F80" w:rsidRDefault="004602B7" w:rsidP="00B26E7C">
            <w:pPr>
              <w:jc w:val="center"/>
              <w:rPr>
                <w:color w:val="000000" w:themeColor="text1"/>
                <w:sz w:val="20"/>
                <w:szCs w:val="20"/>
              </w:rPr>
            </w:pPr>
            <w:r w:rsidRPr="00B67F80">
              <w:rPr>
                <w:color w:val="000000" w:themeColor="text1"/>
                <w:sz w:val="20"/>
                <w:szCs w:val="20"/>
              </w:rPr>
              <w:t>1.4</w:t>
            </w:r>
          </w:p>
        </w:tc>
        <w:tc>
          <w:tcPr>
            <w:tcW w:w="896" w:type="dxa"/>
            <w:vAlign w:val="center"/>
          </w:tcPr>
          <w:p w14:paraId="49B5A6CD" w14:textId="3C6314D5" w:rsidR="00974C24" w:rsidRPr="00B67F80" w:rsidRDefault="009B75DC" w:rsidP="00B26E7C">
            <w:pPr>
              <w:jc w:val="center"/>
              <w:rPr>
                <w:color w:val="000000" w:themeColor="text1"/>
                <w:sz w:val="20"/>
                <w:szCs w:val="20"/>
              </w:rPr>
            </w:pPr>
            <w:r w:rsidRPr="00B67F80">
              <w:rPr>
                <w:color w:val="000000" w:themeColor="text1"/>
                <w:sz w:val="20"/>
                <w:szCs w:val="20"/>
              </w:rPr>
              <w:t>1.2</w:t>
            </w:r>
          </w:p>
        </w:tc>
        <w:tc>
          <w:tcPr>
            <w:tcW w:w="896" w:type="dxa"/>
            <w:vAlign w:val="center"/>
          </w:tcPr>
          <w:p w14:paraId="58CCE40F" w14:textId="10331F17" w:rsidR="00974C24" w:rsidRPr="00B67F80" w:rsidRDefault="00C27F11" w:rsidP="00B26E7C">
            <w:pPr>
              <w:jc w:val="center"/>
              <w:rPr>
                <w:color w:val="000000" w:themeColor="text1"/>
                <w:sz w:val="20"/>
                <w:szCs w:val="20"/>
              </w:rPr>
            </w:pPr>
            <w:r w:rsidRPr="00B67F80">
              <w:rPr>
                <w:color w:val="000000" w:themeColor="text1"/>
                <w:sz w:val="20"/>
                <w:szCs w:val="20"/>
              </w:rPr>
              <w:t>0.84</w:t>
            </w:r>
          </w:p>
        </w:tc>
        <w:tc>
          <w:tcPr>
            <w:tcW w:w="896" w:type="dxa"/>
            <w:vAlign w:val="center"/>
          </w:tcPr>
          <w:p w14:paraId="4755E845" w14:textId="5FF5E59F" w:rsidR="00974C24" w:rsidRPr="00B67F80" w:rsidRDefault="00C27F11" w:rsidP="00B26E7C">
            <w:pPr>
              <w:jc w:val="center"/>
              <w:rPr>
                <w:color w:val="000000" w:themeColor="text1"/>
                <w:sz w:val="20"/>
                <w:szCs w:val="20"/>
              </w:rPr>
            </w:pPr>
            <w:r w:rsidRPr="00B67F80">
              <w:rPr>
                <w:color w:val="000000" w:themeColor="text1"/>
                <w:sz w:val="20"/>
                <w:szCs w:val="20"/>
              </w:rPr>
              <w:t>1.0</w:t>
            </w:r>
          </w:p>
        </w:tc>
        <w:tc>
          <w:tcPr>
            <w:tcW w:w="896" w:type="dxa"/>
            <w:vAlign w:val="center"/>
          </w:tcPr>
          <w:p w14:paraId="45BC6A38" w14:textId="1976EEF5" w:rsidR="00974C24" w:rsidRPr="00B67F80" w:rsidRDefault="00C27F11" w:rsidP="00B26E7C">
            <w:pPr>
              <w:jc w:val="center"/>
              <w:rPr>
                <w:color w:val="000000" w:themeColor="text1"/>
                <w:sz w:val="20"/>
                <w:szCs w:val="20"/>
              </w:rPr>
            </w:pPr>
            <w:r w:rsidRPr="00B67F80">
              <w:rPr>
                <w:color w:val="000000" w:themeColor="text1"/>
                <w:sz w:val="20"/>
                <w:szCs w:val="20"/>
              </w:rPr>
              <w:t>0.64</w:t>
            </w:r>
          </w:p>
        </w:tc>
      </w:tr>
      <w:tr w:rsidR="00B67F80" w:rsidRPr="00B67F80" w14:paraId="30453F08" w14:textId="77777777" w:rsidTr="00B26E7C">
        <w:trPr>
          <w:jc w:val="center"/>
        </w:trPr>
        <w:tc>
          <w:tcPr>
            <w:tcW w:w="1296" w:type="dxa"/>
            <w:vAlign w:val="center"/>
          </w:tcPr>
          <w:p w14:paraId="0B41B077" w14:textId="77777777" w:rsidR="00974C24" w:rsidRPr="00B67F80" w:rsidRDefault="00974C24" w:rsidP="00B26E7C">
            <w:pPr>
              <w:jc w:val="center"/>
              <w:rPr>
                <w:color w:val="000000" w:themeColor="text1"/>
                <w:sz w:val="20"/>
                <w:szCs w:val="20"/>
              </w:rPr>
            </w:pPr>
            <w:r w:rsidRPr="00B67F80">
              <w:rPr>
                <w:color w:val="000000" w:themeColor="text1"/>
                <w:sz w:val="20"/>
                <w:szCs w:val="20"/>
              </w:rPr>
              <w:t>Trend</w:t>
            </w:r>
          </w:p>
          <w:p w14:paraId="721B7063" w14:textId="77777777" w:rsidR="00974C24" w:rsidRPr="00B67F80" w:rsidRDefault="00974C24"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3B3C946C" w14:textId="77777777" w:rsidR="00B803D5" w:rsidRPr="00B67F80" w:rsidRDefault="00B803D5" w:rsidP="00B803D5">
            <w:pPr>
              <w:jc w:val="center"/>
              <w:rPr>
                <w:color w:val="000000" w:themeColor="text1"/>
                <w:sz w:val="20"/>
                <w:szCs w:val="20"/>
              </w:rPr>
            </w:pPr>
            <w:r w:rsidRPr="00B67F80">
              <w:rPr>
                <w:color w:val="000000" w:themeColor="text1"/>
                <w:sz w:val="20"/>
                <w:szCs w:val="20"/>
              </w:rPr>
              <w:t>0.24</w:t>
            </w:r>
          </w:p>
          <w:p w14:paraId="7D070A32" w14:textId="1E16CC54" w:rsidR="00974C24" w:rsidRPr="00B67F80" w:rsidRDefault="00B803D5" w:rsidP="00B803D5">
            <w:pPr>
              <w:jc w:val="center"/>
              <w:rPr>
                <w:color w:val="000000" w:themeColor="text1"/>
                <w:sz w:val="20"/>
                <w:szCs w:val="20"/>
              </w:rPr>
            </w:pPr>
            <w:r w:rsidRPr="00B67F80">
              <w:rPr>
                <w:color w:val="000000" w:themeColor="text1"/>
                <w:sz w:val="20"/>
                <w:szCs w:val="20"/>
              </w:rPr>
              <w:t>(0.35)</w:t>
            </w:r>
          </w:p>
        </w:tc>
        <w:tc>
          <w:tcPr>
            <w:tcW w:w="895" w:type="dxa"/>
            <w:vAlign w:val="center"/>
          </w:tcPr>
          <w:p w14:paraId="06084DC3" w14:textId="77777777" w:rsidR="00B803D5" w:rsidRPr="00B67F80" w:rsidRDefault="00B803D5" w:rsidP="00B803D5">
            <w:pPr>
              <w:jc w:val="center"/>
              <w:rPr>
                <w:b/>
                <w:bCs/>
                <w:color w:val="000000" w:themeColor="text1"/>
                <w:sz w:val="20"/>
                <w:szCs w:val="20"/>
              </w:rPr>
            </w:pPr>
            <w:r w:rsidRPr="00B67F80">
              <w:rPr>
                <w:b/>
                <w:bCs/>
                <w:color w:val="000000" w:themeColor="text1"/>
                <w:sz w:val="20"/>
                <w:szCs w:val="20"/>
              </w:rPr>
              <w:t>0.55</w:t>
            </w:r>
          </w:p>
          <w:p w14:paraId="4DFBB58C" w14:textId="079BF31B" w:rsidR="00974C24" w:rsidRPr="00B67F80" w:rsidRDefault="00B803D5" w:rsidP="00B803D5">
            <w:pPr>
              <w:jc w:val="center"/>
              <w:rPr>
                <w:color w:val="000000" w:themeColor="text1"/>
                <w:sz w:val="20"/>
                <w:szCs w:val="20"/>
              </w:rPr>
            </w:pPr>
            <w:r w:rsidRPr="00B67F80">
              <w:rPr>
                <w:b/>
                <w:bCs/>
                <w:color w:val="000000" w:themeColor="text1"/>
                <w:sz w:val="20"/>
                <w:szCs w:val="20"/>
              </w:rPr>
              <w:t>(0.31)</w:t>
            </w:r>
          </w:p>
        </w:tc>
        <w:tc>
          <w:tcPr>
            <w:tcW w:w="896" w:type="dxa"/>
            <w:vAlign w:val="center"/>
          </w:tcPr>
          <w:p w14:paraId="3A603972" w14:textId="77777777" w:rsidR="00B803D5" w:rsidRPr="00B67F80" w:rsidRDefault="00B803D5" w:rsidP="00B803D5">
            <w:pPr>
              <w:jc w:val="center"/>
              <w:rPr>
                <w:b/>
                <w:bCs/>
                <w:color w:val="000000" w:themeColor="text1"/>
                <w:sz w:val="20"/>
                <w:szCs w:val="20"/>
              </w:rPr>
            </w:pPr>
            <w:r w:rsidRPr="00B67F80">
              <w:rPr>
                <w:b/>
                <w:bCs/>
                <w:color w:val="000000" w:themeColor="text1"/>
                <w:sz w:val="20"/>
                <w:szCs w:val="20"/>
              </w:rPr>
              <w:t>0.40</w:t>
            </w:r>
          </w:p>
          <w:p w14:paraId="19CC3BEE" w14:textId="1888AFCB" w:rsidR="00974C24" w:rsidRPr="00B67F80" w:rsidRDefault="00B803D5" w:rsidP="00B803D5">
            <w:pPr>
              <w:jc w:val="center"/>
              <w:rPr>
                <w:color w:val="000000" w:themeColor="text1"/>
                <w:sz w:val="20"/>
                <w:szCs w:val="20"/>
              </w:rPr>
            </w:pPr>
            <w:r w:rsidRPr="00B67F80">
              <w:rPr>
                <w:b/>
                <w:bCs/>
                <w:color w:val="000000" w:themeColor="text1"/>
                <w:sz w:val="20"/>
                <w:szCs w:val="20"/>
              </w:rPr>
              <w:t>(0.25)</w:t>
            </w:r>
          </w:p>
        </w:tc>
        <w:tc>
          <w:tcPr>
            <w:tcW w:w="929" w:type="dxa"/>
            <w:vAlign w:val="center"/>
          </w:tcPr>
          <w:p w14:paraId="42E35A40" w14:textId="77777777" w:rsidR="00B803D5" w:rsidRPr="00B67F80" w:rsidRDefault="00B803D5" w:rsidP="00B803D5">
            <w:pPr>
              <w:jc w:val="center"/>
              <w:rPr>
                <w:color w:val="000000" w:themeColor="text1"/>
                <w:sz w:val="20"/>
                <w:szCs w:val="20"/>
              </w:rPr>
            </w:pPr>
            <w:r w:rsidRPr="00B67F80">
              <w:rPr>
                <w:color w:val="000000" w:themeColor="text1"/>
                <w:sz w:val="20"/>
                <w:szCs w:val="20"/>
              </w:rPr>
              <w:t>-0.38</w:t>
            </w:r>
          </w:p>
          <w:p w14:paraId="39263197" w14:textId="270A25CA" w:rsidR="00974C24" w:rsidRPr="00B67F80" w:rsidRDefault="00B803D5" w:rsidP="00B803D5">
            <w:pPr>
              <w:jc w:val="center"/>
              <w:rPr>
                <w:color w:val="000000" w:themeColor="text1"/>
                <w:sz w:val="20"/>
                <w:szCs w:val="20"/>
              </w:rPr>
            </w:pPr>
            <w:r w:rsidRPr="00B67F80">
              <w:rPr>
                <w:color w:val="000000" w:themeColor="text1"/>
                <w:sz w:val="20"/>
                <w:szCs w:val="20"/>
              </w:rPr>
              <w:t>(1.5)</w:t>
            </w:r>
          </w:p>
        </w:tc>
        <w:tc>
          <w:tcPr>
            <w:tcW w:w="896" w:type="dxa"/>
            <w:vAlign w:val="center"/>
          </w:tcPr>
          <w:p w14:paraId="16340AED" w14:textId="77777777" w:rsidR="00B803D5" w:rsidRPr="00B67F80" w:rsidRDefault="00B803D5" w:rsidP="00B803D5">
            <w:pPr>
              <w:jc w:val="center"/>
              <w:rPr>
                <w:b/>
                <w:bCs/>
                <w:color w:val="000000" w:themeColor="text1"/>
                <w:sz w:val="20"/>
                <w:szCs w:val="20"/>
              </w:rPr>
            </w:pPr>
            <w:r w:rsidRPr="00B67F80">
              <w:rPr>
                <w:b/>
                <w:bCs/>
                <w:color w:val="000000" w:themeColor="text1"/>
                <w:sz w:val="20"/>
                <w:szCs w:val="20"/>
              </w:rPr>
              <w:t>0.92</w:t>
            </w:r>
          </w:p>
          <w:p w14:paraId="5B366A80" w14:textId="6593E26A" w:rsidR="00974C24" w:rsidRPr="00B67F80" w:rsidRDefault="00B803D5" w:rsidP="00B803D5">
            <w:pPr>
              <w:jc w:val="center"/>
              <w:rPr>
                <w:color w:val="000000" w:themeColor="text1"/>
                <w:sz w:val="20"/>
                <w:szCs w:val="20"/>
              </w:rPr>
            </w:pPr>
            <w:r w:rsidRPr="00B67F80">
              <w:rPr>
                <w:b/>
                <w:bCs/>
                <w:color w:val="000000" w:themeColor="text1"/>
                <w:sz w:val="20"/>
                <w:szCs w:val="20"/>
              </w:rPr>
              <w:t>(0.69)</w:t>
            </w:r>
          </w:p>
        </w:tc>
        <w:tc>
          <w:tcPr>
            <w:tcW w:w="896" w:type="dxa"/>
            <w:vAlign w:val="center"/>
          </w:tcPr>
          <w:p w14:paraId="24469A08" w14:textId="77777777" w:rsidR="00B803D5" w:rsidRPr="00B67F80" w:rsidRDefault="00B803D5" w:rsidP="00B803D5">
            <w:pPr>
              <w:jc w:val="center"/>
              <w:rPr>
                <w:color w:val="000000" w:themeColor="text1"/>
                <w:sz w:val="20"/>
                <w:szCs w:val="20"/>
              </w:rPr>
            </w:pPr>
            <w:r w:rsidRPr="00B67F80">
              <w:rPr>
                <w:color w:val="000000" w:themeColor="text1"/>
                <w:sz w:val="20"/>
                <w:szCs w:val="20"/>
              </w:rPr>
              <w:t>0.27</w:t>
            </w:r>
          </w:p>
          <w:p w14:paraId="16A5E041" w14:textId="438FEFC2" w:rsidR="00974C24" w:rsidRPr="00B67F80" w:rsidRDefault="00B803D5" w:rsidP="00B803D5">
            <w:pPr>
              <w:jc w:val="center"/>
              <w:rPr>
                <w:color w:val="000000" w:themeColor="text1"/>
                <w:sz w:val="20"/>
                <w:szCs w:val="20"/>
              </w:rPr>
            </w:pPr>
            <w:r w:rsidRPr="00B67F80">
              <w:rPr>
                <w:color w:val="000000" w:themeColor="text1"/>
                <w:sz w:val="20"/>
                <w:szCs w:val="20"/>
              </w:rPr>
              <w:t>(1.1)</w:t>
            </w:r>
          </w:p>
        </w:tc>
        <w:tc>
          <w:tcPr>
            <w:tcW w:w="896" w:type="dxa"/>
            <w:vAlign w:val="center"/>
          </w:tcPr>
          <w:p w14:paraId="28E5D9E1" w14:textId="77777777" w:rsidR="00B803D5" w:rsidRPr="00B67F80" w:rsidRDefault="00B803D5" w:rsidP="00B803D5">
            <w:pPr>
              <w:jc w:val="center"/>
              <w:rPr>
                <w:color w:val="000000" w:themeColor="text1"/>
                <w:sz w:val="20"/>
                <w:szCs w:val="20"/>
              </w:rPr>
            </w:pPr>
            <w:r w:rsidRPr="00B67F80">
              <w:rPr>
                <w:color w:val="000000" w:themeColor="text1"/>
                <w:sz w:val="20"/>
                <w:szCs w:val="20"/>
              </w:rPr>
              <w:t>0.22</w:t>
            </w:r>
          </w:p>
          <w:p w14:paraId="283DB2A3" w14:textId="14E45559" w:rsidR="00974C24" w:rsidRPr="00B67F80" w:rsidRDefault="00B803D5" w:rsidP="00B803D5">
            <w:pPr>
              <w:jc w:val="center"/>
              <w:rPr>
                <w:color w:val="000000" w:themeColor="text1"/>
                <w:sz w:val="20"/>
                <w:szCs w:val="20"/>
              </w:rPr>
            </w:pPr>
            <w:r w:rsidRPr="00B67F80">
              <w:rPr>
                <w:color w:val="000000" w:themeColor="text1"/>
                <w:sz w:val="20"/>
                <w:szCs w:val="20"/>
              </w:rPr>
              <w:t>(0.26)</w:t>
            </w:r>
          </w:p>
        </w:tc>
        <w:tc>
          <w:tcPr>
            <w:tcW w:w="896" w:type="dxa"/>
            <w:vAlign w:val="center"/>
          </w:tcPr>
          <w:p w14:paraId="6FB8A92C" w14:textId="77777777" w:rsidR="00B803D5" w:rsidRPr="00B67F80" w:rsidRDefault="00B803D5" w:rsidP="00B803D5">
            <w:pPr>
              <w:jc w:val="center"/>
              <w:rPr>
                <w:color w:val="000000" w:themeColor="text1"/>
                <w:sz w:val="20"/>
                <w:szCs w:val="20"/>
              </w:rPr>
            </w:pPr>
            <w:r w:rsidRPr="00B67F80">
              <w:rPr>
                <w:color w:val="000000" w:themeColor="text1"/>
                <w:sz w:val="20"/>
                <w:szCs w:val="20"/>
              </w:rPr>
              <w:t>0.20</w:t>
            </w:r>
          </w:p>
          <w:p w14:paraId="7188C891" w14:textId="1A3EE73C" w:rsidR="00974C24" w:rsidRPr="00B67F80" w:rsidRDefault="00B803D5" w:rsidP="00B803D5">
            <w:pPr>
              <w:jc w:val="center"/>
              <w:rPr>
                <w:color w:val="000000" w:themeColor="text1"/>
                <w:sz w:val="20"/>
                <w:szCs w:val="20"/>
              </w:rPr>
            </w:pPr>
            <w:r w:rsidRPr="00B67F80">
              <w:rPr>
                <w:color w:val="000000" w:themeColor="text1"/>
                <w:sz w:val="20"/>
                <w:szCs w:val="20"/>
              </w:rPr>
              <w:t>(0.36)</w:t>
            </w:r>
          </w:p>
        </w:tc>
        <w:tc>
          <w:tcPr>
            <w:tcW w:w="896" w:type="dxa"/>
            <w:vAlign w:val="center"/>
          </w:tcPr>
          <w:p w14:paraId="6C45FAE5" w14:textId="77777777" w:rsidR="00B803D5" w:rsidRPr="00B67F80" w:rsidRDefault="00B803D5" w:rsidP="00B803D5">
            <w:pPr>
              <w:jc w:val="center"/>
              <w:rPr>
                <w:b/>
                <w:bCs/>
                <w:color w:val="000000" w:themeColor="text1"/>
                <w:sz w:val="20"/>
                <w:szCs w:val="20"/>
              </w:rPr>
            </w:pPr>
            <w:r w:rsidRPr="00B67F80">
              <w:rPr>
                <w:b/>
                <w:bCs/>
                <w:color w:val="000000" w:themeColor="text1"/>
                <w:sz w:val="20"/>
                <w:szCs w:val="20"/>
              </w:rPr>
              <w:t>0.21</w:t>
            </w:r>
          </w:p>
          <w:p w14:paraId="76302696" w14:textId="53B706EC" w:rsidR="00974C24" w:rsidRPr="00B67F80" w:rsidRDefault="00B803D5" w:rsidP="00B803D5">
            <w:pPr>
              <w:jc w:val="center"/>
              <w:rPr>
                <w:color w:val="000000" w:themeColor="text1"/>
                <w:sz w:val="20"/>
                <w:szCs w:val="20"/>
              </w:rPr>
            </w:pPr>
            <w:r w:rsidRPr="00B67F80">
              <w:rPr>
                <w:b/>
                <w:bCs/>
                <w:color w:val="000000" w:themeColor="text1"/>
                <w:sz w:val="20"/>
                <w:szCs w:val="20"/>
              </w:rPr>
              <w:t>(0.21)</w:t>
            </w:r>
          </w:p>
        </w:tc>
      </w:tr>
    </w:tbl>
    <w:p w14:paraId="7801DA3D" w14:textId="0F8E6E86" w:rsidR="00974C24" w:rsidRPr="00B67F80" w:rsidRDefault="00974C24">
      <w:pPr>
        <w:rPr>
          <w:color w:val="000000" w:themeColor="text1"/>
          <w:sz w:val="20"/>
          <w:szCs w:val="20"/>
        </w:rPr>
      </w:pPr>
      <w:r w:rsidRPr="00B67F80">
        <w:rPr>
          <w:color w:val="000000" w:themeColor="text1"/>
          <w:sz w:val="20"/>
          <w:szCs w:val="20"/>
        </w:rPr>
        <w:br w:type="page"/>
      </w:r>
    </w:p>
    <w:p w14:paraId="25025238" w14:textId="6A5232CB" w:rsidR="00EB3E6A" w:rsidRPr="00B67F80" w:rsidRDefault="00EB3E6A" w:rsidP="005F63A1">
      <w:pPr>
        <w:spacing w:after="120"/>
        <w:ind w:left="360" w:hanging="360"/>
        <w:rPr>
          <w:color w:val="000000" w:themeColor="text1"/>
          <w:sz w:val="20"/>
          <w:szCs w:val="20"/>
        </w:rPr>
      </w:pPr>
      <w:r w:rsidRPr="00B67F80">
        <w:rPr>
          <w:color w:val="000000" w:themeColor="text1"/>
          <w:sz w:val="20"/>
          <w:szCs w:val="20"/>
        </w:rPr>
        <w:lastRenderedPageBreak/>
        <w:t>Table 3</w:t>
      </w:r>
      <w:r w:rsidR="000E25B1" w:rsidRPr="00B67F80">
        <w:rPr>
          <w:color w:val="000000" w:themeColor="text1"/>
          <w:sz w:val="20"/>
          <w:szCs w:val="20"/>
        </w:rPr>
        <w:t xml:space="preserve"> Mean, </w:t>
      </w:r>
      <w:r w:rsidR="00A75FC7" w:rsidRPr="00B67F80">
        <w:rPr>
          <w:color w:val="000000" w:themeColor="text1"/>
          <w:sz w:val="20"/>
          <w:szCs w:val="20"/>
        </w:rPr>
        <w:t xml:space="preserve">anomaly </w:t>
      </w:r>
      <w:r w:rsidR="000E25B1" w:rsidRPr="00B67F80">
        <w:rPr>
          <w:color w:val="000000" w:themeColor="text1"/>
          <w:sz w:val="20"/>
          <w:szCs w:val="20"/>
        </w:rPr>
        <w:t>standard deviation and t</w:t>
      </w:r>
      <w:r w:rsidR="000E25B1" w:rsidRPr="00B67F80">
        <w:rPr>
          <w:color w:val="000000" w:themeColor="text1"/>
          <w:sz w:val="20"/>
          <w:szCs w:val="20"/>
          <w:lang w:val="en-GB"/>
        </w:rPr>
        <w:t xml:space="preserve">rend in monthly ocean heating rate during </w:t>
      </w:r>
      <w:r w:rsidR="000E25B1" w:rsidRPr="00B67F80">
        <w:rPr>
          <w:color w:val="000000" w:themeColor="text1"/>
          <w:sz w:val="20"/>
          <w:szCs w:val="20"/>
        </w:rPr>
        <w:t>03/2000-02/2020</w:t>
      </w:r>
      <w:r w:rsidR="000E25B1" w:rsidRPr="00B67F80">
        <w:rPr>
          <w:color w:val="000000" w:themeColor="text1"/>
          <w:sz w:val="20"/>
          <w:szCs w:val="20"/>
          <w:lang w:val="en-GB"/>
        </w:rPr>
        <w:t xml:space="preserve"> </w:t>
      </w:r>
      <w:r w:rsidR="000E25B1" w:rsidRPr="00B67F80">
        <w:rPr>
          <w:color w:val="000000" w:themeColor="text1"/>
          <w:sz w:val="20"/>
          <w:szCs w:val="20"/>
        </w:rPr>
        <w:t xml:space="preserve">for the SH, NH and global (total area). Numbers in parentheses correspond to uncertainty at 95% </w:t>
      </w:r>
      <w:r w:rsidR="00AD29A6">
        <w:rPr>
          <w:color w:val="000000" w:themeColor="text1"/>
          <w:sz w:val="20"/>
          <w:szCs w:val="20"/>
        </w:rPr>
        <w:t>confidence</w:t>
      </w:r>
      <w:r w:rsidR="00AD29A6" w:rsidRPr="00B67F80">
        <w:rPr>
          <w:color w:val="000000" w:themeColor="text1"/>
          <w:sz w:val="20"/>
          <w:szCs w:val="20"/>
        </w:rPr>
        <w:t xml:space="preserve"> </w:t>
      </w:r>
      <w:r w:rsidR="000E25B1" w:rsidRPr="00B67F80">
        <w:rPr>
          <w:color w:val="000000" w:themeColor="text1"/>
          <w:sz w:val="20"/>
          <w:szCs w:val="20"/>
        </w:rPr>
        <w:t xml:space="preserve">level. Bold indicates trend </w:t>
      </w:r>
      <w:r w:rsidR="00AD29A6">
        <w:rPr>
          <w:color w:val="000000" w:themeColor="text1"/>
          <w:sz w:val="20"/>
          <w:szCs w:val="20"/>
        </w:rPr>
        <w:t xml:space="preserve">is </w:t>
      </w:r>
      <w:r w:rsidR="000E25B1" w:rsidRPr="00B67F80">
        <w:rPr>
          <w:color w:val="000000" w:themeColor="text1"/>
          <w:sz w:val="20"/>
          <w:szCs w:val="20"/>
        </w:rPr>
        <w:t xml:space="preserve">above </w:t>
      </w:r>
      <w:r w:rsidR="00AD29A6">
        <w:rPr>
          <w:color w:val="000000" w:themeColor="text1"/>
          <w:sz w:val="20"/>
          <w:szCs w:val="20"/>
        </w:rPr>
        <w:t xml:space="preserve">the </w:t>
      </w:r>
      <w:r w:rsidR="000E25B1" w:rsidRPr="00B67F80">
        <w:rPr>
          <w:color w:val="000000" w:themeColor="text1"/>
          <w:sz w:val="20"/>
          <w:szCs w:val="20"/>
        </w:rPr>
        <w:t xml:space="preserve">95% </w:t>
      </w:r>
      <w:r w:rsidR="00AD29A6">
        <w:rPr>
          <w:color w:val="000000" w:themeColor="text1"/>
          <w:sz w:val="20"/>
          <w:szCs w:val="20"/>
        </w:rPr>
        <w:t>confidence level</w:t>
      </w:r>
      <w:r w:rsidR="000E25B1" w:rsidRPr="00B67F80">
        <w:rPr>
          <w:color w:val="000000" w:themeColor="text1"/>
          <w:sz w:val="20"/>
          <w:szCs w:val="20"/>
        </w:rPr>
        <w:t>.</w:t>
      </w:r>
    </w:p>
    <w:tbl>
      <w:tblPr>
        <w:tblStyle w:val="TableGrid"/>
        <w:tblW w:w="6703" w:type="dxa"/>
        <w:jc w:val="center"/>
        <w:tblLayout w:type="fixed"/>
        <w:tblLook w:val="04A0" w:firstRow="1" w:lastRow="0" w:firstColumn="1" w:lastColumn="0" w:noHBand="0" w:noVBand="1"/>
      </w:tblPr>
      <w:tblGrid>
        <w:gridCol w:w="1296"/>
        <w:gridCol w:w="895"/>
        <w:gridCol w:w="895"/>
        <w:gridCol w:w="896"/>
        <w:gridCol w:w="929"/>
        <w:gridCol w:w="896"/>
        <w:gridCol w:w="896"/>
      </w:tblGrid>
      <w:tr w:rsidR="00B67F80" w:rsidRPr="00B67F80" w14:paraId="00E15DB6" w14:textId="77777777" w:rsidTr="00B26E7C">
        <w:trPr>
          <w:jc w:val="center"/>
        </w:trPr>
        <w:tc>
          <w:tcPr>
            <w:tcW w:w="1296" w:type="dxa"/>
            <w:vAlign w:val="center"/>
          </w:tcPr>
          <w:p w14:paraId="6518F719" w14:textId="77777777" w:rsidR="00EB3E6A" w:rsidRPr="00B67F80" w:rsidRDefault="00EB3E6A" w:rsidP="00B26E7C">
            <w:pPr>
              <w:jc w:val="center"/>
              <w:rPr>
                <w:color w:val="000000" w:themeColor="text1"/>
                <w:sz w:val="20"/>
                <w:szCs w:val="20"/>
              </w:rPr>
            </w:pPr>
          </w:p>
        </w:tc>
        <w:tc>
          <w:tcPr>
            <w:tcW w:w="5407" w:type="dxa"/>
            <w:gridSpan w:val="6"/>
            <w:vAlign w:val="center"/>
          </w:tcPr>
          <w:p w14:paraId="09CC623C" w14:textId="77777777" w:rsidR="00EB3E6A" w:rsidRPr="00B67F80" w:rsidRDefault="00EB3E6A" w:rsidP="00B26E7C">
            <w:pPr>
              <w:jc w:val="center"/>
              <w:rPr>
                <w:b/>
                <w:bCs/>
                <w:color w:val="000000" w:themeColor="text1"/>
                <w:sz w:val="20"/>
                <w:szCs w:val="20"/>
              </w:rPr>
            </w:pPr>
            <w:r w:rsidRPr="00B67F80">
              <w:rPr>
                <w:b/>
                <w:bCs/>
                <w:color w:val="000000" w:themeColor="text1"/>
                <w:sz w:val="20"/>
                <w:szCs w:val="20"/>
              </w:rPr>
              <w:t>ORAS5</w:t>
            </w:r>
          </w:p>
        </w:tc>
      </w:tr>
      <w:tr w:rsidR="00B67F80" w:rsidRPr="00B67F80" w14:paraId="7992ADD4" w14:textId="77777777" w:rsidTr="00B26E7C">
        <w:trPr>
          <w:jc w:val="center"/>
        </w:trPr>
        <w:tc>
          <w:tcPr>
            <w:tcW w:w="1296" w:type="dxa"/>
            <w:vAlign w:val="center"/>
          </w:tcPr>
          <w:p w14:paraId="60D4AE49" w14:textId="77777777" w:rsidR="000E39CE" w:rsidRPr="00B67F80" w:rsidRDefault="000E39CE" w:rsidP="000E39CE">
            <w:pPr>
              <w:jc w:val="center"/>
              <w:rPr>
                <w:color w:val="000000" w:themeColor="text1"/>
                <w:sz w:val="20"/>
                <w:szCs w:val="20"/>
              </w:rPr>
            </w:pPr>
          </w:p>
        </w:tc>
        <w:tc>
          <w:tcPr>
            <w:tcW w:w="2686" w:type="dxa"/>
            <w:gridSpan w:val="3"/>
            <w:vAlign w:val="center"/>
          </w:tcPr>
          <w:p w14:paraId="5A2F15F0" w14:textId="7F3D60E0" w:rsidR="000E39CE" w:rsidRPr="00B67F80" w:rsidRDefault="000E39CE" w:rsidP="000E39CE">
            <w:pPr>
              <w:jc w:val="center"/>
              <w:rPr>
                <w:color w:val="000000" w:themeColor="text1"/>
                <w:sz w:val="20"/>
                <w:szCs w:val="20"/>
              </w:rPr>
            </w:pPr>
            <w:r w:rsidRPr="00B67F80">
              <w:rPr>
                <w:color w:val="000000" w:themeColor="text1"/>
                <w:sz w:val="20"/>
                <w:szCs w:val="20"/>
              </w:rPr>
              <w:t>0-700 m</w:t>
            </w:r>
          </w:p>
        </w:tc>
        <w:tc>
          <w:tcPr>
            <w:tcW w:w="2721" w:type="dxa"/>
            <w:gridSpan w:val="3"/>
            <w:vAlign w:val="center"/>
          </w:tcPr>
          <w:p w14:paraId="5B69814F" w14:textId="3AA717E5" w:rsidR="000E39CE" w:rsidRPr="00B67F80" w:rsidRDefault="000E39CE" w:rsidP="000E39CE">
            <w:pPr>
              <w:jc w:val="center"/>
              <w:rPr>
                <w:color w:val="000000" w:themeColor="text1"/>
                <w:sz w:val="20"/>
                <w:szCs w:val="20"/>
              </w:rPr>
            </w:pPr>
            <w:r w:rsidRPr="00B67F80">
              <w:rPr>
                <w:color w:val="000000" w:themeColor="text1"/>
                <w:kern w:val="24"/>
                <w:sz w:val="20"/>
                <w:szCs w:val="20"/>
              </w:rPr>
              <w:t>Full Depth</w:t>
            </w:r>
          </w:p>
        </w:tc>
      </w:tr>
      <w:tr w:rsidR="00B67F80" w:rsidRPr="00B67F80" w14:paraId="7517DB3B" w14:textId="77777777" w:rsidTr="00B26E7C">
        <w:trPr>
          <w:jc w:val="center"/>
        </w:trPr>
        <w:tc>
          <w:tcPr>
            <w:tcW w:w="1296" w:type="dxa"/>
            <w:vAlign w:val="center"/>
          </w:tcPr>
          <w:p w14:paraId="0B23A112" w14:textId="77777777" w:rsidR="00EB3E6A" w:rsidRPr="00B67F80" w:rsidRDefault="00EB3E6A" w:rsidP="00B26E7C">
            <w:pPr>
              <w:jc w:val="center"/>
              <w:rPr>
                <w:color w:val="000000" w:themeColor="text1"/>
                <w:sz w:val="20"/>
                <w:szCs w:val="20"/>
              </w:rPr>
            </w:pPr>
          </w:p>
        </w:tc>
        <w:tc>
          <w:tcPr>
            <w:tcW w:w="895" w:type="dxa"/>
            <w:vAlign w:val="center"/>
          </w:tcPr>
          <w:p w14:paraId="70E6D72C" w14:textId="77777777" w:rsidR="00EB3E6A" w:rsidRPr="00B67F80" w:rsidRDefault="00EB3E6A" w:rsidP="00B26E7C">
            <w:pPr>
              <w:jc w:val="center"/>
              <w:rPr>
                <w:color w:val="000000" w:themeColor="text1"/>
                <w:sz w:val="20"/>
                <w:szCs w:val="20"/>
              </w:rPr>
            </w:pPr>
            <w:r w:rsidRPr="00B67F80">
              <w:rPr>
                <w:color w:val="000000" w:themeColor="text1"/>
                <w:sz w:val="20"/>
                <w:szCs w:val="20"/>
              </w:rPr>
              <w:t>SH</w:t>
            </w:r>
          </w:p>
        </w:tc>
        <w:tc>
          <w:tcPr>
            <w:tcW w:w="895" w:type="dxa"/>
            <w:vAlign w:val="center"/>
          </w:tcPr>
          <w:p w14:paraId="62D9B68F" w14:textId="77777777" w:rsidR="00EB3E6A" w:rsidRPr="00B67F80" w:rsidRDefault="00EB3E6A"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553D644A" w14:textId="77777777" w:rsidR="00EB3E6A" w:rsidRPr="00B67F80" w:rsidRDefault="00EB3E6A" w:rsidP="00B26E7C">
            <w:pPr>
              <w:jc w:val="center"/>
              <w:rPr>
                <w:color w:val="000000" w:themeColor="text1"/>
                <w:sz w:val="20"/>
                <w:szCs w:val="20"/>
              </w:rPr>
            </w:pPr>
            <w:r w:rsidRPr="00B67F80">
              <w:rPr>
                <w:color w:val="000000" w:themeColor="text1"/>
                <w:sz w:val="20"/>
                <w:szCs w:val="20"/>
              </w:rPr>
              <w:t>Global</w:t>
            </w:r>
          </w:p>
        </w:tc>
        <w:tc>
          <w:tcPr>
            <w:tcW w:w="929" w:type="dxa"/>
            <w:vAlign w:val="center"/>
          </w:tcPr>
          <w:p w14:paraId="2F3D4AA4" w14:textId="77777777" w:rsidR="00EB3E6A" w:rsidRPr="00B67F80" w:rsidRDefault="00EB3E6A"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5D6554A9" w14:textId="77777777" w:rsidR="00EB3E6A" w:rsidRPr="00B67F80" w:rsidRDefault="00EB3E6A"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136DC47E" w14:textId="77777777" w:rsidR="00EB3E6A" w:rsidRPr="00B67F80" w:rsidRDefault="00EB3E6A" w:rsidP="00B26E7C">
            <w:pPr>
              <w:jc w:val="center"/>
              <w:rPr>
                <w:color w:val="000000" w:themeColor="text1"/>
                <w:sz w:val="20"/>
                <w:szCs w:val="20"/>
              </w:rPr>
            </w:pPr>
            <w:r w:rsidRPr="00B67F80">
              <w:rPr>
                <w:color w:val="000000" w:themeColor="text1"/>
                <w:sz w:val="20"/>
                <w:szCs w:val="20"/>
              </w:rPr>
              <w:t>Global</w:t>
            </w:r>
          </w:p>
        </w:tc>
      </w:tr>
      <w:tr w:rsidR="00B67F80" w:rsidRPr="00B67F80" w14:paraId="042E649E" w14:textId="77777777" w:rsidTr="00B26E7C">
        <w:trPr>
          <w:jc w:val="center"/>
        </w:trPr>
        <w:tc>
          <w:tcPr>
            <w:tcW w:w="1296" w:type="dxa"/>
            <w:vAlign w:val="center"/>
          </w:tcPr>
          <w:p w14:paraId="2F424EE3" w14:textId="77777777" w:rsidR="00EB3E6A" w:rsidRPr="00B67F80" w:rsidRDefault="00EB3E6A" w:rsidP="00B26E7C">
            <w:pPr>
              <w:jc w:val="center"/>
              <w:rPr>
                <w:color w:val="000000" w:themeColor="text1"/>
                <w:sz w:val="20"/>
                <w:szCs w:val="20"/>
              </w:rPr>
            </w:pPr>
            <w:r w:rsidRPr="00B67F80">
              <w:rPr>
                <w:color w:val="000000" w:themeColor="text1"/>
                <w:sz w:val="20"/>
                <w:szCs w:val="20"/>
              </w:rPr>
              <w:t>Mean</w:t>
            </w:r>
          </w:p>
          <w:p w14:paraId="1DD91609" w14:textId="77777777" w:rsidR="00EB3E6A" w:rsidRPr="00B67F80" w:rsidRDefault="00EB3E6A"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2C2F1A42" w14:textId="20259134" w:rsidR="00EB3E6A" w:rsidRPr="00B67F80" w:rsidRDefault="0080048C" w:rsidP="00B26E7C">
            <w:pPr>
              <w:jc w:val="center"/>
              <w:rPr>
                <w:color w:val="000000" w:themeColor="text1"/>
                <w:sz w:val="20"/>
                <w:szCs w:val="20"/>
              </w:rPr>
            </w:pPr>
            <w:r w:rsidRPr="00B67F80">
              <w:rPr>
                <w:color w:val="000000" w:themeColor="text1"/>
                <w:sz w:val="20"/>
                <w:szCs w:val="20"/>
              </w:rPr>
              <w:t>0.65</w:t>
            </w:r>
          </w:p>
        </w:tc>
        <w:tc>
          <w:tcPr>
            <w:tcW w:w="895" w:type="dxa"/>
            <w:vAlign w:val="center"/>
          </w:tcPr>
          <w:p w14:paraId="260F184A" w14:textId="639A9CA6" w:rsidR="00EB3E6A" w:rsidRPr="00B67F80" w:rsidRDefault="0080048C" w:rsidP="00B26E7C">
            <w:pPr>
              <w:jc w:val="center"/>
              <w:rPr>
                <w:color w:val="000000" w:themeColor="text1"/>
                <w:sz w:val="20"/>
                <w:szCs w:val="20"/>
              </w:rPr>
            </w:pPr>
            <w:r w:rsidRPr="00B67F80">
              <w:rPr>
                <w:color w:val="000000" w:themeColor="text1"/>
                <w:sz w:val="20"/>
                <w:szCs w:val="20"/>
              </w:rPr>
              <w:t>0.50</w:t>
            </w:r>
          </w:p>
        </w:tc>
        <w:tc>
          <w:tcPr>
            <w:tcW w:w="896" w:type="dxa"/>
            <w:vAlign w:val="center"/>
          </w:tcPr>
          <w:p w14:paraId="2C239F35" w14:textId="05F7FD57" w:rsidR="00EB3E6A" w:rsidRPr="00B67F80" w:rsidRDefault="0088499C" w:rsidP="00B26E7C">
            <w:pPr>
              <w:jc w:val="center"/>
              <w:rPr>
                <w:color w:val="000000" w:themeColor="text1"/>
                <w:sz w:val="20"/>
                <w:szCs w:val="20"/>
              </w:rPr>
            </w:pPr>
            <w:r w:rsidRPr="00B67F80">
              <w:rPr>
                <w:color w:val="000000" w:themeColor="text1"/>
                <w:sz w:val="20"/>
                <w:szCs w:val="20"/>
              </w:rPr>
              <w:t>0.57</w:t>
            </w:r>
          </w:p>
        </w:tc>
        <w:tc>
          <w:tcPr>
            <w:tcW w:w="929" w:type="dxa"/>
            <w:vAlign w:val="center"/>
          </w:tcPr>
          <w:p w14:paraId="6D9F834D" w14:textId="6226C0CC" w:rsidR="00EB3E6A" w:rsidRPr="00B67F80" w:rsidRDefault="0080048C" w:rsidP="00B26E7C">
            <w:pPr>
              <w:jc w:val="center"/>
              <w:rPr>
                <w:color w:val="000000" w:themeColor="text1"/>
                <w:sz w:val="20"/>
                <w:szCs w:val="20"/>
              </w:rPr>
            </w:pPr>
            <w:r w:rsidRPr="00B67F80">
              <w:rPr>
                <w:color w:val="000000" w:themeColor="text1"/>
                <w:sz w:val="20"/>
                <w:szCs w:val="20"/>
              </w:rPr>
              <w:t>1.2</w:t>
            </w:r>
          </w:p>
        </w:tc>
        <w:tc>
          <w:tcPr>
            <w:tcW w:w="896" w:type="dxa"/>
            <w:vAlign w:val="center"/>
          </w:tcPr>
          <w:p w14:paraId="1B7D1304" w14:textId="300D2F1F" w:rsidR="00EB3E6A" w:rsidRPr="00B67F80" w:rsidRDefault="0088499C" w:rsidP="00B26E7C">
            <w:pPr>
              <w:jc w:val="center"/>
              <w:rPr>
                <w:color w:val="000000" w:themeColor="text1"/>
                <w:sz w:val="20"/>
                <w:szCs w:val="20"/>
              </w:rPr>
            </w:pPr>
            <w:r w:rsidRPr="00B67F80">
              <w:rPr>
                <w:color w:val="000000" w:themeColor="text1"/>
                <w:sz w:val="20"/>
                <w:szCs w:val="20"/>
              </w:rPr>
              <w:t>0.87</w:t>
            </w:r>
          </w:p>
        </w:tc>
        <w:tc>
          <w:tcPr>
            <w:tcW w:w="896" w:type="dxa"/>
            <w:vAlign w:val="center"/>
          </w:tcPr>
          <w:p w14:paraId="284F459D" w14:textId="0A789802" w:rsidR="00EB3E6A" w:rsidRPr="00B67F80" w:rsidRDefault="0088499C" w:rsidP="00B26E7C">
            <w:pPr>
              <w:jc w:val="center"/>
              <w:rPr>
                <w:color w:val="000000" w:themeColor="text1"/>
                <w:sz w:val="20"/>
                <w:szCs w:val="20"/>
              </w:rPr>
            </w:pPr>
            <w:r w:rsidRPr="00B67F80">
              <w:rPr>
                <w:color w:val="000000" w:themeColor="text1"/>
                <w:sz w:val="20"/>
                <w:szCs w:val="20"/>
              </w:rPr>
              <w:t>1.0</w:t>
            </w:r>
          </w:p>
        </w:tc>
      </w:tr>
      <w:tr w:rsidR="00B67F80" w:rsidRPr="00B67F80" w14:paraId="00B2CB2F" w14:textId="77777777" w:rsidTr="00B26E7C">
        <w:trPr>
          <w:jc w:val="center"/>
        </w:trPr>
        <w:tc>
          <w:tcPr>
            <w:tcW w:w="1296" w:type="dxa"/>
            <w:vAlign w:val="center"/>
          </w:tcPr>
          <w:p w14:paraId="02D6A6F1" w14:textId="77777777" w:rsidR="00EB3E6A" w:rsidRPr="00B67F80" w:rsidRDefault="00EB3E6A" w:rsidP="00B26E7C">
            <w:pPr>
              <w:jc w:val="center"/>
              <w:rPr>
                <w:color w:val="000000" w:themeColor="text1"/>
                <w:sz w:val="20"/>
                <w:szCs w:val="20"/>
              </w:rPr>
            </w:pPr>
            <w:proofErr w:type="spellStart"/>
            <w:r w:rsidRPr="00B67F80">
              <w:rPr>
                <w:color w:val="000000" w:themeColor="text1"/>
                <w:sz w:val="20"/>
                <w:szCs w:val="20"/>
              </w:rPr>
              <w:t>Stdev</w:t>
            </w:r>
            <w:proofErr w:type="spellEnd"/>
          </w:p>
          <w:p w14:paraId="7FCF1F19" w14:textId="77777777" w:rsidR="00EB3E6A" w:rsidRPr="00B67F80" w:rsidRDefault="00EB3E6A"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47E90116" w14:textId="138FC1E7" w:rsidR="00EB3E6A" w:rsidRPr="00B67F80" w:rsidRDefault="0080048C" w:rsidP="00B26E7C">
            <w:pPr>
              <w:jc w:val="center"/>
              <w:rPr>
                <w:color w:val="000000" w:themeColor="text1"/>
                <w:sz w:val="20"/>
                <w:szCs w:val="20"/>
              </w:rPr>
            </w:pPr>
            <w:r w:rsidRPr="00B67F80">
              <w:rPr>
                <w:color w:val="000000" w:themeColor="text1"/>
                <w:sz w:val="20"/>
                <w:szCs w:val="20"/>
              </w:rPr>
              <w:t>2.4</w:t>
            </w:r>
          </w:p>
        </w:tc>
        <w:tc>
          <w:tcPr>
            <w:tcW w:w="895" w:type="dxa"/>
            <w:vAlign w:val="center"/>
          </w:tcPr>
          <w:p w14:paraId="50DB9543" w14:textId="51CDB058" w:rsidR="00EB3E6A" w:rsidRPr="00B67F80" w:rsidRDefault="0080048C" w:rsidP="00B26E7C">
            <w:pPr>
              <w:jc w:val="center"/>
              <w:rPr>
                <w:color w:val="000000" w:themeColor="text1"/>
                <w:sz w:val="20"/>
                <w:szCs w:val="20"/>
              </w:rPr>
            </w:pPr>
            <w:r w:rsidRPr="00B67F80">
              <w:rPr>
                <w:color w:val="000000" w:themeColor="text1"/>
                <w:sz w:val="20"/>
                <w:szCs w:val="20"/>
              </w:rPr>
              <w:t>2.5</w:t>
            </w:r>
          </w:p>
        </w:tc>
        <w:tc>
          <w:tcPr>
            <w:tcW w:w="896" w:type="dxa"/>
            <w:vAlign w:val="center"/>
          </w:tcPr>
          <w:p w14:paraId="12FA173D" w14:textId="5C472D60" w:rsidR="00EB3E6A" w:rsidRPr="00B67F80" w:rsidRDefault="0088499C" w:rsidP="00B26E7C">
            <w:pPr>
              <w:jc w:val="center"/>
              <w:rPr>
                <w:color w:val="000000" w:themeColor="text1"/>
                <w:sz w:val="20"/>
                <w:szCs w:val="20"/>
              </w:rPr>
            </w:pPr>
            <w:r w:rsidRPr="00B67F80">
              <w:rPr>
                <w:color w:val="000000" w:themeColor="text1"/>
                <w:sz w:val="20"/>
                <w:szCs w:val="20"/>
              </w:rPr>
              <w:t>1.0</w:t>
            </w:r>
          </w:p>
        </w:tc>
        <w:tc>
          <w:tcPr>
            <w:tcW w:w="929" w:type="dxa"/>
            <w:vAlign w:val="center"/>
          </w:tcPr>
          <w:p w14:paraId="1F5A4838" w14:textId="0915B6CD" w:rsidR="00EB3E6A" w:rsidRPr="00B67F80" w:rsidRDefault="0080048C" w:rsidP="00B26E7C">
            <w:pPr>
              <w:jc w:val="center"/>
              <w:rPr>
                <w:color w:val="000000" w:themeColor="text1"/>
                <w:sz w:val="20"/>
                <w:szCs w:val="20"/>
              </w:rPr>
            </w:pPr>
            <w:r w:rsidRPr="00B67F80">
              <w:rPr>
                <w:color w:val="000000" w:themeColor="text1"/>
                <w:sz w:val="20"/>
                <w:szCs w:val="20"/>
              </w:rPr>
              <w:t>2.6</w:t>
            </w:r>
          </w:p>
        </w:tc>
        <w:tc>
          <w:tcPr>
            <w:tcW w:w="896" w:type="dxa"/>
            <w:vAlign w:val="center"/>
          </w:tcPr>
          <w:p w14:paraId="659143A4" w14:textId="5BA740ED" w:rsidR="00EB3E6A" w:rsidRPr="00B67F80" w:rsidRDefault="0088499C" w:rsidP="00B26E7C">
            <w:pPr>
              <w:jc w:val="center"/>
              <w:rPr>
                <w:color w:val="000000" w:themeColor="text1"/>
                <w:sz w:val="20"/>
                <w:szCs w:val="20"/>
              </w:rPr>
            </w:pPr>
            <w:r w:rsidRPr="00B67F80">
              <w:rPr>
                <w:color w:val="000000" w:themeColor="text1"/>
                <w:sz w:val="20"/>
                <w:szCs w:val="20"/>
              </w:rPr>
              <w:t>2.8</w:t>
            </w:r>
          </w:p>
        </w:tc>
        <w:tc>
          <w:tcPr>
            <w:tcW w:w="896" w:type="dxa"/>
            <w:vAlign w:val="center"/>
          </w:tcPr>
          <w:p w14:paraId="10DCC65E" w14:textId="6CF42335" w:rsidR="00EB3E6A" w:rsidRPr="00B67F80" w:rsidRDefault="0088499C" w:rsidP="00B26E7C">
            <w:pPr>
              <w:jc w:val="center"/>
              <w:rPr>
                <w:color w:val="000000" w:themeColor="text1"/>
                <w:sz w:val="20"/>
                <w:szCs w:val="20"/>
              </w:rPr>
            </w:pPr>
            <w:r w:rsidRPr="00B67F80">
              <w:rPr>
                <w:color w:val="000000" w:themeColor="text1"/>
                <w:sz w:val="20"/>
                <w:szCs w:val="20"/>
              </w:rPr>
              <w:t>1.1</w:t>
            </w:r>
          </w:p>
        </w:tc>
      </w:tr>
      <w:tr w:rsidR="00B67F80" w:rsidRPr="00B67F80" w14:paraId="7CC74D96" w14:textId="77777777" w:rsidTr="00B26E7C">
        <w:trPr>
          <w:jc w:val="center"/>
        </w:trPr>
        <w:tc>
          <w:tcPr>
            <w:tcW w:w="1296" w:type="dxa"/>
            <w:vAlign w:val="center"/>
          </w:tcPr>
          <w:p w14:paraId="6629850A" w14:textId="77777777" w:rsidR="00FF7613" w:rsidRPr="00B67F80" w:rsidRDefault="00FF7613" w:rsidP="00FF7613">
            <w:pPr>
              <w:jc w:val="center"/>
              <w:rPr>
                <w:color w:val="000000" w:themeColor="text1"/>
                <w:sz w:val="20"/>
                <w:szCs w:val="20"/>
              </w:rPr>
            </w:pPr>
            <w:r w:rsidRPr="00B67F80">
              <w:rPr>
                <w:color w:val="000000" w:themeColor="text1"/>
                <w:sz w:val="20"/>
                <w:szCs w:val="20"/>
              </w:rPr>
              <w:t>Trend</w:t>
            </w:r>
          </w:p>
          <w:p w14:paraId="61E1CEF6"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1EC35D59" w14:textId="77777777" w:rsidR="00FF7613" w:rsidRPr="00B67F80" w:rsidRDefault="00FF7613" w:rsidP="00FF7613">
            <w:pPr>
              <w:jc w:val="center"/>
              <w:rPr>
                <w:color w:val="000000" w:themeColor="text1"/>
                <w:sz w:val="20"/>
                <w:szCs w:val="20"/>
              </w:rPr>
            </w:pPr>
            <w:r w:rsidRPr="00B67F80">
              <w:rPr>
                <w:color w:val="000000" w:themeColor="text1"/>
                <w:sz w:val="20"/>
                <w:szCs w:val="20"/>
              </w:rPr>
              <w:t>-0.11</w:t>
            </w:r>
          </w:p>
          <w:p w14:paraId="2ECDA21D" w14:textId="47E0D894" w:rsidR="00FF7613" w:rsidRPr="00B67F80" w:rsidRDefault="00FF7613" w:rsidP="00FF7613">
            <w:pPr>
              <w:jc w:val="center"/>
              <w:rPr>
                <w:color w:val="000000" w:themeColor="text1"/>
                <w:sz w:val="20"/>
                <w:szCs w:val="20"/>
              </w:rPr>
            </w:pPr>
            <w:r w:rsidRPr="00B67F80">
              <w:rPr>
                <w:color w:val="000000" w:themeColor="text1"/>
                <w:sz w:val="20"/>
                <w:szCs w:val="20"/>
              </w:rPr>
              <w:t>(1.0)</w:t>
            </w:r>
          </w:p>
        </w:tc>
        <w:tc>
          <w:tcPr>
            <w:tcW w:w="895" w:type="dxa"/>
            <w:vAlign w:val="center"/>
          </w:tcPr>
          <w:p w14:paraId="17E176EA" w14:textId="77777777" w:rsidR="00FF7613" w:rsidRPr="00B67F80" w:rsidRDefault="00FF7613" w:rsidP="00FF7613">
            <w:pPr>
              <w:jc w:val="center"/>
              <w:rPr>
                <w:color w:val="000000" w:themeColor="text1"/>
                <w:sz w:val="20"/>
                <w:szCs w:val="20"/>
              </w:rPr>
            </w:pPr>
            <w:r w:rsidRPr="00B67F80">
              <w:rPr>
                <w:color w:val="000000" w:themeColor="text1"/>
                <w:sz w:val="20"/>
                <w:szCs w:val="20"/>
              </w:rPr>
              <w:t>-0.062</w:t>
            </w:r>
          </w:p>
          <w:p w14:paraId="21D0F7D9" w14:textId="3F9BBDFC" w:rsidR="00FF7613" w:rsidRPr="00B67F80" w:rsidRDefault="00FF7613" w:rsidP="00FF7613">
            <w:pPr>
              <w:jc w:val="center"/>
              <w:rPr>
                <w:color w:val="000000" w:themeColor="text1"/>
                <w:sz w:val="20"/>
                <w:szCs w:val="20"/>
              </w:rPr>
            </w:pPr>
            <w:r w:rsidRPr="00B67F80">
              <w:rPr>
                <w:color w:val="000000" w:themeColor="text1"/>
                <w:sz w:val="20"/>
                <w:szCs w:val="20"/>
              </w:rPr>
              <w:t>(0.98)</w:t>
            </w:r>
          </w:p>
        </w:tc>
        <w:tc>
          <w:tcPr>
            <w:tcW w:w="896" w:type="dxa"/>
            <w:vAlign w:val="center"/>
          </w:tcPr>
          <w:p w14:paraId="54D43141" w14:textId="77777777" w:rsidR="00FF7613" w:rsidRPr="00B67F80" w:rsidRDefault="00FF7613" w:rsidP="00FF7613">
            <w:pPr>
              <w:jc w:val="center"/>
              <w:rPr>
                <w:color w:val="000000" w:themeColor="text1"/>
                <w:sz w:val="20"/>
                <w:szCs w:val="20"/>
              </w:rPr>
            </w:pPr>
            <w:r w:rsidRPr="00B67F80">
              <w:rPr>
                <w:color w:val="000000" w:themeColor="text1"/>
                <w:sz w:val="20"/>
                <w:szCs w:val="20"/>
              </w:rPr>
              <w:t>-0.086</w:t>
            </w:r>
          </w:p>
          <w:p w14:paraId="68C0F3FB" w14:textId="6B727A1B" w:rsidR="00FF7613" w:rsidRPr="00B67F80" w:rsidRDefault="00FF7613" w:rsidP="00FF7613">
            <w:pPr>
              <w:jc w:val="center"/>
              <w:rPr>
                <w:color w:val="000000" w:themeColor="text1"/>
                <w:sz w:val="20"/>
                <w:szCs w:val="20"/>
              </w:rPr>
            </w:pPr>
            <w:r w:rsidRPr="00B67F80">
              <w:rPr>
                <w:color w:val="000000" w:themeColor="text1"/>
                <w:sz w:val="20"/>
                <w:szCs w:val="20"/>
              </w:rPr>
              <w:t>(0.31)</w:t>
            </w:r>
          </w:p>
        </w:tc>
        <w:tc>
          <w:tcPr>
            <w:tcW w:w="929" w:type="dxa"/>
            <w:vAlign w:val="center"/>
          </w:tcPr>
          <w:p w14:paraId="21C34271" w14:textId="77777777" w:rsidR="00FF7613" w:rsidRPr="00B67F80" w:rsidRDefault="00FF7613" w:rsidP="00FF7613">
            <w:pPr>
              <w:jc w:val="center"/>
              <w:rPr>
                <w:color w:val="000000" w:themeColor="text1"/>
                <w:sz w:val="20"/>
                <w:szCs w:val="20"/>
              </w:rPr>
            </w:pPr>
            <w:r w:rsidRPr="00B67F80">
              <w:rPr>
                <w:color w:val="000000" w:themeColor="text1"/>
                <w:sz w:val="20"/>
                <w:szCs w:val="20"/>
              </w:rPr>
              <w:t>-0.24</w:t>
            </w:r>
          </w:p>
          <w:p w14:paraId="4D5CCE35" w14:textId="5AD89A6D" w:rsidR="00FF7613" w:rsidRPr="00B67F80" w:rsidRDefault="00FF7613" w:rsidP="00FF7613">
            <w:pPr>
              <w:jc w:val="center"/>
              <w:rPr>
                <w:color w:val="000000" w:themeColor="text1"/>
                <w:sz w:val="20"/>
                <w:szCs w:val="20"/>
              </w:rPr>
            </w:pPr>
            <w:r w:rsidRPr="00B67F80">
              <w:rPr>
                <w:color w:val="000000" w:themeColor="text1"/>
                <w:sz w:val="20"/>
                <w:szCs w:val="20"/>
              </w:rPr>
              <w:t>(1.1)</w:t>
            </w:r>
          </w:p>
        </w:tc>
        <w:tc>
          <w:tcPr>
            <w:tcW w:w="896" w:type="dxa"/>
            <w:vAlign w:val="center"/>
          </w:tcPr>
          <w:p w14:paraId="42A93C56" w14:textId="77777777" w:rsidR="00FF7613" w:rsidRPr="00B67F80" w:rsidRDefault="00FF7613" w:rsidP="00FF7613">
            <w:pPr>
              <w:jc w:val="center"/>
              <w:rPr>
                <w:color w:val="000000" w:themeColor="text1"/>
                <w:sz w:val="20"/>
                <w:szCs w:val="20"/>
              </w:rPr>
            </w:pPr>
            <w:r w:rsidRPr="00B67F80">
              <w:rPr>
                <w:color w:val="000000" w:themeColor="text1"/>
                <w:sz w:val="20"/>
                <w:szCs w:val="20"/>
              </w:rPr>
              <w:t>-0.13</w:t>
            </w:r>
          </w:p>
          <w:p w14:paraId="7C5FA1EA" w14:textId="717C88EE" w:rsidR="00FF7613" w:rsidRPr="00B67F80" w:rsidRDefault="00FF7613" w:rsidP="00FF7613">
            <w:pPr>
              <w:jc w:val="center"/>
              <w:rPr>
                <w:b/>
                <w:bCs/>
                <w:color w:val="000000" w:themeColor="text1"/>
                <w:sz w:val="20"/>
                <w:szCs w:val="20"/>
              </w:rPr>
            </w:pPr>
            <w:r w:rsidRPr="00B67F80">
              <w:rPr>
                <w:color w:val="000000" w:themeColor="text1"/>
                <w:sz w:val="20"/>
                <w:szCs w:val="20"/>
              </w:rPr>
              <w:t>(1.1)</w:t>
            </w:r>
          </w:p>
        </w:tc>
        <w:tc>
          <w:tcPr>
            <w:tcW w:w="896" w:type="dxa"/>
            <w:vAlign w:val="center"/>
          </w:tcPr>
          <w:p w14:paraId="519DFC8F" w14:textId="77777777" w:rsidR="00FF7613" w:rsidRPr="00B67F80" w:rsidRDefault="00FF7613" w:rsidP="00FF7613">
            <w:pPr>
              <w:jc w:val="center"/>
              <w:rPr>
                <w:color w:val="000000" w:themeColor="text1"/>
                <w:sz w:val="20"/>
                <w:szCs w:val="20"/>
              </w:rPr>
            </w:pPr>
            <w:r w:rsidRPr="00B67F80">
              <w:rPr>
                <w:color w:val="000000" w:themeColor="text1"/>
                <w:sz w:val="20"/>
                <w:szCs w:val="20"/>
              </w:rPr>
              <w:t>-0.19</w:t>
            </w:r>
          </w:p>
          <w:p w14:paraId="7BD385F7" w14:textId="34EEDB95" w:rsidR="00FF7613" w:rsidRPr="00B67F80" w:rsidRDefault="00FF7613" w:rsidP="00FF7613">
            <w:pPr>
              <w:jc w:val="center"/>
              <w:rPr>
                <w:b/>
                <w:bCs/>
                <w:color w:val="000000" w:themeColor="text1"/>
                <w:sz w:val="20"/>
                <w:szCs w:val="20"/>
              </w:rPr>
            </w:pPr>
            <w:r w:rsidRPr="00B67F80">
              <w:rPr>
                <w:color w:val="000000" w:themeColor="text1"/>
                <w:sz w:val="20"/>
                <w:szCs w:val="20"/>
              </w:rPr>
              <w:t>(0.47)</w:t>
            </w:r>
          </w:p>
        </w:tc>
      </w:tr>
      <w:tr w:rsidR="00B67F80" w:rsidRPr="00B67F80" w14:paraId="607C3228" w14:textId="77777777" w:rsidTr="00B26E7C">
        <w:trPr>
          <w:jc w:val="center"/>
        </w:trPr>
        <w:tc>
          <w:tcPr>
            <w:tcW w:w="1296" w:type="dxa"/>
            <w:vAlign w:val="center"/>
          </w:tcPr>
          <w:p w14:paraId="04F87340" w14:textId="77777777" w:rsidR="00FF7613" w:rsidRPr="00B67F80" w:rsidRDefault="00FF7613" w:rsidP="00FF7613">
            <w:pPr>
              <w:jc w:val="center"/>
              <w:rPr>
                <w:color w:val="000000" w:themeColor="text1"/>
                <w:sz w:val="20"/>
                <w:szCs w:val="20"/>
              </w:rPr>
            </w:pPr>
          </w:p>
        </w:tc>
        <w:tc>
          <w:tcPr>
            <w:tcW w:w="5407" w:type="dxa"/>
            <w:gridSpan w:val="6"/>
            <w:vAlign w:val="center"/>
          </w:tcPr>
          <w:p w14:paraId="4A6A0630" w14:textId="77777777" w:rsidR="00FF7613" w:rsidRPr="00B67F80" w:rsidRDefault="00FF7613" w:rsidP="00FF7613">
            <w:pPr>
              <w:jc w:val="center"/>
              <w:rPr>
                <w:color w:val="000000" w:themeColor="text1"/>
                <w:sz w:val="20"/>
                <w:szCs w:val="20"/>
              </w:rPr>
            </w:pPr>
          </w:p>
        </w:tc>
      </w:tr>
      <w:tr w:rsidR="00B67F80" w:rsidRPr="00B67F80" w14:paraId="158D0EBA" w14:textId="77777777" w:rsidTr="00B26E7C">
        <w:trPr>
          <w:jc w:val="center"/>
        </w:trPr>
        <w:tc>
          <w:tcPr>
            <w:tcW w:w="1296" w:type="dxa"/>
            <w:vAlign w:val="center"/>
          </w:tcPr>
          <w:p w14:paraId="179D16C1" w14:textId="77777777" w:rsidR="00FF7613" w:rsidRPr="00B67F80" w:rsidRDefault="00FF7613" w:rsidP="00FF7613">
            <w:pPr>
              <w:jc w:val="center"/>
              <w:rPr>
                <w:color w:val="000000" w:themeColor="text1"/>
                <w:sz w:val="20"/>
                <w:szCs w:val="20"/>
              </w:rPr>
            </w:pPr>
          </w:p>
        </w:tc>
        <w:tc>
          <w:tcPr>
            <w:tcW w:w="5407" w:type="dxa"/>
            <w:gridSpan w:val="6"/>
            <w:vAlign w:val="center"/>
          </w:tcPr>
          <w:p w14:paraId="007EA503" w14:textId="77777777" w:rsidR="00FF7613" w:rsidRPr="00B67F80" w:rsidRDefault="00FF7613" w:rsidP="00FF7613">
            <w:pPr>
              <w:jc w:val="center"/>
              <w:rPr>
                <w:b/>
                <w:bCs/>
                <w:color w:val="000000" w:themeColor="text1"/>
                <w:sz w:val="20"/>
                <w:szCs w:val="20"/>
              </w:rPr>
            </w:pPr>
            <w:r w:rsidRPr="00B67F80">
              <w:rPr>
                <w:b/>
                <w:bCs/>
                <w:color w:val="000000" w:themeColor="text1"/>
                <w:sz w:val="20"/>
                <w:szCs w:val="20"/>
              </w:rPr>
              <w:t>ORAS6.1</w:t>
            </w:r>
          </w:p>
        </w:tc>
      </w:tr>
      <w:tr w:rsidR="00B67F80" w:rsidRPr="00B67F80" w14:paraId="60B68BB0" w14:textId="77777777" w:rsidTr="00B26E7C">
        <w:trPr>
          <w:jc w:val="center"/>
        </w:trPr>
        <w:tc>
          <w:tcPr>
            <w:tcW w:w="1296" w:type="dxa"/>
            <w:vAlign w:val="center"/>
          </w:tcPr>
          <w:p w14:paraId="5F7AB69C" w14:textId="77777777" w:rsidR="000E39CE" w:rsidRPr="00B67F80" w:rsidRDefault="000E39CE" w:rsidP="000E39CE">
            <w:pPr>
              <w:jc w:val="center"/>
              <w:rPr>
                <w:color w:val="000000" w:themeColor="text1"/>
                <w:sz w:val="20"/>
                <w:szCs w:val="20"/>
              </w:rPr>
            </w:pPr>
          </w:p>
        </w:tc>
        <w:tc>
          <w:tcPr>
            <w:tcW w:w="2686" w:type="dxa"/>
            <w:gridSpan w:val="3"/>
            <w:vAlign w:val="center"/>
          </w:tcPr>
          <w:p w14:paraId="01BC5721" w14:textId="33CA5C6A" w:rsidR="000E39CE" w:rsidRPr="00B67F80" w:rsidRDefault="000E39CE" w:rsidP="000E39CE">
            <w:pPr>
              <w:jc w:val="center"/>
              <w:rPr>
                <w:color w:val="000000" w:themeColor="text1"/>
                <w:sz w:val="20"/>
                <w:szCs w:val="20"/>
              </w:rPr>
            </w:pPr>
            <w:r w:rsidRPr="00B67F80">
              <w:rPr>
                <w:color w:val="000000" w:themeColor="text1"/>
                <w:sz w:val="20"/>
                <w:szCs w:val="20"/>
              </w:rPr>
              <w:t>0-700 m</w:t>
            </w:r>
          </w:p>
        </w:tc>
        <w:tc>
          <w:tcPr>
            <w:tcW w:w="2721" w:type="dxa"/>
            <w:gridSpan w:val="3"/>
            <w:vAlign w:val="center"/>
          </w:tcPr>
          <w:p w14:paraId="31673DB1" w14:textId="6A7D644E" w:rsidR="000E39CE" w:rsidRPr="00B67F80" w:rsidRDefault="000E39CE" w:rsidP="000E39CE">
            <w:pPr>
              <w:jc w:val="center"/>
              <w:rPr>
                <w:color w:val="000000" w:themeColor="text1"/>
                <w:sz w:val="20"/>
                <w:szCs w:val="20"/>
              </w:rPr>
            </w:pPr>
            <w:r w:rsidRPr="00B67F80">
              <w:rPr>
                <w:color w:val="000000" w:themeColor="text1"/>
                <w:kern w:val="24"/>
                <w:sz w:val="20"/>
                <w:szCs w:val="20"/>
              </w:rPr>
              <w:t>Full Depth</w:t>
            </w:r>
          </w:p>
        </w:tc>
      </w:tr>
      <w:tr w:rsidR="00B67F80" w:rsidRPr="00B67F80" w14:paraId="7C7AB279" w14:textId="77777777" w:rsidTr="00B26E7C">
        <w:trPr>
          <w:jc w:val="center"/>
        </w:trPr>
        <w:tc>
          <w:tcPr>
            <w:tcW w:w="1296" w:type="dxa"/>
            <w:vAlign w:val="center"/>
          </w:tcPr>
          <w:p w14:paraId="5619CE5B" w14:textId="77777777" w:rsidR="00FF7613" w:rsidRPr="00B67F80" w:rsidRDefault="00FF7613" w:rsidP="00FF7613">
            <w:pPr>
              <w:jc w:val="center"/>
              <w:rPr>
                <w:color w:val="000000" w:themeColor="text1"/>
                <w:sz w:val="20"/>
                <w:szCs w:val="20"/>
              </w:rPr>
            </w:pPr>
          </w:p>
        </w:tc>
        <w:tc>
          <w:tcPr>
            <w:tcW w:w="895" w:type="dxa"/>
            <w:vAlign w:val="center"/>
          </w:tcPr>
          <w:p w14:paraId="370E56B8"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5" w:type="dxa"/>
            <w:vAlign w:val="center"/>
          </w:tcPr>
          <w:p w14:paraId="3C21ACA2"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72E889E1"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c>
          <w:tcPr>
            <w:tcW w:w="929" w:type="dxa"/>
            <w:vAlign w:val="center"/>
          </w:tcPr>
          <w:p w14:paraId="5DFE846F"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6" w:type="dxa"/>
            <w:vAlign w:val="center"/>
          </w:tcPr>
          <w:p w14:paraId="082B6E5E"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0535D00A"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r>
      <w:tr w:rsidR="00B67F80" w:rsidRPr="00B67F80" w14:paraId="3E6E0F61" w14:textId="77777777" w:rsidTr="00B26E7C">
        <w:trPr>
          <w:jc w:val="center"/>
        </w:trPr>
        <w:tc>
          <w:tcPr>
            <w:tcW w:w="1296" w:type="dxa"/>
            <w:vAlign w:val="center"/>
          </w:tcPr>
          <w:p w14:paraId="0A1DB78F" w14:textId="77777777" w:rsidR="00FF7613" w:rsidRPr="00B67F80" w:rsidRDefault="00FF7613" w:rsidP="00FF7613">
            <w:pPr>
              <w:jc w:val="center"/>
              <w:rPr>
                <w:color w:val="000000" w:themeColor="text1"/>
                <w:sz w:val="20"/>
                <w:szCs w:val="20"/>
              </w:rPr>
            </w:pPr>
            <w:r w:rsidRPr="00B67F80">
              <w:rPr>
                <w:color w:val="000000" w:themeColor="text1"/>
                <w:sz w:val="20"/>
                <w:szCs w:val="20"/>
              </w:rPr>
              <w:t>Mean</w:t>
            </w:r>
          </w:p>
          <w:p w14:paraId="31179622"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70E75E21" w14:textId="5B95A7FF" w:rsidR="00FF7613" w:rsidRPr="00B67F80" w:rsidRDefault="0080048C" w:rsidP="00FF7613">
            <w:pPr>
              <w:jc w:val="center"/>
              <w:rPr>
                <w:color w:val="000000" w:themeColor="text1"/>
                <w:sz w:val="20"/>
                <w:szCs w:val="20"/>
              </w:rPr>
            </w:pPr>
            <w:r w:rsidRPr="00B67F80">
              <w:rPr>
                <w:color w:val="000000" w:themeColor="text1"/>
                <w:sz w:val="20"/>
                <w:szCs w:val="20"/>
              </w:rPr>
              <w:t>0.43</w:t>
            </w:r>
          </w:p>
        </w:tc>
        <w:tc>
          <w:tcPr>
            <w:tcW w:w="895" w:type="dxa"/>
            <w:vAlign w:val="center"/>
          </w:tcPr>
          <w:p w14:paraId="771318A3" w14:textId="4CBE4FDA" w:rsidR="00FF7613" w:rsidRPr="00B67F80" w:rsidRDefault="0080048C" w:rsidP="00FF7613">
            <w:pPr>
              <w:jc w:val="center"/>
              <w:rPr>
                <w:color w:val="000000" w:themeColor="text1"/>
                <w:sz w:val="20"/>
                <w:szCs w:val="20"/>
              </w:rPr>
            </w:pPr>
            <w:r w:rsidRPr="00B67F80">
              <w:rPr>
                <w:color w:val="000000" w:themeColor="text1"/>
                <w:sz w:val="20"/>
                <w:szCs w:val="20"/>
              </w:rPr>
              <w:t>0.39</w:t>
            </w:r>
          </w:p>
        </w:tc>
        <w:tc>
          <w:tcPr>
            <w:tcW w:w="896" w:type="dxa"/>
            <w:vAlign w:val="center"/>
          </w:tcPr>
          <w:p w14:paraId="32A520C6" w14:textId="1AA403D0" w:rsidR="00FF7613" w:rsidRPr="00B67F80" w:rsidRDefault="0088499C" w:rsidP="00FF7613">
            <w:pPr>
              <w:jc w:val="center"/>
              <w:rPr>
                <w:color w:val="000000" w:themeColor="text1"/>
                <w:sz w:val="20"/>
                <w:szCs w:val="20"/>
              </w:rPr>
            </w:pPr>
            <w:r w:rsidRPr="00B67F80">
              <w:rPr>
                <w:color w:val="000000" w:themeColor="text1"/>
                <w:sz w:val="20"/>
                <w:szCs w:val="20"/>
              </w:rPr>
              <w:t>0.41</w:t>
            </w:r>
          </w:p>
        </w:tc>
        <w:tc>
          <w:tcPr>
            <w:tcW w:w="929" w:type="dxa"/>
            <w:vAlign w:val="center"/>
          </w:tcPr>
          <w:p w14:paraId="03E713A4" w14:textId="3978D7FC" w:rsidR="00FF7613" w:rsidRPr="00B67F80" w:rsidRDefault="0080048C" w:rsidP="00FF7613">
            <w:pPr>
              <w:jc w:val="center"/>
              <w:rPr>
                <w:color w:val="000000" w:themeColor="text1"/>
                <w:sz w:val="20"/>
                <w:szCs w:val="20"/>
              </w:rPr>
            </w:pPr>
            <w:r w:rsidRPr="00B67F80">
              <w:rPr>
                <w:color w:val="000000" w:themeColor="text1"/>
                <w:sz w:val="20"/>
                <w:szCs w:val="20"/>
              </w:rPr>
              <w:t>0.38</w:t>
            </w:r>
          </w:p>
        </w:tc>
        <w:tc>
          <w:tcPr>
            <w:tcW w:w="896" w:type="dxa"/>
            <w:vAlign w:val="center"/>
          </w:tcPr>
          <w:p w14:paraId="52E92789" w14:textId="14AE2A79" w:rsidR="00FF7613" w:rsidRPr="00B67F80" w:rsidRDefault="0088499C" w:rsidP="00FF7613">
            <w:pPr>
              <w:jc w:val="center"/>
              <w:rPr>
                <w:color w:val="000000" w:themeColor="text1"/>
                <w:sz w:val="20"/>
                <w:szCs w:val="20"/>
              </w:rPr>
            </w:pPr>
            <w:r w:rsidRPr="00B67F80">
              <w:rPr>
                <w:color w:val="000000" w:themeColor="text1"/>
                <w:sz w:val="20"/>
                <w:szCs w:val="20"/>
              </w:rPr>
              <w:t>0.64</w:t>
            </w:r>
          </w:p>
        </w:tc>
        <w:tc>
          <w:tcPr>
            <w:tcW w:w="896" w:type="dxa"/>
            <w:vAlign w:val="center"/>
          </w:tcPr>
          <w:p w14:paraId="559E8C02" w14:textId="5E19407E" w:rsidR="00FF7613" w:rsidRPr="00B67F80" w:rsidRDefault="0088499C" w:rsidP="00FF7613">
            <w:pPr>
              <w:jc w:val="center"/>
              <w:rPr>
                <w:color w:val="000000" w:themeColor="text1"/>
                <w:sz w:val="20"/>
                <w:szCs w:val="20"/>
              </w:rPr>
            </w:pPr>
            <w:r w:rsidRPr="00B67F80">
              <w:rPr>
                <w:color w:val="000000" w:themeColor="text1"/>
                <w:sz w:val="20"/>
                <w:szCs w:val="20"/>
              </w:rPr>
              <w:t>0.51</w:t>
            </w:r>
          </w:p>
        </w:tc>
      </w:tr>
      <w:tr w:rsidR="00B67F80" w:rsidRPr="00B67F80" w14:paraId="10272616" w14:textId="77777777" w:rsidTr="00B26E7C">
        <w:trPr>
          <w:jc w:val="center"/>
        </w:trPr>
        <w:tc>
          <w:tcPr>
            <w:tcW w:w="1296" w:type="dxa"/>
            <w:vAlign w:val="center"/>
          </w:tcPr>
          <w:p w14:paraId="1F50D03C" w14:textId="77777777" w:rsidR="00FF7613" w:rsidRPr="00B67F80" w:rsidRDefault="00FF7613" w:rsidP="00FF7613">
            <w:pPr>
              <w:jc w:val="center"/>
              <w:rPr>
                <w:color w:val="000000" w:themeColor="text1"/>
                <w:sz w:val="20"/>
                <w:szCs w:val="20"/>
              </w:rPr>
            </w:pPr>
            <w:proofErr w:type="spellStart"/>
            <w:r w:rsidRPr="00B67F80">
              <w:rPr>
                <w:color w:val="000000" w:themeColor="text1"/>
                <w:sz w:val="20"/>
                <w:szCs w:val="20"/>
              </w:rPr>
              <w:t>Stdev</w:t>
            </w:r>
            <w:proofErr w:type="spellEnd"/>
          </w:p>
          <w:p w14:paraId="7A515906"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1DD1231C" w14:textId="5E3DAD88" w:rsidR="00FF7613" w:rsidRPr="00B67F80" w:rsidRDefault="0080048C" w:rsidP="00FF7613">
            <w:pPr>
              <w:jc w:val="center"/>
              <w:rPr>
                <w:color w:val="000000" w:themeColor="text1"/>
                <w:sz w:val="20"/>
                <w:szCs w:val="20"/>
              </w:rPr>
            </w:pPr>
            <w:r w:rsidRPr="00B67F80">
              <w:rPr>
                <w:color w:val="000000" w:themeColor="text1"/>
                <w:sz w:val="20"/>
                <w:szCs w:val="20"/>
              </w:rPr>
              <w:t>2.6</w:t>
            </w:r>
          </w:p>
        </w:tc>
        <w:tc>
          <w:tcPr>
            <w:tcW w:w="895" w:type="dxa"/>
            <w:vAlign w:val="center"/>
          </w:tcPr>
          <w:p w14:paraId="7B3C9A3F" w14:textId="57908472" w:rsidR="00FF7613" w:rsidRPr="00B67F80" w:rsidRDefault="0080048C" w:rsidP="00FF7613">
            <w:pPr>
              <w:jc w:val="center"/>
              <w:rPr>
                <w:color w:val="000000" w:themeColor="text1"/>
                <w:sz w:val="20"/>
                <w:szCs w:val="20"/>
              </w:rPr>
            </w:pPr>
            <w:r w:rsidRPr="00B67F80">
              <w:rPr>
                <w:color w:val="000000" w:themeColor="text1"/>
                <w:sz w:val="20"/>
                <w:szCs w:val="20"/>
              </w:rPr>
              <w:t>2.5</w:t>
            </w:r>
          </w:p>
        </w:tc>
        <w:tc>
          <w:tcPr>
            <w:tcW w:w="896" w:type="dxa"/>
            <w:vAlign w:val="center"/>
          </w:tcPr>
          <w:p w14:paraId="5EF6621D" w14:textId="7FD1A789" w:rsidR="00FF7613" w:rsidRPr="00B67F80" w:rsidRDefault="0088499C" w:rsidP="00FF7613">
            <w:pPr>
              <w:jc w:val="center"/>
              <w:rPr>
                <w:color w:val="000000" w:themeColor="text1"/>
                <w:sz w:val="20"/>
                <w:szCs w:val="20"/>
              </w:rPr>
            </w:pPr>
            <w:r w:rsidRPr="00B67F80">
              <w:rPr>
                <w:color w:val="000000" w:themeColor="text1"/>
                <w:sz w:val="20"/>
                <w:szCs w:val="20"/>
              </w:rPr>
              <w:t>1.2</w:t>
            </w:r>
          </w:p>
        </w:tc>
        <w:tc>
          <w:tcPr>
            <w:tcW w:w="929" w:type="dxa"/>
            <w:vAlign w:val="center"/>
          </w:tcPr>
          <w:p w14:paraId="2D1EDCDC" w14:textId="0604B310" w:rsidR="00FF7613" w:rsidRPr="00B67F80" w:rsidRDefault="0080048C" w:rsidP="00FF7613">
            <w:pPr>
              <w:jc w:val="center"/>
              <w:rPr>
                <w:color w:val="000000" w:themeColor="text1"/>
                <w:sz w:val="20"/>
                <w:szCs w:val="20"/>
              </w:rPr>
            </w:pPr>
            <w:r w:rsidRPr="00B67F80">
              <w:rPr>
                <w:color w:val="000000" w:themeColor="text1"/>
                <w:sz w:val="20"/>
                <w:szCs w:val="20"/>
              </w:rPr>
              <w:t>2.9</w:t>
            </w:r>
          </w:p>
        </w:tc>
        <w:tc>
          <w:tcPr>
            <w:tcW w:w="896" w:type="dxa"/>
            <w:vAlign w:val="center"/>
          </w:tcPr>
          <w:p w14:paraId="140BB419" w14:textId="63E3203D" w:rsidR="00FF7613" w:rsidRPr="00B67F80" w:rsidRDefault="0088499C" w:rsidP="00FF7613">
            <w:pPr>
              <w:jc w:val="center"/>
              <w:rPr>
                <w:color w:val="000000" w:themeColor="text1"/>
                <w:sz w:val="20"/>
                <w:szCs w:val="20"/>
              </w:rPr>
            </w:pPr>
            <w:r w:rsidRPr="00B67F80">
              <w:rPr>
                <w:color w:val="000000" w:themeColor="text1"/>
                <w:sz w:val="20"/>
                <w:szCs w:val="20"/>
              </w:rPr>
              <w:t>2.8</w:t>
            </w:r>
          </w:p>
        </w:tc>
        <w:tc>
          <w:tcPr>
            <w:tcW w:w="896" w:type="dxa"/>
            <w:vAlign w:val="center"/>
          </w:tcPr>
          <w:p w14:paraId="2008E432" w14:textId="09CDB999" w:rsidR="00FF7613" w:rsidRPr="00B67F80" w:rsidRDefault="0088499C" w:rsidP="00FF7613">
            <w:pPr>
              <w:jc w:val="center"/>
              <w:rPr>
                <w:color w:val="000000" w:themeColor="text1"/>
                <w:sz w:val="20"/>
                <w:szCs w:val="20"/>
              </w:rPr>
            </w:pPr>
            <w:r w:rsidRPr="00B67F80">
              <w:rPr>
                <w:color w:val="000000" w:themeColor="text1"/>
                <w:sz w:val="20"/>
                <w:szCs w:val="20"/>
              </w:rPr>
              <w:t>1.3</w:t>
            </w:r>
          </w:p>
        </w:tc>
      </w:tr>
      <w:tr w:rsidR="00B67F80" w:rsidRPr="00B67F80" w14:paraId="60564F9B" w14:textId="77777777" w:rsidTr="00B26E7C">
        <w:trPr>
          <w:jc w:val="center"/>
        </w:trPr>
        <w:tc>
          <w:tcPr>
            <w:tcW w:w="1296" w:type="dxa"/>
            <w:vAlign w:val="center"/>
          </w:tcPr>
          <w:p w14:paraId="48ECDE40" w14:textId="77777777" w:rsidR="00FF7613" w:rsidRPr="00B67F80" w:rsidRDefault="00FF7613" w:rsidP="00FF7613">
            <w:pPr>
              <w:jc w:val="center"/>
              <w:rPr>
                <w:color w:val="000000" w:themeColor="text1"/>
                <w:sz w:val="20"/>
                <w:szCs w:val="20"/>
              </w:rPr>
            </w:pPr>
            <w:r w:rsidRPr="00B67F80">
              <w:rPr>
                <w:color w:val="000000" w:themeColor="text1"/>
                <w:sz w:val="20"/>
                <w:szCs w:val="20"/>
              </w:rPr>
              <w:t>Trend</w:t>
            </w:r>
          </w:p>
          <w:p w14:paraId="4217294C"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043E710D" w14:textId="77777777" w:rsidR="00FF7613" w:rsidRPr="00B67F80" w:rsidRDefault="00FF7613" w:rsidP="00FF7613">
            <w:pPr>
              <w:jc w:val="center"/>
              <w:rPr>
                <w:color w:val="000000" w:themeColor="text1"/>
                <w:sz w:val="20"/>
                <w:szCs w:val="20"/>
              </w:rPr>
            </w:pPr>
            <w:r w:rsidRPr="00B67F80">
              <w:rPr>
                <w:color w:val="000000" w:themeColor="text1"/>
                <w:sz w:val="20"/>
                <w:szCs w:val="20"/>
              </w:rPr>
              <w:t>-0.11</w:t>
            </w:r>
          </w:p>
          <w:p w14:paraId="0D981F9B" w14:textId="6A839F57" w:rsidR="00FF7613" w:rsidRPr="00B67F80" w:rsidRDefault="00FF7613" w:rsidP="00FF7613">
            <w:pPr>
              <w:jc w:val="center"/>
              <w:rPr>
                <w:color w:val="000000" w:themeColor="text1"/>
                <w:sz w:val="20"/>
                <w:szCs w:val="20"/>
              </w:rPr>
            </w:pPr>
            <w:r w:rsidRPr="00B67F80">
              <w:rPr>
                <w:color w:val="000000" w:themeColor="text1"/>
                <w:sz w:val="20"/>
                <w:szCs w:val="20"/>
              </w:rPr>
              <w:t>(1.0)</w:t>
            </w:r>
          </w:p>
        </w:tc>
        <w:tc>
          <w:tcPr>
            <w:tcW w:w="895" w:type="dxa"/>
            <w:vAlign w:val="center"/>
          </w:tcPr>
          <w:p w14:paraId="5684BF78" w14:textId="77777777" w:rsidR="00FF7613" w:rsidRPr="00B67F80" w:rsidRDefault="00FF7613" w:rsidP="00FF7613">
            <w:pPr>
              <w:jc w:val="center"/>
              <w:rPr>
                <w:color w:val="000000" w:themeColor="text1"/>
                <w:sz w:val="20"/>
                <w:szCs w:val="20"/>
              </w:rPr>
            </w:pPr>
            <w:r w:rsidRPr="00B67F80">
              <w:rPr>
                <w:color w:val="000000" w:themeColor="text1"/>
                <w:sz w:val="20"/>
                <w:szCs w:val="20"/>
              </w:rPr>
              <w:t>0.13</w:t>
            </w:r>
          </w:p>
          <w:p w14:paraId="20012C5E" w14:textId="3DB249E4" w:rsidR="00FF7613" w:rsidRPr="00B67F80" w:rsidRDefault="00FF7613" w:rsidP="00FF7613">
            <w:pPr>
              <w:jc w:val="center"/>
              <w:rPr>
                <w:color w:val="000000" w:themeColor="text1"/>
                <w:sz w:val="20"/>
                <w:szCs w:val="20"/>
              </w:rPr>
            </w:pPr>
            <w:r w:rsidRPr="00B67F80">
              <w:rPr>
                <w:color w:val="000000" w:themeColor="text1"/>
                <w:sz w:val="20"/>
                <w:szCs w:val="20"/>
              </w:rPr>
              <w:t>(0.98)</w:t>
            </w:r>
          </w:p>
        </w:tc>
        <w:tc>
          <w:tcPr>
            <w:tcW w:w="896" w:type="dxa"/>
            <w:vAlign w:val="center"/>
          </w:tcPr>
          <w:p w14:paraId="7BC98DDC" w14:textId="77777777" w:rsidR="00FF7613" w:rsidRPr="00B67F80" w:rsidRDefault="00FF7613" w:rsidP="00FF7613">
            <w:pPr>
              <w:jc w:val="center"/>
              <w:rPr>
                <w:color w:val="000000" w:themeColor="text1"/>
                <w:sz w:val="20"/>
                <w:szCs w:val="20"/>
              </w:rPr>
            </w:pPr>
            <w:r w:rsidRPr="00B67F80">
              <w:rPr>
                <w:color w:val="000000" w:themeColor="text1"/>
                <w:sz w:val="20"/>
                <w:szCs w:val="20"/>
              </w:rPr>
              <w:t>0.009</w:t>
            </w:r>
          </w:p>
          <w:p w14:paraId="680FC852" w14:textId="7E542F8C" w:rsidR="00FF7613" w:rsidRPr="00B67F80" w:rsidRDefault="00FF7613" w:rsidP="00FF7613">
            <w:pPr>
              <w:jc w:val="center"/>
              <w:rPr>
                <w:color w:val="000000" w:themeColor="text1"/>
                <w:sz w:val="20"/>
                <w:szCs w:val="20"/>
              </w:rPr>
            </w:pPr>
            <w:r w:rsidRPr="00B67F80">
              <w:rPr>
                <w:color w:val="000000" w:themeColor="text1"/>
                <w:sz w:val="20"/>
                <w:szCs w:val="20"/>
              </w:rPr>
              <w:t>(0.36)</w:t>
            </w:r>
          </w:p>
        </w:tc>
        <w:tc>
          <w:tcPr>
            <w:tcW w:w="929" w:type="dxa"/>
            <w:vAlign w:val="center"/>
          </w:tcPr>
          <w:p w14:paraId="7EB10D29" w14:textId="77777777" w:rsidR="00FF7613" w:rsidRPr="00B67F80" w:rsidRDefault="00FF7613" w:rsidP="00FF7613">
            <w:pPr>
              <w:jc w:val="center"/>
              <w:rPr>
                <w:color w:val="000000" w:themeColor="text1"/>
                <w:sz w:val="20"/>
                <w:szCs w:val="20"/>
              </w:rPr>
            </w:pPr>
            <w:r w:rsidRPr="00B67F80">
              <w:rPr>
                <w:color w:val="000000" w:themeColor="text1"/>
                <w:sz w:val="20"/>
                <w:szCs w:val="20"/>
              </w:rPr>
              <w:t>0.013</w:t>
            </w:r>
          </w:p>
          <w:p w14:paraId="4084D824" w14:textId="6952CF1C" w:rsidR="00FF7613" w:rsidRPr="00B67F80" w:rsidRDefault="00FF7613" w:rsidP="00FF7613">
            <w:pPr>
              <w:jc w:val="center"/>
              <w:rPr>
                <w:color w:val="000000" w:themeColor="text1"/>
                <w:sz w:val="20"/>
                <w:szCs w:val="20"/>
              </w:rPr>
            </w:pPr>
            <w:r w:rsidRPr="00B67F80">
              <w:rPr>
                <w:color w:val="000000" w:themeColor="text1"/>
                <w:sz w:val="20"/>
                <w:szCs w:val="20"/>
              </w:rPr>
              <w:t>(1.2)</w:t>
            </w:r>
          </w:p>
        </w:tc>
        <w:tc>
          <w:tcPr>
            <w:tcW w:w="896" w:type="dxa"/>
            <w:vAlign w:val="center"/>
          </w:tcPr>
          <w:p w14:paraId="28E050B2" w14:textId="77777777" w:rsidR="00FF7613" w:rsidRPr="00B67F80" w:rsidRDefault="00FF7613" w:rsidP="00FF7613">
            <w:pPr>
              <w:jc w:val="center"/>
              <w:rPr>
                <w:color w:val="000000" w:themeColor="text1"/>
                <w:sz w:val="20"/>
                <w:szCs w:val="20"/>
              </w:rPr>
            </w:pPr>
            <w:r w:rsidRPr="00B67F80">
              <w:rPr>
                <w:color w:val="000000" w:themeColor="text1"/>
                <w:sz w:val="20"/>
                <w:szCs w:val="20"/>
              </w:rPr>
              <w:t>0.31</w:t>
            </w:r>
          </w:p>
          <w:p w14:paraId="4364BB90" w14:textId="4084893E" w:rsidR="00FF7613" w:rsidRPr="00B67F80" w:rsidRDefault="00FF7613" w:rsidP="00FF7613">
            <w:pPr>
              <w:jc w:val="center"/>
              <w:rPr>
                <w:color w:val="000000" w:themeColor="text1"/>
                <w:sz w:val="20"/>
                <w:szCs w:val="20"/>
              </w:rPr>
            </w:pPr>
            <w:r w:rsidRPr="00B67F80">
              <w:rPr>
                <w:color w:val="000000" w:themeColor="text1"/>
                <w:sz w:val="20"/>
                <w:szCs w:val="20"/>
              </w:rPr>
              <w:t>(1.1)</w:t>
            </w:r>
          </w:p>
        </w:tc>
        <w:tc>
          <w:tcPr>
            <w:tcW w:w="896" w:type="dxa"/>
            <w:vAlign w:val="center"/>
          </w:tcPr>
          <w:p w14:paraId="3791DB6D" w14:textId="77777777" w:rsidR="00FF7613" w:rsidRPr="00B67F80" w:rsidRDefault="00FF7613" w:rsidP="00FF7613">
            <w:pPr>
              <w:jc w:val="center"/>
              <w:rPr>
                <w:color w:val="000000" w:themeColor="text1"/>
                <w:sz w:val="20"/>
                <w:szCs w:val="20"/>
              </w:rPr>
            </w:pPr>
            <w:r w:rsidRPr="00B67F80">
              <w:rPr>
                <w:color w:val="000000" w:themeColor="text1"/>
                <w:sz w:val="20"/>
                <w:szCs w:val="20"/>
              </w:rPr>
              <w:t>0.16</w:t>
            </w:r>
          </w:p>
          <w:p w14:paraId="0A7C5F07" w14:textId="719BBE82" w:rsidR="00FF7613" w:rsidRPr="00B67F80" w:rsidRDefault="00FF7613" w:rsidP="00FF7613">
            <w:pPr>
              <w:jc w:val="center"/>
              <w:rPr>
                <w:color w:val="000000" w:themeColor="text1"/>
                <w:sz w:val="20"/>
                <w:szCs w:val="20"/>
              </w:rPr>
            </w:pPr>
            <w:r w:rsidRPr="00B67F80">
              <w:rPr>
                <w:color w:val="000000" w:themeColor="text1"/>
                <w:sz w:val="20"/>
                <w:szCs w:val="20"/>
              </w:rPr>
              <w:t>(0.60)</w:t>
            </w:r>
          </w:p>
        </w:tc>
      </w:tr>
      <w:tr w:rsidR="00B67F80" w:rsidRPr="00B67F80" w14:paraId="3F6C14C3" w14:textId="77777777" w:rsidTr="00B26E7C">
        <w:trPr>
          <w:jc w:val="center"/>
        </w:trPr>
        <w:tc>
          <w:tcPr>
            <w:tcW w:w="1296" w:type="dxa"/>
            <w:vAlign w:val="center"/>
          </w:tcPr>
          <w:p w14:paraId="6A38D2C2" w14:textId="77777777" w:rsidR="00FF7613" w:rsidRPr="00B67F80" w:rsidRDefault="00FF7613" w:rsidP="00FF7613">
            <w:pPr>
              <w:jc w:val="center"/>
              <w:rPr>
                <w:color w:val="000000" w:themeColor="text1"/>
                <w:sz w:val="20"/>
                <w:szCs w:val="20"/>
              </w:rPr>
            </w:pPr>
          </w:p>
        </w:tc>
        <w:tc>
          <w:tcPr>
            <w:tcW w:w="5407" w:type="dxa"/>
            <w:gridSpan w:val="6"/>
            <w:vAlign w:val="center"/>
          </w:tcPr>
          <w:p w14:paraId="20FA5A6F" w14:textId="77777777" w:rsidR="00FF7613" w:rsidRPr="00B67F80" w:rsidRDefault="00FF7613" w:rsidP="00FF7613">
            <w:pPr>
              <w:jc w:val="center"/>
              <w:rPr>
                <w:color w:val="000000" w:themeColor="text1"/>
                <w:sz w:val="20"/>
                <w:szCs w:val="20"/>
              </w:rPr>
            </w:pPr>
          </w:p>
        </w:tc>
      </w:tr>
      <w:tr w:rsidR="00B67F80" w:rsidRPr="00B67F80" w14:paraId="3DEABDAF" w14:textId="77777777" w:rsidTr="00B26E7C">
        <w:trPr>
          <w:jc w:val="center"/>
        </w:trPr>
        <w:tc>
          <w:tcPr>
            <w:tcW w:w="1296" w:type="dxa"/>
            <w:vAlign w:val="center"/>
          </w:tcPr>
          <w:p w14:paraId="30655EC6" w14:textId="77777777" w:rsidR="00FF7613" w:rsidRPr="00B67F80" w:rsidRDefault="00FF7613" w:rsidP="00FF7613">
            <w:pPr>
              <w:jc w:val="center"/>
              <w:rPr>
                <w:color w:val="000000" w:themeColor="text1"/>
                <w:sz w:val="20"/>
                <w:szCs w:val="20"/>
              </w:rPr>
            </w:pPr>
          </w:p>
        </w:tc>
        <w:tc>
          <w:tcPr>
            <w:tcW w:w="5407" w:type="dxa"/>
            <w:gridSpan w:val="6"/>
            <w:vAlign w:val="center"/>
          </w:tcPr>
          <w:p w14:paraId="3BF194EB" w14:textId="77777777" w:rsidR="00FF7613" w:rsidRPr="00B67F80" w:rsidRDefault="00FF7613" w:rsidP="00FF7613">
            <w:pPr>
              <w:jc w:val="center"/>
              <w:rPr>
                <w:b/>
                <w:bCs/>
                <w:color w:val="000000" w:themeColor="text1"/>
                <w:sz w:val="20"/>
                <w:szCs w:val="20"/>
              </w:rPr>
            </w:pPr>
            <w:r w:rsidRPr="00B67F80">
              <w:rPr>
                <w:b/>
                <w:bCs/>
                <w:color w:val="000000" w:themeColor="text1"/>
                <w:sz w:val="20"/>
                <w:szCs w:val="20"/>
              </w:rPr>
              <w:t>ORAS6-ctrl</w:t>
            </w:r>
          </w:p>
        </w:tc>
      </w:tr>
      <w:tr w:rsidR="00B67F80" w:rsidRPr="00B67F80" w14:paraId="594FCFCA" w14:textId="77777777" w:rsidTr="00B26E7C">
        <w:trPr>
          <w:jc w:val="center"/>
        </w:trPr>
        <w:tc>
          <w:tcPr>
            <w:tcW w:w="1296" w:type="dxa"/>
            <w:vAlign w:val="center"/>
          </w:tcPr>
          <w:p w14:paraId="717BB2E5" w14:textId="77777777" w:rsidR="000E39CE" w:rsidRPr="00B67F80" w:rsidRDefault="000E39CE" w:rsidP="000E39CE">
            <w:pPr>
              <w:jc w:val="center"/>
              <w:rPr>
                <w:color w:val="000000" w:themeColor="text1"/>
                <w:sz w:val="20"/>
                <w:szCs w:val="20"/>
              </w:rPr>
            </w:pPr>
          </w:p>
        </w:tc>
        <w:tc>
          <w:tcPr>
            <w:tcW w:w="2686" w:type="dxa"/>
            <w:gridSpan w:val="3"/>
            <w:vAlign w:val="center"/>
          </w:tcPr>
          <w:p w14:paraId="318AF09B" w14:textId="0753BC69" w:rsidR="000E39CE" w:rsidRPr="00B67F80" w:rsidRDefault="000E39CE" w:rsidP="000E39CE">
            <w:pPr>
              <w:jc w:val="center"/>
              <w:rPr>
                <w:color w:val="000000" w:themeColor="text1"/>
                <w:sz w:val="20"/>
                <w:szCs w:val="20"/>
              </w:rPr>
            </w:pPr>
            <w:r w:rsidRPr="00B67F80">
              <w:rPr>
                <w:color w:val="000000" w:themeColor="text1"/>
                <w:sz w:val="20"/>
                <w:szCs w:val="20"/>
              </w:rPr>
              <w:t>0-700 m</w:t>
            </w:r>
          </w:p>
        </w:tc>
        <w:tc>
          <w:tcPr>
            <w:tcW w:w="2721" w:type="dxa"/>
            <w:gridSpan w:val="3"/>
            <w:vAlign w:val="center"/>
          </w:tcPr>
          <w:p w14:paraId="3A3D3610" w14:textId="04286EC1" w:rsidR="000E39CE" w:rsidRPr="00B67F80" w:rsidRDefault="000E39CE" w:rsidP="000E39CE">
            <w:pPr>
              <w:jc w:val="center"/>
              <w:rPr>
                <w:color w:val="000000" w:themeColor="text1"/>
                <w:sz w:val="20"/>
                <w:szCs w:val="20"/>
              </w:rPr>
            </w:pPr>
            <w:r w:rsidRPr="00B67F80">
              <w:rPr>
                <w:color w:val="000000" w:themeColor="text1"/>
                <w:kern w:val="24"/>
                <w:sz w:val="20"/>
                <w:szCs w:val="20"/>
              </w:rPr>
              <w:t>Full Depth</w:t>
            </w:r>
          </w:p>
        </w:tc>
      </w:tr>
      <w:tr w:rsidR="00B67F80" w:rsidRPr="00B67F80" w14:paraId="293701DB" w14:textId="77777777" w:rsidTr="00B26E7C">
        <w:trPr>
          <w:jc w:val="center"/>
        </w:trPr>
        <w:tc>
          <w:tcPr>
            <w:tcW w:w="1296" w:type="dxa"/>
            <w:vAlign w:val="center"/>
          </w:tcPr>
          <w:p w14:paraId="65E35943" w14:textId="77777777" w:rsidR="00FF7613" w:rsidRPr="00B67F80" w:rsidRDefault="00FF7613" w:rsidP="00FF7613">
            <w:pPr>
              <w:jc w:val="center"/>
              <w:rPr>
                <w:color w:val="000000" w:themeColor="text1"/>
                <w:sz w:val="20"/>
                <w:szCs w:val="20"/>
              </w:rPr>
            </w:pPr>
          </w:p>
        </w:tc>
        <w:tc>
          <w:tcPr>
            <w:tcW w:w="895" w:type="dxa"/>
            <w:vAlign w:val="center"/>
          </w:tcPr>
          <w:p w14:paraId="5DE45A39"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5" w:type="dxa"/>
            <w:vAlign w:val="center"/>
          </w:tcPr>
          <w:p w14:paraId="1C66125A"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12DAD1C7"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c>
          <w:tcPr>
            <w:tcW w:w="929" w:type="dxa"/>
            <w:vAlign w:val="center"/>
          </w:tcPr>
          <w:p w14:paraId="6FAE72EA"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6" w:type="dxa"/>
            <w:vAlign w:val="center"/>
          </w:tcPr>
          <w:p w14:paraId="127B80FC"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270FEE55"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r>
      <w:tr w:rsidR="00B67F80" w:rsidRPr="00B67F80" w14:paraId="045C3C7F" w14:textId="77777777" w:rsidTr="00B26E7C">
        <w:trPr>
          <w:jc w:val="center"/>
        </w:trPr>
        <w:tc>
          <w:tcPr>
            <w:tcW w:w="1296" w:type="dxa"/>
            <w:vAlign w:val="center"/>
          </w:tcPr>
          <w:p w14:paraId="3E4EF345" w14:textId="77777777" w:rsidR="00FF7613" w:rsidRPr="00B67F80" w:rsidRDefault="00FF7613" w:rsidP="00FF7613">
            <w:pPr>
              <w:jc w:val="center"/>
              <w:rPr>
                <w:color w:val="000000" w:themeColor="text1"/>
                <w:sz w:val="20"/>
                <w:szCs w:val="20"/>
              </w:rPr>
            </w:pPr>
            <w:r w:rsidRPr="00B67F80">
              <w:rPr>
                <w:color w:val="000000" w:themeColor="text1"/>
                <w:sz w:val="20"/>
                <w:szCs w:val="20"/>
              </w:rPr>
              <w:t>Mean</w:t>
            </w:r>
          </w:p>
          <w:p w14:paraId="75D76732"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639ECDCA" w14:textId="32C99BE4" w:rsidR="00FF7613" w:rsidRPr="00B67F80" w:rsidRDefault="0080048C" w:rsidP="00FF7613">
            <w:pPr>
              <w:jc w:val="center"/>
              <w:rPr>
                <w:color w:val="000000" w:themeColor="text1"/>
                <w:sz w:val="20"/>
                <w:szCs w:val="20"/>
              </w:rPr>
            </w:pPr>
            <w:r w:rsidRPr="00B67F80">
              <w:rPr>
                <w:color w:val="000000" w:themeColor="text1"/>
                <w:sz w:val="20"/>
                <w:szCs w:val="20"/>
              </w:rPr>
              <w:t>0.48</w:t>
            </w:r>
          </w:p>
        </w:tc>
        <w:tc>
          <w:tcPr>
            <w:tcW w:w="895" w:type="dxa"/>
            <w:vAlign w:val="center"/>
          </w:tcPr>
          <w:p w14:paraId="5E49BC7C" w14:textId="4A57DEC8" w:rsidR="00FF7613" w:rsidRPr="00B67F80" w:rsidRDefault="0080048C" w:rsidP="00FF7613">
            <w:pPr>
              <w:jc w:val="center"/>
              <w:rPr>
                <w:color w:val="000000" w:themeColor="text1"/>
                <w:sz w:val="20"/>
                <w:szCs w:val="20"/>
              </w:rPr>
            </w:pPr>
            <w:r w:rsidRPr="00B67F80">
              <w:rPr>
                <w:color w:val="000000" w:themeColor="text1"/>
                <w:sz w:val="20"/>
                <w:szCs w:val="20"/>
              </w:rPr>
              <w:t>0.29</w:t>
            </w:r>
          </w:p>
        </w:tc>
        <w:tc>
          <w:tcPr>
            <w:tcW w:w="896" w:type="dxa"/>
            <w:vAlign w:val="center"/>
          </w:tcPr>
          <w:p w14:paraId="4DD0D5C9" w14:textId="5F8815A5" w:rsidR="00FF7613" w:rsidRPr="00B67F80" w:rsidRDefault="0088499C" w:rsidP="00FF7613">
            <w:pPr>
              <w:jc w:val="center"/>
              <w:rPr>
                <w:color w:val="000000" w:themeColor="text1"/>
                <w:sz w:val="20"/>
                <w:szCs w:val="20"/>
              </w:rPr>
            </w:pPr>
            <w:r w:rsidRPr="00B67F80">
              <w:rPr>
                <w:color w:val="000000" w:themeColor="text1"/>
                <w:sz w:val="20"/>
                <w:szCs w:val="20"/>
              </w:rPr>
              <w:t>0.38</w:t>
            </w:r>
          </w:p>
        </w:tc>
        <w:tc>
          <w:tcPr>
            <w:tcW w:w="929" w:type="dxa"/>
            <w:vAlign w:val="center"/>
          </w:tcPr>
          <w:p w14:paraId="5FA659B5" w14:textId="27B6C4E7" w:rsidR="00FF7613" w:rsidRPr="00B67F80" w:rsidRDefault="0080048C" w:rsidP="00FF7613">
            <w:pPr>
              <w:jc w:val="center"/>
              <w:rPr>
                <w:color w:val="000000" w:themeColor="text1"/>
                <w:sz w:val="20"/>
                <w:szCs w:val="20"/>
              </w:rPr>
            </w:pPr>
            <w:r w:rsidRPr="00B67F80">
              <w:rPr>
                <w:color w:val="000000" w:themeColor="text1"/>
                <w:sz w:val="20"/>
                <w:szCs w:val="20"/>
              </w:rPr>
              <w:t>0.77</w:t>
            </w:r>
          </w:p>
        </w:tc>
        <w:tc>
          <w:tcPr>
            <w:tcW w:w="896" w:type="dxa"/>
            <w:vAlign w:val="center"/>
          </w:tcPr>
          <w:p w14:paraId="0BCC5EDB" w14:textId="26A0EE02" w:rsidR="00FF7613" w:rsidRPr="00B67F80" w:rsidRDefault="0088499C" w:rsidP="00FF7613">
            <w:pPr>
              <w:jc w:val="center"/>
              <w:rPr>
                <w:color w:val="000000" w:themeColor="text1"/>
                <w:sz w:val="20"/>
                <w:szCs w:val="20"/>
              </w:rPr>
            </w:pPr>
            <w:r w:rsidRPr="00B67F80">
              <w:rPr>
                <w:color w:val="000000" w:themeColor="text1"/>
                <w:sz w:val="20"/>
                <w:szCs w:val="20"/>
              </w:rPr>
              <w:t>0.30</w:t>
            </w:r>
          </w:p>
        </w:tc>
        <w:tc>
          <w:tcPr>
            <w:tcW w:w="896" w:type="dxa"/>
            <w:vAlign w:val="center"/>
          </w:tcPr>
          <w:p w14:paraId="3A5FB2D4" w14:textId="0B476530" w:rsidR="00FF7613" w:rsidRPr="00B67F80" w:rsidRDefault="0088499C" w:rsidP="00FF7613">
            <w:pPr>
              <w:jc w:val="center"/>
              <w:rPr>
                <w:color w:val="000000" w:themeColor="text1"/>
                <w:sz w:val="20"/>
                <w:szCs w:val="20"/>
              </w:rPr>
            </w:pPr>
            <w:r w:rsidRPr="00B67F80">
              <w:rPr>
                <w:color w:val="000000" w:themeColor="text1"/>
                <w:sz w:val="20"/>
                <w:szCs w:val="20"/>
              </w:rPr>
              <w:t>0.54</w:t>
            </w:r>
          </w:p>
        </w:tc>
      </w:tr>
      <w:tr w:rsidR="00B67F80" w:rsidRPr="00B67F80" w14:paraId="4ED46813" w14:textId="77777777" w:rsidTr="00B26E7C">
        <w:trPr>
          <w:jc w:val="center"/>
        </w:trPr>
        <w:tc>
          <w:tcPr>
            <w:tcW w:w="1296" w:type="dxa"/>
            <w:vAlign w:val="center"/>
          </w:tcPr>
          <w:p w14:paraId="61898091" w14:textId="77777777" w:rsidR="00FF7613" w:rsidRPr="00B67F80" w:rsidRDefault="00FF7613" w:rsidP="00FF7613">
            <w:pPr>
              <w:jc w:val="center"/>
              <w:rPr>
                <w:color w:val="000000" w:themeColor="text1"/>
                <w:sz w:val="20"/>
                <w:szCs w:val="20"/>
              </w:rPr>
            </w:pPr>
            <w:proofErr w:type="spellStart"/>
            <w:r w:rsidRPr="00B67F80">
              <w:rPr>
                <w:color w:val="000000" w:themeColor="text1"/>
                <w:sz w:val="20"/>
                <w:szCs w:val="20"/>
              </w:rPr>
              <w:t>Stdev</w:t>
            </w:r>
            <w:proofErr w:type="spellEnd"/>
          </w:p>
          <w:p w14:paraId="73162FDC"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35370E6C" w14:textId="533C33E2" w:rsidR="00FF7613" w:rsidRPr="00B67F80" w:rsidRDefault="0080048C" w:rsidP="00FF7613">
            <w:pPr>
              <w:jc w:val="center"/>
              <w:rPr>
                <w:color w:val="000000" w:themeColor="text1"/>
                <w:sz w:val="20"/>
                <w:szCs w:val="20"/>
              </w:rPr>
            </w:pPr>
            <w:r w:rsidRPr="00B67F80">
              <w:rPr>
                <w:color w:val="000000" w:themeColor="text1"/>
                <w:sz w:val="20"/>
                <w:szCs w:val="20"/>
              </w:rPr>
              <w:t>2.2</w:t>
            </w:r>
          </w:p>
        </w:tc>
        <w:tc>
          <w:tcPr>
            <w:tcW w:w="895" w:type="dxa"/>
            <w:vAlign w:val="center"/>
          </w:tcPr>
          <w:p w14:paraId="1C3116AF" w14:textId="78D549B1" w:rsidR="00FF7613" w:rsidRPr="00B67F80" w:rsidRDefault="0088499C" w:rsidP="00FF7613">
            <w:pPr>
              <w:jc w:val="center"/>
              <w:rPr>
                <w:color w:val="000000" w:themeColor="text1"/>
                <w:sz w:val="20"/>
                <w:szCs w:val="20"/>
              </w:rPr>
            </w:pPr>
            <w:r w:rsidRPr="00B67F80">
              <w:rPr>
                <w:color w:val="000000" w:themeColor="text1"/>
                <w:sz w:val="20"/>
                <w:szCs w:val="20"/>
              </w:rPr>
              <w:t>2.0</w:t>
            </w:r>
          </w:p>
        </w:tc>
        <w:tc>
          <w:tcPr>
            <w:tcW w:w="896" w:type="dxa"/>
            <w:vAlign w:val="center"/>
          </w:tcPr>
          <w:p w14:paraId="223FFC10" w14:textId="4521629A" w:rsidR="00FF7613" w:rsidRPr="00B67F80" w:rsidRDefault="0088499C" w:rsidP="00FF7613">
            <w:pPr>
              <w:jc w:val="center"/>
              <w:rPr>
                <w:color w:val="000000" w:themeColor="text1"/>
                <w:sz w:val="20"/>
                <w:szCs w:val="20"/>
              </w:rPr>
            </w:pPr>
            <w:r w:rsidRPr="00B67F80">
              <w:rPr>
                <w:color w:val="000000" w:themeColor="text1"/>
                <w:sz w:val="20"/>
                <w:szCs w:val="20"/>
              </w:rPr>
              <w:t>0.82</w:t>
            </w:r>
          </w:p>
        </w:tc>
        <w:tc>
          <w:tcPr>
            <w:tcW w:w="929" w:type="dxa"/>
            <w:vAlign w:val="center"/>
          </w:tcPr>
          <w:p w14:paraId="0BB5A60B" w14:textId="6C00BD11" w:rsidR="00FF7613" w:rsidRPr="00B67F80" w:rsidRDefault="0080048C" w:rsidP="00FF7613">
            <w:pPr>
              <w:jc w:val="center"/>
              <w:rPr>
                <w:color w:val="000000" w:themeColor="text1"/>
                <w:sz w:val="20"/>
                <w:szCs w:val="20"/>
              </w:rPr>
            </w:pPr>
            <w:r w:rsidRPr="00B67F80">
              <w:rPr>
                <w:color w:val="000000" w:themeColor="text1"/>
                <w:sz w:val="20"/>
                <w:szCs w:val="20"/>
              </w:rPr>
              <w:t>2.5</w:t>
            </w:r>
          </w:p>
        </w:tc>
        <w:tc>
          <w:tcPr>
            <w:tcW w:w="896" w:type="dxa"/>
            <w:vAlign w:val="center"/>
          </w:tcPr>
          <w:p w14:paraId="52AF9843" w14:textId="26E141F7" w:rsidR="00FF7613" w:rsidRPr="00B67F80" w:rsidRDefault="0088499C" w:rsidP="00FF7613">
            <w:pPr>
              <w:jc w:val="center"/>
              <w:rPr>
                <w:color w:val="000000" w:themeColor="text1"/>
                <w:sz w:val="20"/>
                <w:szCs w:val="20"/>
              </w:rPr>
            </w:pPr>
            <w:r w:rsidRPr="00B67F80">
              <w:rPr>
                <w:color w:val="000000" w:themeColor="text1"/>
                <w:sz w:val="20"/>
                <w:szCs w:val="20"/>
              </w:rPr>
              <w:t>2.2</w:t>
            </w:r>
          </w:p>
        </w:tc>
        <w:tc>
          <w:tcPr>
            <w:tcW w:w="896" w:type="dxa"/>
            <w:vAlign w:val="center"/>
          </w:tcPr>
          <w:p w14:paraId="357118E2" w14:textId="5F93E5B4" w:rsidR="00FF7613" w:rsidRPr="00B67F80" w:rsidRDefault="0088499C" w:rsidP="00FF7613">
            <w:pPr>
              <w:jc w:val="center"/>
              <w:rPr>
                <w:color w:val="000000" w:themeColor="text1"/>
                <w:sz w:val="20"/>
                <w:szCs w:val="20"/>
              </w:rPr>
            </w:pPr>
            <w:r w:rsidRPr="00B67F80">
              <w:rPr>
                <w:color w:val="000000" w:themeColor="text1"/>
                <w:sz w:val="20"/>
                <w:szCs w:val="20"/>
              </w:rPr>
              <w:t>0.81</w:t>
            </w:r>
          </w:p>
        </w:tc>
      </w:tr>
      <w:tr w:rsidR="00FF7613" w:rsidRPr="00B67F80" w14:paraId="06443770" w14:textId="77777777" w:rsidTr="00B26E7C">
        <w:trPr>
          <w:jc w:val="center"/>
        </w:trPr>
        <w:tc>
          <w:tcPr>
            <w:tcW w:w="1296" w:type="dxa"/>
            <w:vAlign w:val="center"/>
          </w:tcPr>
          <w:p w14:paraId="45A96FCD" w14:textId="77777777" w:rsidR="00FF7613" w:rsidRPr="00B67F80" w:rsidRDefault="00FF7613" w:rsidP="00FF7613">
            <w:pPr>
              <w:jc w:val="center"/>
              <w:rPr>
                <w:color w:val="000000" w:themeColor="text1"/>
                <w:sz w:val="20"/>
                <w:szCs w:val="20"/>
              </w:rPr>
            </w:pPr>
            <w:r w:rsidRPr="00B67F80">
              <w:rPr>
                <w:color w:val="000000" w:themeColor="text1"/>
                <w:sz w:val="20"/>
                <w:szCs w:val="20"/>
              </w:rPr>
              <w:t>Trend</w:t>
            </w:r>
          </w:p>
          <w:p w14:paraId="1032EF95"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26ECC61F" w14:textId="77777777" w:rsidR="00FF7613" w:rsidRPr="00B67F80" w:rsidRDefault="00FF7613" w:rsidP="00FF7613">
            <w:pPr>
              <w:jc w:val="center"/>
              <w:rPr>
                <w:color w:val="000000" w:themeColor="text1"/>
                <w:sz w:val="20"/>
                <w:szCs w:val="20"/>
              </w:rPr>
            </w:pPr>
            <w:r w:rsidRPr="00B67F80">
              <w:rPr>
                <w:color w:val="000000" w:themeColor="text1"/>
                <w:sz w:val="20"/>
                <w:szCs w:val="20"/>
              </w:rPr>
              <w:t>-0.10</w:t>
            </w:r>
          </w:p>
          <w:p w14:paraId="0D1DCE05" w14:textId="64796C93" w:rsidR="00FF7613" w:rsidRPr="00B67F80" w:rsidRDefault="00FF7613" w:rsidP="00FF7613">
            <w:pPr>
              <w:jc w:val="center"/>
              <w:rPr>
                <w:color w:val="000000" w:themeColor="text1"/>
                <w:sz w:val="20"/>
                <w:szCs w:val="20"/>
              </w:rPr>
            </w:pPr>
            <w:r w:rsidRPr="00B67F80">
              <w:rPr>
                <w:color w:val="000000" w:themeColor="text1"/>
                <w:sz w:val="20"/>
                <w:szCs w:val="20"/>
              </w:rPr>
              <w:t>(1.0)</w:t>
            </w:r>
          </w:p>
        </w:tc>
        <w:tc>
          <w:tcPr>
            <w:tcW w:w="895" w:type="dxa"/>
            <w:vAlign w:val="center"/>
          </w:tcPr>
          <w:p w14:paraId="21473106" w14:textId="77777777" w:rsidR="00FF7613" w:rsidRPr="00B67F80" w:rsidRDefault="00FF7613" w:rsidP="00FF7613">
            <w:pPr>
              <w:jc w:val="center"/>
              <w:rPr>
                <w:color w:val="000000" w:themeColor="text1"/>
                <w:sz w:val="20"/>
                <w:szCs w:val="20"/>
              </w:rPr>
            </w:pPr>
            <w:r w:rsidRPr="00B67F80">
              <w:rPr>
                <w:color w:val="000000" w:themeColor="text1"/>
                <w:sz w:val="20"/>
                <w:szCs w:val="20"/>
              </w:rPr>
              <w:t>0.022</w:t>
            </w:r>
          </w:p>
          <w:p w14:paraId="4B7553B5" w14:textId="4330830E" w:rsidR="00FF7613" w:rsidRPr="00B67F80" w:rsidRDefault="00FF7613" w:rsidP="00FF7613">
            <w:pPr>
              <w:jc w:val="center"/>
              <w:rPr>
                <w:color w:val="000000" w:themeColor="text1"/>
                <w:sz w:val="20"/>
                <w:szCs w:val="20"/>
              </w:rPr>
            </w:pPr>
            <w:r w:rsidRPr="00B67F80">
              <w:rPr>
                <w:color w:val="000000" w:themeColor="text1"/>
                <w:sz w:val="20"/>
                <w:szCs w:val="20"/>
              </w:rPr>
              <w:t>(0.87)</w:t>
            </w:r>
          </w:p>
        </w:tc>
        <w:tc>
          <w:tcPr>
            <w:tcW w:w="896" w:type="dxa"/>
            <w:vAlign w:val="center"/>
          </w:tcPr>
          <w:p w14:paraId="37207BB0" w14:textId="77777777" w:rsidR="00FF7613" w:rsidRPr="00B67F80" w:rsidRDefault="00FF7613" w:rsidP="00FF7613">
            <w:pPr>
              <w:jc w:val="center"/>
              <w:rPr>
                <w:color w:val="000000" w:themeColor="text1"/>
                <w:sz w:val="20"/>
                <w:szCs w:val="20"/>
              </w:rPr>
            </w:pPr>
            <w:r w:rsidRPr="00B67F80">
              <w:rPr>
                <w:color w:val="000000" w:themeColor="text1"/>
                <w:sz w:val="20"/>
                <w:szCs w:val="20"/>
              </w:rPr>
              <w:t>-0.038</w:t>
            </w:r>
          </w:p>
          <w:p w14:paraId="6F1921F0" w14:textId="7435F357" w:rsidR="00FF7613" w:rsidRPr="00B67F80" w:rsidRDefault="00FF7613" w:rsidP="00FF7613">
            <w:pPr>
              <w:jc w:val="center"/>
              <w:rPr>
                <w:color w:val="000000" w:themeColor="text1"/>
                <w:sz w:val="20"/>
                <w:szCs w:val="20"/>
              </w:rPr>
            </w:pPr>
            <w:r w:rsidRPr="00B67F80">
              <w:rPr>
                <w:color w:val="000000" w:themeColor="text1"/>
                <w:sz w:val="20"/>
                <w:szCs w:val="20"/>
              </w:rPr>
              <w:t>(0.38)</w:t>
            </w:r>
          </w:p>
        </w:tc>
        <w:tc>
          <w:tcPr>
            <w:tcW w:w="929" w:type="dxa"/>
            <w:vAlign w:val="center"/>
          </w:tcPr>
          <w:p w14:paraId="54C539BB" w14:textId="77777777" w:rsidR="00FF7613" w:rsidRPr="00B67F80" w:rsidRDefault="00FF7613" w:rsidP="00FF7613">
            <w:pPr>
              <w:jc w:val="center"/>
              <w:rPr>
                <w:color w:val="000000" w:themeColor="text1"/>
                <w:sz w:val="20"/>
                <w:szCs w:val="20"/>
              </w:rPr>
            </w:pPr>
            <w:r w:rsidRPr="00B67F80">
              <w:rPr>
                <w:color w:val="000000" w:themeColor="text1"/>
                <w:sz w:val="20"/>
                <w:szCs w:val="20"/>
              </w:rPr>
              <w:t>0.037</w:t>
            </w:r>
          </w:p>
          <w:p w14:paraId="3237F690" w14:textId="2D448EC8" w:rsidR="00FF7613" w:rsidRPr="00B67F80" w:rsidRDefault="00FF7613" w:rsidP="00FF7613">
            <w:pPr>
              <w:jc w:val="center"/>
              <w:rPr>
                <w:color w:val="000000" w:themeColor="text1"/>
                <w:sz w:val="20"/>
                <w:szCs w:val="20"/>
              </w:rPr>
            </w:pPr>
            <w:r w:rsidRPr="00B67F80">
              <w:rPr>
                <w:color w:val="000000" w:themeColor="text1"/>
                <w:sz w:val="20"/>
                <w:szCs w:val="20"/>
              </w:rPr>
              <w:t>(1.1)</w:t>
            </w:r>
          </w:p>
        </w:tc>
        <w:tc>
          <w:tcPr>
            <w:tcW w:w="896" w:type="dxa"/>
            <w:vAlign w:val="center"/>
          </w:tcPr>
          <w:p w14:paraId="3A264BF3" w14:textId="77777777" w:rsidR="00FF7613" w:rsidRPr="00B67F80" w:rsidRDefault="00FF7613" w:rsidP="00FF7613">
            <w:pPr>
              <w:jc w:val="center"/>
              <w:rPr>
                <w:color w:val="000000" w:themeColor="text1"/>
                <w:sz w:val="20"/>
                <w:szCs w:val="20"/>
              </w:rPr>
            </w:pPr>
            <w:r w:rsidRPr="00B67F80">
              <w:rPr>
                <w:color w:val="000000" w:themeColor="text1"/>
                <w:sz w:val="20"/>
                <w:szCs w:val="20"/>
              </w:rPr>
              <w:t>-0.026</w:t>
            </w:r>
          </w:p>
          <w:p w14:paraId="27FACE40" w14:textId="6A3C7314" w:rsidR="00FF7613" w:rsidRPr="00B67F80" w:rsidRDefault="00FF7613" w:rsidP="00FF7613">
            <w:pPr>
              <w:jc w:val="center"/>
              <w:rPr>
                <w:color w:val="000000" w:themeColor="text1"/>
                <w:sz w:val="20"/>
                <w:szCs w:val="20"/>
              </w:rPr>
            </w:pPr>
            <w:r w:rsidRPr="00B67F80">
              <w:rPr>
                <w:color w:val="000000" w:themeColor="text1"/>
                <w:sz w:val="20"/>
                <w:szCs w:val="20"/>
              </w:rPr>
              <w:t>(0.95)</w:t>
            </w:r>
          </w:p>
        </w:tc>
        <w:tc>
          <w:tcPr>
            <w:tcW w:w="896" w:type="dxa"/>
            <w:vAlign w:val="center"/>
          </w:tcPr>
          <w:p w14:paraId="2C17C33F" w14:textId="77777777" w:rsidR="00FF7613" w:rsidRPr="00B67F80" w:rsidRDefault="00FF7613" w:rsidP="00FF7613">
            <w:pPr>
              <w:jc w:val="center"/>
              <w:rPr>
                <w:color w:val="000000" w:themeColor="text1"/>
                <w:sz w:val="20"/>
                <w:szCs w:val="20"/>
              </w:rPr>
            </w:pPr>
            <w:r w:rsidRPr="00B67F80">
              <w:rPr>
                <w:color w:val="000000" w:themeColor="text1"/>
                <w:sz w:val="20"/>
                <w:szCs w:val="20"/>
              </w:rPr>
              <w:t>0.006</w:t>
            </w:r>
          </w:p>
          <w:p w14:paraId="5BC74238" w14:textId="26AA20D4" w:rsidR="00FF7613" w:rsidRPr="00B67F80" w:rsidRDefault="00FF7613" w:rsidP="00FF7613">
            <w:pPr>
              <w:jc w:val="center"/>
              <w:rPr>
                <w:color w:val="000000" w:themeColor="text1"/>
                <w:sz w:val="20"/>
                <w:szCs w:val="20"/>
              </w:rPr>
            </w:pPr>
            <w:r w:rsidRPr="00B67F80">
              <w:rPr>
                <w:color w:val="000000" w:themeColor="text1"/>
                <w:sz w:val="20"/>
                <w:szCs w:val="20"/>
              </w:rPr>
              <w:t>(0.38)</w:t>
            </w:r>
          </w:p>
        </w:tc>
      </w:tr>
    </w:tbl>
    <w:p w14:paraId="020F760B" w14:textId="77777777" w:rsidR="00EB3E6A" w:rsidRPr="00B67F80" w:rsidRDefault="00EB3E6A" w:rsidP="00EB3E6A">
      <w:pPr>
        <w:ind w:left="360" w:hanging="360"/>
        <w:rPr>
          <w:color w:val="000000" w:themeColor="text1"/>
          <w:sz w:val="20"/>
          <w:szCs w:val="20"/>
        </w:rPr>
      </w:pPr>
    </w:p>
    <w:p w14:paraId="52D15AC0" w14:textId="77777777" w:rsidR="00EB3E6A" w:rsidRPr="00B67F80" w:rsidRDefault="00EB3E6A">
      <w:pPr>
        <w:rPr>
          <w:color w:val="000000" w:themeColor="text1"/>
          <w:sz w:val="20"/>
          <w:szCs w:val="20"/>
        </w:rPr>
      </w:pPr>
      <w:r w:rsidRPr="00B67F80">
        <w:rPr>
          <w:color w:val="000000" w:themeColor="text1"/>
          <w:sz w:val="20"/>
          <w:szCs w:val="20"/>
        </w:rPr>
        <w:br w:type="page"/>
      </w:r>
    </w:p>
    <w:p w14:paraId="463B1811" w14:textId="612475C7" w:rsidR="00362112" w:rsidRPr="00B67F80" w:rsidRDefault="00EB3E6A" w:rsidP="00542907">
      <w:pPr>
        <w:ind w:left="360" w:hanging="360"/>
        <w:rPr>
          <w:color w:val="000000" w:themeColor="text1"/>
          <w:sz w:val="20"/>
          <w:szCs w:val="20"/>
        </w:rPr>
      </w:pPr>
      <w:r w:rsidRPr="00B67F80">
        <w:rPr>
          <w:color w:val="000000" w:themeColor="text1"/>
          <w:sz w:val="20"/>
          <w:szCs w:val="20"/>
        </w:rPr>
        <w:lastRenderedPageBreak/>
        <w:t xml:space="preserve">Table </w:t>
      </w:r>
      <w:r w:rsidR="000E25B1" w:rsidRPr="00B67F80">
        <w:rPr>
          <w:color w:val="000000" w:themeColor="text1"/>
          <w:sz w:val="20"/>
          <w:szCs w:val="20"/>
        </w:rPr>
        <w:t>4 Mean, standard deviation and t</w:t>
      </w:r>
      <w:r w:rsidR="000E25B1" w:rsidRPr="00B67F80">
        <w:rPr>
          <w:color w:val="000000" w:themeColor="text1"/>
          <w:sz w:val="20"/>
          <w:szCs w:val="20"/>
          <w:lang w:val="en-GB"/>
        </w:rPr>
        <w:t xml:space="preserve">rend in annual ocean heating rate during </w:t>
      </w:r>
      <w:r w:rsidR="000E25B1" w:rsidRPr="00B67F80">
        <w:rPr>
          <w:color w:val="000000" w:themeColor="text1"/>
          <w:sz w:val="20"/>
          <w:szCs w:val="20"/>
        </w:rPr>
        <w:t xml:space="preserve">07/2005-12/2019 for the SH, NH and global (total area). Numbers in parentheses correspond to uncertainty at 95% </w:t>
      </w:r>
      <w:r w:rsidR="00AD29A6">
        <w:rPr>
          <w:color w:val="000000" w:themeColor="text1"/>
          <w:sz w:val="20"/>
          <w:szCs w:val="20"/>
        </w:rPr>
        <w:t>confidence</w:t>
      </w:r>
      <w:r w:rsidR="00AD29A6" w:rsidRPr="00B67F80">
        <w:rPr>
          <w:color w:val="000000" w:themeColor="text1"/>
          <w:sz w:val="20"/>
          <w:szCs w:val="20"/>
        </w:rPr>
        <w:t xml:space="preserve"> </w:t>
      </w:r>
      <w:r w:rsidR="000E25B1" w:rsidRPr="00B67F80">
        <w:rPr>
          <w:color w:val="000000" w:themeColor="text1"/>
          <w:sz w:val="20"/>
          <w:szCs w:val="20"/>
        </w:rPr>
        <w:t xml:space="preserve">level. Bold indicates trend </w:t>
      </w:r>
      <w:r w:rsidR="00AD29A6">
        <w:rPr>
          <w:color w:val="000000" w:themeColor="text1"/>
          <w:sz w:val="20"/>
          <w:szCs w:val="20"/>
        </w:rPr>
        <w:t xml:space="preserve">is </w:t>
      </w:r>
      <w:r w:rsidR="000E25B1" w:rsidRPr="00B67F80">
        <w:rPr>
          <w:color w:val="000000" w:themeColor="text1"/>
          <w:sz w:val="20"/>
          <w:szCs w:val="20"/>
        </w:rPr>
        <w:t xml:space="preserve">above </w:t>
      </w:r>
      <w:r w:rsidR="00AD29A6">
        <w:rPr>
          <w:color w:val="000000" w:themeColor="text1"/>
          <w:sz w:val="20"/>
          <w:szCs w:val="20"/>
        </w:rPr>
        <w:t xml:space="preserve">the </w:t>
      </w:r>
      <w:r w:rsidR="000E25B1" w:rsidRPr="00B67F80">
        <w:rPr>
          <w:color w:val="000000" w:themeColor="text1"/>
          <w:sz w:val="20"/>
          <w:szCs w:val="20"/>
        </w:rPr>
        <w:t xml:space="preserve">95% </w:t>
      </w:r>
      <w:r w:rsidR="00AD29A6">
        <w:rPr>
          <w:color w:val="000000" w:themeColor="text1"/>
          <w:sz w:val="20"/>
          <w:szCs w:val="20"/>
        </w:rPr>
        <w:t>confidence level</w:t>
      </w:r>
      <w:r w:rsidR="000E25B1" w:rsidRPr="00B67F80">
        <w:rPr>
          <w:color w:val="000000" w:themeColor="text1"/>
          <w:sz w:val="20"/>
          <w:szCs w:val="20"/>
        </w:rPr>
        <w:t>.</w:t>
      </w:r>
    </w:p>
    <w:p w14:paraId="333600E2" w14:textId="62D36170" w:rsidR="00A871D9" w:rsidRPr="00B67F80" w:rsidRDefault="00A871D9" w:rsidP="00542907">
      <w:pPr>
        <w:ind w:left="360" w:hanging="360"/>
        <w:rPr>
          <w:color w:val="000000" w:themeColor="text1"/>
          <w:sz w:val="20"/>
          <w:szCs w:val="20"/>
        </w:rPr>
      </w:pPr>
    </w:p>
    <w:tbl>
      <w:tblPr>
        <w:tblStyle w:val="TableGrid"/>
        <w:tblW w:w="6703" w:type="dxa"/>
        <w:jc w:val="center"/>
        <w:tblLayout w:type="fixed"/>
        <w:tblLook w:val="04A0" w:firstRow="1" w:lastRow="0" w:firstColumn="1" w:lastColumn="0" w:noHBand="0" w:noVBand="1"/>
      </w:tblPr>
      <w:tblGrid>
        <w:gridCol w:w="1296"/>
        <w:gridCol w:w="895"/>
        <w:gridCol w:w="895"/>
        <w:gridCol w:w="896"/>
        <w:gridCol w:w="929"/>
        <w:gridCol w:w="896"/>
        <w:gridCol w:w="896"/>
      </w:tblGrid>
      <w:tr w:rsidR="00B67F80" w:rsidRPr="00B67F80" w14:paraId="603A0E86" w14:textId="77777777" w:rsidTr="00B26E7C">
        <w:trPr>
          <w:jc w:val="center"/>
        </w:trPr>
        <w:tc>
          <w:tcPr>
            <w:tcW w:w="1296" w:type="dxa"/>
            <w:vAlign w:val="center"/>
          </w:tcPr>
          <w:p w14:paraId="3269FF04" w14:textId="77777777" w:rsidR="00EB3E6A" w:rsidRPr="00B67F80" w:rsidRDefault="00EB3E6A" w:rsidP="00B26E7C">
            <w:pPr>
              <w:jc w:val="center"/>
              <w:rPr>
                <w:color w:val="000000" w:themeColor="text1"/>
                <w:sz w:val="20"/>
                <w:szCs w:val="20"/>
              </w:rPr>
            </w:pPr>
          </w:p>
        </w:tc>
        <w:tc>
          <w:tcPr>
            <w:tcW w:w="5407" w:type="dxa"/>
            <w:gridSpan w:val="6"/>
            <w:vAlign w:val="center"/>
          </w:tcPr>
          <w:p w14:paraId="04BCF61B" w14:textId="2002A60C" w:rsidR="00EB3E6A" w:rsidRPr="00B67F80" w:rsidRDefault="00EB3E6A" w:rsidP="00B26E7C">
            <w:pPr>
              <w:jc w:val="center"/>
              <w:rPr>
                <w:b/>
                <w:bCs/>
                <w:color w:val="000000" w:themeColor="text1"/>
                <w:sz w:val="20"/>
                <w:szCs w:val="20"/>
              </w:rPr>
            </w:pPr>
            <w:r w:rsidRPr="00B67F80">
              <w:rPr>
                <w:b/>
                <w:bCs/>
                <w:color w:val="000000" w:themeColor="text1"/>
                <w:sz w:val="20"/>
                <w:szCs w:val="20"/>
              </w:rPr>
              <w:t>ORAS5</w:t>
            </w:r>
          </w:p>
        </w:tc>
      </w:tr>
      <w:tr w:rsidR="00B67F80" w:rsidRPr="00B67F80" w14:paraId="60B175AD" w14:textId="77777777" w:rsidTr="00EB3E6A">
        <w:trPr>
          <w:jc w:val="center"/>
        </w:trPr>
        <w:tc>
          <w:tcPr>
            <w:tcW w:w="1296" w:type="dxa"/>
            <w:vAlign w:val="center"/>
          </w:tcPr>
          <w:p w14:paraId="519CB090" w14:textId="77777777" w:rsidR="00A871D9" w:rsidRPr="00B67F80" w:rsidRDefault="00A871D9" w:rsidP="00B26E7C">
            <w:pPr>
              <w:jc w:val="center"/>
              <w:rPr>
                <w:color w:val="000000" w:themeColor="text1"/>
                <w:sz w:val="20"/>
                <w:szCs w:val="20"/>
              </w:rPr>
            </w:pPr>
          </w:p>
        </w:tc>
        <w:tc>
          <w:tcPr>
            <w:tcW w:w="2686" w:type="dxa"/>
            <w:gridSpan w:val="3"/>
            <w:vAlign w:val="center"/>
          </w:tcPr>
          <w:p w14:paraId="032E717D" w14:textId="64F088C6" w:rsidR="00A871D9" w:rsidRPr="00B67F80" w:rsidRDefault="00EB3E6A" w:rsidP="00B26E7C">
            <w:pPr>
              <w:jc w:val="center"/>
              <w:rPr>
                <w:color w:val="000000" w:themeColor="text1"/>
                <w:sz w:val="20"/>
                <w:szCs w:val="20"/>
              </w:rPr>
            </w:pPr>
            <w:r w:rsidRPr="00B67F80">
              <w:rPr>
                <w:color w:val="000000" w:themeColor="text1"/>
                <w:sz w:val="20"/>
                <w:szCs w:val="20"/>
              </w:rPr>
              <w:t>0-700 m</w:t>
            </w:r>
          </w:p>
        </w:tc>
        <w:tc>
          <w:tcPr>
            <w:tcW w:w="2721" w:type="dxa"/>
            <w:gridSpan w:val="3"/>
            <w:vAlign w:val="center"/>
          </w:tcPr>
          <w:p w14:paraId="27C46E7A" w14:textId="6D6878C3" w:rsidR="00A871D9" w:rsidRPr="00B67F80" w:rsidRDefault="00EB3E6A" w:rsidP="00B26E7C">
            <w:pPr>
              <w:jc w:val="center"/>
              <w:rPr>
                <w:color w:val="000000" w:themeColor="text1"/>
                <w:sz w:val="20"/>
                <w:szCs w:val="20"/>
              </w:rPr>
            </w:pPr>
            <w:r w:rsidRPr="00B67F80">
              <w:rPr>
                <w:color w:val="000000" w:themeColor="text1"/>
                <w:kern w:val="24"/>
                <w:sz w:val="20"/>
                <w:szCs w:val="20"/>
              </w:rPr>
              <w:t>Full Depth</w:t>
            </w:r>
          </w:p>
        </w:tc>
      </w:tr>
      <w:tr w:rsidR="00B67F80" w:rsidRPr="00B67F80" w14:paraId="7C707B68" w14:textId="77777777" w:rsidTr="00EB3E6A">
        <w:trPr>
          <w:jc w:val="center"/>
        </w:trPr>
        <w:tc>
          <w:tcPr>
            <w:tcW w:w="1296" w:type="dxa"/>
            <w:vAlign w:val="center"/>
          </w:tcPr>
          <w:p w14:paraId="12FC630A" w14:textId="77777777" w:rsidR="00A871D9" w:rsidRPr="00B67F80" w:rsidRDefault="00A871D9" w:rsidP="00B26E7C">
            <w:pPr>
              <w:jc w:val="center"/>
              <w:rPr>
                <w:color w:val="000000" w:themeColor="text1"/>
                <w:sz w:val="20"/>
                <w:szCs w:val="20"/>
              </w:rPr>
            </w:pPr>
          </w:p>
        </w:tc>
        <w:tc>
          <w:tcPr>
            <w:tcW w:w="895" w:type="dxa"/>
            <w:vAlign w:val="center"/>
          </w:tcPr>
          <w:p w14:paraId="77702D67" w14:textId="77777777" w:rsidR="00A871D9" w:rsidRPr="00B67F80" w:rsidRDefault="00A871D9" w:rsidP="00B26E7C">
            <w:pPr>
              <w:jc w:val="center"/>
              <w:rPr>
                <w:color w:val="000000" w:themeColor="text1"/>
                <w:sz w:val="20"/>
                <w:szCs w:val="20"/>
              </w:rPr>
            </w:pPr>
            <w:r w:rsidRPr="00B67F80">
              <w:rPr>
                <w:color w:val="000000" w:themeColor="text1"/>
                <w:sz w:val="20"/>
                <w:szCs w:val="20"/>
              </w:rPr>
              <w:t>SH</w:t>
            </w:r>
          </w:p>
        </w:tc>
        <w:tc>
          <w:tcPr>
            <w:tcW w:w="895" w:type="dxa"/>
            <w:vAlign w:val="center"/>
          </w:tcPr>
          <w:p w14:paraId="258AC028" w14:textId="77777777" w:rsidR="00A871D9" w:rsidRPr="00B67F80" w:rsidRDefault="00A871D9"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56FA7C32" w14:textId="77777777" w:rsidR="00A871D9" w:rsidRPr="00B67F80" w:rsidRDefault="00A871D9" w:rsidP="00B26E7C">
            <w:pPr>
              <w:jc w:val="center"/>
              <w:rPr>
                <w:color w:val="000000" w:themeColor="text1"/>
                <w:sz w:val="20"/>
                <w:szCs w:val="20"/>
              </w:rPr>
            </w:pPr>
            <w:r w:rsidRPr="00B67F80">
              <w:rPr>
                <w:color w:val="000000" w:themeColor="text1"/>
                <w:sz w:val="20"/>
                <w:szCs w:val="20"/>
              </w:rPr>
              <w:t>Global</w:t>
            </w:r>
          </w:p>
        </w:tc>
        <w:tc>
          <w:tcPr>
            <w:tcW w:w="929" w:type="dxa"/>
            <w:vAlign w:val="center"/>
          </w:tcPr>
          <w:p w14:paraId="627B76CF" w14:textId="77777777" w:rsidR="00A871D9" w:rsidRPr="00B67F80" w:rsidRDefault="00A871D9" w:rsidP="00B26E7C">
            <w:pPr>
              <w:jc w:val="center"/>
              <w:rPr>
                <w:color w:val="000000" w:themeColor="text1"/>
                <w:sz w:val="20"/>
                <w:szCs w:val="20"/>
              </w:rPr>
            </w:pPr>
            <w:r w:rsidRPr="00B67F80">
              <w:rPr>
                <w:color w:val="000000" w:themeColor="text1"/>
                <w:sz w:val="20"/>
                <w:szCs w:val="20"/>
              </w:rPr>
              <w:t>SH</w:t>
            </w:r>
          </w:p>
        </w:tc>
        <w:tc>
          <w:tcPr>
            <w:tcW w:w="896" w:type="dxa"/>
            <w:vAlign w:val="center"/>
          </w:tcPr>
          <w:p w14:paraId="3589CB93" w14:textId="77777777" w:rsidR="00A871D9" w:rsidRPr="00B67F80" w:rsidRDefault="00A871D9" w:rsidP="00B26E7C">
            <w:pPr>
              <w:jc w:val="center"/>
              <w:rPr>
                <w:color w:val="000000" w:themeColor="text1"/>
                <w:sz w:val="20"/>
                <w:szCs w:val="20"/>
              </w:rPr>
            </w:pPr>
            <w:r w:rsidRPr="00B67F80">
              <w:rPr>
                <w:color w:val="000000" w:themeColor="text1"/>
                <w:sz w:val="20"/>
                <w:szCs w:val="20"/>
              </w:rPr>
              <w:t>NH</w:t>
            </w:r>
          </w:p>
        </w:tc>
        <w:tc>
          <w:tcPr>
            <w:tcW w:w="896" w:type="dxa"/>
            <w:vAlign w:val="center"/>
          </w:tcPr>
          <w:p w14:paraId="0253A138" w14:textId="77777777" w:rsidR="00A871D9" w:rsidRPr="00B67F80" w:rsidRDefault="00A871D9" w:rsidP="00B26E7C">
            <w:pPr>
              <w:jc w:val="center"/>
              <w:rPr>
                <w:color w:val="000000" w:themeColor="text1"/>
                <w:sz w:val="20"/>
                <w:szCs w:val="20"/>
              </w:rPr>
            </w:pPr>
            <w:r w:rsidRPr="00B67F80">
              <w:rPr>
                <w:color w:val="000000" w:themeColor="text1"/>
                <w:sz w:val="20"/>
                <w:szCs w:val="20"/>
              </w:rPr>
              <w:t>Global</w:t>
            </w:r>
          </w:p>
        </w:tc>
      </w:tr>
      <w:tr w:rsidR="00B67F80" w:rsidRPr="00B67F80" w14:paraId="14B333BE" w14:textId="77777777" w:rsidTr="00EB3E6A">
        <w:trPr>
          <w:jc w:val="center"/>
        </w:trPr>
        <w:tc>
          <w:tcPr>
            <w:tcW w:w="1296" w:type="dxa"/>
            <w:vAlign w:val="center"/>
          </w:tcPr>
          <w:p w14:paraId="023B38A0" w14:textId="77777777" w:rsidR="00A871D9" w:rsidRPr="00B67F80" w:rsidRDefault="00A871D9" w:rsidP="00B26E7C">
            <w:pPr>
              <w:jc w:val="center"/>
              <w:rPr>
                <w:color w:val="000000" w:themeColor="text1"/>
                <w:sz w:val="20"/>
                <w:szCs w:val="20"/>
              </w:rPr>
            </w:pPr>
            <w:r w:rsidRPr="00B67F80">
              <w:rPr>
                <w:color w:val="000000" w:themeColor="text1"/>
                <w:sz w:val="20"/>
                <w:szCs w:val="20"/>
              </w:rPr>
              <w:t>Mean</w:t>
            </w:r>
          </w:p>
          <w:p w14:paraId="34F7FEB5" w14:textId="77777777" w:rsidR="00A871D9" w:rsidRPr="00B67F80" w:rsidRDefault="00A871D9"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28F34285" w14:textId="1B729C5D" w:rsidR="00A871D9" w:rsidRPr="00B67F80" w:rsidRDefault="00775E20" w:rsidP="00B26E7C">
            <w:pPr>
              <w:jc w:val="center"/>
              <w:rPr>
                <w:color w:val="000000" w:themeColor="text1"/>
                <w:sz w:val="20"/>
                <w:szCs w:val="20"/>
              </w:rPr>
            </w:pPr>
            <w:r w:rsidRPr="00B67F80">
              <w:rPr>
                <w:color w:val="000000" w:themeColor="text1"/>
                <w:sz w:val="20"/>
                <w:szCs w:val="20"/>
              </w:rPr>
              <w:t>0.54</w:t>
            </w:r>
          </w:p>
        </w:tc>
        <w:tc>
          <w:tcPr>
            <w:tcW w:w="895" w:type="dxa"/>
            <w:vAlign w:val="center"/>
          </w:tcPr>
          <w:p w14:paraId="174BADDA" w14:textId="6EF549A2" w:rsidR="00A871D9" w:rsidRPr="00B67F80" w:rsidRDefault="000E39CE" w:rsidP="00B26E7C">
            <w:pPr>
              <w:jc w:val="center"/>
              <w:rPr>
                <w:color w:val="000000" w:themeColor="text1"/>
                <w:sz w:val="20"/>
                <w:szCs w:val="20"/>
              </w:rPr>
            </w:pPr>
            <w:r w:rsidRPr="00B67F80">
              <w:rPr>
                <w:color w:val="000000" w:themeColor="text1"/>
                <w:sz w:val="20"/>
                <w:szCs w:val="20"/>
              </w:rPr>
              <w:t>0.38</w:t>
            </w:r>
          </w:p>
        </w:tc>
        <w:tc>
          <w:tcPr>
            <w:tcW w:w="896" w:type="dxa"/>
            <w:vAlign w:val="center"/>
          </w:tcPr>
          <w:p w14:paraId="4D594D40" w14:textId="34E6E76F" w:rsidR="00A871D9" w:rsidRPr="00B67F80" w:rsidRDefault="00880674" w:rsidP="00B26E7C">
            <w:pPr>
              <w:jc w:val="center"/>
              <w:rPr>
                <w:color w:val="000000" w:themeColor="text1"/>
                <w:sz w:val="20"/>
                <w:szCs w:val="20"/>
              </w:rPr>
            </w:pPr>
            <w:r w:rsidRPr="00B67F80">
              <w:rPr>
                <w:color w:val="000000" w:themeColor="text1"/>
                <w:sz w:val="20"/>
                <w:szCs w:val="20"/>
              </w:rPr>
              <w:t>0.46</w:t>
            </w:r>
          </w:p>
        </w:tc>
        <w:tc>
          <w:tcPr>
            <w:tcW w:w="929" w:type="dxa"/>
            <w:vAlign w:val="center"/>
          </w:tcPr>
          <w:p w14:paraId="75F56DE8" w14:textId="0CE116FC" w:rsidR="00A871D9" w:rsidRPr="00B67F80" w:rsidRDefault="000E39CE" w:rsidP="00B26E7C">
            <w:pPr>
              <w:jc w:val="center"/>
              <w:rPr>
                <w:color w:val="000000" w:themeColor="text1"/>
                <w:sz w:val="20"/>
                <w:szCs w:val="20"/>
              </w:rPr>
            </w:pPr>
            <w:r w:rsidRPr="00B67F80">
              <w:rPr>
                <w:color w:val="000000" w:themeColor="text1"/>
                <w:sz w:val="20"/>
                <w:szCs w:val="20"/>
              </w:rPr>
              <w:t>1.1</w:t>
            </w:r>
          </w:p>
        </w:tc>
        <w:tc>
          <w:tcPr>
            <w:tcW w:w="896" w:type="dxa"/>
            <w:vAlign w:val="center"/>
          </w:tcPr>
          <w:p w14:paraId="63865F6E" w14:textId="4873A237" w:rsidR="00A871D9" w:rsidRPr="00B67F80" w:rsidRDefault="00371B6D" w:rsidP="00B26E7C">
            <w:pPr>
              <w:jc w:val="center"/>
              <w:rPr>
                <w:color w:val="000000" w:themeColor="text1"/>
                <w:sz w:val="20"/>
                <w:szCs w:val="20"/>
              </w:rPr>
            </w:pPr>
            <w:r w:rsidRPr="00B67F80">
              <w:rPr>
                <w:color w:val="000000" w:themeColor="text1"/>
                <w:sz w:val="20"/>
                <w:szCs w:val="20"/>
              </w:rPr>
              <w:t>0.65</w:t>
            </w:r>
          </w:p>
        </w:tc>
        <w:tc>
          <w:tcPr>
            <w:tcW w:w="896" w:type="dxa"/>
            <w:vAlign w:val="center"/>
          </w:tcPr>
          <w:p w14:paraId="3507EC6F" w14:textId="59176A2D" w:rsidR="00A871D9" w:rsidRPr="00B67F80" w:rsidRDefault="00880674" w:rsidP="00B26E7C">
            <w:pPr>
              <w:jc w:val="center"/>
              <w:rPr>
                <w:color w:val="000000" w:themeColor="text1"/>
                <w:sz w:val="20"/>
                <w:szCs w:val="20"/>
              </w:rPr>
            </w:pPr>
            <w:r w:rsidRPr="00B67F80">
              <w:rPr>
                <w:color w:val="000000" w:themeColor="text1"/>
                <w:sz w:val="20"/>
                <w:szCs w:val="20"/>
              </w:rPr>
              <w:t>0.88</w:t>
            </w:r>
          </w:p>
        </w:tc>
      </w:tr>
      <w:tr w:rsidR="00B67F80" w:rsidRPr="00B67F80" w14:paraId="5E230D8F" w14:textId="77777777" w:rsidTr="00EB3E6A">
        <w:trPr>
          <w:jc w:val="center"/>
        </w:trPr>
        <w:tc>
          <w:tcPr>
            <w:tcW w:w="1296" w:type="dxa"/>
            <w:vAlign w:val="center"/>
          </w:tcPr>
          <w:p w14:paraId="39D4B047" w14:textId="77777777" w:rsidR="00A871D9" w:rsidRPr="00B67F80" w:rsidRDefault="00A871D9" w:rsidP="00B26E7C">
            <w:pPr>
              <w:jc w:val="center"/>
              <w:rPr>
                <w:color w:val="000000" w:themeColor="text1"/>
                <w:sz w:val="20"/>
                <w:szCs w:val="20"/>
              </w:rPr>
            </w:pPr>
            <w:proofErr w:type="spellStart"/>
            <w:r w:rsidRPr="00B67F80">
              <w:rPr>
                <w:color w:val="000000" w:themeColor="text1"/>
                <w:sz w:val="20"/>
                <w:szCs w:val="20"/>
              </w:rPr>
              <w:t>Stdev</w:t>
            </w:r>
            <w:proofErr w:type="spellEnd"/>
          </w:p>
          <w:p w14:paraId="2F7B6CBC" w14:textId="77777777" w:rsidR="00A871D9" w:rsidRPr="00B67F80" w:rsidRDefault="00A871D9" w:rsidP="00B26E7C">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2D073314" w14:textId="2D8AF5B7" w:rsidR="00A871D9" w:rsidRPr="00B67F80" w:rsidRDefault="005B6314" w:rsidP="00B26E7C">
            <w:pPr>
              <w:jc w:val="center"/>
              <w:rPr>
                <w:color w:val="000000" w:themeColor="text1"/>
                <w:sz w:val="20"/>
                <w:szCs w:val="20"/>
              </w:rPr>
            </w:pPr>
            <w:r w:rsidRPr="00B67F80">
              <w:rPr>
                <w:color w:val="000000" w:themeColor="text1"/>
                <w:sz w:val="20"/>
                <w:szCs w:val="20"/>
              </w:rPr>
              <w:t>1.3</w:t>
            </w:r>
          </w:p>
        </w:tc>
        <w:tc>
          <w:tcPr>
            <w:tcW w:w="895" w:type="dxa"/>
            <w:vAlign w:val="center"/>
          </w:tcPr>
          <w:p w14:paraId="083F4463" w14:textId="5A79BAF2" w:rsidR="00A871D9" w:rsidRPr="00B67F80" w:rsidRDefault="000E39CE" w:rsidP="00B26E7C">
            <w:pPr>
              <w:jc w:val="center"/>
              <w:rPr>
                <w:color w:val="000000" w:themeColor="text1"/>
                <w:sz w:val="20"/>
                <w:szCs w:val="20"/>
              </w:rPr>
            </w:pPr>
            <w:r w:rsidRPr="00B67F80">
              <w:rPr>
                <w:color w:val="000000" w:themeColor="text1"/>
                <w:sz w:val="20"/>
                <w:szCs w:val="20"/>
              </w:rPr>
              <w:t>1.3</w:t>
            </w:r>
          </w:p>
        </w:tc>
        <w:tc>
          <w:tcPr>
            <w:tcW w:w="896" w:type="dxa"/>
            <w:vAlign w:val="center"/>
          </w:tcPr>
          <w:p w14:paraId="7E2F2D54" w14:textId="6DB41C52" w:rsidR="00A871D9" w:rsidRPr="00B67F80" w:rsidRDefault="00880674" w:rsidP="00B26E7C">
            <w:pPr>
              <w:jc w:val="center"/>
              <w:rPr>
                <w:color w:val="000000" w:themeColor="text1"/>
                <w:sz w:val="20"/>
                <w:szCs w:val="20"/>
              </w:rPr>
            </w:pPr>
            <w:r w:rsidRPr="00B67F80">
              <w:rPr>
                <w:color w:val="000000" w:themeColor="text1"/>
                <w:sz w:val="20"/>
                <w:szCs w:val="20"/>
              </w:rPr>
              <w:t>0.40</w:t>
            </w:r>
          </w:p>
        </w:tc>
        <w:tc>
          <w:tcPr>
            <w:tcW w:w="929" w:type="dxa"/>
            <w:vAlign w:val="center"/>
          </w:tcPr>
          <w:p w14:paraId="72EAE586" w14:textId="75D09342" w:rsidR="00A871D9" w:rsidRPr="00B67F80" w:rsidRDefault="000E39CE" w:rsidP="00B26E7C">
            <w:pPr>
              <w:jc w:val="center"/>
              <w:rPr>
                <w:color w:val="000000" w:themeColor="text1"/>
                <w:sz w:val="20"/>
                <w:szCs w:val="20"/>
              </w:rPr>
            </w:pPr>
            <w:r w:rsidRPr="00B67F80">
              <w:rPr>
                <w:color w:val="000000" w:themeColor="text1"/>
                <w:sz w:val="20"/>
                <w:szCs w:val="20"/>
              </w:rPr>
              <w:t>1.4</w:t>
            </w:r>
          </w:p>
        </w:tc>
        <w:tc>
          <w:tcPr>
            <w:tcW w:w="896" w:type="dxa"/>
            <w:vAlign w:val="center"/>
          </w:tcPr>
          <w:p w14:paraId="3874492E" w14:textId="446F89AB" w:rsidR="00A871D9" w:rsidRPr="00B67F80" w:rsidRDefault="00371B6D" w:rsidP="00B26E7C">
            <w:pPr>
              <w:jc w:val="center"/>
              <w:rPr>
                <w:color w:val="000000" w:themeColor="text1"/>
                <w:sz w:val="20"/>
                <w:szCs w:val="20"/>
              </w:rPr>
            </w:pPr>
            <w:r w:rsidRPr="00B67F80">
              <w:rPr>
                <w:color w:val="000000" w:themeColor="text1"/>
                <w:sz w:val="20"/>
                <w:szCs w:val="20"/>
              </w:rPr>
              <w:t>1.4</w:t>
            </w:r>
          </w:p>
        </w:tc>
        <w:tc>
          <w:tcPr>
            <w:tcW w:w="896" w:type="dxa"/>
            <w:vAlign w:val="center"/>
          </w:tcPr>
          <w:p w14:paraId="60283B28" w14:textId="2DCA2425" w:rsidR="00A871D9" w:rsidRPr="00B67F80" w:rsidRDefault="00880674" w:rsidP="00B26E7C">
            <w:pPr>
              <w:jc w:val="center"/>
              <w:rPr>
                <w:color w:val="000000" w:themeColor="text1"/>
                <w:sz w:val="20"/>
                <w:szCs w:val="20"/>
              </w:rPr>
            </w:pPr>
            <w:r w:rsidRPr="00B67F80">
              <w:rPr>
                <w:color w:val="000000" w:themeColor="text1"/>
                <w:sz w:val="20"/>
                <w:szCs w:val="20"/>
              </w:rPr>
              <w:t>0.45</w:t>
            </w:r>
          </w:p>
        </w:tc>
      </w:tr>
      <w:tr w:rsidR="00B67F80" w:rsidRPr="00B67F80" w14:paraId="5B1DCA70" w14:textId="77777777" w:rsidTr="00EB3E6A">
        <w:trPr>
          <w:jc w:val="center"/>
        </w:trPr>
        <w:tc>
          <w:tcPr>
            <w:tcW w:w="1296" w:type="dxa"/>
            <w:vAlign w:val="center"/>
          </w:tcPr>
          <w:p w14:paraId="01CC1D31" w14:textId="77777777" w:rsidR="00FF7613" w:rsidRPr="00B67F80" w:rsidRDefault="00FF7613" w:rsidP="00FF7613">
            <w:pPr>
              <w:jc w:val="center"/>
              <w:rPr>
                <w:color w:val="000000" w:themeColor="text1"/>
                <w:sz w:val="20"/>
                <w:szCs w:val="20"/>
              </w:rPr>
            </w:pPr>
            <w:r w:rsidRPr="00B67F80">
              <w:rPr>
                <w:color w:val="000000" w:themeColor="text1"/>
                <w:sz w:val="20"/>
                <w:szCs w:val="20"/>
              </w:rPr>
              <w:t>Trend</w:t>
            </w:r>
          </w:p>
          <w:p w14:paraId="0E88860B"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5F1479A0" w14:textId="77777777" w:rsidR="00FF7613" w:rsidRPr="00B67F80" w:rsidRDefault="00FF7613" w:rsidP="00FF7613">
            <w:pPr>
              <w:jc w:val="center"/>
              <w:rPr>
                <w:color w:val="000000" w:themeColor="text1"/>
                <w:sz w:val="20"/>
                <w:szCs w:val="20"/>
              </w:rPr>
            </w:pPr>
            <w:r w:rsidRPr="00B67F80">
              <w:rPr>
                <w:color w:val="000000" w:themeColor="text1"/>
                <w:sz w:val="20"/>
                <w:szCs w:val="20"/>
              </w:rPr>
              <w:t>0.15</w:t>
            </w:r>
          </w:p>
          <w:p w14:paraId="403FE366" w14:textId="2F8ADB2C" w:rsidR="00FF7613" w:rsidRPr="00B67F80" w:rsidRDefault="00FF7613" w:rsidP="00FF7613">
            <w:pPr>
              <w:jc w:val="center"/>
              <w:rPr>
                <w:color w:val="000000" w:themeColor="text1"/>
                <w:sz w:val="20"/>
                <w:szCs w:val="20"/>
              </w:rPr>
            </w:pPr>
            <w:r w:rsidRPr="00B67F80">
              <w:rPr>
                <w:color w:val="000000" w:themeColor="text1"/>
                <w:sz w:val="20"/>
                <w:szCs w:val="20"/>
              </w:rPr>
              <w:t>(1.2)</w:t>
            </w:r>
          </w:p>
        </w:tc>
        <w:tc>
          <w:tcPr>
            <w:tcW w:w="895" w:type="dxa"/>
            <w:vAlign w:val="center"/>
          </w:tcPr>
          <w:p w14:paraId="7D06FDF9" w14:textId="77777777" w:rsidR="00FF7613" w:rsidRPr="00B67F80" w:rsidRDefault="00FF7613" w:rsidP="00FF7613">
            <w:pPr>
              <w:jc w:val="center"/>
              <w:rPr>
                <w:color w:val="000000" w:themeColor="text1"/>
                <w:sz w:val="20"/>
                <w:szCs w:val="20"/>
              </w:rPr>
            </w:pPr>
            <w:r w:rsidRPr="00B67F80">
              <w:rPr>
                <w:color w:val="000000" w:themeColor="text1"/>
                <w:sz w:val="20"/>
                <w:szCs w:val="20"/>
              </w:rPr>
              <w:t>0.56</w:t>
            </w:r>
          </w:p>
          <w:p w14:paraId="18EF11FD" w14:textId="104A353E" w:rsidR="00FF7613" w:rsidRPr="00B67F80" w:rsidRDefault="00FF7613" w:rsidP="00FF7613">
            <w:pPr>
              <w:jc w:val="center"/>
              <w:rPr>
                <w:color w:val="000000" w:themeColor="text1"/>
                <w:sz w:val="20"/>
                <w:szCs w:val="20"/>
              </w:rPr>
            </w:pPr>
            <w:r w:rsidRPr="00B67F80">
              <w:rPr>
                <w:color w:val="000000" w:themeColor="text1"/>
                <w:sz w:val="20"/>
                <w:szCs w:val="20"/>
              </w:rPr>
              <w:t>(1.2)</w:t>
            </w:r>
          </w:p>
        </w:tc>
        <w:tc>
          <w:tcPr>
            <w:tcW w:w="896" w:type="dxa"/>
            <w:vAlign w:val="center"/>
          </w:tcPr>
          <w:p w14:paraId="09E941B3" w14:textId="77777777" w:rsidR="00FF7613" w:rsidRPr="00B67F80" w:rsidRDefault="00FF7613" w:rsidP="00FF7613">
            <w:pPr>
              <w:jc w:val="center"/>
              <w:rPr>
                <w:color w:val="000000" w:themeColor="text1"/>
                <w:sz w:val="20"/>
                <w:szCs w:val="20"/>
              </w:rPr>
            </w:pPr>
            <w:r w:rsidRPr="00B67F80">
              <w:rPr>
                <w:color w:val="000000" w:themeColor="text1"/>
                <w:sz w:val="20"/>
                <w:szCs w:val="20"/>
              </w:rPr>
              <w:t>0.36</w:t>
            </w:r>
          </w:p>
          <w:p w14:paraId="4601DC1D" w14:textId="548A3004" w:rsidR="00FF7613" w:rsidRPr="00B67F80" w:rsidRDefault="00FF7613" w:rsidP="00FF7613">
            <w:pPr>
              <w:jc w:val="center"/>
              <w:rPr>
                <w:color w:val="000000" w:themeColor="text1"/>
                <w:sz w:val="20"/>
                <w:szCs w:val="20"/>
              </w:rPr>
            </w:pPr>
            <w:r w:rsidRPr="00B67F80">
              <w:rPr>
                <w:color w:val="000000" w:themeColor="text1"/>
                <w:sz w:val="20"/>
                <w:szCs w:val="20"/>
              </w:rPr>
              <w:t>(0.55)</w:t>
            </w:r>
          </w:p>
        </w:tc>
        <w:tc>
          <w:tcPr>
            <w:tcW w:w="929" w:type="dxa"/>
            <w:vAlign w:val="center"/>
          </w:tcPr>
          <w:p w14:paraId="5460E7F0" w14:textId="77777777" w:rsidR="00FF7613" w:rsidRPr="00B67F80" w:rsidRDefault="00FF7613" w:rsidP="00FF7613">
            <w:pPr>
              <w:jc w:val="center"/>
              <w:rPr>
                <w:color w:val="000000" w:themeColor="text1"/>
                <w:sz w:val="20"/>
                <w:szCs w:val="20"/>
              </w:rPr>
            </w:pPr>
            <w:r w:rsidRPr="00B67F80">
              <w:rPr>
                <w:color w:val="000000" w:themeColor="text1"/>
                <w:sz w:val="20"/>
                <w:szCs w:val="20"/>
              </w:rPr>
              <w:t>-0.37</w:t>
            </w:r>
          </w:p>
          <w:p w14:paraId="79AACEE8" w14:textId="24AEBDE7" w:rsidR="00FF7613" w:rsidRPr="00B67F80" w:rsidRDefault="00FF7613" w:rsidP="00FF7613">
            <w:pPr>
              <w:jc w:val="center"/>
              <w:rPr>
                <w:color w:val="000000" w:themeColor="text1"/>
                <w:sz w:val="20"/>
                <w:szCs w:val="20"/>
              </w:rPr>
            </w:pPr>
            <w:r w:rsidRPr="00B67F80">
              <w:rPr>
                <w:color w:val="000000" w:themeColor="text1"/>
                <w:sz w:val="20"/>
                <w:szCs w:val="20"/>
              </w:rPr>
              <w:t>(1.3)</w:t>
            </w:r>
          </w:p>
        </w:tc>
        <w:tc>
          <w:tcPr>
            <w:tcW w:w="896" w:type="dxa"/>
            <w:vAlign w:val="center"/>
          </w:tcPr>
          <w:p w14:paraId="5EB806FB" w14:textId="77777777" w:rsidR="00FF7613" w:rsidRPr="00B67F80" w:rsidRDefault="00FF7613" w:rsidP="00FF7613">
            <w:pPr>
              <w:jc w:val="center"/>
              <w:rPr>
                <w:color w:val="000000" w:themeColor="text1"/>
                <w:sz w:val="20"/>
                <w:szCs w:val="20"/>
              </w:rPr>
            </w:pPr>
            <w:r w:rsidRPr="00B67F80">
              <w:rPr>
                <w:color w:val="000000" w:themeColor="text1"/>
                <w:sz w:val="20"/>
                <w:szCs w:val="20"/>
              </w:rPr>
              <w:t>0.84</w:t>
            </w:r>
          </w:p>
          <w:p w14:paraId="61DB05CC" w14:textId="54F0B0A3" w:rsidR="00FF7613" w:rsidRPr="00B67F80" w:rsidRDefault="00FF7613" w:rsidP="00FF7613">
            <w:pPr>
              <w:jc w:val="center"/>
              <w:rPr>
                <w:b/>
                <w:bCs/>
                <w:color w:val="000000" w:themeColor="text1"/>
                <w:sz w:val="20"/>
                <w:szCs w:val="20"/>
              </w:rPr>
            </w:pPr>
            <w:r w:rsidRPr="00B67F80">
              <w:rPr>
                <w:color w:val="000000" w:themeColor="text1"/>
                <w:sz w:val="20"/>
                <w:szCs w:val="20"/>
              </w:rPr>
              <w:t>(1.3)</w:t>
            </w:r>
          </w:p>
        </w:tc>
        <w:tc>
          <w:tcPr>
            <w:tcW w:w="896" w:type="dxa"/>
            <w:vAlign w:val="center"/>
          </w:tcPr>
          <w:p w14:paraId="30B534CF" w14:textId="77777777" w:rsidR="00FF7613" w:rsidRPr="00B67F80" w:rsidRDefault="00FF7613" w:rsidP="00FF7613">
            <w:pPr>
              <w:jc w:val="center"/>
              <w:rPr>
                <w:color w:val="000000" w:themeColor="text1"/>
                <w:sz w:val="20"/>
                <w:szCs w:val="20"/>
              </w:rPr>
            </w:pPr>
            <w:r w:rsidRPr="00B67F80">
              <w:rPr>
                <w:color w:val="000000" w:themeColor="text1"/>
                <w:sz w:val="20"/>
                <w:szCs w:val="20"/>
              </w:rPr>
              <w:t>0.24</w:t>
            </w:r>
          </w:p>
          <w:p w14:paraId="31AE835A" w14:textId="32B7A9A4" w:rsidR="00FF7613" w:rsidRPr="00B67F80" w:rsidRDefault="00FF7613" w:rsidP="00FF7613">
            <w:pPr>
              <w:jc w:val="center"/>
              <w:rPr>
                <w:b/>
                <w:bCs/>
                <w:color w:val="000000" w:themeColor="text1"/>
                <w:sz w:val="20"/>
                <w:szCs w:val="20"/>
              </w:rPr>
            </w:pPr>
            <w:r w:rsidRPr="00B67F80">
              <w:rPr>
                <w:color w:val="000000" w:themeColor="text1"/>
                <w:sz w:val="20"/>
                <w:szCs w:val="20"/>
              </w:rPr>
              <w:t>(0.70)</w:t>
            </w:r>
          </w:p>
        </w:tc>
      </w:tr>
      <w:tr w:rsidR="00B67F80" w:rsidRPr="00B67F80" w14:paraId="1F3AF8C1" w14:textId="77777777" w:rsidTr="00B26E7C">
        <w:trPr>
          <w:jc w:val="center"/>
        </w:trPr>
        <w:tc>
          <w:tcPr>
            <w:tcW w:w="1296" w:type="dxa"/>
            <w:vAlign w:val="center"/>
          </w:tcPr>
          <w:p w14:paraId="3599FDA7" w14:textId="77777777" w:rsidR="00FF7613" w:rsidRPr="00B67F80" w:rsidRDefault="00FF7613" w:rsidP="00FF7613">
            <w:pPr>
              <w:jc w:val="center"/>
              <w:rPr>
                <w:color w:val="000000" w:themeColor="text1"/>
                <w:sz w:val="20"/>
                <w:szCs w:val="20"/>
              </w:rPr>
            </w:pPr>
          </w:p>
        </w:tc>
        <w:tc>
          <w:tcPr>
            <w:tcW w:w="5407" w:type="dxa"/>
            <w:gridSpan w:val="6"/>
            <w:vAlign w:val="center"/>
          </w:tcPr>
          <w:p w14:paraId="6FA4C589" w14:textId="4329F32A" w:rsidR="00FF7613" w:rsidRPr="00B67F80" w:rsidRDefault="00FF7613" w:rsidP="00FF7613">
            <w:pPr>
              <w:jc w:val="center"/>
              <w:rPr>
                <w:color w:val="000000" w:themeColor="text1"/>
                <w:sz w:val="20"/>
                <w:szCs w:val="20"/>
              </w:rPr>
            </w:pPr>
          </w:p>
        </w:tc>
      </w:tr>
      <w:tr w:rsidR="00B67F80" w:rsidRPr="00B67F80" w14:paraId="51481119" w14:textId="77777777" w:rsidTr="00B26E7C">
        <w:trPr>
          <w:jc w:val="center"/>
        </w:trPr>
        <w:tc>
          <w:tcPr>
            <w:tcW w:w="1296" w:type="dxa"/>
            <w:vAlign w:val="center"/>
          </w:tcPr>
          <w:p w14:paraId="72F40003" w14:textId="77777777" w:rsidR="00FF7613" w:rsidRPr="00B67F80" w:rsidRDefault="00FF7613" w:rsidP="00FF7613">
            <w:pPr>
              <w:jc w:val="center"/>
              <w:rPr>
                <w:color w:val="000000" w:themeColor="text1"/>
                <w:sz w:val="20"/>
                <w:szCs w:val="20"/>
              </w:rPr>
            </w:pPr>
          </w:p>
        </w:tc>
        <w:tc>
          <w:tcPr>
            <w:tcW w:w="5407" w:type="dxa"/>
            <w:gridSpan w:val="6"/>
            <w:vAlign w:val="center"/>
          </w:tcPr>
          <w:p w14:paraId="15B163A3" w14:textId="3AF2FACF" w:rsidR="00FF7613" w:rsidRPr="00B67F80" w:rsidRDefault="00FF7613" w:rsidP="00FF7613">
            <w:pPr>
              <w:jc w:val="center"/>
              <w:rPr>
                <w:b/>
                <w:bCs/>
                <w:color w:val="000000" w:themeColor="text1"/>
                <w:sz w:val="20"/>
                <w:szCs w:val="20"/>
              </w:rPr>
            </w:pPr>
            <w:r w:rsidRPr="00B67F80">
              <w:rPr>
                <w:b/>
                <w:bCs/>
                <w:color w:val="000000" w:themeColor="text1"/>
                <w:sz w:val="20"/>
                <w:szCs w:val="20"/>
              </w:rPr>
              <w:t>ORAS6.1</w:t>
            </w:r>
          </w:p>
        </w:tc>
      </w:tr>
      <w:tr w:rsidR="00B67F80" w:rsidRPr="00B67F80" w14:paraId="0293D69E" w14:textId="77777777" w:rsidTr="00EB3E6A">
        <w:trPr>
          <w:jc w:val="center"/>
        </w:trPr>
        <w:tc>
          <w:tcPr>
            <w:tcW w:w="1296" w:type="dxa"/>
            <w:vAlign w:val="center"/>
          </w:tcPr>
          <w:p w14:paraId="161D5199" w14:textId="77777777" w:rsidR="000E39CE" w:rsidRPr="00B67F80" w:rsidRDefault="000E39CE" w:rsidP="000E39CE">
            <w:pPr>
              <w:jc w:val="center"/>
              <w:rPr>
                <w:color w:val="000000" w:themeColor="text1"/>
                <w:sz w:val="20"/>
                <w:szCs w:val="20"/>
              </w:rPr>
            </w:pPr>
          </w:p>
        </w:tc>
        <w:tc>
          <w:tcPr>
            <w:tcW w:w="2686" w:type="dxa"/>
            <w:gridSpan w:val="3"/>
            <w:vAlign w:val="center"/>
          </w:tcPr>
          <w:p w14:paraId="7DD02A74" w14:textId="6F0EF196" w:rsidR="000E39CE" w:rsidRPr="00B67F80" w:rsidRDefault="000E39CE" w:rsidP="000E39CE">
            <w:pPr>
              <w:jc w:val="center"/>
              <w:rPr>
                <w:color w:val="000000" w:themeColor="text1"/>
                <w:sz w:val="20"/>
                <w:szCs w:val="20"/>
              </w:rPr>
            </w:pPr>
            <w:r w:rsidRPr="00B67F80">
              <w:rPr>
                <w:color w:val="000000" w:themeColor="text1"/>
                <w:sz w:val="20"/>
                <w:szCs w:val="20"/>
              </w:rPr>
              <w:t>0-700 m</w:t>
            </w:r>
          </w:p>
        </w:tc>
        <w:tc>
          <w:tcPr>
            <w:tcW w:w="2721" w:type="dxa"/>
            <w:gridSpan w:val="3"/>
            <w:vAlign w:val="center"/>
          </w:tcPr>
          <w:p w14:paraId="35F9961C" w14:textId="452DE511" w:rsidR="000E39CE" w:rsidRPr="00B67F80" w:rsidRDefault="000E39CE" w:rsidP="000E39CE">
            <w:pPr>
              <w:jc w:val="center"/>
              <w:rPr>
                <w:color w:val="000000" w:themeColor="text1"/>
                <w:sz w:val="20"/>
                <w:szCs w:val="20"/>
              </w:rPr>
            </w:pPr>
            <w:r w:rsidRPr="00B67F80">
              <w:rPr>
                <w:color w:val="000000" w:themeColor="text1"/>
                <w:kern w:val="24"/>
                <w:sz w:val="20"/>
                <w:szCs w:val="20"/>
              </w:rPr>
              <w:t>Full Depth</w:t>
            </w:r>
          </w:p>
        </w:tc>
      </w:tr>
      <w:tr w:rsidR="00B67F80" w:rsidRPr="00B67F80" w14:paraId="5A9779B3" w14:textId="77777777" w:rsidTr="00EB3E6A">
        <w:trPr>
          <w:jc w:val="center"/>
        </w:trPr>
        <w:tc>
          <w:tcPr>
            <w:tcW w:w="1296" w:type="dxa"/>
            <w:vAlign w:val="center"/>
          </w:tcPr>
          <w:p w14:paraId="7C9D14AE" w14:textId="77777777" w:rsidR="00FF7613" w:rsidRPr="00B67F80" w:rsidRDefault="00FF7613" w:rsidP="00FF7613">
            <w:pPr>
              <w:jc w:val="center"/>
              <w:rPr>
                <w:color w:val="000000" w:themeColor="text1"/>
                <w:sz w:val="20"/>
                <w:szCs w:val="20"/>
              </w:rPr>
            </w:pPr>
          </w:p>
        </w:tc>
        <w:tc>
          <w:tcPr>
            <w:tcW w:w="895" w:type="dxa"/>
            <w:vAlign w:val="center"/>
          </w:tcPr>
          <w:p w14:paraId="312F5AA4"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5" w:type="dxa"/>
            <w:vAlign w:val="center"/>
          </w:tcPr>
          <w:p w14:paraId="00B500B3"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3AE89291"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c>
          <w:tcPr>
            <w:tcW w:w="929" w:type="dxa"/>
            <w:vAlign w:val="center"/>
          </w:tcPr>
          <w:p w14:paraId="074B9FB8"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6" w:type="dxa"/>
            <w:vAlign w:val="center"/>
          </w:tcPr>
          <w:p w14:paraId="7B3B0904"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22D5E0FB"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r>
      <w:tr w:rsidR="00B67F80" w:rsidRPr="00B67F80" w14:paraId="09C0BF54" w14:textId="77777777" w:rsidTr="00EB3E6A">
        <w:trPr>
          <w:jc w:val="center"/>
        </w:trPr>
        <w:tc>
          <w:tcPr>
            <w:tcW w:w="1296" w:type="dxa"/>
            <w:vAlign w:val="center"/>
          </w:tcPr>
          <w:p w14:paraId="0024B7AD" w14:textId="77777777" w:rsidR="00FF7613" w:rsidRPr="00B67F80" w:rsidRDefault="00FF7613" w:rsidP="00FF7613">
            <w:pPr>
              <w:jc w:val="center"/>
              <w:rPr>
                <w:color w:val="000000" w:themeColor="text1"/>
                <w:sz w:val="20"/>
                <w:szCs w:val="20"/>
              </w:rPr>
            </w:pPr>
            <w:r w:rsidRPr="00B67F80">
              <w:rPr>
                <w:color w:val="000000" w:themeColor="text1"/>
                <w:sz w:val="20"/>
                <w:szCs w:val="20"/>
              </w:rPr>
              <w:t>Mean</w:t>
            </w:r>
          </w:p>
          <w:p w14:paraId="1BA70DB0"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72C4E85C" w14:textId="4221B834" w:rsidR="00FF7613" w:rsidRPr="00B67F80" w:rsidRDefault="005B6314" w:rsidP="00FF7613">
            <w:pPr>
              <w:jc w:val="center"/>
              <w:rPr>
                <w:color w:val="000000" w:themeColor="text1"/>
                <w:sz w:val="20"/>
                <w:szCs w:val="20"/>
              </w:rPr>
            </w:pPr>
            <w:r w:rsidRPr="00B67F80">
              <w:rPr>
                <w:color w:val="000000" w:themeColor="text1"/>
                <w:sz w:val="20"/>
                <w:szCs w:val="20"/>
              </w:rPr>
              <w:t>0.30</w:t>
            </w:r>
          </w:p>
        </w:tc>
        <w:tc>
          <w:tcPr>
            <w:tcW w:w="895" w:type="dxa"/>
            <w:vAlign w:val="center"/>
          </w:tcPr>
          <w:p w14:paraId="07130E55" w14:textId="187EF7EF" w:rsidR="00FF7613" w:rsidRPr="00B67F80" w:rsidRDefault="00371B6D" w:rsidP="00FF7613">
            <w:pPr>
              <w:jc w:val="center"/>
              <w:rPr>
                <w:color w:val="000000" w:themeColor="text1"/>
                <w:sz w:val="20"/>
                <w:szCs w:val="20"/>
              </w:rPr>
            </w:pPr>
            <w:r w:rsidRPr="00B67F80">
              <w:rPr>
                <w:color w:val="000000" w:themeColor="text1"/>
                <w:sz w:val="20"/>
                <w:szCs w:val="20"/>
              </w:rPr>
              <w:t>0.34</w:t>
            </w:r>
          </w:p>
        </w:tc>
        <w:tc>
          <w:tcPr>
            <w:tcW w:w="896" w:type="dxa"/>
            <w:vAlign w:val="center"/>
          </w:tcPr>
          <w:p w14:paraId="01197E91" w14:textId="6DA3CB1E" w:rsidR="00FF7613" w:rsidRPr="00B67F80" w:rsidRDefault="00880674" w:rsidP="00FF7613">
            <w:pPr>
              <w:jc w:val="center"/>
              <w:rPr>
                <w:color w:val="000000" w:themeColor="text1"/>
                <w:sz w:val="20"/>
                <w:szCs w:val="20"/>
              </w:rPr>
            </w:pPr>
            <w:r w:rsidRPr="00B67F80">
              <w:rPr>
                <w:color w:val="000000" w:themeColor="text1"/>
                <w:sz w:val="20"/>
                <w:szCs w:val="20"/>
              </w:rPr>
              <w:t>0.32</w:t>
            </w:r>
          </w:p>
        </w:tc>
        <w:tc>
          <w:tcPr>
            <w:tcW w:w="929" w:type="dxa"/>
            <w:vAlign w:val="center"/>
          </w:tcPr>
          <w:p w14:paraId="4A19302E" w14:textId="1B890A39" w:rsidR="00FF7613" w:rsidRPr="00B67F80" w:rsidRDefault="000E39CE" w:rsidP="00FF7613">
            <w:pPr>
              <w:jc w:val="center"/>
              <w:rPr>
                <w:color w:val="000000" w:themeColor="text1"/>
                <w:sz w:val="20"/>
                <w:szCs w:val="20"/>
              </w:rPr>
            </w:pPr>
            <w:r w:rsidRPr="00B67F80">
              <w:rPr>
                <w:color w:val="000000" w:themeColor="text1"/>
                <w:sz w:val="20"/>
                <w:szCs w:val="20"/>
              </w:rPr>
              <w:t>0.26</w:t>
            </w:r>
          </w:p>
        </w:tc>
        <w:tc>
          <w:tcPr>
            <w:tcW w:w="896" w:type="dxa"/>
            <w:vAlign w:val="center"/>
          </w:tcPr>
          <w:p w14:paraId="435A34B2" w14:textId="59E0CAD1" w:rsidR="00FF7613" w:rsidRPr="00B67F80" w:rsidRDefault="00371B6D" w:rsidP="00FF7613">
            <w:pPr>
              <w:jc w:val="center"/>
              <w:rPr>
                <w:color w:val="000000" w:themeColor="text1"/>
                <w:sz w:val="20"/>
                <w:szCs w:val="20"/>
              </w:rPr>
            </w:pPr>
            <w:r w:rsidRPr="00B67F80">
              <w:rPr>
                <w:color w:val="000000" w:themeColor="text1"/>
                <w:sz w:val="20"/>
                <w:szCs w:val="20"/>
              </w:rPr>
              <w:t>0.67</w:t>
            </w:r>
          </w:p>
        </w:tc>
        <w:tc>
          <w:tcPr>
            <w:tcW w:w="896" w:type="dxa"/>
            <w:vAlign w:val="center"/>
          </w:tcPr>
          <w:p w14:paraId="76A469C0" w14:textId="054C66E0" w:rsidR="00FF7613" w:rsidRPr="00B67F80" w:rsidRDefault="00880674" w:rsidP="00FF7613">
            <w:pPr>
              <w:jc w:val="center"/>
              <w:rPr>
                <w:color w:val="000000" w:themeColor="text1"/>
                <w:sz w:val="20"/>
                <w:szCs w:val="20"/>
              </w:rPr>
            </w:pPr>
            <w:r w:rsidRPr="00B67F80">
              <w:rPr>
                <w:color w:val="000000" w:themeColor="text1"/>
                <w:sz w:val="20"/>
                <w:szCs w:val="20"/>
              </w:rPr>
              <w:t>0.46</w:t>
            </w:r>
          </w:p>
        </w:tc>
      </w:tr>
      <w:tr w:rsidR="00B67F80" w:rsidRPr="00B67F80" w14:paraId="5BBC8E81" w14:textId="77777777" w:rsidTr="00EB3E6A">
        <w:trPr>
          <w:jc w:val="center"/>
        </w:trPr>
        <w:tc>
          <w:tcPr>
            <w:tcW w:w="1296" w:type="dxa"/>
            <w:vAlign w:val="center"/>
          </w:tcPr>
          <w:p w14:paraId="4278AD5E" w14:textId="77777777" w:rsidR="00FF7613" w:rsidRPr="00B67F80" w:rsidRDefault="00FF7613" w:rsidP="00FF7613">
            <w:pPr>
              <w:jc w:val="center"/>
              <w:rPr>
                <w:color w:val="000000" w:themeColor="text1"/>
                <w:sz w:val="20"/>
                <w:szCs w:val="20"/>
              </w:rPr>
            </w:pPr>
            <w:proofErr w:type="spellStart"/>
            <w:r w:rsidRPr="00B67F80">
              <w:rPr>
                <w:color w:val="000000" w:themeColor="text1"/>
                <w:sz w:val="20"/>
                <w:szCs w:val="20"/>
              </w:rPr>
              <w:t>Stdev</w:t>
            </w:r>
            <w:proofErr w:type="spellEnd"/>
          </w:p>
          <w:p w14:paraId="2A9FBD4D"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4D2DF7C2" w14:textId="6151DC38" w:rsidR="00FF7613" w:rsidRPr="00B67F80" w:rsidRDefault="005B6314" w:rsidP="00FF7613">
            <w:pPr>
              <w:jc w:val="center"/>
              <w:rPr>
                <w:color w:val="000000" w:themeColor="text1"/>
                <w:sz w:val="20"/>
                <w:szCs w:val="20"/>
              </w:rPr>
            </w:pPr>
            <w:r w:rsidRPr="00B67F80">
              <w:rPr>
                <w:color w:val="000000" w:themeColor="text1"/>
                <w:sz w:val="20"/>
                <w:szCs w:val="20"/>
              </w:rPr>
              <w:t>1.2</w:t>
            </w:r>
          </w:p>
        </w:tc>
        <w:tc>
          <w:tcPr>
            <w:tcW w:w="895" w:type="dxa"/>
            <w:vAlign w:val="center"/>
          </w:tcPr>
          <w:p w14:paraId="77869D92" w14:textId="41D5E293" w:rsidR="00FF7613" w:rsidRPr="00B67F80" w:rsidRDefault="00371B6D" w:rsidP="00FF7613">
            <w:pPr>
              <w:jc w:val="center"/>
              <w:rPr>
                <w:color w:val="000000" w:themeColor="text1"/>
                <w:sz w:val="20"/>
                <w:szCs w:val="20"/>
              </w:rPr>
            </w:pPr>
            <w:r w:rsidRPr="00B67F80">
              <w:rPr>
                <w:color w:val="000000" w:themeColor="text1"/>
                <w:sz w:val="20"/>
                <w:szCs w:val="20"/>
              </w:rPr>
              <w:t>1.3</w:t>
            </w:r>
          </w:p>
        </w:tc>
        <w:tc>
          <w:tcPr>
            <w:tcW w:w="896" w:type="dxa"/>
            <w:vAlign w:val="center"/>
          </w:tcPr>
          <w:p w14:paraId="0257F0EA" w14:textId="0B79EEC7" w:rsidR="00FF7613" w:rsidRPr="00B67F80" w:rsidRDefault="00880674" w:rsidP="00FF7613">
            <w:pPr>
              <w:jc w:val="center"/>
              <w:rPr>
                <w:color w:val="000000" w:themeColor="text1"/>
                <w:sz w:val="20"/>
                <w:szCs w:val="20"/>
              </w:rPr>
            </w:pPr>
            <w:r w:rsidRPr="00B67F80">
              <w:rPr>
                <w:color w:val="000000" w:themeColor="text1"/>
                <w:sz w:val="20"/>
                <w:szCs w:val="20"/>
              </w:rPr>
              <w:t>0.45</w:t>
            </w:r>
          </w:p>
        </w:tc>
        <w:tc>
          <w:tcPr>
            <w:tcW w:w="929" w:type="dxa"/>
            <w:vAlign w:val="center"/>
          </w:tcPr>
          <w:p w14:paraId="02C1F2B0" w14:textId="55E96FD8" w:rsidR="00FF7613" w:rsidRPr="00B67F80" w:rsidRDefault="000E39CE" w:rsidP="00FF7613">
            <w:pPr>
              <w:jc w:val="center"/>
              <w:rPr>
                <w:color w:val="000000" w:themeColor="text1"/>
                <w:sz w:val="20"/>
                <w:szCs w:val="20"/>
              </w:rPr>
            </w:pPr>
            <w:r w:rsidRPr="00B67F80">
              <w:rPr>
                <w:color w:val="000000" w:themeColor="text1"/>
                <w:sz w:val="20"/>
                <w:szCs w:val="20"/>
              </w:rPr>
              <w:t>1.4</w:t>
            </w:r>
          </w:p>
        </w:tc>
        <w:tc>
          <w:tcPr>
            <w:tcW w:w="896" w:type="dxa"/>
            <w:vAlign w:val="center"/>
          </w:tcPr>
          <w:p w14:paraId="65880DD3" w14:textId="0687E7F7" w:rsidR="00FF7613" w:rsidRPr="00B67F80" w:rsidRDefault="00371B6D" w:rsidP="00FF7613">
            <w:pPr>
              <w:jc w:val="center"/>
              <w:rPr>
                <w:color w:val="000000" w:themeColor="text1"/>
                <w:sz w:val="20"/>
                <w:szCs w:val="20"/>
              </w:rPr>
            </w:pPr>
            <w:r w:rsidRPr="00B67F80">
              <w:rPr>
                <w:color w:val="000000" w:themeColor="text1"/>
                <w:sz w:val="20"/>
                <w:szCs w:val="20"/>
              </w:rPr>
              <w:t>1.4</w:t>
            </w:r>
          </w:p>
        </w:tc>
        <w:tc>
          <w:tcPr>
            <w:tcW w:w="896" w:type="dxa"/>
            <w:vAlign w:val="center"/>
          </w:tcPr>
          <w:p w14:paraId="2F8737DB" w14:textId="131965D8" w:rsidR="00FF7613" w:rsidRPr="00B67F80" w:rsidRDefault="00880674" w:rsidP="00FF7613">
            <w:pPr>
              <w:jc w:val="center"/>
              <w:rPr>
                <w:color w:val="000000" w:themeColor="text1"/>
                <w:sz w:val="20"/>
                <w:szCs w:val="20"/>
              </w:rPr>
            </w:pPr>
            <w:r w:rsidRPr="00B67F80">
              <w:rPr>
                <w:color w:val="000000" w:themeColor="text1"/>
                <w:sz w:val="20"/>
                <w:szCs w:val="20"/>
              </w:rPr>
              <w:t>0.59</w:t>
            </w:r>
          </w:p>
        </w:tc>
      </w:tr>
      <w:tr w:rsidR="00B67F80" w:rsidRPr="00B67F80" w14:paraId="6E6E3268" w14:textId="77777777" w:rsidTr="00EB3E6A">
        <w:trPr>
          <w:jc w:val="center"/>
        </w:trPr>
        <w:tc>
          <w:tcPr>
            <w:tcW w:w="1296" w:type="dxa"/>
            <w:vAlign w:val="center"/>
          </w:tcPr>
          <w:p w14:paraId="6BB3D901" w14:textId="77777777" w:rsidR="00FF7613" w:rsidRPr="00B67F80" w:rsidRDefault="00FF7613" w:rsidP="00FF7613">
            <w:pPr>
              <w:jc w:val="center"/>
              <w:rPr>
                <w:color w:val="000000" w:themeColor="text1"/>
                <w:sz w:val="20"/>
                <w:szCs w:val="20"/>
              </w:rPr>
            </w:pPr>
            <w:r w:rsidRPr="00B67F80">
              <w:rPr>
                <w:color w:val="000000" w:themeColor="text1"/>
                <w:sz w:val="20"/>
                <w:szCs w:val="20"/>
              </w:rPr>
              <w:t>Trend</w:t>
            </w:r>
          </w:p>
          <w:p w14:paraId="6D98FC03"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01683BE1" w14:textId="77777777" w:rsidR="00FF7613" w:rsidRPr="00B67F80" w:rsidRDefault="00FF7613" w:rsidP="00FF7613">
            <w:pPr>
              <w:jc w:val="center"/>
              <w:rPr>
                <w:color w:val="000000" w:themeColor="text1"/>
                <w:sz w:val="20"/>
                <w:szCs w:val="20"/>
              </w:rPr>
            </w:pPr>
            <w:r w:rsidRPr="00B67F80">
              <w:rPr>
                <w:color w:val="000000" w:themeColor="text1"/>
                <w:sz w:val="20"/>
                <w:szCs w:val="20"/>
              </w:rPr>
              <w:t>0.42</w:t>
            </w:r>
          </w:p>
          <w:p w14:paraId="70847A02" w14:textId="16CDCE27" w:rsidR="00FF7613" w:rsidRPr="00B67F80" w:rsidRDefault="00FF7613" w:rsidP="00FF7613">
            <w:pPr>
              <w:jc w:val="center"/>
              <w:rPr>
                <w:color w:val="000000" w:themeColor="text1"/>
                <w:sz w:val="20"/>
                <w:szCs w:val="20"/>
              </w:rPr>
            </w:pPr>
            <w:r w:rsidRPr="00B67F80">
              <w:rPr>
                <w:color w:val="000000" w:themeColor="text1"/>
                <w:sz w:val="20"/>
                <w:szCs w:val="20"/>
              </w:rPr>
              <w:t>(1.2)</w:t>
            </w:r>
          </w:p>
        </w:tc>
        <w:tc>
          <w:tcPr>
            <w:tcW w:w="895" w:type="dxa"/>
            <w:vAlign w:val="center"/>
          </w:tcPr>
          <w:p w14:paraId="706A7679" w14:textId="77777777" w:rsidR="00FF7613" w:rsidRPr="00B67F80" w:rsidRDefault="00FF7613" w:rsidP="00FF7613">
            <w:pPr>
              <w:jc w:val="center"/>
              <w:rPr>
                <w:color w:val="000000" w:themeColor="text1"/>
                <w:sz w:val="20"/>
                <w:szCs w:val="20"/>
              </w:rPr>
            </w:pPr>
            <w:r w:rsidRPr="00B67F80">
              <w:rPr>
                <w:color w:val="000000" w:themeColor="text1"/>
                <w:sz w:val="20"/>
                <w:szCs w:val="20"/>
              </w:rPr>
              <w:t>0.85</w:t>
            </w:r>
          </w:p>
          <w:p w14:paraId="1368CD63" w14:textId="3F4FF02A" w:rsidR="00FF7613" w:rsidRPr="00B67F80" w:rsidRDefault="00FF7613" w:rsidP="00FF7613">
            <w:pPr>
              <w:jc w:val="center"/>
              <w:rPr>
                <w:color w:val="000000" w:themeColor="text1"/>
                <w:sz w:val="20"/>
                <w:szCs w:val="20"/>
              </w:rPr>
            </w:pPr>
            <w:r w:rsidRPr="00B67F80">
              <w:rPr>
                <w:color w:val="000000" w:themeColor="text1"/>
                <w:sz w:val="20"/>
                <w:szCs w:val="20"/>
              </w:rPr>
              <w:t>(1.2)</w:t>
            </w:r>
          </w:p>
        </w:tc>
        <w:tc>
          <w:tcPr>
            <w:tcW w:w="896" w:type="dxa"/>
            <w:vAlign w:val="center"/>
          </w:tcPr>
          <w:p w14:paraId="78BD4236" w14:textId="77777777" w:rsidR="00FF7613" w:rsidRPr="00B67F80" w:rsidRDefault="00FF7613" w:rsidP="00FF7613">
            <w:pPr>
              <w:jc w:val="center"/>
              <w:rPr>
                <w:b/>
                <w:bCs/>
                <w:color w:val="000000" w:themeColor="text1"/>
                <w:sz w:val="20"/>
                <w:szCs w:val="20"/>
              </w:rPr>
            </w:pPr>
            <w:r w:rsidRPr="00B67F80">
              <w:rPr>
                <w:b/>
                <w:bCs/>
                <w:color w:val="000000" w:themeColor="text1"/>
                <w:sz w:val="20"/>
                <w:szCs w:val="20"/>
              </w:rPr>
              <w:t>0.63</w:t>
            </w:r>
          </w:p>
          <w:p w14:paraId="1C02049C" w14:textId="0FA21259" w:rsidR="00FF7613" w:rsidRPr="00B67F80" w:rsidRDefault="00FF7613" w:rsidP="00FF7613">
            <w:pPr>
              <w:jc w:val="center"/>
              <w:rPr>
                <w:color w:val="000000" w:themeColor="text1"/>
                <w:sz w:val="20"/>
                <w:szCs w:val="20"/>
              </w:rPr>
            </w:pPr>
            <w:r w:rsidRPr="00B67F80">
              <w:rPr>
                <w:b/>
                <w:bCs/>
                <w:color w:val="000000" w:themeColor="text1"/>
                <w:sz w:val="20"/>
                <w:szCs w:val="20"/>
              </w:rPr>
              <w:t>(0.53)</w:t>
            </w:r>
          </w:p>
        </w:tc>
        <w:tc>
          <w:tcPr>
            <w:tcW w:w="929" w:type="dxa"/>
            <w:vAlign w:val="center"/>
          </w:tcPr>
          <w:p w14:paraId="57A69634" w14:textId="77777777" w:rsidR="00FF7613" w:rsidRPr="00B67F80" w:rsidRDefault="00FF7613" w:rsidP="00FF7613">
            <w:pPr>
              <w:jc w:val="center"/>
              <w:rPr>
                <w:color w:val="000000" w:themeColor="text1"/>
                <w:sz w:val="20"/>
                <w:szCs w:val="20"/>
              </w:rPr>
            </w:pPr>
            <w:r w:rsidRPr="00B67F80">
              <w:rPr>
                <w:color w:val="000000" w:themeColor="text1"/>
                <w:sz w:val="20"/>
                <w:szCs w:val="20"/>
              </w:rPr>
              <w:t>0.87</w:t>
            </w:r>
          </w:p>
          <w:p w14:paraId="4C3E227B" w14:textId="2CDD39BC" w:rsidR="00FF7613" w:rsidRPr="00B67F80" w:rsidRDefault="00FF7613" w:rsidP="00FF7613">
            <w:pPr>
              <w:jc w:val="center"/>
              <w:rPr>
                <w:color w:val="000000" w:themeColor="text1"/>
                <w:sz w:val="20"/>
                <w:szCs w:val="20"/>
              </w:rPr>
            </w:pPr>
            <w:r w:rsidRPr="00B67F80">
              <w:rPr>
                <w:color w:val="000000" w:themeColor="text1"/>
                <w:sz w:val="20"/>
                <w:szCs w:val="20"/>
              </w:rPr>
              <w:t>(1.4)</w:t>
            </w:r>
          </w:p>
        </w:tc>
        <w:tc>
          <w:tcPr>
            <w:tcW w:w="896" w:type="dxa"/>
            <w:vAlign w:val="center"/>
          </w:tcPr>
          <w:p w14:paraId="3DFCA9E7" w14:textId="77777777" w:rsidR="00FF7613" w:rsidRPr="00B67F80" w:rsidRDefault="00FF7613" w:rsidP="00FF7613">
            <w:pPr>
              <w:jc w:val="center"/>
              <w:rPr>
                <w:color w:val="000000" w:themeColor="text1"/>
                <w:sz w:val="20"/>
                <w:szCs w:val="20"/>
              </w:rPr>
            </w:pPr>
            <w:r w:rsidRPr="00B67F80">
              <w:rPr>
                <w:color w:val="000000" w:themeColor="text1"/>
                <w:sz w:val="20"/>
                <w:szCs w:val="20"/>
              </w:rPr>
              <w:t>1.1</w:t>
            </w:r>
          </w:p>
          <w:p w14:paraId="33B1E49F" w14:textId="210EDD22" w:rsidR="00FF7613" w:rsidRPr="00B67F80" w:rsidRDefault="00FF7613" w:rsidP="00FF7613">
            <w:pPr>
              <w:jc w:val="center"/>
              <w:rPr>
                <w:color w:val="000000" w:themeColor="text1"/>
                <w:sz w:val="20"/>
                <w:szCs w:val="20"/>
              </w:rPr>
            </w:pPr>
            <w:r w:rsidRPr="00B67F80">
              <w:rPr>
                <w:color w:val="000000" w:themeColor="text1"/>
                <w:sz w:val="20"/>
                <w:szCs w:val="20"/>
              </w:rPr>
              <w:t>(1.3)</w:t>
            </w:r>
          </w:p>
        </w:tc>
        <w:tc>
          <w:tcPr>
            <w:tcW w:w="896" w:type="dxa"/>
            <w:vAlign w:val="center"/>
          </w:tcPr>
          <w:p w14:paraId="52462F80" w14:textId="77777777" w:rsidR="00FF7613" w:rsidRPr="00B67F80" w:rsidRDefault="00FF7613" w:rsidP="00FF7613">
            <w:pPr>
              <w:jc w:val="center"/>
              <w:rPr>
                <w:b/>
                <w:bCs/>
                <w:color w:val="000000" w:themeColor="text1"/>
                <w:sz w:val="20"/>
                <w:szCs w:val="20"/>
              </w:rPr>
            </w:pPr>
            <w:r w:rsidRPr="00B67F80">
              <w:rPr>
                <w:b/>
                <w:bCs/>
                <w:color w:val="000000" w:themeColor="text1"/>
                <w:sz w:val="20"/>
                <w:szCs w:val="20"/>
              </w:rPr>
              <w:t>0.98</w:t>
            </w:r>
          </w:p>
          <w:p w14:paraId="6E75C186" w14:textId="69992CA5" w:rsidR="00FF7613" w:rsidRPr="00B67F80" w:rsidRDefault="00FF7613" w:rsidP="00FF7613">
            <w:pPr>
              <w:jc w:val="center"/>
              <w:rPr>
                <w:color w:val="000000" w:themeColor="text1"/>
                <w:sz w:val="20"/>
                <w:szCs w:val="20"/>
              </w:rPr>
            </w:pPr>
            <w:r w:rsidRPr="00B67F80">
              <w:rPr>
                <w:b/>
                <w:bCs/>
                <w:color w:val="000000" w:themeColor="text1"/>
                <w:sz w:val="20"/>
                <w:szCs w:val="20"/>
              </w:rPr>
              <w:t>(0.67)</w:t>
            </w:r>
          </w:p>
        </w:tc>
      </w:tr>
      <w:tr w:rsidR="00B67F80" w:rsidRPr="00B67F80" w14:paraId="268709CD" w14:textId="77777777" w:rsidTr="00B26E7C">
        <w:trPr>
          <w:jc w:val="center"/>
        </w:trPr>
        <w:tc>
          <w:tcPr>
            <w:tcW w:w="1296" w:type="dxa"/>
            <w:vAlign w:val="center"/>
          </w:tcPr>
          <w:p w14:paraId="5D8B5903" w14:textId="77777777" w:rsidR="00FF7613" w:rsidRPr="00B67F80" w:rsidRDefault="00FF7613" w:rsidP="00FF7613">
            <w:pPr>
              <w:jc w:val="center"/>
              <w:rPr>
                <w:color w:val="000000" w:themeColor="text1"/>
                <w:sz w:val="20"/>
                <w:szCs w:val="20"/>
              </w:rPr>
            </w:pPr>
          </w:p>
        </w:tc>
        <w:tc>
          <w:tcPr>
            <w:tcW w:w="5407" w:type="dxa"/>
            <w:gridSpan w:val="6"/>
            <w:vAlign w:val="center"/>
          </w:tcPr>
          <w:p w14:paraId="45E2BD5A" w14:textId="77777777" w:rsidR="00FF7613" w:rsidRPr="00B67F80" w:rsidRDefault="00FF7613" w:rsidP="00FF7613">
            <w:pPr>
              <w:jc w:val="center"/>
              <w:rPr>
                <w:color w:val="000000" w:themeColor="text1"/>
                <w:sz w:val="20"/>
                <w:szCs w:val="20"/>
              </w:rPr>
            </w:pPr>
          </w:p>
        </w:tc>
      </w:tr>
      <w:tr w:rsidR="00B67F80" w:rsidRPr="00B67F80" w14:paraId="5C352D0E" w14:textId="77777777" w:rsidTr="00B26E7C">
        <w:trPr>
          <w:jc w:val="center"/>
        </w:trPr>
        <w:tc>
          <w:tcPr>
            <w:tcW w:w="1296" w:type="dxa"/>
            <w:vAlign w:val="center"/>
          </w:tcPr>
          <w:p w14:paraId="258FCABA" w14:textId="77777777" w:rsidR="00FF7613" w:rsidRPr="00B67F80" w:rsidRDefault="00FF7613" w:rsidP="00FF7613">
            <w:pPr>
              <w:jc w:val="center"/>
              <w:rPr>
                <w:color w:val="000000" w:themeColor="text1"/>
                <w:sz w:val="20"/>
                <w:szCs w:val="20"/>
              </w:rPr>
            </w:pPr>
          </w:p>
        </w:tc>
        <w:tc>
          <w:tcPr>
            <w:tcW w:w="5407" w:type="dxa"/>
            <w:gridSpan w:val="6"/>
            <w:vAlign w:val="center"/>
          </w:tcPr>
          <w:p w14:paraId="1860FF77" w14:textId="5BD8ED87" w:rsidR="00FF7613" w:rsidRPr="00B67F80" w:rsidRDefault="00FF7613" w:rsidP="00FF7613">
            <w:pPr>
              <w:jc w:val="center"/>
              <w:rPr>
                <w:b/>
                <w:bCs/>
                <w:color w:val="000000" w:themeColor="text1"/>
                <w:sz w:val="20"/>
                <w:szCs w:val="20"/>
              </w:rPr>
            </w:pPr>
            <w:r w:rsidRPr="00B67F80">
              <w:rPr>
                <w:b/>
                <w:bCs/>
                <w:color w:val="000000" w:themeColor="text1"/>
                <w:sz w:val="20"/>
                <w:szCs w:val="20"/>
              </w:rPr>
              <w:t>ORAS6-ctrl</w:t>
            </w:r>
          </w:p>
        </w:tc>
      </w:tr>
      <w:tr w:rsidR="00B67F80" w:rsidRPr="00B67F80" w14:paraId="7586ADE8" w14:textId="77777777" w:rsidTr="00EB3E6A">
        <w:trPr>
          <w:jc w:val="center"/>
        </w:trPr>
        <w:tc>
          <w:tcPr>
            <w:tcW w:w="1296" w:type="dxa"/>
            <w:vAlign w:val="center"/>
          </w:tcPr>
          <w:p w14:paraId="020A652D" w14:textId="77777777" w:rsidR="000E39CE" w:rsidRPr="00B67F80" w:rsidRDefault="000E39CE" w:rsidP="000E39CE">
            <w:pPr>
              <w:jc w:val="center"/>
              <w:rPr>
                <w:color w:val="000000" w:themeColor="text1"/>
                <w:sz w:val="20"/>
                <w:szCs w:val="20"/>
              </w:rPr>
            </w:pPr>
          </w:p>
        </w:tc>
        <w:tc>
          <w:tcPr>
            <w:tcW w:w="2686" w:type="dxa"/>
            <w:gridSpan w:val="3"/>
            <w:vAlign w:val="center"/>
          </w:tcPr>
          <w:p w14:paraId="63D81868" w14:textId="7D206AB2" w:rsidR="000E39CE" w:rsidRPr="00B67F80" w:rsidRDefault="000E39CE" w:rsidP="000E39CE">
            <w:pPr>
              <w:jc w:val="center"/>
              <w:rPr>
                <w:color w:val="000000" w:themeColor="text1"/>
                <w:sz w:val="20"/>
                <w:szCs w:val="20"/>
              </w:rPr>
            </w:pPr>
            <w:r w:rsidRPr="00B67F80">
              <w:rPr>
                <w:color w:val="000000" w:themeColor="text1"/>
                <w:sz w:val="20"/>
                <w:szCs w:val="20"/>
              </w:rPr>
              <w:t>0-700 m</w:t>
            </w:r>
          </w:p>
        </w:tc>
        <w:tc>
          <w:tcPr>
            <w:tcW w:w="2721" w:type="dxa"/>
            <w:gridSpan w:val="3"/>
            <w:vAlign w:val="center"/>
          </w:tcPr>
          <w:p w14:paraId="742D3C4D" w14:textId="1CF1E220" w:rsidR="000E39CE" w:rsidRPr="00B67F80" w:rsidRDefault="000E39CE" w:rsidP="000E39CE">
            <w:pPr>
              <w:jc w:val="center"/>
              <w:rPr>
                <w:color w:val="000000" w:themeColor="text1"/>
                <w:sz w:val="20"/>
                <w:szCs w:val="20"/>
              </w:rPr>
            </w:pPr>
            <w:r w:rsidRPr="00B67F80">
              <w:rPr>
                <w:color w:val="000000" w:themeColor="text1"/>
                <w:kern w:val="24"/>
                <w:sz w:val="20"/>
                <w:szCs w:val="20"/>
              </w:rPr>
              <w:t>Full Depth</w:t>
            </w:r>
          </w:p>
        </w:tc>
      </w:tr>
      <w:tr w:rsidR="00B67F80" w:rsidRPr="00B67F80" w14:paraId="50559E80" w14:textId="77777777" w:rsidTr="00EB3E6A">
        <w:trPr>
          <w:jc w:val="center"/>
        </w:trPr>
        <w:tc>
          <w:tcPr>
            <w:tcW w:w="1296" w:type="dxa"/>
            <w:vAlign w:val="center"/>
          </w:tcPr>
          <w:p w14:paraId="4ACA8DF9" w14:textId="77777777" w:rsidR="00FF7613" w:rsidRPr="00B67F80" w:rsidRDefault="00FF7613" w:rsidP="00FF7613">
            <w:pPr>
              <w:jc w:val="center"/>
              <w:rPr>
                <w:color w:val="000000" w:themeColor="text1"/>
                <w:sz w:val="20"/>
                <w:szCs w:val="20"/>
              </w:rPr>
            </w:pPr>
          </w:p>
        </w:tc>
        <w:tc>
          <w:tcPr>
            <w:tcW w:w="895" w:type="dxa"/>
            <w:vAlign w:val="center"/>
          </w:tcPr>
          <w:p w14:paraId="57B56A7D"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5" w:type="dxa"/>
            <w:vAlign w:val="center"/>
          </w:tcPr>
          <w:p w14:paraId="65C31FDD"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09AA550E"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c>
          <w:tcPr>
            <w:tcW w:w="929" w:type="dxa"/>
            <w:vAlign w:val="center"/>
          </w:tcPr>
          <w:p w14:paraId="668D9F8C"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6" w:type="dxa"/>
            <w:vAlign w:val="center"/>
          </w:tcPr>
          <w:p w14:paraId="622EB72B"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3535C962"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r>
      <w:tr w:rsidR="00B67F80" w:rsidRPr="00B67F80" w14:paraId="71CD0F91" w14:textId="77777777" w:rsidTr="00EB3E6A">
        <w:trPr>
          <w:jc w:val="center"/>
        </w:trPr>
        <w:tc>
          <w:tcPr>
            <w:tcW w:w="1296" w:type="dxa"/>
            <w:vAlign w:val="center"/>
          </w:tcPr>
          <w:p w14:paraId="7FAE698A" w14:textId="77777777" w:rsidR="00FF7613" w:rsidRPr="00B67F80" w:rsidRDefault="00FF7613" w:rsidP="00FF7613">
            <w:pPr>
              <w:jc w:val="center"/>
              <w:rPr>
                <w:color w:val="000000" w:themeColor="text1"/>
                <w:sz w:val="20"/>
                <w:szCs w:val="20"/>
              </w:rPr>
            </w:pPr>
            <w:r w:rsidRPr="00B67F80">
              <w:rPr>
                <w:color w:val="000000" w:themeColor="text1"/>
                <w:sz w:val="20"/>
                <w:szCs w:val="20"/>
              </w:rPr>
              <w:t>Mean</w:t>
            </w:r>
          </w:p>
          <w:p w14:paraId="6113D98D"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518DF154" w14:textId="347F7CCE" w:rsidR="00FF7613" w:rsidRPr="00B67F80" w:rsidRDefault="005B6314" w:rsidP="00FF7613">
            <w:pPr>
              <w:jc w:val="center"/>
              <w:rPr>
                <w:color w:val="000000" w:themeColor="text1"/>
                <w:sz w:val="20"/>
                <w:szCs w:val="20"/>
              </w:rPr>
            </w:pPr>
            <w:r w:rsidRPr="00B67F80">
              <w:rPr>
                <w:color w:val="000000" w:themeColor="text1"/>
                <w:sz w:val="20"/>
                <w:szCs w:val="20"/>
              </w:rPr>
              <w:t>0.43</w:t>
            </w:r>
          </w:p>
        </w:tc>
        <w:tc>
          <w:tcPr>
            <w:tcW w:w="895" w:type="dxa"/>
            <w:vAlign w:val="center"/>
          </w:tcPr>
          <w:p w14:paraId="4D700E10" w14:textId="7A042F62" w:rsidR="00FF7613" w:rsidRPr="00B67F80" w:rsidRDefault="00371B6D" w:rsidP="00FF7613">
            <w:pPr>
              <w:jc w:val="center"/>
              <w:rPr>
                <w:color w:val="000000" w:themeColor="text1"/>
                <w:sz w:val="20"/>
                <w:szCs w:val="20"/>
              </w:rPr>
            </w:pPr>
            <w:r w:rsidRPr="00B67F80">
              <w:rPr>
                <w:color w:val="000000" w:themeColor="text1"/>
                <w:sz w:val="20"/>
                <w:szCs w:val="20"/>
              </w:rPr>
              <w:t>0.33</w:t>
            </w:r>
          </w:p>
        </w:tc>
        <w:tc>
          <w:tcPr>
            <w:tcW w:w="896" w:type="dxa"/>
            <w:vAlign w:val="center"/>
          </w:tcPr>
          <w:p w14:paraId="5ED860E4" w14:textId="276DC4BC" w:rsidR="00FF7613" w:rsidRPr="00B67F80" w:rsidRDefault="00880674" w:rsidP="00FF7613">
            <w:pPr>
              <w:jc w:val="center"/>
              <w:rPr>
                <w:color w:val="000000" w:themeColor="text1"/>
                <w:sz w:val="20"/>
                <w:szCs w:val="20"/>
              </w:rPr>
            </w:pPr>
            <w:r w:rsidRPr="00B67F80">
              <w:rPr>
                <w:color w:val="000000" w:themeColor="text1"/>
                <w:sz w:val="20"/>
                <w:szCs w:val="20"/>
              </w:rPr>
              <w:t>0.38</w:t>
            </w:r>
          </w:p>
        </w:tc>
        <w:tc>
          <w:tcPr>
            <w:tcW w:w="929" w:type="dxa"/>
            <w:vAlign w:val="center"/>
          </w:tcPr>
          <w:p w14:paraId="2E09E5F1" w14:textId="70123267" w:rsidR="00FF7613" w:rsidRPr="00B67F80" w:rsidRDefault="000E39CE" w:rsidP="00FF7613">
            <w:pPr>
              <w:jc w:val="center"/>
              <w:rPr>
                <w:color w:val="000000" w:themeColor="text1"/>
                <w:sz w:val="20"/>
                <w:szCs w:val="20"/>
              </w:rPr>
            </w:pPr>
            <w:r w:rsidRPr="00B67F80">
              <w:rPr>
                <w:color w:val="000000" w:themeColor="text1"/>
                <w:sz w:val="20"/>
                <w:szCs w:val="20"/>
              </w:rPr>
              <w:t>0.78</w:t>
            </w:r>
          </w:p>
        </w:tc>
        <w:tc>
          <w:tcPr>
            <w:tcW w:w="896" w:type="dxa"/>
            <w:vAlign w:val="center"/>
          </w:tcPr>
          <w:p w14:paraId="4CC72398" w14:textId="4472D9F4" w:rsidR="00FF7613" w:rsidRPr="00B67F80" w:rsidRDefault="00371B6D" w:rsidP="00FF7613">
            <w:pPr>
              <w:jc w:val="center"/>
              <w:rPr>
                <w:color w:val="000000" w:themeColor="text1"/>
                <w:sz w:val="20"/>
                <w:szCs w:val="20"/>
              </w:rPr>
            </w:pPr>
            <w:r w:rsidRPr="00B67F80">
              <w:rPr>
                <w:color w:val="000000" w:themeColor="text1"/>
                <w:sz w:val="20"/>
                <w:szCs w:val="20"/>
              </w:rPr>
              <w:t>0.33</w:t>
            </w:r>
          </w:p>
        </w:tc>
        <w:tc>
          <w:tcPr>
            <w:tcW w:w="896" w:type="dxa"/>
            <w:vAlign w:val="center"/>
          </w:tcPr>
          <w:p w14:paraId="0EAD5E48" w14:textId="6A8A76AD" w:rsidR="00FF7613" w:rsidRPr="00B67F80" w:rsidRDefault="00880674" w:rsidP="00FF7613">
            <w:pPr>
              <w:jc w:val="center"/>
              <w:rPr>
                <w:color w:val="000000" w:themeColor="text1"/>
                <w:sz w:val="20"/>
                <w:szCs w:val="20"/>
              </w:rPr>
            </w:pPr>
            <w:r w:rsidRPr="00B67F80">
              <w:rPr>
                <w:color w:val="000000" w:themeColor="text1"/>
                <w:sz w:val="20"/>
                <w:szCs w:val="20"/>
              </w:rPr>
              <w:t>0.55</w:t>
            </w:r>
          </w:p>
        </w:tc>
      </w:tr>
      <w:tr w:rsidR="00B67F80" w:rsidRPr="00B67F80" w14:paraId="704E7864" w14:textId="77777777" w:rsidTr="00EB3E6A">
        <w:trPr>
          <w:jc w:val="center"/>
        </w:trPr>
        <w:tc>
          <w:tcPr>
            <w:tcW w:w="1296" w:type="dxa"/>
            <w:vAlign w:val="center"/>
          </w:tcPr>
          <w:p w14:paraId="62DB3020" w14:textId="77777777" w:rsidR="00FF7613" w:rsidRPr="00B67F80" w:rsidRDefault="00FF7613" w:rsidP="00FF7613">
            <w:pPr>
              <w:jc w:val="center"/>
              <w:rPr>
                <w:color w:val="000000" w:themeColor="text1"/>
                <w:sz w:val="20"/>
                <w:szCs w:val="20"/>
              </w:rPr>
            </w:pPr>
            <w:proofErr w:type="spellStart"/>
            <w:r w:rsidRPr="00B67F80">
              <w:rPr>
                <w:color w:val="000000" w:themeColor="text1"/>
                <w:sz w:val="20"/>
                <w:szCs w:val="20"/>
              </w:rPr>
              <w:t>Stdev</w:t>
            </w:r>
            <w:proofErr w:type="spellEnd"/>
          </w:p>
          <w:p w14:paraId="0DD21E9C"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50ECF820" w14:textId="7BF59B9F" w:rsidR="00FF7613" w:rsidRPr="00B67F80" w:rsidRDefault="005B6314" w:rsidP="00FF7613">
            <w:pPr>
              <w:jc w:val="center"/>
              <w:rPr>
                <w:color w:val="000000" w:themeColor="text1"/>
                <w:sz w:val="20"/>
                <w:szCs w:val="20"/>
              </w:rPr>
            </w:pPr>
            <w:r w:rsidRPr="00B67F80">
              <w:rPr>
                <w:color w:val="000000" w:themeColor="text1"/>
                <w:sz w:val="20"/>
                <w:szCs w:val="20"/>
              </w:rPr>
              <w:t>1.3</w:t>
            </w:r>
          </w:p>
        </w:tc>
        <w:tc>
          <w:tcPr>
            <w:tcW w:w="895" w:type="dxa"/>
            <w:vAlign w:val="center"/>
          </w:tcPr>
          <w:p w14:paraId="2DF7B8F8" w14:textId="60C5E62D" w:rsidR="00FF7613" w:rsidRPr="00B67F80" w:rsidRDefault="00371B6D" w:rsidP="00FF7613">
            <w:pPr>
              <w:jc w:val="center"/>
              <w:rPr>
                <w:color w:val="000000" w:themeColor="text1"/>
                <w:sz w:val="20"/>
                <w:szCs w:val="20"/>
              </w:rPr>
            </w:pPr>
            <w:r w:rsidRPr="00B67F80">
              <w:rPr>
                <w:color w:val="000000" w:themeColor="text1"/>
                <w:sz w:val="20"/>
                <w:szCs w:val="20"/>
              </w:rPr>
              <w:t>1.1</w:t>
            </w:r>
          </w:p>
        </w:tc>
        <w:tc>
          <w:tcPr>
            <w:tcW w:w="896" w:type="dxa"/>
            <w:vAlign w:val="center"/>
          </w:tcPr>
          <w:p w14:paraId="137FD7AA" w14:textId="1099902F" w:rsidR="00FF7613" w:rsidRPr="00B67F80" w:rsidRDefault="00880674" w:rsidP="00FF7613">
            <w:pPr>
              <w:jc w:val="center"/>
              <w:rPr>
                <w:color w:val="000000" w:themeColor="text1"/>
                <w:sz w:val="20"/>
                <w:szCs w:val="20"/>
              </w:rPr>
            </w:pPr>
            <w:r w:rsidRPr="00B67F80">
              <w:rPr>
                <w:color w:val="000000" w:themeColor="text1"/>
                <w:sz w:val="20"/>
                <w:szCs w:val="20"/>
              </w:rPr>
              <w:t>0.45</w:t>
            </w:r>
          </w:p>
        </w:tc>
        <w:tc>
          <w:tcPr>
            <w:tcW w:w="929" w:type="dxa"/>
            <w:vAlign w:val="center"/>
          </w:tcPr>
          <w:p w14:paraId="2A8158DF" w14:textId="0C816903" w:rsidR="00FF7613" w:rsidRPr="00B67F80" w:rsidRDefault="000E39CE" w:rsidP="00FF7613">
            <w:pPr>
              <w:jc w:val="center"/>
              <w:rPr>
                <w:color w:val="000000" w:themeColor="text1"/>
                <w:sz w:val="20"/>
                <w:szCs w:val="20"/>
              </w:rPr>
            </w:pPr>
            <w:r w:rsidRPr="00B67F80">
              <w:rPr>
                <w:color w:val="000000" w:themeColor="text1"/>
                <w:sz w:val="20"/>
                <w:szCs w:val="20"/>
              </w:rPr>
              <w:t>1.4</w:t>
            </w:r>
          </w:p>
        </w:tc>
        <w:tc>
          <w:tcPr>
            <w:tcW w:w="896" w:type="dxa"/>
            <w:vAlign w:val="center"/>
          </w:tcPr>
          <w:p w14:paraId="3F3B1AC2" w14:textId="123C5FAB" w:rsidR="00FF7613" w:rsidRPr="00B67F80" w:rsidRDefault="00371B6D" w:rsidP="00FF7613">
            <w:pPr>
              <w:jc w:val="center"/>
              <w:rPr>
                <w:color w:val="000000" w:themeColor="text1"/>
                <w:sz w:val="20"/>
                <w:szCs w:val="20"/>
              </w:rPr>
            </w:pPr>
            <w:r w:rsidRPr="00B67F80">
              <w:rPr>
                <w:color w:val="000000" w:themeColor="text1"/>
                <w:sz w:val="20"/>
                <w:szCs w:val="20"/>
              </w:rPr>
              <w:t>1.2</w:t>
            </w:r>
          </w:p>
        </w:tc>
        <w:tc>
          <w:tcPr>
            <w:tcW w:w="896" w:type="dxa"/>
            <w:vAlign w:val="center"/>
          </w:tcPr>
          <w:p w14:paraId="597E63B6" w14:textId="7E42B0A3" w:rsidR="00FF7613" w:rsidRPr="00B67F80" w:rsidRDefault="00880674" w:rsidP="00FF7613">
            <w:pPr>
              <w:jc w:val="center"/>
              <w:rPr>
                <w:color w:val="000000" w:themeColor="text1"/>
                <w:sz w:val="20"/>
                <w:szCs w:val="20"/>
              </w:rPr>
            </w:pPr>
            <w:r w:rsidRPr="00B67F80">
              <w:rPr>
                <w:color w:val="000000" w:themeColor="text1"/>
                <w:sz w:val="20"/>
                <w:szCs w:val="20"/>
              </w:rPr>
              <w:t>0.44</w:t>
            </w:r>
          </w:p>
        </w:tc>
      </w:tr>
      <w:tr w:rsidR="00B67F80" w:rsidRPr="00B67F80" w14:paraId="22A92242" w14:textId="77777777" w:rsidTr="00EB3E6A">
        <w:trPr>
          <w:jc w:val="center"/>
        </w:trPr>
        <w:tc>
          <w:tcPr>
            <w:tcW w:w="1296" w:type="dxa"/>
            <w:vAlign w:val="center"/>
          </w:tcPr>
          <w:p w14:paraId="0D6D9343" w14:textId="77777777" w:rsidR="00FF7613" w:rsidRPr="00B67F80" w:rsidRDefault="00FF7613" w:rsidP="00FF7613">
            <w:pPr>
              <w:jc w:val="center"/>
              <w:rPr>
                <w:color w:val="000000" w:themeColor="text1"/>
                <w:sz w:val="20"/>
                <w:szCs w:val="20"/>
              </w:rPr>
            </w:pPr>
            <w:r w:rsidRPr="00B67F80">
              <w:rPr>
                <w:color w:val="000000" w:themeColor="text1"/>
                <w:sz w:val="20"/>
                <w:szCs w:val="20"/>
              </w:rPr>
              <w:t>Trend</w:t>
            </w:r>
          </w:p>
          <w:p w14:paraId="3FB7196D" w14:textId="77777777" w:rsidR="00FF7613" w:rsidRPr="00B67F80" w:rsidRDefault="00FF7613" w:rsidP="00FF7613">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2D3AB1EC" w14:textId="77777777" w:rsidR="00FF7613" w:rsidRPr="00B67F80" w:rsidRDefault="00FF7613" w:rsidP="00FF7613">
            <w:pPr>
              <w:jc w:val="center"/>
              <w:rPr>
                <w:color w:val="000000" w:themeColor="text1"/>
                <w:sz w:val="20"/>
                <w:szCs w:val="20"/>
              </w:rPr>
            </w:pPr>
            <w:r w:rsidRPr="00B67F80">
              <w:rPr>
                <w:color w:val="000000" w:themeColor="text1"/>
                <w:sz w:val="20"/>
                <w:szCs w:val="20"/>
              </w:rPr>
              <w:t>0.31</w:t>
            </w:r>
          </w:p>
          <w:p w14:paraId="25EEE298" w14:textId="3FC86AF3" w:rsidR="00FF7613" w:rsidRPr="00B67F80" w:rsidRDefault="00FF7613" w:rsidP="00FF7613">
            <w:pPr>
              <w:jc w:val="center"/>
              <w:rPr>
                <w:color w:val="000000" w:themeColor="text1"/>
                <w:sz w:val="20"/>
                <w:szCs w:val="20"/>
              </w:rPr>
            </w:pPr>
            <w:r w:rsidRPr="00B67F80">
              <w:rPr>
                <w:color w:val="000000" w:themeColor="text1"/>
                <w:sz w:val="20"/>
                <w:szCs w:val="20"/>
              </w:rPr>
              <w:t>(1.3)</w:t>
            </w:r>
          </w:p>
        </w:tc>
        <w:tc>
          <w:tcPr>
            <w:tcW w:w="895" w:type="dxa"/>
            <w:vAlign w:val="center"/>
          </w:tcPr>
          <w:p w14:paraId="06BBB94F" w14:textId="77777777" w:rsidR="00FF7613" w:rsidRPr="00B67F80" w:rsidRDefault="00FF7613" w:rsidP="00FF7613">
            <w:pPr>
              <w:jc w:val="center"/>
              <w:rPr>
                <w:color w:val="000000" w:themeColor="text1"/>
                <w:sz w:val="20"/>
                <w:szCs w:val="20"/>
              </w:rPr>
            </w:pPr>
            <w:r w:rsidRPr="00B67F80">
              <w:rPr>
                <w:color w:val="000000" w:themeColor="text1"/>
                <w:sz w:val="20"/>
                <w:szCs w:val="20"/>
              </w:rPr>
              <w:t>0.35</w:t>
            </w:r>
          </w:p>
          <w:p w14:paraId="7FCC741B" w14:textId="6AC0B4AF" w:rsidR="00FF7613" w:rsidRPr="00B67F80" w:rsidRDefault="00FF7613" w:rsidP="00FF7613">
            <w:pPr>
              <w:jc w:val="center"/>
              <w:rPr>
                <w:color w:val="000000" w:themeColor="text1"/>
                <w:sz w:val="20"/>
                <w:szCs w:val="20"/>
              </w:rPr>
            </w:pPr>
            <w:r w:rsidRPr="00B67F80">
              <w:rPr>
                <w:color w:val="000000" w:themeColor="text1"/>
                <w:sz w:val="20"/>
                <w:szCs w:val="20"/>
              </w:rPr>
              <w:t>(1.1)</w:t>
            </w:r>
          </w:p>
        </w:tc>
        <w:tc>
          <w:tcPr>
            <w:tcW w:w="896" w:type="dxa"/>
            <w:vAlign w:val="center"/>
          </w:tcPr>
          <w:p w14:paraId="7DE0851F" w14:textId="77777777" w:rsidR="00FF7613" w:rsidRPr="00B67F80" w:rsidRDefault="00FF7613" w:rsidP="00FF7613">
            <w:pPr>
              <w:jc w:val="center"/>
              <w:rPr>
                <w:color w:val="000000" w:themeColor="text1"/>
                <w:sz w:val="20"/>
                <w:szCs w:val="20"/>
              </w:rPr>
            </w:pPr>
            <w:r w:rsidRPr="00B67F80">
              <w:rPr>
                <w:color w:val="000000" w:themeColor="text1"/>
                <w:sz w:val="20"/>
                <w:szCs w:val="20"/>
              </w:rPr>
              <w:t>0.33</w:t>
            </w:r>
          </w:p>
          <w:p w14:paraId="4E2EA975" w14:textId="295FF784" w:rsidR="00FF7613" w:rsidRPr="00B67F80" w:rsidRDefault="00FF7613" w:rsidP="00FF7613">
            <w:pPr>
              <w:jc w:val="center"/>
              <w:rPr>
                <w:color w:val="000000" w:themeColor="text1"/>
                <w:sz w:val="20"/>
                <w:szCs w:val="20"/>
              </w:rPr>
            </w:pPr>
            <w:r w:rsidRPr="00B67F80">
              <w:rPr>
                <w:color w:val="000000" w:themeColor="text1"/>
                <w:sz w:val="20"/>
                <w:szCs w:val="20"/>
              </w:rPr>
              <w:t>(0.64)</w:t>
            </w:r>
          </w:p>
        </w:tc>
        <w:tc>
          <w:tcPr>
            <w:tcW w:w="929" w:type="dxa"/>
            <w:vAlign w:val="center"/>
          </w:tcPr>
          <w:p w14:paraId="61A7432A" w14:textId="77777777" w:rsidR="00FF7613" w:rsidRPr="00B67F80" w:rsidRDefault="00FF7613" w:rsidP="00FF7613">
            <w:pPr>
              <w:jc w:val="center"/>
              <w:rPr>
                <w:color w:val="000000" w:themeColor="text1"/>
                <w:sz w:val="20"/>
                <w:szCs w:val="20"/>
              </w:rPr>
            </w:pPr>
            <w:r w:rsidRPr="00B67F80">
              <w:rPr>
                <w:color w:val="000000" w:themeColor="text1"/>
                <w:sz w:val="20"/>
                <w:szCs w:val="20"/>
              </w:rPr>
              <w:t>0.23</w:t>
            </w:r>
          </w:p>
          <w:p w14:paraId="62767F64" w14:textId="68C895A5" w:rsidR="00FF7613" w:rsidRPr="00B67F80" w:rsidRDefault="00FF7613" w:rsidP="00FF7613">
            <w:pPr>
              <w:jc w:val="center"/>
              <w:rPr>
                <w:color w:val="000000" w:themeColor="text1"/>
                <w:sz w:val="20"/>
                <w:szCs w:val="20"/>
              </w:rPr>
            </w:pPr>
            <w:r w:rsidRPr="00B67F80">
              <w:rPr>
                <w:color w:val="000000" w:themeColor="text1"/>
                <w:sz w:val="20"/>
                <w:szCs w:val="20"/>
              </w:rPr>
              <w:t>(1.4)</w:t>
            </w:r>
          </w:p>
        </w:tc>
        <w:tc>
          <w:tcPr>
            <w:tcW w:w="896" w:type="dxa"/>
            <w:vAlign w:val="center"/>
          </w:tcPr>
          <w:p w14:paraId="7221D0A7" w14:textId="77777777" w:rsidR="00FF7613" w:rsidRPr="00B67F80" w:rsidRDefault="00FF7613" w:rsidP="00FF7613">
            <w:pPr>
              <w:jc w:val="center"/>
              <w:rPr>
                <w:color w:val="000000" w:themeColor="text1"/>
                <w:sz w:val="20"/>
                <w:szCs w:val="20"/>
              </w:rPr>
            </w:pPr>
            <w:r w:rsidRPr="00B67F80">
              <w:rPr>
                <w:color w:val="000000" w:themeColor="text1"/>
                <w:sz w:val="20"/>
                <w:szCs w:val="20"/>
              </w:rPr>
              <w:t>0.34</w:t>
            </w:r>
          </w:p>
          <w:p w14:paraId="250252CA" w14:textId="164E7E39" w:rsidR="00FF7613" w:rsidRPr="00B67F80" w:rsidRDefault="00FF7613" w:rsidP="00FF7613">
            <w:pPr>
              <w:jc w:val="center"/>
              <w:rPr>
                <w:color w:val="000000" w:themeColor="text1"/>
                <w:sz w:val="20"/>
                <w:szCs w:val="20"/>
              </w:rPr>
            </w:pPr>
            <w:r w:rsidRPr="00B67F80">
              <w:rPr>
                <w:color w:val="000000" w:themeColor="text1"/>
                <w:sz w:val="20"/>
                <w:szCs w:val="20"/>
              </w:rPr>
              <w:t>(1.2)</w:t>
            </w:r>
          </w:p>
        </w:tc>
        <w:tc>
          <w:tcPr>
            <w:tcW w:w="896" w:type="dxa"/>
            <w:vAlign w:val="center"/>
          </w:tcPr>
          <w:p w14:paraId="5C4D0561" w14:textId="77777777" w:rsidR="00FF7613" w:rsidRPr="00B67F80" w:rsidRDefault="00FF7613" w:rsidP="00FF7613">
            <w:pPr>
              <w:jc w:val="center"/>
              <w:rPr>
                <w:color w:val="000000" w:themeColor="text1"/>
                <w:sz w:val="20"/>
                <w:szCs w:val="20"/>
              </w:rPr>
            </w:pPr>
            <w:r w:rsidRPr="00B67F80">
              <w:rPr>
                <w:color w:val="000000" w:themeColor="text1"/>
                <w:sz w:val="20"/>
                <w:szCs w:val="20"/>
              </w:rPr>
              <w:t>0.28</w:t>
            </w:r>
          </w:p>
          <w:p w14:paraId="52C48C3E" w14:textId="11D44EAE" w:rsidR="00FF7613" w:rsidRPr="00B67F80" w:rsidRDefault="00FF7613" w:rsidP="00FF7613">
            <w:pPr>
              <w:jc w:val="center"/>
              <w:rPr>
                <w:color w:val="000000" w:themeColor="text1"/>
                <w:sz w:val="20"/>
                <w:szCs w:val="20"/>
              </w:rPr>
            </w:pPr>
            <w:r w:rsidRPr="00B67F80">
              <w:rPr>
                <w:color w:val="000000" w:themeColor="text1"/>
                <w:sz w:val="20"/>
                <w:szCs w:val="20"/>
              </w:rPr>
              <w:t>(0.67)</w:t>
            </w:r>
          </w:p>
        </w:tc>
      </w:tr>
      <w:tr w:rsidR="00B67F80" w:rsidRPr="00B67F80" w14:paraId="12C1CC37" w14:textId="77777777" w:rsidTr="00B26E7C">
        <w:trPr>
          <w:jc w:val="center"/>
        </w:trPr>
        <w:tc>
          <w:tcPr>
            <w:tcW w:w="1296" w:type="dxa"/>
            <w:vAlign w:val="center"/>
          </w:tcPr>
          <w:p w14:paraId="3AC18C91" w14:textId="77777777" w:rsidR="00FF7613" w:rsidRPr="00B67F80" w:rsidRDefault="00FF7613" w:rsidP="00FF7613">
            <w:pPr>
              <w:jc w:val="center"/>
              <w:rPr>
                <w:color w:val="000000" w:themeColor="text1"/>
                <w:sz w:val="20"/>
                <w:szCs w:val="20"/>
              </w:rPr>
            </w:pPr>
          </w:p>
        </w:tc>
        <w:tc>
          <w:tcPr>
            <w:tcW w:w="5407" w:type="dxa"/>
            <w:gridSpan w:val="6"/>
            <w:vAlign w:val="center"/>
          </w:tcPr>
          <w:p w14:paraId="2E3A6F05" w14:textId="77777777" w:rsidR="00FF7613" w:rsidRPr="00B67F80" w:rsidRDefault="00FF7613" w:rsidP="00FF7613">
            <w:pPr>
              <w:jc w:val="center"/>
              <w:rPr>
                <w:color w:val="000000" w:themeColor="text1"/>
                <w:sz w:val="20"/>
                <w:szCs w:val="20"/>
              </w:rPr>
            </w:pPr>
          </w:p>
        </w:tc>
      </w:tr>
      <w:tr w:rsidR="00B67F80" w:rsidRPr="00B67F80" w14:paraId="0F3E7316" w14:textId="77777777" w:rsidTr="00B26E7C">
        <w:trPr>
          <w:jc w:val="center"/>
        </w:trPr>
        <w:tc>
          <w:tcPr>
            <w:tcW w:w="1296" w:type="dxa"/>
            <w:vAlign w:val="center"/>
          </w:tcPr>
          <w:p w14:paraId="2FC412B4" w14:textId="77777777" w:rsidR="00FF7613" w:rsidRPr="00B67F80" w:rsidRDefault="00FF7613" w:rsidP="00FF7613">
            <w:pPr>
              <w:jc w:val="center"/>
              <w:rPr>
                <w:color w:val="000000" w:themeColor="text1"/>
                <w:sz w:val="20"/>
                <w:szCs w:val="20"/>
              </w:rPr>
            </w:pPr>
          </w:p>
        </w:tc>
        <w:tc>
          <w:tcPr>
            <w:tcW w:w="5407" w:type="dxa"/>
            <w:gridSpan w:val="6"/>
            <w:vAlign w:val="center"/>
          </w:tcPr>
          <w:p w14:paraId="100E4A20" w14:textId="76D651B1" w:rsidR="00FF7613" w:rsidRPr="00B67F80" w:rsidRDefault="00FF7613" w:rsidP="00FF7613">
            <w:pPr>
              <w:jc w:val="center"/>
              <w:rPr>
                <w:b/>
                <w:bCs/>
                <w:color w:val="000000" w:themeColor="text1"/>
                <w:sz w:val="20"/>
                <w:szCs w:val="20"/>
              </w:rPr>
            </w:pPr>
            <w:r w:rsidRPr="00B67F80">
              <w:rPr>
                <w:b/>
                <w:bCs/>
                <w:color w:val="000000" w:themeColor="text1"/>
                <w:sz w:val="20"/>
                <w:szCs w:val="20"/>
              </w:rPr>
              <w:t>Argo</w:t>
            </w:r>
          </w:p>
        </w:tc>
      </w:tr>
      <w:tr w:rsidR="00B67F80" w:rsidRPr="00B67F80" w14:paraId="763EC819" w14:textId="77777777" w:rsidTr="00EB3E6A">
        <w:trPr>
          <w:jc w:val="center"/>
        </w:trPr>
        <w:tc>
          <w:tcPr>
            <w:tcW w:w="1296" w:type="dxa"/>
            <w:vAlign w:val="center"/>
          </w:tcPr>
          <w:p w14:paraId="767474AE" w14:textId="77777777" w:rsidR="000E39CE" w:rsidRPr="00B67F80" w:rsidRDefault="000E39CE" w:rsidP="000E39CE">
            <w:pPr>
              <w:jc w:val="center"/>
              <w:rPr>
                <w:color w:val="000000" w:themeColor="text1"/>
                <w:sz w:val="20"/>
                <w:szCs w:val="20"/>
              </w:rPr>
            </w:pPr>
          </w:p>
        </w:tc>
        <w:tc>
          <w:tcPr>
            <w:tcW w:w="2686" w:type="dxa"/>
            <w:gridSpan w:val="3"/>
            <w:vAlign w:val="center"/>
          </w:tcPr>
          <w:p w14:paraId="6CAD2128" w14:textId="1B800D49" w:rsidR="000E39CE" w:rsidRPr="00B67F80" w:rsidRDefault="000E39CE" w:rsidP="000E39CE">
            <w:pPr>
              <w:jc w:val="center"/>
              <w:rPr>
                <w:color w:val="000000" w:themeColor="text1"/>
                <w:sz w:val="20"/>
                <w:szCs w:val="20"/>
              </w:rPr>
            </w:pPr>
            <w:r w:rsidRPr="00B67F80">
              <w:rPr>
                <w:color w:val="000000" w:themeColor="text1"/>
                <w:sz w:val="20"/>
                <w:szCs w:val="20"/>
              </w:rPr>
              <w:t>0-700 m</w:t>
            </w:r>
          </w:p>
        </w:tc>
        <w:tc>
          <w:tcPr>
            <w:tcW w:w="2721" w:type="dxa"/>
            <w:gridSpan w:val="3"/>
            <w:vAlign w:val="center"/>
          </w:tcPr>
          <w:p w14:paraId="48DDF5BD" w14:textId="4874DBF0" w:rsidR="000E39CE" w:rsidRPr="00B67F80" w:rsidRDefault="000E39CE" w:rsidP="000E39CE">
            <w:pPr>
              <w:jc w:val="center"/>
              <w:rPr>
                <w:color w:val="000000" w:themeColor="text1"/>
                <w:sz w:val="20"/>
                <w:szCs w:val="20"/>
              </w:rPr>
            </w:pPr>
            <w:r w:rsidRPr="00B67F80">
              <w:rPr>
                <w:color w:val="000000" w:themeColor="text1"/>
                <w:kern w:val="24"/>
                <w:sz w:val="20"/>
                <w:szCs w:val="20"/>
              </w:rPr>
              <w:t>Full Depth</w:t>
            </w:r>
          </w:p>
        </w:tc>
      </w:tr>
      <w:tr w:rsidR="00B67F80" w:rsidRPr="00B67F80" w14:paraId="34D73277" w14:textId="77777777" w:rsidTr="00EB3E6A">
        <w:trPr>
          <w:jc w:val="center"/>
        </w:trPr>
        <w:tc>
          <w:tcPr>
            <w:tcW w:w="1296" w:type="dxa"/>
            <w:vAlign w:val="center"/>
          </w:tcPr>
          <w:p w14:paraId="618F5FF1" w14:textId="77777777" w:rsidR="00FF7613" w:rsidRPr="00B67F80" w:rsidRDefault="00FF7613" w:rsidP="00FF7613">
            <w:pPr>
              <w:jc w:val="center"/>
              <w:rPr>
                <w:color w:val="000000" w:themeColor="text1"/>
                <w:sz w:val="20"/>
                <w:szCs w:val="20"/>
              </w:rPr>
            </w:pPr>
          </w:p>
        </w:tc>
        <w:tc>
          <w:tcPr>
            <w:tcW w:w="895" w:type="dxa"/>
            <w:vAlign w:val="center"/>
          </w:tcPr>
          <w:p w14:paraId="546079F0"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5" w:type="dxa"/>
            <w:vAlign w:val="center"/>
          </w:tcPr>
          <w:p w14:paraId="1432E0C7"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7EE5FE0B"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c>
          <w:tcPr>
            <w:tcW w:w="929" w:type="dxa"/>
            <w:vAlign w:val="center"/>
          </w:tcPr>
          <w:p w14:paraId="584FDE56" w14:textId="77777777" w:rsidR="00FF7613" w:rsidRPr="00B67F80" w:rsidRDefault="00FF7613" w:rsidP="00FF7613">
            <w:pPr>
              <w:jc w:val="center"/>
              <w:rPr>
                <w:color w:val="000000" w:themeColor="text1"/>
                <w:sz w:val="20"/>
                <w:szCs w:val="20"/>
              </w:rPr>
            </w:pPr>
            <w:r w:rsidRPr="00B67F80">
              <w:rPr>
                <w:color w:val="000000" w:themeColor="text1"/>
                <w:sz w:val="20"/>
                <w:szCs w:val="20"/>
              </w:rPr>
              <w:t>SH</w:t>
            </w:r>
          </w:p>
        </w:tc>
        <w:tc>
          <w:tcPr>
            <w:tcW w:w="896" w:type="dxa"/>
            <w:vAlign w:val="center"/>
          </w:tcPr>
          <w:p w14:paraId="0B116A47" w14:textId="77777777" w:rsidR="00FF7613" w:rsidRPr="00B67F80" w:rsidRDefault="00FF7613" w:rsidP="00FF7613">
            <w:pPr>
              <w:jc w:val="center"/>
              <w:rPr>
                <w:color w:val="000000" w:themeColor="text1"/>
                <w:sz w:val="20"/>
                <w:szCs w:val="20"/>
              </w:rPr>
            </w:pPr>
            <w:r w:rsidRPr="00B67F80">
              <w:rPr>
                <w:color w:val="000000" w:themeColor="text1"/>
                <w:sz w:val="20"/>
                <w:szCs w:val="20"/>
              </w:rPr>
              <w:t>NH</w:t>
            </w:r>
          </w:p>
        </w:tc>
        <w:tc>
          <w:tcPr>
            <w:tcW w:w="896" w:type="dxa"/>
            <w:vAlign w:val="center"/>
          </w:tcPr>
          <w:p w14:paraId="3626E1E3" w14:textId="77777777" w:rsidR="00FF7613" w:rsidRPr="00B67F80" w:rsidRDefault="00FF7613" w:rsidP="00FF7613">
            <w:pPr>
              <w:jc w:val="center"/>
              <w:rPr>
                <w:color w:val="000000" w:themeColor="text1"/>
                <w:sz w:val="20"/>
                <w:szCs w:val="20"/>
              </w:rPr>
            </w:pPr>
            <w:r w:rsidRPr="00B67F80">
              <w:rPr>
                <w:color w:val="000000" w:themeColor="text1"/>
                <w:sz w:val="20"/>
                <w:szCs w:val="20"/>
              </w:rPr>
              <w:t>Global</w:t>
            </w:r>
          </w:p>
        </w:tc>
      </w:tr>
      <w:tr w:rsidR="00B67F80" w:rsidRPr="00B67F80" w14:paraId="60FCF203" w14:textId="77777777" w:rsidTr="00EB3E6A">
        <w:trPr>
          <w:jc w:val="center"/>
        </w:trPr>
        <w:tc>
          <w:tcPr>
            <w:tcW w:w="1296" w:type="dxa"/>
            <w:vAlign w:val="center"/>
          </w:tcPr>
          <w:p w14:paraId="3EB7D420" w14:textId="77777777" w:rsidR="005B6314" w:rsidRPr="00B67F80" w:rsidRDefault="005B6314" w:rsidP="005B6314">
            <w:pPr>
              <w:jc w:val="center"/>
              <w:rPr>
                <w:color w:val="000000" w:themeColor="text1"/>
                <w:sz w:val="20"/>
                <w:szCs w:val="20"/>
              </w:rPr>
            </w:pPr>
            <w:r w:rsidRPr="00B67F80">
              <w:rPr>
                <w:color w:val="000000" w:themeColor="text1"/>
                <w:sz w:val="20"/>
                <w:szCs w:val="20"/>
              </w:rPr>
              <w:t>Mean</w:t>
            </w:r>
          </w:p>
          <w:p w14:paraId="2D51A1BF" w14:textId="77777777" w:rsidR="005B6314" w:rsidRPr="00B67F80" w:rsidRDefault="005B6314" w:rsidP="005B6314">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2FB6F939" w14:textId="350252BA" w:rsidR="005B6314" w:rsidRPr="00B67F80" w:rsidRDefault="005B6314" w:rsidP="005B6314">
            <w:pPr>
              <w:jc w:val="center"/>
              <w:rPr>
                <w:color w:val="000000" w:themeColor="text1"/>
                <w:sz w:val="20"/>
                <w:szCs w:val="20"/>
              </w:rPr>
            </w:pPr>
            <w:r w:rsidRPr="00B67F80">
              <w:rPr>
                <w:color w:val="000000" w:themeColor="text1"/>
                <w:sz w:val="20"/>
                <w:szCs w:val="20"/>
              </w:rPr>
              <w:t>0.</w:t>
            </w:r>
            <w:r w:rsidR="000E39CE" w:rsidRPr="00B67F80">
              <w:rPr>
                <w:color w:val="000000" w:themeColor="text1"/>
                <w:sz w:val="20"/>
                <w:szCs w:val="20"/>
              </w:rPr>
              <w:t>45</w:t>
            </w:r>
          </w:p>
        </w:tc>
        <w:tc>
          <w:tcPr>
            <w:tcW w:w="895" w:type="dxa"/>
            <w:vAlign w:val="center"/>
          </w:tcPr>
          <w:p w14:paraId="1983DB92" w14:textId="6DCCBD01" w:rsidR="005B6314" w:rsidRPr="00B67F80" w:rsidRDefault="00371B6D" w:rsidP="005B6314">
            <w:pPr>
              <w:jc w:val="center"/>
              <w:rPr>
                <w:color w:val="000000" w:themeColor="text1"/>
                <w:sz w:val="20"/>
                <w:szCs w:val="20"/>
              </w:rPr>
            </w:pPr>
            <w:r w:rsidRPr="00B67F80">
              <w:rPr>
                <w:color w:val="000000" w:themeColor="text1"/>
                <w:sz w:val="20"/>
                <w:szCs w:val="20"/>
              </w:rPr>
              <w:t>0.23</w:t>
            </w:r>
          </w:p>
        </w:tc>
        <w:tc>
          <w:tcPr>
            <w:tcW w:w="896" w:type="dxa"/>
            <w:vAlign w:val="center"/>
          </w:tcPr>
          <w:p w14:paraId="728B3E09" w14:textId="0170FE89" w:rsidR="005B6314" w:rsidRPr="00B67F80" w:rsidRDefault="00880674" w:rsidP="005B6314">
            <w:pPr>
              <w:jc w:val="center"/>
              <w:rPr>
                <w:color w:val="000000" w:themeColor="text1"/>
                <w:sz w:val="20"/>
                <w:szCs w:val="20"/>
              </w:rPr>
            </w:pPr>
            <w:r w:rsidRPr="00B67F80">
              <w:rPr>
                <w:color w:val="000000" w:themeColor="text1"/>
                <w:sz w:val="20"/>
                <w:szCs w:val="20"/>
              </w:rPr>
              <w:t>0.34</w:t>
            </w:r>
          </w:p>
        </w:tc>
        <w:tc>
          <w:tcPr>
            <w:tcW w:w="929" w:type="dxa"/>
            <w:vAlign w:val="center"/>
          </w:tcPr>
          <w:p w14:paraId="62D7E2D8" w14:textId="17ABDF1C" w:rsidR="005B6314" w:rsidRPr="00B67F80" w:rsidRDefault="005B6314" w:rsidP="005B6314">
            <w:pPr>
              <w:jc w:val="center"/>
              <w:rPr>
                <w:color w:val="000000" w:themeColor="text1"/>
                <w:sz w:val="20"/>
                <w:szCs w:val="20"/>
              </w:rPr>
            </w:pPr>
            <w:r w:rsidRPr="00B67F80">
              <w:rPr>
                <w:color w:val="000000" w:themeColor="text1"/>
                <w:sz w:val="20"/>
                <w:szCs w:val="20"/>
              </w:rPr>
              <w:t>0.77</w:t>
            </w:r>
          </w:p>
        </w:tc>
        <w:tc>
          <w:tcPr>
            <w:tcW w:w="896" w:type="dxa"/>
            <w:vAlign w:val="center"/>
          </w:tcPr>
          <w:p w14:paraId="0F2650D0" w14:textId="684AAAF2" w:rsidR="005B6314" w:rsidRPr="00B67F80" w:rsidRDefault="00371B6D" w:rsidP="005B6314">
            <w:pPr>
              <w:jc w:val="center"/>
              <w:rPr>
                <w:color w:val="000000" w:themeColor="text1"/>
                <w:sz w:val="20"/>
                <w:szCs w:val="20"/>
              </w:rPr>
            </w:pPr>
            <w:r w:rsidRPr="00B67F80">
              <w:rPr>
                <w:color w:val="000000" w:themeColor="text1"/>
                <w:sz w:val="20"/>
                <w:szCs w:val="20"/>
              </w:rPr>
              <w:t>0.40</w:t>
            </w:r>
          </w:p>
        </w:tc>
        <w:tc>
          <w:tcPr>
            <w:tcW w:w="896" w:type="dxa"/>
            <w:vAlign w:val="center"/>
          </w:tcPr>
          <w:p w14:paraId="4BF6F4F5" w14:textId="2B4A0882" w:rsidR="005B6314" w:rsidRPr="00B67F80" w:rsidRDefault="00880674" w:rsidP="005B6314">
            <w:pPr>
              <w:jc w:val="center"/>
              <w:rPr>
                <w:color w:val="000000" w:themeColor="text1"/>
                <w:sz w:val="20"/>
                <w:szCs w:val="20"/>
              </w:rPr>
            </w:pPr>
            <w:r w:rsidRPr="00B67F80">
              <w:rPr>
                <w:color w:val="000000" w:themeColor="text1"/>
                <w:sz w:val="20"/>
                <w:szCs w:val="20"/>
              </w:rPr>
              <w:t>0.60</w:t>
            </w:r>
          </w:p>
        </w:tc>
      </w:tr>
      <w:tr w:rsidR="00B67F80" w:rsidRPr="00B67F80" w14:paraId="5A52B961" w14:textId="77777777" w:rsidTr="00EB3E6A">
        <w:trPr>
          <w:jc w:val="center"/>
        </w:trPr>
        <w:tc>
          <w:tcPr>
            <w:tcW w:w="1296" w:type="dxa"/>
            <w:vAlign w:val="center"/>
          </w:tcPr>
          <w:p w14:paraId="62DD3EDF" w14:textId="77777777" w:rsidR="005B6314" w:rsidRPr="00B67F80" w:rsidRDefault="005B6314" w:rsidP="005B6314">
            <w:pPr>
              <w:jc w:val="center"/>
              <w:rPr>
                <w:color w:val="000000" w:themeColor="text1"/>
                <w:sz w:val="20"/>
                <w:szCs w:val="20"/>
              </w:rPr>
            </w:pPr>
            <w:proofErr w:type="spellStart"/>
            <w:r w:rsidRPr="00B67F80">
              <w:rPr>
                <w:color w:val="000000" w:themeColor="text1"/>
                <w:sz w:val="20"/>
                <w:szCs w:val="20"/>
              </w:rPr>
              <w:t>Stdev</w:t>
            </w:r>
            <w:proofErr w:type="spellEnd"/>
          </w:p>
          <w:p w14:paraId="5CC1CC6C" w14:textId="77777777" w:rsidR="005B6314" w:rsidRPr="00B67F80" w:rsidRDefault="005B6314" w:rsidP="005B6314">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11CC3C28" w14:textId="51099744" w:rsidR="005B6314" w:rsidRPr="00B67F80" w:rsidRDefault="000E39CE" w:rsidP="005B6314">
            <w:pPr>
              <w:jc w:val="center"/>
              <w:rPr>
                <w:color w:val="000000" w:themeColor="text1"/>
                <w:sz w:val="20"/>
                <w:szCs w:val="20"/>
              </w:rPr>
            </w:pPr>
            <w:r w:rsidRPr="00B67F80">
              <w:rPr>
                <w:color w:val="000000" w:themeColor="text1"/>
                <w:sz w:val="20"/>
                <w:szCs w:val="20"/>
              </w:rPr>
              <w:t>2.2</w:t>
            </w:r>
          </w:p>
        </w:tc>
        <w:tc>
          <w:tcPr>
            <w:tcW w:w="895" w:type="dxa"/>
            <w:vAlign w:val="center"/>
          </w:tcPr>
          <w:p w14:paraId="632C73BD" w14:textId="4B543D10" w:rsidR="005B6314" w:rsidRPr="00B67F80" w:rsidRDefault="00371B6D" w:rsidP="005B6314">
            <w:pPr>
              <w:jc w:val="center"/>
              <w:rPr>
                <w:color w:val="000000" w:themeColor="text1"/>
                <w:sz w:val="20"/>
                <w:szCs w:val="20"/>
              </w:rPr>
            </w:pPr>
            <w:r w:rsidRPr="00B67F80">
              <w:rPr>
                <w:color w:val="000000" w:themeColor="text1"/>
                <w:sz w:val="20"/>
                <w:szCs w:val="20"/>
              </w:rPr>
              <w:t>2.1</w:t>
            </w:r>
          </w:p>
        </w:tc>
        <w:tc>
          <w:tcPr>
            <w:tcW w:w="896" w:type="dxa"/>
            <w:vAlign w:val="center"/>
          </w:tcPr>
          <w:p w14:paraId="3B61161E" w14:textId="1F5BC6B6" w:rsidR="005B6314" w:rsidRPr="00B67F80" w:rsidRDefault="00880674" w:rsidP="005B6314">
            <w:pPr>
              <w:jc w:val="center"/>
              <w:rPr>
                <w:color w:val="000000" w:themeColor="text1"/>
                <w:sz w:val="20"/>
                <w:szCs w:val="20"/>
              </w:rPr>
            </w:pPr>
            <w:r w:rsidRPr="00B67F80">
              <w:rPr>
                <w:color w:val="000000" w:themeColor="text1"/>
                <w:sz w:val="20"/>
                <w:szCs w:val="20"/>
              </w:rPr>
              <w:t>0.76</w:t>
            </w:r>
          </w:p>
        </w:tc>
        <w:tc>
          <w:tcPr>
            <w:tcW w:w="929" w:type="dxa"/>
            <w:vAlign w:val="center"/>
          </w:tcPr>
          <w:p w14:paraId="169A4B6D" w14:textId="379AF6CF" w:rsidR="005B6314" w:rsidRPr="00B67F80" w:rsidRDefault="005B6314" w:rsidP="005B6314">
            <w:pPr>
              <w:jc w:val="center"/>
              <w:rPr>
                <w:color w:val="000000" w:themeColor="text1"/>
                <w:sz w:val="20"/>
                <w:szCs w:val="20"/>
              </w:rPr>
            </w:pPr>
            <w:r w:rsidRPr="00B67F80">
              <w:rPr>
                <w:color w:val="000000" w:themeColor="text1"/>
                <w:sz w:val="20"/>
                <w:szCs w:val="20"/>
              </w:rPr>
              <w:t>3.0</w:t>
            </w:r>
          </w:p>
        </w:tc>
        <w:tc>
          <w:tcPr>
            <w:tcW w:w="896" w:type="dxa"/>
            <w:vAlign w:val="center"/>
          </w:tcPr>
          <w:p w14:paraId="384C55DC" w14:textId="72B56756" w:rsidR="005B6314" w:rsidRPr="00B67F80" w:rsidRDefault="00AD58A8" w:rsidP="005B6314">
            <w:pPr>
              <w:jc w:val="center"/>
              <w:rPr>
                <w:color w:val="000000" w:themeColor="text1"/>
                <w:sz w:val="20"/>
                <w:szCs w:val="20"/>
              </w:rPr>
            </w:pPr>
            <w:r w:rsidRPr="00B67F80">
              <w:rPr>
                <w:color w:val="000000" w:themeColor="text1"/>
                <w:sz w:val="20"/>
                <w:szCs w:val="20"/>
              </w:rPr>
              <w:t>2.3</w:t>
            </w:r>
          </w:p>
        </w:tc>
        <w:tc>
          <w:tcPr>
            <w:tcW w:w="896" w:type="dxa"/>
            <w:vAlign w:val="center"/>
          </w:tcPr>
          <w:p w14:paraId="6386BAC7" w14:textId="39FE56B8" w:rsidR="005B6314" w:rsidRPr="00B67F80" w:rsidRDefault="00880674" w:rsidP="005B6314">
            <w:pPr>
              <w:jc w:val="center"/>
              <w:rPr>
                <w:color w:val="000000" w:themeColor="text1"/>
                <w:sz w:val="20"/>
                <w:szCs w:val="20"/>
              </w:rPr>
            </w:pPr>
            <w:r w:rsidRPr="00B67F80">
              <w:rPr>
                <w:color w:val="000000" w:themeColor="text1"/>
                <w:sz w:val="20"/>
                <w:szCs w:val="20"/>
              </w:rPr>
              <w:t>1.2</w:t>
            </w:r>
          </w:p>
        </w:tc>
      </w:tr>
      <w:tr w:rsidR="00B67F80" w:rsidRPr="00B67F80" w14:paraId="4E515804" w14:textId="77777777" w:rsidTr="00EB3E6A">
        <w:trPr>
          <w:jc w:val="center"/>
        </w:trPr>
        <w:tc>
          <w:tcPr>
            <w:tcW w:w="1296" w:type="dxa"/>
            <w:vAlign w:val="center"/>
          </w:tcPr>
          <w:p w14:paraId="329E9E86" w14:textId="77777777" w:rsidR="005B6314" w:rsidRPr="00B67F80" w:rsidRDefault="005B6314" w:rsidP="005B6314">
            <w:pPr>
              <w:jc w:val="center"/>
              <w:rPr>
                <w:color w:val="000000" w:themeColor="text1"/>
                <w:sz w:val="20"/>
                <w:szCs w:val="20"/>
              </w:rPr>
            </w:pPr>
            <w:r w:rsidRPr="00B67F80">
              <w:rPr>
                <w:color w:val="000000" w:themeColor="text1"/>
                <w:sz w:val="20"/>
                <w:szCs w:val="20"/>
              </w:rPr>
              <w:t>Trend</w:t>
            </w:r>
          </w:p>
          <w:p w14:paraId="0A343DD2" w14:textId="77777777" w:rsidR="005B6314" w:rsidRPr="00B67F80" w:rsidRDefault="005B6314" w:rsidP="005B6314">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688303FE" w14:textId="77777777" w:rsidR="005B6314" w:rsidRPr="00B67F80" w:rsidRDefault="005B6314" w:rsidP="005B6314">
            <w:pPr>
              <w:jc w:val="center"/>
              <w:rPr>
                <w:color w:val="000000" w:themeColor="text1"/>
                <w:sz w:val="20"/>
                <w:szCs w:val="20"/>
              </w:rPr>
            </w:pPr>
            <w:r w:rsidRPr="00B67F80">
              <w:rPr>
                <w:color w:val="000000" w:themeColor="text1"/>
                <w:sz w:val="20"/>
                <w:szCs w:val="20"/>
              </w:rPr>
              <w:t>-0.049</w:t>
            </w:r>
          </w:p>
          <w:p w14:paraId="1E34C56E" w14:textId="053D11AD" w:rsidR="005B6314" w:rsidRPr="00B67F80" w:rsidRDefault="005B6314" w:rsidP="005B6314">
            <w:pPr>
              <w:jc w:val="center"/>
              <w:rPr>
                <w:color w:val="000000" w:themeColor="text1"/>
                <w:sz w:val="20"/>
                <w:szCs w:val="20"/>
              </w:rPr>
            </w:pPr>
            <w:r w:rsidRPr="00B67F80">
              <w:rPr>
                <w:color w:val="000000" w:themeColor="text1"/>
                <w:sz w:val="20"/>
                <w:szCs w:val="20"/>
              </w:rPr>
              <w:t>(2.1)</w:t>
            </w:r>
          </w:p>
        </w:tc>
        <w:tc>
          <w:tcPr>
            <w:tcW w:w="895" w:type="dxa"/>
            <w:vAlign w:val="center"/>
          </w:tcPr>
          <w:p w14:paraId="12DBCAA1" w14:textId="77777777" w:rsidR="005B6314" w:rsidRPr="00B67F80" w:rsidRDefault="005B6314" w:rsidP="005B6314">
            <w:pPr>
              <w:jc w:val="center"/>
              <w:rPr>
                <w:color w:val="000000" w:themeColor="text1"/>
                <w:sz w:val="20"/>
                <w:szCs w:val="20"/>
              </w:rPr>
            </w:pPr>
            <w:r w:rsidRPr="00B67F80">
              <w:rPr>
                <w:color w:val="000000" w:themeColor="text1"/>
                <w:sz w:val="20"/>
                <w:szCs w:val="20"/>
              </w:rPr>
              <w:t>1.2</w:t>
            </w:r>
          </w:p>
          <w:p w14:paraId="75CFE979" w14:textId="14F93F7C" w:rsidR="005B6314" w:rsidRPr="00B67F80" w:rsidRDefault="005B6314" w:rsidP="005B6314">
            <w:pPr>
              <w:jc w:val="center"/>
              <w:rPr>
                <w:color w:val="000000" w:themeColor="text1"/>
                <w:sz w:val="20"/>
                <w:szCs w:val="20"/>
              </w:rPr>
            </w:pPr>
            <w:r w:rsidRPr="00B67F80">
              <w:rPr>
                <w:color w:val="000000" w:themeColor="text1"/>
                <w:sz w:val="20"/>
                <w:szCs w:val="20"/>
              </w:rPr>
              <w:t>(2.0)</w:t>
            </w:r>
          </w:p>
        </w:tc>
        <w:tc>
          <w:tcPr>
            <w:tcW w:w="896" w:type="dxa"/>
            <w:vAlign w:val="center"/>
          </w:tcPr>
          <w:p w14:paraId="390525FB" w14:textId="77777777" w:rsidR="005B6314" w:rsidRPr="00B67F80" w:rsidRDefault="005B6314" w:rsidP="005B6314">
            <w:pPr>
              <w:jc w:val="center"/>
              <w:rPr>
                <w:color w:val="000000" w:themeColor="text1"/>
                <w:sz w:val="20"/>
                <w:szCs w:val="20"/>
              </w:rPr>
            </w:pPr>
            <w:r w:rsidRPr="00B67F80">
              <w:rPr>
                <w:color w:val="000000" w:themeColor="text1"/>
                <w:sz w:val="20"/>
                <w:szCs w:val="20"/>
              </w:rPr>
              <w:t>0.49</w:t>
            </w:r>
          </w:p>
          <w:p w14:paraId="6724EA82" w14:textId="158ECEED" w:rsidR="005B6314" w:rsidRPr="00B67F80" w:rsidRDefault="005B6314" w:rsidP="005B6314">
            <w:pPr>
              <w:jc w:val="center"/>
              <w:rPr>
                <w:color w:val="000000" w:themeColor="text1"/>
                <w:sz w:val="20"/>
                <w:szCs w:val="20"/>
              </w:rPr>
            </w:pPr>
            <w:r w:rsidRPr="00B67F80">
              <w:rPr>
                <w:color w:val="000000" w:themeColor="text1"/>
                <w:sz w:val="20"/>
                <w:szCs w:val="20"/>
              </w:rPr>
              <w:t>(0.72)</w:t>
            </w:r>
          </w:p>
        </w:tc>
        <w:tc>
          <w:tcPr>
            <w:tcW w:w="929" w:type="dxa"/>
            <w:vAlign w:val="center"/>
          </w:tcPr>
          <w:p w14:paraId="22A50B2E" w14:textId="77777777" w:rsidR="005B6314" w:rsidRPr="00B67F80" w:rsidRDefault="005B6314" w:rsidP="005B6314">
            <w:pPr>
              <w:jc w:val="center"/>
              <w:rPr>
                <w:color w:val="000000" w:themeColor="text1"/>
                <w:sz w:val="20"/>
                <w:szCs w:val="20"/>
              </w:rPr>
            </w:pPr>
            <w:r w:rsidRPr="00B67F80">
              <w:rPr>
                <w:color w:val="000000" w:themeColor="text1"/>
                <w:sz w:val="20"/>
                <w:szCs w:val="20"/>
              </w:rPr>
              <w:t>-0.22</w:t>
            </w:r>
          </w:p>
          <w:p w14:paraId="15D39138" w14:textId="30AA9637" w:rsidR="005B6314" w:rsidRPr="00B67F80" w:rsidRDefault="005B6314" w:rsidP="005B6314">
            <w:pPr>
              <w:jc w:val="center"/>
              <w:rPr>
                <w:color w:val="000000" w:themeColor="text1"/>
                <w:sz w:val="20"/>
                <w:szCs w:val="20"/>
              </w:rPr>
            </w:pPr>
            <w:r w:rsidRPr="00B67F80">
              <w:rPr>
                <w:color w:val="000000" w:themeColor="text1"/>
                <w:sz w:val="20"/>
                <w:szCs w:val="20"/>
              </w:rPr>
              <w:t>(3.0)</w:t>
            </w:r>
          </w:p>
        </w:tc>
        <w:tc>
          <w:tcPr>
            <w:tcW w:w="896" w:type="dxa"/>
            <w:vAlign w:val="center"/>
          </w:tcPr>
          <w:p w14:paraId="1B517FCB" w14:textId="77777777" w:rsidR="005B6314" w:rsidRPr="00B67F80" w:rsidRDefault="005B6314" w:rsidP="005B6314">
            <w:pPr>
              <w:jc w:val="center"/>
              <w:rPr>
                <w:color w:val="000000" w:themeColor="text1"/>
                <w:sz w:val="20"/>
                <w:szCs w:val="20"/>
              </w:rPr>
            </w:pPr>
            <w:r w:rsidRPr="00B67F80">
              <w:rPr>
                <w:color w:val="000000" w:themeColor="text1"/>
                <w:sz w:val="20"/>
                <w:szCs w:val="20"/>
              </w:rPr>
              <w:t>1.4</w:t>
            </w:r>
          </w:p>
          <w:p w14:paraId="1B26B2E6" w14:textId="20A050FC" w:rsidR="005B6314" w:rsidRPr="00B67F80" w:rsidRDefault="005B6314" w:rsidP="005B6314">
            <w:pPr>
              <w:jc w:val="center"/>
              <w:rPr>
                <w:color w:val="000000" w:themeColor="text1"/>
                <w:sz w:val="20"/>
                <w:szCs w:val="20"/>
              </w:rPr>
            </w:pPr>
            <w:r w:rsidRPr="00B67F80">
              <w:rPr>
                <w:color w:val="000000" w:themeColor="text1"/>
                <w:sz w:val="20"/>
                <w:szCs w:val="20"/>
              </w:rPr>
              <w:t>(2.2)</w:t>
            </w:r>
          </w:p>
        </w:tc>
        <w:tc>
          <w:tcPr>
            <w:tcW w:w="896" w:type="dxa"/>
            <w:vAlign w:val="center"/>
          </w:tcPr>
          <w:p w14:paraId="414F9CE7" w14:textId="77777777" w:rsidR="005B6314" w:rsidRPr="00B67F80" w:rsidRDefault="005B6314" w:rsidP="005B6314">
            <w:pPr>
              <w:jc w:val="center"/>
              <w:rPr>
                <w:color w:val="000000" w:themeColor="text1"/>
                <w:sz w:val="20"/>
                <w:szCs w:val="20"/>
              </w:rPr>
            </w:pPr>
            <w:r w:rsidRPr="00B67F80">
              <w:rPr>
                <w:color w:val="000000" w:themeColor="text1"/>
                <w:sz w:val="20"/>
                <w:szCs w:val="20"/>
              </w:rPr>
              <w:t>0.46</w:t>
            </w:r>
          </w:p>
          <w:p w14:paraId="2DA05718" w14:textId="26431D17" w:rsidR="005B6314" w:rsidRPr="00B67F80" w:rsidRDefault="005B6314" w:rsidP="005B6314">
            <w:pPr>
              <w:jc w:val="center"/>
              <w:rPr>
                <w:color w:val="000000" w:themeColor="text1"/>
                <w:sz w:val="20"/>
                <w:szCs w:val="20"/>
              </w:rPr>
            </w:pPr>
            <w:r w:rsidRPr="00B67F80">
              <w:rPr>
                <w:color w:val="000000" w:themeColor="text1"/>
                <w:sz w:val="20"/>
                <w:szCs w:val="20"/>
              </w:rPr>
              <w:t>(1.2)</w:t>
            </w:r>
          </w:p>
        </w:tc>
      </w:tr>
      <w:tr w:rsidR="00B67F80" w:rsidRPr="00B67F80" w14:paraId="2590783F" w14:textId="77777777" w:rsidTr="00B26E7C">
        <w:trPr>
          <w:jc w:val="center"/>
        </w:trPr>
        <w:tc>
          <w:tcPr>
            <w:tcW w:w="1296" w:type="dxa"/>
            <w:vAlign w:val="center"/>
          </w:tcPr>
          <w:p w14:paraId="45822BF7" w14:textId="77777777" w:rsidR="005B6314" w:rsidRPr="00B67F80" w:rsidRDefault="005B6314" w:rsidP="005B6314">
            <w:pPr>
              <w:jc w:val="center"/>
              <w:rPr>
                <w:color w:val="000000" w:themeColor="text1"/>
                <w:sz w:val="20"/>
                <w:szCs w:val="20"/>
              </w:rPr>
            </w:pPr>
          </w:p>
        </w:tc>
        <w:tc>
          <w:tcPr>
            <w:tcW w:w="5407" w:type="dxa"/>
            <w:gridSpan w:val="6"/>
            <w:vAlign w:val="center"/>
          </w:tcPr>
          <w:p w14:paraId="2DDD8051" w14:textId="77777777" w:rsidR="005B6314" w:rsidRPr="00B67F80" w:rsidRDefault="005B6314" w:rsidP="005B6314">
            <w:pPr>
              <w:jc w:val="center"/>
              <w:rPr>
                <w:color w:val="000000" w:themeColor="text1"/>
                <w:sz w:val="20"/>
                <w:szCs w:val="20"/>
              </w:rPr>
            </w:pPr>
          </w:p>
        </w:tc>
      </w:tr>
      <w:tr w:rsidR="00B67F80" w:rsidRPr="00B67F80" w14:paraId="05EFD059" w14:textId="77777777" w:rsidTr="00B26E7C">
        <w:trPr>
          <w:jc w:val="center"/>
        </w:trPr>
        <w:tc>
          <w:tcPr>
            <w:tcW w:w="1296" w:type="dxa"/>
            <w:vAlign w:val="center"/>
          </w:tcPr>
          <w:p w14:paraId="3261D40A" w14:textId="77777777" w:rsidR="005B6314" w:rsidRPr="00B67F80" w:rsidRDefault="005B6314" w:rsidP="005B6314">
            <w:pPr>
              <w:jc w:val="center"/>
              <w:rPr>
                <w:color w:val="000000" w:themeColor="text1"/>
                <w:sz w:val="20"/>
                <w:szCs w:val="20"/>
              </w:rPr>
            </w:pPr>
          </w:p>
        </w:tc>
        <w:tc>
          <w:tcPr>
            <w:tcW w:w="5407" w:type="dxa"/>
            <w:gridSpan w:val="6"/>
            <w:vAlign w:val="center"/>
          </w:tcPr>
          <w:p w14:paraId="6E106496" w14:textId="79CF4779" w:rsidR="005B6314" w:rsidRPr="00B67F80" w:rsidRDefault="005B6314" w:rsidP="005B6314">
            <w:pPr>
              <w:jc w:val="center"/>
              <w:rPr>
                <w:b/>
                <w:bCs/>
                <w:color w:val="000000" w:themeColor="text1"/>
                <w:sz w:val="20"/>
                <w:szCs w:val="20"/>
              </w:rPr>
            </w:pPr>
            <w:r w:rsidRPr="00B67F80">
              <w:rPr>
                <w:b/>
                <w:bCs/>
                <w:color w:val="000000" w:themeColor="text1"/>
                <w:sz w:val="20"/>
                <w:szCs w:val="20"/>
              </w:rPr>
              <w:t>Argo+SA</w:t>
            </w:r>
          </w:p>
        </w:tc>
      </w:tr>
      <w:tr w:rsidR="00B67F80" w:rsidRPr="00B67F80" w14:paraId="656597EA" w14:textId="77777777" w:rsidTr="00EB3E6A">
        <w:trPr>
          <w:jc w:val="center"/>
        </w:trPr>
        <w:tc>
          <w:tcPr>
            <w:tcW w:w="1296" w:type="dxa"/>
            <w:vAlign w:val="center"/>
          </w:tcPr>
          <w:p w14:paraId="766D9EB8" w14:textId="77777777" w:rsidR="000E39CE" w:rsidRPr="00B67F80" w:rsidRDefault="000E39CE" w:rsidP="000E39CE">
            <w:pPr>
              <w:jc w:val="center"/>
              <w:rPr>
                <w:color w:val="000000" w:themeColor="text1"/>
                <w:sz w:val="20"/>
                <w:szCs w:val="20"/>
              </w:rPr>
            </w:pPr>
          </w:p>
        </w:tc>
        <w:tc>
          <w:tcPr>
            <w:tcW w:w="2686" w:type="dxa"/>
            <w:gridSpan w:val="3"/>
            <w:vAlign w:val="center"/>
          </w:tcPr>
          <w:p w14:paraId="666EEB7B" w14:textId="0FBE5558" w:rsidR="000E39CE" w:rsidRPr="00B67F80" w:rsidRDefault="000E39CE" w:rsidP="000E39CE">
            <w:pPr>
              <w:jc w:val="center"/>
              <w:rPr>
                <w:color w:val="000000" w:themeColor="text1"/>
                <w:sz w:val="20"/>
                <w:szCs w:val="20"/>
              </w:rPr>
            </w:pPr>
            <w:r w:rsidRPr="00B67F80">
              <w:rPr>
                <w:color w:val="000000" w:themeColor="text1"/>
                <w:sz w:val="20"/>
                <w:szCs w:val="20"/>
              </w:rPr>
              <w:t>0-700 m</w:t>
            </w:r>
          </w:p>
        </w:tc>
        <w:tc>
          <w:tcPr>
            <w:tcW w:w="2721" w:type="dxa"/>
            <w:gridSpan w:val="3"/>
            <w:vAlign w:val="center"/>
          </w:tcPr>
          <w:p w14:paraId="484CCA97" w14:textId="19350665" w:rsidR="000E39CE" w:rsidRPr="00B67F80" w:rsidRDefault="000E39CE" w:rsidP="000E39CE">
            <w:pPr>
              <w:jc w:val="center"/>
              <w:rPr>
                <w:color w:val="000000" w:themeColor="text1"/>
                <w:sz w:val="20"/>
                <w:szCs w:val="20"/>
              </w:rPr>
            </w:pPr>
            <w:r w:rsidRPr="00B67F80">
              <w:rPr>
                <w:color w:val="000000" w:themeColor="text1"/>
                <w:kern w:val="24"/>
                <w:sz w:val="20"/>
                <w:szCs w:val="20"/>
              </w:rPr>
              <w:t>Full Depth</w:t>
            </w:r>
          </w:p>
        </w:tc>
      </w:tr>
      <w:tr w:rsidR="00B67F80" w:rsidRPr="00B67F80" w14:paraId="5FFD0DC1" w14:textId="77777777" w:rsidTr="00EB3E6A">
        <w:trPr>
          <w:jc w:val="center"/>
        </w:trPr>
        <w:tc>
          <w:tcPr>
            <w:tcW w:w="1296" w:type="dxa"/>
            <w:vAlign w:val="center"/>
          </w:tcPr>
          <w:p w14:paraId="0581D01E" w14:textId="77777777" w:rsidR="005B6314" w:rsidRPr="00B67F80" w:rsidRDefault="005B6314" w:rsidP="005B6314">
            <w:pPr>
              <w:jc w:val="center"/>
              <w:rPr>
                <w:color w:val="000000" w:themeColor="text1"/>
                <w:sz w:val="20"/>
                <w:szCs w:val="20"/>
              </w:rPr>
            </w:pPr>
          </w:p>
        </w:tc>
        <w:tc>
          <w:tcPr>
            <w:tcW w:w="895" w:type="dxa"/>
            <w:vAlign w:val="center"/>
          </w:tcPr>
          <w:p w14:paraId="6019B5C9" w14:textId="77777777" w:rsidR="005B6314" w:rsidRPr="00B67F80" w:rsidRDefault="005B6314" w:rsidP="005B6314">
            <w:pPr>
              <w:jc w:val="center"/>
              <w:rPr>
                <w:color w:val="000000" w:themeColor="text1"/>
                <w:sz w:val="20"/>
                <w:szCs w:val="20"/>
              </w:rPr>
            </w:pPr>
            <w:r w:rsidRPr="00B67F80">
              <w:rPr>
                <w:color w:val="000000" w:themeColor="text1"/>
                <w:sz w:val="20"/>
                <w:szCs w:val="20"/>
              </w:rPr>
              <w:t>SH</w:t>
            </w:r>
          </w:p>
        </w:tc>
        <w:tc>
          <w:tcPr>
            <w:tcW w:w="895" w:type="dxa"/>
            <w:vAlign w:val="center"/>
          </w:tcPr>
          <w:p w14:paraId="555FC446" w14:textId="77777777" w:rsidR="005B6314" w:rsidRPr="00B67F80" w:rsidRDefault="005B6314" w:rsidP="005B6314">
            <w:pPr>
              <w:jc w:val="center"/>
              <w:rPr>
                <w:color w:val="000000" w:themeColor="text1"/>
                <w:sz w:val="20"/>
                <w:szCs w:val="20"/>
              </w:rPr>
            </w:pPr>
            <w:r w:rsidRPr="00B67F80">
              <w:rPr>
                <w:color w:val="000000" w:themeColor="text1"/>
                <w:sz w:val="20"/>
                <w:szCs w:val="20"/>
              </w:rPr>
              <w:t>NH</w:t>
            </w:r>
          </w:p>
        </w:tc>
        <w:tc>
          <w:tcPr>
            <w:tcW w:w="896" w:type="dxa"/>
            <w:vAlign w:val="center"/>
          </w:tcPr>
          <w:p w14:paraId="55F98C9E" w14:textId="77777777" w:rsidR="005B6314" w:rsidRPr="00B67F80" w:rsidRDefault="005B6314" w:rsidP="005B6314">
            <w:pPr>
              <w:jc w:val="center"/>
              <w:rPr>
                <w:color w:val="000000" w:themeColor="text1"/>
                <w:sz w:val="20"/>
                <w:szCs w:val="20"/>
              </w:rPr>
            </w:pPr>
            <w:r w:rsidRPr="00B67F80">
              <w:rPr>
                <w:color w:val="000000" w:themeColor="text1"/>
                <w:sz w:val="20"/>
                <w:szCs w:val="20"/>
              </w:rPr>
              <w:t>Global</w:t>
            </w:r>
          </w:p>
        </w:tc>
        <w:tc>
          <w:tcPr>
            <w:tcW w:w="929" w:type="dxa"/>
            <w:vAlign w:val="center"/>
          </w:tcPr>
          <w:p w14:paraId="61946569" w14:textId="77777777" w:rsidR="005B6314" w:rsidRPr="00B67F80" w:rsidRDefault="005B6314" w:rsidP="005B6314">
            <w:pPr>
              <w:jc w:val="center"/>
              <w:rPr>
                <w:color w:val="000000" w:themeColor="text1"/>
                <w:sz w:val="20"/>
                <w:szCs w:val="20"/>
              </w:rPr>
            </w:pPr>
            <w:r w:rsidRPr="00B67F80">
              <w:rPr>
                <w:color w:val="000000" w:themeColor="text1"/>
                <w:sz w:val="20"/>
                <w:szCs w:val="20"/>
              </w:rPr>
              <w:t>SH</w:t>
            </w:r>
          </w:p>
        </w:tc>
        <w:tc>
          <w:tcPr>
            <w:tcW w:w="896" w:type="dxa"/>
            <w:vAlign w:val="center"/>
          </w:tcPr>
          <w:p w14:paraId="15034916" w14:textId="77777777" w:rsidR="005B6314" w:rsidRPr="00B67F80" w:rsidRDefault="005B6314" w:rsidP="005B6314">
            <w:pPr>
              <w:jc w:val="center"/>
              <w:rPr>
                <w:color w:val="000000" w:themeColor="text1"/>
                <w:sz w:val="20"/>
                <w:szCs w:val="20"/>
              </w:rPr>
            </w:pPr>
            <w:r w:rsidRPr="00B67F80">
              <w:rPr>
                <w:color w:val="000000" w:themeColor="text1"/>
                <w:sz w:val="20"/>
                <w:szCs w:val="20"/>
              </w:rPr>
              <w:t>NH</w:t>
            </w:r>
          </w:p>
        </w:tc>
        <w:tc>
          <w:tcPr>
            <w:tcW w:w="896" w:type="dxa"/>
            <w:vAlign w:val="center"/>
          </w:tcPr>
          <w:p w14:paraId="3A177F99" w14:textId="77777777" w:rsidR="005B6314" w:rsidRPr="00B67F80" w:rsidRDefault="005B6314" w:rsidP="005B6314">
            <w:pPr>
              <w:jc w:val="center"/>
              <w:rPr>
                <w:color w:val="000000" w:themeColor="text1"/>
                <w:sz w:val="20"/>
                <w:szCs w:val="20"/>
              </w:rPr>
            </w:pPr>
            <w:r w:rsidRPr="00B67F80">
              <w:rPr>
                <w:color w:val="000000" w:themeColor="text1"/>
                <w:sz w:val="20"/>
                <w:szCs w:val="20"/>
              </w:rPr>
              <w:t>Global</w:t>
            </w:r>
          </w:p>
        </w:tc>
      </w:tr>
      <w:tr w:rsidR="00B67F80" w:rsidRPr="00B67F80" w14:paraId="580200DE" w14:textId="77777777" w:rsidTr="00EB3E6A">
        <w:trPr>
          <w:jc w:val="center"/>
        </w:trPr>
        <w:tc>
          <w:tcPr>
            <w:tcW w:w="1296" w:type="dxa"/>
            <w:vAlign w:val="center"/>
          </w:tcPr>
          <w:p w14:paraId="0A059B0E" w14:textId="77777777" w:rsidR="005B6314" w:rsidRPr="00B67F80" w:rsidRDefault="005B6314" w:rsidP="005B6314">
            <w:pPr>
              <w:jc w:val="center"/>
              <w:rPr>
                <w:color w:val="000000" w:themeColor="text1"/>
                <w:sz w:val="20"/>
                <w:szCs w:val="20"/>
              </w:rPr>
            </w:pPr>
            <w:r w:rsidRPr="00B67F80">
              <w:rPr>
                <w:color w:val="000000" w:themeColor="text1"/>
                <w:sz w:val="20"/>
                <w:szCs w:val="20"/>
              </w:rPr>
              <w:t>Mean</w:t>
            </w:r>
          </w:p>
          <w:p w14:paraId="141A17D1" w14:textId="77777777" w:rsidR="005B6314" w:rsidRPr="00B67F80" w:rsidRDefault="005B6314" w:rsidP="005B6314">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48107B73" w14:textId="6A20B5A6" w:rsidR="005B6314" w:rsidRPr="00B67F80" w:rsidRDefault="005B6314" w:rsidP="005B6314">
            <w:pPr>
              <w:jc w:val="center"/>
              <w:rPr>
                <w:color w:val="000000" w:themeColor="text1"/>
                <w:sz w:val="20"/>
                <w:szCs w:val="20"/>
              </w:rPr>
            </w:pPr>
            <w:r w:rsidRPr="00B67F80">
              <w:rPr>
                <w:color w:val="000000" w:themeColor="text1"/>
                <w:sz w:val="20"/>
                <w:szCs w:val="20"/>
              </w:rPr>
              <w:t>-</w:t>
            </w:r>
          </w:p>
        </w:tc>
        <w:tc>
          <w:tcPr>
            <w:tcW w:w="895" w:type="dxa"/>
            <w:vAlign w:val="center"/>
          </w:tcPr>
          <w:p w14:paraId="3B5CD267" w14:textId="03E59B71" w:rsidR="005B6314" w:rsidRPr="00B67F80" w:rsidRDefault="005B6314" w:rsidP="005B6314">
            <w:pPr>
              <w:jc w:val="center"/>
              <w:rPr>
                <w:color w:val="000000" w:themeColor="text1"/>
                <w:sz w:val="20"/>
                <w:szCs w:val="20"/>
              </w:rPr>
            </w:pPr>
            <w:r w:rsidRPr="00B67F80">
              <w:rPr>
                <w:color w:val="000000" w:themeColor="text1"/>
                <w:sz w:val="20"/>
                <w:szCs w:val="20"/>
              </w:rPr>
              <w:t>-</w:t>
            </w:r>
          </w:p>
        </w:tc>
        <w:tc>
          <w:tcPr>
            <w:tcW w:w="896" w:type="dxa"/>
            <w:vAlign w:val="center"/>
          </w:tcPr>
          <w:p w14:paraId="73009B46" w14:textId="7AD792B6" w:rsidR="005B6314" w:rsidRPr="00B67F80" w:rsidRDefault="005B6314" w:rsidP="005B6314">
            <w:pPr>
              <w:jc w:val="center"/>
              <w:rPr>
                <w:color w:val="000000" w:themeColor="text1"/>
                <w:sz w:val="20"/>
                <w:szCs w:val="20"/>
              </w:rPr>
            </w:pPr>
            <w:r w:rsidRPr="00B67F80">
              <w:rPr>
                <w:color w:val="000000" w:themeColor="text1"/>
                <w:sz w:val="20"/>
                <w:szCs w:val="20"/>
              </w:rPr>
              <w:t>-</w:t>
            </w:r>
          </w:p>
        </w:tc>
        <w:tc>
          <w:tcPr>
            <w:tcW w:w="929" w:type="dxa"/>
            <w:vAlign w:val="center"/>
          </w:tcPr>
          <w:p w14:paraId="7951AECF" w14:textId="67A4C2BA" w:rsidR="005B6314" w:rsidRPr="00B67F80" w:rsidRDefault="000E25B1" w:rsidP="005B6314">
            <w:pPr>
              <w:jc w:val="center"/>
              <w:rPr>
                <w:color w:val="000000" w:themeColor="text1"/>
                <w:sz w:val="20"/>
                <w:szCs w:val="20"/>
              </w:rPr>
            </w:pPr>
            <w:r w:rsidRPr="00B67F80">
              <w:rPr>
                <w:color w:val="000000" w:themeColor="text1"/>
                <w:sz w:val="20"/>
                <w:szCs w:val="20"/>
              </w:rPr>
              <w:t>0.76</w:t>
            </w:r>
          </w:p>
        </w:tc>
        <w:tc>
          <w:tcPr>
            <w:tcW w:w="896" w:type="dxa"/>
            <w:vAlign w:val="center"/>
          </w:tcPr>
          <w:p w14:paraId="4DAC2812" w14:textId="777FE2A4" w:rsidR="005B6314" w:rsidRPr="00B67F80" w:rsidRDefault="000E25B1" w:rsidP="005B6314">
            <w:pPr>
              <w:jc w:val="center"/>
              <w:rPr>
                <w:color w:val="000000" w:themeColor="text1"/>
                <w:sz w:val="20"/>
                <w:szCs w:val="20"/>
              </w:rPr>
            </w:pPr>
            <w:r w:rsidRPr="00B67F80">
              <w:rPr>
                <w:color w:val="000000" w:themeColor="text1"/>
                <w:sz w:val="20"/>
                <w:szCs w:val="20"/>
              </w:rPr>
              <w:t>0.41</w:t>
            </w:r>
          </w:p>
        </w:tc>
        <w:tc>
          <w:tcPr>
            <w:tcW w:w="896" w:type="dxa"/>
            <w:vAlign w:val="center"/>
          </w:tcPr>
          <w:p w14:paraId="608A1187" w14:textId="7C193031" w:rsidR="005B6314" w:rsidRPr="00B67F80" w:rsidRDefault="000E25B1" w:rsidP="005B6314">
            <w:pPr>
              <w:jc w:val="center"/>
              <w:rPr>
                <w:color w:val="000000" w:themeColor="text1"/>
                <w:sz w:val="20"/>
                <w:szCs w:val="20"/>
              </w:rPr>
            </w:pPr>
            <w:r w:rsidRPr="00B67F80">
              <w:rPr>
                <w:color w:val="000000" w:themeColor="text1"/>
                <w:sz w:val="20"/>
                <w:szCs w:val="20"/>
              </w:rPr>
              <w:t>0.59</w:t>
            </w:r>
          </w:p>
        </w:tc>
      </w:tr>
      <w:tr w:rsidR="00B67F80" w:rsidRPr="00B67F80" w14:paraId="0A6E4C0A" w14:textId="77777777" w:rsidTr="00EB3E6A">
        <w:trPr>
          <w:jc w:val="center"/>
        </w:trPr>
        <w:tc>
          <w:tcPr>
            <w:tcW w:w="1296" w:type="dxa"/>
            <w:vAlign w:val="center"/>
          </w:tcPr>
          <w:p w14:paraId="5FE8206F" w14:textId="77777777" w:rsidR="005B6314" w:rsidRPr="00B67F80" w:rsidRDefault="005B6314" w:rsidP="005B6314">
            <w:pPr>
              <w:jc w:val="center"/>
              <w:rPr>
                <w:color w:val="000000" w:themeColor="text1"/>
                <w:sz w:val="20"/>
                <w:szCs w:val="20"/>
              </w:rPr>
            </w:pPr>
            <w:proofErr w:type="spellStart"/>
            <w:r w:rsidRPr="00B67F80">
              <w:rPr>
                <w:color w:val="000000" w:themeColor="text1"/>
                <w:sz w:val="20"/>
                <w:szCs w:val="20"/>
              </w:rPr>
              <w:t>Stdev</w:t>
            </w:r>
            <w:proofErr w:type="spellEnd"/>
          </w:p>
          <w:p w14:paraId="67312FB8" w14:textId="77777777" w:rsidR="005B6314" w:rsidRPr="00B67F80" w:rsidRDefault="005B6314" w:rsidP="005B6314">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w:t>
            </w:r>
          </w:p>
        </w:tc>
        <w:tc>
          <w:tcPr>
            <w:tcW w:w="895" w:type="dxa"/>
            <w:vAlign w:val="center"/>
          </w:tcPr>
          <w:p w14:paraId="6500872C" w14:textId="5726B1B4" w:rsidR="005B6314" w:rsidRPr="00B67F80" w:rsidRDefault="005B6314" w:rsidP="005B6314">
            <w:pPr>
              <w:jc w:val="center"/>
              <w:rPr>
                <w:color w:val="000000" w:themeColor="text1"/>
                <w:sz w:val="20"/>
                <w:szCs w:val="20"/>
              </w:rPr>
            </w:pPr>
            <w:r w:rsidRPr="00B67F80">
              <w:rPr>
                <w:color w:val="000000" w:themeColor="text1"/>
                <w:sz w:val="20"/>
                <w:szCs w:val="20"/>
              </w:rPr>
              <w:t>-</w:t>
            </w:r>
          </w:p>
        </w:tc>
        <w:tc>
          <w:tcPr>
            <w:tcW w:w="895" w:type="dxa"/>
            <w:vAlign w:val="center"/>
          </w:tcPr>
          <w:p w14:paraId="604EA150" w14:textId="3834A83B" w:rsidR="005B6314" w:rsidRPr="00B67F80" w:rsidRDefault="005B6314" w:rsidP="005B6314">
            <w:pPr>
              <w:jc w:val="center"/>
              <w:rPr>
                <w:color w:val="000000" w:themeColor="text1"/>
                <w:sz w:val="20"/>
                <w:szCs w:val="20"/>
              </w:rPr>
            </w:pPr>
            <w:r w:rsidRPr="00B67F80">
              <w:rPr>
                <w:color w:val="000000" w:themeColor="text1"/>
                <w:sz w:val="20"/>
                <w:szCs w:val="20"/>
              </w:rPr>
              <w:t>-</w:t>
            </w:r>
          </w:p>
        </w:tc>
        <w:tc>
          <w:tcPr>
            <w:tcW w:w="896" w:type="dxa"/>
            <w:vAlign w:val="center"/>
          </w:tcPr>
          <w:p w14:paraId="438F5D58" w14:textId="3B2452F1" w:rsidR="005B6314" w:rsidRPr="00B67F80" w:rsidRDefault="005B6314" w:rsidP="005B6314">
            <w:pPr>
              <w:jc w:val="center"/>
              <w:rPr>
                <w:color w:val="000000" w:themeColor="text1"/>
                <w:sz w:val="20"/>
                <w:szCs w:val="20"/>
              </w:rPr>
            </w:pPr>
            <w:r w:rsidRPr="00B67F80">
              <w:rPr>
                <w:color w:val="000000" w:themeColor="text1"/>
                <w:sz w:val="20"/>
                <w:szCs w:val="20"/>
              </w:rPr>
              <w:t>-</w:t>
            </w:r>
          </w:p>
        </w:tc>
        <w:tc>
          <w:tcPr>
            <w:tcW w:w="929" w:type="dxa"/>
            <w:vAlign w:val="center"/>
          </w:tcPr>
          <w:p w14:paraId="6DFCC64B" w14:textId="6857F322" w:rsidR="005B6314" w:rsidRPr="00B67F80" w:rsidRDefault="000E25B1" w:rsidP="005B6314">
            <w:pPr>
              <w:jc w:val="center"/>
              <w:rPr>
                <w:color w:val="000000" w:themeColor="text1"/>
                <w:sz w:val="20"/>
                <w:szCs w:val="20"/>
              </w:rPr>
            </w:pPr>
            <w:r w:rsidRPr="00B67F80">
              <w:rPr>
                <w:color w:val="000000" w:themeColor="text1"/>
                <w:sz w:val="20"/>
                <w:szCs w:val="20"/>
              </w:rPr>
              <w:t>1.0</w:t>
            </w:r>
          </w:p>
        </w:tc>
        <w:tc>
          <w:tcPr>
            <w:tcW w:w="896" w:type="dxa"/>
            <w:vAlign w:val="center"/>
          </w:tcPr>
          <w:p w14:paraId="15501679" w14:textId="60E2FF87" w:rsidR="005B6314" w:rsidRPr="00B67F80" w:rsidRDefault="000E25B1" w:rsidP="005B6314">
            <w:pPr>
              <w:jc w:val="center"/>
              <w:rPr>
                <w:color w:val="000000" w:themeColor="text1"/>
                <w:sz w:val="20"/>
                <w:szCs w:val="20"/>
              </w:rPr>
            </w:pPr>
            <w:r w:rsidRPr="00B67F80">
              <w:rPr>
                <w:color w:val="000000" w:themeColor="text1"/>
                <w:sz w:val="20"/>
                <w:szCs w:val="20"/>
              </w:rPr>
              <w:t>1.0</w:t>
            </w:r>
          </w:p>
        </w:tc>
        <w:tc>
          <w:tcPr>
            <w:tcW w:w="896" w:type="dxa"/>
            <w:vAlign w:val="center"/>
          </w:tcPr>
          <w:p w14:paraId="3C7AD0BC" w14:textId="60A09AB8" w:rsidR="005B6314" w:rsidRPr="00B67F80" w:rsidRDefault="000E25B1" w:rsidP="005B6314">
            <w:pPr>
              <w:jc w:val="center"/>
              <w:rPr>
                <w:color w:val="000000" w:themeColor="text1"/>
                <w:sz w:val="20"/>
                <w:szCs w:val="20"/>
              </w:rPr>
            </w:pPr>
            <w:r w:rsidRPr="00B67F80">
              <w:rPr>
                <w:color w:val="000000" w:themeColor="text1"/>
                <w:sz w:val="20"/>
                <w:szCs w:val="20"/>
              </w:rPr>
              <w:t>0.37</w:t>
            </w:r>
          </w:p>
        </w:tc>
      </w:tr>
      <w:tr w:rsidR="005B6314" w:rsidRPr="00B67F80" w14:paraId="07C31337" w14:textId="77777777" w:rsidTr="00EB3E6A">
        <w:trPr>
          <w:jc w:val="center"/>
        </w:trPr>
        <w:tc>
          <w:tcPr>
            <w:tcW w:w="1296" w:type="dxa"/>
            <w:vAlign w:val="center"/>
          </w:tcPr>
          <w:p w14:paraId="4467CE36" w14:textId="77777777" w:rsidR="005B6314" w:rsidRPr="00B67F80" w:rsidRDefault="005B6314" w:rsidP="005B6314">
            <w:pPr>
              <w:jc w:val="center"/>
              <w:rPr>
                <w:color w:val="000000" w:themeColor="text1"/>
                <w:sz w:val="20"/>
                <w:szCs w:val="20"/>
              </w:rPr>
            </w:pPr>
            <w:r w:rsidRPr="00B67F80">
              <w:rPr>
                <w:color w:val="000000" w:themeColor="text1"/>
                <w:sz w:val="20"/>
                <w:szCs w:val="20"/>
              </w:rPr>
              <w:t>Trend</w:t>
            </w:r>
          </w:p>
          <w:p w14:paraId="5D5EB865" w14:textId="77777777" w:rsidR="005B6314" w:rsidRPr="00B67F80" w:rsidRDefault="005B6314" w:rsidP="005B6314">
            <w:pPr>
              <w:jc w:val="center"/>
              <w:rPr>
                <w:color w:val="000000" w:themeColor="text1"/>
                <w:sz w:val="20"/>
                <w:szCs w:val="20"/>
              </w:rPr>
            </w:pPr>
            <w:r w:rsidRPr="00B67F80">
              <w:rPr>
                <w:color w:val="000000" w:themeColor="text1"/>
                <w:sz w:val="20"/>
                <w:szCs w:val="20"/>
              </w:rPr>
              <w:t>(Wm</w:t>
            </w:r>
            <w:r w:rsidRPr="00B67F80">
              <w:rPr>
                <w:color w:val="000000" w:themeColor="text1"/>
                <w:sz w:val="20"/>
                <w:szCs w:val="20"/>
                <w:vertAlign w:val="superscript"/>
              </w:rPr>
              <w:t>-2</w:t>
            </w:r>
            <w:r w:rsidRPr="00B67F80">
              <w:rPr>
                <w:color w:val="000000" w:themeColor="text1"/>
                <w:sz w:val="20"/>
                <w:szCs w:val="20"/>
              </w:rPr>
              <w:t xml:space="preserve"> dec</w:t>
            </w:r>
            <w:r w:rsidRPr="00B67F80">
              <w:rPr>
                <w:color w:val="000000" w:themeColor="text1"/>
                <w:sz w:val="20"/>
                <w:szCs w:val="20"/>
                <w:vertAlign w:val="superscript"/>
              </w:rPr>
              <w:t>-1</w:t>
            </w:r>
            <w:r w:rsidRPr="00B67F80">
              <w:rPr>
                <w:color w:val="000000" w:themeColor="text1"/>
                <w:sz w:val="20"/>
                <w:szCs w:val="20"/>
              </w:rPr>
              <w:t>)</w:t>
            </w:r>
          </w:p>
        </w:tc>
        <w:tc>
          <w:tcPr>
            <w:tcW w:w="895" w:type="dxa"/>
            <w:vAlign w:val="center"/>
          </w:tcPr>
          <w:p w14:paraId="228264B7" w14:textId="027C312B" w:rsidR="005B6314" w:rsidRPr="00B67F80" w:rsidRDefault="005B6314" w:rsidP="005B6314">
            <w:pPr>
              <w:jc w:val="center"/>
              <w:rPr>
                <w:color w:val="000000" w:themeColor="text1"/>
                <w:sz w:val="20"/>
                <w:szCs w:val="20"/>
              </w:rPr>
            </w:pPr>
            <w:r w:rsidRPr="00B67F80">
              <w:rPr>
                <w:color w:val="000000" w:themeColor="text1"/>
                <w:sz w:val="20"/>
                <w:szCs w:val="20"/>
              </w:rPr>
              <w:t>-</w:t>
            </w:r>
          </w:p>
        </w:tc>
        <w:tc>
          <w:tcPr>
            <w:tcW w:w="895" w:type="dxa"/>
            <w:vAlign w:val="center"/>
          </w:tcPr>
          <w:p w14:paraId="69CC1F0C" w14:textId="2F78612C" w:rsidR="005B6314" w:rsidRPr="00B67F80" w:rsidRDefault="005B6314" w:rsidP="005B6314">
            <w:pPr>
              <w:jc w:val="center"/>
              <w:rPr>
                <w:color w:val="000000" w:themeColor="text1"/>
                <w:sz w:val="20"/>
                <w:szCs w:val="20"/>
              </w:rPr>
            </w:pPr>
            <w:r w:rsidRPr="00B67F80">
              <w:rPr>
                <w:color w:val="000000" w:themeColor="text1"/>
                <w:sz w:val="20"/>
                <w:szCs w:val="20"/>
              </w:rPr>
              <w:t>-</w:t>
            </w:r>
          </w:p>
        </w:tc>
        <w:tc>
          <w:tcPr>
            <w:tcW w:w="896" w:type="dxa"/>
            <w:vAlign w:val="center"/>
          </w:tcPr>
          <w:p w14:paraId="04A7735F" w14:textId="7B8EC715" w:rsidR="005B6314" w:rsidRPr="00B67F80" w:rsidRDefault="005B6314" w:rsidP="005B6314">
            <w:pPr>
              <w:jc w:val="center"/>
              <w:rPr>
                <w:color w:val="000000" w:themeColor="text1"/>
                <w:sz w:val="20"/>
                <w:szCs w:val="20"/>
              </w:rPr>
            </w:pPr>
            <w:r w:rsidRPr="00B67F80">
              <w:rPr>
                <w:color w:val="000000" w:themeColor="text1"/>
                <w:sz w:val="20"/>
                <w:szCs w:val="20"/>
              </w:rPr>
              <w:t>-</w:t>
            </w:r>
          </w:p>
        </w:tc>
        <w:tc>
          <w:tcPr>
            <w:tcW w:w="929" w:type="dxa"/>
            <w:vAlign w:val="center"/>
          </w:tcPr>
          <w:p w14:paraId="4243E2AB" w14:textId="77777777" w:rsidR="005B6314" w:rsidRPr="00B67F80" w:rsidRDefault="005B6314" w:rsidP="005B6314">
            <w:pPr>
              <w:jc w:val="center"/>
              <w:rPr>
                <w:color w:val="000000" w:themeColor="text1"/>
                <w:sz w:val="20"/>
                <w:szCs w:val="20"/>
              </w:rPr>
            </w:pPr>
            <w:r w:rsidRPr="00B67F80">
              <w:rPr>
                <w:color w:val="000000" w:themeColor="text1"/>
                <w:sz w:val="20"/>
                <w:szCs w:val="20"/>
              </w:rPr>
              <w:t>0.11</w:t>
            </w:r>
          </w:p>
          <w:p w14:paraId="0746200D" w14:textId="415BA1E6" w:rsidR="005B6314" w:rsidRPr="00B67F80" w:rsidRDefault="005B6314" w:rsidP="005B6314">
            <w:pPr>
              <w:jc w:val="center"/>
              <w:rPr>
                <w:color w:val="000000" w:themeColor="text1"/>
                <w:sz w:val="20"/>
                <w:szCs w:val="20"/>
              </w:rPr>
            </w:pPr>
            <w:r w:rsidRPr="00B67F80">
              <w:rPr>
                <w:color w:val="000000" w:themeColor="text1"/>
                <w:sz w:val="20"/>
                <w:szCs w:val="20"/>
              </w:rPr>
              <w:t>(1.6)</w:t>
            </w:r>
          </w:p>
        </w:tc>
        <w:tc>
          <w:tcPr>
            <w:tcW w:w="896" w:type="dxa"/>
            <w:vAlign w:val="center"/>
          </w:tcPr>
          <w:p w14:paraId="735EBDFB" w14:textId="77777777" w:rsidR="005B6314" w:rsidRPr="00B67F80" w:rsidRDefault="005B6314" w:rsidP="005B6314">
            <w:pPr>
              <w:jc w:val="center"/>
              <w:rPr>
                <w:color w:val="000000" w:themeColor="text1"/>
                <w:sz w:val="20"/>
                <w:szCs w:val="20"/>
              </w:rPr>
            </w:pPr>
            <w:r w:rsidRPr="00B67F80">
              <w:rPr>
                <w:color w:val="000000" w:themeColor="text1"/>
                <w:sz w:val="20"/>
                <w:szCs w:val="20"/>
              </w:rPr>
              <w:t>0.74</w:t>
            </w:r>
          </w:p>
          <w:p w14:paraId="79CACC66" w14:textId="14AB46B0" w:rsidR="005B6314" w:rsidRPr="00B67F80" w:rsidRDefault="005B6314" w:rsidP="005B6314">
            <w:pPr>
              <w:jc w:val="center"/>
              <w:rPr>
                <w:color w:val="000000" w:themeColor="text1"/>
                <w:sz w:val="20"/>
                <w:szCs w:val="20"/>
              </w:rPr>
            </w:pPr>
            <w:r w:rsidRPr="00B67F80">
              <w:rPr>
                <w:color w:val="000000" w:themeColor="text1"/>
                <w:sz w:val="20"/>
                <w:szCs w:val="20"/>
              </w:rPr>
              <w:t>(1.6)</w:t>
            </w:r>
          </w:p>
        </w:tc>
        <w:tc>
          <w:tcPr>
            <w:tcW w:w="896" w:type="dxa"/>
            <w:vAlign w:val="center"/>
          </w:tcPr>
          <w:p w14:paraId="09C39533" w14:textId="77777777" w:rsidR="005B6314" w:rsidRPr="00B67F80" w:rsidRDefault="005B6314" w:rsidP="005B6314">
            <w:pPr>
              <w:jc w:val="center"/>
              <w:rPr>
                <w:color w:val="000000" w:themeColor="text1"/>
                <w:sz w:val="20"/>
                <w:szCs w:val="20"/>
              </w:rPr>
            </w:pPr>
            <w:r w:rsidRPr="00B67F80">
              <w:rPr>
                <w:color w:val="000000" w:themeColor="text1"/>
                <w:sz w:val="20"/>
                <w:szCs w:val="20"/>
              </w:rPr>
              <w:t>0.42</w:t>
            </w:r>
          </w:p>
          <w:p w14:paraId="355117FB" w14:textId="2F3F6F0A" w:rsidR="005B6314" w:rsidRPr="00B67F80" w:rsidRDefault="005B6314" w:rsidP="005B6314">
            <w:pPr>
              <w:jc w:val="center"/>
              <w:rPr>
                <w:color w:val="000000" w:themeColor="text1"/>
                <w:sz w:val="20"/>
                <w:szCs w:val="20"/>
              </w:rPr>
            </w:pPr>
            <w:r w:rsidRPr="00B67F80">
              <w:rPr>
                <w:color w:val="000000" w:themeColor="text1"/>
                <w:sz w:val="20"/>
                <w:szCs w:val="20"/>
              </w:rPr>
              <w:t>(0.44)</w:t>
            </w:r>
          </w:p>
        </w:tc>
      </w:tr>
    </w:tbl>
    <w:p w14:paraId="61178CF3" w14:textId="77777777" w:rsidR="00B67F80" w:rsidRPr="00B67F80" w:rsidRDefault="00B67F80">
      <w:pPr>
        <w:rPr>
          <w:color w:val="000000" w:themeColor="text1"/>
          <w:sz w:val="20"/>
          <w:szCs w:val="20"/>
        </w:rPr>
      </w:pPr>
    </w:p>
    <w:sectPr w:rsidR="00B67F80" w:rsidRPr="00B67F80" w:rsidSect="005A06C9">
      <w:footerReference w:type="even" r:id="rId27"/>
      <w:footerReference w:type="default" r:id="rId2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154C" w14:textId="77777777" w:rsidR="00B2465B" w:rsidRDefault="00B2465B" w:rsidP="00962E91">
      <w:r>
        <w:separator/>
      </w:r>
    </w:p>
  </w:endnote>
  <w:endnote w:type="continuationSeparator" w:id="0">
    <w:p w14:paraId="6AC4FBFB" w14:textId="77777777" w:rsidR="00B2465B" w:rsidRDefault="00B2465B" w:rsidP="0096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400512"/>
      <w:docPartObj>
        <w:docPartGallery w:val="Page Numbers (Bottom of Page)"/>
        <w:docPartUnique/>
      </w:docPartObj>
    </w:sdtPr>
    <w:sdtEndPr>
      <w:rPr>
        <w:rStyle w:val="PageNumber"/>
      </w:rPr>
    </w:sdtEndPr>
    <w:sdtContent>
      <w:p w14:paraId="1291D01C" w14:textId="77777777" w:rsidR="00BA3756" w:rsidRDefault="00BA3756" w:rsidP="008740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98B86" w14:textId="77777777" w:rsidR="00BA3756" w:rsidRDefault="00BA3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388719"/>
      <w:docPartObj>
        <w:docPartGallery w:val="Page Numbers (Bottom of Page)"/>
        <w:docPartUnique/>
      </w:docPartObj>
    </w:sdtPr>
    <w:sdtEndPr>
      <w:rPr>
        <w:rStyle w:val="PageNumber"/>
      </w:rPr>
    </w:sdtEndPr>
    <w:sdtContent>
      <w:p w14:paraId="2428426F" w14:textId="77777777" w:rsidR="00BA3756" w:rsidRDefault="00BA3756" w:rsidP="008740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26316">
          <w:rPr>
            <w:rStyle w:val="PageNumber"/>
            <w:noProof/>
          </w:rPr>
          <w:t>31</w:t>
        </w:r>
        <w:r>
          <w:rPr>
            <w:rStyle w:val="PageNumber"/>
          </w:rPr>
          <w:fldChar w:fldCharType="end"/>
        </w:r>
      </w:p>
    </w:sdtContent>
  </w:sdt>
  <w:p w14:paraId="378972CB" w14:textId="77777777" w:rsidR="00BA3756" w:rsidRDefault="00BA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96BB" w14:textId="77777777" w:rsidR="00B2465B" w:rsidRDefault="00B2465B" w:rsidP="00962E91">
      <w:r>
        <w:separator/>
      </w:r>
    </w:p>
  </w:footnote>
  <w:footnote w:type="continuationSeparator" w:id="0">
    <w:p w14:paraId="14323928" w14:textId="77777777" w:rsidR="00B2465B" w:rsidRDefault="00B2465B" w:rsidP="00962E91">
      <w:r>
        <w:continuationSeparator/>
      </w:r>
    </w:p>
  </w:footnote>
  <w:footnote w:id="1">
    <w:p w14:paraId="52E47D13" w14:textId="77777777" w:rsidR="00BA3756" w:rsidRPr="00A73207" w:rsidRDefault="00BA3756" w:rsidP="00A73207">
      <w:pPr>
        <w:pStyle w:val="FootnoteText"/>
        <w:rPr>
          <w:rFonts w:ascii="Times New Roman" w:hAnsi="Times New Roman" w:cs="Times New Roman"/>
        </w:rPr>
      </w:pPr>
      <w:r w:rsidRPr="00A73207">
        <w:rPr>
          <w:rFonts w:ascii="Times New Roman" w:hAnsi="Times New Roman" w:cs="Times New Roman"/>
        </w:rPr>
        <w:t>* Corresponding Author: Norman G. Loeb, norman.g.loeb@nasa.gov; NASA Langley Research Center, Hampton, VA 21 Langley Boulevard, Hampton, VA 23681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60"/>
    <w:multiLevelType w:val="hybridMultilevel"/>
    <w:tmpl w:val="C3B0E298"/>
    <w:lvl w:ilvl="0" w:tplc="04090001">
      <w:start w:val="1"/>
      <w:numFmt w:val="bullet"/>
      <w:lvlText w:val=""/>
      <w:lvlJc w:val="left"/>
      <w:pPr>
        <w:ind w:left="3654" w:hanging="360"/>
      </w:pPr>
      <w:rPr>
        <w:rFonts w:ascii="Symbol" w:hAnsi="Symbol" w:hint="default"/>
      </w:rPr>
    </w:lvl>
    <w:lvl w:ilvl="1" w:tplc="04090003" w:tentative="1">
      <w:start w:val="1"/>
      <w:numFmt w:val="bullet"/>
      <w:lvlText w:val="o"/>
      <w:lvlJc w:val="left"/>
      <w:pPr>
        <w:ind w:left="4374" w:hanging="360"/>
      </w:pPr>
      <w:rPr>
        <w:rFonts w:ascii="Courier New" w:hAnsi="Courier New" w:cs="Courier New" w:hint="default"/>
      </w:rPr>
    </w:lvl>
    <w:lvl w:ilvl="2" w:tplc="04090005" w:tentative="1">
      <w:start w:val="1"/>
      <w:numFmt w:val="bullet"/>
      <w:lvlText w:val=""/>
      <w:lvlJc w:val="left"/>
      <w:pPr>
        <w:ind w:left="5094" w:hanging="360"/>
      </w:pPr>
      <w:rPr>
        <w:rFonts w:ascii="Wingdings" w:hAnsi="Wingdings" w:hint="default"/>
      </w:rPr>
    </w:lvl>
    <w:lvl w:ilvl="3" w:tplc="04090001" w:tentative="1">
      <w:start w:val="1"/>
      <w:numFmt w:val="bullet"/>
      <w:lvlText w:val=""/>
      <w:lvlJc w:val="left"/>
      <w:pPr>
        <w:ind w:left="5814" w:hanging="360"/>
      </w:pPr>
      <w:rPr>
        <w:rFonts w:ascii="Symbol" w:hAnsi="Symbol" w:hint="default"/>
      </w:rPr>
    </w:lvl>
    <w:lvl w:ilvl="4" w:tplc="04090003" w:tentative="1">
      <w:start w:val="1"/>
      <w:numFmt w:val="bullet"/>
      <w:lvlText w:val="o"/>
      <w:lvlJc w:val="left"/>
      <w:pPr>
        <w:ind w:left="6534" w:hanging="360"/>
      </w:pPr>
      <w:rPr>
        <w:rFonts w:ascii="Courier New" w:hAnsi="Courier New" w:cs="Courier New" w:hint="default"/>
      </w:rPr>
    </w:lvl>
    <w:lvl w:ilvl="5" w:tplc="04090005" w:tentative="1">
      <w:start w:val="1"/>
      <w:numFmt w:val="bullet"/>
      <w:lvlText w:val=""/>
      <w:lvlJc w:val="left"/>
      <w:pPr>
        <w:ind w:left="7254" w:hanging="360"/>
      </w:pPr>
      <w:rPr>
        <w:rFonts w:ascii="Wingdings" w:hAnsi="Wingdings" w:hint="default"/>
      </w:rPr>
    </w:lvl>
    <w:lvl w:ilvl="6" w:tplc="04090001" w:tentative="1">
      <w:start w:val="1"/>
      <w:numFmt w:val="bullet"/>
      <w:lvlText w:val=""/>
      <w:lvlJc w:val="left"/>
      <w:pPr>
        <w:ind w:left="7974" w:hanging="360"/>
      </w:pPr>
      <w:rPr>
        <w:rFonts w:ascii="Symbol" w:hAnsi="Symbol" w:hint="default"/>
      </w:rPr>
    </w:lvl>
    <w:lvl w:ilvl="7" w:tplc="04090003" w:tentative="1">
      <w:start w:val="1"/>
      <w:numFmt w:val="bullet"/>
      <w:lvlText w:val="o"/>
      <w:lvlJc w:val="left"/>
      <w:pPr>
        <w:ind w:left="8694" w:hanging="360"/>
      </w:pPr>
      <w:rPr>
        <w:rFonts w:ascii="Courier New" w:hAnsi="Courier New" w:cs="Courier New" w:hint="default"/>
      </w:rPr>
    </w:lvl>
    <w:lvl w:ilvl="8" w:tplc="04090005" w:tentative="1">
      <w:start w:val="1"/>
      <w:numFmt w:val="bullet"/>
      <w:lvlText w:val=""/>
      <w:lvlJc w:val="left"/>
      <w:pPr>
        <w:ind w:left="9414" w:hanging="360"/>
      </w:pPr>
      <w:rPr>
        <w:rFonts w:ascii="Wingdings" w:hAnsi="Wingdings" w:hint="default"/>
      </w:rPr>
    </w:lvl>
  </w:abstractNum>
  <w:abstractNum w:abstractNumId="1" w15:restartNumberingAfterBreak="0">
    <w:nsid w:val="0B782BB6"/>
    <w:multiLevelType w:val="multilevel"/>
    <w:tmpl w:val="4BFED3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825786"/>
    <w:multiLevelType w:val="hybridMultilevel"/>
    <w:tmpl w:val="E4AC5F0A"/>
    <w:lvl w:ilvl="0" w:tplc="96EEA5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B6DE7"/>
    <w:multiLevelType w:val="multilevel"/>
    <w:tmpl w:val="1AFA6F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9F21B7"/>
    <w:multiLevelType w:val="multilevel"/>
    <w:tmpl w:val="59C2D3C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D0627"/>
    <w:multiLevelType w:val="multilevel"/>
    <w:tmpl w:val="7E1EB97A"/>
    <w:lvl w:ilvl="0">
      <w:start w:val="3"/>
      <w:numFmt w:val="decimal"/>
      <w:lvlText w:val="%1.0"/>
      <w:lvlJc w:val="left"/>
      <w:pPr>
        <w:ind w:left="360" w:hanging="360"/>
      </w:pPr>
      <w:rPr>
        <w:rFonts w:hint="default"/>
      </w:rPr>
    </w:lvl>
    <w:lvl w:ilvl="1">
      <w:start w:val="1"/>
      <w:numFmt w:val="decimal"/>
      <w:lvlText w:val="%1.%2"/>
      <w:lvlJc w:val="left"/>
      <w:pPr>
        <w:ind w:left="27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66C2F"/>
    <w:multiLevelType w:val="multilevel"/>
    <w:tmpl w:val="2E2A8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D22CB3"/>
    <w:multiLevelType w:val="multilevel"/>
    <w:tmpl w:val="7610C1D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D83DD6"/>
    <w:multiLevelType w:val="multilevel"/>
    <w:tmpl w:val="E75080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0C2415"/>
    <w:multiLevelType w:val="multilevel"/>
    <w:tmpl w:val="1AFA6F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BE7C1D"/>
    <w:multiLevelType w:val="hybridMultilevel"/>
    <w:tmpl w:val="C96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5B3B"/>
    <w:multiLevelType w:val="hybridMultilevel"/>
    <w:tmpl w:val="7E72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C2BB9"/>
    <w:multiLevelType w:val="multilevel"/>
    <w:tmpl w:val="1EF03A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0460DE"/>
    <w:multiLevelType w:val="hybridMultilevel"/>
    <w:tmpl w:val="5A804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73DAA"/>
    <w:multiLevelType w:val="hybridMultilevel"/>
    <w:tmpl w:val="20024EDC"/>
    <w:lvl w:ilvl="0" w:tplc="6AD874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E75BB"/>
    <w:multiLevelType w:val="hybridMultilevel"/>
    <w:tmpl w:val="E750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537F7"/>
    <w:multiLevelType w:val="multilevel"/>
    <w:tmpl w:val="A072A3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C9487F"/>
    <w:multiLevelType w:val="hybridMultilevel"/>
    <w:tmpl w:val="FFF04560"/>
    <w:lvl w:ilvl="0" w:tplc="AE0ECF5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F2940"/>
    <w:multiLevelType w:val="hybridMultilevel"/>
    <w:tmpl w:val="A7C0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781156">
    <w:abstractNumId w:val="16"/>
  </w:num>
  <w:num w:numId="2" w16cid:durableId="1659921895">
    <w:abstractNumId w:val="9"/>
  </w:num>
  <w:num w:numId="3" w16cid:durableId="739905031">
    <w:abstractNumId w:val="0"/>
  </w:num>
  <w:num w:numId="4" w16cid:durableId="1839882559">
    <w:abstractNumId w:val="10"/>
  </w:num>
  <w:num w:numId="5" w16cid:durableId="1282608473">
    <w:abstractNumId w:val="3"/>
  </w:num>
  <w:num w:numId="6" w16cid:durableId="2142115841">
    <w:abstractNumId w:val="1"/>
  </w:num>
  <w:num w:numId="7" w16cid:durableId="1396275774">
    <w:abstractNumId w:val="15"/>
  </w:num>
  <w:num w:numId="8" w16cid:durableId="1894730795">
    <w:abstractNumId w:val="13"/>
  </w:num>
  <w:num w:numId="9" w16cid:durableId="208608657">
    <w:abstractNumId w:val="14"/>
  </w:num>
  <w:num w:numId="10" w16cid:durableId="829176764">
    <w:abstractNumId w:val="11"/>
  </w:num>
  <w:num w:numId="11" w16cid:durableId="1568489371">
    <w:abstractNumId w:val="18"/>
  </w:num>
  <w:num w:numId="12" w16cid:durableId="2036689130">
    <w:abstractNumId w:val="7"/>
  </w:num>
  <w:num w:numId="13" w16cid:durableId="1112869897">
    <w:abstractNumId w:val="19"/>
  </w:num>
  <w:num w:numId="14" w16cid:durableId="1655453260">
    <w:abstractNumId w:val="17"/>
  </w:num>
  <w:num w:numId="15" w16cid:durableId="1961715681">
    <w:abstractNumId w:val="2"/>
  </w:num>
  <w:num w:numId="16" w16cid:durableId="1147622818">
    <w:abstractNumId w:val="4"/>
  </w:num>
  <w:num w:numId="17" w16cid:durableId="995643431">
    <w:abstractNumId w:val="8"/>
  </w:num>
  <w:num w:numId="18" w16cid:durableId="1409956865">
    <w:abstractNumId w:val="5"/>
  </w:num>
  <w:num w:numId="19" w16cid:durableId="336616044">
    <w:abstractNumId w:val="12"/>
  </w:num>
  <w:num w:numId="20" w16cid:durableId="60911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89"/>
    <w:rsid w:val="00000863"/>
    <w:rsid w:val="000009AB"/>
    <w:rsid w:val="00001570"/>
    <w:rsid w:val="0000161F"/>
    <w:rsid w:val="000016D6"/>
    <w:rsid w:val="00001FF4"/>
    <w:rsid w:val="000036EE"/>
    <w:rsid w:val="00003A36"/>
    <w:rsid w:val="00004298"/>
    <w:rsid w:val="00004925"/>
    <w:rsid w:val="00004F2C"/>
    <w:rsid w:val="00005E84"/>
    <w:rsid w:val="000073EA"/>
    <w:rsid w:val="0000742B"/>
    <w:rsid w:val="00007DD8"/>
    <w:rsid w:val="00010C6E"/>
    <w:rsid w:val="00010FA3"/>
    <w:rsid w:val="000114A3"/>
    <w:rsid w:val="00012C34"/>
    <w:rsid w:val="00013BED"/>
    <w:rsid w:val="00015EDE"/>
    <w:rsid w:val="0001605F"/>
    <w:rsid w:val="00016384"/>
    <w:rsid w:val="00021A13"/>
    <w:rsid w:val="00022F49"/>
    <w:rsid w:val="000233A3"/>
    <w:rsid w:val="000249FA"/>
    <w:rsid w:val="00025750"/>
    <w:rsid w:val="00025D4D"/>
    <w:rsid w:val="00027527"/>
    <w:rsid w:val="0002788B"/>
    <w:rsid w:val="00030B0D"/>
    <w:rsid w:val="00031DCB"/>
    <w:rsid w:val="00031E18"/>
    <w:rsid w:val="00035CE8"/>
    <w:rsid w:val="00036A96"/>
    <w:rsid w:val="0003772D"/>
    <w:rsid w:val="000418E2"/>
    <w:rsid w:val="0004308F"/>
    <w:rsid w:val="00043821"/>
    <w:rsid w:val="00045558"/>
    <w:rsid w:val="00046B54"/>
    <w:rsid w:val="0005044D"/>
    <w:rsid w:val="0005047C"/>
    <w:rsid w:val="000522D4"/>
    <w:rsid w:val="00052B1D"/>
    <w:rsid w:val="0005398E"/>
    <w:rsid w:val="000555A5"/>
    <w:rsid w:val="00056114"/>
    <w:rsid w:val="000562A1"/>
    <w:rsid w:val="000570CB"/>
    <w:rsid w:val="00057E10"/>
    <w:rsid w:val="00060297"/>
    <w:rsid w:val="00060312"/>
    <w:rsid w:val="00060947"/>
    <w:rsid w:val="00063887"/>
    <w:rsid w:val="00064B66"/>
    <w:rsid w:val="0006740F"/>
    <w:rsid w:val="00067505"/>
    <w:rsid w:val="00070C41"/>
    <w:rsid w:val="000713C6"/>
    <w:rsid w:val="00071A1E"/>
    <w:rsid w:val="000722E3"/>
    <w:rsid w:val="00073CE0"/>
    <w:rsid w:val="00075AE5"/>
    <w:rsid w:val="00075BA5"/>
    <w:rsid w:val="00076307"/>
    <w:rsid w:val="000775C1"/>
    <w:rsid w:val="0007794E"/>
    <w:rsid w:val="00080723"/>
    <w:rsid w:val="00082BCC"/>
    <w:rsid w:val="000845CA"/>
    <w:rsid w:val="000862AE"/>
    <w:rsid w:val="000865A3"/>
    <w:rsid w:val="0009148C"/>
    <w:rsid w:val="00091D2D"/>
    <w:rsid w:val="0009445E"/>
    <w:rsid w:val="00094E42"/>
    <w:rsid w:val="000952C0"/>
    <w:rsid w:val="00095B2C"/>
    <w:rsid w:val="00096804"/>
    <w:rsid w:val="000972B4"/>
    <w:rsid w:val="000A1C9C"/>
    <w:rsid w:val="000A363A"/>
    <w:rsid w:val="000A3B8F"/>
    <w:rsid w:val="000A437F"/>
    <w:rsid w:val="000A466C"/>
    <w:rsid w:val="000A58DB"/>
    <w:rsid w:val="000A70C8"/>
    <w:rsid w:val="000A7CFD"/>
    <w:rsid w:val="000B0093"/>
    <w:rsid w:val="000B0AE4"/>
    <w:rsid w:val="000B0B1D"/>
    <w:rsid w:val="000B10ED"/>
    <w:rsid w:val="000B17AD"/>
    <w:rsid w:val="000B1E84"/>
    <w:rsid w:val="000B2A04"/>
    <w:rsid w:val="000B40A4"/>
    <w:rsid w:val="000B577E"/>
    <w:rsid w:val="000B5DF0"/>
    <w:rsid w:val="000B7CAB"/>
    <w:rsid w:val="000C00C0"/>
    <w:rsid w:val="000C13D9"/>
    <w:rsid w:val="000C21D2"/>
    <w:rsid w:val="000C38FE"/>
    <w:rsid w:val="000D07E5"/>
    <w:rsid w:val="000D196B"/>
    <w:rsid w:val="000D25ED"/>
    <w:rsid w:val="000D2806"/>
    <w:rsid w:val="000D2B4D"/>
    <w:rsid w:val="000D33C6"/>
    <w:rsid w:val="000D36F2"/>
    <w:rsid w:val="000D3741"/>
    <w:rsid w:val="000D56CA"/>
    <w:rsid w:val="000D5D43"/>
    <w:rsid w:val="000D5FD9"/>
    <w:rsid w:val="000E05AC"/>
    <w:rsid w:val="000E25B1"/>
    <w:rsid w:val="000E2D4E"/>
    <w:rsid w:val="000E37F4"/>
    <w:rsid w:val="000E39CE"/>
    <w:rsid w:val="000E6AC2"/>
    <w:rsid w:val="000E6C87"/>
    <w:rsid w:val="000E6E43"/>
    <w:rsid w:val="000E7256"/>
    <w:rsid w:val="000E7C6C"/>
    <w:rsid w:val="000E7FAC"/>
    <w:rsid w:val="000F0949"/>
    <w:rsid w:val="000F3559"/>
    <w:rsid w:val="000F38B5"/>
    <w:rsid w:val="000F3DBD"/>
    <w:rsid w:val="000F4561"/>
    <w:rsid w:val="000F49B1"/>
    <w:rsid w:val="000F515F"/>
    <w:rsid w:val="000F5737"/>
    <w:rsid w:val="000F5CDC"/>
    <w:rsid w:val="000F6700"/>
    <w:rsid w:val="00102269"/>
    <w:rsid w:val="00102CD4"/>
    <w:rsid w:val="00102EC0"/>
    <w:rsid w:val="0010349B"/>
    <w:rsid w:val="001053F5"/>
    <w:rsid w:val="0010553A"/>
    <w:rsid w:val="001070AC"/>
    <w:rsid w:val="00107997"/>
    <w:rsid w:val="00112844"/>
    <w:rsid w:val="001159E9"/>
    <w:rsid w:val="00115E7D"/>
    <w:rsid w:val="00115FBC"/>
    <w:rsid w:val="0011698E"/>
    <w:rsid w:val="00121A78"/>
    <w:rsid w:val="00123B7B"/>
    <w:rsid w:val="0012427E"/>
    <w:rsid w:val="00124D33"/>
    <w:rsid w:val="001250BE"/>
    <w:rsid w:val="00126206"/>
    <w:rsid w:val="00130739"/>
    <w:rsid w:val="00131765"/>
    <w:rsid w:val="00131E35"/>
    <w:rsid w:val="0013256D"/>
    <w:rsid w:val="00132D37"/>
    <w:rsid w:val="00135197"/>
    <w:rsid w:val="00135771"/>
    <w:rsid w:val="00135FCD"/>
    <w:rsid w:val="0013691E"/>
    <w:rsid w:val="00137596"/>
    <w:rsid w:val="00137EF5"/>
    <w:rsid w:val="00141385"/>
    <w:rsid w:val="001442F0"/>
    <w:rsid w:val="00144835"/>
    <w:rsid w:val="0014722C"/>
    <w:rsid w:val="001506F7"/>
    <w:rsid w:val="00151935"/>
    <w:rsid w:val="00152FCA"/>
    <w:rsid w:val="001532A1"/>
    <w:rsid w:val="00153DBE"/>
    <w:rsid w:val="001546CF"/>
    <w:rsid w:val="001549B7"/>
    <w:rsid w:val="00154B9D"/>
    <w:rsid w:val="00154DE4"/>
    <w:rsid w:val="001553A3"/>
    <w:rsid w:val="00156EDB"/>
    <w:rsid w:val="00164D89"/>
    <w:rsid w:val="001666AC"/>
    <w:rsid w:val="00171484"/>
    <w:rsid w:val="00171CD8"/>
    <w:rsid w:val="00172E99"/>
    <w:rsid w:val="00172FCF"/>
    <w:rsid w:val="00173F07"/>
    <w:rsid w:val="00175AA0"/>
    <w:rsid w:val="0017616E"/>
    <w:rsid w:val="00176B1A"/>
    <w:rsid w:val="00177577"/>
    <w:rsid w:val="00180117"/>
    <w:rsid w:val="0018246F"/>
    <w:rsid w:val="00182919"/>
    <w:rsid w:val="00183DDA"/>
    <w:rsid w:val="001852A6"/>
    <w:rsid w:val="00185352"/>
    <w:rsid w:val="001872E2"/>
    <w:rsid w:val="00191AC5"/>
    <w:rsid w:val="001925FF"/>
    <w:rsid w:val="00195074"/>
    <w:rsid w:val="001952B3"/>
    <w:rsid w:val="00195528"/>
    <w:rsid w:val="001972BC"/>
    <w:rsid w:val="0019734E"/>
    <w:rsid w:val="001A0D3E"/>
    <w:rsid w:val="001A1275"/>
    <w:rsid w:val="001A1EC5"/>
    <w:rsid w:val="001A35D0"/>
    <w:rsid w:val="001A37A1"/>
    <w:rsid w:val="001A3A8B"/>
    <w:rsid w:val="001A450E"/>
    <w:rsid w:val="001A48A7"/>
    <w:rsid w:val="001A5254"/>
    <w:rsid w:val="001A5900"/>
    <w:rsid w:val="001A6D30"/>
    <w:rsid w:val="001A7278"/>
    <w:rsid w:val="001A7E84"/>
    <w:rsid w:val="001B0A81"/>
    <w:rsid w:val="001B17D2"/>
    <w:rsid w:val="001B1B50"/>
    <w:rsid w:val="001B2C94"/>
    <w:rsid w:val="001B2D4D"/>
    <w:rsid w:val="001B384E"/>
    <w:rsid w:val="001B50DF"/>
    <w:rsid w:val="001B724D"/>
    <w:rsid w:val="001B7CCD"/>
    <w:rsid w:val="001C0DF0"/>
    <w:rsid w:val="001C18FA"/>
    <w:rsid w:val="001C27FE"/>
    <w:rsid w:val="001C5639"/>
    <w:rsid w:val="001C5B4A"/>
    <w:rsid w:val="001C5B55"/>
    <w:rsid w:val="001C61E3"/>
    <w:rsid w:val="001C6C1F"/>
    <w:rsid w:val="001D0D89"/>
    <w:rsid w:val="001D22E6"/>
    <w:rsid w:val="001D371B"/>
    <w:rsid w:val="001D3758"/>
    <w:rsid w:val="001D3A45"/>
    <w:rsid w:val="001D4DB2"/>
    <w:rsid w:val="001E0156"/>
    <w:rsid w:val="001E1387"/>
    <w:rsid w:val="001E1929"/>
    <w:rsid w:val="001E1ECE"/>
    <w:rsid w:val="001E2CDE"/>
    <w:rsid w:val="001E39E1"/>
    <w:rsid w:val="001E40DE"/>
    <w:rsid w:val="001E551D"/>
    <w:rsid w:val="001E7069"/>
    <w:rsid w:val="001E710E"/>
    <w:rsid w:val="001E71BB"/>
    <w:rsid w:val="001E7569"/>
    <w:rsid w:val="001F13DC"/>
    <w:rsid w:val="001F1AAF"/>
    <w:rsid w:val="001F6168"/>
    <w:rsid w:val="001F75B1"/>
    <w:rsid w:val="00200717"/>
    <w:rsid w:val="0020100E"/>
    <w:rsid w:val="00203A0D"/>
    <w:rsid w:val="002049C5"/>
    <w:rsid w:val="00205162"/>
    <w:rsid w:val="00207A06"/>
    <w:rsid w:val="002108B1"/>
    <w:rsid w:val="00211187"/>
    <w:rsid w:val="00212293"/>
    <w:rsid w:val="002124E2"/>
    <w:rsid w:val="002128BE"/>
    <w:rsid w:val="002148CA"/>
    <w:rsid w:val="00216100"/>
    <w:rsid w:val="00217E1C"/>
    <w:rsid w:val="00220471"/>
    <w:rsid w:val="00221FF0"/>
    <w:rsid w:val="00224321"/>
    <w:rsid w:val="002243F2"/>
    <w:rsid w:val="002245C6"/>
    <w:rsid w:val="00224D66"/>
    <w:rsid w:val="00225E05"/>
    <w:rsid w:val="0023018B"/>
    <w:rsid w:val="002302A7"/>
    <w:rsid w:val="00230AE8"/>
    <w:rsid w:val="00232E4B"/>
    <w:rsid w:val="00233E9A"/>
    <w:rsid w:val="00234C6A"/>
    <w:rsid w:val="0023516E"/>
    <w:rsid w:val="00235F5C"/>
    <w:rsid w:val="00236A15"/>
    <w:rsid w:val="00237F3B"/>
    <w:rsid w:val="0024070F"/>
    <w:rsid w:val="00241404"/>
    <w:rsid w:val="00241F5B"/>
    <w:rsid w:val="00242184"/>
    <w:rsid w:val="0024272D"/>
    <w:rsid w:val="0024295A"/>
    <w:rsid w:val="00243AC8"/>
    <w:rsid w:val="002467DB"/>
    <w:rsid w:val="0025029F"/>
    <w:rsid w:val="00250FF7"/>
    <w:rsid w:val="002524B6"/>
    <w:rsid w:val="002525A4"/>
    <w:rsid w:val="00252D3D"/>
    <w:rsid w:val="00253E12"/>
    <w:rsid w:val="0025420E"/>
    <w:rsid w:val="002545B5"/>
    <w:rsid w:val="0025563B"/>
    <w:rsid w:val="0025622B"/>
    <w:rsid w:val="00256DBD"/>
    <w:rsid w:val="00257D27"/>
    <w:rsid w:val="00257DC5"/>
    <w:rsid w:val="00257F8B"/>
    <w:rsid w:val="00257FC5"/>
    <w:rsid w:val="002600D2"/>
    <w:rsid w:val="00260196"/>
    <w:rsid w:val="002616C9"/>
    <w:rsid w:val="002622F7"/>
    <w:rsid w:val="00262591"/>
    <w:rsid w:val="00263123"/>
    <w:rsid w:val="002634B6"/>
    <w:rsid w:val="00263C36"/>
    <w:rsid w:val="002643DB"/>
    <w:rsid w:val="00265589"/>
    <w:rsid w:val="002660D8"/>
    <w:rsid w:val="0026664D"/>
    <w:rsid w:val="0026696E"/>
    <w:rsid w:val="00272802"/>
    <w:rsid w:val="00272C35"/>
    <w:rsid w:val="00272F5B"/>
    <w:rsid w:val="002730AE"/>
    <w:rsid w:val="002731D0"/>
    <w:rsid w:val="00273322"/>
    <w:rsid w:val="00273995"/>
    <w:rsid w:val="002748F9"/>
    <w:rsid w:val="002758BD"/>
    <w:rsid w:val="00280CFE"/>
    <w:rsid w:val="00282A47"/>
    <w:rsid w:val="00284D04"/>
    <w:rsid w:val="00286B8D"/>
    <w:rsid w:val="00287038"/>
    <w:rsid w:val="0029028C"/>
    <w:rsid w:val="0029032B"/>
    <w:rsid w:val="002906E7"/>
    <w:rsid w:val="0029080C"/>
    <w:rsid w:val="00290BD2"/>
    <w:rsid w:val="00290EFD"/>
    <w:rsid w:val="00291010"/>
    <w:rsid w:val="00295629"/>
    <w:rsid w:val="002A0517"/>
    <w:rsid w:val="002A2952"/>
    <w:rsid w:val="002A2A06"/>
    <w:rsid w:val="002A2B22"/>
    <w:rsid w:val="002A57E7"/>
    <w:rsid w:val="002B038E"/>
    <w:rsid w:val="002B0D2E"/>
    <w:rsid w:val="002B5020"/>
    <w:rsid w:val="002B5646"/>
    <w:rsid w:val="002B56BD"/>
    <w:rsid w:val="002B57CB"/>
    <w:rsid w:val="002B5C96"/>
    <w:rsid w:val="002B5E82"/>
    <w:rsid w:val="002B7552"/>
    <w:rsid w:val="002C08C0"/>
    <w:rsid w:val="002C0C5C"/>
    <w:rsid w:val="002C0C98"/>
    <w:rsid w:val="002C2B00"/>
    <w:rsid w:val="002C3511"/>
    <w:rsid w:val="002C40B4"/>
    <w:rsid w:val="002C4317"/>
    <w:rsid w:val="002C55EE"/>
    <w:rsid w:val="002C5B04"/>
    <w:rsid w:val="002C6914"/>
    <w:rsid w:val="002C7263"/>
    <w:rsid w:val="002C77BC"/>
    <w:rsid w:val="002D04EF"/>
    <w:rsid w:val="002D0807"/>
    <w:rsid w:val="002D09ED"/>
    <w:rsid w:val="002D0B5E"/>
    <w:rsid w:val="002D0E6B"/>
    <w:rsid w:val="002D475F"/>
    <w:rsid w:val="002D6216"/>
    <w:rsid w:val="002D7921"/>
    <w:rsid w:val="002E1672"/>
    <w:rsid w:val="002E17F1"/>
    <w:rsid w:val="002E20B6"/>
    <w:rsid w:val="002E2305"/>
    <w:rsid w:val="002E2538"/>
    <w:rsid w:val="002E276B"/>
    <w:rsid w:val="002E2E9E"/>
    <w:rsid w:val="002E3EBD"/>
    <w:rsid w:val="002E4923"/>
    <w:rsid w:val="002E5287"/>
    <w:rsid w:val="002E7889"/>
    <w:rsid w:val="002F24F3"/>
    <w:rsid w:val="002F3B69"/>
    <w:rsid w:val="002F659A"/>
    <w:rsid w:val="002F6911"/>
    <w:rsid w:val="002F6CC1"/>
    <w:rsid w:val="002F6D9F"/>
    <w:rsid w:val="00300D00"/>
    <w:rsid w:val="0030290E"/>
    <w:rsid w:val="00303EB5"/>
    <w:rsid w:val="00304059"/>
    <w:rsid w:val="0030652C"/>
    <w:rsid w:val="00306696"/>
    <w:rsid w:val="0031128C"/>
    <w:rsid w:val="0031178E"/>
    <w:rsid w:val="00312328"/>
    <w:rsid w:val="003154EC"/>
    <w:rsid w:val="00316511"/>
    <w:rsid w:val="003179DE"/>
    <w:rsid w:val="003209B5"/>
    <w:rsid w:val="00320A58"/>
    <w:rsid w:val="003234A2"/>
    <w:rsid w:val="0032515B"/>
    <w:rsid w:val="0033080D"/>
    <w:rsid w:val="0033104B"/>
    <w:rsid w:val="003331FB"/>
    <w:rsid w:val="00333595"/>
    <w:rsid w:val="0033410E"/>
    <w:rsid w:val="00334762"/>
    <w:rsid w:val="003347E6"/>
    <w:rsid w:val="00334F45"/>
    <w:rsid w:val="00335A25"/>
    <w:rsid w:val="00336C72"/>
    <w:rsid w:val="00337C99"/>
    <w:rsid w:val="00341B3A"/>
    <w:rsid w:val="00342B4B"/>
    <w:rsid w:val="003430CC"/>
    <w:rsid w:val="003443F9"/>
    <w:rsid w:val="00344676"/>
    <w:rsid w:val="00345680"/>
    <w:rsid w:val="00346445"/>
    <w:rsid w:val="00346A0D"/>
    <w:rsid w:val="003475A5"/>
    <w:rsid w:val="0035068F"/>
    <w:rsid w:val="003519EE"/>
    <w:rsid w:val="003530ED"/>
    <w:rsid w:val="00353F7E"/>
    <w:rsid w:val="00354696"/>
    <w:rsid w:val="003548DC"/>
    <w:rsid w:val="003573EA"/>
    <w:rsid w:val="003579FD"/>
    <w:rsid w:val="00360062"/>
    <w:rsid w:val="0036012E"/>
    <w:rsid w:val="003601D5"/>
    <w:rsid w:val="0036028D"/>
    <w:rsid w:val="00360465"/>
    <w:rsid w:val="003605DF"/>
    <w:rsid w:val="00361131"/>
    <w:rsid w:val="00361AC3"/>
    <w:rsid w:val="00361D89"/>
    <w:rsid w:val="00361F19"/>
    <w:rsid w:val="00362065"/>
    <w:rsid w:val="00362112"/>
    <w:rsid w:val="00363118"/>
    <w:rsid w:val="003633F6"/>
    <w:rsid w:val="003638EA"/>
    <w:rsid w:val="00364089"/>
    <w:rsid w:val="003644DC"/>
    <w:rsid w:val="00364D4E"/>
    <w:rsid w:val="00364DDA"/>
    <w:rsid w:val="003704A9"/>
    <w:rsid w:val="003712C5"/>
    <w:rsid w:val="00371449"/>
    <w:rsid w:val="00371B6D"/>
    <w:rsid w:val="003726E5"/>
    <w:rsid w:val="00372F2B"/>
    <w:rsid w:val="003737D5"/>
    <w:rsid w:val="003746E8"/>
    <w:rsid w:val="00374F55"/>
    <w:rsid w:val="003829ED"/>
    <w:rsid w:val="00383AFA"/>
    <w:rsid w:val="00385F83"/>
    <w:rsid w:val="003866A1"/>
    <w:rsid w:val="00386758"/>
    <w:rsid w:val="00387ED6"/>
    <w:rsid w:val="00391A3B"/>
    <w:rsid w:val="00392A56"/>
    <w:rsid w:val="00397AC5"/>
    <w:rsid w:val="003A07C2"/>
    <w:rsid w:val="003A1C61"/>
    <w:rsid w:val="003A1D91"/>
    <w:rsid w:val="003A2643"/>
    <w:rsid w:val="003A280D"/>
    <w:rsid w:val="003A51C5"/>
    <w:rsid w:val="003A5BCF"/>
    <w:rsid w:val="003A795F"/>
    <w:rsid w:val="003B07EF"/>
    <w:rsid w:val="003B1148"/>
    <w:rsid w:val="003B1E42"/>
    <w:rsid w:val="003B4450"/>
    <w:rsid w:val="003B4A03"/>
    <w:rsid w:val="003B52DF"/>
    <w:rsid w:val="003B6EC3"/>
    <w:rsid w:val="003B75B0"/>
    <w:rsid w:val="003C1560"/>
    <w:rsid w:val="003C703A"/>
    <w:rsid w:val="003C78DC"/>
    <w:rsid w:val="003D14EC"/>
    <w:rsid w:val="003D2A80"/>
    <w:rsid w:val="003D57D8"/>
    <w:rsid w:val="003D63FD"/>
    <w:rsid w:val="003D6610"/>
    <w:rsid w:val="003E0D78"/>
    <w:rsid w:val="003E43D3"/>
    <w:rsid w:val="003E47B4"/>
    <w:rsid w:val="003E574B"/>
    <w:rsid w:val="003E5A73"/>
    <w:rsid w:val="003E6096"/>
    <w:rsid w:val="003E6C24"/>
    <w:rsid w:val="003E755E"/>
    <w:rsid w:val="003F1ACB"/>
    <w:rsid w:val="003F2D72"/>
    <w:rsid w:val="003F2DB6"/>
    <w:rsid w:val="003F3918"/>
    <w:rsid w:val="003F44D6"/>
    <w:rsid w:val="003F6415"/>
    <w:rsid w:val="003F70F8"/>
    <w:rsid w:val="0040017D"/>
    <w:rsid w:val="004008A9"/>
    <w:rsid w:val="00401724"/>
    <w:rsid w:val="004024FD"/>
    <w:rsid w:val="00402AE8"/>
    <w:rsid w:val="00402B1F"/>
    <w:rsid w:val="004031FD"/>
    <w:rsid w:val="00403BB8"/>
    <w:rsid w:val="004044D3"/>
    <w:rsid w:val="00404FAE"/>
    <w:rsid w:val="00407E45"/>
    <w:rsid w:val="004120B0"/>
    <w:rsid w:val="004143E6"/>
    <w:rsid w:val="004154B6"/>
    <w:rsid w:val="004175A5"/>
    <w:rsid w:val="004228C7"/>
    <w:rsid w:val="00423FB2"/>
    <w:rsid w:val="0042581C"/>
    <w:rsid w:val="00425C90"/>
    <w:rsid w:val="00426EEF"/>
    <w:rsid w:val="004334A2"/>
    <w:rsid w:val="00433D1F"/>
    <w:rsid w:val="00433DD1"/>
    <w:rsid w:val="0043440F"/>
    <w:rsid w:val="00434CEC"/>
    <w:rsid w:val="00435105"/>
    <w:rsid w:val="00437F9F"/>
    <w:rsid w:val="00442563"/>
    <w:rsid w:val="0044280A"/>
    <w:rsid w:val="004444AB"/>
    <w:rsid w:val="004453EB"/>
    <w:rsid w:val="00446436"/>
    <w:rsid w:val="004475BE"/>
    <w:rsid w:val="00450BBC"/>
    <w:rsid w:val="00451869"/>
    <w:rsid w:val="00451A3E"/>
    <w:rsid w:val="0045396F"/>
    <w:rsid w:val="00453AB0"/>
    <w:rsid w:val="00453C62"/>
    <w:rsid w:val="0045502B"/>
    <w:rsid w:val="00455847"/>
    <w:rsid w:val="004602B7"/>
    <w:rsid w:val="00461180"/>
    <w:rsid w:val="00461572"/>
    <w:rsid w:val="00461670"/>
    <w:rsid w:val="004617A5"/>
    <w:rsid w:val="00461857"/>
    <w:rsid w:val="00462CE1"/>
    <w:rsid w:val="00463FD5"/>
    <w:rsid w:val="00464793"/>
    <w:rsid w:val="004657A7"/>
    <w:rsid w:val="00465B87"/>
    <w:rsid w:val="004673CE"/>
    <w:rsid w:val="00467DEF"/>
    <w:rsid w:val="004705EB"/>
    <w:rsid w:val="00470FB1"/>
    <w:rsid w:val="004719B5"/>
    <w:rsid w:val="00471F70"/>
    <w:rsid w:val="00473B81"/>
    <w:rsid w:val="00474A9C"/>
    <w:rsid w:val="004750B3"/>
    <w:rsid w:val="00475607"/>
    <w:rsid w:val="00480298"/>
    <w:rsid w:val="004804D4"/>
    <w:rsid w:val="00480C29"/>
    <w:rsid w:val="0048162E"/>
    <w:rsid w:val="00481E11"/>
    <w:rsid w:val="004829BB"/>
    <w:rsid w:val="00483164"/>
    <w:rsid w:val="00483191"/>
    <w:rsid w:val="00484AD2"/>
    <w:rsid w:val="00485E87"/>
    <w:rsid w:val="004863F6"/>
    <w:rsid w:val="0048686C"/>
    <w:rsid w:val="00486A43"/>
    <w:rsid w:val="0049086E"/>
    <w:rsid w:val="00491962"/>
    <w:rsid w:val="00492216"/>
    <w:rsid w:val="00492321"/>
    <w:rsid w:val="004938DF"/>
    <w:rsid w:val="004941BC"/>
    <w:rsid w:val="00494CCC"/>
    <w:rsid w:val="00497559"/>
    <w:rsid w:val="004A0584"/>
    <w:rsid w:val="004A2EA2"/>
    <w:rsid w:val="004A4BFE"/>
    <w:rsid w:val="004A4C83"/>
    <w:rsid w:val="004A4E33"/>
    <w:rsid w:val="004A5C8F"/>
    <w:rsid w:val="004A5DC5"/>
    <w:rsid w:val="004B022F"/>
    <w:rsid w:val="004B18B1"/>
    <w:rsid w:val="004B362E"/>
    <w:rsid w:val="004B3B57"/>
    <w:rsid w:val="004B75D8"/>
    <w:rsid w:val="004B7CDB"/>
    <w:rsid w:val="004C0032"/>
    <w:rsid w:val="004C02BE"/>
    <w:rsid w:val="004C082C"/>
    <w:rsid w:val="004C1314"/>
    <w:rsid w:val="004C1D7A"/>
    <w:rsid w:val="004C2553"/>
    <w:rsid w:val="004C360B"/>
    <w:rsid w:val="004C43F5"/>
    <w:rsid w:val="004C6C05"/>
    <w:rsid w:val="004D24C2"/>
    <w:rsid w:val="004D366B"/>
    <w:rsid w:val="004D3FD5"/>
    <w:rsid w:val="004D6ED1"/>
    <w:rsid w:val="004D7F7B"/>
    <w:rsid w:val="004E03A4"/>
    <w:rsid w:val="004E096A"/>
    <w:rsid w:val="004E2DF2"/>
    <w:rsid w:val="004E55FA"/>
    <w:rsid w:val="004E5EEA"/>
    <w:rsid w:val="004E6D6A"/>
    <w:rsid w:val="004E7DAB"/>
    <w:rsid w:val="004F0CC3"/>
    <w:rsid w:val="004F147C"/>
    <w:rsid w:val="004F1C35"/>
    <w:rsid w:val="004F1DF8"/>
    <w:rsid w:val="004F375D"/>
    <w:rsid w:val="004F3ACB"/>
    <w:rsid w:val="004F42FC"/>
    <w:rsid w:val="004F4783"/>
    <w:rsid w:val="004F5B65"/>
    <w:rsid w:val="004F5D8A"/>
    <w:rsid w:val="0050122B"/>
    <w:rsid w:val="00502E1D"/>
    <w:rsid w:val="005047B2"/>
    <w:rsid w:val="00504B10"/>
    <w:rsid w:val="005050DB"/>
    <w:rsid w:val="0050592E"/>
    <w:rsid w:val="0050659A"/>
    <w:rsid w:val="00507863"/>
    <w:rsid w:val="00510561"/>
    <w:rsid w:val="0051260F"/>
    <w:rsid w:val="005127B3"/>
    <w:rsid w:val="00512B64"/>
    <w:rsid w:val="00513D6F"/>
    <w:rsid w:val="00515E50"/>
    <w:rsid w:val="0051632A"/>
    <w:rsid w:val="00517304"/>
    <w:rsid w:val="005216ED"/>
    <w:rsid w:val="00521C6E"/>
    <w:rsid w:val="00521F65"/>
    <w:rsid w:val="00523393"/>
    <w:rsid w:val="00523FAC"/>
    <w:rsid w:val="00524B55"/>
    <w:rsid w:val="005264E7"/>
    <w:rsid w:val="005268D9"/>
    <w:rsid w:val="00526957"/>
    <w:rsid w:val="00527600"/>
    <w:rsid w:val="005301ED"/>
    <w:rsid w:val="00530B40"/>
    <w:rsid w:val="00532E36"/>
    <w:rsid w:val="005341E6"/>
    <w:rsid w:val="0053559D"/>
    <w:rsid w:val="005418CC"/>
    <w:rsid w:val="005422E1"/>
    <w:rsid w:val="00542907"/>
    <w:rsid w:val="00542A70"/>
    <w:rsid w:val="005433D6"/>
    <w:rsid w:val="00543440"/>
    <w:rsid w:val="00544FFE"/>
    <w:rsid w:val="005469D6"/>
    <w:rsid w:val="00546D2C"/>
    <w:rsid w:val="00546E3E"/>
    <w:rsid w:val="00550855"/>
    <w:rsid w:val="00551B75"/>
    <w:rsid w:val="00551D4B"/>
    <w:rsid w:val="00553329"/>
    <w:rsid w:val="005555CA"/>
    <w:rsid w:val="00557E56"/>
    <w:rsid w:val="005608EB"/>
    <w:rsid w:val="00560D8D"/>
    <w:rsid w:val="00561A41"/>
    <w:rsid w:val="005637FE"/>
    <w:rsid w:val="00563CC6"/>
    <w:rsid w:val="00563FE8"/>
    <w:rsid w:val="00564821"/>
    <w:rsid w:val="00567440"/>
    <w:rsid w:val="0057036A"/>
    <w:rsid w:val="00570D7C"/>
    <w:rsid w:val="005713CE"/>
    <w:rsid w:val="005716AB"/>
    <w:rsid w:val="005719FB"/>
    <w:rsid w:val="00573406"/>
    <w:rsid w:val="00573AC4"/>
    <w:rsid w:val="00573FEA"/>
    <w:rsid w:val="005743CF"/>
    <w:rsid w:val="005753B9"/>
    <w:rsid w:val="0057632E"/>
    <w:rsid w:val="005770B6"/>
    <w:rsid w:val="0057740C"/>
    <w:rsid w:val="00577E8A"/>
    <w:rsid w:val="00580F62"/>
    <w:rsid w:val="00581256"/>
    <w:rsid w:val="00582C69"/>
    <w:rsid w:val="00583A4A"/>
    <w:rsid w:val="00585125"/>
    <w:rsid w:val="005864D9"/>
    <w:rsid w:val="00586B7D"/>
    <w:rsid w:val="005877D8"/>
    <w:rsid w:val="00587F7D"/>
    <w:rsid w:val="00590137"/>
    <w:rsid w:val="0059057F"/>
    <w:rsid w:val="005907D4"/>
    <w:rsid w:val="00590AF8"/>
    <w:rsid w:val="00590C92"/>
    <w:rsid w:val="00592DEA"/>
    <w:rsid w:val="005934E5"/>
    <w:rsid w:val="0059377B"/>
    <w:rsid w:val="005945DB"/>
    <w:rsid w:val="0059528C"/>
    <w:rsid w:val="00595B98"/>
    <w:rsid w:val="00595CF1"/>
    <w:rsid w:val="00595DB9"/>
    <w:rsid w:val="0059721B"/>
    <w:rsid w:val="00597BBE"/>
    <w:rsid w:val="005A06C9"/>
    <w:rsid w:val="005A1248"/>
    <w:rsid w:val="005A143C"/>
    <w:rsid w:val="005A2E23"/>
    <w:rsid w:val="005A2E28"/>
    <w:rsid w:val="005A3572"/>
    <w:rsid w:val="005A56B9"/>
    <w:rsid w:val="005A6DBF"/>
    <w:rsid w:val="005A776F"/>
    <w:rsid w:val="005A7CFB"/>
    <w:rsid w:val="005B06D5"/>
    <w:rsid w:val="005B0AA4"/>
    <w:rsid w:val="005B11E4"/>
    <w:rsid w:val="005B1450"/>
    <w:rsid w:val="005B173D"/>
    <w:rsid w:val="005B2548"/>
    <w:rsid w:val="005B30AB"/>
    <w:rsid w:val="005B3F09"/>
    <w:rsid w:val="005B62DA"/>
    <w:rsid w:val="005B6314"/>
    <w:rsid w:val="005B7B42"/>
    <w:rsid w:val="005C121E"/>
    <w:rsid w:val="005C1377"/>
    <w:rsid w:val="005C1783"/>
    <w:rsid w:val="005C2C11"/>
    <w:rsid w:val="005C3A06"/>
    <w:rsid w:val="005C3EB8"/>
    <w:rsid w:val="005C4AB9"/>
    <w:rsid w:val="005C531C"/>
    <w:rsid w:val="005C6334"/>
    <w:rsid w:val="005C684A"/>
    <w:rsid w:val="005C708E"/>
    <w:rsid w:val="005D0A4A"/>
    <w:rsid w:val="005D127E"/>
    <w:rsid w:val="005D18D4"/>
    <w:rsid w:val="005D1BB4"/>
    <w:rsid w:val="005D2B63"/>
    <w:rsid w:val="005D54B8"/>
    <w:rsid w:val="005D6292"/>
    <w:rsid w:val="005D729F"/>
    <w:rsid w:val="005E1076"/>
    <w:rsid w:val="005E2354"/>
    <w:rsid w:val="005E4105"/>
    <w:rsid w:val="005E4A2D"/>
    <w:rsid w:val="005E59EE"/>
    <w:rsid w:val="005E5B0F"/>
    <w:rsid w:val="005E5F59"/>
    <w:rsid w:val="005E6897"/>
    <w:rsid w:val="005E7500"/>
    <w:rsid w:val="005F0BC8"/>
    <w:rsid w:val="005F0EF8"/>
    <w:rsid w:val="005F14F2"/>
    <w:rsid w:val="005F1E5B"/>
    <w:rsid w:val="005F1F6B"/>
    <w:rsid w:val="005F37FF"/>
    <w:rsid w:val="005F409C"/>
    <w:rsid w:val="005F5102"/>
    <w:rsid w:val="005F5253"/>
    <w:rsid w:val="005F53D5"/>
    <w:rsid w:val="005F5470"/>
    <w:rsid w:val="005F63A1"/>
    <w:rsid w:val="005F73BC"/>
    <w:rsid w:val="005F760B"/>
    <w:rsid w:val="00602303"/>
    <w:rsid w:val="00606889"/>
    <w:rsid w:val="00606D53"/>
    <w:rsid w:val="00606E90"/>
    <w:rsid w:val="0061033D"/>
    <w:rsid w:val="00611C54"/>
    <w:rsid w:val="00612730"/>
    <w:rsid w:val="00613F80"/>
    <w:rsid w:val="00620445"/>
    <w:rsid w:val="00621148"/>
    <w:rsid w:val="006238E2"/>
    <w:rsid w:val="0062531F"/>
    <w:rsid w:val="00626169"/>
    <w:rsid w:val="0062752E"/>
    <w:rsid w:val="00627B58"/>
    <w:rsid w:val="0063013E"/>
    <w:rsid w:val="0063060F"/>
    <w:rsid w:val="0063087D"/>
    <w:rsid w:val="00631597"/>
    <w:rsid w:val="00631D12"/>
    <w:rsid w:val="00632A1C"/>
    <w:rsid w:val="00633599"/>
    <w:rsid w:val="006362CC"/>
    <w:rsid w:val="006377B0"/>
    <w:rsid w:val="006378B8"/>
    <w:rsid w:val="0064152F"/>
    <w:rsid w:val="00641D98"/>
    <w:rsid w:val="00642806"/>
    <w:rsid w:val="00643EDF"/>
    <w:rsid w:val="00644496"/>
    <w:rsid w:val="00644CD9"/>
    <w:rsid w:val="00645478"/>
    <w:rsid w:val="00646121"/>
    <w:rsid w:val="0065068E"/>
    <w:rsid w:val="00650809"/>
    <w:rsid w:val="00651D41"/>
    <w:rsid w:val="00651EE1"/>
    <w:rsid w:val="0065262F"/>
    <w:rsid w:val="00654198"/>
    <w:rsid w:val="00654D36"/>
    <w:rsid w:val="0065620A"/>
    <w:rsid w:val="00662785"/>
    <w:rsid w:val="00662E37"/>
    <w:rsid w:val="0066381B"/>
    <w:rsid w:val="0066386A"/>
    <w:rsid w:val="00663E2E"/>
    <w:rsid w:val="00664F23"/>
    <w:rsid w:val="006665B8"/>
    <w:rsid w:val="00667F07"/>
    <w:rsid w:val="0067056B"/>
    <w:rsid w:val="00670908"/>
    <w:rsid w:val="00670A46"/>
    <w:rsid w:val="00671BA9"/>
    <w:rsid w:val="00672D17"/>
    <w:rsid w:val="00672FEB"/>
    <w:rsid w:val="006738AE"/>
    <w:rsid w:val="00673A25"/>
    <w:rsid w:val="00675B8F"/>
    <w:rsid w:val="006815C7"/>
    <w:rsid w:val="00681A57"/>
    <w:rsid w:val="0068319F"/>
    <w:rsid w:val="00684144"/>
    <w:rsid w:val="006845DB"/>
    <w:rsid w:val="006879D9"/>
    <w:rsid w:val="00687C23"/>
    <w:rsid w:val="00690836"/>
    <w:rsid w:val="0069096F"/>
    <w:rsid w:val="00690BB7"/>
    <w:rsid w:val="006912D9"/>
    <w:rsid w:val="0069196A"/>
    <w:rsid w:val="006929A1"/>
    <w:rsid w:val="006934D9"/>
    <w:rsid w:val="00693A35"/>
    <w:rsid w:val="00695D5A"/>
    <w:rsid w:val="0069654D"/>
    <w:rsid w:val="00697990"/>
    <w:rsid w:val="00697D5C"/>
    <w:rsid w:val="006A06F3"/>
    <w:rsid w:val="006A0AA9"/>
    <w:rsid w:val="006A0C2A"/>
    <w:rsid w:val="006A161B"/>
    <w:rsid w:val="006A28EA"/>
    <w:rsid w:val="006A5602"/>
    <w:rsid w:val="006B0601"/>
    <w:rsid w:val="006B062F"/>
    <w:rsid w:val="006B099F"/>
    <w:rsid w:val="006B3463"/>
    <w:rsid w:val="006B6C16"/>
    <w:rsid w:val="006B7825"/>
    <w:rsid w:val="006C17BD"/>
    <w:rsid w:val="006C34F2"/>
    <w:rsid w:val="006C4287"/>
    <w:rsid w:val="006C45AB"/>
    <w:rsid w:val="006C5F47"/>
    <w:rsid w:val="006C643B"/>
    <w:rsid w:val="006C689A"/>
    <w:rsid w:val="006C6A2A"/>
    <w:rsid w:val="006C70F0"/>
    <w:rsid w:val="006C77AA"/>
    <w:rsid w:val="006D0A45"/>
    <w:rsid w:val="006D19B9"/>
    <w:rsid w:val="006D3400"/>
    <w:rsid w:val="006D37F5"/>
    <w:rsid w:val="006D4B5B"/>
    <w:rsid w:val="006D4D18"/>
    <w:rsid w:val="006D53C1"/>
    <w:rsid w:val="006D63CF"/>
    <w:rsid w:val="006D661E"/>
    <w:rsid w:val="006E0A9D"/>
    <w:rsid w:val="006E64F4"/>
    <w:rsid w:val="006E7710"/>
    <w:rsid w:val="006F136D"/>
    <w:rsid w:val="006F293E"/>
    <w:rsid w:val="006F2B47"/>
    <w:rsid w:val="006F4624"/>
    <w:rsid w:val="006F5B3C"/>
    <w:rsid w:val="006F7FEC"/>
    <w:rsid w:val="00701AB0"/>
    <w:rsid w:val="00702B3E"/>
    <w:rsid w:val="00702C49"/>
    <w:rsid w:val="007042E7"/>
    <w:rsid w:val="00704868"/>
    <w:rsid w:val="007050BD"/>
    <w:rsid w:val="00706131"/>
    <w:rsid w:val="007177B7"/>
    <w:rsid w:val="007177BC"/>
    <w:rsid w:val="007178AB"/>
    <w:rsid w:val="00720A3D"/>
    <w:rsid w:val="00722291"/>
    <w:rsid w:val="00722B33"/>
    <w:rsid w:val="0072317D"/>
    <w:rsid w:val="00726EC7"/>
    <w:rsid w:val="00727FDA"/>
    <w:rsid w:val="0073041A"/>
    <w:rsid w:val="007304CC"/>
    <w:rsid w:val="0073189B"/>
    <w:rsid w:val="00731C96"/>
    <w:rsid w:val="00731DF0"/>
    <w:rsid w:val="007326F6"/>
    <w:rsid w:val="007342E0"/>
    <w:rsid w:val="00735700"/>
    <w:rsid w:val="00735F42"/>
    <w:rsid w:val="0073652F"/>
    <w:rsid w:val="0073696B"/>
    <w:rsid w:val="00736ACD"/>
    <w:rsid w:val="0073779A"/>
    <w:rsid w:val="007377B3"/>
    <w:rsid w:val="007422E5"/>
    <w:rsid w:val="007429C1"/>
    <w:rsid w:val="00742D6F"/>
    <w:rsid w:val="00743DBF"/>
    <w:rsid w:val="0074420A"/>
    <w:rsid w:val="00746C4D"/>
    <w:rsid w:val="00746E5F"/>
    <w:rsid w:val="00747BD7"/>
    <w:rsid w:val="00750E03"/>
    <w:rsid w:val="00753192"/>
    <w:rsid w:val="007534D2"/>
    <w:rsid w:val="0075390B"/>
    <w:rsid w:val="007545AC"/>
    <w:rsid w:val="007548B3"/>
    <w:rsid w:val="00755B11"/>
    <w:rsid w:val="00755B6E"/>
    <w:rsid w:val="00757228"/>
    <w:rsid w:val="00757EB2"/>
    <w:rsid w:val="00757FEE"/>
    <w:rsid w:val="0076081E"/>
    <w:rsid w:val="007608DE"/>
    <w:rsid w:val="00760E36"/>
    <w:rsid w:val="0076127A"/>
    <w:rsid w:val="00761733"/>
    <w:rsid w:val="00762189"/>
    <w:rsid w:val="00763D20"/>
    <w:rsid w:val="007647DE"/>
    <w:rsid w:val="00764FFC"/>
    <w:rsid w:val="00765028"/>
    <w:rsid w:val="0076513C"/>
    <w:rsid w:val="00765A6C"/>
    <w:rsid w:val="00766620"/>
    <w:rsid w:val="00766C47"/>
    <w:rsid w:val="00767B62"/>
    <w:rsid w:val="00771741"/>
    <w:rsid w:val="00772755"/>
    <w:rsid w:val="00773013"/>
    <w:rsid w:val="0077329B"/>
    <w:rsid w:val="00773E7C"/>
    <w:rsid w:val="00773EFB"/>
    <w:rsid w:val="007745CD"/>
    <w:rsid w:val="00775E20"/>
    <w:rsid w:val="00777B6E"/>
    <w:rsid w:val="007818BC"/>
    <w:rsid w:val="007820C5"/>
    <w:rsid w:val="0078308B"/>
    <w:rsid w:val="00783999"/>
    <w:rsid w:val="0078450E"/>
    <w:rsid w:val="007846D9"/>
    <w:rsid w:val="00784A73"/>
    <w:rsid w:val="00786361"/>
    <w:rsid w:val="00786898"/>
    <w:rsid w:val="00786B52"/>
    <w:rsid w:val="00791AA1"/>
    <w:rsid w:val="007937B0"/>
    <w:rsid w:val="0079397B"/>
    <w:rsid w:val="0079421B"/>
    <w:rsid w:val="007953C5"/>
    <w:rsid w:val="00797349"/>
    <w:rsid w:val="00797600"/>
    <w:rsid w:val="00797989"/>
    <w:rsid w:val="007A0DDD"/>
    <w:rsid w:val="007A0DFF"/>
    <w:rsid w:val="007A17F6"/>
    <w:rsid w:val="007A2120"/>
    <w:rsid w:val="007A239C"/>
    <w:rsid w:val="007A3461"/>
    <w:rsid w:val="007A35D5"/>
    <w:rsid w:val="007A3FBA"/>
    <w:rsid w:val="007A44BB"/>
    <w:rsid w:val="007A47A2"/>
    <w:rsid w:val="007A492C"/>
    <w:rsid w:val="007A4B7C"/>
    <w:rsid w:val="007A52B3"/>
    <w:rsid w:val="007A65B4"/>
    <w:rsid w:val="007A6EEA"/>
    <w:rsid w:val="007B1D0A"/>
    <w:rsid w:val="007B2294"/>
    <w:rsid w:val="007B26C4"/>
    <w:rsid w:val="007B7CFF"/>
    <w:rsid w:val="007C01FD"/>
    <w:rsid w:val="007C22FA"/>
    <w:rsid w:val="007C3076"/>
    <w:rsid w:val="007C4402"/>
    <w:rsid w:val="007C4A4B"/>
    <w:rsid w:val="007C4F82"/>
    <w:rsid w:val="007C6C5F"/>
    <w:rsid w:val="007D0A8C"/>
    <w:rsid w:val="007D0C32"/>
    <w:rsid w:val="007D1B90"/>
    <w:rsid w:val="007D2E09"/>
    <w:rsid w:val="007D68B0"/>
    <w:rsid w:val="007E16F5"/>
    <w:rsid w:val="007E223A"/>
    <w:rsid w:val="007E2443"/>
    <w:rsid w:val="007E35E4"/>
    <w:rsid w:val="007E4B39"/>
    <w:rsid w:val="007E502E"/>
    <w:rsid w:val="007E5124"/>
    <w:rsid w:val="007E6A39"/>
    <w:rsid w:val="007E6DDF"/>
    <w:rsid w:val="007E7DC2"/>
    <w:rsid w:val="007F0588"/>
    <w:rsid w:val="007F30AC"/>
    <w:rsid w:val="007F3477"/>
    <w:rsid w:val="007F4032"/>
    <w:rsid w:val="007F479B"/>
    <w:rsid w:val="007F725F"/>
    <w:rsid w:val="007F7EB5"/>
    <w:rsid w:val="0080048C"/>
    <w:rsid w:val="00800C30"/>
    <w:rsid w:val="00801F7B"/>
    <w:rsid w:val="00803719"/>
    <w:rsid w:val="00803C6C"/>
    <w:rsid w:val="00803F3B"/>
    <w:rsid w:val="00804F98"/>
    <w:rsid w:val="00806E9B"/>
    <w:rsid w:val="008077D5"/>
    <w:rsid w:val="00807B37"/>
    <w:rsid w:val="00811122"/>
    <w:rsid w:val="008114D7"/>
    <w:rsid w:val="00812301"/>
    <w:rsid w:val="008139BA"/>
    <w:rsid w:val="008168C5"/>
    <w:rsid w:val="00817A59"/>
    <w:rsid w:val="00817CF4"/>
    <w:rsid w:val="00817DF6"/>
    <w:rsid w:val="0082110A"/>
    <w:rsid w:val="008223CC"/>
    <w:rsid w:val="008226A4"/>
    <w:rsid w:val="008230DE"/>
    <w:rsid w:val="00825013"/>
    <w:rsid w:val="00825088"/>
    <w:rsid w:val="008251F4"/>
    <w:rsid w:val="008260B2"/>
    <w:rsid w:val="008262F9"/>
    <w:rsid w:val="0083227A"/>
    <w:rsid w:val="00832C18"/>
    <w:rsid w:val="008332CF"/>
    <w:rsid w:val="008336DF"/>
    <w:rsid w:val="008342C3"/>
    <w:rsid w:val="00834383"/>
    <w:rsid w:val="00834850"/>
    <w:rsid w:val="00834B36"/>
    <w:rsid w:val="00834DC7"/>
    <w:rsid w:val="0083608A"/>
    <w:rsid w:val="008363BF"/>
    <w:rsid w:val="00836A17"/>
    <w:rsid w:val="00837C7A"/>
    <w:rsid w:val="00837E74"/>
    <w:rsid w:val="008409E4"/>
    <w:rsid w:val="00841CD5"/>
    <w:rsid w:val="00843BA7"/>
    <w:rsid w:val="008441D9"/>
    <w:rsid w:val="0084487F"/>
    <w:rsid w:val="0084579B"/>
    <w:rsid w:val="00845A38"/>
    <w:rsid w:val="00846108"/>
    <w:rsid w:val="00846C8D"/>
    <w:rsid w:val="00846D8A"/>
    <w:rsid w:val="00850765"/>
    <w:rsid w:val="008513E8"/>
    <w:rsid w:val="00854334"/>
    <w:rsid w:val="008550AA"/>
    <w:rsid w:val="00855B2F"/>
    <w:rsid w:val="00856065"/>
    <w:rsid w:val="00856A1B"/>
    <w:rsid w:val="00856AC3"/>
    <w:rsid w:val="00856EB0"/>
    <w:rsid w:val="00857B11"/>
    <w:rsid w:val="0086192C"/>
    <w:rsid w:val="008629F7"/>
    <w:rsid w:val="00862D1A"/>
    <w:rsid w:val="00863274"/>
    <w:rsid w:val="008638F1"/>
    <w:rsid w:val="00864561"/>
    <w:rsid w:val="00864748"/>
    <w:rsid w:val="00865940"/>
    <w:rsid w:val="00866624"/>
    <w:rsid w:val="00866C4B"/>
    <w:rsid w:val="008679F2"/>
    <w:rsid w:val="00867B84"/>
    <w:rsid w:val="008704DD"/>
    <w:rsid w:val="00870902"/>
    <w:rsid w:val="00871139"/>
    <w:rsid w:val="008740F6"/>
    <w:rsid w:val="00874E51"/>
    <w:rsid w:val="0087656A"/>
    <w:rsid w:val="008772C8"/>
    <w:rsid w:val="0087782F"/>
    <w:rsid w:val="00877E03"/>
    <w:rsid w:val="00880674"/>
    <w:rsid w:val="00883EB4"/>
    <w:rsid w:val="0088484F"/>
    <w:rsid w:val="0088499C"/>
    <w:rsid w:val="00887D85"/>
    <w:rsid w:val="00890584"/>
    <w:rsid w:val="00890BAD"/>
    <w:rsid w:val="00890CD0"/>
    <w:rsid w:val="00893B3C"/>
    <w:rsid w:val="00894191"/>
    <w:rsid w:val="00894301"/>
    <w:rsid w:val="00896224"/>
    <w:rsid w:val="008A2419"/>
    <w:rsid w:val="008A259F"/>
    <w:rsid w:val="008A4637"/>
    <w:rsid w:val="008A4A97"/>
    <w:rsid w:val="008A4BCB"/>
    <w:rsid w:val="008A70C0"/>
    <w:rsid w:val="008A72F5"/>
    <w:rsid w:val="008B0825"/>
    <w:rsid w:val="008B3671"/>
    <w:rsid w:val="008B38F9"/>
    <w:rsid w:val="008B3B74"/>
    <w:rsid w:val="008B3DB8"/>
    <w:rsid w:val="008B5733"/>
    <w:rsid w:val="008B583F"/>
    <w:rsid w:val="008B5B6B"/>
    <w:rsid w:val="008B77D9"/>
    <w:rsid w:val="008B7894"/>
    <w:rsid w:val="008C064B"/>
    <w:rsid w:val="008C14DB"/>
    <w:rsid w:val="008C19AE"/>
    <w:rsid w:val="008C2CF4"/>
    <w:rsid w:val="008C2D62"/>
    <w:rsid w:val="008C5797"/>
    <w:rsid w:val="008C5B8C"/>
    <w:rsid w:val="008C6B6E"/>
    <w:rsid w:val="008D12E6"/>
    <w:rsid w:val="008D3371"/>
    <w:rsid w:val="008D4853"/>
    <w:rsid w:val="008D6366"/>
    <w:rsid w:val="008D6A03"/>
    <w:rsid w:val="008E00B9"/>
    <w:rsid w:val="008E00DF"/>
    <w:rsid w:val="008E07DC"/>
    <w:rsid w:val="008E08EB"/>
    <w:rsid w:val="008E0A9D"/>
    <w:rsid w:val="008E185A"/>
    <w:rsid w:val="008E398C"/>
    <w:rsid w:val="008E4140"/>
    <w:rsid w:val="008E6634"/>
    <w:rsid w:val="008E7436"/>
    <w:rsid w:val="008F33E4"/>
    <w:rsid w:val="008F34DC"/>
    <w:rsid w:val="008F3767"/>
    <w:rsid w:val="008F66DD"/>
    <w:rsid w:val="009002BC"/>
    <w:rsid w:val="009042A6"/>
    <w:rsid w:val="0090482A"/>
    <w:rsid w:val="0090527C"/>
    <w:rsid w:val="00905C7D"/>
    <w:rsid w:val="00906AC5"/>
    <w:rsid w:val="00907587"/>
    <w:rsid w:val="009078BD"/>
    <w:rsid w:val="00910023"/>
    <w:rsid w:val="009100E5"/>
    <w:rsid w:val="00910515"/>
    <w:rsid w:val="00910930"/>
    <w:rsid w:val="00912331"/>
    <w:rsid w:val="00912595"/>
    <w:rsid w:val="00914949"/>
    <w:rsid w:val="00915562"/>
    <w:rsid w:val="0091561B"/>
    <w:rsid w:val="00915657"/>
    <w:rsid w:val="0092141F"/>
    <w:rsid w:val="00924545"/>
    <w:rsid w:val="009259AF"/>
    <w:rsid w:val="00927CA6"/>
    <w:rsid w:val="00927D08"/>
    <w:rsid w:val="00930967"/>
    <w:rsid w:val="0093271E"/>
    <w:rsid w:val="009327C8"/>
    <w:rsid w:val="00933372"/>
    <w:rsid w:val="0093517C"/>
    <w:rsid w:val="009359D2"/>
    <w:rsid w:val="00941239"/>
    <w:rsid w:val="00941A46"/>
    <w:rsid w:val="00945831"/>
    <w:rsid w:val="00950CDF"/>
    <w:rsid w:val="00952E62"/>
    <w:rsid w:val="00952F3B"/>
    <w:rsid w:val="00953671"/>
    <w:rsid w:val="009538E8"/>
    <w:rsid w:val="009559EC"/>
    <w:rsid w:val="00957806"/>
    <w:rsid w:val="009609A0"/>
    <w:rsid w:val="009612B4"/>
    <w:rsid w:val="009613D0"/>
    <w:rsid w:val="00961891"/>
    <w:rsid w:val="00962A27"/>
    <w:rsid w:val="00962E91"/>
    <w:rsid w:val="00967C88"/>
    <w:rsid w:val="009710A3"/>
    <w:rsid w:val="0097397F"/>
    <w:rsid w:val="00974C24"/>
    <w:rsid w:val="00974ED6"/>
    <w:rsid w:val="009752A2"/>
    <w:rsid w:val="0097542E"/>
    <w:rsid w:val="00975F38"/>
    <w:rsid w:val="009852FF"/>
    <w:rsid w:val="00985492"/>
    <w:rsid w:val="00986E5B"/>
    <w:rsid w:val="0098707D"/>
    <w:rsid w:val="009924E1"/>
    <w:rsid w:val="0099376B"/>
    <w:rsid w:val="009968EC"/>
    <w:rsid w:val="00997A13"/>
    <w:rsid w:val="009A14C5"/>
    <w:rsid w:val="009A329E"/>
    <w:rsid w:val="009A4192"/>
    <w:rsid w:val="009A550E"/>
    <w:rsid w:val="009A6439"/>
    <w:rsid w:val="009A6FC3"/>
    <w:rsid w:val="009A712F"/>
    <w:rsid w:val="009A7C22"/>
    <w:rsid w:val="009A7F43"/>
    <w:rsid w:val="009B1C45"/>
    <w:rsid w:val="009B2130"/>
    <w:rsid w:val="009B3869"/>
    <w:rsid w:val="009B3EA6"/>
    <w:rsid w:val="009B43EE"/>
    <w:rsid w:val="009B486B"/>
    <w:rsid w:val="009B50F6"/>
    <w:rsid w:val="009B5873"/>
    <w:rsid w:val="009B5C1F"/>
    <w:rsid w:val="009B6037"/>
    <w:rsid w:val="009B6E98"/>
    <w:rsid w:val="009B75DC"/>
    <w:rsid w:val="009C01BD"/>
    <w:rsid w:val="009C022B"/>
    <w:rsid w:val="009C1F61"/>
    <w:rsid w:val="009C4421"/>
    <w:rsid w:val="009C4627"/>
    <w:rsid w:val="009C4CBE"/>
    <w:rsid w:val="009C6CB2"/>
    <w:rsid w:val="009C74B7"/>
    <w:rsid w:val="009D0C2B"/>
    <w:rsid w:val="009D1564"/>
    <w:rsid w:val="009D181B"/>
    <w:rsid w:val="009D362C"/>
    <w:rsid w:val="009D385F"/>
    <w:rsid w:val="009D3862"/>
    <w:rsid w:val="009D3D16"/>
    <w:rsid w:val="009D4926"/>
    <w:rsid w:val="009D5841"/>
    <w:rsid w:val="009E04E1"/>
    <w:rsid w:val="009E0804"/>
    <w:rsid w:val="009E08F4"/>
    <w:rsid w:val="009E19E2"/>
    <w:rsid w:val="009E1ECC"/>
    <w:rsid w:val="009E2344"/>
    <w:rsid w:val="009E2587"/>
    <w:rsid w:val="009E2866"/>
    <w:rsid w:val="009E2BFC"/>
    <w:rsid w:val="009E357B"/>
    <w:rsid w:val="009E3701"/>
    <w:rsid w:val="009E4BD7"/>
    <w:rsid w:val="009E6713"/>
    <w:rsid w:val="009E6C75"/>
    <w:rsid w:val="009E7DCA"/>
    <w:rsid w:val="009F1FF8"/>
    <w:rsid w:val="009F2063"/>
    <w:rsid w:val="009F389F"/>
    <w:rsid w:val="009F3989"/>
    <w:rsid w:val="009F4439"/>
    <w:rsid w:val="009F46F1"/>
    <w:rsid w:val="009F5494"/>
    <w:rsid w:val="009F5CAA"/>
    <w:rsid w:val="009F6C9A"/>
    <w:rsid w:val="009F745C"/>
    <w:rsid w:val="009F7653"/>
    <w:rsid w:val="00A00E84"/>
    <w:rsid w:val="00A01BC6"/>
    <w:rsid w:val="00A01E5A"/>
    <w:rsid w:val="00A01E91"/>
    <w:rsid w:val="00A02346"/>
    <w:rsid w:val="00A03201"/>
    <w:rsid w:val="00A035C6"/>
    <w:rsid w:val="00A03BBE"/>
    <w:rsid w:val="00A05583"/>
    <w:rsid w:val="00A07559"/>
    <w:rsid w:val="00A1154F"/>
    <w:rsid w:val="00A11FEA"/>
    <w:rsid w:val="00A127B0"/>
    <w:rsid w:val="00A128FF"/>
    <w:rsid w:val="00A14362"/>
    <w:rsid w:val="00A15013"/>
    <w:rsid w:val="00A17300"/>
    <w:rsid w:val="00A216C6"/>
    <w:rsid w:val="00A21C45"/>
    <w:rsid w:val="00A23071"/>
    <w:rsid w:val="00A26803"/>
    <w:rsid w:val="00A303D8"/>
    <w:rsid w:val="00A30681"/>
    <w:rsid w:val="00A30923"/>
    <w:rsid w:val="00A30C24"/>
    <w:rsid w:val="00A315CB"/>
    <w:rsid w:val="00A32615"/>
    <w:rsid w:val="00A33A5A"/>
    <w:rsid w:val="00A341EC"/>
    <w:rsid w:val="00A35986"/>
    <w:rsid w:val="00A35AD4"/>
    <w:rsid w:val="00A35FA8"/>
    <w:rsid w:val="00A36CC2"/>
    <w:rsid w:val="00A36DBC"/>
    <w:rsid w:val="00A40621"/>
    <w:rsid w:val="00A412FC"/>
    <w:rsid w:val="00A444E9"/>
    <w:rsid w:val="00A44D6A"/>
    <w:rsid w:val="00A47C15"/>
    <w:rsid w:val="00A5134B"/>
    <w:rsid w:val="00A523EA"/>
    <w:rsid w:val="00A540D2"/>
    <w:rsid w:val="00A54EBE"/>
    <w:rsid w:val="00A56FC5"/>
    <w:rsid w:val="00A6035B"/>
    <w:rsid w:val="00A604B6"/>
    <w:rsid w:val="00A615DC"/>
    <w:rsid w:val="00A6256A"/>
    <w:rsid w:val="00A62810"/>
    <w:rsid w:val="00A646B9"/>
    <w:rsid w:val="00A649A0"/>
    <w:rsid w:val="00A65276"/>
    <w:rsid w:val="00A663F9"/>
    <w:rsid w:val="00A7046E"/>
    <w:rsid w:val="00A71104"/>
    <w:rsid w:val="00A71793"/>
    <w:rsid w:val="00A72E3A"/>
    <w:rsid w:val="00A73207"/>
    <w:rsid w:val="00A75FC7"/>
    <w:rsid w:val="00A7654E"/>
    <w:rsid w:val="00A76609"/>
    <w:rsid w:val="00A80069"/>
    <w:rsid w:val="00A824F4"/>
    <w:rsid w:val="00A83129"/>
    <w:rsid w:val="00A83402"/>
    <w:rsid w:val="00A8498C"/>
    <w:rsid w:val="00A850EE"/>
    <w:rsid w:val="00A851ED"/>
    <w:rsid w:val="00A860F6"/>
    <w:rsid w:val="00A86324"/>
    <w:rsid w:val="00A87112"/>
    <w:rsid w:val="00A871D9"/>
    <w:rsid w:val="00A87CE1"/>
    <w:rsid w:val="00A9005B"/>
    <w:rsid w:val="00A90BD9"/>
    <w:rsid w:val="00A91C57"/>
    <w:rsid w:val="00A91DAD"/>
    <w:rsid w:val="00A93398"/>
    <w:rsid w:val="00A940D4"/>
    <w:rsid w:val="00A94179"/>
    <w:rsid w:val="00A958FC"/>
    <w:rsid w:val="00A95F7E"/>
    <w:rsid w:val="00A965FE"/>
    <w:rsid w:val="00A9670B"/>
    <w:rsid w:val="00A96806"/>
    <w:rsid w:val="00A96B0F"/>
    <w:rsid w:val="00A97F89"/>
    <w:rsid w:val="00AA0478"/>
    <w:rsid w:val="00AA1634"/>
    <w:rsid w:val="00AA2C15"/>
    <w:rsid w:val="00AA3413"/>
    <w:rsid w:val="00AA3658"/>
    <w:rsid w:val="00AA3A5C"/>
    <w:rsid w:val="00AA5C0B"/>
    <w:rsid w:val="00AA754E"/>
    <w:rsid w:val="00AB05DB"/>
    <w:rsid w:val="00AB06A4"/>
    <w:rsid w:val="00AB0E23"/>
    <w:rsid w:val="00AB1AB0"/>
    <w:rsid w:val="00AB356C"/>
    <w:rsid w:val="00AB4187"/>
    <w:rsid w:val="00AB4861"/>
    <w:rsid w:val="00AB4CA6"/>
    <w:rsid w:val="00AB5056"/>
    <w:rsid w:val="00AB5F1E"/>
    <w:rsid w:val="00AB6D4B"/>
    <w:rsid w:val="00AB6DE1"/>
    <w:rsid w:val="00AB6F61"/>
    <w:rsid w:val="00AB76EE"/>
    <w:rsid w:val="00AC1724"/>
    <w:rsid w:val="00AC2702"/>
    <w:rsid w:val="00AC28D1"/>
    <w:rsid w:val="00AC31EF"/>
    <w:rsid w:val="00AC59DB"/>
    <w:rsid w:val="00AC5A8D"/>
    <w:rsid w:val="00AC6C76"/>
    <w:rsid w:val="00AD00CE"/>
    <w:rsid w:val="00AD033D"/>
    <w:rsid w:val="00AD0747"/>
    <w:rsid w:val="00AD1E5C"/>
    <w:rsid w:val="00AD29A6"/>
    <w:rsid w:val="00AD337A"/>
    <w:rsid w:val="00AD56BB"/>
    <w:rsid w:val="00AD58A8"/>
    <w:rsid w:val="00AD5AF3"/>
    <w:rsid w:val="00AD6008"/>
    <w:rsid w:val="00AD6480"/>
    <w:rsid w:val="00AE0968"/>
    <w:rsid w:val="00AE2C24"/>
    <w:rsid w:val="00AE6B9C"/>
    <w:rsid w:val="00AE6CA1"/>
    <w:rsid w:val="00AF0D8A"/>
    <w:rsid w:val="00AF11C9"/>
    <w:rsid w:val="00AF1A07"/>
    <w:rsid w:val="00AF216E"/>
    <w:rsid w:val="00AF362C"/>
    <w:rsid w:val="00AF37B0"/>
    <w:rsid w:val="00AF37C9"/>
    <w:rsid w:val="00AF3ECE"/>
    <w:rsid w:val="00AF45F6"/>
    <w:rsid w:val="00AF47D9"/>
    <w:rsid w:val="00AF4FBA"/>
    <w:rsid w:val="00AF6A00"/>
    <w:rsid w:val="00B02ECB"/>
    <w:rsid w:val="00B043E5"/>
    <w:rsid w:val="00B04A9F"/>
    <w:rsid w:val="00B05198"/>
    <w:rsid w:val="00B05ABC"/>
    <w:rsid w:val="00B063E3"/>
    <w:rsid w:val="00B0751F"/>
    <w:rsid w:val="00B14840"/>
    <w:rsid w:val="00B15151"/>
    <w:rsid w:val="00B155DC"/>
    <w:rsid w:val="00B17B57"/>
    <w:rsid w:val="00B202B7"/>
    <w:rsid w:val="00B203A0"/>
    <w:rsid w:val="00B21058"/>
    <w:rsid w:val="00B21340"/>
    <w:rsid w:val="00B2465B"/>
    <w:rsid w:val="00B26E7C"/>
    <w:rsid w:val="00B274A0"/>
    <w:rsid w:val="00B317E1"/>
    <w:rsid w:val="00B31B33"/>
    <w:rsid w:val="00B3270D"/>
    <w:rsid w:val="00B327FB"/>
    <w:rsid w:val="00B35416"/>
    <w:rsid w:val="00B364CA"/>
    <w:rsid w:val="00B3702C"/>
    <w:rsid w:val="00B37162"/>
    <w:rsid w:val="00B401CF"/>
    <w:rsid w:val="00B4203C"/>
    <w:rsid w:val="00B429A0"/>
    <w:rsid w:val="00B42D24"/>
    <w:rsid w:val="00B4361A"/>
    <w:rsid w:val="00B44618"/>
    <w:rsid w:val="00B44A39"/>
    <w:rsid w:val="00B44E5D"/>
    <w:rsid w:val="00B4547A"/>
    <w:rsid w:val="00B47456"/>
    <w:rsid w:val="00B50A1F"/>
    <w:rsid w:val="00B5179F"/>
    <w:rsid w:val="00B51B79"/>
    <w:rsid w:val="00B52345"/>
    <w:rsid w:val="00B52C3C"/>
    <w:rsid w:val="00B53007"/>
    <w:rsid w:val="00B555BD"/>
    <w:rsid w:val="00B563D1"/>
    <w:rsid w:val="00B579D3"/>
    <w:rsid w:val="00B6080C"/>
    <w:rsid w:val="00B61400"/>
    <w:rsid w:val="00B61AEC"/>
    <w:rsid w:val="00B648F9"/>
    <w:rsid w:val="00B65BE6"/>
    <w:rsid w:val="00B66723"/>
    <w:rsid w:val="00B67F80"/>
    <w:rsid w:val="00B70DA1"/>
    <w:rsid w:val="00B70E1D"/>
    <w:rsid w:val="00B72114"/>
    <w:rsid w:val="00B732D4"/>
    <w:rsid w:val="00B73791"/>
    <w:rsid w:val="00B73E4D"/>
    <w:rsid w:val="00B7461A"/>
    <w:rsid w:val="00B74C67"/>
    <w:rsid w:val="00B74D26"/>
    <w:rsid w:val="00B777E3"/>
    <w:rsid w:val="00B80162"/>
    <w:rsid w:val="00B803D5"/>
    <w:rsid w:val="00B839E0"/>
    <w:rsid w:val="00B84980"/>
    <w:rsid w:val="00B87BF2"/>
    <w:rsid w:val="00B905C2"/>
    <w:rsid w:val="00B948B2"/>
    <w:rsid w:val="00B94C88"/>
    <w:rsid w:val="00B95563"/>
    <w:rsid w:val="00B96AD3"/>
    <w:rsid w:val="00B973A9"/>
    <w:rsid w:val="00B977DD"/>
    <w:rsid w:val="00BA026F"/>
    <w:rsid w:val="00BA0E6F"/>
    <w:rsid w:val="00BA1919"/>
    <w:rsid w:val="00BA2EF3"/>
    <w:rsid w:val="00BA3756"/>
    <w:rsid w:val="00BA3E26"/>
    <w:rsid w:val="00BA4952"/>
    <w:rsid w:val="00BA4FC2"/>
    <w:rsid w:val="00BA5930"/>
    <w:rsid w:val="00BA5C5A"/>
    <w:rsid w:val="00BA6551"/>
    <w:rsid w:val="00BA6D49"/>
    <w:rsid w:val="00BA6F6F"/>
    <w:rsid w:val="00BB0FA8"/>
    <w:rsid w:val="00BB3F73"/>
    <w:rsid w:val="00BB4E54"/>
    <w:rsid w:val="00BB58E5"/>
    <w:rsid w:val="00BB6B1F"/>
    <w:rsid w:val="00BC14C9"/>
    <w:rsid w:val="00BC206B"/>
    <w:rsid w:val="00BC275C"/>
    <w:rsid w:val="00BC295A"/>
    <w:rsid w:val="00BC2C4A"/>
    <w:rsid w:val="00BC3452"/>
    <w:rsid w:val="00BC4028"/>
    <w:rsid w:val="00BC4D0E"/>
    <w:rsid w:val="00BC4FB3"/>
    <w:rsid w:val="00BC5736"/>
    <w:rsid w:val="00BC5A04"/>
    <w:rsid w:val="00BC7B28"/>
    <w:rsid w:val="00BD09BB"/>
    <w:rsid w:val="00BD0A7D"/>
    <w:rsid w:val="00BD222C"/>
    <w:rsid w:val="00BD264F"/>
    <w:rsid w:val="00BD2839"/>
    <w:rsid w:val="00BD2CD4"/>
    <w:rsid w:val="00BD5A6B"/>
    <w:rsid w:val="00BD5A9C"/>
    <w:rsid w:val="00BD5EED"/>
    <w:rsid w:val="00BD6C73"/>
    <w:rsid w:val="00BD6CDB"/>
    <w:rsid w:val="00BD78C5"/>
    <w:rsid w:val="00BE02C2"/>
    <w:rsid w:val="00BE1838"/>
    <w:rsid w:val="00BE1975"/>
    <w:rsid w:val="00BE2060"/>
    <w:rsid w:val="00BE2F37"/>
    <w:rsid w:val="00BE3B91"/>
    <w:rsid w:val="00BE44DD"/>
    <w:rsid w:val="00BE4F01"/>
    <w:rsid w:val="00BE6133"/>
    <w:rsid w:val="00BE6718"/>
    <w:rsid w:val="00BE6CB7"/>
    <w:rsid w:val="00BF0E8C"/>
    <w:rsid w:val="00BF46ED"/>
    <w:rsid w:val="00BF4D45"/>
    <w:rsid w:val="00BF5FDC"/>
    <w:rsid w:val="00BF6930"/>
    <w:rsid w:val="00C02312"/>
    <w:rsid w:val="00C03229"/>
    <w:rsid w:val="00C05005"/>
    <w:rsid w:val="00C06079"/>
    <w:rsid w:val="00C11029"/>
    <w:rsid w:val="00C11288"/>
    <w:rsid w:val="00C144D1"/>
    <w:rsid w:val="00C14C87"/>
    <w:rsid w:val="00C15DC3"/>
    <w:rsid w:val="00C17EAA"/>
    <w:rsid w:val="00C17EC5"/>
    <w:rsid w:val="00C2164F"/>
    <w:rsid w:val="00C2255C"/>
    <w:rsid w:val="00C235B3"/>
    <w:rsid w:val="00C27F11"/>
    <w:rsid w:val="00C30662"/>
    <w:rsid w:val="00C306C1"/>
    <w:rsid w:val="00C31ED7"/>
    <w:rsid w:val="00C35B25"/>
    <w:rsid w:val="00C400E4"/>
    <w:rsid w:val="00C43B12"/>
    <w:rsid w:val="00C43F02"/>
    <w:rsid w:val="00C46807"/>
    <w:rsid w:val="00C46A59"/>
    <w:rsid w:val="00C47AFB"/>
    <w:rsid w:val="00C502C0"/>
    <w:rsid w:val="00C502FA"/>
    <w:rsid w:val="00C521BA"/>
    <w:rsid w:val="00C52EBC"/>
    <w:rsid w:val="00C5347D"/>
    <w:rsid w:val="00C53859"/>
    <w:rsid w:val="00C54A20"/>
    <w:rsid w:val="00C568E2"/>
    <w:rsid w:val="00C62064"/>
    <w:rsid w:val="00C628B6"/>
    <w:rsid w:val="00C650EC"/>
    <w:rsid w:val="00C65BF9"/>
    <w:rsid w:val="00C66CA0"/>
    <w:rsid w:val="00C67592"/>
    <w:rsid w:val="00C67F8D"/>
    <w:rsid w:val="00C71634"/>
    <w:rsid w:val="00C72074"/>
    <w:rsid w:val="00C739B0"/>
    <w:rsid w:val="00C73A45"/>
    <w:rsid w:val="00C740C1"/>
    <w:rsid w:val="00C74672"/>
    <w:rsid w:val="00C74E5D"/>
    <w:rsid w:val="00C75B94"/>
    <w:rsid w:val="00C75E5A"/>
    <w:rsid w:val="00C77924"/>
    <w:rsid w:val="00C779B8"/>
    <w:rsid w:val="00C8087E"/>
    <w:rsid w:val="00C81AD2"/>
    <w:rsid w:val="00C843C6"/>
    <w:rsid w:val="00C84D1A"/>
    <w:rsid w:val="00C85BCF"/>
    <w:rsid w:val="00C86BD1"/>
    <w:rsid w:val="00C87785"/>
    <w:rsid w:val="00C905C4"/>
    <w:rsid w:val="00C90804"/>
    <w:rsid w:val="00C9103E"/>
    <w:rsid w:val="00C91400"/>
    <w:rsid w:val="00C918FD"/>
    <w:rsid w:val="00C91A50"/>
    <w:rsid w:val="00C938F8"/>
    <w:rsid w:val="00C9402D"/>
    <w:rsid w:val="00C95B08"/>
    <w:rsid w:val="00C96336"/>
    <w:rsid w:val="00CA0553"/>
    <w:rsid w:val="00CA0FDA"/>
    <w:rsid w:val="00CA1108"/>
    <w:rsid w:val="00CA118B"/>
    <w:rsid w:val="00CA1907"/>
    <w:rsid w:val="00CA22B9"/>
    <w:rsid w:val="00CA32B9"/>
    <w:rsid w:val="00CA4EBD"/>
    <w:rsid w:val="00CA658A"/>
    <w:rsid w:val="00CA79B1"/>
    <w:rsid w:val="00CB0680"/>
    <w:rsid w:val="00CB0729"/>
    <w:rsid w:val="00CB23D0"/>
    <w:rsid w:val="00CB3194"/>
    <w:rsid w:val="00CB57EA"/>
    <w:rsid w:val="00CB5EF5"/>
    <w:rsid w:val="00CB6098"/>
    <w:rsid w:val="00CB657E"/>
    <w:rsid w:val="00CB7D1B"/>
    <w:rsid w:val="00CC056F"/>
    <w:rsid w:val="00CC14F0"/>
    <w:rsid w:val="00CC2D3E"/>
    <w:rsid w:val="00CC48D3"/>
    <w:rsid w:val="00CC4BC2"/>
    <w:rsid w:val="00CC4CB1"/>
    <w:rsid w:val="00CC4F45"/>
    <w:rsid w:val="00CC5267"/>
    <w:rsid w:val="00CC5C1A"/>
    <w:rsid w:val="00CC5E36"/>
    <w:rsid w:val="00CC5EA7"/>
    <w:rsid w:val="00CD0AC0"/>
    <w:rsid w:val="00CD277C"/>
    <w:rsid w:val="00CD3332"/>
    <w:rsid w:val="00CD507E"/>
    <w:rsid w:val="00CD6296"/>
    <w:rsid w:val="00CE0222"/>
    <w:rsid w:val="00CE0562"/>
    <w:rsid w:val="00CE1B6F"/>
    <w:rsid w:val="00CE28A1"/>
    <w:rsid w:val="00CE3750"/>
    <w:rsid w:val="00CE3A42"/>
    <w:rsid w:val="00CE49FC"/>
    <w:rsid w:val="00CE5228"/>
    <w:rsid w:val="00CE6A52"/>
    <w:rsid w:val="00CE741D"/>
    <w:rsid w:val="00CF0209"/>
    <w:rsid w:val="00CF0900"/>
    <w:rsid w:val="00CF0C37"/>
    <w:rsid w:val="00CF14B9"/>
    <w:rsid w:val="00CF14E4"/>
    <w:rsid w:val="00CF1782"/>
    <w:rsid w:val="00CF2AF0"/>
    <w:rsid w:val="00CF381D"/>
    <w:rsid w:val="00CF3B9C"/>
    <w:rsid w:val="00CF43FF"/>
    <w:rsid w:val="00D00365"/>
    <w:rsid w:val="00D0396B"/>
    <w:rsid w:val="00D03BAC"/>
    <w:rsid w:val="00D03D08"/>
    <w:rsid w:val="00D0547B"/>
    <w:rsid w:val="00D05BCD"/>
    <w:rsid w:val="00D10B53"/>
    <w:rsid w:val="00D10EFD"/>
    <w:rsid w:val="00D11FA7"/>
    <w:rsid w:val="00D147AC"/>
    <w:rsid w:val="00D16F3F"/>
    <w:rsid w:val="00D17706"/>
    <w:rsid w:val="00D21469"/>
    <w:rsid w:val="00D21CEB"/>
    <w:rsid w:val="00D22214"/>
    <w:rsid w:val="00D2287B"/>
    <w:rsid w:val="00D23672"/>
    <w:rsid w:val="00D24145"/>
    <w:rsid w:val="00D24B5B"/>
    <w:rsid w:val="00D25B2F"/>
    <w:rsid w:val="00D2605F"/>
    <w:rsid w:val="00D31362"/>
    <w:rsid w:val="00D33489"/>
    <w:rsid w:val="00D336C4"/>
    <w:rsid w:val="00D33B7A"/>
    <w:rsid w:val="00D340B8"/>
    <w:rsid w:val="00D34C3E"/>
    <w:rsid w:val="00D365BE"/>
    <w:rsid w:val="00D37A2D"/>
    <w:rsid w:val="00D4030C"/>
    <w:rsid w:val="00D40B41"/>
    <w:rsid w:val="00D43A82"/>
    <w:rsid w:val="00D44BDE"/>
    <w:rsid w:val="00D4520E"/>
    <w:rsid w:val="00D45740"/>
    <w:rsid w:val="00D45887"/>
    <w:rsid w:val="00D45D97"/>
    <w:rsid w:val="00D477FF"/>
    <w:rsid w:val="00D47D17"/>
    <w:rsid w:val="00D47D36"/>
    <w:rsid w:val="00D509C2"/>
    <w:rsid w:val="00D50CBD"/>
    <w:rsid w:val="00D53594"/>
    <w:rsid w:val="00D53E7F"/>
    <w:rsid w:val="00D56621"/>
    <w:rsid w:val="00D567DB"/>
    <w:rsid w:val="00D570D2"/>
    <w:rsid w:val="00D57417"/>
    <w:rsid w:val="00D57681"/>
    <w:rsid w:val="00D60D28"/>
    <w:rsid w:val="00D60EEC"/>
    <w:rsid w:val="00D63AE4"/>
    <w:rsid w:val="00D65E20"/>
    <w:rsid w:val="00D66A65"/>
    <w:rsid w:val="00D66ECF"/>
    <w:rsid w:val="00D67012"/>
    <w:rsid w:val="00D67356"/>
    <w:rsid w:val="00D675DF"/>
    <w:rsid w:val="00D7153D"/>
    <w:rsid w:val="00D75D6A"/>
    <w:rsid w:val="00D7724E"/>
    <w:rsid w:val="00D80902"/>
    <w:rsid w:val="00D80BEB"/>
    <w:rsid w:val="00D8318E"/>
    <w:rsid w:val="00D83701"/>
    <w:rsid w:val="00D83B79"/>
    <w:rsid w:val="00D84202"/>
    <w:rsid w:val="00D864F3"/>
    <w:rsid w:val="00D873F2"/>
    <w:rsid w:val="00D87869"/>
    <w:rsid w:val="00D90F33"/>
    <w:rsid w:val="00D9220A"/>
    <w:rsid w:val="00D945DE"/>
    <w:rsid w:val="00D94C72"/>
    <w:rsid w:val="00D94ED8"/>
    <w:rsid w:val="00D95984"/>
    <w:rsid w:val="00D966DD"/>
    <w:rsid w:val="00D97012"/>
    <w:rsid w:val="00D9735D"/>
    <w:rsid w:val="00DA0070"/>
    <w:rsid w:val="00DA1B90"/>
    <w:rsid w:val="00DA231E"/>
    <w:rsid w:val="00DA2AB3"/>
    <w:rsid w:val="00DA3313"/>
    <w:rsid w:val="00DA35ED"/>
    <w:rsid w:val="00DA4D89"/>
    <w:rsid w:val="00DA4E7F"/>
    <w:rsid w:val="00DA6806"/>
    <w:rsid w:val="00DA6F36"/>
    <w:rsid w:val="00DB0131"/>
    <w:rsid w:val="00DB1915"/>
    <w:rsid w:val="00DB2482"/>
    <w:rsid w:val="00DB532D"/>
    <w:rsid w:val="00DB647C"/>
    <w:rsid w:val="00DB75E8"/>
    <w:rsid w:val="00DB77CB"/>
    <w:rsid w:val="00DB7A8B"/>
    <w:rsid w:val="00DC1B40"/>
    <w:rsid w:val="00DC22B6"/>
    <w:rsid w:val="00DC39AA"/>
    <w:rsid w:val="00DC3BC8"/>
    <w:rsid w:val="00DC4873"/>
    <w:rsid w:val="00DC5C94"/>
    <w:rsid w:val="00DC64CD"/>
    <w:rsid w:val="00DC67D3"/>
    <w:rsid w:val="00DD365C"/>
    <w:rsid w:val="00DD670A"/>
    <w:rsid w:val="00DD7573"/>
    <w:rsid w:val="00DD7F96"/>
    <w:rsid w:val="00DE17B7"/>
    <w:rsid w:val="00DE1B40"/>
    <w:rsid w:val="00DE458F"/>
    <w:rsid w:val="00DE4A3C"/>
    <w:rsid w:val="00DE690E"/>
    <w:rsid w:val="00DF0273"/>
    <w:rsid w:val="00DF0411"/>
    <w:rsid w:val="00DF1052"/>
    <w:rsid w:val="00DF1B62"/>
    <w:rsid w:val="00DF1E4B"/>
    <w:rsid w:val="00DF34B2"/>
    <w:rsid w:val="00DF373F"/>
    <w:rsid w:val="00DF423C"/>
    <w:rsid w:val="00DF4A2F"/>
    <w:rsid w:val="00DF512E"/>
    <w:rsid w:val="00DF64F7"/>
    <w:rsid w:val="00DF739A"/>
    <w:rsid w:val="00DF7C50"/>
    <w:rsid w:val="00E00101"/>
    <w:rsid w:val="00E0178C"/>
    <w:rsid w:val="00E01F82"/>
    <w:rsid w:val="00E022EA"/>
    <w:rsid w:val="00E02A4C"/>
    <w:rsid w:val="00E03947"/>
    <w:rsid w:val="00E03BFB"/>
    <w:rsid w:val="00E04245"/>
    <w:rsid w:val="00E07D9E"/>
    <w:rsid w:val="00E10094"/>
    <w:rsid w:val="00E111A9"/>
    <w:rsid w:val="00E11314"/>
    <w:rsid w:val="00E120B3"/>
    <w:rsid w:val="00E12726"/>
    <w:rsid w:val="00E128C0"/>
    <w:rsid w:val="00E136C8"/>
    <w:rsid w:val="00E13D52"/>
    <w:rsid w:val="00E14969"/>
    <w:rsid w:val="00E15B24"/>
    <w:rsid w:val="00E16398"/>
    <w:rsid w:val="00E1721C"/>
    <w:rsid w:val="00E200DB"/>
    <w:rsid w:val="00E20461"/>
    <w:rsid w:val="00E22B84"/>
    <w:rsid w:val="00E22C77"/>
    <w:rsid w:val="00E23674"/>
    <w:rsid w:val="00E24954"/>
    <w:rsid w:val="00E24DBE"/>
    <w:rsid w:val="00E26DC8"/>
    <w:rsid w:val="00E27E14"/>
    <w:rsid w:val="00E31529"/>
    <w:rsid w:val="00E32326"/>
    <w:rsid w:val="00E3255C"/>
    <w:rsid w:val="00E327A9"/>
    <w:rsid w:val="00E341DD"/>
    <w:rsid w:val="00E35E6A"/>
    <w:rsid w:val="00E36587"/>
    <w:rsid w:val="00E36C98"/>
    <w:rsid w:val="00E40974"/>
    <w:rsid w:val="00E40C1E"/>
    <w:rsid w:val="00E41AB3"/>
    <w:rsid w:val="00E4210C"/>
    <w:rsid w:val="00E424C1"/>
    <w:rsid w:val="00E42A7C"/>
    <w:rsid w:val="00E4393A"/>
    <w:rsid w:val="00E43B26"/>
    <w:rsid w:val="00E443B9"/>
    <w:rsid w:val="00E444D0"/>
    <w:rsid w:val="00E46060"/>
    <w:rsid w:val="00E508E4"/>
    <w:rsid w:val="00E50FBF"/>
    <w:rsid w:val="00E5132D"/>
    <w:rsid w:val="00E513F0"/>
    <w:rsid w:val="00E51BD8"/>
    <w:rsid w:val="00E535AF"/>
    <w:rsid w:val="00E53960"/>
    <w:rsid w:val="00E61975"/>
    <w:rsid w:val="00E62BE3"/>
    <w:rsid w:val="00E63633"/>
    <w:rsid w:val="00E6376A"/>
    <w:rsid w:val="00E642DF"/>
    <w:rsid w:val="00E645E3"/>
    <w:rsid w:val="00E67575"/>
    <w:rsid w:val="00E67D31"/>
    <w:rsid w:val="00E7194F"/>
    <w:rsid w:val="00E71DF6"/>
    <w:rsid w:val="00E72690"/>
    <w:rsid w:val="00E72857"/>
    <w:rsid w:val="00E72B35"/>
    <w:rsid w:val="00E73033"/>
    <w:rsid w:val="00E7321B"/>
    <w:rsid w:val="00E74483"/>
    <w:rsid w:val="00E75CA6"/>
    <w:rsid w:val="00E76764"/>
    <w:rsid w:val="00E76AC1"/>
    <w:rsid w:val="00E80739"/>
    <w:rsid w:val="00E80A1E"/>
    <w:rsid w:val="00E80D31"/>
    <w:rsid w:val="00E8294C"/>
    <w:rsid w:val="00E830D1"/>
    <w:rsid w:val="00E85838"/>
    <w:rsid w:val="00E87BBA"/>
    <w:rsid w:val="00E90E98"/>
    <w:rsid w:val="00E91EBD"/>
    <w:rsid w:val="00E921E7"/>
    <w:rsid w:val="00E930D9"/>
    <w:rsid w:val="00E9330D"/>
    <w:rsid w:val="00E9677E"/>
    <w:rsid w:val="00E9724E"/>
    <w:rsid w:val="00EA190C"/>
    <w:rsid w:val="00EA2599"/>
    <w:rsid w:val="00EA40EA"/>
    <w:rsid w:val="00EA4959"/>
    <w:rsid w:val="00EA5477"/>
    <w:rsid w:val="00EA588A"/>
    <w:rsid w:val="00EA6A7E"/>
    <w:rsid w:val="00EA6CFB"/>
    <w:rsid w:val="00EB06B5"/>
    <w:rsid w:val="00EB2A96"/>
    <w:rsid w:val="00EB3E6A"/>
    <w:rsid w:val="00EB4462"/>
    <w:rsid w:val="00EB4D47"/>
    <w:rsid w:val="00EB5704"/>
    <w:rsid w:val="00EB5882"/>
    <w:rsid w:val="00EB5B5E"/>
    <w:rsid w:val="00EB61C9"/>
    <w:rsid w:val="00EB6428"/>
    <w:rsid w:val="00EB7A32"/>
    <w:rsid w:val="00EC009F"/>
    <w:rsid w:val="00EC0303"/>
    <w:rsid w:val="00EC30F1"/>
    <w:rsid w:val="00EC4DDF"/>
    <w:rsid w:val="00EC7F69"/>
    <w:rsid w:val="00ED0209"/>
    <w:rsid w:val="00ED0E96"/>
    <w:rsid w:val="00ED3752"/>
    <w:rsid w:val="00ED5831"/>
    <w:rsid w:val="00ED6997"/>
    <w:rsid w:val="00ED705F"/>
    <w:rsid w:val="00ED7B97"/>
    <w:rsid w:val="00EE16E1"/>
    <w:rsid w:val="00EE1853"/>
    <w:rsid w:val="00EE5581"/>
    <w:rsid w:val="00EE6A20"/>
    <w:rsid w:val="00EF252E"/>
    <w:rsid w:val="00EF2CA7"/>
    <w:rsid w:val="00EF31CD"/>
    <w:rsid w:val="00EF64FC"/>
    <w:rsid w:val="00EF7DEA"/>
    <w:rsid w:val="00F011D1"/>
    <w:rsid w:val="00F03B83"/>
    <w:rsid w:val="00F0487E"/>
    <w:rsid w:val="00F04FC3"/>
    <w:rsid w:val="00F07EBE"/>
    <w:rsid w:val="00F10B6C"/>
    <w:rsid w:val="00F11782"/>
    <w:rsid w:val="00F140CF"/>
    <w:rsid w:val="00F14ADB"/>
    <w:rsid w:val="00F15A0B"/>
    <w:rsid w:val="00F16095"/>
    <w:rsid w:val="00F20533"/>
    <w:rsid w:val="00F23B00"/>
    <w:rsid w:val="00F23E05"/>
    <w:rsid w:val="00F23F0C"/>
    <w:rsid w:val="00F25005"/>
    <w:rsid w:val="00F26316"/>
    <w:rsid w:val="00F27448"/>
    <w:rsid w:val="00F31850"/>
    <w:rsid w:val="00F336DA"/>
    <w:rsid w:val="00F33D06"/>
    <w:rsid w:val="00F34E07"/>
    <w:rsid w:val="00F35B22"/>
    <w:rsid w:val="00F36086"/>
    <w:rsid w:val="00F36BC3"/>
    <w:rsid w:val="00F36CD2"/>
    <w:rsid w:val="00F4012D"/>
    <w:rsid w:val="00F4074D"/>
    <w:rsid w:val="00F40D3E"/>
    <w:rsid w:val="00F43418"/>
    <w:rsid w:val="00F435F3"/>
    <w:rsid w:val="00F43C6A"/>
    <w:rsid w:val="00F45288"/>
    <w:rsid w:val="00F45EE2"/>
    <w:rsid w:val="00F47364"/>
    <w:rsid w:val="00F4786E"/>
    <w:rsid w:val="00F47C7E"/>
    <w:rsid w:val="00F51B45"/>
    <w:rsid w:val="00F548A4"/>
    <w:rsid w:val="00F55494"/>
    <w:rsid w:val="00F554C2"/>
    <w:rsid w:val="00F568FB"/>
    <w:rsid w:val="00F576B2"/>
    <w:rsid w:val="00F62BE4"/>
    <w:rsid w:val="00F645C4"/>
    <w:rsid w:val="00F6636D"/>
    <w:rsid w:val="00F66721"/>
    <w:rsid w:val="00F6752B"/>
    <w:rsid w:val="00F677CD"/>
    <w:rsid w:val="00F701C8"/>
    <w:rsid w:val="00F71301"/>
    <w:rsid w:val="00F716DA"/>
    <w:rsid w:val="00F7598D"/>
    <w:rsid w:val="00F770AD"/>
    <w:rsid w:val="00F77871"/>
    <w:rsid w:val="00F7796C"/>
    <w:rsid w:val="00F82AE4"/>
    <w:rsid w:val="00F8321C"/>
    <w:rsid w:val="00F83511"/>
    <w:rsid w:val="00F83B68"/>
    <w:rsid w:val="00F8514D"/>
    <w:rsid w:val="00F861FF"/>
    <w:rsid w:val="00F86AD0"/>
    <w:rsid w:val="00F95325"/>
    <w:rsid w:val="00F9755B"/>
    <w:rsid w:val="00F97DD6"/>
    <w:rsid w:val="00FA03FA"/>
    <w:rsid w:val="00FA3E8A"/>
    <w:rsid w:val="00FA468A"/>
    <w:rsid w:val="00FA4A00"/>
    <w:rsid w:val="00FA4E0D"/>
    <w:rsid w:val="00FA585A"/>
    <w:rsid w:val="00FA5DF0"/>
    <w:rsid w:val="00FA764B"/>
    <w:rsid w:val="00FA7B28"/>
    <w:rsid w:val="00FA7E84"/>
    <w:rsid w:val="00FA7FE8"/>
    <w:rsid w:val="00FB0160"/>
    <w:rsid w:val="00FB0DA7"/>
    <w:rsid w:val="00FB3018"/>
    <w:rsid w:val="00FB3801"/>
    <w:rsid w:val="00FB3BA4"/>
    <w:rsid w:val="00FB4C24"/>
    <w:rsid w:val="00FB7613"/>
    <w:rsid w:val="00FC0271"/>
    <w:rsid w:val="00FC17B8"/>
    <w:rsid w:val="00FC2873"/>
    <w:rsid w:val="00FC3197"/>
    <w:rsid w:val="00FC35A0"/>
    <w:rsid w:val="00FC4403"/>
    <w:rsid w:val="00FC4B76"/>
    <w:rsid w:val="00FC4EDD"/>
    <w:rsid w:val="00FC5C3B"/>
    <w:rsid w:val="00FC6B95"/>
    <w:rsid w:val="00FC7930"/>
    <w:rsid w:val="00FC7E9C"/>
    <w:rsid w:val="00FD05FC"/>
    <w:rsid w:val="00FD1BF1"/>
    <w:rsid w:val="00FD1DB8"/>
    <w:rsid w:val="00FD287D"/>
    <w:rsid w:val="00FD602B"/>
    <w:rsid w:val="00FD62B8"/>
    <w:rsid w:val="00FD7619"/>
    <w:rsid w:val="00FD7F2D"/>
    <w:rsid w:val="00FE04B3"/>
    <w:rsid w:val="00FE05B8"/>
    <w:rsid w:val="00FE2858"/>
    <w:rsid w:val="00FE2EEC"/>
    <w:rsid w:val="00FE3A6E"/>
    <w:rsid w:val="00FE5C9F"/>
    <w:rsid w:val="00FE6514"/>
    <w:rsid w:val="00FE652E"/>
    <w:rsid w:val="00FF07A8"/>
    <w:rsid w:val="00FF2028"/>
    <w:rsid w:val="00FF20D8"/>
    <w:rsid w:val="00FF22CD"/>
    <w:rsid w:val="00FF2C14"/>
    <w:rsid w:val="00FF3518"/>
    <w:rsid w:val="00FF6476"/>
    <w:rsid w:val="00FF67AC"/>
    <w:rsid w:val="00FF7613"/>
    <w:rsid w:val="00FF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EB67"/>
  <w15:chartTrackingRefBased/>
  <w15:docId w15:val="{0E171950-EB6E-3643-8A96-076449BE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89"/>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C4F45"/>
    <w:rPr>
      <w:rFonts w:eastAsiaTheme="minorHAnsi"/>
      <w:sz w:val="18"/>
      <w:szCs w:val="18"/>
    </w:rPr>
  </w:style>
  <w:style w:type="character" w:customStyle="1" w:styleId="BalloonTextChar">
    <w:name w:val="Balloon Text Char"/>
    <w:basedOn w:val="DefaultParagraphFont"/>
    <w:link w:val="BalloonText"/>
    <w:uiPriority w:val="99"/>
    <w:semiHidden/>
    <w:rsid w:val="00CC4F45"/>
    <w:rPr>
      <w:rFonts w:ascii="Times New Roman" w:hAnsi="Times New Roman" w:cs="Times New Roman"/>
      <w:sz w:val="18"/>
      <w:szCs w:val="18"/>
    </w:rPr>
  </w:style>
  <w:style w:type="paragraph" w:styleId="Bibliography">
    <w:name w:val="Bibliography"/>
    <w:basedOn w:val="Normal"/>
    <w:next w:val="Normal"/>
    <w:uiPriority w:val="37"/>
    <w:unhideWhenUsed/>
    <w:rsid w:val="0079421B"/>
    <w:pPr>
      <w:tabs>
        <w:tab w:val="left" w:pos="260"/>
      </w:tabs>
      <w:spacing w:line="480" w:lineRule="auto"/>
      <w:ind w:left="264" w:hanging="264"/>
    </w:pPr>
    <w:rPr>
      <w:rFonts w:asciiTheme="minorHAnsi" w:eastAsiaTheme="minorHAnsi" w:hAnsiTheme="minorHAnsi" w:cstheme="minorBidi"/>
    </w:rPr>
  </w:style>
  <w:style w:type="character" w:styleId="PlaceholderText">
    <w:name w:val="Placeholder Text"/>
    <w:basedOn w:val="DefaultParagraphFont"/>
    <w:uiPriority w:val="99"/>
    <w:semiHidden/>
    <w:rsid w:val="00F576B2"/>
    <w:rPr>
      <w:color w:val="808080"/>
    </w:rPr>
  </w:style>
  <w:style w:type="paragraph" w:styleId="Header">
    <w:name w:val="header"/>
    <w:basedOn w:val="Normal"/>
    <w:link w:val="HeaderChar"/>
    <w:uiPriority w:val="99"/>
    <w:unhideWhenUsed/>
    <w:rsid w:val="00962E9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62E91"/>
  </w:style>
  <w:style w:type="paragraph" w:styleId="Footer">
    <w:name w:val="footer"/>
    <w:basedOn w:val="Normal"/>
    <w:link w:val="FooterChar"/>
    <w:uiPriority w:val="99"/>
    <w:unhideWhenUsed/>
    <w:rsid w:val="00962E9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62E91"/>
  </w:style>
  <w:style w:type="character" w:styleId="PageNumber">
    <w:name w:val="page number"/>
    <w:basedOn w:val="DefaultParagraphFont"/>
    <w:uiPriority w:val="99"/>
    <w:semiHidden/>
    <w:unhideWhenUsed/>
    <w:rsid w:val="00962E91"/>
  </w:style>
  <w:style w:type="character" w:styleId="CommentReference">
    <w:name w:val="annotation reference"/>
    <w:basedOn w:val="DefaultParagraphFont"/>
    <w:uiPriority w:val="99"/>
    <w:semiHidden/>
    <w:unhideWhenUsed/>
    <w:rsid w:val="007E6DDF"/>
    <w:rPr>
      <w:sz w:val="16"/>
      <w:szCs w:val="16"/>
    </w:rPr>
  </w:style>
  <w:style w:type="paragraph" w:styleId="CommentText">
    <w:name w:val="annotation text"/>
    <w:basedOn w:val="Normal"/>
    <w:link w:val="CommentTextChar"/>
    <w:uiPriority w:val="99"/>
    <w:semiHidden/>
    <w:unhideWhenUsed/>
    <w:rsid w:val="007E6DD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E6DDF"/>
    <w:rPr>
      <w:sz w:val="20"/>
      <w:szCs w:val="20"/>
    </w:rPr>
  </w:style>
  <w:style w:type="character" w:styleId="Hyperlink">
    <w:name w:val="Hyperlink"/>
    <w:basedOn w:val="DefaultParagraphFont"/>
    <w:uiPriority w:val="99"/>
    <w:unhideWhenUsed/>
    <w:rsid w:val="00C521BA"/>
    <w:rPr>
      <w:color w:val="0563C1" w:themeColor="hyperlink"/>
      <w:u w:val="single"/>
    </w:rPr>
  </w:style>
  <w:style w:type="character" w:customStyle="1" w:styleId="UnresolvedMention1">
    <w:name w:val="Unresolved Mention1"/>
    <w:basedOn w:val="DefaultParagraphFont"/>
    <w:uiPriority w:val="99"/>
    <w:semiHidden/>
    <w:unhideWhenUsed/>
    <w:rsid w:val="00FD7F2D"/>
    <w:rPr>
      <w:color w:val="605E5C"/>
      <w:shd w:val="clear" w:color="auto" w:fill="E1DFDD"/>
    </w:rPr>
  </w:style>
  <w:style w:type="paragraph" w:styleId="Revision">
    <w:name w:val="Revision"/>
    <w:hidden/>
    <w:uiPriority w:val="99"/>
    <w:semiHidden/>
    <w:rsid w:val="00772755"/>
  </w:style>
  <w:style w:type="paragraph" w:styleId="Caption">
    <w:name w:val="caption"/>
    <w:basedOn w:val="Normal"/>
    <w:next w:val="Normal"/>
    <w:uiPriority w:val="35"/>
    <w:unhideWhenUsed/>
    <w:qFormat/>
    <w:rsid w:val="00773EFB"/>
    <w:pPr>
      <w:spacing w:after="200"/>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semiHidden/>
    <w:unhideWhenUsed/>
    <w:rsid w:val="00773EFB"/>
    <w:rPr>
      <w:rFonts w:eastAsiaTheme="minorHAnsi"/>
    </w:rPr>
  </w:style>
  <w:style w:type="table" w:styleId="TableGrid">
    <w:name w:val="Table Grid"/>
    <w:basedOn w:val="TableNormal"/>
    <w:uiPriority w:val="39"/>
    <w:rsid w:val="00CE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A06C9"/>
  </w:style>
  <w:style w:type="paragraph" w:styleId="FootnoteText">
    <w:name w:val="footnote text"/>
    <w:basedOn w:val="Normal"/>
    <w:link w:val="FootnoteTextChar"/>
    <w:uiPriority w:val="99"/>
    <w:semiHidden/>
    <w:unhideWhenUsed/>
    <w:rsid w:val="00A7320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73207"/>
    <w:rPr>
      <w:sz w:val="20"/>
      <w:szCs w:val="20"/>
    </w:rPr>
  </w:style>
  <w:style w:type="character" w:styleId="FootnoteReference">
    <w:name w:val="footnote reference"/>
    <w:basedOn w:val="DefaultParagraphFont"/>
    <w:uiPriority w:val="99"/>
    <w:semiHidden/>
    <w:unhideWhenUsed/>
    <w:rsid w:val="00A73207"/>
    <w:rPr>
      <w:vertAlign w:val="superscript"/>
    </w:rPr>
  </w:style>
  <w:style w:type="paragraph" w:styleId="CommentSubject">
    <w:name w:val="annotation subject"/>
    <w:basedOn w:val="CommentText"/>
    <w:next w:val="CommentText"/>
    <w:link w:val="CommentSubjectChar"/>
    <w:uiPriority w:val="99"/>
    <w:semiHidden/>
    <w:unhideWhenUsed/>
    <w:rsid w:val="00CC2D3E"/>
    <w:rPr>
      <w:b/>
      <w:bCs/>
    </w:rPr>
  </w:style>
  <w:style w:type="character" w:customStyle="1" w:styleId="CommentSubjectChar">
    <w:name w:val="Comment Subject Char"/>
    <w:basedOn w:val="CommentTextChar"/>
    <w:link w:val="CommentSubject"/>
    <w:uiPriority w:val="99"/>
    <w:semiHidden/>
    <w:rsid w:val="00CC2D3E"/>
    <w:rPr>
      <w:b/>
      <w:bCs/>
      <w:sz w:val="20"/>
      <w:szCs w:val="20"/>
    </w:rPr>
  </w:style>
  <w:style w:type="numbering" w:customStyle="1" w:styleId="CurrentList1">
    <w:name w:val="Current List1"/>
    <w:uiPriority w:val="99"/>
    <w:rsid w:val="005D127E"/>
    <w:pPr>
      <w:numPr>
        <w:numId w:val="17"/>
      </w:numPr>
    </w:pPr>
  </w:style>
  <w:style w:type="character" w:styleId="FollowedHyperlink">
    <w:name w:val="FollowedHyperlink"/>
    <w:basedOn w:val="DefaultParagraphFont"/>
    <w:uiPriority w:val="99"/>
    <w:semiHidden/>
    <w:unhideWhenUsed/>
    <w:rsid w:val="00DF1052"/>
    <w:rPr>
      <w:color w:val="954F72" w:themeColor="followedHyperlink"/>
      <w:u w:val="single"/>
    </w:rPr>
  </w:style>
  <w:style w:type="paragraph" w:customStyle="1" w:styleId="xxxmsonormal">
    <w:name w:val="x_x_x_msonormal"/>
    <w:basedOn w:val="Normal"/>
    <w:rsid w:val="005E2354"/>
    <w:pPr>
      <w:spacing w:before="100" w:beforeAutospacing="1" w:after="100" w:afterAutospacing="1"/>
    </w:pPr>
  </w:style>
  <w:style w:type="character" w:customStyle="1" w:styleId="apple-converted-space">
    <w:name w:val="apple-converted-space"/>
    <w:basedOn w:val="DefaultParagraphFont"/>
    <w:rsid w:val="005E2354"/>
  </w:style>
  <w:style w:type="paragraph" w:customStyle="1" w:styleId="Heading-Main">
    <w:name w:val="Heading-Main"/>
    <w:basedOn w:val="Normal"/>
    <w:rsid w:val="000D25ED"/>
    <w:pPr>
      <w:keepNext/>
      <w:spacing w:before="240" w:after="120"/>
      <w:outlineLvl w:val="0"/>
    </w:pPr>
    <w:rPr>
      <w:b/>
      <w:bCs/>
      <w:kern w:val="28"/>
    </w:rPr>
  </w:style>
  <w:style w:type="paragraph" w:customStyle="1" w:styleId="KeyPoints">
    <w:name w:val="Key Points"/>
    <w:basedOn w:val="Normal"/>
    <w:rsid w:val="000D25ED"/>
    <w:pPr>
      <w:spacing w:before="120"/>
    </w:pPr>
  </w:style>
  <w:style w:type="character" w:styleId="UnresolvedMention">
    <w:name w:val="Unresolved Mention"/>
    <w:basedOn w:val="DefaultParagraphFont"/>
    <w:uiPriority w:val="99"/>
    <w:semiHidden/>
    <w:unhideWhenUsed/>
    <w:rsid w:val="00B8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243">
      <w:bodyDiv w:val="1"/>
      <w:marLeft w:val="0"/>
      <w:marRight w:val="0"/>
      <w:marTop w:val="0"/>
      <w:marBottom w:val="0"/>
      <w:divBdr>
        <w:top w:val="none" w:sz="0" w:space="0" w:color="auto"/>
        <w:left w:val="none" w:sz="0" w:space="0" w:color="auto"/>
        <w:bottom w:val="none" w:sz="0" w:space="0" w:color="auto"/>
        <w:right w:val="none" w:sz="0" w:space="0" w:color="auto"/>
      </w:divBdr>
    </w:div>
    <w:div w:id="96144970">
      <w:bodyDiv w:val="1"/>
      <w:marLeft w:val="0"/>
      <w:marRight w:val="0"/>
      <w:marTop w:val="0"/>
      <w:marBottom w:val="0"/>
      <w:divBdr>
        <w:top w:val="none" w:sz="0" w:space="0" w:color="auto"/>
        <w:left w:val="none" w:sz="0" w:space="0" w:color="auto"/>
        <w:bottom w:val="none" w:sz="0" w:space="0" w:color="auto"/>
        <w:right w:val="none" w:sz="0" w:space="0" w:color="auto"/>
      </w:divBdr>
    </w:div>
    <w:div w:id="216624360">
      <w:bodyDiv w:val="1"/>
      <w:marLeft w:val="0"/>
      <w:marRight w:val="0"/>
      <w:marTop w:val="0"/>
      <w:marBottom w:val="0"/>
      <w:divBdr>
        <w:top w:val="none" w:sz="0" w:space="0" w:color="auto"/>
        <w:left w:val="none" w:sz="0" w:space="0" w:color="auto"/>
        <w:bottom w:val="none" w:sz="0" w:space="0" w:color="auto"/>
        <w:right w:val="none" w:sz="0" w:space="0" w:color="auto"/>
      </w:divBdr>
    </w:div>
    <w:div w:id="341588012">
      <w:bodyDiv w:val="1"/>
      <w:marLeft w:val="0"/>
      <w:marRight w:val="0"/>
      <w:marTop w:val="0"/>
      <w:marBottom w:val="0"/>
      <w:divBdr>
        <w:top w:val="none" w:sz="0" w:space="0" w:color="auto"/>
        <w:left w:val="none" w:sz="0" w:space="0" w:color="auto"/>
        <w:bottom w:val="none" w:sz="0" w:space="0" w:color="auto"/>
        <w:right w:val="none" w:sz="0" w:space="0" w:color="auto"/>
      </w:divBdr>
    </w:div>
    <w:div w:id="421147637">
      <w:bodyDiv w:val="1"/>
      <w:marLeft w:val="0"/>
      <w:marRight w:val="0"/>
      <w:marTop w:val="0"/>
      <w:marBottom w:val="0"/>
      <w:divBdr>
        <w:top w:val="none" w:sz="0" w:space="0" w:color="auto"/>
        <w:left w:val="none" w:sz="0" w:space="0" w:color="auto"/>
        <w:bottom w:val="none" w:sz="0" w:space="0" w:color="auto"/>
        <w:right w:val="none" w:sz="0" w:space="0" w:color="auto"/>
      </w:divBdr>
    </w:div>
    <w:div w:id="471606148">
      <w:bodyDiv w:val="1"/>
      <w:marLeft w:val="0"/>
      <w:marRight w:val="0"/>
      <w:marTop w:val="0"/>
      <w:marBottom w:val="0"/>
      <w:divBdr>
        <w:top w:val="none" w:sz="0" w:space="0" w:color="auto"/>
        <w:left w:val="none" w:sz="0" w:space="0" w:color="auto"/>
        <w:bottom w:val="none" w:sz="0" w:space="0" w:color="auto"/>
        <w:right w:val="none" w:sz="0" w:space="0" w:color="auto"/>
      </w:divBdr>
    </w:div>
    <w:div w:id="505901659">
      <w:bodyDiv w:val="1"/>
      <w:marLeft w:val="0"/>
      <w:marRight w:val="0"/>
      <w:marTop w:val="0"/>
      <w:marBottom w:val="0"/>
      <w:divBdr>
        <w:top w:val="none" w:sz="0" w:space="0" w:color="auto"/>
        <w:left w:val="none" w:sz="0" w:space="0" w:color="auto"/>
        <w:bottom w:val="none" w:sz="0" w:space="0" w:color="auto"/>
        <w:right w:val="none" w:sz="0" w:space="0" w:color="auto"/>
      </w:divBdr>
      <w:divsChild>
        <w:div w:id="1976914013">
          <w:marLeft w:val="0"/>
          <w:marRight w:val="0"/>
          <w:marTop w:val="0"/>
          <w:marBottom w:val="0"/>
          <w:divBdr>
            <w:top w:val="none" w:sz="0" w:space="0" w:color="auto"/>
            <w:left w:val="none" w:sz="0" w:space="0" w:color="auto"/>
            <w:bottom w:val="none" w:sz="0" w:space="0" w:color="auto"/>
            <w:right w:val="none" w:sz="0" w:space="0" w:color="auto"/>
          </w:divBdr>
          <w:divsChild>
            <w:div w:id="101850217">
              <w:marLeft w:val="0"/>
              <w:marRight w:val="0"/>
              <w:marTop w:val="0"/>
              <w:marBottom w:val="0"/>
              <w:divBdr>
                <w:top w:val="none" w:sz="0" w:space="0" w:color="auto"/>
                <w:left w:val="none" w:sz="0" w:space="0" w:color="auto"/>
                <w:bottom w:val="none" w:sz="0" w:space="0" w:color="auto"/>
                <w:right w:val="none" w:sz="0" w:space="0" w:color="auto"/>
              </w:divBdr>
              <w:divsChild>
                <w:div w:id="855384140">
                  <w:marLeft w:val="0"/>
                  <w:marRight w:val="0"/>
                  <w:marTop w:val="0"/>
                  <w:marBottom w:val="0"/>
                  <w:divBdr>
                    <w:top w:val="none" w:sz="0" w:space="0" w:color="auto"/>
                    <w:left w:val="none" w:sz="0" w:space="0" w:color="auto"/>
                    <w:bottom w:val="none" w:sz="0" w:space="0" w:color="auto"/>
                    <w:right w:val="none" w:sz="0" w:space="0" w:color="auto"/>
                  </w:divBdr>
                  <w:divsChild>
                    <w:div w:id="2394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2065">
      <w:bodyDiv w:val="1"/>
      <w:marLeft w:val="0"/>
      <w:marRight w:val="0"/>
      <w:marTop w:val="0"/>
      <w:marBottom w:val="0"/>
      <w:divBdr>
        <w:top w:val="none" w:sz="0" w:space="0" w:color="auto"/>
        <w:left w:val="none" w:sz="0" w:space="0" w:color="auto"/>
        <w:bottom w:val="none" w:sz="0" w:space="0" w:color="auto"/>
        <w:right w:val="none" w:sz="0" w:space="0" w:color="auto"/>
      </w:divBdr>
    </w:div>
    <w:div w:id="651250757">
      <w:bodyDiv w:val="1"/>
      <w:marLeft w:val="0"/>
      <w:marRight w:val="0"/>
      <w:marTop w:val="0"/>
      <w:marBottom w:val="0"/>
      <w:divBdr>
        <w:top w:val="none" w:sz="0" w:space="0" w:color="auto"/>
        <w:left w:val="none" w:sz="0" w:space="0" w:color="auto"/>
        <w:bottom w:val="none" w:sz="0" w:space="0" w:color="auto"/>
        <w:right w:val="none" w:sz="0" w:space="0" w:color="auto"/>
      </w:divBdr>
    </w:div>
    <w:div w:id="687298710">
      <w:bodyDiv w:val="1"/>
      <w:marLeft w:val="0"/>
      <w:marRight w:val="0"/>
      <w:marTop w:val="0"/>
      <w:marBottom w:val="0"/>
      <w:divBdr>
        <w:top w:val="none" w:sz="0" w:space="0" w:color="auto"/>
        <w:left w:val="none" w:sz="0" w:space="0" w:color="auto"/>
        <w:bottom w:val="none" w:sz="0" w:space="0" w:color="auto"/>
        <w:right w:val="none" w:sz="0" w:space="0" w:color="auto"/>
      </w:divBdr>
    </w:div>
    <w:div w:id="850290978">
      <w:bodyDiv w:val="1"/>
      <w:marLeft w:val="0"/>
      <w:marRight w:val="0"/>
      <w:marTop w:val="0"/>
      <w:marBottom w:val="0"/>
      <w:divBdr>
        <w:top w:val="none" w:sz="0" w:space="0" w:color="auto"/>
        <w:left w:val="none" w:sz="0" w:space="0" w:color="auto"/>
        <w:bottom w:val="none" w:sz="0" w:space="0" w:color="auto"/>
        <w:right w:val="none" w:sz="0" w:space="0" w:color="auto"/>
      </w:divBdr>
    </w:div>
    <w:div w:id="883325006">
      <w:bodyDiv w:val="1"/>
      <w:marLeft w:val="0"/>
      <w:marRight w:val="0"/>
      <w:marTop w:val="0"/>
      <w:marBottom w:val="0"/>
      <w:divBdr>
        <w:top w:val="none" w:sz="0" w:space="0" w:color="auto"/>
        <w:left w:val="none" w:sz="0" w:space="0" w:color="auto"/>
        <w:bottom w:val="none" w:sz="0" w:space="0" w:color="auto"/>
        <w:right w:val="none" w:sz="0" w:space="0" w:color="auto"/>
      </w:divBdr>
      <w:divsChild>
        <w:div w:id="205504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307679">
              <w:marLeft w:val="0"/>
              <w:marRight w:val="0"/>
              <w:marTop w:val="0"/>
              <w:marBottom w:val="0"/>
              <w:divBdr>
                <w:top w:val="none" w:sz="0" w:space="0" w:color="auto"/>
                <w:left w:val="none" w:sz="0" w:space="0" w:color="auto"/>
                <w:bottom w:val="none" w:sz="0" w:space="0" w:color="auto"/>
                <w:right w:val="none" w:sz="0" w:space="0" w:color="auto"/>
              </w:divBdr>
              <w:divsChild>
                <w:div w:id="1044519090">
                  <w:marLeft w:val="0"/>
                  <w:marRight w:val="0"/>
                  <w:marTop w:val="0"/>
                  <w:marBottom w:val="0"/>
                  <w:divBdr>
                    <w:top w:val="none" w:sz="0" w:space="0" w:color="auto"/>
                    <w:left w:val="none" w:sz="0" w:space="0" w:color="auto"/>
                    <w:bottom w:val="none" w:sz="0" w:space="0" w:color="auto"/>
                    <w:right w:val="none" w:sz="0" w:space="0" w:color="auto"/>
                  </w:divBdr>
                  <w:divsChild>
                    <w:div w:id="1481774617">
                      <w:marLeft w:val="0"/>
                      <w:marRight w:val="0"/>
                      <w:marTop w:val="75"/>
                      <w:marBottom w:val="0"/>
                      <w:divBdr>
                        <w:top w:val="none" w:sz="0" w:space="0" w:color="auto"/>
                        <w:left w:val="none" w:sz="0" w:space="0" w:color="auto"/>
                        <w:bottom w:val="none" w:sz="0" w:space="0" w:color="auto"/>
                        <w:right w:val="none" w:sz="0" w:space="0" w:color="auto"/>
                      </w:divBdr>
                      <w:divsChild>
                        <w:div w:id="314727226">
                          <w:marLeft w:val="0"/>
                          <w:marRight w:val="0"/>
                          <w:marTop w:val="0"/>
                          <w:marBottom w:val="0"/>
                          <w:divBdr>
                            <w:top w:val="none" w:sz="0" w:space="0" w:color="auto"/>
                            <w:left w:val="none" w:sz="0" w:space="0" w:color="auto"/>
                            <w:bottom w:val="none" w:sz="0" w:space="0" w:color="auto"/>
                            <w:right w:val="none" w:sz="0" w:space="0" w:color="auto"/>
                          </w:divBdr>
                          <w:divsChild>
                            <w:div w:id="131421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54428">
                                  <w:marLeft w:val="0"/>
                                  <w:marRight w:val="0"/>
                                  <w:marTop w:val="0"/>
                                  <w:marBottom w:val="0"/>
                                  <w:divBdr>
                                    <w:top w:val="none" w:sz="0" w:space="0" w:color="auto"/>
                                    <w:left w:val="none" w:sz="0" w:space="0" w:color="auto"/>
                                    <w:bottom w:val="none" w:sz="0" w:space="0" w:color="auto"/>
                                    <w:right w:val="none" w:sz="0" w:space="0" w:color="auto"/>
                                  </w:divBdr>
                                  <w:divsChild>
                                    <w:div w:id="1533499661">
                                      <w:marLeft w:val="0"/>
                                      <w:marRight w:val="0"/>
                                      <w:marTop w:val="0"/>
                                      <w:marBottom w:val="0"/>
                                      <w:divBdr>
                                        <w:top w:val="none" w:sz="0" w:space="0" w:color="auto"/>
                                        <w:left w:val="none" w:sz="0" w:space="0" w:color="auto"/>
                                        <w:bottom w:val="none" w:sz="0" w:space="0" w:color="auto"/>
                                        <w:right w:val="none" w:sz="0" w:space="0" w:color="auto"/>
                                      </w:divBdr>
                                      <w:divsChild>
                                        <w:div w:id="1047952618">
                                          <w:marLeft w:val="0"/>
                                          <w:marRight w:val="0"/>
                                          <w:marTop w:val="0"/>
                                          <w:marBottom w:val="0"/>
                                          <w:divBdr>
                                            <w:top w:val="none" w:sz="0" w:space="0" w:color="auto"/>
                                            <w:left w:val="none" w:sz="0" w:space="0" w:color="auto"/>
                                            <w:bottom w:val="none" w:sz="0" w:space="0" w:color="auto"/>
                                            <w:right w:val="none" w:sz="0" w:space="0" w:color="auto"/>
                                          </w:divBdr>
                                          <w:divsChild>
                                            <w:div w:id="781607951">
                                              <w:marLeft w:val="0"/>
                                              <w:marRight w:val="0"/>
                                              <w:marTop w:val="0"/>
                                              <w:marBottom w:val="0"/>
                                              <w:divBdr>
                                                <w:top w:val="none" w:sz="0" w:space="0" w:color="auto"/>
                                                <w:left w:val="none" w:sz="0" w:space="0" w:color="auto"/>
                                                <w:bottom w:val="none" w:sz="0" w:space="0" w:color="auto"/>
                                                <w:right w:val="none" w:sz="0" w:space="0" w:color="auto"/>
                                              </w:divBdr>
                                              <w:divsChild>
                                                <w:div w:id="1677877411">
                                                  <w:marLeft w:val="0"/>
                                                  <w:marRight w:val="0"/>
                                                  <w:marTop w:val="0"/>
                                                  <w:marBottom w:val="0"/>
                                                  <w:divBdr>
                                                    <w:top w:val="none" w:sz="0" w:space="0" w:color="auto"/>
                                                    <w:left w:val="none" w:sz="0" w:space="0" w:color="auto"/>
                                                    <w:bottom w:val="none" w:sz="0" w:space="0" w:color="auto"/>
                                                    <w:right w:val="none" w:sz="0" w:space="0" w:color="auto"/>
                                                  </w:divBdr>
                                                </w:div>
                                                <w:div w:id="2121411363">
                                                  <w:marLeft w:val="0"/>
                                                  <w:marRight w:val="0"/>
                                                  <w:marTop w:val="0"/>
                                                  <w:marBottom w:val="0"/>
                                                  <w:divBdr>
                                                    <w:top w:val="none" w:sz="0" w:space="0" w:color="auto"/>
                                                    <w:left w:val="none" w:sz="0" w:space="0" w:color="auto"/>
                                                    <w:bottom w:val="none" w:sz="0" w:space="0" w:color="auto"/>
                                                    <w:right w:val="none" w:sz="0" w:space="0" w:color="auto"/>
                                                  </w:divBdr>
                                                </w:div>
                                                <w:div w:id="19724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723847">
      <w:bodyDiv w:val="1"/>
      <w:marLeft w:val="0"/>
      <w:marRight w:val="0"/>
      <w:marTop w:val="0"/>
      <w:marBottom w:val="0"/>
      <w:divBdr>
        <w:top w:val="none" w:sz="0" w:space="0" w:color="auto"/>
        <w:left w:val="none" w:sz="0" w:space="0" w:color="auto"/>
        <w:bottom w:val="none" w:sz="0" w:space="0" w:color="auto"/>
        <w:right w:val="none" w:sz="0" w:space="0" w:color="auto"/>
      </w:divBdr>
    </w:div>
    <w:div w:id="1185632392">
      <w:bodyDiv w:val="1"/>
      <w:marLeft w:val="0"/>
      <w:marRight w:val="0"/>
      <w:marTop w:val="0"/>
      <w:marBottom w:val="0"/>
      <w:divBdr>
        <w:top w:val="none" w:sz="0" w:space="0" w:color="auto"/>
        <w:left w:val="none" w:sz="0" w:space="0" w:color="auto"/>
        <w:bottom w:val="none" w:sz="0" w:space="0" w:color="auto"/>
        <w:right w:val="none" w:sz="0" w:space="0" w:color="auto"/>
      </w:divBdr>
    </w:div>
    <w:div w:id="1244072380">
      <w:bodyDiv w:val="1"/>
      <w:marLeft w:val="0"/>
      <w:marRight w:val="0"/>
      <w:marTop w:val="0"/>
      <w:marBottom w:val="0"/>
      <w:divBdr>
        <w:top w:val="none" w:sz="0" w:space="0" w:color="auto"/>
        <w:left w:val="none" w:sz="0" w:space="0" w:color="auto"/>
        <w:bottom w:val="none" w:sz="0" w:space="0" w:color="auto"/>
        <w:right w:val="none" w:sz="0" w:space="0" w:color="auto"/>
      </w:divBdr>
    </w:div>
    <w:div w:id="1343439189">
      <w:bodyDiv w:val="1"/>
      <w:marLeft w:val="0"/>
      <w:marRight w:val="0"/>
      <w:marTop w:val="0"/>
      <w:marBottom w:val="0"/>
      <w:divBdr>
        <w:top w:val="none" w:sz="0" w:space="0" w:color="auto"/>
        <w:left w:val="none" w:sz="0" w:space="0" w:color="auto"/>
        <w:bottom w:val="none" w:sz="0" w:space="0" w:color="auto"/>
        <w:right w:val="none" w:sz="0" w:space="0" w:color="auto"/>
      </w:divBdr>
    </w:div>
    <w:div w:id="1388065530">
      <w:bodyDiv w:val="1"/>
      <w:marLeft w:val="0"/>
      <w:marRight w:val="0"/>
      <w:marTop w:val="0"/>
      <w:marBottom w:val="0"/>
      <w:divBdr>
        <w:top w:val="none" w:sz="0" w:space="0" w:color="auto"/>
        <w:left w:val="none" w:sz="0" w:space="0" w:color="auto"/>
        <w:bottom w:val="none" w:sz="0" w:space="0" w:color="auto"/>
        <w:right w:val="none" w:sz="0" w:space="0" w:color="auto"/>
      </w:divBdr>
    </w:div>
    <w:div w:id="1407804873">
      <w:bodyDiv w:val="1"/>
      <w:marLeft w:val="0"/>
      <w:marRight w:val="0"/>
      <w:marTop w:val="0"/>
      <w:marBottom w:val="0"/>
      <w:divBdr>
        <w:top w:val="none" w:sz="0" w:space="0" w:color="auto"/>
        <w:left w:val="none" w:sz="0" w:space="0" w:color="auto"/>
        <w:bottom w:val="none" w:sz="0" w:space="0" w:color="auto"/>
        <w:right w:val="none" w:sz="0" w:space="0" w:color="auto"/>
      </w:divBdr>
    </w:div>
    <w:div w:id="1446845104">
      <w:bodyDiv w:val="1"/>
      <w:marLeft w:val="0"/>
      <w:marRight w:val="0"/>
      <w:marTop w:val="0"/>
      <w:marBottom w:val="0"/>
      <w:divBdr>
        <w:top w:val="none" w:sz="0" w:space="0" w:color="auto"/>
        <w:left w:val="none" w:sz="0" w:space="0" w:color="auto"/>
        <w:bottom w:val="none" w:sz="0" w:space="0" w:color="auto"/>
        <w:right w:val="none" w:sz="0" w:space="0" w:color="auto"/>
      </w:divBdr>
    </w:div>
    <w:div w:id="1505821236">
      <w:bodyDiv w:val="1"/>
      <w:marLeft w:val="0"/>
      <w:marRight w:val="0"/>
      <w:marTop w:val="0"/>
      <w:marBottom w:val="0"/>
      <w:divBdr>
        <w:top w:val="none" w:sz="0" w:space="0" w:color="auto"/>
        <w:left w:val="none" w:sz="0" w:space="0" w:color="auto"/>
        <w:bottom w:val="none" w:sz="0" w:space="0" w:color="auto"/>
        <w:right w:val="none" w:sz="0" w:space="0" w:color="auto"/>
      </w:divBdr>
    </w:div>
    <w:div w:id="1541940901">
      <w:bodyDiv w:val="1"/>
      <w:marLeft w:val="0"/>
      <w:marRight w:val="0"/>
      <w:marTop w:val="0"/>
      <w:marBottom w:val="0"/>
      <w:divBdr>
        <w:top w:val="none" w:sz="0" w:space="0" w:color="auto"/>
        <w:left w:val="none" w:sz="0" w:space="0" w:color="auto"/>
        <w:bottom w:val="none" w:sz="0" w:space="0" w:color="auto"/>
        <w:right w:val="none" w:sz="0" w:space="0" w:color="auto"/>
      </w:divBdr>
    </w:div>
    <w:div w:id="1623993888">
      <w:bodyDiv w:val="1"/>
      <w:marLeft w:val="0"/>
      <w:marRight w:val="0"/>
      <w:marTop w:val="0"/>
      <w:marBottom w:val="0"/>
      <w:divBdr>
        <w:top w:val="none" w:sz="0" w:space="0" w:color="auto"/>
        <w:left w:val="none" w:sz="0" w:space="0" w:color="auto"/>
        <w:bottom w:val="none" w:sz="0" w:space="0" w:color="auto"/>
        <w:right w:val="none" w:sz="0" w:space="0" w:color="auto"/>
      </w:divBdr>
    </w:div>
    <w:div w:id="1674913832">
      <w:bodyDiv w:val="1"/>
      <w:marLeft w:val="0"/>
      <w:marRight w:val="0"/>
      <w:marTop w:val="0"/>
      <w:marBottom w:val="0"/>
      <w:divBdr>
        <w:top w:val="none" w:sz="0" w:space="0" w:color="auto"/>
        <w:left w:val="none" w:sz="0" w:space="0" w:color="auto"/>
        <w:bottom w:val="none" w:sz="0" w:space="0" w:color="auto"/>
        <w:right w:val="none" w:sz="0" w:space="0" w:color="auto"/>
      </w:divBdr>
    </w:div>
    <w:div w:id="1721323827">
      <w:bodyDiv w:val="1"/>
      <w:marLeft w:val="0"/>
      <w:marRight w:val="0"/>
      <w:marTop w:val="0"/>
      <w:marBottom w:val="0"/>
      <w:divBdr>
        <w:top w:val="none" w:sz="0" w:space="0" w:color="auto"/>
        <w:left w:val="none" w:sz="0" w:space="0" w:color="auto"/>
        <w:bottom w:val="none" w:sz="0" w:space="0" w:color="auto"/>
        <w:right w:val="none" w:sz="0" w:space="0" w:color="auto"/>
      </w:divBdr>
    </w:div>
    <w:div w:id="1755735854">
      <w:bodyDiv w:val="1"/>
      <w:marLeft w:val="0"/>
      <w:marRight w:val="0"/>
      <w:marTop w:val="0"/>
      <w:marBottom w:val="0"/>
      <w:divBdr>
        <w:top w:val="none" w:sz="0" w:space="0" w:color="auto"/>
        <w:left w:val="none" w:sz="0" w:space="0" w:color="auto"/>
        <w:bottom w:val="none" w:sz="0" w:space="0" w:color="auto"/>
        <w:right w:val="none" w:sz="0" w:space="0" w:color="auto"/>
      </w:divBdr>
    </w:div>
    <w:div w:id="1846944299">
      <w:bodyDiv w:val="1"/>
      <w:marLeft w:val="0"/>
      <w:marRight w:val="0"/>
      <w:marTop w:val="0"/>
      <w:marBottom w:val="0"/>
      <w:divBdr>
        <w:top w:val="none" w:sz="0" w:space="0" w:color="auto"/>
        <w:left w:val="none" w:sz="0" w:space="0" w:color="auto"/>
        <w:bottom w:val="none" w:sz="0" w:space="0" w:color="auto"/>
        <w:right w:val="none" w:sz="0" w:space="0" w:color="auto"/>
      </w:divBdr>
    </w:div>
    <w:div w:id="1900551082">
      <w:bodyDiv w:val="1"/>
      <w:marLeft w:val="0"/>
      <w:marRight w:val="0"/>
      <w:marTop w:val="0"/>
      <w:marBottom w:val="0"/>
      <w:divBdr>
        <w:top w:val="none" w:sz="0" w:space="0" w:color="auto"/>
        <w:left w:val="none" w:sz="0" w:space="0" w:color="auto"/>
        <w:bottom w:val="none" w:sz="0" w:space="0" w:color="auto"/>
        <w:right w:val="none" w:sz="0" w:space="0" w:color="auto"/>
      </w:divBdr>
    </w:div>
    <w:div w:id="1907253964">
      <w:bodyDiv w:val="1"/>
      <w:marLeft w:val="0"/>
      <w:marRight w:val="0"/>
      <w:marTop w:val="0"/>
      <w:marBottom w:val="0"/>
      <w:divBdr>
        <w:top w:val="none" w:sz="0" w:space="0" w:color="auto"/>
        <w:left w:val="none" w:sz="0" w:space="0" w:color="auto"/>
        <w:bottom w:val="none" w:sz="0" w:space="0" w:color="auto"/>
        <w:right w:val="none" w:sz="0" w:space="0" w:color="auto"/>
      </w:divBdr>
    </w:div>
    <w:div w:id="1948539351">
      <w:bodyDiv w:val="1"/>
      <w:marLeft w:val="0"/>
      <w:marRight w:val="0"/>
      <w:marTop w:val="0"/>
      <w:marBottom w:val="0"/>
      <w:divBdr>
        <w:top w:val="none" w:sz="0" w:space="0" w:color="auto"/>
        <w:left w:val="none" w:sz="0" w:space="0" w:color="auto"/>
        <w:bottom w:val="none" w:sz="0" w:space="0" w:color="auto"/>
        <w:right w:val="none" w:sz="0" w:space="0" w:color="auto"/>
      </w:divBdr>
    </w:div>
    <w:div w:id="19542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drc.soest.hawaii.edu/projects/Argo/index.php" TargetMode="External"/><Relationship Id="rId13" Type="http://schemas.openxmlformats.org/officeDocument/2006/relationships/hyperlink" Target="https://doi.org/10.1175/JCLI&#8208;D&#8208;17&#8208;0208.1" TargetMode="External"/><Relationship Id="rId18" Type="http://schemas.openxmlformats.org/officeDocument/2006/relationships/hyperlink" Target="https://ghrc.nsstc.nasa.gov/pub/SEAFLUX/" TargetMode="External"/><Relationship Id="rId26" Type="http://schemas.openxmlformats.org/officeDocument/2006/relationships/hyperlink" Target="https://gcc02.safelinks.protection.outlook.com/?url=https%3A%2F%2Fdoi.org%2F10.5194%2Fegusphere-egu21-9997&amp;data=04%7C01%7Cnorman.g.loeb%40nasa.gov%7C4a6618ba6206405df89f08d9c3d732d4%7C7005d45845be48ae8140d43da96dd17b%7C0%7C0%7C637756152235926658%7CUnknown%7CTWFpbGZsb3d8eyJWIjoiMC4wLjAwMDAiLCJQIjoiV2luMzIiLCJBTiI6Ik1haWwiLCJXVCI6Mn0%3D%7C3000&amp;sdata=bllrAwxOQ6RPwsV%2BMISwAznl8lgLn4PVHBRgb1%2B19ZE%3D&amp;reserved=0" TargetMode="External"/><Relationship Id="rId3" Type="http://schemas.openxmlformats.org/officeDocument/2006/relationships/styles" Target="styles.xml"/><Relationship Id="rId21" Type="http://schemas.openxmlformats.org/officeDocument/2006/relationships/hyperlink" Target="https://doi.org/10.3390/rs12172787" TargetMode="External"/><Relationship Id="rId7" Type="http://schemas.openxmlformats.org/officeDocument/2006/relationships/endnotes" Target="endnotes.xml"/><Relationship Id="rId12" Type="http://schemas.openxmlformats.org/officeDocument/2006/relationships/hyperlink" Target="https://doi.org/10.1002/qj.3803" TargetMode="External"/><Relationship Id="rId17" Type="http://schemas.openxmlformats.org/officeDocument/2006/relationships/hyperlink" Target="http://dx.doi.org/10.1038/s41467-021-24544-4" TargetMode="External"/><Relationship Id="rId25" Type="http://schemas.openxmlformats.org/officeDocument/2006/relationships/hyperlink" Target="https://doi.org/10.1146/annurev-marine-010816-060704" TargetMode="External"/><Relationship Id="rId2" Type="http://schemas.openxmlformats.org/officeDocument/2006/relationships/numbering" Target="numbering.xml"/><Relationship Id="rId16" Type="http://schemas.openxmlformats.org/officeDocument/2006/relationships/hyperlink" Target="https://doi.org/10.1109/TGRS.2020.3008866" TargetMode="External"/><Relationship Id="rId20" Type="http://schemas.openxmlformats.org/officeDocument/2006/relationships/hyperlink" Target="https://doi.org/10.1175/JTECH-D-14-0016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29/2021GL093624" TargetMode="External"/><Relationship Id="rId24" Type="http://schemas.openxmlformats.org/officeDocument/2006/relationships/hyperlink" Target="https://doi.org/doi:10.1007/s00382-012-1569-8" TargetMode="External"/><Relationship Id="rId5" Type="http://schemas.openxmlformats.org/officeDocument/2006/relationships/webSettings" Target="webSettings.xml"/><Relationship Id="rId15" Type="http://schemas.openxmlformats.org/officeDocument/2006/relationships/hyperlink" Target="https://doi.org/10.1175/JCLI-D-11-00202.1" TargetMode="External"/><Relationship Id="rId23" Type="http://schemas.openxmlformats.org/officeDocument/2006/relationships/hyperlink" Target="https://doi.org/10.1175/JCLI-D-17-0838.1" TargetMode="External"/><Relationship Id="rId28" Type="http://schemas.openxmlformats.org/officeDocument/2006/relationships/footer" Target="footer2.xml"/><Relationship Id="rId10" Type="http://schemas.openxmlformats.org/officeDocument/2006/relationships/hyperlink" Target="https://doi.org/10.1175/2007JCLI1936.1" TargetMode="External"/><Relationship Id="rId19" Type="http://schemas.openxmlformats.org/officeDocument/2006/relationships/hyperlink" Target="https://doi.org/10.1175/JCLI-D-19-0954.1" TargetMode="External"/><Relationship Id="rId4" Type="http://schemas.openxmlformats.org/officeDocument/2006/relationships/settings" Target="settings.xml"/><Relationship Id="rId9" Type="http://schemas.openxmlformats.org/officeDocument/2006/relationships/hyperlink" Target="https://confluence.ecmwf.int/display/CKB/" TargetMode="External"/><Relationship Id="rId14" Type="http://schemas.openxmlformats.org/officeDocument/2006/relationships/hyperlink" Target="https://doi.org/10.1029/2021GL093047" TargetMode="External"/><Relationship Id="rId22" Type="http://schemas.openxmlformats.org/officeDocument/2006/relationships/hyperlink" Target="https://doi.org/10.1175/2011JCLI4171.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9528-17E7-4D2C-8E7B-59267ED3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11006</Words>
  <Characters>62738</Characters>
  <Application>Microsoft Office Word</Application>
  <DocSecurity>0</DocSecurity>
  <Lines>522</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Loeb, Norman G. (LARC-E302)</dc:creator>
  <cp:keywords/>
  <dc:description/>
  <cp:lastModifiedBy>Loeb, Norman G. (LARC-E302)</cp:lastModifiedBy>
  <cp:revision>4</cp:revision>
  <cp:lastPrinted>2022-02-23T20:50:00Z</cp:lastPrinted>
  <dcterms:created xsi:type="dcterms:W3CDTF">2022-04-21T14:23:00Z</dcterms:created>
  <dcterms:modified xsi:type="dcterms:W3CDTF">2022-04-22T14:10:00Z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id="26twkSWN"/&gt;&lt;style id="http://www.zotero.org/styles/nature" hasBibliography="1" bibliographyStyleHasBeenSet="1"/&gt;&lt;prefs&gt;&lt;pref name="fieldType" value="Field"/&gt;&lt;/prefs&gt;&lt;/data&gt;</vt:lpwstr>
  </property>
</Properties>
</file>