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3DCE6" w14:textId="51295B58" w:rsidR="00C22CA2" w:rsidRDefault="00362B2D" w:rsidP="00C22CA2">
      <w:pPr>
        <w:spacing w:line="240" w:lineRule="atLeast"/>
        <w:jc w:val="both"/>
        <w:rPr>
          <w:sz w:val="20"/>
        </w:rPr>
      </w:pPr>
      <w:r w:rsidRPr="00362B2D">
        <w:rPr>
          <w:b/>
          <w:sz w:val="20"/>
        </w:rPr>
        <w:t>USING SECONDARY CRATERS TO ASSESS STRENGTH DIFFERENCES BETWEEN NEIGHBORING SURFACE UNITS</w:t>
      </w:r>
      <w:r w:rsidR="00C22CA2">
        <w:rPr>
          <w:b/>
          <w:sz w:val="20"/>
        </w:rPr>
        <w:t>.</w:t>
      </w:r>
      <w:r w:rsidR="00C22CA2">
        <w:rPr>
          <w:sz w:val="20"/>
        </w:rPr>
        <w:t xml:space="preserve">  </w:t>
      </w:r>
      <w:r>
        <w:rPr>
          <w:sz w:val="20"/>
        </w:rPr>
        <w:t>J</w:t>
      </w:r>
      <w:r w:rsidR="00C22CA2">
        <w:rPr>
          <w:sz w:val="20"/>
        </w:rPr>
        <w:t xml:space="preserve">. </w:t>
      </w:r>
      <w:r>
        <w:rPr>
          <w:sz w:val="20"/>
        </w:rPr>
        <w:t>W</w:t>
      </w:r>
      <w:r w:rsidR="00C22CA2">
        <w:rPr>
          <w:sz w:val="20"/>
        </w:rPr>
        <w:t xml:space="preserve">. </w:t>
      </w:r>
      <w:r>
        <w:rPr>
          <w:sz w:val="20"/>
        </w:rPr>
        <w:t>Conrad</w:t>
      </w:r>
      <w:r w:rsidR="00C22CA2">
        <w:rPr>
          <w:sz w:val="20"/>
          <w:vertAlign w:val="superscript"/>
        </w:rPr>
        <w:t>1</w:t>
      </w:r>
      <w:r w:rsidR="00C22CA2">
        <w:rPr>
          <w:sz w:val="20"/>
        </w:rPr>
        <w:t xml:space="preserve"> and </w:t>
      </w:r>
      <w:r>
        <w:rPr>
          <w:sz w:val="20"/>
        </w:rPr>
        <w:t>C</w:t>
      </w:r>
      <w:r w:rsidR="00C22CA2">
        <w:rPr>
          <w:sz w:val="20"/>
        </w:rPr>
        <w:t xml:space="preserve">. </w:t>
      </w:r>
      <w:r>
        <w:rPr>
          <w:sz w:val="20"/>
        </w:rPr>
        <w:t>I</w:t>
      </w:r>
      <w:r w:rsidR="00C22CA2">
        <w:rPr>
          <w:sz w:val="20"/>
        </w:rPr>
        <w:t xml:space="preserve">. </w:t>
      </w:r>
      <w:r>
        <w:rPr>
          <w:sz w:val="20"/>
        </w:rPr>
        <w:t>Fassett</w:t>
      </w:r>
      <w:r>
        <w:rPr>
          <w:sz w:val="20"/>
          <w:vertAlign w:val="superscript"/>
        </w:rPr>
        <w:t>1</w:t>
      </w:r>
      <w:r w:rsidR="00C22CA2">
        <w:rPr>
          <w:sz w:val="20"/>
        </w:rPr>
        <w:t xml:space="preserve">, </w:t>
      </w:r>
      <w:r w:rsidR="00C22CA2">
        <w:rPr>
          <w:sz w:val="20"/>
          <w:vertAlign w:val="superscript"/>
        </w:rPr>
        <w:t>1</w:t>
      </w:r>
      <w:r w:rsidR="00466004">
        <w:rPr>
          <w:sz w:val="20"/>
        </w:rPr>
        <w:t>NASA Marshall Space Flight Center</w:t>
      </w:r>
      <w:r w:rsidR="00206B10">
        <w:rPr>
          <w:sz w:val="20"/>
        </w:rPr>
        <w:t>, Huntsville, AL 35805.</w:t>
      </w:r>
      <w:r w:rsidR="00466004">
        <w:rPr>
          <w:sz w:val="20"/>
        </w:rPr>
        <w:t xml:space="preserve"> (jack.w.conrad@nasa.gov)</w:t>
      </w:r>
    </w:p>
    <w:p w14:paraId="0F8E4317" w14:textId="77777777" w:rsidR="00C22CA2" w:rsidRDefault="00C22CA2" w:rsidP="00C22CA2">
      <w:pPr>
        <w:spacing w:line="240" w:lineRule="atLeast"/>
        <w:ind w:firstLine="288"/>
        <w:jc w:val="both"/>
        <w:rPr>
          <w:sz w:val="20"/>
        </w:rPr>
      </w:pPr>
    </w:p>
    <w:p w14:paraId="5FB09388" w14:textId="77777777" w:rsidR="00C22CA2" w:rsidRDefault="00C22CA2" w:rsidP="00C22CA2">
      <w:pPr>
        <w:spacing w:line="240" w:lineRule="atLeast"/>
        <w:ind w:firstLine="288"/>
        <w:jc w:val="both"/>
        <w:rPr>
          <w:sz w:val="20"/>
        </w:rPr>
      </w:pPr>
    </w:p>
    <w:p w14:paraId="1418C1DE" w14:textId="77777777" w:rsidR="00C22CA2" w:rsidRDefault="00C22CA2" w:rsidP="00C22CA2">
      <w:pPr>
        <w:spacing w:line="240" w:lineRule="atLeast"/>
        <w:ind w:firstLine="288"/>
        <w:jc w:val="both"/>
        <w:rPr>
          <w:sz w:val="20"/>
        </w:rPr>
        <w:sectPr w:rsidR="00C22CA2">
          <w:headerReference w:type="even" r:id="rId7"/>
          <w:footerReference w:type="even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ACB385" w14:textId="4CCE819C" w:rsidR="00D51F36" w:rsidRPr="00EF6DDD" w:rsidRDefault="00C22CA2" w:rsidP="009F5B03">
      <w:pPr>
        <w:spacing w:line="240" w:lineRule="atLeast"/>
        <w:ind w:firstLine="288"/>
        <w:jc w:val="both"/>
        <w:rPr>
          <w:sz w:val="20"/>
        </w:rPr>
      </w:pPr>
      <w:r w:rsidRPr="00C22CA2">
        <w:rPr>
          <w:b/>
          <w:sz w:val="20"/>
        </w:rPr>
        <w:t>Introduction:</w:t>
      </w:r>
      <w:r w:rsidR="006C06B6">
        <w:rPr>
          <w:sz w:val="20"/>
        </w:rPr>
        <w:t xml:space="preserve"> </w:t>
      </w:r>
      <w:r w:rsidR="00664738">
        <w:rPr>
          <w:sz w:val="20"/>
        </w:rPr>
        <w:t>An</w:t>
      </w:r>
      <w:r w:rsidR="00EF6DDD" w:rsidRPr="00EF6DDD">
        <w:rPr>
          <w:sz w:val="20"/>
        </w:rPr>
        <w:t xml:space="preserve"> issue </w:t>
      </w:r>
      <w:r w:rsidR="006D3657">
        <w:rPr>
          <w:sz w:val="20"/>
        </w:rPr>
        <w:t>with</w:t>
      </w:r>
      <w:r w:rsidR="00EF6DDD" w:rsidRPr="00EF6DDD">
        <w:rPr>
          <w:sz w:val="20"/>
        </w:rPr>
        <w:t xml:space="preserve"> Martian remote</w:t>
      </w:r>
      <w:r w:rsidR="006D3657">
        <w:rPr>
          <w:sz w:val="20"/>
        </w:rPr>
        <w:t xml:space="preserve"> sensing</w:t>
      </w:r>
      <w:r w:rsidR="00EF6DDD" w:rsidRPr="00EF6DDD">
        <w:rPr>
          <w:sz w:val="20"/>
        </w:rPr>
        <w:t xml:space="preserve"> studies is </w:t>
      </w:r>
      <w:r w:rsidR="006C06B6">
        <w:rPr>
          <w:sz w:val="20"/>
        </w:rPr>
        <w:t>the difficulty</w:t>
      </w:r>
      <w:r w:rsidR="00EF6DDD" w:rsidRPr="00EF6DDD">
        <w:rPr>
          <w:sz w:val="20"/>
        </w:rPr>
        <w:t xml:space="preserve"> infer</w:t>
      </w:r>
      <w:r w:rsidR="006C06B6">
        <w:rPr>
          <w:sz w:val="20"/>
        </w:rPr>
        <w:t>ring</w:t>
      </w:r>
      <w:r w:rsidR="00EF6DDD" w:rsidRPr="00EF6DDD">
        <w:rPr>
          <w:sz w:val="20"/>
        </w:rPr>
        <w:t xml:space="preserve"> surface</w:t>
      </w:r>
      <w:r w:rsidR="00D51F36">
        <w:rPr>
          <w:sz w:val="20"/>
        </w:rPr>
        <w:t xml:space="preserve"> and crustal</w:t>
      </w:r>
      <w:r w:rsidR="006D3657">
        <w:rPr>
          <w:sz w:val="20"/>
        </w:rPr>
        <w:t xml:space="preserve"> material</w:t>
      </w:r>
      <w:r w:rsidR="00EF6DDD" w:rsidRPr="00EF6DDD">
        <w:rPr>
          <w:sz w:val="20"/>
        </w:rPr>
        <w:t xml:space="preserve"> properties.</w:t>
      </w:r>
      <w:r w:rsidR="00BB1B5F">
        <w:rPr>
          <w:sz w:val="20"/>
        </w:rPr>
        <w:t xml:space="preserve"> For direct </w:t>
      </w:r>
      <w:r w:rsidR="00F878C9">
        <w:rPr>
          <w:sz w:val="20"/>
        </w:rPr>
        <w:t>information</w:t>
      </w:r>
      <w:r w:rsidR="00BB1B5F">
        <w:rPr>
          <w:sz w:val="20"/>
        </w:rPr>
        <w:t xml:space="preserve"> we rely on the instruments of </w:t>
      </w:r>
      <w:r w:rsidR="006C06B6">
        <w:rPr>
          <w:sz w:val="20"/>
        </w:rPr>
        <w:t xml:space="preserve">landed </w:t>
      </w:r>
      <w:r w:rsidR="00BB1B5F">
        <w:rPr>
          <w:sz w:val="20"/>
        </w:rPr>
        <w:t>mission</w:t>
      </w:r>
      <w:r w:rsidR="001A19B9">
        <w:rPr>
          <w:sz w:val="20"/>
        </w:rPr>
        <w:t>s</w:t>
      </w:r>
      <w:r w:rsidR="006C06B6">
        <w:rPr>
          <w:sz w:val="20"/>
        </w:rPr>
        <w:t xml:space="preserve">, </w:t>
      </w:r>
      <w:r w:rsidR="001A19B9">
        <w:rPr>
          <w:sz w:val="20"/>
        </w:rPr>
        <w:t>like</w:t>
      </w:r>
      <w:r w:rsidR="00BB1B5F">
        <w:rPr>
          <w:sz w:val="20"/>
        </w:rPr>
        <w:t xml:space="preserve"> </w:t>
      </w:r>
      <w:r w:rsidR="00F238B2">
        <w:rPr>
          <w:i/>
          <w:iCs/>
          <w:sz w:val="20"/>
        </w:rPr>
        <w:t>InSight</w:t>
      </w:r>
      <w:r w:rsidR="006E5B5D">
        <w:rPr>
          <w:sz w:val="20"/>
        </w:rPr>
        <w:t>, and extrapolat</w:t>
      </w:r>
      <w:r w:rsidR="00F878C9">
        <w:rPr>
          <w:sz w:val="20"/>
        </w:rPr>
        <w:t>e</w:t>
      </w:r>
      <w:r w:rsidR="006E5B5D">
        <w:rPr>
          <w:sz w:val="20"/>
        </w:rPr>
        <w:t xml:space="preserve"> to other locations.</w:t>
      </w:r>
      <w:r w:rsidR="00EE5CAD">
        <w:rPr>
          <w:sz w:val="20"/>
        </w:rPr>
        <w:t xml:space="preserve"> </w:t>
      </w:r>
      <w:r w:rsidR="006C06B6">
        <w:rPr>
          <w:sz w:val="20"/>
        </w:rPr>
        <w:t>To</w:t>
      </w:r>
      <w:r w:rsidR="00F878C9">
        <w:rPr>
          <w:sz w:val="20"/>
        </w:rPr>
        <w:t xml:space="preserve"> apply that</w:t>
      </w:r>
      <w:r w:rsidR="008C7386">
        <w:rPr>
          <w:sz w:val="20"/>
        </w:rPr>
        <w:t xml:space="preserve"> extrapol</w:t>
      </w:r>
      <w:r w:rsidR="00F878C9">
        <w:rPr>
          <w:sz w:val="20"/>
        </w:rPr>
        <w:t>ation</w:t>
      </w:r>
      <w:r w:rsidR="00D51F36">
        <w:rPr>
          <w:sz w:val="20"/>
        </w:rPr>
        <w:t xml:space="preserve">, we </w:t>
      </w:r>
      <w:r w:rsidR="006C06B6">
        <w:rPr>
          <w:sz w:val="20"/>
        </w:rPr>
        <w:t>would like to</w:t>
      </w:r>
      <w:r w:rsidR="00F878C9">
        <w:rPr>
          <w:sz w:val="20"/>
        </w:rPr>
        <w:t xml:space="preserve"> use</w:t>
      </w:r>
      <w:r w:rsidR="006C06B6">
        <w:rPr>
          <w:sz w:val="20"/>
        </w:rPr>
        <w:t xml:space="preserve"> </w:t>
      </w:r>
      <w:r w:rsidR="004A5DBF">
        <w:rPr>
          <w:sz w:val="20"/>
        </w:rPr>
        <w:t>a methodology</w:t>
      </w:r>
      <w:r w:rsidR="006C06B6">
        <w:rPr>
          <w:sz w:val="20"/>
        </w:rPr>
        <w:t xml:space="preserve"> that </w:t>
      </w:r>
      <w:r w:rsidR="008C7386">
        <w:rPr>
          <w:sz w:val="20"/>
        </w:rPr>
        <w:t>c</w:t>
      </w:r>
      <w:r w:rsidR="00F878C9">
        <w:rPr>
          <w:sz w:val="20"/>
        </w:rPr>
        <w:t xml:space="preserve">an benefit </w:t>
      </w:r>
      <w:r w:rsidR="00710E3A">
        <w:rPr>
          <w:sz w:val="20"/>
        </w:rPr>
        <w:t>from</w:t>
      </w:r>
      <w:r w:rsidR="00F878C9">
        <w:rPr>
          <w:sz w:val="20"/>
        </w:rPr>
        <w:t xml:space="preserve"> remote sensing</w:t>
      </w:r>
      <w:r w:rsidR="00710E3A">
        <w:rPr>
          <w:sz w:val="20"/>
        </w:rPr>
        <w:t xml:space="preserve"> data</w:t>
      </w:r>
      <w:r w:rsidR="00F878C9">
        <w:rPr>
          <w:sz w:val="20"/>
        </w:rPr>
        <w:t>.</w:t>
      </w:r>
      <w:r w:rsidR="009F5B03">
        <w:rPr>
          <w:sz w:val="20"/>
        </w:rPr>
        <w:t xml:space="preserve"> We</w:t>
      </w:r>
      <w:r w:rsidR="00EF6DDD" w:rsidRPr="00EF6DDD">
        <w:rPr>
          <w:sz w:val="20"/>
        </w:rPr>
        <w:t xml:space="preserve"> </w:t>
      </w:r>
      <w:r w:rsidR="007E7950">
        <w:rPr>
          <w:sz w:val="20"/>
        </w:rPr>
        <w:t xml:space="preserve">are exploring </w:t>
      </w:r>
      <w:r w:rsidR="00710E3A">
        <w:rPr>
          <w:sz w:val="20"/>
        </w:rPr>
        <w:t>using</w:t>
      </w:r>
      <w:r w:rsidR="007E7950" w:rsidRPr="00EF6DDD">
        <w:rPr>
          <w:sz w:val="20"/>
        </w:rPr>
        <w:t xml:space="preserve"> </w:t>
      </w:r>
      <w:r w:rsidR="00EF6DDD" w:rsidRPr="00EF6DDD">
        <w:rPr>
          <w:sz w:val="20"/>
        </w:rPr>
        <w:t xml:space="preserve">secondary craters, which are often thought of as nuisances when </w:t>
      </w:r>
      <w:r w:rsidR="00710E3A">
        <w:rPr>
          <w:sz w:val="20"/>
        </w:rPr>
        <w:t>determining</w:t>
      </w:r>
      <w:r w:rsidR="00EF6DDD" w:rsidRPr="00EF6DDD">
        <w:rPr>
          <w:sz w:val="20"/>
        </w:rPr>
        <w:t xml:space="preserve"> </w:t>
      </w:r>
      <w:r w:rsidR="00710E3A">
        <w:rPr>
          <w:sz w:val="20"/>
        </w:rPr>
        <w:t>accurate</w:t>
      </w:r>
      <w:r w:rsidR="00EF6DDD" w:rsidRPr="00EF6DDD">
        <w:rPr>
          <w:sz w:val="20"/>
        </w:rPr>
        <w:t xml:space="preserve"> ages</w:t>
      </w:r>
      <w:r w:rsidR="009F5B03">
        <w:rPr>
          <w:sz w:val="20"/>
        </w:rPr>
        <w:t xml:space="preserve">, to </w:t>
      </w:r>
      <w:r w:rsidR="00710E3A">
        <w:rPr>
          <w:sz w:val="20"/>
        </w:rPr>
        <w:t>calculate crustal</w:t>
      </w:r>
      <w:r w:rsidR="009F5B03">
        <w:rPr>
          <w:sz w:val="20"/>
        </w:rPr>
        <w:t xml:space="preserve"> properties</w:t>
      </w:r>
      <w:r w:rsidR="00EF6DDD" w:rsidRPr="00EF6DDD">
        <w:rPr>
          <w:sz w:val="20"/>
        </w:rPr>
        <w:t xml:space="preserve">. </w:t>
      </w:r>
      <w:r w:rsidR="00737568">
        <w:rPr>
          <w:sz w:val="20"/>
        </w:rPr>
        <w:t>The</w:t>
      </w:r>
      <w:r w:rsidR="00EF6DDD" w:rsidRPr="00EF6DDD">
        <w:rPr>
          <w:sz w:val="20"/>
        </w:rPr>
        <w:t xml:space="preserve"> upside of secondary craters is that </w:t>
      </w:r>
      <w:r w:rsidR="009F5B03">
        <w:rPr>
          <w:sz w:val="20"/>
        </w:rPr>
        <w:t>they</w:t>
      </w:r>
      <w:r w:rsidR="00710E3A">
        <w:rPr>
          <w:sz w:val="20"/>
        </w:rPr>
        <w:t xml:space="preserve"> are from</w:t>
      </w:r>
      <w:r w:rsidR="00EF6DDD" w:rsidRPr="00EF6DDD">
        <w:rPr>
          <w:sz w:val="20"/>
        </w:rPr>
        <w:t xml:space="preserve"> ejecta blocks moving at relatively </w:t>
      </w:r>
      <w:r w:rsidR="0082113B">
        <w:rPr>
          <w:sz w:val="20"/>
        </w:rPr>
        <w:t>lower</w:t>
      </w:r>
      <w:r w:rsidR="00EF6DDD" w:rsidRPr="00EF6DDD">
        <w:rPr>
          <w:sz w:val="20"/>
        </w:rPr>
        <w:t xml:space="preserve"> speeds</w:t>
      </w:r>
      <w:r w:rsidR="0082113B">
        <w:rPr>
          <w:sz w:val="20"/>
        </w:rPr>
        <w:t xml:space="preserve">, </w:t>
      </w:r>
      <w:r w:rsidR="00710E3A">
        <w:rPr>
          <w:sz w:val="20"/>
        </w:rPr>
        <w:t>this</w:t>
      </w:r>
      <w:r w:rsidR="009F5B03">
        <w:rPr>
          <w:sz w:val="20"/>
        </w:rPr>
        <w:t xml:space="preserve"> lets them</w:t>
      </w:r>
      <w:r w:rsidR="00EF6DDD" w:rsidRPr="00EF6DDD">
        <w:rPr>
          <w:sz w:val="20"/>
        </w:rPr>
        <w:t xml:space="preserve"> reside in a different crater scaling regime [1], one that is more sensitive to the crust’s effective strength </w:t>
      </w:r>
      <w:r w:rsidR="00D51F36">
        <w:rPr>
          <w:sz w:val="20"/>
        </w:rPr>
        <w:t>(</w:t>
      </w:r>
      <w:r w:rsidR="00EF6DDD" w:rsidRPr="00D51F36">
        <w:rPr>
          <w:i/>
          <w:iCs/>
          <w:sz w:val="20"/>
        </w:rPr>
        <w:t>Y</w:t>
      </w:r>
      <w:r w:rsidR="004F71E7">
        <w:rPr>
          <w:i/>
          <w:iCs/>
          <w:sz w:val="20"/>
          <w:vertAlign w:val="subscript"/>
        </w:rPr>
        <w:t>eff</w:t>
      </w:r>
      <w:r w:rsidR="00D51F36">
        <w:rPr>
          <w:sz w:val="20"/>
        </w:rPr>
        <w:t>)</w:t>
      </w:r>
      <w:r w:rsidR="00EF6DDD" w:rsidRPr="00EF6DDD">
        <w:rPr>
          <w:sz w:val="20"/>
        </w:rPr>
        <w:t xml:space="preserve"> and porosity</w:t>
      </w:r>
      <w:r w:rsidR="0082113B">
        <w:rPr>
          <w:sz w:val="20"/>
        </w:rPr>
        <w:t>/internal friction</w:t>
      </w:r>
      <w:r w:rsidR="00737568">
        <w:rPr>
          <w:sz w:val="20"/>
        </w:rPr>
        <w:t xml:space="preserve"> </w:t>
      </w:r>
      <w:r w:rsidR="00737568" w:rsidRPr="0082113B">
        <w:rPr>
          <w:sz w:val="20"/>
        </w:rPr>
        <w:t>(</w:t>
      </w:r>
      <w:r w:rsidR="0082113B">
        <w:rPr>
          <w:sz w:val="20"/>
        </w:rPr>
        <w:t xml:space="preserve">through the </w:t>
      </w:r>
      <w:r w:rsidR="0082113B" w:rsidRPr="0041702E">
        <w:rPr>
          <w:i/>
          <w:iCs/>
          <w:sz w:val="20"/>
        </w:rPr>
        <w:t>μ</w:t>
      </w:r>
      <w:r w:rsidR="0082113B">
        <w:rPr>
          <w:sz w:val="20"/>
        </w:rPr>
        <w:t xml:space="preserve"> and </w:t>
      </w:r>
      <w:r w:rsidR="0082113B" w:rsidRPr="0041702E">
        <w:rPr>
          <w:i/>
          <w:iCs/>
          <w:sz w:val="20"/>
        </w:rPr>
        <w:t>K</w:t>
      </w:r>
      <w:r w:rsidR="0082113B" w:rsidRPr="0041702E">
        <w:rPr>
          <w:i/>
          <w:iCs/>
          <w:sz w:val="20"/>
          <w:vertAlign w:val="subscript"/>
        </w:rPr>
        <w:t>D</w:t>
      </w:r>
      <w:r w:rsidR="0082113B">
        <w:rPr>
          <w:sz w:val="20"/>
        </w:rPr>
        <w:t xml:space="preserve"> terms [A]</w:t>
      </w:r>
      <w:r w:rsidR="00737568" w:rsidRPr="0082113B">
        <w:rPr>
          <w:sz w:val="20"/>
        </w:rPr>
        <w:t>)</w:t>
      </w:r>
      <w:r w:rsidR="00EF6DDD" w:rsidRPr="0082113B">
        <w:rPr>
          <w:sz w:val="20"/>
        </w:rPr>
        <w:t>.</w:t>
      </w:r>
    </w:p>
    <w:p w14:paraId="78593B82" w14:textId="44F48AFC" w:rsidR="00EF6DDD" w:rsidRDefault="00E774E2" w:rsidP="00EF6DDD">
      <w:pPr>
        <w:spacing w:line="240" w:lineRule="atLeast"/>
        <w:ind w:firstLine="288"/>
        <w:jc w:val="both"/>
        <w:rPr>
          <w:sz w:val="20"/>
        </w:rPr>
      </w:pPr>
      <w:r>
        <w:rPr>
          <w:b/>
          <w:bCs/>
          <w:sz w:val="20"/>
        </w:rPr>
        <w:t>Crater Scaling</w:t>
      </w:r>
      <w:r w:rsidR="00710E3A">
        <w:rPr>
          <w:b/>
          <w:bCs/>
          <w:sz w:val="20"/>
        </w:rPr>
        <w:t xml:space="preserve"> and Methodology</w:t>
      </w:r>
      <w:r>
        <w:rPr>
          <w:b/>
          <w:bCs/>
          <w:sz w:val="20"/>
        </w:rPr>
        <w:t xml:space="preserve">:  </w:t>
      </w:r>
      <w:r w:rsidR="00EF6DDD" w:rsidRPr="00EF6DDD">
        <w:rPr>
          <w:sz w:val="20"/>
        </w:rPr>
        <w:t>There are multiple parameters that influence the size of secondary craters, but we can measure craters in ways that isolate the dependence of crater size to</w:t>
      </w:r>
      <w:r w:rsidR="008D38F7">
        <w:rPr>
          <w:sz w:val="20"/>
        </w:rPr>
        <w:t xml:space="preserve"> just</w:t>
      </w:r>
      <w:r w:rsidR="00EF6DDD" w:rsidRPr="00EF6DDD">
        <w:rPr>
          <w:sz w:val="20"/>
        </w:rPr>
        <w:t xml:space="preserve"> </w:t>
      </w:r>
      <w:r w:rsidR="004F71E7">
        <w:rPr>
          <w:i/>
          <w:iCs/>
          <w:sz w:val="20"/>
        </w:rPr>
        <w:t>Y</w:t>
      </w:r>
      <w:r w:rsidR="004F71E7">
        <w:rPr>
          <w:i/>
          <w:iCs/>
          <w:sz w:val="20"/>
          <w:vertAlign w:val="subscript"/>
        </w:rPr>
        <w:t>eff</w:t>
      </w:r>
      <w:r w:rsidR="00775835">
        <w:rPr>
          <w:sz w:val="20"/>
        </w:rPr>
        <w:t xml:space="preserve"> (for the scope of this abstract, </w:t>
      </w:r>
      <w:r w:rsidR="00775835" w:rsidRPr="001223AD">
        <w:rPr>
          <w:i/>
          <w:iCs/>
          <w:sz w:val="20"/>
        </w:rPr>
        <w:t>μ</w:t>
      </w:r>
      <w:r w:rsidR="00775835">
        <w:rPr>
          <w:sz w:val="20"/>
        </w:rPr>
        <w:t xml:space="preserve"> and </w:t>
      </w:r>
      <w:r w:rsidR="00775835" w:rsidRPr="001223AD">
        <w:rPr>
          <w:i/>
          <w:iCs/>
          <w:sz w:val="20"/>
        </w:rPr>
        <w:t>K</w:t>
      </w:r>
      <w:r w:rsidR="00775835" w:rsidRPr="001223AD">
        <w:rPr>
          <w:i/>
          <w:iCs/>
          <w:sz w:val="20"/>
          <w:vertAlign w:val="subscript"/>
        </w:rPr>
        <w:t>D</w:t>
      </w:r>
      <w:r w:rsidR="00775835">
        <w:rPr>
          <w:sz w:val="20"/>
        </w:rPr>
        <w:t xml:space="preserve"> are assumed to a constant). </w:t>
      </w:r>
      <w:r w:rsidR="00EF6DDD" w:rsidRPr="00EF6DDD">
        <w:rPr>
          <w:sz w:val="20"/>
        </w:rPr>
        <w:t xml:space="preserve"> We focus on secondary clusters </w:t>
      </w:r>
      <w:r w:rsidR="00737568">
        <w:rPr>
          <w:sz w:val="20"/>
        </w:rPr>
        <w:t xml:space="preserve">and rays </w:t>
      </w:r>
      <w:r w:rsidR="00EF6DDD" w:rsidRPr="00EF6DDD">
        <w:rPr>
          <w:sz w:val="20"/>
        </w:rPr>
        <w:t>that have impacted into distinct but bordering geological units.</w:t>
      </w:r>
      <w:r w:rsidR="00737568">
        <w:rPr>
          <w:sz w:val="20"/>
        </w:rPr>
        <w:t xml:space="preserve"> Separate clusters/rays that are equidistant, but in bordering units are also considered.</w:t>
      </w:r>
      <w:r w:rsidR="00EF6DDD" w:rsidRPr="00EF6DDD">
        <w:rPr>
          <w:sz w:val="20"/>
        </w:rPr>
        <w:t xml:space="preserve"> These secondaries can be used to determine </w:t>
      </w:r>
      <w:r w:rsidR="008D38F7">
        <w:rPr>
          <w:i/>
          <w:iCs/>
          <w:sz w:val="20"/>
        </w:rPr>
        <w:t>Y</w:t>
      </w:r>
      <w:r w:rsidR="008D38F7">
        <w:rPr>
          <w:i/>
          <w:iCs/>
          <w:sz w:val="20"/>
          <w:vertAlign w:val="subscript"/>
        </w:rPr>
        <w:t>eff</w:t>
      </w:r>
      <w:r w:rsidR="00EF6DDD" w:rsidRPr="00EF6DDD">
        <w:rPr>
          <w:sz w:val="20"/>
        </w:rPr>
        <w:t xml:space="preserve"> thanks to one important fact</w:t>
      </w:r>
      <w:r w:rsidR="00FA3923">
        <w:rPr>
          <w:sz w:val="20"/>
        </w:rPr>
        <w:t>or</w:t>
      </w:r>
      <w:r w:rsidR="00EF6DDD" w:rsidRPr="00EF6DDD">
        <w:rPr>
          <w:sz w:val="20"/>
        </w:rPr>
        <w:t>: all the secondaries</w:t>
      </w:r>
      <w:r w:rsidR="008D38F7">
        <w:rPr>
          <w:sz w:val="20"/>
        </w:rPr>
        <w:t xml:space="preserve"> in this cluster</w:t>
      </w:r>
      <w:r w:rsidR="00EF6DDD" w:rsidRPr="00EF6DDD">
        <w:rPr>
          <w:sz w:val="20"/>
        </w:rPr>
        <w:t xml:space="preserve"> are from the same distant primary, and as a result, the ejecta velocity, </w:t>
      </w:r>
      <w:r w:rsidR="0017550E">
        <w:rPr>
          <w:sz w:val="20"/>
        </w:rPr>
        <w:t xml:space="preserve">median </w:t>
      </w:r>
      <w:r w:rsidR="00EF6DDD" w:rsidRPr="00EF6DDD">
        <w:rPr>
          <w:sz w:val="20"/>
        </w:rPr>
        <w:t xml:space="preserve">block sizes, and densities are expected to be the same (at least to first order). Thus, variations between </w:t>
      </w:r>
      <w:r w:rsidR="00FA3923">
        <w:rPr>
          <w:sz w:val="20"/>
        </w:rPr>
        <w:t xml:space="preserve">secondary </w:t>
      </w:r>
      <w:r w:rsidR="00EF6DDD" w:rsidRPr="00EF6DDD">
        <w:rPr>
          <w:sz w:val="20"/>
        </w:rPr>
        <w:t>crater size</w:t>
      </w:r>
      <w:r w:rsidR="00FA3923">
        <w:rPr>
          <w:sz w:val="20"/>
        </w:rPr>
        <w:t>s</w:t>
      </w:r>
      <w:r w:rsidR="00EF6DDD" w:rsidRPr="00EF6DDD">
        <w:rPr>
          <w:sz w:val="20"/>
        </w:rPr>
        <w:t xml:space="preserve"> </w:t>
      </w:r>
      <w:r w:rsidR="00FA3923">
        <w:rPr>
          <w:sz w:val="20"/>
        </w:rPr>
        <w:t>i</w:t>
      </w:r>
      <w:r w:rsidR="00EF6DDD" w:rsidRPr="00EF6DDD">
        <w:rPr>
          <w:sz w:val="20"/>
        </w:rPr>
        <w:t xml:space="preserve">n the two units are due to material property differences </w:t>
      </w:r>
      <w:r w:rsidR="004412E5">
        <w:rPr>
          <w:sz w:val="20"/>
        </w:rPr>
        <w:t>like</w:t>
      </w:r>
      <w:r w:rsidR="00EF6DDD" w:rsidRPr="00EF6DDD">
        <w:rPr>
          <w:sz w:val="20"/>
        </w:rPr>
        <w:t xml:space="preserve"> </w:t>
      </w:r>
      <w:r w:rsidR="00EF6DDD" w:rsidRPr="00BD2C3C">
        <w:rPr>
          <w:i/>
          <w:iCs/>
          <w:sz w:val="20"/>
        </w:rPr>
        <w:t>Y</w:t>
      </w:r>
      <w:r w:rsidR="00BD2C3C">
        <w:rPr>
          <w:i/>
          <w:iCs/>
          <w:sz w:val="20"/>
          <w:vertAlign w:val="subscript"/>
        </w:rPr>
        <w:t>eff</w:t>
      </w:r>
      <w:r w:rsidR="00EF6DDD" w:rsidRPr="00EF6DDD">
        <w:rPr>
          <w:sz w:val="20"/>
        </w:rPr>
        <w:t xml:space="preserve">. Thanks to </w:t>
      </w:r>
      <w:r w:rsidR="008D38F7">
        <w:rPr>
          <w:sz w:val="20"/>
        </w:rPr>
        <w:t xml:space="preserve">the </w:t>
      </w:r>
      <w:r w:rsidR="00EF6DDD" w:rsidRPr="00EF6DDD">
        <w:rPr>
          <w:sz w:val="20"/>
        </w:rPr>
        <w:t>stee</w:t>
      </w:r>
      <w:r w:rsidR="008D38F7">
        <w:rPr>
          <w:sz w:val="20"/>
        </w:rPr>
        <w:t>p</w:t>
      </w:r>
      <w:r w:rsidR="00EF6DDD" w:rsidRPr="00EF6DDD">
        <w:rPr>
          <w:sz w:val="20"/>
        </w:rPr>
        <w:t xml:space="preserve"> size frequency distributions</w:t>
      </w:r>
      <w:r w:rsidR="008D38F7">
        <w:rPr>
          <w:sz w:val="20"/>
        </w:rPr>
        <w:t xml:space="preserve"> (SFD)</w:t>
      </w:r>
      <w:r w:rsidR="00EF6DDD" w:rsidRPr="00EF6DDD">
        <w:rPr>
          <w:sz w:val="20"/>
        </w:rPr>
        <w:t xml:space="preserve"> of secondaries [2], </w:t>
      </w:r>
      <w:r w:rsidR="008D38F7">
        <w:rPr>
          <w:sz w:val="20"/>
        </w:rPr>
        <w:t xml:space="preserve">observable </w:t>
      </w:r>
      <w:r w:rsidR="00EF6DDD" w:rsidRPr="00EF6DDD">
        <w:rPr>
          <w:sz w:val="20"/>
        </w:rPr>
        <w:t>secondary</w:t>
      </w:r>
      <w:r w:rsidR="008D38F7">
        <w:rPr>
          <w:sz w:val="20"/>
        </w:rPr>
        <w:t xml:space="preserve"> crater</w:t>
      </w:r>
      <w:r w:rsidR="00EF6DDD" w:rsidRPr="00EF6DDD">
        <w:rPr>
          <w:sz w:val="20"/>
        </w:rPr>
        <w:t xml:space="preserve"> sizes are tightly clustered, and we can</w:t>
      </w:r>
      <w:r w:rsidR="008D38F7">
        <w:rPr>
          <w:sz w:val="20"/>
        </w:rPr>
        <w:t xml:space="preserve"> simply</w:t>
      </w:r>
      <w:r w:rsidR="00EF6DDD" w:rsidRPr="00EF6DDD">
        <w:rPr>
          <w:sz w:val="20"/>
        </w:rPr>
        <w:t xml:space="preserve"> use differences in median secondary sizes between two geologic units to constrain the ratio of </w:t>
      </w:r>
      <w:r w:rsidR="008D38F7">
        <w:rPr>
          <w:i/>
          <w:iCs/>
          <w:sz w:val="20"/>
        </w:rPr>
        <w:t>Y</w:t>
      </w:r>
      <w:r w:rsidR="008D38F7">
        <w:rPr>
          <w:i/>
          <w:iCs/>
          <w:sz w:val="20"/>
          <w:vertAlign w:val="subscript"/>
        </w:rPr>
        <w:t>eff</w:t>
      </w:r>
      <w:r w:rsidR="00EF6DDD" w:rsidRPr="00EF6DDD">
        <w:rPr>
          <w:sz w:val="20"/>
        </w:rPr>
        <w:t>.</w:t>
      </w:r>
      <w:r w:rsidR="008D38F7">
        <w:rPr>
          <w:sz w:val="20"/>
        </w:rPr>
        <w:t xml:space="preserve"> We are also able to use the SFD to check if our counted craters are secondaries and if the two crater counting areas are from </w:t>
      </w:r>
      <w:r w:rsidR="00FA3923">
        <w:rPr>
          <w:sz w:val="20"/>
        </w:rPr>
        <w:t>the</w:t>
      </w:r>
      <w:r w:rsidR="008D38F7">
        <w:rPr>
          <w:sz w:val="20"/>
        </w:rPr>
        <w:t xml:space="preserve"> same source and thus have the same power law slope. </w:t>
      </w:r>
    </w:p>
    <w:p w14:paraId="2619BC40" w14:textId="4C1C589E" w:rsidR="00AA2FF7" w:rsidRDefault="00BD2C3C" w:rsidP="00710E3A">
      <w:pPr>
        <w:spacing w:line="240" w:lineRule="atLeast"/>
        <w:ind w:firstLine="288"/>
        <w:jc w:val="both"/>
        <w:rPr>
          <w:sz w:val="20"/>
        </w:rPr>
      </w:pPr>
      <w:r>
        <w:rPr>
          <w:sz w:val="20"/>
        </w:rPr>
        <w:t>Our methodology need</w:t>
      </w:r>
      <w:r w:rsidR="006E745D">
        <w:rPr>
          <w:sz w:val="20"/>
        </w:rPr>
        <w:t>s</w:t>
      </w:r>
      <w:r>
        <w:rPr>
          <w:sz w:val="20"/>
        </w:rPr>
        <w:t xml:space="preserve"> to take care to identify secondaries </w:t>
      </w:r>
      <w:r w:rsidR="00A05EE7">
        <w:rPr>
          <w:sz w:val="20"/>
        </w:rPr>
        <w:t>near</w:t>
      </w:r>
      <w:r w:rsidR="006E745D">
        <w:rPr>
          <w:sz w:val="20"/>
        </w:rPr>
        <w:t xml:space="preserve"> the contact region of two geologic units</w:t>
      </w:r>
      <w:r w:rsidR="00341810">
        <w:rPr>
          <w:sz w:val="20"/>
        </w:rPr>
        <w:t>. Primaries will also change the crater distribution, but are</w:t>
      </w:r>
      <w:r w:rsidR="00A05EE7">
        <w:rPr>
          <w:sz w:val="20"/>
        </w:rPr>
        <w:t xml:space="preserve"> typically</w:t>
      </w:r>
      <w:r w:rsidR="00341810">
        <w:rPr>
          <w:sz w:val="20"/>
        </w:rPr>
        <w:t xml:space="preserve"> eas</w:t>
      </w:r>
      <w:r w:rsidR="00A05EE7">
        <w:rPr>
          <w:sz w:val="20"/>
        </w:rPr>
        <w:t>y</w:t>
      </w:r>
      <w:r w:rsidR="00341810">
        <w:rPr>
          <w:sz w:val="20"/>
        </w:rPr>
        <w:t xml:space="preserve"> to pick out based on degradation state or other morphological tells.</w:t>
      </w:r>
      <w:r w:rsidR="00710E3A">
        <w:rPr>
          <w:sz w:val="20"/>
        </w:rPr>
        <w:t xml:space="preserve"> </w:t>
      </w:r>
      <w:r w:rsidR="00341810">
        <w:rPr>
          <w:sz w:val="20"/>
        </w:rPr>
        <w:t xml:space="preserve">For surveying </w:t>
      </w:r>
      <w:r w:rsidR="005F6198">
        <w:rPr>
          <w:sz w:val="20"/>
        </w:rPr>
        <w:t>sites of interest, we aim towards younger</w:t>
      </w:r>
      <w:r w:rsidR="006E745D">
        <w:rPr>
          <w:sz w:val="20"/>
        </w:rPr>
        <w:t xml:space="preserve"> and/or</w:t>
      </w:r>
      <w:r w:rsidR="005F6198">
        <w:rPr>
          <w:sz w:val="20"/>
        </w:rPr>
        <w:t xml:space="preserve"> larger primary craters, as those tend to have fresh</w:t>
      </w:r>
      <w:r w:rsidR="006E745D">
        <w:rPr>
          <w:sz w:val="20"/>
        </w:rPr>
        <w:t>er</w:t>
      </w:r>
      <w:r w:rsidR="005F6198">
        <w:rPr>
          <w:sz w:val="20"/>
        </w:rPr>
        <w:t xml:space="preserve"> </w:t>
      </w:r>
      <w:r w:rsidR="00A05EE7">
        <w:rPr>
          <w:sz w:val="20"/>
        </w:rPr>
        <w:t xml:space="preserve">and/or larger </w:t>
      </w:r>
      <w:r w:rsidR="005F6198">
        <w:rPr>
          <w:sz w:val="20"/>
        </w:rPr>
        <w:t>secondaries. Once we identif</w:t>
      </w:r>
      <w:r w:rsidR="00844D8F">
        <w:rPr>
          <w:sz w:val="20"/>
        </w:rPr>
        <w:t>y</w:t>
      </w:r>
      <w:r w:rsidR="005F6198">
        <w:rPr>
          <w:sz w:val="20"/>
        </w:rPr>
        <w:t xml:space="preserve"> a primary of interest, we note the geologic boundaries surrounding it and if others have mapped out secondary fields in those areas.</w:t>
      </w:r>
      <w:r w:rsidR="00CF4504">
        <w:rPr>
          <w:sz w:val="20"/>
        </w:rPr>
        <w:t xml:space="preserve"> </w:t>
      </w:r>
      <w:r w:rsidR="008F1C81">
        <w:rPr>
          <w:sz w:val="20"/>
        </w:rPr>
        <w:t xml:space="preserve">We </w:t>
      </w:r>
      <w:r w:rsidR="008F1C81">
        <w:rPr>
          <w:sz w:val="20"/>
        </w:rPr>
        <w:t xml:space="preserve">then </w:t>
      </w:r>
      <w:r w:rsidR="00E000D5">
        <w:rPr>
          <w:sz w:val="20"/>
        </w:rPr>
        <w:t xml:space="preserve">determine two counting areas at </w:t>
      </w:r>
      <w:r w:rsidR="00CF4504">
        <w:rPr>
          <w:sz w:val="20"/>
        </w:rPr>
        <w:t xml:space="preserve">approximately </w:t>
      </w:r>
      <w:r w:rsidR="00E000D5">
        <w:rPr>
          <w:sz w:val="20"/>
        </w:rPr>
        <w:t>same distance from</w:t>
      </w:r>
      <w:r w:rsidR="00CF4504">
        <w:rPr>
          <w:sz w:val="20"/>
        </w:rPr>
        <w:t xml:space="preserve"> the primary, one in each unit. </w:t>
      </w:r>
      <w:r w:rsidR="00A05EE7">
        <w:rPr>
          <w:sz w:val="20"/>
        </w:rPr>
        <w:t>Following that, we</w:t>
      </w:r>
      <w:r w:rsidR="00084D37">
        <w:rPr>
          <w:sz w:val="20"/>
        </w:rPr>
        <w:t xml:space="preserve"> identify and count s</w:t>
      </w:r>
      <w:r w:rsidR="00CF4504">
        <w:rPr>
          <w:sz w:val="20"/>
        </w:rPr>
        <w:t xml:space="preserve">econdaries </w:t>
      </w:r>
      <w:r w:rsidR="00946992">
        <w:rPr>
          <w:sz w:val="20"/>
        </w:rPr>
        <w:t>in each area</w:t>
      </w:r>
      <w:r w:rsidR="00A05EE7">
        <w:rPr>
          <w:sz w:val="20"/>
        </w:rPr>
        <w:t>,</w:t>
      </w:r>
      <w:r w:rsidR="00CF4504">
        <w:rPr>
          <w:sz w:val="20"/>
        </w:rPr>
        <w:t xml:space="preserve"> and </w:t>
      </w:r>
      <w:r w:rsidR="00946992">
        <w:rPr>
          <w:sz w:val="20"/>
        </w:rPr>
        <w:t xml:space="preserve">our analysis uses </w:t>
      </w:r>
      <w:r w:rsidR="00CF4504">
        <w:rPr>
          <w:sz w:val="20"/>
        </w:rPr>
        <w:t>those results.</w:t>
      </w:r>
    </w:p>
    <w:p w14:paraId="4457BB37" w14:textId="77777777" w:rsidR="00AA2FF7" w:rsidRDefault="00AA2FF7" w:rsidP="00AA2FF7">
      <w:pPr>
        <w:spacing w:line="240" w:lineRule="atLeast"/>
        <w:jc w:val="center"/>
        <w:rPr>
          <w:sz w:val="20"/>
        </w:rPr>
      </w:pPr>
      <w:r>
        <w:rPr>
          <w:noProof/>
        </w:rPr>
        <w:drawing>
          <wp:inline distT="0" distB="0" distL="0" distR="0" wp14:anchorId="079AA7AB" wp14:editId="531F0FFB">
            <wp:extent cx="2679896" cy="4719081"/>
            <wp:effectExtent l="0" t="0" r="635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962" cy="4750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61042" w14:textId="4B2A295D" w:rsidR="00AA2FF7" w:rsidRPr="00BD13EA" w:rsidRDefault="00AA2FF7" w:rsidP="00AA2FF7">
      <w:pPr>
        <w:spacing w:line="240" w:lineRule="atLeast"/>
        <w:jc w:val="both"/>
        <w:rPr>
          <w:sz w:val="20"/>
        </w:rPr>
      </w:pPr>
      <w:r w:rsidRPr="00970E1A">
        <w:rPr>
          <w:b/>
          <w:bCs/>
          <w:sz w:val="20"/>
        </w:rPr>
        <w:t>Figure 1:</w:t>
      </w:r>
      <w:r>
        <w:rPr>
          <w:sz w:val="20"/>
        </w:rPr>
        <w:t xml:space="preserve"> A. Map of </w:t>
      </w:r>
      <w:r w:rsidR="00811C7F">
        <w:rPr>
          <w:sz w:val="20"/>
        </w:rPr>
        <w:t xml:space="preserve">TC </w:t>
      </w:r>
      <w:r>
        <w:rPr>
          <w:sz w:val="20"/>
        </w:rPr>
        <w:t>study area, which includes the bordering units of Amazonis Planitia (AP; blue) and the Olympus Mon Aureole (OM; orange). Red square: The location of the bottom panel. B. Secondary crater counts for the two units. Divided up to test range effects, which are minimal.</w:t>
      </w:r>
    </w:p>
    <w:p w14:paraId="456D8F40" w14:textId="77777777" w:rsidR="003601D3" w:rsidRDefault="003601D3" w:rsidP="0041702E">
      <w:pPr>
        <w:spacing w:line="240" w:lineRule="atLeast"/>
        <w:ind w:firstLine="288"/>
        <w:jc w:val="both"/>
        <w:rPr>
          <w:sz w:val="20"/>
        </w:rPr>
      </w:pPr>
    </w:p>
    <w:p w14:paraId="13F44DC2" w14:textId="7F8BFBB6" w:rsidR="00AA2FF7" w:rsidRDefault="00CF4504" w:rsidP="0041702E">
      <w:pPr>
        <w:spacing w:line="240" w:lineRule="atLeast"/>
        <w:ind w:firstLine="288"/>
        <w:jc w:val="both"/>
        <w:rPr>
          <w:sz w:val="20"/>
        </w:rPr>
      </w:pPr>
      <w:r>
        <w:rPr>
          <w:b/>
          <w:bCs/>
          <w:sz w:val="20"/>
        </w:rPr>
        <w:t xml:space="preserve">Example </w:t>
      </w:r>
      <w:r w:rsidR="00166938">
        <w:rPr>
          <w:b/>
          <w:bCs/>
          <w:sz w:val="20"/>
        </w:rPr>
        <w:t>Results:</w:t>
      </w:r>
      <w:r w:rsidR="00AA2FF7">
        <w:rPr>
          <w:b/>
          <w:bCs/>
          <w:sz w:val="20"/>
        </w:rPr>
        <w:t xml:space="preserve">  </w:t>
      </w:r>
      <w:r w:rsidR="00A05EE7">
        <w:rPr>
          <w:sz w:val="20"/>
        </w:rPr>
        <w:t>For our first attempt, w</w:t>
      </w:r>
      <w:r w:rsidR="00EF6DDD" w:rsidRPr="00EF6DDD">
        <w:rPr>
          <w:sz w:val="20"/>
        </w:rPr>
        <w:t>e</w:t>
      </w:r>
      <w:r w:rsidR="004F71E7">
        <w:rPr>
          <w:sz w:val="20"/>
        </w:rPr>
        <w:t xml:space="preserve"> </w:t>
      </w:r>
      <w:r w:rsidR="00A05EE7">
        <w:rPr>
          <w:sz w:val="20"/>
        </w:rPr>
        <w:t>applied</w:t>
      </w:r>
      <w:r w:rsidR="00EF6DDD" w:rsidRPr="00EF6DDD">
        <w:rPr>
          <w:sz w:val="20"/>
        </w:rPr>
        <w:t xml:space="preserve"> this technique </w:t>
      </w:r>
      <w:r w:rsidR="00A05EE7">
        <w:rPr>
          <w:sz w:val="20"/>
        </w:rPr>
        <w:t>on</w:t>
      </w:r>
      <w:r w:rsidR="008B7B43">
        <w:rPr>
          <w:sz w:val="20"/>
        </w:rPr>
        <w:t xml:space="preserve"> the</w:t>
      </w:r>
      <w:r w:rsidR="00EF6DDD" w:rsidRPr="00EF6DDD">
        <w:rPr>
          <w:sz w:val="20"/>
        </w:rPr>
        <w:t xml:space="preserve"> secondary crater fields of Tooting Crater, Mars (TC; [3]). </w:t>
      </w:r>
      <w:r w:rsidR="00EA3D98">
        <w:rPr>
          <w:sz w:val="20"/>
        </w:rPr>
        <w:t>TC is a young complex crater that is situated in the Amazonis Planitia (AP) region</w:t>
      </w:r>
      <w:r w:rsidR="0022407E">
        <w:rPr>
          <w:sz w:val="20"/>
        </w:rPr>
        <w:t xml:space="preserve"> and the surrounding area can be observed in Fig. 1</w:t>
      </w:r>
      <w:r w:rsidR="00DD20FC">
        <w:rPr>
          <w:sz w:val="20"/>
        </w:rPr>
        <w:t>A</w:t>
      </w:r>
      <w:r w:rsidR="00EA3D98">
        <w:rPr>
          <w:sz w:val="20"/>
        </w:rPr>
        <w:t xml:space="preserve">. </w:t>
      </w:r>
      <w:r w:rsidR="0022407E">
        <w:rPr>
          <w:sz w:val="20"/>
        </w:rPr>
        <w:t>TC</w:t>
      </w:r>
      <w:r w:rsidR="00EA3D98">
        <w:rPr>
          <w:sz w:val="20"/>
        </w:rPr>
        <w:t xml:space="preserve"> has </w:t>
      </w:r>
      <w:r w:rsidR="0022407E">
        <w:rPr>
          <w:sz w:val="20"/>
        </w:rPr>
        <w:t>many</w:t>
      </w:r>
      <w:r w:rsidR="00EA3D98">
        <w:rPr>
          <w:sz w:val="20"/>
        </w:rPr>
        <w:t xml:space="preserve"> fresh secondary craters</w:t>
      </w:r>
      <w:r w:rsidR="0022407E">
        <w:rPr>
          <w:sz w:val="20"/>
        </w:rPr>
        <w:t xml:space="preserve"> that are relatively easy to count. </w:t>
      </w:r>
      <w:r w:rsidR="00EF6DDD" w:rsidRPr="00EF6DDD">
        <w:rPr>
          <w:sz w:val="20"/>
        </w:rPr>
        <w:t xml:space="preserve">In the northeast section of TC’s secondary field </w:t>
      </w:r>
      <w:r w:rsidR="00EF6DDD" w:rsidRPr="00EF6DDD">
        <w:rPr>
          <w:sz w:val="20"/>
        </w:rPr>
        <w:lastRenderedPageBreak/>
        <w:t xml:space="preserve">(found at -150.35˚ lon, 25.25˚ lat), </w:t>
      </w:r>
      <w:r w:rsidR="001C3AF8">
        <w:rPr>
          <w:sz w:val="20"/>
        </w:rPr>
        <w:t>there is a</w:t>
      </w:r>
      <w:r w:rsidR="00EF6DDD" w:rsidRPr="00EF6DDD">
        <w:rPr>
          <w:sz w:val="20"/>
        </w:rPr>
        <w:t xml:space="preserve"> geologic unit </w:t>
      </w:r>
      <w:r w:rsidR="008B7B43">
        <w:rPr>
          <w:sz w:val="20"/>
        </w:rPr>
        <w:t>boundary</w:t>
      </w:r>
      <w:r w:rsidR="00EF6DDD" w:rsidRPr="00EF6DDD">
        <w:rPr>
          <w:sz w:val="20"/>
        </w:rPr>
        <w:t xml:space="preserve"> betwee</w:t>
      </w:r>
      <w:r w:rsidR="00EA3D98">
        <w:rPr>
          <w:sz w:val="20"/>
        </w:rPr>
        <w:t xml:space="preserve">n </w:t>
      </w:r>
      <w:r w:rsidR="00EF6DDD" w:rsidRPr="00EF6DDD">
        <w:rPr>
          <w:sz w:val="20"/>
        </w:rPr>
        <w:t>AP and the Olympus Mons Aureole (OM)</w:t>
      </w:r>
      <w:r w:rsidR="00CE25EA">
        <w:rPr>
          <w:sz w:val="20"/>
        </w:rPr>
        <w:t xml:space="preserve"> that contains a large number of secondaries from the same cluster across the boundary.</w:t>
      </w:r>
    </w:p>
    <w:p w14:paraId="16A8D9C7" w14:textId="437D334B" w:rsidR="00811C7F" w:rsidRDefault="00A50A57">
      <w:pPr>
        <w:spacing w:line="240" w:lineRule="atLeast"/>
        <w:ind w:firstLine="288"/>
        <w:jc w:val="both"/>
        <w:rPr>
          <w:sz w:val="20"/>
        </w:rPr>
      </w:pPr>
      <w:r>
        <w:rPr>
          <w:sz w:val="20"/>
        </w:rPr>
        <w:t xml:space="preserve">AP is </w:t>
      </w:r>
      <w:r w:rsidR="00064DA1">
        <w:rPr>
          <w:sz w:val="20"/>
        </w:rPr>
        <w:t>a volcanic plain,</w:t>
      </w:r>
      <w:r w:rsidR="009C119D">
        <w:rPr>
          <w:sz w:val="20"/>
        </w:rPr>
        <w:t xml:space="preserve"> </w:t>
      </w:r>
      <w:r w:rsidR="00064DA1">
        <w:rPr>
          <w:sz w:val="20"/>
        </w:rPr>
        <w:t>like</w:t>
      </w:r>
      <w:r w:rsidR="009C119D">
        <w:rPr>
          <w:sz w:val="20"/>
        </w:rPr>
        <w:t xml:space="preserve"> </w:t>
      </w:r>
      <w:r w:rsidR="0086271F">
        <w:rPr>
          <w:sz w:val="20"/>
        </w:rPr>
        <w:t>Elysium Planitia</w:t>
      </w:r>
      <w:r w:rsidR="00064DA1">
        <w:rPr>
          <w:sz w:val="20"/>
        </w:rPr>
        <w:t xml:space="preserve">, </w:t>
      </w:r>
      <w:r w:rsidR="006252D4">
        <w:rPr>
          <w:sz w:val="20"/>
        </w:rPr>
        <w:t>which</w:t>
      </w:r>
      <w:r w:rsidR="0086271F">
        <w:rPr>
          <w:sz w:val="20"/>
        </w:rPr>
        <w:t xml:space="preserve"> lies in the northern lowlands. OM, however, is a unit made </w:t>
      </w:r>
      <w:r w:rsidR="00064DA1">
        <w:rPr>
          <w:sz w:val="20"/>
        </w:rPr>
        <w:t>from</w:t>
      </w:r>
      <w:r w:rsidR="0086271F">
        <w:rPr>
          <w:sz w:val="20"/>
        </w:rPr>
        <w:t xml:space="preserve"> successive landslide</w:t>
      </w:r>
      <w:r w:rsidR="007E7950">
        <w:rPr>
          <w:sz w:val="20"/>
        </w:rPr>
        <w:t>s</w:t>
      </w:r>
      <w:r w:rsidR="00125A31">
        <w:rPr>
          <w:sz w:val="20"/>
        </w:rPr>
        <w:t xml:space="preserve"> off Olympus Mons</w:t>
      </w:r>
      <w:r w:rsidR="002E5AA3">
        <w:rPr>
          <w:sz w:val="20"/>
        </w:rPr>
        <w:t xml:space="preserve"> </w:t>
      </w:r>
      <w:r w:rsidR="007E7950">
        <w:rPr>
          <w:sz w:val="20"/>
        </w:rPr>
        <w:t xml:space="preserve">that </w:t>
      </w:r>
      <w:r w:rsidR="00A4497A">
        <w:rPr>
          <w:sz w:val="20"/>
        </w:rPr>
        <w:t xml:space="preserve">might </w:t>
      </w:r>
      <w:r w:rsidR="002E5AA3">
        <w:rPr>
          <w:sz w:val="20"/>
        </w:rPr>
        <w:t xml:space="preserve">be </w:t>
      </w:r>
      <w:r w:rsidR="00A4497A">
        <w:rPr>
          <w:sz w:val="20"/>
        </w:rPr>
        <w:t xml:space="preserve">expected to be </w:t>
      </w:r>
      <w:r w:rsidR="002E5AA3">
        <w:rPr>
          <w:sz w:val="20"/>
        </w:rPr>
        <w:t xml:space="preserve">relatively </w:t>
      </w:r>
      <w:r w:rsidR="00C042D2">
        <w:rPr>
          <w:sz w:val="20"/>
        </w:rPr>
        <w:t xml:space="preserve">weak compared to </w:t>
      </w:r>
      <w:r w:rsidR="00A4497A">
        <w:rPr>
          <w:sz w:val="20"/>
        </w:rPr>
        <w:t>the AP volcanic plains</w:t>
      </w:r>
      <w:r w:rsidR="00C042D2">
        <w:rPr>
          <w:sz w:val="20"/>
        </w:rPr>
        <w:t>.</w:t>
      </w:r>
      <w:r w:rsidR="00125A31">
        <w:rPr>
          <w:sz w:val="20"/>
        </w:rPr>
        <w:t xml:space="preserve"> </w:t>
      </w:r>
      <w:r w:rsidR="00C042D2">
        <w:rPr>
          <w:sz w:val="20"/>
        </w:rPr>
        <w:t>In addition, a</w:t>
      </w:r>
      <w:r w:rsidR="00125A31">
        <w:rPr>
          <w:sz w:val="20"/>
        </w:rPr>
        <w:t xml:space="preserve"> recent observation of increased </w:t>
      </w:r>
      <w:r w:rsidR="00C042D2">
        <w:rPr>
          <w:sz w:val="20"/>
        </w:rPr>
        <w:t>buried water ice in the unit [</w:t>
      </w:r>
      <w:r w:rsidR="004A5DBF">
        <w:rPr>
          <w:sz w:val="20"/>
        </w:rPr>
        <w:t>4</w:t>
      </w:r>
      <w:r w:rsidR="00C042D2">
        <w:rPr>
          <w:sz w:val="20"/>
        </w:rPr>
        <w:t xml:space="preserve">], especially compared to AP, might </w:t>
      </w:r>
      <w:r w:rsidR="00C13C3E">
        <w:rPr>
          <w:sz w:val="20"/>
        </w:rPr>
        <w:t>drive</w:t>
      </w:r>
      <w:r w:rsidR="00512283">
        <w:rPr>
          <w:sz w:val="20"/>
        </w:rPr>
        <w:t xml:space="preserve"> the </w:t>
      </w:r>
      <w:r w:rsidR="00512283">
        <w:rPr>
          <w:i/>
          <w:iCs/>
          <w:sz w:val="20"/>
        </w:rPr>
        <w:t>Y</w:t>
      </w:r>
      <w:r w:rsidR="00512283">
        <w:rPr>
          <w:i/>
          <w:iCs/>
          <w:sz w:val="20"/>
          <w:vertAlign w:val="subscript"/>
        </w:rPr>
        <w:t>eff</w:t>
      </w:r>
      <w:r w:rsidR="00512283">
        <w:rPr>
          <w:sz w:val="20"/>
        </w:rPr>
        <w:t xml:space="preserve"> value</w:t>
      </w:r>
      <w:r w:rsidR="00C13C3E">
        <w:rPr>
          <w:sz w:val="20"/>
        </w:rPr>
        <w:t xml:space="preserve"> lower</w:t>
      </w:r>
      <w:r w:rsidR="00512283">
        <w:rPr>
          <w:sz w:val="20"/>
        </w:rPr>
        <w:t xml:space="preserve"> </w:t>
      </w:r>
      <w:r w:rsidR="00C13C3E">
        <w:rPr>
          <w:sz w:val="20"/>
        </w:rPr>
        <w:t>and</w:t>
      </w:r>
      <w:r w:rsidR="00512283">
        <w:rPr>
          <w:sz w:val="20"/>
        </w:rPr>
        <w:t xml:space="preserve"> the secondary sizes further from each other.</w:t>
      </w:r>
      <w:r w:rsidR="00363019">
        <w:rPr>
          <w:sz w:val="20"/>
        </w:rPr>
        <w:t xml:space="preserve"> </w:t>
      </w:r>
    </w:p>
    <w:p w14:paraId="76F22448" w14:textId="768BE9FC" w:rsidR="00710E3A" w:rsidRDefault="00970E1A" w:rsidP="00811C7F">
      <w:pPr>
        <w:spacing w:line="240" w:lineRule="atLeast"/>
        <w:ind w:firstLine="288"/>
        <w:jc w:val="both"/>
        <w:rPr>
          <w:sz w:val="20"/>
        </w:rPr>
      </w:pPr>
      <w:r>
        <w:rPr>
          <w:sz w:val="20"/>
        </w:rPr>
        <w:t>What we find when we count the secondaries in that cluster (Fig. 1), however, is that the median diameter of secondaries in AP is</w:t>
      </w:r>
      <w:r w:rsidR="00AA2FF7">
        <w:rPr>
          <w:sz w:val="20"/>
        </w:rPr>
        <w:t xml:space="preserve"> 96.5 m, much </w:t>
      </w:r>
      <w:r>
        <w:rPr>
          <w:sz w:val="20"/>
        </w:rPr>
        <w:t>larger than those i</w:t>
      </w:r>
      <w:r w:rsidR="00AA2FF7">
        <w:rPr>
          <w:sz w:val="20"/>
        </w:rPr>
        <w:t>n</w:t>
      </w:r>
      <w:r>
        <w:rPr>
          <w:sz w:val="20"/>
        </w:rPr>
        <w:t xml:space="preserve"> OM</w:t>
      </w:r>
      <w:r w:rsidR="00AA2FF7">
        <w:rPr>
          <w:sz w:val="20"/>
        </w:rPr>
        <w:t>, at 58.8 m</w:t>
      </w:r>
      <w:r>
        <w:rPr>
          <w:sz w:val="20"/>
        </w:rPr>
        <w:t>.</w:t>
      </w:r>
      <w:r w:rsidR="00811C7F">
        <w:rPr>
          <w:sz w:val="20"/>
        </w:rPr>
        <w:t xml:space="preserve"> </w:t>
      </w:r>
      <w:r w:rsidRPr="00970E1A">
        <w:rPr>
          <w:sz w:val="20"/>
        </w:rPr>
        <w:t xml:space="preserve">We can use [1] to </w:t>
      </w:r>
      <w:r>
        <w:rPr>
          <w:sz w:val="20"/>
        </w:rPr>
        <w:t>translate from these median diameters to</w:t>
      </w:r>
      <w:r w:rsidR="00466004">
        <w:rPr>
          <w:sz w:val="20"/>
        </w:rPr>
        <w:t xml:space="preserve"> a</w:t>
      </w:r>
      <w:r>
        <w:rPr>
          <w:sz w:val="20"/>
        </w:rPr>
        <w:t xml:space="preserve"> </w:t>
      </w:r>
      <w:r w:rsidR="00466004">
        <w:rPr>
          <w:i/>
          <w:iCs/>
          <w:sz w:val="20"/>
        </w:rPr>
        <w:t>Y</w:t>
      </w:r>
      <w:r w:rsidR="00466004">
        <w:rPr>
          <w:i/>
          <w:iCs/>
          <w:sz w:val="20"/>
          <w:vertAlign w:val="subscript"/>
        </w:rPr>
        <w:t>eff</w:t>
      </w:r>
      <w:r w:rsidR="00466004">
        <w:rPr>
          <w:sz w:val="20"/>
        </w:rPr>
        <w:t xml:space="preserve"> ratio </w:t>
      </w:r>
      <w:r w:rsidR="002F17DB">
        <w:rPr>
          <w:sz w:val="20"/>
        </w:rPr>
        <w:t xml:space="preserve">of OM to AP if we </w:t>
      </w:r>
      <w:r w:rsidR="00BB657E">
        <w:rPr>
          <w:sz w:val="20"/>
        </w:rPr>
        <w:t xml:space="preserve">set </w:t>
      </w:r>
      <w:r w:rsidR="00BB657E" w:rsidRPr="0041702E">
        <w:rPr>
          <w:i/>
          <w:iCs/>
          <w:sz w:val="20"/>
        </w:rPr>
        <w:t>μ</w:t>
      </w:r>
      <w:r w:rsidR="00BB657E">
        <w:rPr>
          <w:sz w:val="20"/>
        </w:rPr>
        <w:t xml:space="preserve"> to be constant (~0.5).</w:t>
      </w:r>
      <w:r w:rsidR="009B4DF3">
        <w:rPr>
          <w:sz w:val="20"/>
        </w:rPr>
        <w:t xml:space="preserve"> </w:t>
      </w:r>
      <w:r w:rsidR="00811C7F">
        <w:rPr>
          <w:sz w:val="20"/>
        </w:rPr>
        <w:t>For secondary debris sizes</w:t>
      </w:r>
      <w:r w:rsidR="00AA2FF7">
        <w:rPr>
          <w:sz w:val="20"/>
        </w:rPr>
        <w:t xml:space="preserve"> </w:t>
      </w:r>
      <w:r w:rsidR="00811C7F">
        <w:rPr>
          <w:sz w:val="20"/>
        </w:rPr>
        <w:t xml:space="preserve">around a tenth the mean crater size, we get a </w:t>
      </w:r>
      <w:r w:rsidR="00811C7F">
        <w:rPr>
          <w:i/>
          <w:iCs/>
          <w:sz w:val="20"/>
        </w:rPr>
        <w:t>Y</w:t>
      </w:r>
      <w:r w:rsidR="00811C7F">
        <w:rPr>
          <w:i/>
          <w:iCs/>
          <w:sz w:val="20"/>
          <w:vertAlign w:val="subscript"/>
        </w:rPr>
        <w:t>eff</w:t>
      </w:r>
      <w:r w:rsidR="00811C7F">
        <w:rPr>
          <w:sz w:val="20"/>
        </w:rPr>
        <w:t xml:space="preserve"> ratio OM:AP of ~8.5. </w:t>
      </w:r>
      <w:r w:rsidR="00A4497A">
        <w:rPr>
          <w:sz w:val="20"/>
        </w:rPr>
        <w:t>I</w:t>
      </w:r>
      <w:r w:rsidR="002F17DB">
        <w:rPr>
          <w:sz w:val="20"/>
        </w:rPr>
        <w:t>mpl</w:t>
      </w:r>
      <w:r w:rsidR="00811C7F">
        <w:rPr>
          <w:sz w:val="20"/>
        </w:rPr>
        <w:t>ying</w:t>
      </w:r>
      <w:r w:rsidR="002F17DB">
        <w:rPr>
          <w:sz w:val="20"/>
        </w:rPr>
        <w:t xml:space="preserve"> that the crust of </w:t>
      </w:r>
      <w:r w:rsidR="00DF3458">
        <w:rPr>
          <w:sz w:val="20"/>
        </w:rPr>
        <w:t xml:space="preserve">OM is </w:t>
      </w:r>
      <w:r w:rsidR="00811C7F">
        <w:rPr>
          <w:sz w:val="20"/>
        </w:rPr>
        <w:t>considerably</w:t>
      </w:r>
      <w:r w:rsidR="00A4497A">
        <w:rPr>
          <w:sz w:val="20"/>
        </w:rPr>
        <w:t xml:space="preserve"> </w:t>
      </w:r>
      <w:r w:rsidR="00DF3458">
        <w:rPr>
          <w:sz w:val="20"/>
        </w:rPr>
        <w:t>stronger than AP</w:t>
      </w:r>
      <w:r w:rsidR="00A4497A">
        <w:rPr>
          <w:sz w:val="20"/>
        </w:rPr>
        <w:t>,</w:t>
      </w:r>
      <w:r w:rsidR="00811C7F">
        <w:rPr>
          <w:sz w:val="20"/>
        </w:rPr>
        <w:t xml:space="preserve"> which is</w:t>
      </w:r>
      <w:r w:rsidR="00A4497A">
        <w:rPr>
          <w:sz w:val="20"/>
        </w:rPr>
        <w:t xml:space="preserve"> </w:t>
      </w:r>
      <w:r w:rsidR="00DF3458">
        <w:rPr>
          <w:sz w:val="20"/>
        </w:rPr>
        <w:t xml:space="preserve">the opposite of what we </w:t>
      </w:r>
      <w:r w:rsidR="00A4497A">
        <w:rPr>
          <w:sz w:val="20"/>
        </w:rPr>
        <w:t xml:space="preserve">hypothesized </w:t>
      </w:r>
      <w:r w:rsidR="00DF3458">
        <w:rPr>
          <w:sz w:val="20"/>
        </w:rPr>
        <w:t>based on the geology.</w:t>
      </w:r>
      <w:r w:rsidR="00811C7F">
        <w:rPr>
          <w:sz w:val="20"/>
        </w:rPr>
        <w:t xml:space="preserve"> This tells us that either our picture of the geology here is incomplete, or that another target property like porosity plays a bigger role in crater scaling.</w:t>
      </w:r>
    </w:p>
    <w:p w14:paraId="7B6339E2" w14:textId="3A0F8F39" w:rsidR="00710E3A" w:rsidRDefault="00811C7F" w:rsidP="00710E3A">
      <w:pPr>
        <w:spacing w:line="240" w:lineRule="atLeast"/>
        <w:ind w:firstLine="288"/>
        <w:jc w:val="both"/>
        <w:rPr>
          <w:sz w:val="20"/>
        </w:rPr>
      </w:pPr>
      <w:r>
        <w:rPr>
          <w:sz w:val="20"/>
        </w:rPr>
        <w:t>As a second pass at this analysis technique, we looked at the region around Mojave crater</w:t>
      </w:r>
      <w:r w:rsidR="008B09F4">
        <w:rPr>
          <w:sz w:val="20"/>
        </w:rPr>
        <w:t xml:space="preserve"> (MC)</w:t>
      </w:r>
      <w:r>
        <w:rPr>
          <w:sz w:val="20"/>
        </w:rPr>
        <w:t>. M</w:t>
      </w:r>
      <w:r w:rsidR="008B09F4">
        <w:rPr>
          <w:sz w:val="20"/>
        </w:rPr>
        <w:t>C</w:t>
      </w:r>
      <w:r>
        <w:rPr>
          <w:sz w:val="20"/>
        </w:rPr>
        <w:t xml:space="preserve"> is another young complex crater with an abundance of secondaries that can be easily sourced </w:t>
      </w:r>
      <w:r w:rsidR="008B09F4">
        <w:rPr>
          <w:sz w:val="20"/>
        </w:rPr>
        <w:t>from it</w:t>
      </w:r>
      <w:r>
        <w:rPr>
          <w:sz w:val="20"/>
        </w:rPr>
        <w:t>.</w:t>
      </w:r>
      <w:r w:rsidR="00A66DD7">
        <w:rPr>
          <w:sz w:val="20"/>
        </w:rPr>
        <w:t xml:space="preserve"> The primary two geologic units surrounding the crater are Noachian highlands (e.g., mNH) and Hesperian transition (e.g., Ht). These </w:t>
      </w:r>
      <w:r w:rsidR="003268B8">
        <w:rPr>
          <w:sz w:val="20"/>
        </w:rPr>
        <w:t xml:space="preserve">respectively </w:t>
      </w:r>
      <w:r w:rsidR="00A66DD7">
        <w:rPr>
          <w:sz w:val="20"/>
        </w:rPr>
        <w:t>represent old</w:t>
      </w:r>
      <w:r w:rsidR="003268B8">
        <w:rPr>
          <w:sz w:val="20"/>
        </w:rPr>
        <w:t>,</w:t>
      </w:r>
      <w:r w:rsidR="00A66DD7">
        <w:rPr>
          <w:sz w:val="20"/>
        </w:rPr>
        <w:t xml:space="preserve"> relatively </w:t>
      </w:r>
      <w:r w:rsidR="003268B8">
        <w:rPr>
          <w:sz w:val="20"/>
        </w:rPr>
        <w:t>unmodified,</w:t>
      </w:r>
      <w:r w:rsidR="00A66DD7">
        <w:rPr>
          <w:sz w:val="20"/>
        </w:rPr>
        <w:t xml:space="preserve"> and younger, </w:t>
      </w:r>
      <w:r w:rsidR="003268B8">
        <w:rPr>
          <w:sz w:val="20"/>
        </w:rPr>
        <w:t>water</w:t>
      </w:r>
      <w:r w:rsidR="00A66DD7">
        <w:rPr>
          <w:sz w:val="20"/>
        </w:rPr>
        <w:t xml:space="preserve"> modified units</w:t>
      </w:r>
      <w:r w:rsidR="003268B8">
        <w:rPr>
          <w:sz w:val="20"/>
        </w:rPr>
        <w:t>.</w:t>
      </w:r>
    </w:p>
    <w:p w14:paraId="36FE6253" w14:textId="37CF1F39" w:rsidR="00466004" w:rsidRPr="00466004" w:rsidRDefault="003268B8" w:rsidP="0041702E">
      <w:pPr>
        <w:spacing w:line="240" w:lineRule="atLeast"/>
        <w:ind w:firstLine="288"/>
        <w:jc w:val="both"/>
        <w:rPr>
          <w:sz w:val="20"/>
        </w:rPr>
      </w:pPr>
      <w:r>
        <w:rPr>
          <w:sz w:val="20"/>
        </w:rPr>
        <w:t>We found two study areas with</w:t>
      </w:r>
      <w:r w:rsidR="00900453">
        <w:rPr>
          <w:sz w:val="20"/>
        </w:rPr>
        <w:t xml:space="preserve"> equidistant</w:t>
      </w:r>
      <w:r>
        <w:rPr>
          <w:sz w:val="20"/>
        </w:rPr>
        <w:t xml:space="preserve"> clusters of M</w:t>
      </w:r>
      <w:r w:rsidR="008B09F4">
        <w:rPr>
          <w:sz w:val="20"/>
        </w:rPr>
        <w:t>C</w:t>
      </w:r>
      <w:r>
        <w:rPr>
          <w:sz w:val="20"/>
        </w:rPr>
        <w:t xml:space="preserve"> secondaries in </w:t>
      </w:r>
      <w:r w:rsidR="00900453">
        <w:rPr>
          <w:sz w:val="20"/>
        </w:rPr>
        <w:t>the two units. While not the same cluster bisected by the border as in the TC study, they do conform to the same SFC slope</w:t>
      </w:r>
      <w:r w:rsidR="00773FAA">
        <w:rPr>
          <w:sz w:val="20"/>
        </w:rPr>
        <w:t xml:space="preserve">. The characteristic crater </w:t>
      </w:r>
      <w:r w:rsidR="00322BA6">
        <w:rPr>
          <w:sz w:val="20"/>
        </w:rPr>
        <w:t>diameters</w:t>
      </w:r>
      <w:r w:rsidR="00773FAA">
        <w:rPr>
          <w:sz w:val="20"/>
        </w:rPr>
        <w:t xml:space="preserve"> in our counts are </w:t>
      </w:r>
      <w:r w:rsidR="008C1372">
        <w:rPr>
          <w:sz w:val="20"/>
        </w:rPr>
        <w:t>275 m and 170 m for Ht, and 200 m and 110 m for mNH for the northern (</w:t>
      </w:r>
      <w:r w:rsidR="00322BA6">
        <w:rPr>
          <w:sz w:val="20"/>
        </w:rPr>
        <w:t>Fig. 2B)</w:t>
      </w:r>
      <w:r w:rsidR="008C1372">
        <w:rPr>
          <w:sz w:val="20"/>
        </w:rPr>
        <w:t xml:space="preserve"> and </w:t>
      </w:r>
      <w:r w:rsidR="00322BA6">
        <w:rPr>
          <w:sz w:val="20"/>
        </w:rPr>
        <w:t>s</w:t>
      </w:r>
      <w:r w:rsidR="008C1372">
        <w:rPr>
          <w:sz w:val="20"/>
        </w:rPr>
        <w:t>outh</w:t>
      </w:r>
      <w:r w:rsidR="00322BA6">
        <w:rPr>
          <w:sz w:val="20"/>
        </w:rPr>
        <w:t xml:space="preserve">ern (Fig. 2C) aeras respectively. </w:t>
      </w:r>
      <w:r w:rsidR="00E11509">
        <w:rPr>
          <w:sz w:val="20"/>
        </w:rPr>
        <w:t xml:space="preserve">These values give us a </w:t>
      </w:r>
      <w:r w:rsidR="00E11509">
        <w:rPr>
          <w:i/>
          <w:iCs/>
          <w:sz w:val="20"/>
        </w:rPr>
        <w:t>Y</w:t>
      </w:r>
      <w:r w:rsidR="00E11509">
        <w:rPr>
          <w:i/>
          <w:iCs/>
          <w:sz w:val="20"/>
          <w:vertAlign w:val="subscript"/>
        </w:rPr>
        <w:t>eff</w:t>
      </w:r>
      <w:r w:rsidR="00E11509">
        <w:rPr>
          <w:sz w:val="20"/>
        </w:rPr>
        <w:t xml:space="preserve"> ratio </w:t>
      </w:r>
      <w:r w:rsidR="00E11509">
        <w:rPr>
          <w:sz w:val="20"/>
        </w:rPr>
        <w:t>mNH</w:t>
      </w:r>
      <w:r w:rsidR="00E11509">
        <w:rPr>
          <w:sz w:val="20"/>
        </w:rPr>
        <w:t>:</w:t>
      </w:r>
      <w:r w:rsidR="00E11509">
        <w:rPr>
          <w:sz w:val="20"/>
        </w:rPr>
        <w:t xml:space="preserve">Ht of ~4.9 and ~6.7 for the two areas. The variance is likely a product of </w:t>
      </w:r>
      <w:r w:rsidR="008B09F4">
        <w:rPr>
          <w:sz w:val="20"/>
        </w:rPr>
        <w:t>the</w:t>
      </w:r>
      <w:r w:rsidR="00E11509">
        <w:rPr>
          <w:sz w:val="20"/>
        </w:rPr>
        <w:t xml:space="preserve"> 30 km</w:t>
      </w:r>
      <w:r w:rsidR="008B09F4">
        <w:rPr>
          <w:sz w:val="20"/>
        </w:rPr>
        <w:t xml:space="preserve"> difference</w:t>
      </w:r>
      <w:r w:rsidR="00E11509">
        <w:rPr>
          <w:sz w:val="20"/>
        </w:rPr>
        <w:t xml:space="preserve"> from M</w:t>
      </w:r>
      <w:r w:rsidR="008B09F4">
        <w:rPr>
          <w:sz w:val="20"/>
        </w:rPr>
        <w:t>C</w:t>
      </w:r>
      <w:r w:rsidR="00E11509">
        <w:rPr>
          <w:sz w:val="20"/>
        </w:rPr>
        <w:t xml:space="preserve"> and the inconsistency in using this technique on </w:t>
      </w:r>
      <w:r w:rsidR="0064287D">
        <w:rPr>
          <w:sz w:val="20"/>
        </w:rPr>
        <w:t xml:space="preserve">two </w:t>
      </w:r>
      <w:r w:rsidR="000437BC">
        <w:rPr>
          <w:sz w:val="20"/>
        </w:rPr>
        <w:t>slightly separated secondary clusters. The observ</w:t>
      </w:r>
      <w:r w:rsidR="008B09F4">
        <w:rPr>
          <w:sz w:val="20"/>
        </w:rPr>
        <w:t>ed</w:t>
      </w:r>
      <w:r w:rsidR="000437BC">
        <w:rPr>
          <w:sz w:val="20"/>
        </w:rPr>
        <w:t xml:space="preserve"> difference is hard to discredit though, and the calculated ratio implies that the Ht terrain is weaker than mNH (or less porous).</w:t>
      </w:r>
      <w:r w:rsidR="00E11509">
        <w:rPr>
          <w:sz w:val="20"/>
        </w:rPr>
        <w:t xml:space="preserve"> </w:t>
      </w:r>
    </w:p>
    <w:p w14:paraId="21DD8113" w14:textId="11483D45" w:rsidR="00863EBF" w:rsidRPr="00C22CA2" w:rsidRDefault="00863EBF">
      <w:pPr>
        <w:spacing w:line="240" w:lineRule="atLeast"/>
        <w:ind w:firstLine="288"/>
        <w:jc w:val="both"/>
        <w:rPr>
          <w:sz w:val="20"/>
        </w:rPr>
      </w:pPr>
      <w:bookmarkStart w:id="0" w:name="_Hlk92181850"/>
      <w:r>
        <w:rPr>
          <w:b/>
          <w:bCs/>
          <w:sz w:val="20"/>
        </w:rPr>
        <w:t xml:space="preserve">Future Work: </w:t>
      </w:r>
      <w:r>
        <w:rPr>
          <w:sz w:val="20"/>
        </w:rPr>
        <w:t>I</w:t>
      </w:r>
      <w:r w:rsidRPr="00EF6DDD">
        <w:rPr>
          <w:sz w:val="20"/>
        </w:rPr>
        <w:t xml:space="preserve">n the future, we plan on testing differences in porosity </w:t>
      </w:r>
      <w:r>
        <w:rPr>
          <w:sz w:val="20"/>
        </w:rPr>
        <w:t xml:space="preserve">and how that </w:t>
      </w:r>
      <w:r w:rsidRPr="00EF6DDD">
        <w:rPr>
          <w:sz w:val="20"/>
        </w:rPr>
        <w:t>could explain the signal</w:t>
      </w:r>
      <w:r>
        <w:rPr>
          <w:sz w:val="20"/>
        </w:rPr>
        <w:t xml:space="preserve"> we observe in</w:t>
      </w:r>
      <w:r w:rsidR="000437BC">
        <w:rPr>
          <w:sz w:val="20"/>
        </w:rPr>
        <w:t xml:space="preserve"> the secondaries of TC and MC.</w:t>
      </w:r>
      <w:r w:rsidRPr="00EF6DDD">
        <w:rPr>
          <w:sz w:val="20"/>
        </w:rPr>
        <w:t xml:space="preserve"> </w:t>
      </w:r>
      <w:r w:rsidR="000437BC">
        <w:rPr>
          <w:sz w:val="20"/>
        </w:rPr>
        <w:t>We also are attempting to</w:t>
      </w:r>
      <w:r w:rsidRPr="00EF6DDD">
        <w:rPr>
          <w:sz w:val="20"/>
        </w:rPr>
        <w:t xml:space="preserve"> expand to the Moon and Mercury.</w:t>
      </w:r>
    </w:p>
    <w:bookmarkEnd w:id="0"/>
    <w:p w14:paraId="69C3060F" w14:textId="7DF16060" w:rsidR="00C22CA2" w:rsidRPr="00C22CA2" w:rsidRDefault="00C22CA2" w:rsidP="00B47496">
      <w:pPr>
        <w:pStyle w:val="NormalWeb"/>
        <w:shd w:val="clear" w:color="auto" w:fill="FFFFFF"/>
        <w:spacing w:before="0" w:beforeAutospacing="0" w:after="0" w:afterAutospacing="0" w:line="240" w:lineRule="atLeast"/>
        <w:ind w:firstLine="288"/>
        <w:jc w:val="both"/>
        <w:rPr>
          <w:rFonts w:ascii="Times New Roman" w:hAnsi="Times New Roman" w:cs="Times New Roman"/>
          <w:sz w:val="20"/>
          <w:szCs w:val="20"/>
        </w:rPr>
      </w:pPr>
      <w:r w:rsidRPr="00C22CA2">
        <w:rPr>
          <w:rFonts w:ascii="Times New Roman" w:hAnsi="Times New Roman" w:cs="Times New Roman"/>
          <w:b/>
          <w:sz w:val="20"/>
          <w:szCs w:val="20"/>
        </w:rPr>
        <w:t>Acknowledgments:</w:t>
      </w:r>
      <w:r w:rsidRPr="00C22CA2">
        <w:rPr>
          <w:rFonts w:ascii="Times New Roman" w:hAnsi="Times New Roman" w:cs="Times New Roman"/>
          <w:sz w:val="20"/>
          <w:szCs w:val="20"/>
        </w:rPr>
        <w:t xml:space="preserve"> </w:t>
      </w:r>
      <w:r w:rsidR="00B47496" w:rsidRPr="00B47496">
        <w:rPr>
          <w:rFonts w:ascii="Times New Roman" w:hAnsi="Times New Roman" w:cs="Times New Roman"/>
          <w:sz w:val="20"/>
          <w:szCs w:val="20"/>
        </w:rPr>
        <w:t xml:space="preserve">J.W.C.  is supported by an appointment to the NASA Postdoctoral Program at the </w:t>
      </w:r>
      <w:r w:rsidR="00B47496" w:rsidRPr="00B47496">
        <w:rPr>
          <w:rFonts w:ascii="Times New Roman" w:hAnsi="Times New Roman" w:cs="Times New Roman"/>
          <w:sz w:val="20"/>
          <w:szCs w:val="20"/>
        </w:rPr>
        <w:t>Marshall Space Flight Center.</w:t>
      </w:r>
      <w:r w:rsidR="00B47496">
        <w:rPr>
          <w:rFonts w:ascii="Times New Roman" w:hAnsi="Times New Roman" w:cs="Times New Roman"/>
          <w:sz w:val="20"/>
          <w:szCs w:val="20"/>
        </w:rPr>
        <w:t xml:space="preserve"> </w:t>
      </w:r>
      <w:r w:rsidR="00F35D3B">
        <w:rPr>
          <w:rFonts w:ascii="Times New Roman" w:hAnsi="Times New Roman" w:cs="Times New Roman"/>
          <w:sz w:val="20"/>
          <w:szCs w:val="20"/>
        </w:rPr>
        <w:t xml:space="preserve">This work was </w:t>
      </w:r>
      <w:r w:rsidR="009127C9">
        <w:rPr>
          <w:rFonts w:ascii="Times New Roman" w:hAnsi="Times New Roman" w:cs="Times New Roman"/>
          <w:sz w:val="20"/>
          <w:szCs w:val="20"/>
        </w:rPr>
        <w:t xml:space="preserve">also </w:t>
      </w:r>
      <w:r w:rsidR="00F35D3B">
        <w:rPr>
          <w:rFonts w:ascii="Times New Roman" w:hAnsi="Times New Roman" w:cs="Times New Roman"/>
          <w:sz w:val="20"/>
          <w:szCs w:val="20"/>
        </w:rPr>
        <w:t>done with support</w:t>
      </w:r>
      <w:r w:rsidR="009127C9">
        <w:rPr>
          <w:rFonts w:ascii="Times New Roman" w:hAnsi="Times New Roman" w:cs="Times New Roman"/>
          <w:sz w:val="20"/>
          <w:szCs w:val="20"/>
        </w:rPr>
        <w:t xml:space="preserve"> from </w:t>
      </w:r>
      <w:r w:rsidR="007E7950">
        <w:rPr>
          <w:rFonts w:ascii="Times New Roman" w:hAnsi="Times New Roman" w:cs="Times New Roman"/>
          <w:sz w:val="20"/>
          <w:szCs w:val="20"/>
        </w:rPr>
        <w:t>the Solar System Workings program</w:t>
      </w:r>
      <w:r w:rsidR="00EF6DDD">
        <w:rPr>
          <w:rFonts w:ascii="Times New Roman" w:hAnsi="Times New Roman" w:cs="Times New Roman"/>
          <w:sz w:val="20"/>
          <w:szCs w:val="20"/>
        </w:rPr>
        <w:t>.</w:t>
      </w:r>
    </w:p>
    <w:p w14:paraId="259B9479" w14:textId="1A2D70D5" w:rsidR="00811C7F" w:rsidRDefault="00C22CA2" w:rsidP="00EF6DDD">
      <w:pPr>
        <w:spacing w:line="240" w:lineRule="atLeast"/>
        <w:ind w:firstLine="288"/>
        <w:jc w:val="both"/>
        <w:rPr>
          <w:sz w:val="20"/>
        </w:rPr>
      </w:pPr>
      <w:r w:rsidRPr="00C22CA2">
        <w:rPr>
          <w:b/>
          <w:sz w:val="20"/>
        </w:rPr>
        <w:t>References:</w:t>
      </w:r>
      <w:r w:rsidRPr="00C22CA2">
        <w:rPr>
          <w:sz w:val="20"/>
        </w:rPr>
        <w:t xml:space="preserve"> </w:t>
      </w:r>
      <w:r w:rsidR="00EF6DDD" w:rsidRPr="00EF6DDD">
        <w:rPr>
          <w:sz w:val="20"/>
        </w:rPr>
        <w:t>[1] Holsapple</w:t>
      </w:r>
      <w:r w:rsidR="00BD13EA">
        <w:rPr>
          <w:sz w:val="20"/>
        </w:rPr>
        <w:t>, K.A.</w:t>
      </w:r>
      <w:r w:rsidR="00EF6DDD" w:rsidRPr="00EF6DDD">
        <w:rPr>
          <w:sz w:val="20"/>
        </w:rPr>
        <w:t xml:space="preserve"> and Schmidt</w:t>
      </w:r>
      <w:r w:rsidR="00BD13EA">
        <w:rPr>
          <w:sz w:val="20"/>
        </w:rPr>
        <w:t>, R.M.</w:t>
      </w:r>
      <w:r w:rsidR="00EF6DDD" w:rsidRPr="00EF6DDD">
        <w:rPr>
          <w:sz w:val="20"/>
        </w:rPr>
        <w:t xml:space="preserve"> (1987) </w:t>
      </w:r>
      <w:r w:rsidR="00EF6DDD" w:rsidRPr="00EF6DDD">
        <w:rPr>
          <w:i/>
          <w:iCs/>
          <w:sz w:val="20"/>
        </w:rPr>
        <w:t>JGR: Solid Earth, 92(B7),</w:t>
      </w:r>
      <w:r w:rsidR="00EF6DDD" w:rsidRPr="00EF6DDD">
        <w:rPr>
          <w:sz w:val="20"/>
        </w:rPr>
        <w:t xml:space="preserve"> 6350–6376.</w:t>
      </w:r>
      <w:r w:rsidR="0082113B">
        <w:rPr>
          <w:sz w:val="20"/>
        </w:rPr>
        <w:t xml:space="preserve"> [A] Prieur</w:t>
      </w:r>
      <w:r w:rsidR="00563D0A">
        <w:rPr>
          <w:sz w:val="20"/>
        </w:rPr>
        <w:t>, N. C. et al. (</w:t>
      </w:r>
      <w:r w:rsidR="0082113B">
        <w:rPr>
          <w:sz w:val="20"/>
        </w:rPr>
        <w:t>2017</w:t>
      </w:r>
      <w:r w:rsidR="00563D0A">
        <w:rPr>
          <w:sz w:val="20"/>
        </w:rPr>
        <w:t xml:space="preserve">) </w:t>
      </w:r>
      <w:r w:rsidR="00563D0A">
        <w:rPr>
          <w:i/>
          <w:iCs/>
          <w:sz w:val="20"/>
        </w:rPr>
        <w:t>JGR: Planets</w:t>
      </w:r>
      <w:r w:rsidR="00563D0A">
        <w:rPr>
          <w:sz w:val="20"/>
        </w:rPr>
        <w:t>. 122, 1704-1725</w:t>
      </w:r>
      <w:r w:rsidR="0082113B">
        <w:rPr>
          <w:sz w:val="20"/>
        </w:rPr>
        <w:t>.</w:t>
      </w:r>
      <w:r w:rsidR="00EF6DDD" w:rsidRPr="00EF6DDD">
        <w:rPr>
          <w:sz w:val="20"/>
        </w:rPr>
        <w:t xml:space="preserve"> [2] McEwen</w:t>
      </w:r>
      <w:r w:rsidR="00BD13EA">
        <w:rPr>
          <w:sz w:val="20"/>
        </w:rPr>
        <w:t>,</w:t>
      </w:r>
      <w:r w:rsidR="00EF6DDD" w:rsidRPr="00EF6DDD">
        <w:rPr>
          <w:sz w:val="20"/>
        </w:rPr>
        <w:t xml:space="preserve"> </w:t>
      </w:r>
      <w:r w:rsidR="00BD13EA">
        <w:rPr>
          <w:sz w:val="20"/>
        </w:rPr>
        <w:t xml:space="preserve">A.S. </w:t>
      </w:r>
      <w:r w:rsidR="00EF6DDD" w:rsidRPr="00EF6DDD">
        <w:rPr>
          <w:sz w:val="20"/>
        </w:rPr>
        <w:t>and Bierhaus</w:t>
      </w:r>
      <w:r w:rsidR="00BD13EA">
        <w:rPr>
          <w:sz w:val="20"/>
        </w:rPr>
        <w:t>, E.B.</w:t>
      </w:r>
      <w:r w:rsidR="00EF6DDD" w:rsidRPr="00EF6DDD">
        <w:rPr>
          <w:sz w:val="20"/>
        </w:rPr>
        <w:t xml:space="preserve"> (2006) </w:t>
      </w:r>
      <w:r w:rsidR="00EF6DDD" w:rsidRPr="00EF6DDD">
        <w:rPr>
          <w:i/>
          <w:iCs/>
          <w:sz w:val="20"/>
        </w:rPr>
        <w:t>Annl. Rev. EPS.</w:t>
      </w:r>
      <w:r w:rsidR="00EF6DDD" w:rsidRPr="00EF6DDD">
        <w:rPr>
          <w:sz w:val="20"/>
        </w:rPr>
        <w:t xml:space="preserve"> 34:535-567. [3] Mouginis-Mark</w:t>
      </w:r>
      <w:r w:rsidR="00BD13EA">
        <w:rPr>
          <w:sz w:val="20"/>
        </w:rPr>
        <w:t>, P.J.</w:t>
      </w:r>
      <w:r w:rsidR="00EF6DDD" w:rsidRPr="00EF6DDD">
        <w:rPr>
          <w:sz w:val="20"/>
        </w:rPr>
        <w:t xml:space="preserve"> and Boyce</w:t>
      </w:r>
      <w:r w:rsidR="00BD13EA">
        <w:rPr>
          <w:sz w:val="20"/>
        </w:rPr>
        <w:t>, J.M.</w:t>
      </w:r>
      <w:r w:rsidR="00EF6DDD" w:rsidRPr="00EF6DDD">
        <w:rPr>
          <w:sz w:val="20"/>
        </w:rPr>
        <w:t xml:space="preserve"> (2012) </w:t>
      </w:r>
      <w:r w:rsidR="00EF6DDD" w:rsidRPr="00EF6DDD">
        <w:rPr>
          <w:i/>
          <w:iCs/>
          <w:sz w:val="20"/>
        </w:rPr>
        <w:t>Chemrie der Erde 72</w:t>
      </w:r>
      <w:r w:rsidR="00EF6DDD" w:rsidRPr="00EF6DDD">
        <w:rPr>
          <w:sz w:val="20"/>
        </w:rPr>
        <w:t>: 1-23.</w:t>
      </w:r>
      <w:r w:rsidR="00BD13EA">
        <w:rPr>
          <w:sz w:val="20"/>
        </w:rPr>
        <w:t xml:space="preserve"> [4] Wilson, J.T. et al. (2018) </w:t>
      </w:r>
      <w:r w:rsidR="00BD13EA">
        <w:rPr>
          <w:i/>
          <w:iCs/>
          <w:sz w:val="20"/>
        </w:rPr>
        <w:t>Icarus,</w:t>
      </w:r>
      <w:r w:rsidR="00BD13EA" w:rsidRPr="00BD13EA">
        <w:rPr>
          <w:sz w:val="20"/>
        </w:rPr>
        <w:t xml:space="preserve"> 299, pp.148-160</w:t>
      </w:r>
      <w:r w:rsidR="00BD13EA">
        <w:rPr>
          <w:sz w:val="20"/>
        </w:rPr>
        <w:t>.</w:t>
      </w:r>
    </w:p>
    <w:p w14:paraId="48F1C098" w14:textId="4789C8E9" w:rsidR="00811C7F" w:rsidRDefault="00811C7F" w:rsidP="0041702E">
      <w:pPr>
        <w:spacing w:line="240" w:lineRule="atLeast"/>
        <w:jc w:val="center"/>
        <w:rPr>
          <w:sz w:val="20"/>
        </w:rPr>
      </w:pPr>
      <w:r>
        <w:rPr>
          <w:noProof/>
        </w:rPr>
        <w:drawing>
          <wp:inline distT="0" distB="0" distL="0" distR="0" wp14:anchorId="5338AAEC" wp14:editId="0761A1D3">
            <wp:extent cx="2820670" cy="54883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70" cy="548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4178B" w14:textId="197560E1" w:rsidR="00811C7F" w:rsidRDefault="00811C7F" w:rsidP="0041702E">
      <w:pPr>
        <w:spacing w:line="240" w:lineRule="atLeast"/>
        <w:jc w:val="both"/>
        <w:rPr>
          <w:sz w:val="20"/>
        </w:rPr>
      </w:pPr>
      <w:r w:rsidRPr="00970E1A">
        <w:rPr>
          <w:b/>
          <w:bCs/>
          <w:sz w:val="20"/>
        </w:rPr>
        <w:t xml:space="preserve">Figure </w:t>
      </w:r>
      <w:r>
        <w:rPr>
          <w:b/>
          <w:bCs/>
          <w:sz w:val="20"/>
        </w:rPr>
        <w:t>2</w:t>
      </w:r>
      <w:r w:rsidRPr="00970E1A">
        <w:rPr>
          <w:b/>
          <w:bCs/>
          <w:sz w:val="20"/>
        </w:rPr>
        <w:t>:</w:t>
      </w:r>
      <w:r>
        <w:rPr>
          <w:sz w:val="20"/>
        </w:rPr>
        <w:t xml:space="preserve"> A. Map of </w:t>
      </w:r>
      <w:r w:rsidR="00CC6DBE">
        <w:rPr>
          <w:sz w:val="20"/>
        </w:rPr>
        <w:t xml:space="preserve">the region surrounding Mojave Crater, Mars. </w:t>
      </w:r>
      <w:r>
        <w:rPr>
          <w:sz w:val="20"/>
        </w:rPr>
        <w:t xml:space="preserve">Orange squares are the locations of the bottom panels. B. </w:t>
      </w:r>
      <w:r w:rsidR="00CC6DBE">
        <w:rPr>
          <w:sz w:val="20"/>
        </w:rPr>
        <w:t xml:space="preserve">North location of interest. Multiple clusters and rays of secondaries are found equidistant from Mojave at 200 km. Left: mNH and Right: Ht. </w:t>
      </w:r>
      <w:r>
        <w:rPr>
          <w:sz w:val="20"/>
        </w:rPr>
        <w:t>C.</w:t>
      </w:r>
      <w:r w:rsidR="00CC6DBE">
        <w:rPr>
          <w:sz w:val="20"/>
        </w:rPr>
        <w:t xml:space="preserve"> Same, but at 170 km. Craters are generally larger in the Ht terrain. Signal of weakness or lower porosity? </w:t>
      </w:r>
      <w:r>
        <w:rPr>
          <w:sz w:val="20"/>
        </w:rPr>
        <w:t xml:space="preserve"> </w:t>
      </w:r>
    </w:p>
    <w:p w14:paraId="4A782559" w14:textId="2A7EA16B" w:rsidR="008A413B" w:rsidRPr="00BD13EA" w:rsidRDefault="008A413B">
      <w:pPr>
        <w:spacing w:line="240" w:lineRule="atLeast"/>
        <w:ind w:firstLine="288"/>
        <w:jc w:val="both"/>
        <w:rPr>
          <w:sz w:val="20"/>
        </w:rPr>
      </w:pPr>
    </w:p>
    <w:sectPr w:rsidR="008A413B" w:rsidRPr="00BD13EA" w:rsidSect="00C22CA2">
      <w:type w:val="continuous"/>
      <w:pgSz w:w="12240" w:h="15840"/>
      <w:pgMar w:top="1440" w:right="1440" w:bottom="1440" w:left="1440" w:header="720" w:footer="720" w:gutter="0"/>
      <w:cols w:num="2" w:space="47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680BA" w14:textId="77777777" w:rsidR="005206DC" w:rsidRDefault="005206DC">
      <w:r>
        <w:separator/>
      </w:r>
    </w:p>
  </w:endnote>
  <w:endnote w:type="continuationSeparator" w:id="0">
    <w:p w14:paraId="5EE20271" w14:textId="77777777" w:rsidR="005206DC" w:rsidRDefault="00520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D42F0" w14:textId="77777777" w:rsidR="004F71E7" w:rsidRDefault="004F71E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8CB7F" w14:textId="77777777" w:rsidR="005206DC" w:rsidRDefault="005206DC">
      <w:r>
        <w:separator/>
      </w:r>
    </w:p>
  </w:footnote>
  <w:footnote w:type="continuationSeparator" w:id="0">
    <w:p w14:paraId="388C73EE" w14:textId="77777777" w:rsidR="005206DC" w:rsidRDefault="00520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32C79" w14:textId="77777777" w:rsidR="004F71E7" w:rsidRDefault="004F71E7">
    <w:pPr>
      <w:pStyle w:val="Header"/>
      <w:jc w:val="center"/>
    </w:pPr>
    <w:r>
      <w:t>SHORT TITLE HERE:  A. B. Author and C. D. Author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CA2"/>
    <w:rsid w:val="000275A9"/>
    <w:rsid w:val="000437BC"/>
    <w:rsid w:val="00064DA1"/>
    <w:rsid w:val="00084D37"/>
    <w:rsid w:val="000A76A6"/>
    <w:rsid w:val="000E10E1"/>
    <w:rsid w:val="00125A31"/>
    <w:rsid w:val="00137A8B"/>
    <w:rsid w:val="001510C6"/>
    <w:rsid w:val="00166938"/>
    <w:rsid w:val="0017550E"/>
    <w:rsid w:val="001A19B9"/>
    <w:rsid w:val="001C3AF8"/>
    <w:rsid w:val="001C6380"/>
    <w:rsid w:val="001C7ABE"/>
    <w:rsid w:val="001D4A9F"/>
    <w:rsid w:val="00206B10"/>
    <w:rsid w:val="00216CA8"/>
    <w:rsid w:val="00217F52"/>
    <w:rsid w:val="002203F6"/>
    <w:rsid w:val="0022407E"/>
    <w:rsid w:val="002412FE"/>
    <w:rsid w:val="00242C75"/>
    <w:rsid w:val="00266950"/>
    <w:rsid w:val="002D026D"/>
    <w:rsid w:val="002E5AA3"/>
    <w:rsid w:val="002F17DB"/>
    <w:rsid w:val="00301B85"/>
    <w:rsid w:val="00315D2D"/>
    <w:rsid w:val="00322BA6"/>
    <w:rsid w:val="003268B8"/>
    <w:rsid w:val="00341810"/>
    <w:rsid w:val="003601D3"/>
    <w:rsid w:val="00362B2D"/>
    <w:rsid w:val="00363019"/>
    <w:rsid w:val="00393D80"/>
    <w:rsid w:val="003A38F6"/>
    <w:rsid w:val="003A58C1"/>
    <w:rsid w:val="003B07C0"/>
    <w:rsid w:val="003F1596"/>
    <w:rsid w:val="0041702E"/>
    <w:rsid w:val="004412E5"/>
    <w:rsid w:val="00466004"/>
    <w:rsid w:val="00486DE8"/>
    <w:rsid w:val="004A5DBF"/>
    <w:rsid w:val="004F71E7"/>
    <w:rsid w:val="00512283"/>
    <w:rsid w:val="005206DC"/>
    <w:rsid w:val="00522B5C"/>
    <w:rsid w:val="005368EA"/>
    <w:rsid w:val="00537758"/>
    <w:rsid w:val="00563D0A"/>
    <w:rsid w:val="00596866"/>
    <w:rsid w:val="005E640F"/>
    <w:rsid w:val="005E64D7"/>
    <w:rsid w:val="005F6198"/>
    <w:rsid w:val="005F7FD4"/>
    <w:rsid w:val="00622526"/>
    <w:rsid w:val="006252D4"/>
    <w:rsid w:val="0064287D"/>
    <w:rsid w:val="00664738"/>
    <w:rsid w:val="006824D5"/>
    <w:rsid w:val="00697F74"/>
    <w:rsid w:val="006A128D"/>
    <w:rsid w:val="006C06B6"/>
    <w:rsid w:val="006D3657"/>
    <w:rsid w:val="006D5D51"/>
    <w:rsid w:val="006E5B5D"/>
    <w:rsid w:val="006E745D"/>
    <w:rsid w:val="00710E3A"/>
    <w:rsid w:val="00737568"/>
    <w:rsid w:val="007666A2"/>
    <w:rsid w:val="00770D9F"/>
    <w:rsid w:val="00773FAA"/>
    <w:rsid w:val="00775835"/>
    <w:rsid w:val="00792E20"/>
    <w:rsid w:val="007B5FDB"/>
    <w:rsid w:val="007C202B"/>
    <w:rsid w:val="007E7950"/>
    <w:rsid w:val="00811C7F"/>
    <w:rsid w:val="0082113B"/>
    <w:rsid w:val="00844D8F"/>
    <w:rsid w:val="0086271F"/>
    <w:rsid w:val="00863EBF"/>
    <w:rsid w:val="00880A3E"/>
    <w:rsid w:val="008A413B"/>
    <w:rsid w:val="008B09F4"/>
    <w:rsid w:val="008B7B43"/>
    <w:rsid w:val="008C1372"/>
    <w:rsid w:val="008C7386"/>
    <w:rsid w:val="008D38F7"/>
    <w:rsid w:val="008F1C81"/>
    <w:rsid w:val="00900453"/>
    <w:rsid w:val="009014D0"/>
    <w:rsid w:val="009059E4"/>
    <w:rsid w:val="009127C9"/>
    <w:rsid w:val="00946992"/>
    <w:rsid w:val="00970E1A"/>
    <w:rsid w:val="009B4DF3"/>
    <w:rsid w:val="009C119D"/>
    <w:rsid w:val="009E3FF8"/>
    <w:rsid w:val="009F5B03"/>
    <w:rsid w:val="00A05EE7"/>
    <w:rsid w:val="00A35664"/>
    <w:rsid w:val="00A365A6"/>
    <w:rsid w:val="00A36F1A"/>
    <w:rsid w:val="00A4497A"/>
    <w:rsid w:val="00A4519B"/>
    <w:rsid w:val="00A50A57"/>
    <w:rsid w:val="00A66DD7"/>
    <w:rsid w:val="00A91763"/>
    <w:rsid w:val="00AA2FF7"/>
    <w:rsid w:val="00AB69BF"/>
    <w:rsid w:val="00AC5C33"/>
    <w:rsid w:val="00B26AF6"/>
    <w:rsid w:val="00B47496"/>
    <w:rsid w:val="00B60AAB"/>
    <w:rsid w:val="00B81EE3"/>
    <w:rsid w:val="00B90156"/>
    <w:rsid w:val="00BB11C1"/>
    <w:rsid w:val="00BB1B5F"/>
    <w:rsid w:val="00BB657E"/>
    <w:rsid w:val="00BD13EA"/>
    <w:rsid w:val="00BD2C3C"/>
    <w:rsid w:val="00BE3501"/>
    <w:rsid w:val="00C042D2"/>
    <w:rsid w:val="00C11176"/>
    <w:rsid w:val="00C13C3E"/>
    <w:rsid w:val="00C22CA2"/>
    <w:rsid w:val="00CC17D5"/>
    <w:rsid w:val="00CC6DBE"/>
    <w:rsid w:val="00CE15F3"/>
    <w:rsid w:val="00CE25EA"/>
    <w:rsid w:val="00CF1404"/>
    <w:rsid w:val="00CF4504"/>
    <w:rsid w:val="00D10E14"/>
    <w:rsid w:val="00D17209"/>
    <w:rsid w:val="00D51F36"/>
    <w:rsid w:val="00DD20FC"/>
    <w:rsid w:val="00DD2D9D"/>
    <w:rsid w:val="00DF3458"/>
    <w:rsid w:val="00E000D5"/>
    <w:rsid w:val="00E11509"/>
    <w:rsid w:val="00E43065"/>
    <w:rsid w:val="00E774E2"/>
    <w:rsid w:val="00EA3D98"/>
    <w:rsid w:val="00EC3001"/>
    <w:rsid w:val="00EC42F9"/>
    <w:rsid w:val="00ED4062"/>
    <w:rsid w:val="00EE5CAD"/>
    <w:rsid w:val="00EF6DDD"/>
    <w:rsid w:val="00F0047B"/>
    <w:rsid w:val="00F114C9"/>
    <w:rsid w:val="00F238B2"/>
    <w:rsid w:val="00F30D89"/>
    <w:rsid w:val="00F35D3B"/>
    <w:rsid w:val="00F84D6E"/>
    <w:rsid w:val="00F878C9"/>
    <w:rsid w:val="00FA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0B510B"/>
  <w14:defaultImageDpi w14:val="0"/>
  <w15:docId w15:val="{265F17DB-641F-413D-82F7-EA6C782CD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E1A"/>
    <w:rPr>
      <w:rFonts w:ascii="Times New Roman" w:hAnsi="Times New Roman" w:cs="Times New Roman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E43065"/>
    <w:rPr>
      <w:rFonts w:asciiTheme="minorHAnsi" w:hAnsiTheme="minorHAnsi" w:cs="Times New Roman"/>
      <w:color w:val="0000FF"/>
      <w:u w:val="single"/>
    </w:rPr>
  </w:style>
  <w:style w:type="paragraph" w:styleId="NoSpacing">
    <w:name w:val="No Spacing"/>
    <w:uiPriority w:val="1"/>
    <w:qFormat/>
    <w:rsid w:val="003A58C1"/>
    <w:rPr>
      <w:rFonts w:eastAsiaTheme="minorEastAsia" w:cs="Times New Roman"/>
    </w:rPr>
  </w:style>
  <w:style w:type="table" w:customStyle="1" w:styleId="Style1">
    <w:name w:val="Style1"/>
    <w:basedOn w:val="TableNormal"/>
    <w:uiPriority w:val="99"/>
    <w:rsid w:val="002412FE"/>
    <w:rPr>
      <w:rFonts w:eastAsiaTheme="minorEastAsia" w:cs="Times New Roman"/>
      <w:color w:val="000000" w:themeColor="text1"/>
    </w:rPr>
    <w:tblPr>
      <w:tblStyleRow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  <w:tblStylePr w:type="firstRow">
      <w:rPr>
        <w:rFonts w:cs="Times New Roman"/>
        <w:b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Horz">
      <w:rPr>
        <w:rFonts w:cs="Times New Roman"/>
      </w:rPr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E15F3"/>
    <w:rPr>
      <w:rFonts w:eastAsiaTheme="minorEastAsia" w:cs="Times New Roman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rFonts w:cs="Times New Roman"/>
        <w:b w:val="0"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DE9D9" w:themeFill="accent6" w:themeFillTint="33"/>
      </w:tcPr>
    </w:tblStylePr>
    <w:tblStylePr w:type="band1Horz">
      <w:rPr>
        <w:rFonts w:cs="Times New Roman"/>
      </w:rPr>
      <w:tblPr/>
      <w:tcPr>
        <w:shd w:val="clear" w:color="auto" w:fill="FDE9D9" w:themeFill="accent6" w:themeFillTint="33"/>
      </w:tcPr>
    </w:tblStylePr>
  </w:style>
  <w:style w:type="paragraph" w:styleId="Footer">
    <w:name w:val="footer"/>
    <w:basedOn w:val="Normal"/>
    <w:link w:val="FooterChar"/>
    <w:uiPriority w:val="99"/>
    <w:rsid w:val="00C22C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22CA2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C22C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22CA2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C22CA2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styleId="Strong">
    <w:name w:val="Strong"/>
    <w:basedOn w:val="DefaultParagraphFont"/>
    <w:uiPriority w:val="22"/>
    <w:qFormat/>
    <w:rsid w:val="00C22CA2"/>
    <w:rPr>
      <w:b/>
    </w:rPr>
  </w:style>
  <w:style w:type="character" w:styleId="Emphasis">
    <w:name w:val="Emphasis"/>
    <w:basedOn w:val="DefaultParagraphFont"/>
    <w:uiPriority w:val="20"/>
    <w:qFormat/>
    <w:rsid w:val="00C22CA2"/>
    <w:rPr>
      <w:i/>
    </w:rPr>
  </w:style>
  <w:style w:type="character" w:styleId="CommentReference">
    <w:name w:val="annotation reference"/>
    <w:basedOn w:val="DefaultParagraphFont"/>
    <w:uiPriority w:val="99"/>
    <w:semiHidden/>
    <w:unhideWhenUsed/>
    <w:rsid w:val="007E79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795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7950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79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7950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7950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9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E198F-56A1-4A87-9FA2-0A4ABF3B7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1978</TotalTime>
  <Pages>2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Linda</dc:creator>
  <cp:keywords/>
  <dc:description/>
  <cp:lastModifiedBy>Conrad, Jack W. (MSFC-ST13)[NPP POST-DOC CONTRACT]</cp:lastModifiedBy>
  <cp:revision>28</cp:revision>
  <dcterms:created xsi:type="dcterms:W3CDTF">2022-06-14T19:21:00Z</dcterms:created>
  <dcterms:modified xsi:type="dcterms:W3CDTF">2022-06-21T17:39:00Z</dcterms:modified>
</cp:coreProperties>
</file>