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0CF5A" w14:textId="77777777" w:rsidR="00867801" w:rsidRDefault="00867801">
      <w:pPr>
        <w:sectPr w:rsidR="00867801">
          <w:headerReference w:type="default" r:id="rId9"/>
          <w:footerReference w:type="default" r:id="rId10"/>
          <w:headerReference w:type="first" r:id="rId11"/>
          <w:pgSz w:w="12240" w:h="15840"/>
          <w:pgMar w:top="1440" w:right="1440" w:bottom="1440" w:left="1440" w:header="432" w:footer="720" w:gutter="0"/>
          <w:pgNumType w:start="1"/>
          <w:cols w:space="720"/>
        </w:sectPr>
      </w:pPr>
    </w:p>
    <w:p w14:paraId="28B0CF5B" w14:textId="77777777" w:rsidR="00867801" w:rsidRDefault="009E1DFE">
      <w:pPr>
        <w:pStyle w:val="Title"/>
      </w:pPr>
      <w:r>
        <w:t>Simulated Lunar Surface Hydration Measurements using Multispectral Lidar at 3 µm</w:t>
      </w:r>
    </w:p>
    <w:p w14:paraId="28B0CF5C" w14:textId="77777777" w:rsidR="00867801" w:rsidRDefault="00867801">
      <w:pPr>
        <w:pBdr>
          <w:top w:val="nil"/>
          <w:left w:val="nil"/>
          <w:bottom w:val="nil"/>
          <w:right w:val="nil"/>
          <w:between w:val="nil"/>
        </w:pBdr>
        <w:spacing w:before="240" w:after="240"/>
        <w:rPr>
          <w:rFonts w:eastAsia="Times New Roman"/>
          <w:color w:val="00B0F0"/>
        </w:rPr>
      </w:pPr>
    </w:p>
    <w:p w14:paraId="28B0CF5D" w14:textId="77777777" w:rsidR="00867801" w:rsidRDefault="009E1DFE">
      <w:pPr>
        <w:pBdr>
          <w:top w:val="nil"/>
          <w:left w:val="nil"/>
          <w:bottom w:val="nil"/>
          <w:right w:val="nil"/>
          <w:between w:val="nil"/>
        </w:pBdr>
        <w:spacing w:before="120" w:after="360"/>
        <w:rPr>
          <w:rFonts w:eastAsia="Times New Roman"/>
          <w:b/>
          <w:color w:val="000000"/>
          <w:sz w:val="24"/>
          <w:szCs w:val="24"/>
        </w:rPr>
      </w:pPr>
      <w:r>
        <w:rPr>
          <w:rFonts w:eastAsia="Times New Roman"/>
          <w:b/>
          <w:color w:val="000000"/>
          <w:sz w:val="24"/>
          <w:szCs w:val="24"/>
        </w:rPr>
        <w:t>D. R. Cremons</w:t>
      </w:r>
      <w:r>
        <w:rPr>
          <w:rFonts w:eastAsia="Times New Roman"/>
          <w:b/>
          <w:color w:val="000000"/>
          <w:sz w:val="24"/>
          <w:szCs w:val="24"/>
          <w:vertAlign w:val="superscript"/>
        </w:rPr>
        <w:t>1</w:t>
      </w:r>
      <w:r>
        <w:rPr>
          <w:rFonts w:eastAsia="Times New Roman"/>
          <w:b/>
          <w:color w:val="000000"/>
          <w:sz w:val="24"/>
          <w:szCs w:val="24"/>
        </w:rPr>
        <w:t xml:space="preserve"> and C. I. Honniball</w:t>
      </w:r>
      <w:r>
        <w:rPr>
          <w:rFonts w:eastAsia="Times New Roman"/>
          <w:b/>
          <w:color w:val="000000"/>
          <w:sz w:val="24"/>
          <w:szCs w:val="24"/>
          <w:vertAlign w:val="superscript"/>
        </w:rPr>
        <w:t>2</w:t>
      </w:r>
      <w:r>
        <w:rPr>
          <w:rFonts w:eastAsia="Times New Roman"/>
          <w:b/>
          <w:color w:val="000000"/>
          <w:sz w:val="24"/>
          <w:szCs w:val="24"/>
        </w:rPr>
        <w:t xml:space="preserve"> </w:t>
      </w:r>
    </w:p>
    <w:p w14:paraId="28B0CF5E"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vertAlign w:val="superscript"/>
        </w:rPr>
        <w:t>1</w:t>
      </w:r>
      <w:r>
        <w:rPr>
          <w:rFonts w:eastAsia="Times New Roman"/>
          <w:color w:val="000000"/>
          <w:sz w:val="24"/>
          <w:szCs w:val="24"/>
        </w:rPr>
        <w:t>NASA Goddard Space Flight Center, Greenbelt, MD, USA.</w:t>
      </w:r>
    </w:p>
    <w:p w14:paraId="28B0CF5F"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vertAlign w:val="superscript"/>
        </w:rPr>
        <w:t>2</w:t>
      </w:r>
      <w:r>
        <w:rPr>
          <w:rFonts w:eastAsia="Times New Roman"/>
          <w:color w:val="000000"/>
          <w:sz w:val="24"/>
          <w:szCs w:val="24"/>
        </w:rPr>
        <w:t>NASA Postdoctoral Program, NASA Goddard Space Flight Center, Greenbelt, MD, USA.</w:t>
      </w:r>
    </w:p>
    <w:p w14:paraId="28B0CF60"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Corresponding author: Daniel Cremons (daniel.cremons@nasa.gov)</w:t>
      </w:r>
    </w:p>
    <w:p w14:paraId="28B0CF61"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Key Points:</w:t>
      </w:r>
    </w:p>
    <w:p w14:paraId="0D5E154A" w14:textId="39C4A30E" w:rsidR="00CC09F3" w:rsidRPr="00CC09F3" w:rsidRDefault="00CC09F3">
      <w:pPr>
        <w:numPr>
          <w:ilvl w:val="0"/>
          <w:numId w:val="1"/>
        </w:numPr>
        <w:pBdr>
          <w:top w:val="nil"/>
          <w:left w:val="nil"/>
          <w:bottom w:val="nil"/>
          <w:right w:val="nil"/>
          <w:between w:val="nil"/>
        </w:pBdr>
        <w:spacing w:before="120"/>
      </w:pPr>
      <w:r w:rsidRPr="00CC09F3">
        <w:rPr>
          <w:sz w:val="24"/>
          <w:szCs w:val="24"/>
        </w:rPr>
        <w:t xml:space="preserve">We simulated orbital multispectral lidar measurements of the lunar 3 µm hydration feature </w:t>
      </w:r>
      <w:r w:rsidR="006F7F09">
        <w:rPr>
          <w:sz w:val="24"/>
          <w:szCs w:val="24"/>
        </w:rPr>
        <w:t>that could completely</w:t>
      </w:r>
      <w:r w:rsidR="006F7F09" w:rsidRPr="00CC09F3">
        <w:rPr>
          <w:sz w:val="24"/>
          <w:szCs w:val="24"/>
        </w:rPr>
        <w:t xml:space="preserve"> </w:t>
      </w:r>
      <w:r w:rsidRPr="00CC09F3">
        <w:rPr>
          <w:sz w:val="24"/>
          <w:szCs w:val="24"/>
        </w:rPr>
        <w:t>characterize the lunar water cycle.</w:t>
      </w:r>
    </w:p>
    <w:p w14:paraId="66F44D91" w14:textId="67861092" w:rsidR="0073436B" w:rsidRDefault="0073436B" w:rsidP="0073436B">
      <w:pPr>
        <w:numPr>
          <w:ilvl w:val="0"/>
          <w:numId w:val="1"/>
        </w:numPr>
        <w:pBdr>
          <w:top w:val="nil"/>
          <w:left w:val="nil"/>
          <w:bottom w:val="nil"/>
          <w:right w:val="nil"/>
          <w:between w:val="nil"/>
        </w:pBdr>
        <w:spacing w:before="120"/>
      </w:pPr>
      <w:r w:rsidRPr="0073436B">
        <w:rPr>
          <w:sz w:val="24"/>
          <w:szCs w:val="24"/>
        </w:rPr>
        <w:t>Our simulations included a non-linear mixing model</w:t>
      </w:r>
      <w:r w:rsidR="00716915">
        <w:rPr>
          <w:sz w:val="24"/>
          <w:szCs w:val="24"/>
        </w:rPr>
        <w:t xml:space="preserve"> to produce simulated spectra</w:t>
      </w:r>
      <w:r w:rsidRPr="0073436B">
        <w:rPr>
          <w:sz w:val="24"/>
          <w:szCs w:val="24"/>
        </w:rPr>
        <w:t xml:space="preserve"> and a least-squares lidar retrieval method</w:t>
      </w:r>
      <w:r w:rsidR="00716915">
        <w:rPr>
          <w:sz w:val="24"/>
          <w:szCs w:val="24"/>
        </w:rPr>
        <w:t xml:space="preserve"> to </w:t>
      </w:r>
      <w:r w:rsidR="0002306C">
        <w:rPr>
          <w:sz w:val="24"/>
          <w:szCs w:val="24"/>
        </w:rPr>
        <w:t>measure the total water abundance</w:t>
      </w:r>
      <w:r w:rsidRPr="0073436B">
        <w:rPr>
          <w:sz w:val="24"/>
          <w:szCs w:val="24"/>
        </w:rPr>
        <w:t>.</w:t>
      </w:r>
    </w:p>
    <w:p w14:paraId="28B0CF65" w14:textId="4BDC8C04" w:rsidR="00867801" w:rsidRPr="0073436B" w:rsidRDefault="0073436B" w:rsidP="0073436B">
      <w:pPr>
        <w:numPr>
          <w:ilvl w:val="0"/>
          <w:numId w:val="1"/>
        </w:numPr>
        <w:pBdr>
          <w:top w:val="nil"/>
          <w:left w:val="nil"/>
          <w:bottom w:val="nil"/>
          <w:right w:val="nil"/>
          <w:between w:val="nil"/>
        </w:pBdr>
        <w:spacing w:before="120"/>
      </w:pPr>
      <w:r w:rsidRPr="0073436B">
        <w:rPr>
          <w:rFonts w:eastAsia="Times New Roman"/>
          <w:color w:val="000000"/>
          <w:sz w:val="24"/>
          <w:szCs w:val="24"/>
        </w:rPr>
        <w:t>Using laser wavelengths at 1.5, 2.65, 2.8, and 3.1 µm, the total water abundance was retrieved with a standard deviation 52 ppm or less.</w:t>
      </w:r>
      <w:r w:rsidR="009E1DFE">
        <w:br w:type="page"/>
      </w:r>
    </w:p>
    <w:p w14:paraId="28B0CF66"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lastRenderedPageBreak/>
        <w:t>Abstract</w:t>
      </w:r>
    </w:p>
    <w:p w14:paraId="28B0CF67" w14:textId="1D369AB1" w:rsidR="00867801" w:rsidRDefault="009E1DFE">
      <w:pPr>
        <w:pBdr>
          <w:top w:val="nil"/>
          <w:left w:val="nil"/>
          <w:bottom w:val="nil"/>
          <w:right w:val="nil"/>
          <w:between w:val="nil"/>
        </w:pBdr>
        <w:spacing w:before="120"/>
        <w:rPr>
          <w:rFonts w:eastAsia="Times New Roman"/>
          <w:color w:val="000000"/>
          <w:sz w:val="24"/>
          <w:szCs w:val="24"/>
        </w:rPr>
      </w:pPr>
      <w:r>
        <w:rPr>
          <w:sz w:val="24"/>
          <w:szCs w:val="24"/>
        </w:rPr>
        <w:t xml:space="preserve">Accurately measuring the </w:t>
      </w:r>
      <w:r>
        <w:rPr>
          <w:rFonts w:eastAsia="Times New Roman"/>
          <w:color w:val="000000"/>
          <w:sz w:val="24"/>
          <w:szCs w:val="24"/>
        </w:rPr>
        <w:t>variability of spectroscopic signatures of hydration (H</w:t>
      </w:r>
      <w:r>
        <w:rPr>
          <w:rFonts w:eastAsia="Times New Roman"/>
          <w:color w:val="000000"/>
          <w:sz w:val="24"/>
          <w:szCs w:val="24"/>
          <w:vertAlign w:val="subscript"/>
        </w:rPr>
        <w:t>2</w:t>
      </w:r>
      <w:r>
        <w:rPr>
          <w:rFonts w:eastAsia="Times New Roman"/>
          <w:color w:val="000000"/>
          <w:sz w:val="24"/>
          <w:szCs w:val="24"/>
        </w:rPr>
        <w:t>O</w:t>
      </w:r>
      <w:r>
        <w:rPr>
          <w:sz w:val="24"/>
          <w:szCs w:val="24"/>
        </w:rPr>
        <w:t xml:space="preserve"> + </w:t>
      </w:r>
      <w:r>
        <w:rPr>
          <w:rFonts w:eastAsia="Times New Roman"/>
          <w:color w:val="000000"/>
          <w:sz w:val="24"/>
          <w:szCs w:val="24"/>
        </w:rPr>
        <w:t xml:space="preserve">OH) on the illuminated lunar surface at 3 µm as a function of latitude, lunar time of day, and composition </w:t>
      </w:r>
      <w:r w:rsidR="003B591F">
        <w:rPr>
          <w:sz w:val="24"/>
          <w:szCs w:val="24"/>
        </w:rPr>
        <w:t>is</w:t>
      </w:r>
      <w:r>
        <w:rPr>
          <w:sz w:val="24"/>
          <w:szCs w:val="24"/>
        </w:rPr>
        <w:t xml:space="preserve"> crucial to determining the </w:t>
      </w:r>
      <w:r>
        <w:rPr>
          <w:rFonts w:eastAsia="Times New Roman"/>
          <w:color w:val="000000"/>
          <w:sz w:val="24"/>
          <w:szCs w:val="24"/>
        </w:rPr>
        <w:t xml:space="preserve">generation </w:t>
      </w:r>
      <w:r>
        <w:rPr>
          <w:sz w:val="24"/>
          <w:szCs w:val="24"/>
        </w:rPr>
        <w:t xml:space="preserve">and destruction mechanisms of OH species and understanding the </w:t>
      </w:r>
      <w:r w:rsidR="003B591F">
        <w:rPr>
          <w:sz w:val="24"/>
          <w:szCs w:val="24"/>
        </w:rPr>
        <w:t>g</w:t>
      </w:r>
      <w:r w:rsidR="00DD44DA">
        <w:rPr>
          <w:sz w:val="24"/>
          <w:szCs w:val="24"/>
        </w:rPr>
        <w:t>l</w:t>
      </w:r>
      <w:r w:rsidR="003B591F">
        <w:rPr>
          <w:sz w:val="24"/>
          <w:szCs w:val="24"/>
        </w:rPr>
        <w:t>obal</w:t>
      </w:r>
      <w:r w:rsidR="00191B2E">
        <w:rPr>
          <w:sz w:val="24"/>
          <w:szCs w:val="24"/>
        </w:rPr>
        <w:t xml:space="preserve"> </w:t>
      </w:r>
      <w:r>
        <w:rPr>
          <w:sz w:val="24"/>
          <w:szCs w:val="24"/>
        </w:rPr>
        <w:t xml:space="preserve">water </w:t>
      </w:r>
      <w:r w:rsidR="00191B2E">
        <w:rPr>
          <w:sz w:val="24"/>
          <w:szCs w:val="24"/>
        </w:rPr>
        <w:t>cycle</w:t>
      </w:r>
      <w:r>
        <w:rPr>
          <w:rFonts w:eastAsia="Times New Roman"/>
          <w:color w:val="000000"/>
          <w:sz w:val="24"/>
          <w:szCs w:val="24"/>
        </w:rPr>
        <w:t>. A prime complication in analysis of the spectroscopic feature is the accurate removal of thermal emission, which can modify or even eliminate the hydration feature depending on the data processing methods</w:t>
      </w:r>
      <w:r w:rsidR="00D9521D">
        <w:rPr>
          <w:rFonts w:eastAsia="Times New Roman"/>
          <w:color w:val="000000"/>
          <w:sz w:val="24"/>
          <w:szCs w:val="24"/>
        </w:rPr>
        <w:t xml:space="preserve"> used</w:t>
      </w:r>
      <w:r>
        <w:rPr>
          <w:rFonts w:eastAsia="Times New Roman"/>
          <w:color w:val="000000"/>
          <w:sz w:val="24"/>
          <w:szCs w:val="24"/>
        </w:rPr>
        <w:t xml:space="preserve"> and assumptions </w:t>
      </w:r>
      <w:r w:rsidR="00D9521D">
        <w:rPr>
          <w:rFonts w:eastAsia="Times New Roman"/>
          <w:color w:val="000000"/>
          <w:sz w:val="24"/>
          <w:szCs w:val="24"/>
        </w:rPr>
        <w:t>made</w:t>
      </w:r>
      <w:r>
        <w:rPr>
          <w:rFonts w:eastAsia="Times New Roman"/>
          <w:color w:val="000000"/>
          <w:sz w:val="24"/>
          <w:szCs w:val="24"/>
        </w:rPr>
        <w:t xml:space="preserve">. An orbital multispectral lidar, </w:t>
      </w:r>
      <w:r w:rsidR="00D9521D">
        <w:rPr>
          <w:rFonts w:eastAsia="Times New Roman"/>
          <w:color w:val="000000"/>
          <w:sz w:val="24"/>
          <w:szCs w:val="24"/>
        </w:rPr>
        <w:t>with</w:t>
      </w:r>
      <w:r>
        <w:rPr>
          <w:rFonts w:eastAsia="Times New Roman"/>
          <w:color w:val="000000"/>
          <w:sz w:val="24"/>
          <w:szCs w:val="24"/>
        </w:rPr>
        <w:t xml:space="preserve"> laser </w:t>
      </w:r>
      <w:r w:rsidR="00D9521D">
        <w:rPr>
          <w:rFonts w:eastAsia="Times New Roman"/>
          <w:color w:val="000000"/>
          <w:sz w:val="24"/>
          <w:szCs w:val="24"/>
        </w:rPr>
        <w:t>illumination</w:t>
      </w:r>
      <w:r>
        <w:rPr>
          <w:rFonts w:eastAsia="Times New Roman"/>
          <w:color w:val="000000"/>
          <w:sz w:val="24"/>
          <w:szCs w:val="24"/>
        </w:rPr>
        <w:t xml:space="preserve"> </w:t>
      </w:r>
      <w:r w:rsidR="00D9521D">
        <w:rPr>
          <w:rFonts w:eastAsia="Times New Roman"/>
          <w:color w:val="000000"/>
          <w:sz w:val="24"/>
          <w:szCs w:val="24"/>
        </w:rPr>
        <w:t>at</w:t>
      </w:r>
      <w:r>
        <w:rPr>
          <w:rFonts w:eastAsia="Times New Roman"/>
          <w:color w:val="000000"/>
          <w:sz w:val="24"/>
          <w:szCs w:val="24"/>
        </w:rPr>
        <w:t xml:space="preserve"> key diagnostic wavelengths, would provide uniform</w:t>
      </w:r>
      <w:r w:rsidR="00382FAE">
        <w:rPr>
          <w:rFonts w:eastAsia="Times New Roman"/>
          <w:color w:val="000000"/>
          <w:sz w:val="24"/>
          <w:szCs w:val="24"/>
        </w:rPr>
        <w:t>, zero-phase</w:t>
      </w:r>
      <w:r>
        <w:rPr>
          <w:rFonts w:eastAsia="Times New Roman"/>
          <w:color w:val="000000"/>
          <w:sz w:val="24"/>
          <w:szCs w:val="24"/>
        </w:rPr>
        <w:t xml:space="preserve"> geometry, complete </w:t>
      </w:r>
      <w:proofErr w:type="gramStart"/>
      <w:r>
        <w:rPr>
          <w:rFonts w:eastAsia="Times New Roman"/>
          <w:color w:val="000000"/>
          <w:sz w:val="24"/>
          <w:szCs w:val="24"/>
        </w:rPr>
        <w:t>latitude</w:t>
      </w:r>
      <w:proofErr w:type="gramEnd"/>
      <w:r>
        <w:rPr>
          <w:rFonts w:eastAsia="Times New Roman"/>
          <w:color w:val="000000"/>
          <w:sz w:val="24"/>
          <w:szCs w:val="24"/>
        </w:rPr>
        <w:t xml:space="preserve"> and time of day coverage from a circular polar orbit, and is agnostic to the thermal state of the surface. We have performed measurement simulations of a four-wavelength multispectral lidar using spectral mixtures of hydrated mid-ocean ridge basalt (MORB) glasses and lunar regolith endmembers to assess the lidar performance in measuring hydration signatures on the lunar surface. Our results show a feasible system with wavelengths at 1.5 µm, 2.65 µm, 2.8 µm, and 3.1 µm can</w:t>
      </w:r>
      <w:r>
        <w:rPr>
          <w:sz w:val="24"/>
          <w:szCs w:val="24"/>
        </w:rPr>
        <w:t xml:space="preserve"> measure</w:t>
      </w:r>
      <w:r>
        <w:rPr>
          <w:rFonts w:eastAsia="Times New Roman"/>
          <w:color w:val="000000"/>
          <w:sz w:val="24"/>
          <w:szCs w:val="24"/>
        </w:rPr>
        <w:t xml:space="preserve"> lunar hydration with a precision of </w:t>
      </w:r>
      <w:r>
        <w:rPr>
          <w:sz w:val="24"/>
          <w:szCs w:val="24"/>
        </w:rPr>
        <w:t>52</w:t>
      </w:r>
      <w:r>
        <w:rPr>
          <w:rFonts w:eastAsia="Times New Roman"/>
          <w:color w:val="000000"/>
          <w:sz w:val="24"/>
          <w:szCs w:val="24"/>
        </w:rPr>
        <w:t xml:space="preserve"> ppm (1</w:t>
      </w:r>
      <w:r>
        <w:rPr>
          <w:rFonts w:ascii="Palatino Linotype" w:eastAsia="Palatino Linotype" w:hAnsi="Palatino Linotype" w:cs="Palatino Linotype"/>
          <w:color w:val="000000"/>
          <w:sz w:val="24"/>
          <w:szCs w:val="24"/>
        </w:rPr>
        <w:t>σ</w:t>
      </w:r>
      <w:r>
        <w:rPr>
          <w:rFonts w:eastAsia="Times New Roman"/>
          <w:color w:val="000000"/>
          <w:sz w:val="24"/>
          <w:szCs w:val="24"/>
        </w:rPr>
        <w:t xml:space="preserve">) or better. These results, combined with the uniform measurement capabilities of multispectral lidar make it a valuable spectroscopic technique for elucidating </w:t>
      </w:r>
      <w:r>
        <w:rPr>
          <w:sz w:val="24"/>
          <w:szCs w:val="24"/>
        </w:rPr>
        <w:t xml:space="preserve">mechanisms </w:t>
      </w:r>
      <w:r>
        <w:rPr>
          <w:rFonts w:eastAsia="Times New Roman"/>
          <w:color w:val="000000"/>
          <w:sz w:val="24"/>
          <w:szCs w:val="24"/>
        </w:rPr>
        <w:t>of OH/H</w:t>
      </w:r>
      <w:r>
        <w:rPr>
          <w:rFonts w:eastAsia="Times New Roman"/>
          <w:color w:val="000000"/>
          <w:sz w:val="24"/>
          <w:szCs w:val="24"/>
          <w:vertAlign w:val="subscript"/>
        </w:rPr>
        <w:t>2</w:t>
      </w:r>
      <w:r>
        <w:rPr>
          <w:rFonts w:eastAsia="Times New Roman"/>
          <w:color w:val="000000"/>
          <w:sz w:val="24"/>
          <w:szCs w:val="24"/>
        </w:rPr>
        <w:t>O generation, migration, and destruction.</w:t>
      </w:r>
    </w:p>
    <w:p w14:paraId="28B0CF68" w14:textId="77777777" w:rsidR="00867801" w:rsidRDefault="009E1DFE">
      <w:pPr>
        <w:pBdr>
          <w:top w:val="nil"/>
          <w:left w:val="nil"/>
          <w:bottom w:val="nil"/>
          <w:right w:val="nil"/>
          <w:between w:val="nil"/>
        </w:pBdr>
        <w:spacing w:before="120"/>
        <w:rPr>
          <w:rFonts w:eastAsia="Times New Roman"/>
          <w:b/>
          <w:color w:val="000000"/>
          <w:sz w:val="24"/>
          <w:szCs w:val="24"/>
        </w:rPr>
      </w:pPr>
      <w:r>
        <w:rPr>
          <w:rFonts w:eastAsia="Times New Roman"/>
          <w:b/>
          <w:color w:val="000000"/>
          <w:sz w:val="24"/>
          <w:szCs w:val="24"/>
        </w:rPr>
        <w:t>Plain Language Summary</w:t>
      </w:r>
    </w:p>
    <w:p w14:paraId="28B0CF69" w14:textId="52D9301F"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Outstanding questions</w:t>
      </w:r>
      <w:r w:rsidR="00474FD3">
        <w:rPr>
          <w:rFonts w:eastAsia="Times New Roman"/>
          <w:color w:val="000000"/>
          <w:sz w:val="24"/>
          <w:szCs w:val="24"/>
        </w:rPr>
        <w:t xml:space="preserve"> and conflicting results related to </w:t>
      </w:r>
      <w:r>
        <w:rPr>
          <w:rFonts w:eastAsia="Times New Roman"/>
          <w:color w:val="000000"/>
          <w:sz w:val="24"/>
          <w:szCs w:val="24"/>
        </w:rPr>
        <w:t>the variability of water and hydroxyl on the lunar surface require new measurement systems and techniques that are ideally independent of the temperature of the surface. A light detection and ranging (lidar) system with multiple laser wavelengths that are sensitive to the total water (H</w:t>
      </w:r>
      <w:r>
        <w:rPr>
          <w:rFonts w:eastAsia="Times New Roman"/>
          <w:color w:val="000000"/>
          <w:sz w:val="24"/>
          <w:szCs w:val="24"/>
          <w:vertAlign w:val="subscript"/>
        </w:rPr>
        <w:t>2</w:t>
      </w:r>
      <w:r>
        <w:rPr>
          <w:rFonts w:eastAsia="Times New Roman"/>
          <w:color w:val="000000"/>
          <w:sz w:val="24"/>
          <w:szCs w:val="24"/>
        </w:rPr>
        <w:t xml:space="preserve">O </w:t>
      </w:r>
      <w:r>
        <w:rPr>
          <w:sz w:val="24"/>
          <w:szCs w:val="24"/>
        </w:rPr>
        <w:t xml:space="preserve">+ </w:t>
      </w:r>
      <w:r>
        <w:rPr>
          <w:rFonts w:eastAsia="Times New Roman"/>
          <w:color w:val="000000"/>
          <w:sz w:val="24"/>
          <w:szCs w:val="24"/>
        </w:rPr>
        <w:t xml:space="preserve">OH) content of the surface would provide important validation of </w:t>
      </w:r>
      <w:r w:rsidR="00F4203D">
        <w:rPr>
          <w:rFonts w:eastAsia="Times New Roman"/>
          <w:color w:val="000000"/>
          <w:sz w:val="24"/>
          <w:szCs w:val="24"/>
        </w:rPr>
        <w:t xml:space="preserve">disagreeing </w:t>
      </w:r>
      <w:r>
        <w:rPr>
          <w:rFonts w:eastAsia="Times New Roman"/>
          <w:color w:val="000000"/>
          <w:sz w:val="24"/>
          <w:szCs w:val="24"/>
        </w:rPr>
        <w:t xml:space="preserve">passive </w:t>
      </w:r>
      <w:r w:rsidR="00F4203D">
        <w:rPr>
          <w:rFonts w:eastAsia="Times New Roman"/>
          <w:color w:val="000000"/>
          <w:sz w:val="24"/>
          <w:szCs w:val="24"/>
        </w:rPr>
        <w:t>results</w:t>
      </w:r>
      <w:r>
        <w:rPr>
          <w:rFonts w:eastAsia="Times New Roman"/>
          <w:color w:val="000000"/>
          <w:sz w:val="24"/>
          <w:szCs w:val="24"/>
        </w:rPr>
        <w:t xml:space="preserve"> and would fill data gaps at high latitudes on the day side and </w:t>
      </w:r>
      <w:r w:rsidR="000C1D92">
        <w:rPr>
          <w:rFonts w:eastAsia="Times New Roman"/>
          <w:color w:val="000000"/>
          <w:sz w:val="24"/>
          <w:szCs w:val="24"/>
        </w:rPr>
        <w:t>cover the entire</w:t>
      </w:r>
      <w:r>
        <w:rPr>
          <w:rFonts w:eastAsia="Times New Roman"/>
          <w:color w:val="000000"/>
          <w:sz w:val="24"/>
          <w:szCs w:val="24"/>
        </w:rPr>
        <w:t xml:space="preserve"> night side. We have performed simulations of a four-wavelength lidar system, which showed the technique is able to </w:t>
      </w:r>
      <w:r w:rsidR="001D4685">
        <w:rPr>
          <w:rFonts w:eastAsia="Times New Roman"/>
          <w:color w:val="000000"/>
          <w:sz w:val="24"/>
          <w:szCs w:val="24"/>
        </w:rPr>
        <w:t>measure</w:t>
      </w:r>
      <w:r>
        <w:rPr>
          <w:rFonts w:eastAsia="Times New Roman"/>
          <w:color w:val="000000"/>
          <w:sz w:val="24"/>
          <w:szCs w:val="24"/>
        </w:rPr>
        <w:t xml:space="preserve"> the amount of total water </w:t>
      </w:r>
      <w:r w:rsidR="001D4685">
        <w:rPr>
          <w:rFonts w:eastAsia="Times New Roman"/>
          <w:color w:val="000000"/>
          <w:sz w:val="24"/>
          <w:szCs w:val="24"/>
        </w:rPr>
        <w:t xml:space="preserve">with a </w:t>
      </w:r>
      <w:r w:rsidR="00073F21">
        <w:rPr>
          <w:rFonts w:eastAsia="Times New Roman"/>
          <w:color w:val="000000"/>
          <w:sz w:val="24"/>
          <w:szCs w:val="24"/>
        </w:rPr>
        <w:t>precision</w:t>
      </w:r>
      <w:r w:rsidR="00073F21">
        <w:rPr>
          <w:rFonts w:eastAsia="Times New Roman"/>
          <w:color w:val="000000"/>
          <w:sz w:val="24"/>
          <w:szCs w:val="24"/>
        </w:rPr>
        <w:t xml:space="preserve"> </w:t>
      </w:r>
      <w:r w:rsidR="001D4685">
        <w:rPr>
          <w:rFonts w:eastAsia="Times New Roman"/>
          <w:color w:val="000000"/>
          <w:sz w:val="24"/>
          <w:szCs w:val="24"/>
        </w:rPr>
        <w:t xml:space="preserve">of 52 ppm or better. </w:t>
      </w:r>
      <w:r>
        <w:rPr>
          <w:sz w:val="24"/>
          <w:szCs w:val="24"/>
        </w:rPr>
        <w:t xml:space="preserve">Our results indicate an </w:t>
      </w:r>
      <w:r>
        <w:rPr>
          <w:rFonts w:eastAsia="Times New Roman"/>
          <w:color w:val="000000"/>
          <w:sz w:val="24"/>
          <w:szCs w:val="24"/>
        </w:rPr>
        <w:t xml:space="preserve">orbital multi-wavelength lidar </w:t>
      </w:r>
      <w:r>
        <w:rPr>
          <w:sz w:val="24"/>
          <w:szCs w:val="24"/>
        </w:rPr>
        <w:t>would fill crucial data gaps and</w:t>
      </w:r>
      <w:r>
        <w:rPr>
          <w:rFonts w:eastAsia="Times New Roman"/>
          <w:color w:val="000000"/>
          <w:sz w:val="24"/>
          <w:szCs w:val="24"/>
        </w:rPr>
        <w:t xml:space="preserve"> confirm or refute hypotheses related to the generation mechanisms, form, and migration of water and/or hydroxyl on the surface.</w:t>
      </w:r>
    </w:p>
    <w:p w14:paraId="28B0CF6A"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1. Introduction</w:t>
      </w:r>
    </w:p>
    <w:p w14:paraId="28B0CF6B" w14:textId="101D26BE" w:rsidR="00867801" w:rsidRDefault="009E1DFE">
      <w:pPr>
        <w:pBdr>
          <w:top w:val="nil"/>
          <w:left w:val="nil"/>
          <w:bottom w:val="nil"/>
          <w:right w:val="nil"/>
          <w:between w:val="nil"/>
        </w:pBdr>
        <w:spacing w:before="120"/>
        <w:ind w:firstLine="720"/>
        <w:rPr>
          <w:sz w:val="24"/>
          <w:szCs w:val="24"/>
        </w:rPr>
      </w:pPr>
      <w:r>
        <w:rPr>
          <w:rFonts w:eastAsia="Times New Roman"/>
          <w:color w:val="000000"/>
          <w:sz w:val="24"/>
          <w:szCs w:val="24"/>
        </w:rPr>
        <w:t>Hydration on the illuminated lunar surface has now been well established following remote observations of a 3 µm hydration band by five infrared spectrometers</w:t>
      </w:r>
      <w:r w:rsidR="00260B59">
        <w:rPr>
          <w:rFonts w:eastAsia="Times New Roman"/>
          <w:color w:val="000000"/>
          <w:sz w:val="24"/>
          <w:szCs w:val="24"/>
        </w:rPr>
        <w:t xml:space="preserve"> </w:t>
      </w:r>
      <w:r w:rsidR="00260B59">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{"citationID":"6NwXbwR9","properties":{"formattedCitation":"(Chauhan et al., 2021; Clark, 2009; Honniball et al., 2020; Pieters et al., 2009; Sunshine et al., 2009)","plainCitation":"(Chauhan et al., 2021; Clark, 2009; Honniball et al., 2020; Pieters et al., 2009; Sunshine et al., 2009)","noteIndex":0},"citationItems":[{"id":648,"uris":["http://zotero.org/users/local/lFa3rRs0/items/AE6UK439"],"itemData":{"id":648,"type":"article-journal","container-title":"Current Science","issue":"3","page":"391-401","title":"Unambiguous detection of OH and H2O on the Moon from Chandrayaan-2 Imaging Infrared Spectrometer reflectance data using 3 μm hydration feature","volume":"121","author":[{"family":"Chauhan","given":"Prakash"},{"family":"Chauhan","given":"Mamta"},{"family":"Verma","given":"Prabhakar A."},{"family":"Sharma","given":"Supriya"},{"family":"Bhattacharya","given":"Satadru"},{"family":"Dagar","given":"Aditya Kumar"},{"literal":"Amitabh"},{"family":"Patil","given":"Abhishek N."},{"family":"Parashar","given":"Ajay Kumar"},{"family":"Kumar","given":"Ankush"},{"family":"Desai","given":"Nilesh"},{"family":"Karidhal","given":"Ritu"},{"family":"Kumar","given":"A. S. Kiran"}],"issued":{"date-parts":[["2021"]]}}},{"id":602,"uris":["http://zotero.org/users/local/lFa3rRs0/items/F3RNPMTZ"],"itemData":{"id":602,"type":"article-journal","abstract":"Data from the Visual and Infrared Mapping Spectrometer (VIMS) on Cassini during its flyby of the Moon in 1999 show a broad absorption at 3 micrometers due to adsorbed water and near 2.8 micrometers attributed to hydroxyl in the sunlit surface on the Moon. The amounts of water indicated in the spectra depend on the type of mixing and the grain sizes in the rocks and soils but could be 10 to 1000 parts per million and locally higher. Water in the polar regions may be water that has migrated to the colder environments there. Trace hydroxyl is observed in the anorthositic highlands at lower latitudes.\nSpace-based spectroscopic measurements provide evidence for water or hydroxyl (OH) on the surface of the Moon.\nSpace-based spectroscopic measurements provide evidence for water or hydroxyl (OH) on the surface of the Moon.","container-title":"Science","DOI":"10.1126/science.1178105","ISSN":"0036-8075, 1095-9203","issue":"5952","language":"en","note":"publisher: American Association for the Advancement of Science\nsection: Report\nPMID: 19779152","page":"562-564","source":"science.sciencemag.org","title":"Detection of Adsorbed Water and Hydroxyl on the Moon","volume":"326","author":[{"family":"Clark","given":"Roger N."}],"issued":{"date-parts":[["2009",10,23]]}}},{"id":15,"uris":["http://zotero.org/users/local/lFa3rRs0/items/FA5YXWFR"],"itemData":{"id":15,"type":"article-journal","abstract":"Prior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M."},{"family":"Takir","given":"D."}],"issued":{"date-parts":[["2020",9]]}}},{"id":22,"uris":["http://zotero.org/users/local/lFa3rRs0/items/LUKEEHUC"],"itemData":{"id":22,"type":"article-journal","abstract":"The search for water on the surface of the anhydrous Moon had remained an unfulfilled quest for 40 years. However, the Moon Mineralogy Mapper (M3) on Chandrayaan-1 has recently detected absorption features near 2.8 to 3.0 micrometers on the surface of the Moon. For silicate bodies, such features are typically attributed to hydroxyl- and/or water-bearing materials. On the Moon, the feature is seen as a widely distributed absorption that appears strongest at cooler high latitudes and at several fresh feldspathic craters. The general lack of correlation of this feature in sunlit M3 data with neutron spectrometer hydrogen abundance data suggests that the formation and retention of hydroxyl and water are ongoing surficial processes. Hydroxyl/water production processes may feed polar cold traps and make the lunar regolith a candidate source of volatiles for human exploration.","container-title":"Science","DOI":"10.1126/SCIENCE.1178658","ISSN":"0036-8075","issue":"5952","note":"publisher: American Association for the Advancement of Science\nPMID: 19779151","page":"568–572","title":"Character and Spatial Distribution of OH/H2O on the Surface of the Moon Seen by M3 on Chandrayaan-1","volume":"326","author":[{"family":"Pieters","given":"C. M."},{"family":"Goswami","given":"J. N."},{"family":"Clark","given":"R. N."},{"family":"Annadurai","given":"M."},{"family":"Boardman","given":"J."},{"family":"Buratti","given":"B."},{"family":"Combe","given":"J.-P."},{"family":"Dyar","given":"M. D."},{"family":"Green","given":"R."},{"family":"Head","given":"J. W."},{"family":"Hibbitts","given":"C."},{"family":"Hicks","given":"M."},{"family":"Isaacson","given":"P."},{"family":"Klima","given":"R."},{"family":"Kramer","given":"G."},{"family":"Kumar","given":"S."},{"family":"Livo","given":"E."},{"family":"Lundeen","given":"S."},{"family":"Malaret","given":"E."},{"family":"McCord","given":"T."},{"family":"Mustard","given":"J."},{"family":"Nettles","given":"J."},{"family":"Petro","given":"N."},{"family":"Runyon","given":"C."},{"family":"Staid","given":"M."},{"family":"Sunshine","given":"J."},{"family":"Taylor","given":"L. A."},{"family":"Tompkins","given":"S."},{"family":"Varanasi","given":"P."}],"issued":{"date-parts":[["2009",10]]}}},{"id":20,"uris":["http://zotero.org/users/local/lFa3rRs0/items/9C44DU36"],"itemData":{"id":20,"type":"article-journal","abstract":"The Moon is generally anhydrous, yet the Deep Impact spacecraft found the entire surface to be hydrated during some portions of the day. Hydroxyl (OH) and water (H2O) absorptions in the near infrared were strongest near the North Pole and are consistent with &lt;0.5 weight percent H2O. Hydration varied with temperature, rather than cumulative solar radiation, but no inherent absorptivity differences with composition were observed. However, comparisons between data collected 1 week (a quarter lunar day) apart show a dynamic process with diurnal changes in hydration that were greater for mare basalts ($\\sim$70%) than for highlands ($\\sim$50%). This hydration loss and return to a steady state occurred entirely between local morning and evening, requiring a ready daytime source of water-group ions, which is consistent with a solar wind origin.","container-title":"Science","DOI":"10.1126/SCIENCE.1179788","ISSN":"0036-8075","issue":"5952","note":"publisher: American Association for the Advancement of Science\nPMID: 19779149","page":"565–568","title":"Temporal and Spatial Variability of Lunar Hydration As Observed by the Deep Impact Spacecraft","volume":"326","author":[{"family":"Sunshine","given":"Jessica M."},{"family":"Farnham","given":"Tony L."},{"family":"Feaga","given":"Lori M."},{"family":"Groussin","given":"Olivier"},{"family":"Merlin","given":"Frédéric"},{"family":"Milliken","given":"Ralph E."},{"family":"A'Hearn","given":"Michael F."}],"issued":{"date-parts":[["2009",10]]}}}],"schema":"https://github.com/citation-style-language/schema/raw/master/csl-citation.json"} </w:instrText>
      </w:r>
      <w:r w:rsidR="00260B59">
        <w:rPr>
          <w:rFonts w:eastAsia="Times New Roman"/>
          <w:color w:val="000000"/>
          <w:sz w:val="24"/>
          <w:szCs w:val="24"/>
        </w:rPr>
        <w:fldChar w:fldCharType="separate"/>
      </w:r>
      <w:r w:rsidR="00260B59" w:rsidRPr="00260B59">
        <w:rPr>
          <w:sz w:val="24"/>
        </w:rPr>
        <w:t>(Chauhan et al., 2021; Clark, 2009; Honniball et al., 2020; Pieters et al., 2009; Sunshine et al., 2009)</w:t>
      </w:r>
      <w:r w:rsidR="00260B59">
        <w:rPr>
          <w:rFonts w:eastAsia="Times New Roman"/>
          <w:color w:val="000000"/>
          <w:sz w:val="24"/>
          <w:szCs w:val="24"/>
        </w:rPr>
        <w:fldChar w:fldCharType="end"/>
      </w:r>
      <w:r>
        <w:rPr>
          <w:rFonts w:eastAsia="Times New Roman"/>
          <w:color w:val="000000"/>
          <w:sz w:val="24"/>
          <w:szCs w:val="24"/>
        </w:rPr>
        <w:t xml:space="preserve">. The 2.8 to 3.5 µm IR hydration feature (hereafter referred to as the 3 µm band) </w:t>
      </w:r>
      <w:r>
        <w:rPr>
          <w:sz w:val="24"/>
          <w:szCs w:val="24"/>
        </w:rPr>
        <w:t xml:space="preserve">however suffers from uncertainties in removing thermal emission from reflectance measurements made with passive spectrometers </w:t>
      </w:r>
      <w:r w:rsidR="007574EA">
        <w:rPr>
          <w:sz w:val="24"/>
          <w:szCs w:val="24"/>
        </w:rPr>
        <w:fldChar w:fldCharType="begin"/>
      </w:r>
      <w:r w:rsidR="008B0A8A">
        <w:rPr>
          <w:sz w:val="24"/>
          <w:szCs w:val="24"/>
        </w:rPr>
        <w:instrText xml:space="preserve"> ADDIN ZOTERO_ITEM CSL_CITATION {"citationID":"h3desBOd","properties":{"formattedCitation":"(Lucey et al., 2021)","plainCitation":"(Lucey et al., 2021)","noteIndex":0},"citationItems":[{"id":705,"uris":["http://zotero.org/users/local/lFa3rRs0/items/J5SUEDZU"],"itemData":{"id":705,"type":"article-journal","container-title":"Geochemistry","note":"publisher: Elsevier","page":"125858","title":"Volatile interactions with the lunar surface","author":[{"family":"Lucey","given":"Paul G"},{"family":"Petro","given":"Noah"},{"family":"Hurley","given":"Dana"},{"family":"Farrell","given":"William"},{"family":"Prem","given":"Parvathy"},{"family":"Costello","given":"Emily"},{"family":"Cable","given":"Morgan"},{"family":"Barker","given":"Michael"},{"family":"Benna","given":"Mehdi"},{"family":"Dyar","given":"Darby"},{"literal":"others"}],"issued":{"date-parts":[["2021"]]}}}],"schema":"https://github.com/citation-style-language/schema/raw/master/csl-citation.json"} </w:instrText>
      </w:r>
      <w:r w:rsidR="007574EA">
        <w:rPr>
          <w:sz w:val="24"/>
          <w:szCs w:val="24"/>
        </w:rPr>
        <w:fldChar w:fldCharType="separate"/>
      </w:r>
      <w:r w:rsidR="007574EA" w:rsidRPr="007574EA">
        <w:rPr>
          <w:sz w:val="24"/>
        </w:rPr>
        <w:t>(Lucey et al., 2021)</w:t>
      </w:r>
      <w:r w:rsidR="007574EA">
        <w:rPr>
          <w:sz w:val="24"/>
          <w:szCs w:val="24"/>
        </w:rPr>
        <w:fldChar w:fldCharType="end"/>
      </w:r>
      <w:r>
        <w:rPr>
          <w:sz w:val="24"/>
          <w:szCs w:val="24"/>
        </w:rPr>
        <w:t>. The primary</w:t>
      </w:r>
      <w:r>
        <w:rPr>
          <w:rFonts w:eastAsia="Times New Roman"/>
          <w:color w:val="000000"/>
          <w:sz w:val="24"/>
          <w:szCs w:val="24"/>
        </w:rPr>
        <w:t xml:space="preserve"> complication with </w:t>
      </w:r>
      <w:r>
        <w:rPr>
          <w:sz w:val="24"/>
          <w:szCs w:val="24"/>
        </w:rPr>
        <w:t>interpretation</w:t>
      </w:r>
      <w:r>
        <w:rPr>
          <w:rFonts w:eastAsia="Times New Roman"/>
          <w:color w:val="000000"/>
          <w:sz w:val="24"/>
          <w:szCs w:val="24"/>
        </w:rPr>
        <w:t xml:space="preserve"> of passive </w:t>
      </w:r>
      <w:r>
        <w:rPr>
          <w:sz w:val="24"/>
          <w:szCs w:val="24"/>
        </w:rPr>
        <w:t>3 µm band</w:t>
      </w:r>
      <w:r>
        <w:rPr>
          <w:rFonts w:eastAsia="Times New Roman"/>
          <w:color w:val="000000"/>
          <w:sz w:val="24"/>
          <w:szCs w:val="24"/>
        </w:rPr>
        <w:t xml:space="preserve"> measurements lies in decoupling the radiance contributions of solar reflectance and lunar thermal emission, which are roughly equal near 3 µm at lunar dayside temperatures </w:t>
      </w:r>
      <w:r w:rsidR="007574EA">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{"citationID":"rJd2sk7r","properties":{"formattedCitation":"(Clark, 1979; Vasavada et al., 2012)","plainCitation":"(Clark, 1979; Vasavada et al., 2012)","noteIndex":0},"citationItems":[{"id":706,"uris":["http://zotero.org/users/local/lFa3rRs0/items/SLBWWWLG"],"itemData":{"id":706,"type":"article-journal","abstract":"As planetary reflectance measurements are extended into the infrared, the emitted thermal radiation becomes larger than the reflected solar component. This paper describes a method for removal of the thermal component from planetary reflectance measurements and discusses the limitations involved. Examples are shown for the case of lunar observations where the temperature and emissivity are known and for Mercury where it is assumed the temperature and emissivity are unknown.","container-title":"Icarus","DOI":"10.1016/0019-1035(79)90056-3","ISSN":"0019-1035","issue":"1","journalAbbreviation":"Icarus","language":"en","page":"94-103","source":"ScienceDirect","title":"Planetary reflectance measurements in the region of planetary thermal emission","volume":"40","author":[{"family":"Clark","given":"Roger N."}],"issued":{"date-parts":[["1979",10,1]]}}},{"id":569,"uris":["http://zotero.org/users/local/lFa3rRs0/items/EJVIKY7J"],"itemData":{"id":569,"type":"article-journal","container-title":"Journal of Geophysical Research: Planets","DOI":"10.1029/2011JE003987","ISSN":"01480227","issue":"E12","note":"publisher: John Wiley &amp; Sons, Ltd","title":"Lunar equatorial surface temperatures and regolith properties from the Diviner Lunar Radiometer Experiment","URL":"http://doi.wiley.com/10.1029/2011JE003987","volume":"117","author":[{"family":"Vasavada","given":"Ashwin R."},{"family":"Bandfield","given":"Joshua L."},{"family":"Greenhagen","given":"Benjamin T."},{"family":"Hayne","given":"Paul O."},{"family":"Siegler","given":"Matthew A."},{"family":"Williams","given":"Jean-Pierre"},{"family":"Paige","given":"David A."}],"issued":{"date-parts":[["2012",12]]}}}],"schema":"https://github.com/citation-style-language/schema/raw/master/csl-citation.json"} </w:instrText>
      </w:r>
      <w:r w:rsidR="007574EA">
        <w:rPr>
          <w:rFonts w:eastAsia="Times New Roman"/>
          <w:color w:val="000000"/>
          <w:sz w:val="24"/>
          <w:szCs w:val="24"/>
        </w:rPr>
        <w:fldChar w:fldCharType="separate"/>
      </w:r>
      <w:r w:rsidR="007574EA" w:rsidRPr="007574EA">
        <w:rPr>
          <w:sz w:val="24"/>
        </w:rPr>
        <w:t>(Clark, 1979; Vasavada et al., 2012)</w:t>
      </w:r>
      <w:r w:rsidR="007574EA">
        <w:rPr>
          <w:rFonts w:eastAsia="Times New Roman"/>
          <w:color w:val="000000"/>
          <w:sz w:val="24"/>
          <w:szCs w:val="24"/>
        </w:rPr>
        <w:fldChar w:fldCharType="end"/>
      </w:r>
      <w:r>
        <w:rPr>
          <w:rFonts w:eastAsia="Times New Roman"/>
          <w:color w:val="000000"/>
          <w:sz w:val="24"/>
          <w:szCs w:val="24"/>
        </w:rPr>
        <w:t xml:space="preserve">. </w:t>
      </w:r>
      <w:r>
        <w:rPr>
          <w:sz w:val="24"/>
          <w:szCs w:val="24"/>
        </w:rPr>
        <w:t>In addition,</w:t>
      </w:r>
      <w:r>
        <w:rPr>
          <w:rFonts w:eastAsia="Times New Roman"/>
          <w:color w:val="000000"/>
          <w:sz w:val="24"/>
          <w:szCs w:val="24"/>
        </w:rPr>
        <w:t xml:space="preserve"> the choice of a surface photometric function and the relation of lunar emissivity to reflectance and the applicability of Kirchoff’s law </w:t>
      </w:r>
      <w:r>
        <w:rPr>
          <w:sz w:val="24"/>
          <w:szCs w:val="24"/>
        </w:rPr>
        <w:t>further</w:t>
      </w:r>
      <w:r>
        <w:rPr>
          <w:rFonts w:eastAsia="Times New Roman"/>
          <w:color w:val="000000"/>
          <w:sz w:val="24"/>
          <w:szCs w:val="24"/>
        </w:rPr>
        <w:t xml:space="preserve"> complicate the </w:t>
      </w:r>
      <w:r>
        <w:rPr>
          <w:sz w:val="24"/>
          <w:szCs w:val="24"/>
        </w:rPr>
        <w:t>analysis.</w:t>
      </w:r>
    </w:p>
    <w:p w14:paraId="28B0CF6C" w14:textId="3EDC691E" w:rsidR="00867801" w:rsidRDefault="009E1DFE">
      <w:pPr>
        <w:pBdr>
          <w:top w:val="nil"/>
          <w:left w:val="nil"/>
          <w:bottom w:val="nil"/>
          <w:right w:val="nil"/>
          <w:between w:val="nil"/>
        </w:pBdr>
        <w:spacing w:before="120"/>
        <w:ind w:firstLine="720"/>
        <w:rPr>
          <w:rFonts w:eastAsia="Times New Roman"/>
          <w:color w:val="000000"/>
          <w:sz w:val="24"/>
          <w:szCs w:val="24"/>
        </w:rPr>
      </w:pPr>
      <w:r>
        <w:rPr>
          <w:sz w:val="24"/>
          <w:szCs w:val="24"/>
        </w:rPr>
        <w:t>Using data from the Moon Mineralogy Mapper (M</w:t>
      </w:r>
      <w:r>
        <w:rPr>
          <w:sz w:val="24"/>
          <w:szCs w:val="24"/>
          <w:vertAlign w:val="superscript"/>
        </w:rPr>
        <w:t>3</w:t>
      </w:r>
      <w:r>
        <w:rPr>
          <w:sz w:val="24"/>
          <w:szCs w:val="24"/>
        </w:rPr>
        <w:t xml:space="preserve">) spectrometer on the Chandrayaan-1 mission </w:t>
      </w:r>
      <w:r w:rsidR="00C80DC3">
        <w:rPr>
          <w:sz w:val="24"/>
          <w:szCs w:val="24"/>
        </w:rPr>
        <w:fldChar w:fldCharType="begin"/>
      </w:r>
      <w:r w:rsidR="008B0A8A">
        <w:rPr>
          <w:sz w:val="24"/>
          <w:szCs w:val="24"/>
        </w:rPr>
        <w:instrText xml:space="preserve"> ADDIN ZOTERO_ITEM CSL_CITATION {"citationID":"mEUVcogn","properties":{"formattedCitation":"(Green et al., 2011)","plainCitation":"(Green et al., 2011)","noteIndex":0},"citationItems":[{"id":725,"uris":["http://zotero.org/users/local/lFa3rRs0/items/I27HBY2M"],"itemData":{"id":725,"type":"article-journal","container-title":"Journal of Geophysical Research: Planets","issue":"E10","note":"publisher: Wiley Online Library","title":"The Moon Mineralogy Mapper (M3) imaging spectrometer for lunar science: Instrument description, calibration, on-orbit measurements, science data calibration and on-orbit validation","volume":"116","author":[{"family":"Green","given":"RO"},{"family":"Pieters","given":"C"},{"family":"Mouroulis","given":"P"},{"family":"Eastwood","given":"M"},{"family":"Boardman","given":"J"},{"family":"Glavich","given":"T"},{"family":"Isaacson","given":"P"},{"family":"Annadurai","given":"M"},{"family":"Besse","given":"S"},{"family":"Barr","given":"D"},{"literal":"others"}],"issued":{"date-parts":[["2011"]]}}}],"schema":"https://github.com/citation-style-language/schema/raw/master/csl-citation.json"} </w:instrText>
      </w:r>
      <w:r w:rsidR="00C80DC3">
        <w:rPr>
          <w:sz w:val="24"/>
          <w:szCs w:val="24"/>
        </w:rPr>
        <w:fldChar w:fldCharType="separate"/>
      </w:r>
      <w:r w:rsidR="00C80DC3" w:rsidRPr="00C80DC3">
        <w:rPr>
          <w:sz w:val="24"/>
        </w:rPr>
        <w:t>(Green et al., 2011)</w:t>
      </w:r>
      <w:r w:rsidR="00C80DC3">
        <w:rPr>
          <w:sz w:val="24"/>
          <w:szCs w:val="24"/>
        </w:rPr>
        <w:fldChar w:fldCharType="end"/>
      </w:r>
      <w:r w:rsidR="00C80DC3">
        <w:rPr>
          <w:sz w:val="24"/>
          <w:szCs w:val="24"/>
        </w:rPr>
        <w:t xml:space="preserve"> </w:t>
      </w:r>
      <w:r>
        <w:rPr>
          <w:rFonts w:eastAsia="Times New Roman"/>
          <w:color w:val="000000"/>
          <w:sz w:val="24"/>
          <w:szCs w:val="24"/>
        </w:rPr>
        <w:t xml:space="preserve">various analysis methods have been put forward to remove the thermal component. </w:t>
      </w:r>
      <w:r>
        <w:rPr>
          <w:sz w:val="24"/>
          <w:szCs w:val="24"/>
        </w:rPr>
        <w:t>H</w:t>
      </w:r>
      <w:r>
        <w:rPr>
          <w:rFonts w:eastAsia="Times New Roman"/>
          <w:color w:val="000000"/>
          <w:sz w:val="24"/>
          <w:szCs w:val="24"/>
        </w:rPr>
        <w:t>owever</w:t>
      </w:r>
      <w:r>
        <w:rPr>
          <w:sz w:val="24"/>
          <w:szCs w:val="24"/>
        </w:rPr>
        <w:t>,</w:t>
      </w:r>
      <w:r>
        <w:rPr>
          <w:rFonts w:eastAsia="Times New Roman"/>
          <w:color w:val="000000"/>
          <w:sz w:val="24"/>
          <w:szCs w:val="24"/>
        </w:rPr>
        <w:t xml:space="preserve"> </w:t>
      </w:r>
      <w:r>
        <w:rPr>
          <w:sz w:val="24"/>
          <w:szCs w:val="24"/>
        </w:rPr>
        <w:t xml:space="preserve">interpretations </w:t>
      </w:r>
      <w:r>
        <w:rPr>
          <w:rFonts w:eastAsia="Times New Roman"/>
          <w:color w:val="000000"/>
          <w:sz w:val="24"/>
          <w:szCs w:val="24"/>
        </w:rPr>
        <w:t>from the same r</w:t>
      </w:r>
      <w:r>
        <w:rPr>
          <w:sz w:val="24"/>
          <w:szCs w:val="24"/>
        </w:rPr>
        <w:t>aw M</w:t>
      </w:r>
      <w:r>
        <w:rPr>
          <w:sz w:val="24"/>
          <w:szCs w:val="24"/>
          <w:vertAlign w:val="superscript"/>
        </w:rPr>
        <w:t>3</w:t>
      </w:r>
      <w:r>
        <w:rPr>
          <w:sz w:val="24"/>
          <w:szCs w:val="24"/>
        </w:rPr>
        <w:t xml:space="preserve"> </w:t>
      </w:r>
      <w:r>
        <w:rPr>
          <w:rFonts w:eastAsia="Times New Roman"/>
          <w:color w:val="000000"/>
          <w:sz w:val="24"/>
          <w:szCs w:val="24"/>
        </w:rPr>
        <w:t xml:space="preserve">data are </w:t>
      </w:r>
      <w:r>
        <w:rPr>
          <w:sz w:val="24"/>
          <w:szCs w:val="24"/>
        </w:rPr>
        <w:t xml:space="preserve">not consistent </w:t>
      </w:r>
      <w:r>
        <w:rPr>
          <w:rFonts w:eastAsia="Times New Roman"/>
          <w:color w:val="000000"/>
          <w:sz w:val="24"/>
          <w:szCs w:val="24"/>
        </w:rPr>
        <w:t xml:space="preserve">and </w:t>
      </w:r>
      <w:r>
        <w:rPr>
          <w:rFonts w:eastAsia="Times New Roman"/>
          <w:color w:val="000000"/>
          <w:sz w:val="24"/>
          <w:szCs w:val="24"/>
        </w:rPr>
        <w:lastRenderedPageBreak/>
        <w:t xml:space="preserve">arrive at conflicting conclusions about the presence and strength of diurnal and latitudinal variations measured </w:t>
      </w:r>
      <w:r>
        <w:rPr>
          <w:sz w:val="24"/>
          <w:szCs w:val="24"/>
        </w:rPr>
        <w:t>by</w:t>
      </w:r>
      <w:r>
        <w:rPr>
          <w:rFonts w:eastAsia="Times New Roman"/>
          <w:color w:val="000000"/>
          <w:sz w:val="24"/>
          <w:szCs w:val="24"/>
        </w:rPr>
        <w:t xml:space="preserve"> the 3 µm band.</w:t>
      </w:r>
      <w:r>
        <w:rPr>
          <w:sz w:val="24"/>
          <w:szCs w:val="24"/>
        </w:rPr>
        <w:t xml:space="preserve"> Comprehensive summaries and discussion of observations to date in the 3 µm band are given by Grumpe et al., </w:t>
      </w:r>
      <w:r w:rsidR="00C80DC3">
        <w:rPr>
          <w:sz w:val="24"/>
          <w:szCs w:val="24"/>
        </w:rPr>
        <w:fldChar w:fldCharType="begin"/>
      </w:r>
      <w:r w:rsidR="008B0A8A">
        <w:rPr>
          <w:sz w:val="24"/>
          <w:szCs w:val="24"/>
        </w:rPr>
        <w:instrText xml:space="preserve"> ADDIN ZOTERO_ITEM CSL_CITATION {"citationID":"U6rQKQ0b","properties":{"formattedCitation":"(Grumpe et al., 2019)","plainCitation":"(Grumpe et al., 2019)","noteIndex":0},"citationItems":[{"id":700,"uris":["http://zotero.org/users/local/lFa3rRs0/items/XVB7JBNS"],"itemData":{"id":700,"type":"article-journal","container-title":"Icarus","note":"publisher: Elsevier","page":"486–507","title":"Time-of-day-dependent behavior of surficial lunar hydroxyl/water: observations and modeling","volume":"321","author":[{"family":"Grumpe","given":"Arne"},{"family":"Wöhler","given":"Christian"},{"family":"Berezhnoy","given":"Alexey A"},{"family":"Shevchenko","given":"Vladislav V"}],"issued":{"date-parts":[["2019"]]}}}],"schema":"https://github.com/citation-style-language/schema/raw/master/csl-citation.json"} </w:instrText>
      </w:r>
      <w:r w:rsidR="00C80DC3">
        <w:rPr>
          <w:sz w:val="24"/>
          <w:szCs w:val="24"/>
        </w:rPr>
        <w:fldChar w:fldCharType="separate"/>
      </w:r>
      <w:r w:rsidR="00C80DC3" w:rsidRPr="00C80DC3">
        <w:rPr>
          <w:sz w:val="24"/>
        </w:rPr>
        <w:t>(Grumpe et al., 2019)</w:t>
      </w:r>
      <w:r w:rsidR="00C80DC3">
        <w:rPr>
          <w:sz w:val="24"/>
          <w:szCs w:val="24"/>
        </w:rPr>
        <w:fldChar w:fldCharType="end"/>
      </w:r>
      <w:r>
        <w:rPr>
          <w:sz w:val="24"/>
          <w:szCs w:val="24"/>
        </w:rPr>
        <w:t xml:space="preserve"> and Lucey et al. </w:t>
      </w:r>
      <w:r w:rsidR="00BB7E30">
        <w:rPr>
          <w:sz w:val="24"/>
          <w:szCs w:val="24"/>
        </w:rPr>
        <w:fldChar w:fldCharType="begin"/>
      </w:r>
      <w:r w:rsidR="008B0A8A">
        <w:rPr>
          <w:sz w:val="24"/>
          <w:szCs w:val="24"/>
        </w:rPr>
        <w:instrText xml:space="preserve"> ADDIN ZOTERO_ITEM CSL_CITATION {"citationID":"Gjpihm6q","properties":{"formattedCitation":"(Lucey et al., 2021)","plainCitation":"(Lucey et al., 2021)","noteIndex":0},"citationItems":[{"id":705,"uris":["http://zotero.org/users/local/lFa3rRs0/items/J5SUEDZU"],"itemData":{"id":705,"type":"article-journal","container-title":"Geochemistry","note":"publisher: Elsevier","page":"125858","title":"Volatile interactions with the lunar surface","author":[{"family":"Lucey","given":"Paul G"},{"family":"Petro","given":"Noah"},{"family":"Hurley","given":"Dana"},{"family":"Farrell","given":"William"},{"family":"Prem","given":"Parvathy"},{"family":"Costello","given":"Emily"},{"family":"Cable","given":"Morgan"},{"family":"Barker","given":"Michael"},{"family":"Benna","given":"Mehdi"},{"family":"Dyar","given":"Darby"},{"literal":"others"}],"issued":{"date-parts":[["2021"]]}}}],"schema":"https://github.com/citation-style-language/schema/raw/master/csl-citation.json"} </w:instrText>
      </w:r>
      <w:r w:rsidR="00BB7E30">
        <w:rPr>
          <w:sz w:val="24"/>
          <w:szCs w:val="24"/>
        </w:rPr>
        <w:fldChar w:fldCharType="separate"/>
      </w:r>
      <w:r w:rsidR="00BB7E30" w:rsidRPr="00BB7E30">
        <w:rPr>
          <w:sz w:val="24"/>
        </w:rPr>
        <w:t>(Lucey et al., 2021)</w:t>
      </w:r>
      <w:r w:rsidR="00BB7E30">
        <w:rPr>
          <w:sz w:val="24"/>
          <w:szCs w:val="24"/>
        </w:rPr>
        <w:fldChar w:fldCharType="end"/>
      </w:r>
      <w:r>
        <w:rPr>
          <w:sz w:val="24"/>
          <w:szCs w:val="24"/>
        </w:rPr>
        <w:t xml:space="preserve">.  Here we provide a brief overview. McCord et al. </w:t>
      </w:r>
      <w:r w:rsidR="00BB7E30">
        <w:rPr>
          <w:sz w:val="24"/>
          <w:szCs w:val="24"/>
        </w:rPr>
        <w:fldChar w:fldCharType="begin"/>
      </w:r>
      <w:r w:rsidR="008B0A8A">
        <w:rPr>
          <w:sz w:val="24"/>
          <w:szCs w:val="24"/>
        </w:rPr>
        <w:instrText xml:space="preserve"> ADDIN ZOTERO_ITEM CSL_CITATION {"citationID":"j5gp1ntb","properties":{"formattedCitation":"(McCord et al., 2011)","plainCitation":"(McCord et al., 2011)","noteIndex":0},"citationItems":[{"id":597,"uris":["http://zotero.org/users/local/lFa3rRs0/items/5KS7Z69F"],"itemData":{"id":597,"type":"article-journal","abstract":"Analysis of two absorption features near 3 μm in the lunar reflectance spectrum, observed by the orbiting M3 spectrometer and interpreted as being due to OH and H2O, is presented, and the results are used to discuss the processes producing these molecules. This analysis focuses on the dependence of the absorptions on lunar physical properties, including composition, illumination, latitude, and temperature. Solar wind proton-induced hydroxylation is proposed as the creation process, and its products could be a source for other reported types of hydrogen-rich material and water. The irregular and damaged fine-grained lunar soil seems especially adapted for trapping solar wind protons and forming OH owing to abundant dangling oxygen bonds. The M3 data reveal that the strengths of the two absorptions are correlated and widespread, and both are correlated with lunar composition but in different ways. Feldspathic material seems richer in OH. These results seem to rule out water from the lunar interior and cometary infall as major sources. There appear to be correlations of apparent band strengths with time of day and lighting conditions. However, thermal emission from the Moon reduces the apparent strengths of the M3 absorptions, and its removal is not yet completely successful. Further, many of the lunar physical properties are themselves intercorrelated, and so separating these dependencies on the absorptions is difficult, due to the incomplete M3 data set. This process should also operate on other airless silicate surfaces, such as Mercury and Vesta, which will be visited by the Dawn spacecraft in mid-2011.","container-title":"Journal of Geophysical Research: Planets","DOI":"10.1029/2010JE003711","ISSN":"2156-2202","issue":"E6","language":"en","note":"_eprint: https://agupubs.onlinelibrary.wiley.com/doi/pdf/10.1029/2010JE003711","source":"Wiley Online Library","title":"Sources and physical processes responsible for OH/H2O in the lunar soil as revealed by the Moon Mineralogy Mapper (M3)","URL":"https://agupubs.onlinelibrary.wiley.com/doi/abs/10.1029/2010JE003711","volume":"116","author":[{"family":"McCord","given":"T. B."},{"family":"Taylor","given":"L. A."},{"family":"Combe","given":"J.-P."},{"family":"Kramer","given":"G."},{"family":"Pieters","given":"C. M."},{"family":"Sunshine","given":"J. M."},{"family":"Clark","given":"R. N."}],"accessed":{"date-parts":[["2021",7,21]]},"issued":{"date-parts":[["2011"]]}}}],"schema":"https://github.com/citation-style-language/schema/raw/master/csl-citation.json"} </w:instrText>
      </w:r>
      <w:r w:rsidR="00BB7E30">
        <w:rPr>
          <w:sz w:val="24"/>
          <w:szCs w:val="24"/>
        </w:rPr>
        <w:fldChar w:fldCharType="separate"/>
      </w:r>
      <w:r w:rsidR="00BB7E30" w:rsidRPr="00BB7E30">
        <w:rPr>
          <w:sz w:val="24"/>
        </w:rPr>
        <w:t>(McCord et al., 2011)</w:t>
      </w:r>
      <w:r w:rsidR="00BB7E30">
        <w:rPr>
          <w:sz w:val="24"/>
          <w:szCs w:val="24"/>
        </w:rPr>
        <w:fldChar w:fldCharType="end"/>
      </w:r>
      <w:r>
        <w:rPr>
          <w:sz w:val="24"/>
          <w:szCs w:val="24"/>
        </w:rPr>
        <w:t xml:space="preserve"> found strong variations in the 3 µm band depth as a function of latitude and time of day, as well as striking differences between mare and highlands regions. Bandfield et al., </w:t>
      </w:r>
      <w:r w:rsidR="00BB7E30">
        <w:rPr>
          <w:sz w:val="24"/>
          <w:szCs w:val="24"/>
        </w:rPr>
        <w:fldChar w:fldCharType="begin"/>
      </w:r>
      <w:r w:rsidR="008B0A8A">
        <w:rPr>
          <w:sz w:val="24"/>
          <w:szCs w:val="24"/>
        </w:rPr>
        <w:instrText xml:space="preserve"> ADDIN ZOTERO_ITEM CSL_CITATION {"citationID":"bwcpgWIK","properties":{"formattedCitation":"(Bandfield et al., 2018)","plainCitation":"(Bandfield et al., 2018)","noteIndex":0},"citationItems":[{"id":631,"uris":["http://zotero.org/users/local/lFa3rRs0/items/QWP8FLU4"],"itemData":{"id":631,"type":"article-journal","abstract":"Remote-sensing data from lunar orbiters have revealed spectral featuresconsistent with the presence of OH or H2O on the lunarsurface. Analyses of data from the Moon Mineralogy Mapper spectrometer onboard theChandrayaan-1 spacecraft have suggested that OH/H2O isrecycled on diurnal timescales and persists only at high latitudes. However, thespatial distribution and temporal variability of the OH/H2O,as well as its source, remain uncertain. Here we incorporate a physics-based thermalcorrection into analysis of reflectance spectra from the Moon Mineralogy Mapper andfind that prominent absorption features consistent withOH/H2O can be present at all latitudes, local times andsurface types examined. This suggests the widespread presence ofOH/H2O on the lunar surface without significant diurnalmigration. We suggest that the spectra are consistent with the production of OH inspace-weathered materials by the solar wind implantation ofH+ and formation of OH at crystal defect sites, asopposed to H2O sourced from the lunar interior. Regardless ofthe specific composition or formation mechanism, we conclude thatOH/H2O can be present on the Moon under thermalconditions more wide-ranging than previously recognized.","container-title":"Nature Geoscience","DOI":"10.1038/s41561-018-0065-0","ISSN":"1752-0908","issue":"3","journalAbbreviation":"Nature Geosci","language":"en","note":"Bandiera_abtest: a\nCg_type: Nature Research Journals\nnumber: 3\nPrimary_atype: Research\npublisher: Nature Publishing Group\nSubject_term: Inner planets;Mineralogy;Space physics\nSubject_term_id: inner-planets;mineralogy;space-physics","page":"173-177","source":"www.nature.com","title":"Widespread distribution of OH/H 2 O on the lunar surface inferred from spectral data","volume":"11","author":[{"family":"Bandfield","given":"Joshua L."},{"family":"Poston","given":"Michael J."},{"family":"Klima","given":"Rachel L."},{"family":"Edwards","given":"Christopher S."}],"issued":{"date-parts":[["2018",3]]}}}],"schema":"https://github.com/citation-style-language/schema/raw/master/csl-citation.json"} </w:instrText>
      </w:r>
      <w:r w:rsidR="00BB7E30">
        <w:rPr>
          <w:sz w:val="24"/>
          <w:szCs w:val="24"/>
        </w:rPr>
        <w:fldChar w:fldCharType="separate"/>
      </w:r>
      <w:r w:rsidR="00BB7E30" w:rsidRPr="00BB7E30">
        <w:rPr>
          <w:sz w:val="24"/>
        </w:rPr>
        <w:t>(Bandfield et al., 2018)</w:t>
      </w:r>
      <w:r w:rsidR="00BB7E30">
        <w:rPr>
          <w:sz w:val="24"/>
          <w:szCs w:val="24"/>
        </w:rPr>
        <w:fldChar w:fldCharType="end"/>
      </w:r>
      <w:r>
        <w:rPr>
          <w:sz w:val="24"/>
          <w:szCs w:val="24"/>
        </w:rPr>
        <w:t xml:space="preserve"> found a persistent 3 µm band across the lunar surface, with minimal variations as a function of latitude, time of day, or composition.</w:t>
      </w:r>
      <w:r>
        <w:rPr>
          <w:rFonts w:eastAsia="Times New Roman"/>
          <w:color w:val="000000"/>
          <w:sz w:val="24"/>
          <w:szCs w:val="24"/>
        </w:rPr>
        <w:t xml:space="preserve"> Li</w:t>
      </w:r>
      <w:r>
        <w:rPr>
          <w:sz w:val="24"/>
          <w:szCs w:val="24"/>
        </w:rPr>
        <w:t xml:space="preserve"> and Milliken </w:t>
      </w:r>
      <w:r w:rsidR="00E47868">
        <w:rPr>
          <w:sz w:val="24"/>
          <w:szCs w:val="24"/>
        </w:rPr>
        <w:fldChar w:fldCharType="begin"/>
      </w:r>
      <w:r w:rsidR="008B0A8A">
        <w:rPr>
          <w:sz w:val="24"/>
          <w:szCs w:val="24"/>
        </w:rPr>
        <w:instrText xml:space="preserve"> ADDIN ZOTERO_ITEM CSL_CITATION {"citationID":"aA71hEWI","properties":{"formattedCitation":"(S. Li &amp; Milliken, 2017)","plainCitation":"(S. Li &amp; Milliken, 2017)","noteIndex":0},"citationItems":[{"id":607,"uris":["http://zotero.org/users/local/lFa3rRs0/items/X2YEI7YD"],"itemData":{"id":607,"type":"article-journal","abstract":"A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1014 g of water averaged over the globe. Formation and migration of water toward cold traps may thus be a continuous process on the Moon and other airless bodies.\nSpectral reflectance data are used to determine the formation, distribution, and variation of water across the lunar surface.\nSpectral reflectance data are used to determine the formation, distribution, and variation of water across the lunar surface.","container-title":"Science Advances","DOI":"10.1126/sciadv.1701471","ISSN":"2375-2548","issue":"9","language":"en","note":"publisher: American Association for the Advancement of Science\nsection: Research Article","page":"e1701471","source":"advances.sciencemag.org","title":"Water on the surface of the Moon as seen by the Moon Mineralogy Mapper: Distribution, abundance, and origins","title-short":"Water on the surface of the Moon as seen by the Moon Mineralogy Mapper","volume":"3","author":[{"family":"Li","given":"Shuai"},{"family":"Milliken","given":"Ralph E."}],"issued":{"date-parts":[["2017",9,1]]}}}],"schema":"https://github.com/citation-style-language/schema/raw/master/csl-citation.json"} </w:instrText>
      </w:r>
      <w:r w:rsidR="00E47868">
        <w:rPr>
          <w:sz w:val="24"/>
          <w:szCs w:val="24"/>
        </w:rPr>
        <w:fldChar w:fldCharType="separate"/>
      </w:r>
      <w:r w:rsidR="0048765A" w:rsidRPr="0048765A">
        <w:rPr>
          <w:sz w:val="24"/>
        </w:rPr>
        <w:t>(S. Li &amp; Milliken, 2017)</w:t>
      </w:r>
      <w:r w:rsidR="00E47868">
        <w:rPr>
          <w:sz w:val="24"/>
          <w:szCs w:val="24"/>
        </w:rPr>
        <w:fldChar w:fldCharType="end"/>
      </w:r>
      <w:r>
        <w:rPr>
          <w:sz w:val="24"/>
          <w:szCs w:val="24"/>
        </w:rPr>
        <w:t xml:space="preserve"> found strong variations at low latitudes, asymmetric abundances between morning and evening terminators and little variation at high latitudes. Lastly, Wolher et al. </w:t>
      </w:r>
      <w:r w:rsidR="002355FC">
        <w:rPr>
          <w:sz w:val="24"/>
          <w:szCs w:val="24"/>
        </w:rPr>
        <w:fldChar w:fldCharType="begin"/>
      </w:r>
      <w:r w:rsidR="008B0A8A">
        <w:rPr>
          <w:sz w:val="24"/>
          <w:szCs w:val="24"/>
        </w:rPr>
        <w:instrText xml:space="preserve"> ADDIN ZOTERO_ITEM CSL_CITATION {"citationID":"vR1cjY7G","properties":{"formattedCitation":"(W\\uc0\\u246{}hler et al., 2017)","plainCitation":"(Wöhler et al., 2017)","noteIndex":0},"citationItems":[{"id":726,"uris":["http://zotero.org/users/local/lFa3rRs0/items/XEBV5UY6"],"itemData":{"id":726,"type":"article-journal","container-title":"Science advances","issue":"9","note":"publisher: American Association for the Advancement of Science","page":"e1701286","title":"Time-of-day–dependent global distribution of lunar surficial water/hydroxyl","volume":"3","author":[{"family":"Wöhler","given":"Christian"},{"family":"Grumpe","given":"Arne"},{"family":"Berezhnoy","given":"Alexey A"},{"family":"Shevchenko","given":"Vladislav V"}],"issued":{"date-parts":[["2017"]]}}}],"schema":"https://github.com/citation-style-language/schema/raw/master/csl-citation.json"} </w:instrText>
      </w:r>
      <w:r w:rsidR="002355FC">
        <w:rPr>
          <w:sz w:val="24"/>
          <w:szCs w:val="24"/>
        </w:rPr>
        <w:fldChar w:fldCharType="separate"/>
      </w:r>
      <w:r w:rsidR="002355FC" w:rsidRPr="002355FC">
        <w:rPr>
          <w:sz w:val="24"/>
          <w:szCs w:val="24"/>
        </w:rPr>
        <w:t>(Wöhler et al., 2017)</w:t>
      </w:r>
      <w:r w:rsidR="002355FC">
        <w:rPr>
          <w:sz w:val="24"/>
          <w:szCs w:val="24"/>
        </w:rPr>
        <w:fldChar w:fldCharType="end"/>
      </w:r>
      <w:r>
        <w:rPr>
          <w:sz w:val="24"/>
          <w:szCs w:val="24"/>
        </w:rPr>
        <w:t xml:space="preserve"> and Grumpe et al. </w:t>
      </w:r>
      <w:r w:rsidR="00BB57DB">
        <w:rPr>
          <w:sz w:val="24"/>
          <w:szCs w:val="24"/>
        </w:rPr>
        <w:fldChar w:fldCharType="begin"/>
      </w:r>
      <w:r w:rsidR="008B0A8A">
        <w:rPr>
          <w:sz w:val="24"/>
          <w:szCs w:val="24"/>
        </w:rPr>
        <w:instrText xml:space="preserve"> ADDIN ZOTERO_ITEM CSL_CITATION {"citationID":"tJ9hh60o","properties":{"formattedCitation":"(Grumpe et al., 2019)","plainCitation":"(Grumpe et al., 2019)","noteIndex":0},"citationItems":[{"id":700,"uris":["http://zotero.org/users/local/lFa3rRs0/items/XVB7JBNS"],"itemData":{"id":700,"type":"article-journal","container-title":"Icarus","note":"publisher: Elsevier","page":"486–507","title":"Time-of-day-dependent behavior of surficial lunar hydroxyl/water: observations and modeling","volume":"321","author":[{"family":"Grumpe","given":"Arne"},{"family":"Wöhler","given":"Christian"},{"family":"Berezhnoy","given":"Alexey A"},{"family":"Shevchenko","given":"Vladislav V"}],"issued":{"date-parts":[["2019"]]}}}],"schema":"https://github.com/citation-style-language/schema/raw/master/csl-citation.json"} </w:instrText>
      </w:r>
      <w:r w:rsidR="00BB57DB">
        <w:rPr>
          <w:sz w:val="24"/>
          <w:szCs w:val="24"/>
        </w:rPr>
        <w:fldChar w:fldCharType="separate"/>
      </w:r>
      <w:r w:rsidR="00BB57DB" w:rsidRPr="00BB57DB">
        <w:rPr>
          <w:sz w:val="24"/>
        </w:rPr>
        <w:t>(Grumpe et al., 2019)</w:t>
      </w:r>
      <w:r w:rsidR="00BB57DB">
        <w:rPr>
          <w:sz w:val="24"/>
          <w:szCs w:val="24"/>
        </w:rPr>
        <w:fldChar w:fldCharType="end"/>
      </w:r>
      <w:r>
        <w:rPr>
          <w:sz w:val="24"/>
          <w:szCs w:val="24"/>
        </w:rPr>
        <w:t xml:space="preserve"> observed no variation below latitude ~30˚ and strong symmetric variations above ~30˚. The varying interpretations of observations from a single passive spectrometer makes modeling the behavior of the 3 µm band hard with different models and input parameters being proposed </w:t>
      </w:r>
      <w:r w:rsidR="00C21E17">
        <w:rPr>
          <w:sz w:val="24"/>
          <w:szCs w:val="24"/>
        </w:rPr>
        <w:fldChar w:fldCharType="begin"/>
      </w:r>
      <w:r w:rsidR="008B0A8A">
        <w:rPr>
          <w:sz w:val="24"/>
          <w:szCs w:val="24"/>
        </w:rPr>
        <w:instrText xml:space="preserve"> ADDIN ZOTERO_ITEM CSL_CITATION {"citationID":"JWMoYjzq","properties":{"formattedCitation":"(Farrell et al., 2015; Jones et al., 2018; Tucker et al., 2019)","plainCitation":"(Farrell et al., 2015; Jones et al., 2018; Tucker et al., 2019)","noteIndex":0},"citationItems":[{"id":727,"uris":["http://zotero.org/users/local/lFa3rRs0/items/SBPS8CZD"],"itemData":{"id":727,"type":"article-journal","container-title":"Icarus","note":"publisher: Elsevier","page":"116–126","title":"Solar wind implantation into lunar regolith: Hydrogen retention in a surface with defects","volume":"255","author":[{"family":"Farrell","given":"William M"},{"family":"Hurley","given":"D M</w:instrText>
      </w:r>
      <w:r w:rsidR="008B0A8A">
        <w:rPr>
          <w:rFonts w:ascii="Microsoft Yi Baiti" w:eastAsia="Microsoft Yi Baiti" w:hAnsi="Microsoft Yi Baiti" w:cs="Microsoft Yi Baiti" w:hint="eastAsia"/>
          <w:sz w:val="24"/>
          <w:szCs w:val="24"/>
        </w:rPr>
        <w:instrText>ꎬ</w:instrText>
      </w:r>
      <w:r w:rsidR="008B0A8A">
        <w:rPr>
          <w:sz w:val="24"/>
          <w:szCs w:val="24"/>
        </w:rPr>
        <w:instrText xml:space="preserve">"},{"family":"Zimmerman","given":"Michael I"}],"issued":{"date-parts":[["2015"]]}}},{"id":728,"uris":["http://zotero.org/users/local/lFa3rRs0/items/CX5K44MA"],"itemData":{"id":728,"type":"article-journal","container-title":"Geophysical Research Letters","issue":"20","note":"publisher: Wiley Online Library","page":"10–959","title":"Solar wind-induced water cycle on the Moon","volume":"45","author":[{"family":"Jones","given":"Brant M"},{"family":"Aleksandrov","given":"Alex"},{"family":"Hibbitts","given":"K"},{"family":"Dyar","given":"MD"},{"family":"Orlando","given":"Thomas M"}],"issued":{"date-parts":[["2018"]]}}},{"id":634,"uris":["http://zotero.org/users/local/lFa3rRs0/items/WWND7229"],"itemData":{"id":634,"type":"article-journal","abstract":"The solar wind implants protons into the top 20–30 nm of lunar regolith grains, and the implanted hydrogen will diffuse out of the regolith but also interact with oxygen in the regolith oxides. We apply a statistical approach to estimate the diffusion of hydrogen in the regolith hindered by forming temporary bonds with regolith oxygen atoms. A Monte Carlo simulation was used to track the temporal evolution of bound OH surface content and the H2 exosphere. The model results are consistent with the interpretation of the Chandrayaan-1 M3 observations of infrared absorption spectra by surface hydroxyls as discussed in Li and Milliken (2017, https://doi.org/10.1126/sciadv.1701471). The model reproduced the latitudinal concentration of OH by using a Gaussian energy distribution of f(U0 = 0.5 eV, UW = 0.078–0.1 eV) to characterize the activation energy barrier to the diffusion of hydrogen in space weathered regolith. In addition, the model results of the exospheric content of H2 are consistent with observations by the Lyman Alpha Mapping Project on the Lunar Reconnaissance Orbiter. Therefore, we provide support for hydroxyl formation by chemically trapped solar wind protons.","container-title":"Journal of Geophysical Research: Planets","DOI":"10.1029/2018JE005805","ISSN":"2169-9100","issue":"2","language":"en","note":"_eprint: https://agupubs.onlinelibrary.wiley.com/doi/pdf/10.1029/2018JE005805","page":"278-293","source":"Wiley Online Library","title":"Solar Wind Implantation Into the Lunar Regolith: Monte Carlo Simulations of H Retention in a Surface With Defects and the H2 Exosphere","title-short":"Solar Wind Implantation Into the Lunar Regolith","volume":"124","author":[{"family":"Tucker","given":"O. J."},{"family":"Farrell","given":"W. M."},{"family":"Killen","given":"R. M."},{"family":"Hurley","given":"D. M."}],"issued":{"date-parts":[["2019"]]}}}],"schema":"https://github.com/citation-style-language/schema/raw/master/csl-citation.json"} </w:instrText>
      </w:r>
      <w:r w:rsidR="00C21E17">
        <w:rPr>
          <w:sz w:val="24"/>
          <w:szCs w:val="24"/>
        </w:rPr>
        <w:fldChar w:fldCharType="separate"/>
      </w:r>
      <w:r w:rsidR="00CD1D77" w:rsidRPr="00CD1D77">
        <w:rPr>
          <w:sz w:val="24"/>
        </w:rPr>
        <w:t>(Farrell et al., 2015; Jones et al., 2018; Tucker et al., 2019)</w:t>
      </w:r>
      <w:r w:rsidR="00C21E17">
        <w:rPr>
          <w:sz w:val="24"/>
          <w:szCs w:val="24"/>
        </w:rPr>
        <w:fldChar w:fldCharType="end"/>
      </w:r>
      <w:r>
        <w:rPr>
          <w:sz w:val="24"/>
          <w:szCs w:val="24"/>
        </w:rPr>
        <w:t>. Therefore, passive observations of the 3 µm band are currently not able to constrain the processes that govern the source, retention, or transportation of total water (OH+H</w:t>
      </w:r>
      <w:r w:rsidRPr="00CD1D77">
        <w:rPr>
          <w:sz w:val="24"/>
          <w:szCs w:val="24"/>
          <w:vertAlign w:val="subscript"/>
        </w:rPr>
        <w:t>2</w:t>
      </w:r>
      <w:r>
        <w:rPr>
          <w:sz w:val="24"/>
          <w:szCs w:val="24"/>
        </w:rPr>
        <w:t>O) measured by the 3 µm band on the lunar surface.</w:t>
      </w:r>
    </w:p>
    <w:p w14:paraId="28B0CF6D" w14:textId="77777777" w:rsidR="00867801" w:rsidRDefault="009E1DFE">
      <w:pPr>
        <w:pBdr>
          <w:top w:val="nil"/>
          <w:left w:val="nil"/>
          <w:bottom w:val="nil"/>
          <w:right w:val="nil"/>
          <w:between w:val="nil"/>
        </w:pBdr>
        <w:spacing w:before="120"/>
        <w:ind w:firstLine="720"/>
        <w:rPr>
          <w:sz w:val="24"/>
          <w:szCs w:val="24"/>
        </w:rPr>
      </w:pPr>
      <w:r>
        <w:rPr>
          <w:sz w:val="24"/>
          <w:szCs w:val="24"/>
        </w:rPr>
        <w:t>Currently, passive observations of the 3 µm band can only be carried out during the lunar day so there is no information about the behavior of total water on the lunar nightside or within areas of permanent shadow due to the lack of illumination. This leaves large data gaps in constraining the current lunar hydration cycle. Observing the behavior of total water during the lunar night and in permanently shadowed regions (PSRs) is important for understanding the processes governing hydration on the lunar surface and for future exploration and in-situ resource utilization.</w:t>
      </w:r>
    </w:p>
    <w:p w14:paraId="28B0CF6E" w14:textId="35A6A2F4"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In contrast to passive reflectance spectroscopy, active laser (or lidar) reflectance measurements of the lunar surface bypass the need for </w:t>
      </w:r>
      <w:r>
        <w:rPr>
          <w:sz w:val="24"/>
          <w:szCs w:val="24"/>
        </w:rPr>
        <w:t>a natural illumination source and do not require</w:t>
      </w:r>
      <w:r>
        <w:rPr>
          <w:rFonts w:eastAsia="Times New Roman"/>
          <w:color w:val="000000"/>
          <w:sz w:val="24"/>
          <w:szCs w:val="24"/>
        </w:rPr>
        <w:t xml:space="preserve"> precise knowledge of the temperature or emissivity of the surface</w:t>
      </w:r>
      <w:r>
        <w:rPr>
          <w:sz w:val="24"/>
          <w:szCs w:val="24"/>
        </w:rPr>
        <w:t xml:space="preserve">. Orbital lidar observations at 3 µm of the lunar surface </w:t>
      </w:r>
      <w:r>
        <w:rPr>
          <w:rFonts w:eastAsia="Times New Roman"/>
          <w:color w:val="000000"/>
          <w:sz w:val="24"/>
          <w:szCs w:val="24"/>
        </w:rPr>
        <w:t xml:space="preserve">can </w:t>
      </w:r>
      <w:r>
        <w:rPr>
          <w:sz w:val="24"/>
          <w:szCs w:val="24"/>
        </w:rPr>
        <w:t xml:space="preserve">be performed </w:t>
      </w:r>
      <w:r>
        <w:rPr>
          <w:rFonts w:eastAsia="Times New Roman"/>
          <w:color w:val="000000"/>
          <w:sz w:val="24"/>
          <w:szCs w:val="24"/>
        </w:rPr>
        <w:t xml:space="preserve">regardless of temperature, location, time of day, or illumination conditions </w:t>
      </w:r>
      <w:r w:rsidR="00E24CC0">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{"citationID":"gyLQ2Iyg","properties":{"formattedCitation":"(Lucey et al., 2014; Mazarico et al., 2011; Smith et al., 2010)","plainCitation":"(Lucey et al., 2014; Mazarico et al., 2011; Smith et al., 2010)","noteIndex":0},"citationItems":[{"id":99,"uris":["http://zotero.org/users/local/lFa3rRs0/items/KC6VHX2I"],"itemData":{"id":99,"type":"article-journal","abstract":"The Lunar Orbiter Laser Altimeter (LOLA) measures the backscattered energy of the returning altimetric laser pulse at its wavelength of 1064 nm, and these data are used to map the reflectivity of the Moon at zero-phase angle with a photometrically uniform data set. Global maps have been produced at 4 pixels per degree (about 8 km at the equator) and 2 km resolution within 20° latitude of each pole. The zero-phase geometry is insensitive to lunar topography, so these data enable characterization of subtle variations in lunar albedo, even at high latitudes where such measurements are not possible with the Sun as the illumination source. The geometric albedo of the Moon at 1064 nm was estimated from these data with absolute calibration derived from the Kaguya Multiband Imager and extrapolated to visual wavelengths. The LOLA estimates are within 2σ of historical measurements of geometric albedo. No consistent latitude-dependent variations in reflectance are observed, suggesting that solar wind does not dominate space weathering processes that modify lunar reflectance. The average normal albedo of the Moon is found to be much higher than that of Mercury consistent with prior measurements, but the normal albedo of the lunar maria is similar to that of Mercury suggesting a similar abundance of space weathering products. Regions within permanent shadow in the polar regions are found to be more reflective than polar surfaces that are sometimes illuminated. Limiting analysis to data with slopes less than 10° eliminates variations in reflectance due to mass wasting and shows a similar increased reflectivity within permanent polar shadow. Steep slopes within permanent shadow are also more reflective than similar slopes that experience at least some illumination. Water frost and a reduction in effectiveness of space weathering are offered as possible explanations for the increased reflectivity of permanent shadow; porosity is largely ruled out as the sole explanation. The south polar crater Shackleton is found to be among the most reflective craters in its size range globally but is not the most reflective, so mass wasting cannot be ruled out as a cause for the crater's anomalous reflectance. Models of the abundance of ice needed to account for the reflectance anomaly range from 3 to 14% by weight or area depending on assumptions regarding the effects of porosity on reflectance and whether ice is present as patches or is well mixed in the regolith. If differences in nanophase iron abundances are responsible for the anomaly, the permanently shadowed regions have between 50 and 80% the abundance of nanophase iron in mature lunar soil. Key Points Global lunar map of zero-phase reflectance derived from LOLA 1064 nm data Permanently shadowed regions in the poles are anomalously bright Bright PSRs could be due to water frost and/or less effective space weathering © 2014. American Geophysical Union. All Rights Reserved.","container-title":"Journal of Geophysical Research: Planets","DOI":"10.1002/2013JE004592","ISSN":"21699100","issue":"7","page":"1665–1679","title":"The global albedo of the Moon at 1064 nm from LOLA","volume":"119","author":[{"family":"Lucey","given":"P. G."},{"family":"Neumann","given":"G. A."},{"family":"Riner","given":"M. A."},{"family":"Mazarico","given":"E."},{"family":"Smith","given":"D. E."},{"family":"Zuber","given":"M. T."},{"family":"Paige","given":"D. A."},{"family":"Bussey","given":"D. B."},{"family":"Cahill","given":"J. T."},{"family":"McGovern","given":"A."},{"family":"Isaacson","given":"P."},{"family":"Corley","given":"L. M."},{"family":"Torrence","given":"M. H."},{"family":"Melosh","given":"H. J."},{"family":"Head","given":"J. W."},{"family":"Song","given":"E."}],"issued":{"date-parts":[["2014"]]}}},{"id":657,"uris":["http://zotero.org/users/local/lFa3rRs0/items/VFPTICVX"],"itemData":{"id":657,"type":"article-journal","container-title":"Icarus","issue":"2","note":"publisher: Elsevier","page":"1066–1081","title":"Illumination conditions of the lunar polar regions using LOLA topography","volume":"211","author":[{"family":"Mazarico","given":"E"},{"family":"Neumann","given":"GA"},{"family":"Smith","given":"DE"},{"family":"Zuber","given":"MT"},{"family":"Torrence","given":"MH"}],"issued":{"date-parts":[["2011"]]}}},{"id":234,"uris":["http://zotero.org/users/local/lFa3rRs0/items/JQIHDIGB"],"itemData":{"id":234,"type":"article-journal","abstract":"The Lunar Orbiter Laser Altimeter (LOLA) is an instrument on the payload of NASA's Lunar Reconnaissance Orbiter spacecraft (LRO) (Chin et al., in Space Sci. Rev. 129:391–419, 2007). The instrument is designed to measure the shape of the Moon by mea-suring precisely the range from the spacecraft to the lunar surface, and incorporating preci-sion orbit determination of LRO, referencing surface ranges to the Moon's center of mass. LOLA has 5 beams and operates at 28 Hz, with a nominal accuracy of 10 cm. Its primary objective is to produce a global geodetic grid for the Moon to which all other observations can be precisely referenced.","container-title":"Space Science Reviews","DOI":"10.1007/s11214-009-9512-y","ISSN":"00386308","issue":"1-4","page":"209–241","title":"The lunar orbiter laser altimeter investigation on the lunar reconnaissance orbiter mission","volume":"150","author":[{"family":"Smith","given":"David E."},{"family":"Zuber","given":"Maria T."},{"family":"Jackson","given":"Glenn B."},{"family":"Cavanaugh","given":"John F."},{"family":"Neumann","given":"Gregory A."},{"family":"Riris","given":"Haris"},{"family":"Sun","given":"Xiaoli"},{"family":"Zellar","given":"Ronald S."},{"family":"Coltharp","given":"Craig"},{"family":"Connelly","given":"Joseph"},{"family":"Katz","given":"Richard B."},{"family":"Kleyner","given":"Igor"},{"family":"Liiva","given":"Peter"},{"family":"Matuszeski","given":"Adam"},{"family":"Mazarico","given":"Erwan M."},{"family":"McGarry","given":"Jan F."},{"family":"Novo-Gradac","given":"Anne Marie"},{"family":"Ott","given":"Melanie N."},{"family":"Peters","given":"Carlton"},{"family":"Ramos-Izquierdo","given":"Luis A."},{"family":"Ramsey","given":"Lawrence"},{"family":"Rowlands","given":"David D."},{"family":"Schmidt","given":"Stephen"},{"family":"Scott","given":"V. Stanley"},{"family":"Shaw","given":"George B."},{"family":"Smith","given":"James C."},{"family":"Swinski","given":"Joseph Paul"},{"family":"Torrence","given":"Mark H."},{"family":"Unger","given":"Glenn"},{"family":"Yu","given":"Anthony W."},{"family":"Zagwodzki","given":"Thomas W."}],"issued":{"date-parts":[["2010"]]}}}],"schema":"https://github.com/citation-style-language/schema/raw/master/csl-citation.json"} </w:instrText>
      </w:r>
      <w:r w:rsidR="00E24CC0">
        <w:rPr>
          <w:rFonts w:eastAsia="Times New Roman"/>
          <w:color w:val="000000"/>
          <w:sz w:val="24"/>
          <w:szCs w:val="24"/>
        </w:rPr>
        <w:fldChar w:fldCharType="separate"/>
      </w:r>
      <w:r w:rsidR="00925333" w:rsidRPr="00925333">
        <w:rPr>
          <w:sz w:val="24"/>
        </w:rPr>
        <w:t>(Lucey et al., 2014; Mazarico et al., 2011; Smith et al., 2010)</w:t>
      </w:r>
      <w:r w:rsidR="00E24CC0">
        <w:rPr>
          <w:rFonts w:eastAsia="Times New Roman"/>
          <w:color w:val="000000"/>
          <w:sz w:val="24"/>
          <w:szCs w:val="24"/>
        </w:rPr>
        <w:fldChar w:fldCharType="end"/>
      </w:r>
      <w:r>
        <w:rPr>
          <w:rFonts w:eastAsia="Times New Roman"/>
          <w:color w:val="000000"/>
          <w:sz w:val="24"/>
          <w:szCs w:val="24"/>
        </w:rPr>
        <w:t>.</w:t>
      </w:r>
      <w:r>
        <w:rPr>
          <w:sz w:val="24"/>
          <w:szCs w:val="24"/>
        </w:rPr>
        <w:t xml:space="preserve"> </w:t>
      </w:r>
      <w:r>
        <w:rPr>
          <w:rFonts w:eastAsia="Times New Roman"/>
          <w:color w:val="000000"/>
          <w:sz w:val="24"/>
          <w:szCs w:val="24"/>
        </w:rPr>
        <w:t xml:space="preserve">Single-wavelength lidars with lasers emitting at 1.06 µm have identified regions with anomalous albedos at the northern pole of Mercury corresponding to regions of buried and exposed ice </w:t>
      </w:r>
      <w:r w:rsidR="00867CA1">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{"citationID":"UBUAjQaH","properties":{"formattedCitation":"(Deutsch et al., 2017)","plainCitation":"(Deutsch et al., 2017)","noteIndex":0},"citationItems":[{"id":620,"uris":["http://zotero.org/users/local/lFa3rRs0/items/LBAX8J56"],"itemData":{"id":620,"type":"article-journal","abstract":"The Mercury Laser Altimeter (MLA) measured surface reflectance, rs, at 1064 nm. On Mercury, most water-ice deposits have anomalously low rs values indicative of an insulating layer beneath which ice is buried. Previous detections of surface water ice (without an insulating layer) were limited to seven possible craters. Here we map rs in three additional permanently shadowed craters that host radar-bright deposits. Each crater has a mean rs value &gt;0.3, suggesting that water ice is exposed at the surface without an overlying insulating layer. We also identify small-scale cold traps (&lt;5 km in diameter) where rs &gt;0.3 and permanent shadows have biannual maximum surface temperatures &lt;100 K. We suggest that a substantial amount of Mercury's water ice is not confined to large craters but exists within microcold traps, within rough patches and intercrater terrain.","container-title":"Geophysical Research Letters","DOI":"10.1002/2017GL074723","ISSN":"1944-8007","issue":"18","language":"en","note":"_eprint: https://agupubs.onlinelibrary.wiley.com/doi/pdf/10.1002/2017GL074723","page":"9233-9241","source":"Wiley Online Library","title":"New evidence for surface water ice in small-scale cold traps and in three large craters at the north polar region of Mercury from the Mercury Laser Altimeter","volume":"44","author":[{"family":"Deutsch","given":"Ariel N."},{"family":"Neumann","given":"Gregory A."},{"family":"Head","given":"James W."}],"issued":{"date-parts":[["2017"]]}}}],"schema":"https://github.com/citation-style-language/schema/raw/master/csl-citation.json"} </w:instrText>
      </w:r>
      <w:r w:rsidR="00867CA1">
        <w:rPr>
          <w:rFonts w:eastAsia="Times New Roman"/>
          <w:color w:val="000000"/>
          <w:sz w:val="24"/>
          <w:szCs w:val="24"/>
        </w:rPr>
        <w:fldChar w:fldCharType="separate"/>
      </w:r>
      <w:r w:rsidR="00867CA1" w:rsidRPr="00867CA1">
        <w:rPr>
          <w:sz w:val="24"/>
        </w:rPr>
        <w:t>(Deutsch et al., 2017)</w:t>
      </w:r>
      <w:r w:rsidR="00867CA1">
        <w:rPr>
          <w:rFonts w:eastAsia="Times New Roman"/>
          <w:color w:val="000000"/>
          <w:sz w:val="24"/>
          <w:szCs w:val="24"/>
        </w:rPr>
        <w:fldChar w:fldCharType="end"/>
      </w:r>
      <w:r>
        <w:rPr>
          <w:rFonts w:eastAsia="Times New Roman"/>
          <w:color w:val="000000"/>
          <w:sz w:val="24"/>
          <w:szCs w:val="24"/>
        </w:rPr>
        <w:t xml:space="preserve"> and provided evidence supporting polar surface ice within lunar PSRs</w:t>
      </w:r>
      <w:r w:rsidR="00867CA1">
        <w:rPr>
          <w:rFonts w:eastAsia="Times New Roman"/>
          <w:color w:val="000000"/>
          <w:sz w:val="24"/>
          <w:szCs w:val="24"/>
        </w:rPr>
        <w:t xml:space="preserve"> </w:t>
      </w:r>
      <w:r w:rsidR="00867CA1">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{"citationID":"L9KFc8CM","properties":{"formattedCitation":"(Fisher et al., 2017; Lucey et al., 2014; Zuber et al., 2012)","plainCitation":"(Fisher et al., 2017; Lucey et al., 2014; Zuber et al., 2012)","noteIndex":0},"citationItems":[{"id":615,"uris":["http://zotero.org/users/local/lFa3rRs0/items/G3AZDDC2"],"itemData":{"id":615,"type":"article-journal","abstract":"We find that the reflectance of the lunar surface within 5° of latitude of the South Pole increases rapidly with decreasing temperature, near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110K, behavior consistent with the presence of surface water ice. The North polar region does not show this behavior, nor do South polar surfaces at latitudes more than 5° from the pole. This South pole reflectance anomaly persists when analysis is limited to surfaces with slopes less than 10° to eliminate false detection due to the brightening effect of mass wasting, and also when the very bright south polar crater Shackleton is excluded from the analysis. We also find that south polar regions of permanent shadow that have been reported to be generally brighter at 1064nm do not show anomalous reflectance when their annual maximum surface temperatures are too high to preserve water ice. This distinction is not observed at the North Pole. The reflectance excursion on surfaces with maximum temperatures below 110K is superimposed on a general trend of increasing reflectance with decreasing maximum temperature that is present throughout the polar regions in the north and south; we attribute this trend to a temperature or illumination-dependent space weathering effect (e.g. Hemingway et al., 2015). We also find a sudden increase in reflectance with decreasing temperature superimposed on the general trend at 200K and possibly at 300K. This may indicate the presence of other volatiles such as sulfur or organics. We identified and mapped surfaces with reflectances so high as to be unlikely to be part of an ice-free population. In this south we find a similar distribution found by Hayne et al. (2015) based on UV properties. In the north a cluster of pixels near that pole may represent a limited frost exposure.","container-title":"Icarus","DOI":"10.1016/j.icarus.2017.03.023","ISSN":"0019-1035","journalAbbreviation":"Icarus","language":"en","page":"74-85","source":"ScienceDirect","title":"Evidence for surface water ice in the lunar polar regions using reflectance measurements from the Lunar Orbiter Laser Altimeter and temperature measurements from the Diviner Lunar Radiometer Experiment","volume":"292","author":[{"family":"Fisher","given":"Elizabeth A."},{"family":"Lucey","given":"Paul G."},{"family":"Lemelin","given":"Myriam"},{"family":"Greenhagen","given":"Benjamin T."},{"family":"Siegler","given":"Matthew A."},{"family":"Mazarico","given":"Erwan"},{"family":"Aharonson","given":"Oded"},{"family":"Williams","given":"Jean-Pierre"},{"family":"Hayne","given":"Paul O."},{"family":"Neumann","given":"Gregory A."},{"family":"Paige","given":"David A."},{"family":"Smith","given":"David E"},{"family":"Zuber","given":"Maria T."}],"issued":{"date-parts":[["2017",8,1]]}}},{"id":99,"uris":["http://zotero.org/users/local/lFa3rRs0/items/KC6VHX2I"],"itemData":{"id":99,"type":"article-journal","abstract":"The Lunar Orbiter Laser Altimeter (LOLA) measures the backscattered energy of the returning altimetric laser pulse at its wavelength of 1064 nm, and these data are used to map the reflectivity of the Moon at zero-phase angle with a photometrically uniform data set. Global maps have been produced at 4 pixels per degree (about 8 km at the equator) and 2 km resolution within 20° latitude of each pole. The zero-phase geometry is insensitive to lunar topography, so these data enable characterization of subtle variations in lunar albedo, even at high latitudes where such measurements are not possible with the Sun as the illumination source. The geometric albedo of the Moon at 1064 nm was estimated from these data with absolute calibration derived from the Kaguya Multiband Imager and extrapolated to visual wavelengths. The LOLA estimates are within 2σ of historical measurements of geometric albedo. No consistent latitude-dependent variations in reflectance are observed, suggesting that solar wind does not dominate space weathering processes that modify lunar reflectance. The average normal albedo of the Moon is found to be much higher than that of Mercury consistent with prior measurements, but the normal albedo of the lunar maria is similar to that of Mercury suggesting a similar abundance of space weathering products. Regions within permanent shadow in the polar regions are found to be more reflective than polar surfaces that are sometimes illuminated. Limiting analysis to data with slopes less than 10° eliminates variations in reflectance due to mass wasting and shows a similar increased reflectivity within permanent polar shadow. Steep slopes within permanent shadow are also more reflective than similar slopes that experience at least some illumination. Water frost and a reduction in effectiveness of space weathering are offered as possible explanations for the increased reflectivity of permanent shadow; porosity is largely ruled out as the sole explanation. The south polar crater Shackleton is found to be among the most reflective craters in its size range globally but is not the most reflective, so mass wasting cannot be ruled out as a cause for the crater's anomalous reflectance. Models of the abundance of ice needed to account for the reflectance anomaly range from 3 to 14% by weight or area depending on assumptions regarding the effects of porosity on reflectance and whether ice is present as patches or is well mixed in the regolith. If differences in nanophase iron abundances are responsible for the anomaly, the permanently shadowed regions have between 50 and 80% the abundance of nanophase iron in mature lunar soil. Key Points Global lunar map of zero-phase reflectance derived from LOLA 1064 nm data Permanently shadowed regions in the poles are anomalously bright Bright PSRs could be due to water frost and/or less effective space weathering © 2014. American Geophysical Union. All Rights Reserved.","container-title":"Journal of Geophysical Research: Planets","DOI":"10.1002/2013JE004592","ISSN":"21699100","issue":"7","page":"1665–1679","title":"The global albedo of the Moon at 1064 nm from LOLA","volume":"119","author":[{"family":"Lucey","given":"P. G."},{"family":"Neumann","given":"G. A."},{"family":"Riner","given":"M. A."},{"family":"Mazarico","given":"E."},{"family":"Smith","given":"D. E."},{"family":"Zuber","given":"M. T."},{"family":"Paige","given":"D. A."},{"family":"Bussey","given":"D. B."},{"family":"Cahill","given":"J. T."},{"family":"McGovern","given":"A."},{"family":"Isaacson","given":"P."},{"family":"Corley","given":"L. M."},{"family":"Torrence","given":"M. H."},{"family":"Melosh","given":"H. J."},{"family":"Head","given":"J. W."},{"family":"Song","given":"E."}],"issued":{"date-parts":[["2014"]]}}},{"id":3,"uris":["http://zotero.org/users/local/lFa3rRs0/items/FXTAWJVE"],"itemData":{"id":3,"type":"article-journal","abstract":"Observations from the Lunar Orbiter Laser Altimeter reveal the Moon's Shackleton crater to be an ancient, unusually well-preserved simple crater whose interior walls are younger than its floor and rim; the relative brightness of the floor at 1,064 nanometres is most readily explained by minimal volatile accumulation since crater formation and decreased space weathering due to permanent shadow. The Shackleton crater, which is situated close to the Moon's south pole in almost permanent shadow, has been the target of numerous Earth- and spacecraft-based analyses because of the possibility that it contains water ice. So far, however, results have been inconclusive. Here, Maria Zuber and co-authors present detailed maps of the Shackleton crater based on observations from the Lunar Orbiter Laser Altimeter. The data confirm the crater as one of ancient origin, an unusually well preserved, simple crater with interior walls fresher than the floor or rim. Deposits on the crater floor are nearly the same age as the rim, suggesting little floor deposition since the crater's formation more than 3 billion years ago. The authors conclude that their observations are best explained by downslope movement of regolith on the walls exposing fresher underlying material, rather than by significant amounts of water ice within the crater. The relatively bright crater floor may be a product of decreased space weathering because to shadowing — although a one-micrometre-thick layer containing about 20% surficial ice remains a possibility. Shackleton crater is nearly coincident with the Moon's south pole. Its interior receives almost no direct sunlight and is a perennial cold trap1,2, making Shackleton a promising candidate location in which to seek sequestered volatiles3. However, previous orbital and Earth-based radar mapping4,5,6,7,8 and orbital optical imaging9 have yielded conflicting interpretations about the existence of volatiles. Here we present observations from the Lunar Orbiter Laser Altimeter on board the Lunar Reconnaissance Orbiter, revealing Shackleton to be an ancient, unusually well-preserved simple crater whose interior walls are fresher than its floor and rim. Shackleton floor deposits are nearly the same age as the rim, suggesting that little floor deposition has occurred since the crater formed more than three billion years ago. At a wavelength of 1,064 nanometres, the floor of Shackleton is brighter than the surrounding terrain and the interiors of nearby craters, but not as bright as the interior walls. The combined observations are explicable primarily by downslope movement of regolith on the walls exposing fresher underlying material. The relatively brighter crater floor is most simply explained by decreased space weathering due to shadowing, but a one-micrometre-thick layer containing about 20 per cent surficial ice is an alternative possibility.","container-title":"Nature","DOI":"10.1038/nature11216","ISSN":"1476-4687","issue":"7403","note":"publisher: Nature Publishing Group","page":"378–381","title":"Constraints on the volatile distribution within Shackleton crater at the lunar south pole","volume":"486","author":[{"family":"Zuber","given":"Maria T."},{"family":"Head","given":"James W."},{"family":"Smith","given":"David E."},{"family":"Neumann","given":"Gregory A."},{"family":"Mazarico","given":"Erwan"},{"family":"Torrence","given":"Mark H."},{"family":"Aharonson","given":"Oded"},{"family":"Tye","given":"Alexander R."},{"family":"Fassett","given":"Caleb I."},{"family":"Rosenburg","given":"Margaret A."},{"family":"Melosh","given":"H. Jay"}],"issued":{"date-parts":[["2012",6]]}}}],"schema":"https://github.com/citation-style-language/schema/raw/master/csl-citation.json"} </w:instrText>
      </w:r>
      <w:r w:rsidR="00867CA1">
        <w:rPr>
          <w:rFonts w:eastAsia="Times New Roman"/>
          <w:color w:val="000000"/>
          <w:sz w:val="24"/>
          <w:szCs w:val="24"/>
        </w:rPr>
        <w:fldChar w:fldCharType="separate"/>
      </w:r>
      <w:r w:rsidR="00867CA1" w:rsidRPr="00867CA1">
        <w:rPr>
          <w:sz w:val="24"/>
        </w:rPr>
        <w:t>(Fisher et al., 2017; Lucey et al., 2014; Zuber et al., 2012)</w:t>
      </w:r>
      <w:r w:rsidR="00867CA1">
        <w:rPr>
          <w:rFonts w:eastAsia="Times New Roman"/>
          <w:color w:val="000000"/>
          <w:sz w:val="24"/>
          <w:szCs w:val="24"/>
        </w:rPr>
        <w:fldChar w:fldCharType="end"/>
      </w:r>
      <w:r>
        <w:rPr>
          <w:rFonts w:eastAsia="Times New Roman"/>
          <w:color w:val="000000"/>
          <w:sz w:val="24"/>
          <w:szCs w:val="24"/>
        </w:rPr>
        <w:t xml:space="preserve">. </w:t>
      </w:r>
      <w:r w:rsidR="00925333">
        <w:rPr>
          <w:rFonts w:eastAsia="Times New Roman"/>
          <w:color w:val="000000"/>
          <w:sz w:val="24"/>
          <w:szCs w:val="24"/>
        </w:rPr>
        <w:t>Soon</w:t>
      </w:r>
      <w:r>
        <w:rPr>
          <w:rFonts w:eastAsia="Times New Roman"/>
          <w:color w:val="000000"/>
          <w:sz w:val="24"/>
          <w:szCs w:val="24"/>
        </w:rPr>
        <w:t xml:space="preserve"> the Lunar Flashlight technology demonstration will carry a multiband reflectometer emitting at four wavelengths between 1 and 2 µm </w:t>
      </w:r>
      <w:r w:rsidR="00925333">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{"citationID":"44IRbZpf","properties":{"formattedCitation":"(Cohen et al., 2020)","plainCitation":"(Cohen et al., 2020)","noteIndex":0},"citationItems":[{"id":69,"uris":["http://zotero.org/users/local/lFa3rRs0/items/CUPNJS8W"],"itemData":{"id":69,"type":"article-journal","abstract":"Water ice and other volatile compounds may be present on the Moon's surface within permanently shadowed regions (PSRs) near the lunar poles. Understanding the composition, quantity, distribution, and form of water and other volatiles associated with lunar PSRs is identified as a Strategic Knowledge Gap (SKG) for NASA's human exploration program, projected to visit the lunar south pole in the next decade. These polar volatile deposits are also scientifically interesting, having potential to reveal important information about the delivery of water to the Earth-Moon system.","container-title":"IEEE Aerospace and Electronic Systems Magazine","DOI":"10.1109/MAES.2019.2950746","ISSN":"1557959X","issue":"3","page":"46–52","title":"Lunar Flashlight: Illuminating the Lunar South Pole","volume":"35","author":[{"family":"Cohen","given":"Barbara A."},{"family":"Hayne","given":"Paul O."},{"family":"Greenhagen","given":"Benjamin"},{"family":"Paige","given":"David A."},{"family":"Seybold","given":"Calina"},{"family":"Baker","given":"John"}],"issued":{"date-parts":[["2020"]]}}}],"schema":"https://github.com/citation-style-language/schema/raw/master/csl-citation.json"} </w:instrText>
      </w:r>
      <w:r w:rsidR="00925333">
        <w:rPr>
          <w:rFonts w:eastAsia="Times New Roman"/>
          <w:color w:val="000000"/>
          <w:sz w:val="24"/>
          <w:szCs w:val="24"/>
        </w:rPr>
        <w:fldChar w:fldCharType="separate"/>
      </w:r>
      <w:r w:rsidR="00925333" w:rsidRPr="00925333">
        <w:rPr>
          <w:sz w:val="24"/>
        </w:rPr>
        <w:t>(Cohen et al., 2020)</w:t>
      </w:r>
      <w:r w:rsidR="00925333">
        <w:rPr>
          <w:rFonts w:eastAsia="Times New Roman"/>
          <w:color w:val="000000"/>
          <w:sz w:val="24"/>
          <w:szCs w:val="24"/>
        </w:rPr>
        <w:fldChar w:fldCharType="end"/>
      </w:r>
      <w:r>
        <w:rPr>
          <w:rFonts w:eastAsia="Times New Roman"/>
          <w:color w:val="000000"/>
          <w:sz w:val="24"/>
          <w:szCs w:val="24"/>
        </w:rPr>
        <w:t xml:space="preserve"> to measure ISRU-relevant quantities of water ice in select regions. </w:t>
      </w:r>
    </w:p>
    <w:p w14:paraId="28B0CF6F" w14:textId="6ABF4D84" w:rsidR="00867801" w:rsidRDefault="009E1DFE">
      <w:pPr>
        <w:pBdr>
          <w:top w:val="nil"/>
          <w:left w:val="nil"/>
          <w:bottom w:val="nil"/>
          <w:right w:val="nil"/>
          <w:between w:val="nil"/>
        </w:pBdr>
        <w:spacing w:before="120"/>
        <w:ind w:firstLine="720"/>
        <w:rPr>
          <w:rFonts w:eastAsia="Times New Roman"/>
          <w:color w:val="000000"/>
          <w:sz w:val="24"/>
          <w:szCs w:val="24"/>
        </w:rPr>
      </w:pPr>
      <w:r>
        <w:rPr>
          <w:sz w:val="24"/>
          <w:szCs w:val="24"/>
        </w:rPr>
        <w:t>A</w:t>
      </w:r>
      <w:r>
        <w:rPr>
          <w:rFonts w:eastAsia="Times New Roman"/>
          <w:color w:val="000000"/>
          <w:sz w:val="24"/>
          <w:szCs w:val="24"/>
        </w:rPr>
        <w:t xml:space="preserve">ctive reflectance measurements constraining the 3 µm band would provide more conclusive measurements of the diurnal, latitudinal, and compositional variation of the 3µm hydration signature. </w:t>
      </w:r>
      <w:r>
        <w:rPr>
          <w:sz w:val="24"/>
          <w:szCs w:val="24"/>
        </w:rPr>
        <w:t xml:space="preserve">These measurements will capture the full diurnal cycle with none of the illumination restrictions of passive approaches. </w:t>
      </w:r>
      <w:r>
        <w:rPr>
          <w:rFonts w:eastAsia="Times New Roman"/>
          <w:color w:val="000000"/>
          <w:sz w:val="24"/>
          <w:szCs w:val="24"/>
        </w:rPr>
        <w:t xml:space="preserve">For example, active reflectance observations of strong diurnal and latitudinal trends would support the hypothesis of molecular water moving along temperature gradients on the surface </w:t>
      </w:r>
      <w:r w:rsidR="000F5648">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{"citationID":"vxYGe1Id","properties":{"formattedCitation":"(Hendrix et al., 2019; Honniball et al., 2020; Sunshine et al., 2009)","plainCitation":"(Hendrix et al., 2019; Honniball et al., 2020; Sunshine et al., 2009)","noteIndex":0},"citationItems":[{"id":626,"uris":["http://zotero.org/users/local/lFa3rRs0/items/J7TW8JX3"],"itemData":{"id":626,"type":"article-journal","abstract":"Data from the Lunar Reconnaissance Orbiter Lyman Alpha Mapping Project and Diviner are consistent with surface water on the Moon varying in abundance with both terrain type and local time/temperature. A thermal desorption model including latitudinally varying desorption activation energy reproduces the observations. We interpret the observed variability in spectral slopes as water molecules in the uppermost lunar regolith (&lt;1% of a monolayer) thermally adsorbing and desorbing from grains depending upon the local temperature and availability of chemisorption sites. The Lyman Alpha Mapping Project data also demonstrate that in the Earth's magnetotail, where the solar wind source of protons is absent, a decrease in H2O on the surface is not observed. This rules out a steady state process involving a prompt solar wind source and favors a migration mechanism for the distribution of adsorbed water on the Moon.","container-title":"Geophysical Research Letters","DOI":"10.1029/2018GL081821","ISSN":"1944-8007","issue":"5","language":"en","note":"_eprint: https://agupubs.onlinelibrary.wiley.com/doi/pdf/10.1029/2018GL081821","page":"2417-2424","source":"Wiley Online Library","title":"Diurnally Migrating Lunar Water: Evidence From Ultraviolet Data","title-short":"Diurnally Migrating Lunar Water","volume":"46","author":[{"family":"Hendrix","given":"Amanda R."},{"family":"Hurley","given":"Dana M."},{"family":"Farrell","given":"William M."},{"family":"Greenhagen","given":"Benjamin T."},{"family":"Hayne","given":"Paul O."},{"family":"Retherford","given":"Kurt D."},{"family":"Vilas","given":"Faith"},{"family":"Cahill","given":"Joshua T. S."},{"family":"Poston","given":"Michael J."},{"family":"Liu","given":"Yang"}],"issued":{"date-parts":[["2019"]]}}},{"id":15,"uris":["http://zotero.org/users/local/lFa3rRs0/items/FA5YXWFR"],"itemData":{"id":15,"type":"article-journal","abstract":"Prior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M."},{"family":"Takir","given":"D."}],"issued":{"date-parts":[["2020",9]]}}},{"id":20,"uris":["http://zotero.org/users/local/lFa3rRs0/items/9C44DU36"],"itemData":{"id":20,"type":"article-journal","abstract":"The Moon is generally anhydrous, yet the Deep Impact spacecraft found the entire surface to be hydrated during some portions of the day. Hydroxyl (OH) and water (H2O) absorptions in the near infrared were strongest near the North Pole and are consistent with &lt;0.5 weight percent H2O. Hydration varied with temperature, rather than cumulative solar radiation, but no inherent absorptivity differences with composition were observed. However, comparisons between data collected 1 week (a quarter lunar day) apart show a dynamic process with diurnal changes in hydration that were greater for mare basalts ($\\sim$70%) than for highlands ($\\sim$50%). This hydration loss and return to a steady state occurred entirely between local morning and evening, requiring a ready daytime source of water-group ions, which is consistent with a solar wind origin.","container-title":"Science","DOI":"10.1126/SCIENCE.1179788","ISSN":"0036-8075","issue":"5952","note":"publisher: American Association for the Advancement of Science\nPMID: 19779149","page":"565–568","title":"Temporal and Spatial Variability of Lunar Hydration As Observed by the Deep Impact Spacecraft","volume":"326","author":[{"family":"Sunshine","given":"Jessica M."},{"family":"Farnham","given":"Tony L."},{"family":"Feaga","given":"Lori M."},{"family":"Groussin","given":"Olivier"},{"family":"Merlin","given":"Frédéric"},{"family":"Milliken","given":"Ralph E."},{"family":"A'Hearn","given":"Michael F."}],"issued":{"date-parts":[["2009",10]]}}}],"schema":"https://github.com/citation-style-language/schema/raw/master/csl-citation.json"} </w:instrText>
      </w:r>
      <w:r w:rsidR="000F5648">
        <w:rPr>
          <w:rFonts w:eastAsia="Times New Roman"/>
          <w:color w:val="000000"/>
          <w:sz w:val="24"/>
          <w:szCs w:val="24"/>
        </w:rPr>
        <w:fldChar w:fldCharType="separate"/>
      </w:r>
      <w:r w:rsidR="000F5648" w:rsidRPr="000F5648">
        <w:rPr>
          <w:sz w:val="24"/>
        </w:rPr>
        <w:t>(Hendrix et al., 2019; Honniball et al., 2020; Sunshine et al., 2009)</w:t>
      </w:r>
      <w:r w:rsidR="000F5648">
        <w:rPr>
          <w:rFonts w:eastAsia="Times New Roman"/>
          <w:color w:val="000000"/>
          <w:sz w:val="24"/>
          <w:szCs w:val="24"/>
        </w:rPr>
        <w:fldChar w:fldCharType="end"/>
      </w:r>
      <w:r>
        <w:rPr>
          <w:rFonts w:eastAsia="Times New Roman"/>
          <w:color w:val="000000"/>
          <w:sz w:val="24"/>
          <w:szCs w:val="24"/>
        </w:rPr>
        <w:t xml:space="preserve">. An absent diurnal but strong latitudinal trend would support the hypothesis that the 3 µm band is due to the formation </w:t>
      </w:r>
      <w:r>
        <w:rPr>
          <w:sz w:val="24"/>
          <w:szCs w:val="24"/>
        </w:rPr>
        <w:t xml:space="preserve">and </w:t>
      </w:r>
      <w:r>
        <w:rPr>
          <w:rFonts w:eastAsia="Times New Roman"/>
          <w:color w:val="000000"/>
          <w:sz w:val="24"/>
          <w:szCs w:val="24"/>
        </w:rPr>
        <w:t>destruction of metastable hydroxyl from the migration of solar wind hydrogen</w:t>
      </w:r>
      <w:r w:rsidR="00A42D21">
        <w:rPr>
          <w:rFonts w:eastAsia="Times New Roman"/>
          <w:color w:val="000000"/>
          <w:sz w:val="24"/>
          <w:szCs w:val="24"/>
        </w:rPr>
        <w:t xml:space="preserve"> </w:t>
      </w:r>
      <w:r w:rsidR="000F5648">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{"citationID":"3ft0qRep","properties":{"formattedCitation":"(Farrell et al., 2015; Starukhina, 2006; Tucker et al., 2019)","plainCitation":"(Farrell et al., 2015; Starukhina, 2006; Tucker et al., 2019)","noteIndex":0},"citationItems":[{"id":727,"uris":["http://zotero.org/users/local/lFa3rRs0/items/SBPS8CZD"],"itemData":{"id":727,"type":"article-journal","container-title":"Icarus","note":"publisher: Elsevier","page":"116–126","title":"Solar wind implantation into lunar regolith: Hydrogen retention in a surface with defects","volume":"255","author":[{"family":"Farrell","given":"William M"},{"family":"Hurley","given":"D M</w:instrText>
      </w:r>
      <w:r w:rsidR="008B0A8A">
        <w:rPr>
          <w:rFonts w:ascii="Microsoft Yi Baiti" w:eastAsia="Microsoft Yi Baiti" w:hAnsi="Microsoft Yi Baiti" w:cs="Microsoft Yi Baiti" w:hint="eastAsia"/>
          <w:color w:val="000000"/>
          <w:sz w:val="24"/>
          <w:szCs w:val="24"/>
        </w:rPr>
        <w:instrText>ꎬ</w:instrText>
      </w:r>
      <w:r w:rsidR="008B0A8A">
        <w:rPr>
          <w:rFonts w:eastAsia="Times New Roman"/>
          <w:color w:val="000000"/>
          <w:sz w:val="24"/>
          <w:szCs w:val="24"/>
        </w:rPr>
        <w:instrText xml:space="preserve">"},{"family":"Zimmerman","given":"Michael I"}],"issued":{"date-parts":[["2015"]]}}},{"id":729,"uris":["http://zotero.org/users/local/lFa3rRs0/items/QQDEIC3N"],"itemData":{"id":729,"type":"article-journal","container-title":"Advances in Space Research","issue":"1","note":"publisher: Elsevier","page":"50–58","title":"Polar regions of the moon as a potential repository of solar-wind-implanted gases","volume":"37","author":[{"family":"Starukhina","given":"L"}],"issued":{"date-parts":[["2006"]]}}},{"id":634,"uris":["http://zotero.org/users/local/lFa3rRs0/items/WWND7229"],"itemData":{"id":634,"type":"article-journal","abstract":"The solar wind implants protons into the top 20–30 nm of lunar regolith grains, and the implanted hydrogen will diffuse out of the regolith but also interact with oxygen in the regolith oxides. We apply a statistical approach to estimate the diffusion of hydrogen in the regolith hindered by forming temporary bonds with regolith oxygen atoms. A Monte Carlo simulation was used to track the temporal evolution of bound OH surface content and the H2 exosphere. The model results are consistent with the interpretation of the Chandrayaan-1 M3 observations of infrared absorption spectra by surface hydroxyls as discussed in Li and Milliken (2017, https://doi.org/10.1126/sciadv.1701471). The model reproduced the latitudinal concentration of OH by using a Gaussian energy distribution of f(U0 = 0.5 eV, UW = 0.078–0.1 eV) to characterize the activation energy barrier to the diffusion of hydrogen in space weathered regolith. In addition, the model results of the exospheric content of H2 are consistent with observations by the Lyman Alpha Mapping Project on the Lunar Reconnaissance Orbiter. Therefore, we provide support for hydroxyl formation by chemically trapped solar wind protons.","container-title":"Journal of Geophysical Research: Planets","DOI":"10.1029/2018JE005805","ISSN":"2169-9100","issue":"2","language":"en","note":"_eprint: https://agupubs.onlinelibrary.wiley.com/doi/pdf/10.1029/2018JE005805","page":"278-293","source":"Wiley Online Library","title":"Solar Wind Implantation Into the Lunar Regolith: Monte Carlo Simulations of H Retention in a Surface With Defects and the H2 Exosphere","title-short":"Solar Wind Implantation Into the Lunar Regolith","volume":"124","author":[{"family":"Tucker","given":"O. J."},{"family":"Farrell","given":"W. M."},{"family":"Killen","given":"R. M."},{"family":"Hurley","given":"D. M."}],"issued":{"date-parts":[["2019"]]}}}],"schema":"https://github.com/citation-style-language/schema/raw/master/csl-citation.json"} </w:instrText>
      </w:r>
      <w:r w:rsidR="000F5648">
        <w:rPr>
          <w:rFonts w:eastAsia="Times New Roman"/>
          <w:color w:val="000000"/>
          <w:sz w:val="24"/>
          <w:szCs w:val="24"/>
        </w:rPr>
        <w:fldChar w:fldCharType="separate"/>
      </w:r>
      <w:r w:rsidR="00200C52" w:rsidRPr="00200C52">
        <w:rPr>
          <w:sz w:val="24"/>
        </w:rPr>
        <w:t>(Farrell et al., 2015; Starukhina, 2006; Tucker et al., 2019)</w:t>
      </w:r>
      <w:r w:rsidR="000F5648">
        <w:rPr>
          <w:rFonts w:eastAsia="Times New Roman"/>
          <w:color w:val="000000"/>
          <w:sz w:val="24"/>
          <w:szCs w:val="24"/>
        </w:rPr>
        <w:fldChar w:fldCharType="end"/>
      </w:r>
      <w:r>
        <w:rPr>
          <w:rFonts w:eastAsia="Times New Roman"/>
          <w:color w:val="000000"/>
          <w:sz w:val="24"/>
          <w:szCs w:val="24"/>
        </w:rPr>
        <w:t xml:space="preserve"> which has not </w:t>
      </w:r>
      <w:r>
        <w:rPr>
          <w:rFonts w:eastAsia="Times New Roman"/>
          <w:color w:val="000000"/>
          <w:sz w:val="24"/>
          <w:szCs w:val="24"/>
        </w:rPr>
        <w:lastRenderedPageBreak/>
        <w:t xml:space="preserve">been shown to cause a temperature-dependent variation in the 3 µm band </w:t>
      </w:r>
      <w:r w:rsidR="00A42D21">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{"citationID":"XxPeJrPY","properties":{"formattedCitation":"(McLain et al., 2021; Schaible &amp; Baragiola, 2014)","plainCitation":"(McLain et al., 2021; Schaible &amp; Baragiola, 2014)","noteIndex":0},"citationItems":[{"id":637,"uris":["http://zotero.org/users/local/lFa3rRs0/items/ANI4CWNX"],"itemData":{"id":637,"type":"article-journal","abstract":"Hydroxylation by solar wind protons has been simulated in our laboratory on Apollo 17 lunar sample 78421, a very mature regolith sample that is rich with agglutinates (68%). The goal of this study was to determine the rate of hydroxyl formation and their thermal stability by monitoring changes in the SiOH (hydroxyl) stretching band near 3 μm using diffuse reflectance infrared Fourier transform spectroscopy (DRIFTS). A 2 keV H2+ ion beam was used to simulate proton implantation on 78421 and on a crushed fused silica sample. We find that the OH band does not change unless the samples have been annealed in vacuum prior to irradiation. Qualitatively, the OH bands for the fused silica and 78421 are very different. The OH band for fused silica is centered at 2.74 μm and is relatively sharp ranging from 2.67 to 3.1 μm at full width at half maximum (FWHM), while the OH band for 78421 is centered at 3.0 μm and ranges from 2.74 to 3.37 μm at FWHM. The increase in wavelength and broadened nature of the OH band in 78421 may be associated with the OH’s proximity to surface defects and/or lattice vacancies. The lack of the H2O bending mode at 6.1 μm indicates that any adsorbed terrestrial H2O is below our detection limit, and therefore the H2O stretching mode at 2.9 μm is not significantly contributing to the broad 3 μm OH band and implies that proton implantation by itself does not lead to water formation. To simulate the maximum dayside temperature on the lunar surface, the lunar sample was heated after proton irradiation. The proton induced OH concentration was reduced by as much as 25% after heating to 400 K (127°C).","container-title":"Journal of Geophysical Research: Planets","DOI":"10.1029/2021JE006845","ISSN":"2169-9100","issue":"5","language":"en","note":"_eprint: https://agupubs.onlinelibrary.wiley.com/doi/pdf/10.1029/2021JE006845","page":"e2021JE006845","source":"Wiley Online Library","title":"Hydroxylation of Apollo 17 Soil Sample 78421 by Solar Wind Protons","volume":"126","author":[{"family":"McLain","given":"J. L."},{"family":"Loeffler","given":"M. J."},{"family":"Farrell","given":"W. M."},{"family":"Honniball","given":"C. I."},{"family":"Keller","given":"J. W."},{"family":"Hudson","given":"R."}],"issued":{"date-parts":[["2021"]]}}},{"id":641,"uris":["http://zotero.org/users/local/lFa3rRs0/items/864ZJQBF"],"itemData":{"id":641,"type":"article-journal","abstract":"Hydroxyl on the lunar surface revealed by remote measurements has been thought to originate from solar wind hydrogen implantation in the regolith. The hypothesis is tested here through experimental studies of the rate and mechanisms of OH bond formation due to H+ implantation of amorphous SiO2 and olivine in ultrahigh vacuum. The samples were implanted with 2–10 keV H+, in the range of solar wind energies, and the OH absorption band at 2.8 µm measured by transmission Fourier transform infrared spectroscopy. For 2 keV protons in SiO2, the OH band depth saturated at fluences F 5 × 1016 H+/cm2 to a maximum 0.0032 absorption band depth, corresponding to a column density ηs = 1.1 × 1016 OH/cm2. The corresponding values for 5 keV protons in olivine are &gt;2 × 1017/cm2, 0.0067, and 4.0 × 1016 OH/cm2. The initial conversion rate of implanted H+ into hydroxyl species was found to be 90% and decreased exponentially with fluence. There was no evidence for molecular water formation due to proton irradiation. Translating the laboratory measurements in thin plate samples to the granular lunar regolith, it is estimated that the measurements can account for a maximum of 17% relative OH absorption in reflectance spectroscopy of mature soils, consistent with spacecraft observations in the infrared of the Moon.","container-title":"Journal of Geophysical Research: Planets","DOI":"10.1002/2014JE004650","ISSN":"2169-9100","issue":"9","language":"en","note":"_eprint: https://agupubs.onlinelibrary.wiley.com/doi/pdf/10.1002/2014JE004650","page":"2017-2028","source":"Wiley Online Library","title":"Hydrogen implantation in silicates: The role of solar wind in SiOH bond formation on the surfaces of airless bodies in space","title-short":"Hydrogen implantation in silicates","volume":"119","author":[{"family":"Schaible","given":"Micah J."},{"family":"Baragiola","given":"Raúl A."}],"issued":{"date-parts":[["2014"]]}}}],"schema":"https://github.com/citation-style-language/schema/raw/master/csl-citation.json"} </w:instrText>
      </w:r>
      <w:r w:rsidR="00A42D21">
        <w:rPr>
          <w:rFonts w:eastAsia="Times New Roman"/>
          <w:color w:val="000000"/>
          <w:sz w:val="24"/>
          <w:szCs w:val="24"/>
        </w:rPr>
        <w:fldChar w:fldCharType="separate"/>
      </w:r>
      <w:r w:rsidR="00A42D21" w:rsidRPr="00A42D21">
        <w:rPr>
          <w:sz w:val="24"/>
        </w:rPr>
        <w:t>(McLain et al., 2021; Schaible &amp; Baragiola, 2014)</w:t>
      </w:r>
      <w:r w:rsidR="00A42D21">
        <w:rPr>
          <w:rFonts w:eastAsia="Times New Roman"/>
          <w:color w:val="000000"/>
          <w:sz w:val="24"/>
          <w:szCs w:val="24"/>
        </w:rPr>
        <w:fldChar w:fldCharType="end"/>
      </w:r>
      <w:r>
        <w:rPr>
          <w:rFonts w:eastAsia="Times New Roman"/>
          <w:color w:val="000000"/>
          <w:sz w:val="24"/>
          <w:szCs w:val="24"/>
        </w:rPr>
        <w:t xml:space="preserve">. A </w:t>
      </w:r>
      <w:r>
        <w:rPr>
          <w:sz w:val="24"/>
          <w:szCs w:val="24"/>
        </w:rPr>
        <w:t xml:space="preserve">weak latitudinal trend with hydration present at greater than 50 ppm at all times of day and latitudes would match modeling results for water formation via recombination desorption </w:t>
      </w:r>
      <w:r w:rsidR="007E0D4F">
        <w:rPr>
          <w:sz w:val="24"/>
          <w:szCs w:val="24"/>
        </w:rPr>
        <w:fldChar w:fldCharType="begin"/>
      </w:r>
      <w:r w:rsidR="008B0A8A">
        <w:rPr>
          <w:sz w:val="24"/>
          <w:szCs w:val="24"/>
        </w:rPr>
        <w:instrText xml:space="preserve"> ADDIN ZOTERO_ITEM CSL_CITATION {"citationID":"BoZD0Dws","properties":{"formattedCitation":"(Jones et al., 2018)","plainCitation":"(Jones et al., 2018)","noteIndex":0},"citationItems":[{"id":728,"uris":["http://zotero.org/users/local/lFa3rRs0/items/CX5K44MA"],"itemData":{"id":728,"type":"article-journal","container-title":"Geophysical Research Letters","issue":"20","note":"publisher: Wiley Online Library","page":"10–959","title":"Solar wind-induced water cycle on the Moon","volume":"45","author":[{"family":"Jones","given":"Brant M"},{"family":"Aleksandrov","given":"Alex"},{"family":"Hibbitts","given":"K"},{"family":"Dyar","given":"MD"},{"family":"Orlando","given":"Thomas M"}],"issued":{"date-parts":[["2018"]]}}}],"schema":"https://github.com/citation-style-language/schema/raw/master/csl-citation.json"} </w:instrText>
      </w:r>
      <w:r w:rsidR="007E0D4F">
        <w:rPr>
          <w:sz w:val="24"/>
          <w:szCs w:val="24"/>
        </w:rPr>
        <w:fldChar w:fldCharType="separate"/>
      </w:r>
      <w:r w:rsidR="007E0D4F" w:rsidRPr="007E0D4F">
        <w:rPr>
          <w:sz w:val="24"/>
        </w:rPr>
        <w:t>(Jones et al., 2018)</w:t>
      </w:r>
      <w:r w:rsidR="007E0D4F">
        <w:rPr>
          <w:sz w:val="24"/>
          <w:szCs w:val="24"/>
        </w:rPr>
        <w:fldChar w:fldCharType="end"/>
      </w:r>
      <w:r>
        <w:rPr>
          <w:sz w:val="24"/>
          <w:szCs w:val="24"/>
        </w:rPr>
        <w:t xml:space="preserve">. Active reflectance observations will </w:t>
      </w:r>
      <w:r>
        <w:rPr>
          <w:rFonts w:eastAsia="Times New Roman"/>
          <w:color w:val="000000"/>
          <w:sz w:val="24"/>
          <w:szCs w:val="24"/>
        </w:rPr>
        <w:t>also provide first of its kind measurements of the 3 µm band on the nightside and acro</w:t>
      </w:r>
      <w:r>
        <w:rPr>
          <w:sz w:val="24"/>
          <w:szCs w:val="24"/>
        </w:rPr>
        <w:t xml:space="preserve">ss the terminators, which would enable discrimination of temperature-dependent migration mechanisms. For example, modeling by Schorghofer et al. </w:t>
      </w:r>
      <w:r w:rsidR="00970406">
        <w:rPr>
          <w:sz w:val="24"/>
          <w:szCs w:val="24"/>
        </w:rPr>
        <w:fldChar w:fldCharType="begin"/>
      </w:r>
      <w:r w:rsidR="008B0A8A">
        <w:rPr>
          <w:sz w:val="24"/>
          <w:szCs w:val="24"/>
        </w:rPr>
        <w:instrText xml:space="preserve"> ADDIN ZOTERO_ITEM CSL_CITATION {"citationID":"85BKaZRI","properties":{"formattedCitation":"(Schorghofer et al., 2017)","plainCitation":"(Schorghofer et al., 2017)","noteIndex":0},"citationItems":[{"id":732,"uris":["http://zotero.org/users/local/lFa3rRs0/items/W2WEY6TK"],"itemData":{"id":732,"type":"article-journal","abstract":"A lunar water exosphere, if it currently exists, would lead to diurnal variations in surface water concentration. Here we present model calculations that reveal the specific geographic pattern of such diurnal variations as well as the amplitude of these variations relative to an assumed supply rate. Surface temperatures are derived from Diviner data and hence include topographic temperature heterogeneity. In the polar regions, diurnal variation can be one order of magnitude larger than at the equator and two hundred times larger than the monthly globally average water production density. Even so, the absolute size of any diurnal changes in surface concentration is likely too small to be measurable. An episodic source, that delivers the same mass over a sol (lunation) as a steady source, leads to comparable surface concentrations, but to a much denser exosphere with a half-life of a few Earth hours. Such a transient exosphere may already have been detected.","container-title":"Icarus","DOI":"https://doi.org/10.1016/j.icarus.2017.01.029","ISSN":"0019-1035","page":"111-116","title":"Theoretical time variability of mobile water on the Moon and its geographic pattern","volume":"298","author":[{"family":"Schorghofer","given":"Norbert"},{"family":"Lucey","given":"Paul"},{"family":"Williams","given":"Jean-Pierre"}],"issued":{"date-parts":[["2017"]]}}}],"schema":"https://github.com/citation-style-language/schema/raw/master/csl-citation.json"} </w:instrText>
      </w:r>
      <w:r w:rsidR="00970406">
        <w:rPr>
          <w:sz w:val="24"/>
          <w:szCs w:val="24"/>
        </w:rPr>
        <w:fldChar w:fldCharType="separate"/>
      </w:r>
      <w:r w:rsidR="00970406" w:rsidRPr="00970406">
        <w:rPr>
          <w:sz w:val="24"/>
        </w:rPr>
        <w:t>(Schorghofer et al., 2017)</w:t>
      </w:r>
      <w:r w:rsidR="00970406">
        <w:rPr>
          <w:sz w:val="24"/>
          <w:szCs w:val="24"/>
        </w:rPr>
        <w:fldChar w:fldCharType="end"/>
      </w:r>
      <w:r>
        <w:rPr>
          <w:sz w:val="24"/>
          <w:szCs w:val="24"/>
        </w:rPr>
        <w:t xml:space="preserve"> showed that thermally-driven migration of water molecules results in surface concentration peaking around the dawn terminator. This measurement capability would uniquely fill data gaps from current and planned instrumentation and directly address the present ambiguities between hypotheses related to the diurnal and latitudinal variation of the 3 µm band. </w:t>
      </w:r>
    </w:p>
    <w:p w14:paraId="28B0CF70" w14:textId="661BAD5A"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We investigated th</w:t>
      </w:r>
      <w:r>
        <w:rPr>
          <w:sz w:val="24"/>
          <w:szCs w:val="24"/>
        </w:rPr>
        <w:t>e suitability of</w:t>
      </w:r>
      <w:r>
        <w:rPr>
          <w:rFonts w:eastAsia="Times New Roman"/>
          <w:color w:val="000000"/>
          <w:sz w:val="24"/>
          <w:szCs w:val="24"/>
        </w:rPr>
        <w:t xml:space="preserve"> this measurement concept by simulating lunar surface reflectance spectra in the lidar </w:t>
      </w:r>
      <w:r>
        <w:rPr>
          <w:sz w:val="24"/>
          <w:szCs w:val="24"/>
        </w:rPr>
        <w:t>(zero-phase) geometry</w:t>
      </w:r>
      <w:r>
        <w:rPr>
          <w:rFonts w:eastAsia="Times New Roman"/>
          <w:color w:val="000000"/>
          <w:sz w:val="24"/>
          <w:szCs w:val="24"/>
        </w:rPr>
        <w:t xml:space="preserve"> with precisely controlled 3 µm hydration bands. We then </w:t>
      </w:r>
      <w:r>
        <w:rPr>
          <w:sz w:val="24"/>
          <w:szCs w:val="24"/>
        </w:rPr>
        <w:t>use a four-wavelength lidar model to measure the surface hydration using a least-squares</w:t>
      </w:r>
      <w:r>
        <w:rPr>
          <w:rFonts w:eastAsia="Times New Roman"/>
          <w:color w:val="000000"/>
          <w:sz w:val="24"/>
          <w:szCs w:val="24"/>
        </w:rPr>
        <w:t xml:space="preserve"> spectral unmixing </w:t>
      </w:r>
      <w:r>
        <w:rPr>
          <w:sz w:val="24"/>
          <w:szCs w:val="24"/>
        </w:rPr>
        <w:t>method</w:t>
      </w:r>
      <w:r>
        <w:rPr>
          <w:rFonts w:eastAsia="Times New Roman"/>
          <w:color w:val="000000"/>
          <w:sz w:val="24"/>
          <w:szCs w:val="24"/>
        </w:rPr>
        <w:t>. We simulated total water (H</w:t>
      </w:r>
      <w:r>
        <w:rPr>
          <w:rFonts w:eastAsia="Times New Roman"/>
          <w:color w:val="000000"/>
          <w:sz w:val="24"/>
          <w:szCs w:val="24"/>
          <w:vertAlign w:val="subscript"/>
        </w:rPr>
        <w:t>2</w:t>
      </w:r>
      <w:r>
        <w:rPr>
          <w:rFonts w:eastAsia="Times New Roman"/>
          <w:color w:val="000000"/>
          <w:sz w:val="24"/>
          <w:szCs w:val="24"/>
        </w:rPr>
        <w:t xml:space="preserve">O + OH) abundances between 0 and 500 ppm corresponding to the levels measured between 100 and 383 K from recent ground-based observations of the 3 µm band depth on the sunlit surface </w:t>
      </w:r>
      <w:r w:rsidR="002B1933">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{"citationID":"kXfJTDAP","properties":{"formattedCitation":"(Honniball et al., 2020)","plainCitation":"(Honniball et al., 2020)","noteIndex":0},"citationItems":[{"id":15,"uris":["http://zotero.org/users/local/lFa3rRs0/items/FA5YXWFR"],"itemData":{"id":15,"type":"article-journal","abstract":"Prior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M."},{"family":"Takir","given":"D."}],"issued":{"date-parts":[["2020",9]]}}}],"schema":"https://github.com/citation-style-language/schema/raw/master/csl-citation.json"} </w:instrText>
      </w:r>
      <w:r w:rsidR="002B1933">
        <w:rPr>
          <w:rFonts w:eastAsia="Times New Roman"/>
          <w:color w:val="000000"/>
          <w:sz w:val="24"/>
          <w:szCs w:val="24"/>
        </w:rPr>
        <w:fldChar w:fldCharType="separate"/>
      </w:r>
      <w:r w:rsidR="002B1933" w:rsidRPr="002B1933">
        <w:rPr>
          <w:sz w:val="24"/>
        </w:rPr>
        <w:t>(Honniball et al., 2020)</w:t>
      </w:r>
      <w:r w:rsidR="002B1933">
        <w:rPr>
          <w:rFonts w:eastAsia="Times New Roman"/>
          <w:color w:val="000000"/>
          <w:sz w:val="24"/>
          <w:szCs w:val="24"/>
        </w:rPr>
        <w:fldChar w:fldCharType="end"/>
      </w:r>
      <w:r>
        <w:rPr>
          <w:rFonts w:eastAsia="Times New Roman"/>
          <w:color w:val="000000"/>
          <w:sz w:val="24"/>
          <w:szCs w:val="24"/>
        </w:rPr>
        <w:t>. This range</w:t>
      </w:r>
      <w:r>
        <w:rPr>
          <w:sz w:val="24"/>
          <w:szCs w:val="24"/>
        </w:rPr>
        <w:t xml:space="preserve"> was used to cover possible total water abundances that may be found on the lunar surface, but our spectral measurement results are not dependent on specific diurnal or latitudinal trends.</w:t>
      </w:r>
    </w:p>
    <w:p w14:paraId="28B0CF71"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2. Methods</w:t>
      </w:r>
    </w:p>
    <w:p w14:paraId="28B0CF72"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2.1 Spectral Data Sets</w:t>
      </w:r>
    </w:p>
    <w:p w14:paraId="28B0CF73" w14:textId="286C2C50"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Hydroxyl groups and water molecules exhibit vibrational absorption features near 3 µm associated with the symmetric stretch of the O-H bond. The bonding environment (bond strength and length) determines the precise vibrational frequency at which the absorption occurs. However, the ability to accurately constrain the physical and chemical state of the O-H and speciation (OH vs. H</w:t>
      </w:r>
      <w:r>
        <w:rPr>
          <w:rFonts w:eastAsia="Times New Roman"/>
          <w:color w:val="000000"/>
          <w:sz w:val="24"/>
          <w:szCs w:val="24"/>
          <w:vertAlign w:val="subscript"/>
        </w:rPr>
        <w:t>2</w:t>
      </w:r>
      <w:r>
        <w:rPr>
          <w:rFonts w:eastAsia="Times New Roman"/>
          <w:color w:val="000000"/>
          <w:sz w:val="24"/>
          <w:szCs w:val="24"/>
        </w:rPr>
        <w:t xml:space="preserve">O) from the 3 µm feature alone is not clear </w:t>
      </w:r>
      <w:r w:rsidR="009402DB">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{"citationID":"QLiVGXui","properties":{"formattedCitation":"(Dyar et al., 2010)","plainCitation":"(Dyar et al., 2010)","noteIndex":0},"citationItems":[{"id":599,"uris":["http://zotero.org/users/local/lFa3rRs0/items/NAWEE6AI"],"itemData":{"id":599,"type":"article-journal","abstract":"Storage of hydrogen atoms in or on a planetary surface can take place via several different mechanisms. If the hydrogen atom reacts to form a hydroxyl (OH) group or water molecule, an absorption band near 3μm will be present. Many possible mechanisms for sequestering atomic hydrogen are discussed: internal hydrogen in the form of non-structural OH and H2O in nominally-anhydrous minerals, structural OH in minerals, structural H2O in minerals, H2O in fluid inclusions, and OH and H2O in glasses; bulk H2O as either liquid water or ice; and surficial hydrogen that is either physisorbed as H2O, chemisorbed as an H2O surface complex, or chemically-bound as an OH group on surface terminal sites and grain boundary regions. Understanding the spectroscopic distinctions among these various phenomena is of critical importance in constraining both the evolution of planetary interiors and the cycling of water on planetary surfaces. Proper interpretation of 3-μm bands in reflectance spectra is shown to depend upon the relative contributions from surficial vs. interior hydrogen, which vary with effective surface area (i.e., the grain size and surface roughness) and the volume sampled by the spectrometer.","container-title":"Icarus","DOI":"10.1016/j.icarus.2010.02.014","ISSN":"0019-1035","issue":"1","journalAbbreviation":"Icarus","language":"en","page":"425-437","source":"ScienceDirect","title":"Mechanisms for incorporation of hydrogen in and on terrestrial planetary surfaces","volume":"208","author":[{"family":"Dyar","given":"M. D."},{"family":"Hibbitts","given":"C. A."},{"family":"Orlando","given":"T. M."}],"issued":{"date-parts":[["2010",7,1]]}}}],"schema":"https://github.com/citation-style-language/schema/raw/master/csl-citation.json"} </w:instrText>
      </w:r>
      <w:r w:rsidR="009402DB">
        <w:rPr>
          <w:rFonts w:eastAsia="Times New Roman"/>
          <w:color w:val="000000"/>
          <w:sz w:val="24"/>
          <w:szCs w:val="24"/>
        </w:rPr>
        <w:fldChar w:fldCharType="separate"/>
      </w:r>
      <w:r w:rsidR="009402DB" w:rsidRPr="009402DB">
        <w:rPr>
          <w:sz w:val="24"/>
        </w:rPr>
        <w:t>(Dyar et al., 2010)</w:t>
      </w:r>
      <w:r w:rsidR="009402DB">
        <w:rPr>
          <w:rFonts w:eastAsia="Times New Roman"/>
          <w:color w:val="000000"/>
          <w:sz w:val="24"/>
          <w:szCs w:val="24"/>
        </w:rPr>
        <w:fldChar w:fldCharType="end"/>
      </w:r>
      <w:r>
        <w:rPr>
          <w:rFonts w:eastAsia="Times New Roman"/>
          <w:color w:val="000000"/>
          <w:sz w:val="24"/>
          <w:szCs w:val="24"/>
        </w:rPr>
        <w:t xml:space="preserve"> with the combined OH</w:t>
      </w:r>
      <w:r>
        <w:rPr>
          <w:sz w:val="24"/>
          <w:szCs w:val="24"/>
        </w:rPr>
        <w:t>+</w:t>
      </w:r>
      <w:r>
        <w:rPr>
          <w:rFonts w:eastAsia="Times New Roman"/>
          <w:color w:val="000000"/>
          <w:sz w:val="24"/>
          <w:szCs w:val="24"/>
        </w:rPr>
        <w:t>H</w:t>
      </w:r>
      <w:r>
        <w:rPr>
          <w:rFonts w:eastAsia="Times New Roman"/>
          <w:color w:val="000000"/>
          <w:sz w:val="24"/>
          <w:szCs w:val="24"/>
          <w:vertAlign w:val="subscript"/>
        </w:rPr>
        <w:t>2</w:t>
      </w:r>
      <w:r>
        <w:rPr>
          <w:rFonts w:eastAsia="Times New Roman"/>
          <w:color w:val="000000"/>
          <w:sz w:val="24"/>
          <w:szCs w:val="24"/>
        </w:rPr>
        <w:t>O abundance referred to as “total water”. Total water may refer to structural OH, OH or H</w:t>
      </w:r>
      <w:r>
        <w:rPr>
          <w:rFonts w:eastAsia="Times New Roman"/>
          <w:color w:val="000000"/>
          <w:sz w:val="24"/>
          <w:szCs w:val="24"/>
          <w:vertAlign w:val="subscript"/>
        </w:rPr>
        <w:t>2</w:t>
      </w:r>
      <w:r>
        <w:rPr>
          <w:rFonts w:eastAsia="Times New Roman"/>
          <w:color w:val="000000"/>
          <w:sz w:val="24"/>
          <w:szCs w:val="24"/>
        </w:rPr>
        <w:t>O within glasses, adsorbed H</w:t>
      </w:r>
      <w:r>
        <w:rPr>
          <w:rFonts w:eastAsia="Times New Roman"/>
          <w:color w:val="000000"/>
          <w:sz w:val="24"/>
          <w:szCs w:val="24"/>
          <w:vertAlign w:val="subscript"/>
        </w:rPr>
        <w:t>2</w:t>
      </w:r>
      <w:r>
        <w:rPr>
          <w:rFonts w:eastAsia="Times New Roman"/>
          <w:color w:val="000000"/>
          <w:sz w:val="24"/>
          <w:szCs w:val="24"/>
        </w:rPr>
        <w:t>O, and surficial OH (terminal hydroxyl), all of which exhibit 3 µm absorption bands.</w:t>
      </w:r>
    </w:p>
    <w:p w14:paraId="28B0CF74" w14:textId="2D221D7D"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simulated lunar surface reflectance spectra from 1 to 4 µm under varying levels of hydration by using a Monte Carlo method to generate intimate single scattering albedo mixtures using laboratory reflectance data of Apollo samples from the NASA Reflectance Experiment Laboratory (RELAB) at Brown University and reflectance data from step-wise heating experiments of water-bearing mid-ocean-ridge basalt (MORB) glasses </w:t>
      </w:r>
      <w:r w:rsidR="0029761B">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{"citationID":"znFqsYF7","properties":{"formattedCitation":"(S. Li, 2016; Shimizu et al., 2016)","plainCitation":"(S. Li, 2016; Shimizu et al., 2016)","noteIndex":0},"citationItems":[{"id":19,"uris":["http://zotero.org/users/local/lFa3rRs0/items/PQHSFLFJ"],"itemData":{"id":19,"type":"thesis","genre":"PhD Thesis","note":"DOI: https://doi.org/10.7301/Z0R49P73","number-of-pages":"295","publisher":"Brown University","title":"Water on the Lunar Surface as Seen by the Moon Minerology Mapper: Distribution, Abundance, and Origins","author":[{"family":"Li","given":"Shuai"}],"issued":{"date-parts":[["2016"]]}}},{"id":649,"uris":["http://zotero.org/users/local/lFa3rRs0/items/64B47KMR"],"itemData":{"id":649,"type":"article-journal","abstract":"We report major, trace, and volatile element (CO2, H2O, F, Cl, S) contents and Sr, Nd, and Pb isotopes of mid-ocean ridge basalt (MORB) glasses from the Northern East Pacific Rise (NEPR) off-axis seamounts, the Quebrada-Discovery-GoFar (QDG) transform fault system, and the Macquarie Island. The incompatible trace element (ITE) contents of the samples range from highly depleted (DMORB, Th/La</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0.035) to enriched (EMORB, Th/La</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0.07), and the isotopic composition spans the entire range observed in EPR MORB. Our data suggest that at the time of melt generation, the source that generated the EMORB was essentially peridotitic, and that the composition of NMORB might not represent melting of a single upper mantle source (DMM), but rather mixing of melts from a two-component mantle (depleted and enriched DMM or D-DMM and E-DMM, respectively). After filtering the volatile element data for secondary processes (degassing, sulfide saturation, assimilation of seawater-derived component, and fractional crystallization), we use the volatiles to ITE ratios of our samples and a two-component mantle melting-mixing model to estimate the volatile content of the D-DMM (CO2=22ppm, H2O=59ppm, F=8ppm, Cl=0.4ppm, and S=100ppm) and the E-DMM (CO2=990ppm, H2O=660ppm, F=31ppm, Cl=22ppm, and S=165ppm). Our two-component mantle melting-mixing model reproduces the kernel density estimates (KDE) of Th/La and 143Nd/144Nd ratios for our samples and for EPR axial MORB compiled from the literature. This model suggests that: (1) 78% of the Pacific upper mantle is highly depleted (D-DMM) while 22% is enriched (E-DMM) in volatile and refractory ITE, (2) the melts produced during variable degrees of melting of the E-DMM controls most of the MORB geochemical variation, and (3) a fraction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65% to 80%) of the low degree EMORB melts (produced by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1.3% melting) may escape melt aggregation by freezing at the base of the oceanic lithosphere, significantly enriching it in volatile and trace element contents. Our results are consistent with previously proposed geodynamical processes acting at mid-ocean ridges and with the generation of the E-DMM. Our observations indicate that the D-DMM and E-DMM have (1) a relatively constant CO2/Cl ratio of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57±8, and (2) volatile and ITE element abundance patterns that can be related by a simple melting event, supporting the hypothesis that the E-DMM is a recycled oceanic lithosphere mantle metasomatized by low degree melts. Our calculation and model give rise to a Pacific upper mantle with volatile content of CO2=235ppm, H2O=191ppm, F=13ppm, Cl=5ppm, and S=114ppm.","container-title":"Geochimica et Cosmochimica Acta","DOI":"10.1016/j.gca.2015.10.033","ISSN":"0016-7037","journalAbbreviation":"Geochimica et Cosmochimica Acta","language":"en","page":"44-80","source":"ScienceDirect","title":"Two-component mantle melting-mixing model for the generation of mid-ocean ridge basalts: Implications for the volatile content of the Pacific upper mantle","title-short":"Two-component mantle melting-mixing model for the generation of mid-ocean ridge basalts","volume":"176","author":[{"family":"Shimizu","given":"Kei"},{"family":"Saal","given":"Alberto E."},{"family":"Myers","given":"Corinne E."},{"family":"Nagle","given":"Ashley N."},{"family":"Hauri","given":"Erik H."},{"family":"Forsyth","given":"Donald W."},{"family":"Kamenetsky","given":"Vadim S."},{"family":"Niu","given":"Yaoling"}],"issued":{"date-parts":[["2016",3,1]]}}}],"schema":"https://github.com/citation-style-language/schema/raw/master/csl-citation.json"} </w:instrText>
      </w:r>
      <w:r w:rsidR="0029761B">
        <w:rPr>
          <w:rFonts w:eastAsia="Times New Roman"/>
          <w:color w:val="000000"/>
          <w:sz w:val="24"/>
          <w:szCs w:val="24"/>
        </w:rPr>
        <w:fldChar w:fldCharType="separate"/>
      </w:r>
      <w:r w:rsidR="0048765A" w:rsidRPr="0048765A">
        <w:rPr>
          <w:sz w:val="24"/>
        </w:rPr>
        <w:t>(S. Li, 2016; Shimizu et al., 2016)</w:t>
      </w:r>
      <w:r w:rsidR="0029761B">
        <w:rPr>
          <w:rFonts w:eastAsia="Times New Roman"/>
          <w:color w:val="000000"/>
          <w:sz w:val="24"/>
          <w:szCs w:val="24"/>
        </w:rPr>
        <w:fldChar w:fldCharType="end"/>
      </w:r>
      <w:r w:rsidR="008B680D">
        <w:rPr>
          <w:rFonts w:eastAsia="Times New Roman"/>
          <w:color w:val="000000"/>
          <w:sz w:val="24"/>
          <w:szCs w:val="24"/>
        </w:rPr>
        <w:t>.</w:t>
      </w:r>
      <w:r>
        <w:rPr>
          <w:rFonts w:eastAsia="Times New Roman"/>
          <w:color w:val="000000"/>
          <w:sz w:val="24"/>
          <w:szCs w:val="24"/>
        </w:rPr>
        <w:t xml:space="preserve"> </w:t>
      </w:r>
    </w:p>
    <w:p w14:paraId="28B0CF76" w14:textId="091EF48F" w:rsidR="00867801" w:rsidRDefault="009E1DFE" w:rsidP="00090E3D">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 We introduced varying levels of hydration to the reflectance simulations using hydrated MORB glass spectra. We chose the hydrated MORB glasses based on their water content range, their visual homogeneity, and having as little alteration as possible </w:t>
      </w:r>
      <w:r w:rsidR="008B680D">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{"citationID":"95r7yPM7","properties":{"formattedCitation":"(S. Li, 2016)","plainCitation":"(S. Li, 2016)","noteIndex":0},"citationItems":[{"id":19,"uris":["http://zotero.org/users/local/lFa3rRs0/items/PQHSFLFJ"],"itemData":{"id":19,"type":"thesis","genre":"PhD Thesis","note":"DOI: https://doi.org/10.7301/Z0R49P73","number-of-pages":"295","publisher":"Brown University","title":"Water on the Lunar Surface as Seen by the Moon Minerology Mapper: Distribution, Abundance, and Origins","author":[{"family":"Li","given":"Shuai"}],"issued":{"date-parts":[["2016"]]}}}],"schema":"https://github.com/citation-style-language/schema/raw/master/csl-citation.json"} </w:instrText>
      </w:r>
      <w:r w:rsidR="008B680D">
        <w:rPr>
          <w:rFonts w:eastAsia="Times New Roman"/>
          <w:color w:val="000000"/>
          <w:sz w:val="24"/>
          <w:szCs w:val="24"/>
        </w:rPr>
        <w:fldChar w:fldCharType="separate"/>
      </w:r>
      <w:r w:rsidR="0048765A" w:rsidRPr="0048765A">
        <w:rPr>
          <w:sz w:val="24"/>
        </w:rPr>
        <w:t>(S. Li, 2016)</w:t>
      </w:r>
      <w:r w:rsidR="008B680D">
        <w:rPr>
          <w:rFonts w:eastAsia="Times New Roman"/>
          <w:color w:val="000000"/>
          <w:sz w:val="24"/>
          <w:szCs w:val="24"/>
        </w:rPr>
        <w:fldChar w:fldCharType="end"/>
      </w:r>
      <w:r>
        <w:rPr>
          <w:rFonts w:eastAsia="Times New Roman"/>
          <w:color w:val="000000"/>
          <w:sz w:val="24"/>
          <w:szCs w:val="24"/>
        </w:rPr>
        <w:t xml:space="preserve">. Crucially, the absolute water content was measured independently by secondary-ion mass spectrometry (SIMS) </w:t>
      </w:r>
      <w:r w:rsidR="008B680D">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{"citationID":"c9NZHTTX","properties":{"formattedCitation":"(Shimizu et al., 2016)","plainCitation":"(Shimizu et al., 2016)","noteIndex":0},"citationItems":[{"id":649,"uris":["http://zotero.org/users/local/lFa3rRs0/items/64B47KMR"],"itemData":{"id":649,"type":"article-journal","abstract":"We report major, trace, and volatile element (CO2, H2O, F, Cl, S) contents and Sr, Nd, and Pb isotopes of mid-ocean ridge basalt (MORB) glasses from the Northern East Pacific Rise (NEPR) off-axis seamounts, the Quebrada-Discovery-GoFar (QDG) transform fault system, and the Macquarie Island. The incompatible trace element (ITE) contents of the samples range from highly depleted (DMORB, Th/La</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0.035) to enriched (EMORB, Th/La</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0.07), and the isotopic composition spans the entire range observed in EPR MORB. Our data suggest that at the time of melt generation, the source that generated the EMORB was essentially peridotitic, and that the composition of NMORB might not represent melting of a single upper mantle source (DMM), but rather mixing of melts from a two-component mantle (depleted and enriched DMM or D-DMM and E-DMM, respectively). After filtering the volatile element data for secondary processes (degassing, sulfide saturation, assimilation of seawater-derived component, and fractional crystallization), we use the volatiles to ITE ratios of our samples and a two-component mantle melting-mixing model to estimate the volatile content of the D-DMM (CO2=22ppm, H2O=59ppm, F=8ppm, Cl=0.4ppm, and S=100ppm) and the E-DMM (CO2=990ppm, H2O=660ppm, F=31ppm, Cl=22ppm, and S=165ppm). Our two-component mantle melting-mixing model reproduces the kernel density estimates (KDE) of Th/La and 143Nd/144Nd ratios for our samples and for EPR axial MORB compiled from the literature. This model suggests that: (1) 78% of the Pacific upper mantle is highly depleted (D-DMM) while 22% is enriched (E-DMM) in volatile and refractory ITE, (2) the melts produced during variable degrees of melting of the E-DMM controls most of the MORB geochemical variation, and (3) a fraction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65% to 80%) of the low degree EMORB melts (produced by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1.3% melting) may escape melt aggregation by freezing at the base of the oceanic lithosphere, significantly enriching it in volatile and trace element contents. Our results are consistent with previously proposed geodynamical processes acting at mid-ocean ridges and with the generation of the E-DMM. Our observations indicate that the D-DMM and E-DMM have (1) a relatively constant CO2/Cl ratio of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57±8, and (2) volatile and ITE element abundance patterns that can be related by a simple melting event, supporting the hypothesis that the E-DMM is a recycled oceanic lithosphere mantle metasomatized by low degree melts. Our calculation and model give rise to a Pacific upper mantle with volatile content of CO2=235ppm, H2O=191ppm, F=13ppm, Cl=5ppm, and S=114ppm.","container-title":"Geochimica et Cosmochimica Acta","DOI":"10.1016/j.gca.2015.10.033","ISSN":"0016-7037","journalAbbreviation":"Geochimica et Cosmochimica Acta","language":"en","page":"44-80","source":"ScienceDirect","title":"Two-component mantle melting-mixing model for the generation of mid-ocean ridge basalts: Implications for the volatile content of the Pacific upper mantle","title-short":"Two-component mantle melting-mixing model for the generation of mid-ocean ridge basalts","volume":"176","author":[{"family":"Shimizu","given":"Kei"},{"family":"Saal","given":"Alberto E."},{"family":"Myers","given":"Corinne E."},{"family":"Nagle","given":"Ashley N."},{"family":"Hauri","given":"Erik H."},{"family":"Forsyth","given":"Donald W."},{"family":"Kamenetsky","given":"Vadim S."},{"family":"Niu","given":"Yaoling"}],"issued":{"date-parts":[["2016",3,1]]}}}],"schema":"https://github.com/citation-style-language/schema/raw/master/csl-citation.json"} </w:instrText>
      </w:r>
      <w:r w:rsidR="008B680D">
        <w:rPr>
          <w:rFonts w:eastAsia="Times New Roman"/>
          <w:color w:val="000000"/>
          <w:sz w:val="24"/>
          <w:szCs w:val="24"/>
        </w:rPr>
        <w:fldChar w:fldCharType="separate"/>
      </w:r>
      <w:r w:rsidR="008B680D" w:rsidRPr="008B680D">
        <w:rPr>
          <w:sz w:val="24"/>
        </w:rPr>
        <w:t>(Shimizu et al., 2016)</w:t>
      </w:r>
      <w:r w:rsidR="008B680D">
        <w:rPr>
          <w:rFonts w:eastAsia="Times New Roman"/>
          <w:color w:val="000000"/>
          <w:sz w:val="24"/>
          <w:szCs w:val="24"/>
        </w:rPr>
        <w:fldChar w:fldCharType="end"/>
      </w:r>
      <w:r>
        <w:rPr>
          <w:rFonts w:eastAsia="Times New Roman"/>
          <w:color w:val="000000"/>
          <w:sz w:val="24"/>
          <w:szCs w:val="24"/>
        </w:rPr>
        <w:t xml:space="preserve">, enabling us to verify the accuracy of our spectroscopic water retrieval. The MORB glasses were heated in a step-wise fashion to remove water allowing for a correlation between the strength of the 3 µm band and water content from SIMS measurements </w:t>
      </w:r>
      <w:r w:rsidR="00624BA4">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{"citationID":"TDxqo58h","properties":{"formattedCitation":"(S. Li &amp; Milliken, 2017)","plainCitation":"(S. Li &amp; Milliken, 2017)","noteIndex":0},"citationItems":[{"id":607,"uris":["http://zotero.org/users/local/lFa3rRs0/items/X2YEI7YD"],"itemData":{"id":607,"type":"article-journal","abstract":"A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1014 g of water averaged over the globe. Formation and migration of water toward cold traps may thus be a continuous process on the Moon and other airless bodies.\nSpectral reflectance data are used to determine the formation, distribution, and variation of water across the lunar surface.\nSpectral reflectance data are used to determine the formation, distribution, and variation of water across the lunar surface.","container-title":"Science Advances","DOI":"10.1126/sciadv.1701471","ISSN":"2375-2548","issue":"9","language":"en","note":"publisher: American Association for the Advancement of Science\nsection: Research Article","page":"e1701471","source":"advances.sciencemag.org","title":"Water on the surface of the Moon as seen by the Moon Mineralogy Mapper: Distribution, abundance, and origins","title-short":"Water on the surface of the Moon as seen by the Moon Mineralogy Mapper","volume":"3","author":[{"family":"Li","given":"Shuai"},{"family":"Milliken","given":"Ralph E."}],"issued":{"date-parts":[["2017",9,1]]}}}],"schema":"https://github.com/citation-style-language/schema/raw/master/csl-citation.json"} </w:instrText>
      </w:r>
      <w:r w:rsidR="00624BA4">
        <w:rPr>
          <w:rFonts w:eastAsia="Times New Roman"/>
          <w:color w:val="000000"/>
          <w:sz w:val="24"/>
          <w:szCs w:val="24"/>
        </w:rPr>
        <w:fldChar w:fldCharType="separate"/>
      </w:r>
      <w:r w:rsidR="0048765A" w:rsidRPr="0048765A">
        <w:rPr>
          <w:sz w:val="24"/>
        </w:rPr>
        <w:t>(S. Li &amp; Milliken, 2017)</w:t>
      </w:r>
      <w:r w:rsidR="00624BA4">
        <w:rPr>
          <w:rFonts w:eastAsia="Times New Roman"/>
          <w:color w:val="000000"/>
          <w:sz w:val="24"/>
          <w:szCs w:val="24"/>
        </w:rPr>
        <w:fldChar w:fldCharType="end"/>
      </w:r>
      <w:r>
        <w:rPr>
          <w:rFonts w:eastAsia="Times New Roman"/>
          <w:color w:val="000000"/>
          <w:sz w:val="24"/>
          <w:szCs w:val="24"/>
        </w:rPr>
        <w:t xml:space="preserve">. These hydrated MORB glasses have been used to estimate the </w:t>
      </w:r>
      <w:r>
        <w:rPr>
          <w:rFonts w:eastAsia="Times New Roman"/>
          <w:color w:val="000000"/>
          <w:sz w:val="24"/>
          <w:szCs w:val="24"/>
        </w:rPr>
        <w:lastRenderedPageBreak/>
        <w:t xml:space="preserve">abundance of water in the lunar 3 µm band of remote sensing datasets </w:t>
      </w:r>
      <w:r w:rsidR="00624BA4">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{"citationID":"8R1m5ETi","properties":{"formattedCitation":"(Honniball et al., 2020; S. Li &amp; Milliken, 2017)","plainCitation":"(Honniball et al., 2020; S. Li &amp; Milliken, 2017)","noteIndex":0},"citationItems":[{"id":15,"uris":["http://zotero.org/users/local/lFa3rRs0/items/FA5YXWFR"],"itemData":{"id":15,"type":"article-journal","abstract":"Prior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M."},{"family":"Takir","given":"D."}],"issued":{"date-parts":[["2020",9]]}}},{"id":607,"uris":["http://zotero.org/users/local/lFa3rRs0/items/X2YEI7YD"],"itemData":{"id":607,"type":"article-journal","abstract":"A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1014 g of water averaged over the globe. Formation and migration of water toward cold traps may thus be a continuous process on the Moon and other airless bodies.\nSpectral reflectance data are used to determine the formation, distribution, and variation of water across the lunar surface.\nSpectral reflectance data are used to determine the formation, distribution, and variation of water across the lunar surface.","container-title":"Science Advances","DOI":"10.1126/sciadv.1701471","ISSN":"2375-2548","issue":"9","language":"en","note":"publisher: American Association for the Advancement of Science\nsection: Research Article","page":"e1701471","source":"advances.sciencemag.org","title":"Water on the surface of the Moon as seen by the Moon Mineralogy Mapper: Distribution, abundance, and origins","title-short":"Water on the surface of the Moon as seen by the Moon Mineralogy Mapper","volume":"3","author":[{"family":"Li","given":"Shuai"},{"family":"Milliken","given":"Ralph E."}],"issued":{"date-parts":[["2017",9,1]]}}}],"schema":"https://github.com/citation-style-language/schema/raw/master/csl-citation.json"} </w:instrText>
      </w:r>
      <w:r w:rsidR="00624BA4">
        <w:rPr>
          <w:rFonts w:eastAsia="Times New Roman"/>
          <w:color w:val="000000"/>
          <w:sz w:val="24"/>
          <w:szCs w:val="24"/>
        </w:rPr>
        <w:fldChar w:fldCharType="separate"/>
      </w:r>
      <w:r w:rsidR="0048765A" w:rsidRPr="0048765A">
        <w:rPr>
          <w:sz w:val="24"/>
        </w:rPr>
        <w:t>(Honniball et al., 2020; S. Li &amp; Milliken, 2017)</w:t>
      </w:r>
      <w:r w:rsidR="00624BA4">
        <w:rPr>
          <w:rFonts w:eastAsia="Times New Roman"/>
          <w:color w:val="000000"/>
          <w:sz w:val="24"/>
          <w:szCs w:val="24"/>
        </w:rPr>
        <w:fldChar w:fldCharType="end"/>
      </w:r>
      <w:r>
        <w:rPr>
          <w:rFonts w:eastAsia="Times New Roman"/>
          <w:color w:val="000000"/>
          <w:sz w:val="24"/>
          <w:szCs w:val="24"/>
        </w:rPr>
        <w:t>.</w:t>
      </w:r>
      <w:r w:rsidR="007E64E6">
        <w:rPr>
          <w:rFonts w:eastAsia="Times New Roman"/>
          <w:color w:val="000000"/>
          <w:sz w:val="24"/>
          <w:szCs w:val="24"/>
        </w:rPr>
        <w:t xml:space="preserve"> The </w:t>
      </w:r>
      <w:r w:rsidR="008B0E6A">
        <w:rPr>
          <w:rFonts w:eastAsia="Times New Roman"/>
          <w:color w:val="000000"/>
          <w:sz w:val="24"/>
          <w:szCs w:val="24"/>
        </w:rPr>
        <w:t xml:space="preserve">Supplementary Material contains </w:t>
      </w:r>
      <w:r w:rsidR="007E64E6">
        <w:rPr>
          <w:rFonts w:eastAsia="Times New Roman"/>
          <w:color w:val="000000"/>
          <w:sz w:val="24"/>
          <w:szCs w:val="24"/>
        </w:rPr>
        <w:t>spectral comparisons</w:t>
      </w:r>
      <w:r w:rsidR="000A438B">
        <w:rPr>
          <w:rFonts w:eastAsia="Times New Roman"/>
          <w:color w:val="000000"/>
          <w:sz w:val="24"/>
          <w:szCs w:val="24"/>
        </w:rPr>
        <w:t xml:space="preserve"> and accompanying discussion</w:t>
      </w:r>
      <w:r w:rsidR="007E64E6">
        <w:rPr>
          <w:rFonts w:eastAsia="Times New Roman"/>
          <w:color w:val="000000"/>
          <w:sz w:val="24"/>
          <w:szCs w:val="24"/>
        </w:rPr>
        <w:t xml:space="preserve"> of the hydrated MORB glasses</w:t>
      </w:r>
      <w:r w:rsidR="008B0E6A">
        <w:rPr>
          <w:rFonts w:eastAsia="Times New Roman"/>
          <w:color w:val="000000"/>
          <w:sz w:val="24"/>
          <w:szCs w:val="24"/>
        </w:rPr>
        <w:t xml:space="preserve"> used here to the </w:t>
      </w:r>
      <w:r w:rsidR="008B0E6A">
        <w:rPr>
          <w:rFonts w:eastAsia="Times New Roman"/>
          <w:color w:val="000000"/>
          <w:sz w:val="24"/>
          <w:szCs w:val="24"/>
        </w:rPr>
        <w:t>3 µm</w:t>
      </w:r>
      <w:r w:rsidR="008B0E6A">
        <w:rPr>
          <w:rFonts w:eastAsia="Times New Roman"/>
          <w:color w:val="000000"/>
          <w:sz w:val="24"/>
          <w:szCs w:val="24"/>
        </w:rPr>
        <w:t xml:space="preserve"> band shape from </w:t>
      </w:r>
      <w:r w:rsidR="008B0E6A">
        <w:rPr>
          <w:rFonts w:eastAsia="Times New Roman"/>
          <w:color w:val="000000"/>
          <w:sz w:val="24"/>
          <w:szCs w:val="24"/>
        </w:rPr>
        <w:t xml:space="preserve">lunar remote sensing data from the </w:t>
      </w:r>
      <w:r w:rsidR="008B0E6A">
        <w:rPr>
          <w:sz w:val="24"/>
          <w:szCs w:val="24"/>
        </w:rPr>
        <w:t>InfraRed Telescope Facility (IRTF</w:t>
      </w:r>
      <w:r w:rsidR="008B0E6A">
        <w:rPr>
          <w:sz w:val="24"/>
          <w:szCs w:val="24"/>
        </w:rPr>
        <w:t>, Figure S1) and</w:t>
      </w:r>
      <w:r w:rsidR="00492346">
        <w:rPr>
          <w:sz w:val="24"/>
          <w:szCs w:val="24"/>
        </w:rPr>
        <w:t xml:space="preserve"> from M</w:t>
      </w:r>
      <w:r w:rsidR="00492346">
        <w:rPr>
          <w:sz w:val="24"/>
          <w:szCs w:val="24"/>
          <w:vertAlign w:val="superscript"/>
        </w:rPr>
        <w:t>3</w:t>
      </w:r>
      <w:r w:rsidR="00492346">
        <w:rPr>
          <w:sz w:val="24"/>
          <w:szCs w:val="24"/>
        </w:rPr>
        <w:t xml:space="preserve"> (Figure S2</w:t>
      </w:r>
      <w:proofErr w:type="gramStart"/>
      <w:r w:rsidR="00492346">
        <w:rPr>
          <w:sz w:val="24"/>
          <w:szCs w:val="24"/>
        </w:rPr>
        <w:t>)</w:t>
      </w:r>
      <w:r w:rsidR="008B0E6A">
        <w:rPr>
          <w:sz w:val="24"/>
          <w:szCs w:val="24"/>
        </w:rPr>
        <w:t>.</w:t>
      </w:r>
      <w:r>
        <w:rPr>
          <w:rFonts w:eastAsia="Times New Roman"/>
          <w:color w:val="000000"/>
          <w:sz w:val="24"/>
          <w:szCs w:val="24"/>
        </w:rPr>
        <w:t>.</w:t>
      </w:r>
      <w:proofErr w:type="gramEnd"/>
      <w:r>
        <w:rPr>
          <w:rFonts w:eastAsia="Times New Roman"/>
          <w:color w:val="000000"/>
          <w:sz w:val="24"/>
          <w:szCs w:val="24"/>
        </w:rPr>
        <w:t xml:space="preserve"> The shape of the MORB 3 µm band can also be compared to the hydroxyl feature in laboratory spectra of proton-irradiated Apollo soils </w:t>
      </w:r>
      <w:r w:rsidR="002D1BC0">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{"citationID":"0mHxany3","properties":{"formattedCitation":"(Ichimura et al., 2012; McLain et al., 2021)","plainCitation":"(Ichimura et al., 2012; McLain et al., 2021)","noteIndex":0},"citationItems":[{"id":656,"uris":["http://zotero.org/users/local/lFa3rRs0/items/S3LTNLA4"],"itemData":{"id":656,"type":"article-journal","container-title":"Earth and Planetary Science Letters","note":"publisher: Elsevier","page":"90–94","title":"Hydroxyl (OH) production on airless planetary bodies: Evidence from H+/D+ ion-beam experiments","volume":"345","author":[{"family":"Ichimura","given":"AS"},{"family":"Zent","given":"AP"},{"family":"Quinn","given":"RC"},{"family":"Sanchez","given":"MR"},{"family":"Taylor","given":"LA"}],"issued":{"date-parts":[["2012"]]}}},{"id":637,"uris":["http://zotero.org/users/local/lFa3rRs0/items/ANI4CWNX"],"itemData":{"id":637,"type":"article-journal","abstract":"Hydroxylation by solar wind protons has been simulated in our laboratory on Apollo 17 lunar sample 78421, a very mature regolith sample that is rich with agglutinates (68%). The goal of this study was to determine the rate of hydroxyl formation and their thermal stability by monitoring changes in the SiOH (hydroxyl) stretching band near 3 μm using diffuse reflectance infrared Fourier transform spectroscopy (DRIFTS). A 2 keV H2+ ion beam was used to simulate proton implantation on 78421 and on a crushed fused silica sample. We find that the OH band does not change unless the samples have been annealed in vacuum prior to irradiation. Qualitatively, the OH bands for the fused silica and 78421 are very different. The OH band for fused silica is centered at 2.74 μm and is relatively sharp ranging from 2.67 to 3.1 μm at full width at half maximum (FWHM), while the OH band for 78421 is centered at 3.0 μm and ranges from 2.74 to 3.37 μm at FWHM. The increase in wavelength and broadened nature of the OH band in 78421 may be associated with the OH’s proximity to surface defects and/or lattice vacancies. The lack of the H2O bending mode at 6.1 μm indicates that any adsorbed terrestrial H2O is below our detection limit, and therefore the H2O stretching mode at 2.9 μm is not significantly contributing to the broad 3 μm OH band and implies that proton implantation by itself does not lead to water formation. To simulate the maximum dayside temperature on the lunar surface, the lunar sample was heated after proton irradiation. The proton induced OH concentration was reduced by as much as 25% after heating to 400 K (127°C).","container-title":"Journal of Geophysical Research: Planets","DOI":"10.1029/2021JE006845","ISSN":"2169-9100","issue":"5","language":"en","note":"_eprint: https://agupubs.onlinelibrary.wiley.com/doi/pdf/10.1029/2021JE006845","page":"e2021JE006845","source":"Wiley Online Library","title":"Hydroxylation of Apollo 17 Soil Sample 78421 by Solar Wind Protons","volume":"126","author":[{"family":"McLain","given":"J. L."},{"family":"Loeffler","given":"M. J."},{"family":"Farrell","given":"W. M."},{"family":"Honniball","given":"C. I."},{"family":"Keller","given":"J. W."},{"family":"Hudson","given":"R."}],"issued":{"date-parts":[["2021"]]}}}],"schema":"https://github.com/citation-style-language/schema/raw/master/csl-citation.json"} </w:instrText>
      </w:r>
      <w:r w:rsidR="002D1BC0">
        <w:rPr>
          <w:rFonts w:eastAsia="Times New Roman"/>
          <w:color w:val="000000"/>
          <w:sz w:val="24"/>
          <w:szCs w:val="24"/>
        </w:rPr>
        <w:fldChar w:fldCharType="separate"/>
      </w:r>
      <w:r w:rsidR="002D1BC0" w:rsidRPr="002D1BC0">
        <w:rPr>
          <w:sz w:val="24"/>
        </w:rPr>
        <w:t>(Ichimura et al., 2012; McLain et al., 2021)</w:t>
      </w:r>
      <w:r w:rsidR="002D1BC0">
        <w:rPr>
          <w:rFonts w:eastAsia="Times New Roman"/>
          <w:color w:val="000000"/>
          <w:sz w:val="24"/>
          <w:szCs w:val="24"/>
        </w:rPr>
        <w:fldChar w:fldCharType="end"/>
      </w:r>
      <w:r w:rsidR="00492346">
        <w:rPr>
          <w:rFonts w:eastAsia="Times New Roman"/>
          <w:color w:val="000000"/>
          <w:sz w:val="24"/>
          <w:szCs w:val="24"/>
        </w:rPr>
        <w:t>.</w:t>
      </w:r>
      <w:r>
        <w:rPr>
          <w:rFonts w:eastAsia="Times New Roman"/>
          <w:color w:val="000000"/>
          <w:sz w:val="24"/>
          <w:szCs w:val="24"/>
        </w:rPr>
        <w:t xml:space="preserve"> </w:t>
      </w:r>
      <w:r>
        <w:rPr>
          <w:sz w:val="24"/>
          <w:szCs w:val="24"/>
        </w:rPr>
        <w:t>U</w:t>
      </w:r>
      <w:r>
        <w:rPr>
          <w:rFonts w:eastAsia="Times New Roman"/>
          <w:color w:val="000000"/>
          <w:sz w:val="24"/>
          <w:szCs w:val="24"/>
        </w:rPr>
        <w:t>biquitous (but unquantified) adsorbed surface water is present in</w:t>
      </w:r>
      <w:r w:rsidR="001E1A21">
        <w:rPr>
          <w:rFonts w:eastAsia="Times New Roman"/>
          <w:color w:val="000000"/>
          <w:sz w:val="24"/>
          <w:szCs w:val="24"/>
        </w:rPr>
        <w:t xml:space="preserve"> the</w:t>
      </w:r>
      <w:r>
        <w:rPr>
          <w:rFonts w:eastAsia="Times New Roman"/>
          <w:color w:val="000000"/>
          <w:sz w:val="24"/>
          <w:szCs w:val="24"/>
        </w:rPr>
        <w:t xml:space="preserve"> laboratory reference spectra</w:t>
      </w:r>
      <w:r w:rsidR="001E1A21">
        <w:rPr>
          <w:rFonts w:eastAsia="Times New Roman"/>
          <w:color w:val="000000"/>
          <w:sz w:val="24"/>
          <w:szCs w:val="24"/>
        </w:rPr>
        <w:t xml:space="preserve"> of Apollo samples we used</w:t>
      </w:r>
      <w:r w:rsidR="004F29A8">
        <w:rPr>
          <w:rFonts w:eastAsia="Times New Roman"/>
          <w:color w:val="000000"/>
          <w:sz w:val="24"/>
          <w:szCs w:val="24"/>
        </w:rPr>
        <w:t xml:space="preserve"> (Figure </w:t>
      </w:r>
      <w:r w:rsidR="005814EB">
        <w:rPr>
          <w:rFonts w:eastAsia="Times New Roman"/>
          <w:color w:val="000000"/>
          <w:sz w:val="24"/>
          <w:szCs w:val="24"/>
        </w:rPr>
        <w:t>S3</w:t>
      </w:r>
      <w:r w:rsidR="004F29A8">
        <w:rPr>
          <w:rFonts w:eastAsia="Times New Roman"/>
          <w:color w:val="000000"/>
          <w:sz w:val="24"/>
          <w:szCs w:val="24"/>
        </w:rPr>
        <w:t>)</w:t>
      </w:r>
      <w:r w:rsidR="00090E3D">
        <w:rPr>
          <w:rFonts w:eastAsia="Times New Roman"/>
          <w:color w:val="000000"/>
          <w:sz w:val="24"/>
          <w:szCs w:val="24"/>
        </w:rPr>
        <w:t xml:space="preserve"> </w:t>
      </w:r>
      <w:r>
        <w:rPr>
          <w:rFonts w:eastAsia="Times New Roman"/>
          <w:color w:val="000000"/>
          <w:sz w:val="24"/>
          <w:szCs w:val="24"/>
        </w:rPr>
        <w:t>due to the high reactivity of lunar soil samples</w:t>
      </w:r>
      <w:r w:rsidR="00090E3D">
        <w:rPr>
          <w:rFonts w:eastAsia="Times New Roman"/>
          <w:color w:val="000000"/>
          <w:sz w:val="24"/>
          <w:szCs w:val="24"/>
        </w:rPr>
        <w:t>, with similar band shape to the hydrated MORB glasses</w:t>
      </w:r>
      <w:r w:rsidR="004F29A8">
        <w:rPr>
          <w:rFonts w:eastAsia="Times New Roman"/>
          <w:color w:val="000000"/>
          <w:sz w:val="24"/>
          <w:szCs w:val="24"/>
        </w:rPr>
        <w:t xml:space="preserve">. </w:t>
      </w:r>
      <w:r>
        <w:rPr>
          <w:rFonts w:eastAsia="Times New Roman"/>
          <w:color w:val="000000"/>
          <w:sz w:val="24"/>
          <w:szCs w:val="24"/>
        </w:rPr>
        <w:t>Based on these comparisons</w:t>
      </w:r>
      <w:r w:rsidR="00A040F8">
        <w:rPr>
          <w:rFonts w:eastAsia="Times New Roman"/>
          <w:color w:val="000000"/>
          <w:sz w:val="24"/>
          <w:szCs w:val="24"/>
        </w:rPr>
        <w:t xml:space="preserve"> and its prior use in interpreting lunar remote sensing datasets</w:t>
      </w:r>
      <w:r>
        <w:rPr>
          <w:rFonts w:eastAsia="Times New Roman"/>
          <w:color w:val="000000"/>
          <w:sz w:val="24"/>
          <w:szCs w:val="24"/>
        </w:rPr>
        <w:t xml:space="preserve"> we believe that the MORB glass spectra represents the best </w:t>
      </w:r>
      <w:r>
        <w:rPr>
          <w:sz w:val="24"/>
          <w:szCs w:val="24"/>
        </w:rPr>
        <w:t xml:space="preserve">quantitative </w:t>
      </w:r>
      <w:r>
        <w:rPr>
          <w:rFonts w:eastAsia="Times New Roman"/>
          <w:color w:val="000000"/>
          <w:sz w:val="24"/>
          <w:szCs w:val="24"/>
        </w:rPr>
        <w:t>method of introducing hydration signatures into our spectral mixtures.</w:t>
      </w:r>
    </w:p>
    <w:p w14:paraId="28B0CF77" w14:textId="79071B64"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In our simulations we separated highlands and mare datasets to test the effects of terrain type on the multispectral reflectance retrieval. For both the highlands and mare datasets, each spectrum was generated from a random mixture of mature and immature Apollo sample spectra, an Apollo pyroxene spectrum, and a MORB spectrum. Representative mature and immature mare sample spectra were selected from Taylor, et al. </w:t>
      </w:r>
      <w:r w:rsidR="007B7024">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{"citationID":"kE9pHbnR","properties":{"formattedCitation":"(Taylor et al., 2001)","plainCitation":"(Taylor et al., 2001)","noteIndex":0},"citationItems":[{"id":587,"uris":["http://zotero.org/users/local/lFa3rRs0/items/CDCTKR2F"],"itemData":{"id":587,"type":"article-journal","container-title":"Journal of Geophysical Research: Planets","issue":"E11","note":"publisher: Wiley Online Library","page":"27985–27999","title":"Lunar mare soils: Space weathering and the major effects of surface-correlated nanophase Fe","volume":"106","author":[{"family":"Taylor","given":"Lawrence A"},{"family":"Pieters","given":"Carlé M"},{"family":"Keller","given":"Lindsay P"},{"family":"Morris","given":"Richard V"},{"family":"McKay","given":"David S"}],"issued":{"date-parts":[["2001"]]}}}],"schema":"https://github.com/citation-style-language/schema/raw/master/csl-citation.json"} </w:instrText>
      </w:r>
      <w:r w:rsidR="007B7024">
        <w:rPr>
          <w:rFonts w:eastAsia="Times New Roman"/>
          <w:color w:val="000000"/>
          <w:sz w:val="24"/>
          <w:szCs w:val="24"/>
        </w:rPr>
        <w:fldChar w:fldCharType="separate"/>
      </w:r>
      <w:r w:rsidR="007B7024" w:rsidRPr="007B7024">
        <w:rPr>
          <w:sz w:val="24"/>
        </w:rPr>
        <w:t>(Taylor et al., 2001)</w:t>
      </w:r>
      <w:r w:rsidR="007B7024">
        <w:rPr>
          <w:rFonts w:eastAsia="Times New Roman"/>
          <w:color w:val="000000"/>
          <w:sz w:val="24"/>
          <w:szCs w:val="24"/>
        </w:rPr>
        <w:fldChar w:fldCharType="end"/>
      </w:r>
      <w:r>
        <w:rPr>
          <w:rFonts w:eastAsia="Times New Roman"/>
          <w:color w:val="000000"/>
          <w:sz w:val="24"/>
          <w:szCs w:val="24"/>
        </w:rPr>
        <w:t xml:space="preserve">, and mature and immature highlands sample spectra were selected from Taylor, et al. </w:t>
      </w:r>
      <w:r w:rsidR="007B7024">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{"citationID":"kgjrhovc","properties":{"formattedCitation":"(Taylor et al., 2010)","plainCitation":"(Taylor et al., 2010)","noteIndex":0},"citationItems":[{"id":586,"uris":["http://zotero.org/users/local/lFa3rRs0/items/WBSXD23P"],"itemData":{"id":586,"type":"article-journal","container-title":"Journal of Geophysical Research: Planets","issue":"E2","note":"publisher: Wiley Online Library","title":"Mineralogical and chemical characterization of lunar highland soils: Insights into the space weathering of soils on airless bodies","volume":"115","author":[{"family":"Taylor","given":"Lawrence A"},{"family":"Pieters","given":"Carlé"},{"family":"Patchen","given":"Allan"},{"family":"Taylor","given":"Dong-Hwa S"},{"family":"Morris","given":"Richard V"},{"family":"Keller","given":"Lindsay P"},{"family":"McKay","given":"David S"}],"issued":{"date-parts":[["2010"]]}}}],"schema":"https://github.com/citation-style-language/schema/raw/master/csl-citation.json"} </w:instrText>
      </w:r>
      <w:r w:rsidR="007B7024">
        <w:rPr>
          <w:rFonts w:eastAsia="Times New Roman"/>
          <w:color w:val="000000"/>
          <w:sz w:val="24"/>
          <w:szCs w:val="24"/>
        </w:rPr>
        <w:fldChar w:fldCharType="separate"/>
      </w:r>
      <w:r w:rsidR="007B7024" w:rsidRPr="007B7024">
        <w:rPr>
          <w:sz w:val="24"/>
        </w:rPr>
        <w:t>(Taylor et al., 2010)</w:t>
      </w:r>
      <w:r w:rsidR="007B7024">
        <w:rPr>
          <w:rFonts w:eastAsia="Times New Roman"/>
          <w:color w:val="000000"/>
          <w:sz w:val="24"/>
          <w:szCs w:val="24"/>
        </w:rPr>
        <w:fldChar w:fldCharType="end"/>
      </w:r>
      <w:r>
        <w:rPr>
          <w:rFonts w:eastAsia="Times New Roman"/>
          <w:color w:val="000000"/>
          <w:sz w:val="24"/>
          <w:szCs w:val="24"/>
        </w:rPr>
        <w:t>. The mature mare sample had 15.7% pyroxene abundance and the immature mare sample had 20.5% pyroxene abundance in the 20 to 45 µm size fraction</w:t>
      </w:r>
      <w:r w:rsidR="00201C98">
        <w:rPr>
          <w:rFonts w:eastAsia="Times New Roman"/>
          <w:color w:val="000000"/>
          <w:sz w:val="24"/>
          <w:szCs w:val="24"/>
        </w:rPr>
        <w:t xml:space="preserve"> </w:t>
      </w:r>
      <w:r w:rsidR="00201C98">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{"citationID":"adBHUxe1","properties":{"formattedCitation":"(Taylor et al., 2001)","plainCitation":"(Taylor et al., 2001)","noteIndex":0},"citationItems":[{"id":587,"uris":["http://zotero.org/users/local/lFa3rRs0/items/CDCTKR2F"],"itemData":{"id":587,"type":"article-journal","container-title":"Journal of Geophysical Research: Planets","issue":"E11","note":"publisher: Wiley Online Library","page":"27985–27999","title":"Lunar mare soils: Space weathering and the major effects of surface-correlated nanophase Fe","volume":"106","author":[{"family":"Taylor","given":"Lawrence A"},{"family":"Pieters","given":"Carlé M"},{"family":"Keller","given":"Lindsay P"},{"family":"Morris","given":"Richard V"},{"family":"McKay","given":"David S"}],"issued":{"date-parts":[["2001"]]}}}],"schema":"https://github.com/citation-style-language/schema/raw/master/csl-citation.json"} </w:instrText>
      </w:r>
      <w:r w:rsidR="00201C98">
        <w:rPr>
          <w:rFonts w:eastAsia="Times New Roman"/>
          <w:color w:val="000000"/>
          <w:sz w:val="24"/>
          <w:szCs w:val="24"/>
        </w:rPr>
        <w:fldChar w:fldCharType="separate"/>
      </w:r>
      <w:r w:rsidR="00201C98" w:rsidRPr="00201C98">
        <w:rPr>
          <w:sz w:val="24"/>
        </w:rPr>
        <w:t>(Taylor et al., 2001)</w:t>
      </w:r>
      <w:r w:rsidR="00201C98">
        <w:rPr>
          <w:rFonts w:eastAsia="Times New Roman"/>
          <w:color w:val="000000"/>
          <w:sz w:val="24"/>
          <w:szCs w:val="24"/>
        </w:rPr>
        <w:fldChar w:fldCharType="end"/>
      </w:r>
      <w:r w:rsidR="00201C98">
        <w:rPr>
          <w:rFonts w:eastAsia="Times New Roman"/>
          <w:color w:val="000000"/>
          <w:sz w:val="24"/>
          <w:szCs w:val="24"/>
        </w:rPr>
        <w:t>.</w:t>
      </w:r>
      <w:r>
        <w:rPr>
          <w:rFonts w:eastAsia="Times New Roman"/>
          <w:color w:val="000000"/>
          <w:sz w:val="24"/>
          <w:szCs w:val="24"/>
        </w:rPr>
        <w:t xml:space="preserve"> The mature highlands sample had 5.1% and pyroxene abundance and the immature highlands sample had 7.4% pyroxene abundance in the 20 to 45 µm size fraction </w:t>
      </w:r>
      <w:r w:rsidR="00201C98">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{"citationID":"xBErs8YE","properties":{"formattedCitation":"(Taylor et al., 2010)","plainCitation":"(Taylor et al., 2010)","noteIndex":0},"citationItems":[{"id":586,"uris":["http://zotero.org/users/local/lFa3rRs0/items/WBSXD23P"],"itemData":{"id":586,"type":"article-journal","container-title":"Journal of Geophysical Research: Planets","issue":"E2","note":"publisher: Wiley Online Library","title":"Mineralogical and chemical characterization of lunar highland soils: Insights into the space weathering of soils on airless bodies","volume":"115","author":[{"family":"Taylor","given":"Lawrence A"},{"family":"Pieters","given":"Carlé"},{"family":"Patchen","given":"Allan"},{"family":"Taylor","given":"Dong-Hwa S"},{"family":"Morris","given":"Richard V"},{"family":"Keller","given":"Lindsay P"},{"family":"McKay","given":"David S"}],"issued":{"date-parts":[["2010"]]}}}],"schema":"https://github.com/citation-style-language/schema/raw/master/csl-citation.json"} </w:instrText>
      </w:r>
      <w:r w:rsidR="00201C98">
        <w:rPr>
          <w:rFonts w:eastAsia="Times New Roman"/>
          <w:color w:val="000000"/>
          <w:sz w:val="24"/>
          <w:szCs w:val="24"/>
        </w:rPr>
        <w:fldChar w:fldCharType="separate"/>
      </w:r>
      <w:r w:rsidR="00201C98" w:rsidRPr="00201C98">
        <w:rPr>
          <w:sz w:val="24"/>
        </w:rPr>
        <w:t>(Taylor et al., 2010)</w:t>
      </w:r>
      <w:r w:rsidR="00201C98">
        <w:rPr>
          <w:rFonts w:eastAsia="Times New Roman"/>
          <w:color w:val="000000"/>
          <w:sz w:val="24"/>
          <w:szCs w:val="24"/>
        </w:rPr>
        <w:fldChar w:fldCharType="end"/>
      </w:r>
      <w:r>
        <w:rPr>
          <w:rFonts w:eastAsia="Times New Roman"/>
          <w:color w:val="000000"/>
          <w:sz w:val="24"/>
          <w:szCs w:val="24"/>
        </w:rPr>
        <w:t xml:space="preserve">. We also included varying amounts of additional pyroxene in the mixtures to test whether its presence affects the 3 µm band depth determination. Pyroxenes exhibit an absorption band </w:t>
      </w:r>
      <w:r>
        <w:rPr>
          <w:sz w:val="24"/>
          <w:szCs w:val="24"/>
        </w:rPr>
        <w:t xml:space="preserve">that can extend from </w:t>
      </w:r>
      <w:r>
        <w:rPr>
          <w:rFonts w:eastAsia="Times New Roman"/>
          <w:color w:val="000000"/>
          <w:sz w:val="24"/>
          <w:szCs w:val="24"/>
        </w:rPr>
        <w:t>1.</w:t>
      </w:r>
      <w:r>
        <w:rPr>
          <w:sz w:val="24"/>
          <w:szCs w:val="24"/>
        </w:rPr>
        <w:t>4</w:t>
      </w:r>
      <w:r>
        <w:rPr>
          <w:rFonts w:eastAsia="Times New Roman"/>
          <w:color w:val="000000"/>
          <w:sz w:val="24"/>
          <w:szCs w:val="24"/>
        </w:rPr>
        <w:t xml:space="preserve"> to 2.</w:t>
      </w:r>
      <w:r>
        <w:rPr>
          <w:sz w:val="24"/>
          <w:szCs w:val="24"/>
        </w:rPr>
        <w:t>6</w:t>
      </w:r>
      <w:r>
        <w:rPr>
          <w:rFonts w:eastAsia="Times New Roman"/>
          <w:color w:val="000000"/>
          <w:sz w:val="24"/>
          <w:szCs w:val="24"/>
        </w:rPr>
        <w:t xml:space="preserve"> µm corresponding to a crystal field transition in Fe</w:t>
      </w:r>
      <w:r>
        <w:rPr>
          <w:rFonts w:eastAsia="Times New Roman"/>
          <w:color w:val="000000"/>
          <w:sz w:val="24"/>
          <w:szCs w:val="24"/>
          <w:vertAlign w:val="superscript"/>
        </w:rPr>
        <w:t>2+</w:t>
      </w:r>
      <w:r>
        <w:rPr>
          <w:rFonts w:eastAsia="Times New Roman"/>
          <w:color w:val="000000"/>
          <w:sz w:val="24"/>
          <w:szCs w:val="24"/>
        </w:rPr>
        <w:t xml:space="preserve"> </w:t>
      </w:r>
      <w:r w:rsidR="00A711BC">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{"citationID":"sG5dr77Y","properties":{"formattedCitation":"(Burns, 1993; Cloutis, 2002; Sunshine &amp; Pieters, 1993)","plainCitation":"(Burns, 1993; Cloutis, 2002; Sunshine &amp; Pieters, 1993)","noteIndex":0},"citationItems":[{"id":654,"uris":["http://zotero.org/users/local/lFa3rRs0/items/9UKKG5BB"],"itemData":{"id":654,"type":"book","collection-title":"Cambridge Topics in Mineral Physics and Chemistry","edition":"2","note":"DOI: 10.1017/CBO9780511524899","publisher":"Cambridge University Press","title":"Mineralogical Applications of Crystal Field Theory","author":[{"family":"Burns","given":"Roger G."}],"issued":{"date-parts":[["1993"]]}}},{"id":17,"uris":["http://zotero.org/users/local/lFa3rRs0/items/I84FHEID"],"itemData":{"id":17,"type":"article-journal","abstract":"Reflectance spectra of a suite of compositionally diverse pyroxenes exhibit variable spectral properties which are associated with various elemental substitutions. Those associated with transition series elements, such as Cr, Ti, V, and Mn, give rise to a number of minor absorption bands in the visible spectral region and, in some cases (e.g., Mn), at longer wavelengths. Substitutions by other cations, such as Li and Zr, do not result in distinct absorption bands. The spectra of these pyroxenes are dominated by the transition series elements that may be present in the samples. The visible wavelength region of low-calcium pyroxene reflectance spectra exhibit a number of absorption bands which are attributable to Fe2+ spin-forbidden crystal field transitions. Fe2+ -Fe3+ intervalence charge transfer absorption bands near 0.77 μm are common in terrestrial pyroxenes which contain both ferrous and ferric iron. Collectively, these results indicate that the presence of various transition series elements can be detected in reflectance spectra and that their oxidation states and site occupancies can also be determined on the basis of unique spectral characteristics present in their reflectance spectra, thereby greatly increasing the range of compositional information which can be derived from analysis of their reflectance spectra.","container-title":"Journal of Geophysical Research: Planets","DOI":"10.1029/2001JE001590","ISSN":"2156-2202","issue":"E6","note":"publisher: John Wiley &amp; Sons, Ltd","page":"6–1","title":"Pyroxene reflectance spectra: Minor absorption bands and effects of elemental substitutions","volume":"107","author":[{"family":"Cloutis","given":"Edward A."}],"issued":{"date-parts":[["2002",6]]}}},{"id":655,"uris":["http://zotero.org/users/local/lFa3rRs0/items/EXSH9CCE"],"itemData":{"id":655,"type":"article-journal","container-title":"Journal of Geophysical Research: Planets","issue":"E5","note":"publisher: Wiley Online Library","page":"9075–9087","title":"Estimating modal abundances from the spectra of natural and laboratory pyroxene mixtures using the modified Gaussian model","volume":"98","author":[{"family":"Sunshine","given":"Jessica M"},{"family":"Pieters","given":"Carlé M"}],"issued":{"date-parts":[["1993"]]}}}],"schema":"https://github.com/citation-style-language/schema/raw/master/csl-citation.json"} </w:instrText>
      </w:r>
      <w:r w:rsidR="00A711BC">
        <w:rPr>
          <w:rFonts w:eastAsia="Times New Roman"/>
          <w:color w:val="000000"/>
          <w:sz w:val="24"/>
          <w:szCs w:val="24"/>
        </w:rPr>
        <w:fldChar w:fldCharType="separate"/>
      </w:r>
      <w:r w:rsidR="00A711BC" w:rsidRPr="00A711BC">
        <w:rPr>
          <w:sz w:val="24"/>
        </w:rPr>
        <w:t>(Burns, 1993; Cloutis, 2002; Sunshine &amp; Pieters, 1993)</w:t>
      </w:r>
      <w:r w:rsidR="00A711BC">
        <w:rPr>
          <w:rFonts w:eastAsia="Times New Roman"/>
          <w:color w:val="000000"/>
          <w:sz w:val="24"/>
          <w:szCs w:val="24"/>
        </w:rPr>
        <w:fldChar w:fldCharType="end"/>
      </w:r>
      <w:r>
        <w:rPr>
          <w:rFonts w:eastAsia="Times New Roman"/>
          <w:color w:val="000000"/>
          <w:sz w:val="24"/>
          <w:szCs w:val="24"/>
        </w:rPr>
        <w:t xml:space="preserve">. This broad absorption may coincide with the onset edge of the hydration band, affecting the continuum from which the band depth is determined. The list of Apollo soil samples, spectra labels, and abundance ranges for the mixtures are given in Table 1. The abundance ranges for the glass and overall pyroxene were chosen to </w:t>
      </w:r>
      <w:r>
        <w:rPr>
          <w:sz w:val="24"/>
          <w:szCs w:val="24"/>
        </w:rPr>
        <w:t xml:space="preserve">mimic </w:t>
      </w:r>
      <w:r>
        <w:rPr>
          <w:rFonts w:eastAsia="Times New Roman"/>
          <w:color w:val="000000"/>
          <w:sz w:val="24"/>
          <w:szCs w:val="24"/>
        </w:rPr>
        <w:t xml:space="preserve">the heterogeneity of the lunar surface based on data from Lunar Sourcebook (Table 5.1) </w:t>
      </w:r>
      <w:r w:rsidR="00D37AAE">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{"citationID":"RFVlSeSB","properties":{"formattedCitation":"(Papike et al., 1991)","plainCitation":"(Papike et al., 1991)","noteIndex":0},"citationItems":[{"id":691,"uris":["http://zotero.org/users/local/lFa3rRs0/items/QQSTT2AF"],"itemData":{"id":691,"type":"article-journal","container-title":"Lunar sourcebook: A user’s guide to the Moon","note":"publisher: Cambridge University Press Cambridge","page":"121–181","title":"Lunar Minerals","author":[{"family":"Papike","given":"James"},{"family":"Taylor","given":"Lawerence"},{"family":"Simon","given":"Steven"}],"issued":{"date-parts":[["1991"]]}}}],"schema":"https://github.com/citation-style-language/schema/raw/master/csl-citation.json"} </w:instrText>
      </w:r>
      <w:r w:rsidR="00D37AAE">
        <w:rPr>
          <w:rFonts w:eastAsia="Times New Roman"/>
          <w:color w:val="000000"/>
          <w:sz w:val="24"/>
          <w:szCs w:val="24"/>
        </w:rPr>
        <w:fldChar w:fldCharType="separate"/>
      </w:r>
      <w:r w:rsidR="00D37AAE" w:rsidRPr="00D37AAE">
        <w:rPr>
          <w:sz w:val="24"/>
        </w:rPr>
        <w:t>(Papike et al., 1991)</w:t>
      </w:r>
      <w:r w:rsidR="00D37AAE">
        <w:rPr>
          <w:rFonts w:eastAsia="Times New Roman"/>
          <w:color w:val="000000"/>
          <w:sz w:val="24"/>
          <w:szCs w:val="24"/>
        </w:rPr>
        <w:fldChar w:fldCharType="end"/>
      </w:r>
      <w:r>
        <w:rPr>
          <w:rFonts w:eastAsia="Times New Roman"/>
          <w:color w:val="000000"/>
          <w:sz w:val="24"/>
          <w:szCs w:val="24"/>
        </w:rPr>
        <w:t>.</w:t>
      </w:r>
    </w:p>
    <w:p w14:paraId="28B0CF78" w14:textId="6A8AC3F4"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Finally, we endeavored to test our multispectral lidar retrieval method on a mixture containing a non-MORB glass, also with precisely known water content, to assess how differences in the 3 µm band shape affected the retrieval. For this we used RELAB spectra of orange and yellow synthetic lunar glasses. These glasses have the same bulk chemical composition as green and orange glasses found in Apollo samples. Importantly, the water abundance in the glasses was measured via SIMS by Wetzel and co-authors </w:t>
      </w:r>
      <w:r w:rsidR="00D37AAE">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{"citationID":"ziqIcd2K","properties":{"formattedCitation":"(Wetzel et al., 2015)","plainCitation":"(Wetzel et al., 2015)","noteIndex":0},"citationItems":[{"id":669,"uris":["http://zotero.org/users/local/lFa3rRs0/items/3LF2SIQA"],"itemData":{"id":669,"type":"article-journal","abstract":"The volatile-rich eruptions required to produce the lunar volcanic glasses are at odds with a volatile-poor Moon. Analyses of the glasses suggest that there was enough of the volatile element carbon in the parent magmas to drive the eruptions.","container-title":"Nature Geoscience","DOI":"10.1038/ngeo2511","ISSN":"1752-0908","issue":"10","journalAbbreviation":"Nature Geosci","language":"en","note":"Bandiera_abtest: a\nCg_type: Nature Research Journals\nnumber: 10\nPrimary_atype: Research\npublisher: Nature Publishing Group\nSubject_term: Geochemistry;Inner planets;Volcanology\nSubject_term_id: geochemistry;inner-planets;volcanology","page":"755-758","source":"www.nature.com","title":"Carbon content and degassing history of the lunar volcanic glasses","volume":"8","author":[{"family":"Wetzel","given":"Diane T."},{"family":"Hauri","given":"Erik H."},{"family":"Saal","given":"Alberto E."},{"family":"Rutherford","given":"Malcolm J."}],"issued":{"date-parts":[["2015",10]]}}}],"schema":"https://github.com/citation-style-language/schema/raw/master/csl-citation.json"} </w:instrText>
      </w:r>
      <w:r w:rsidR="00D37AAE">
        <w:rPr>
          <w:rFonts w:eastAsia="Times New Roman"/>
          <w:color w:val="000000"/>
          <w:sz w:val="24"/>
          <w:szCs w:val="24"/>
        </w:rPr>
        <w:fldChar w:fldCharType="separate"/>
      </w:r>
      <w:r w:rsidR="00D37AAE" w:rsidRPr="00D37AAE">
        <w:rPr>
          <w:sz w:val="24"/>
        </w:rPr>
        <w:t>(Wetzel et al., 2015)</w:t>
      </w:r>
      <w:r w:rsidR="00D37AAE">
        <w:rPr>
          <w:rFonts w:eastAsia="Times New Roman"/>
          <w:color w:val="000000"/>
          <w:sz w:val="24"/>
          <w:szCs w:val="24"/>
        </w:rPr>
        <w:fldChar w:fldCharType="end"/>
      </w:r>
      <w:r>
        <w:rPr>
          <w:rFonts w:eastAsia="Times New Roman"/>
          <w:color w:val="000000"/>
          <w:sz w:val="24"/>
          <w:szCs w:val="24"/>
        </w:rPr>
        <w:t>, which allows us to use it to create spectral mixtures with a known total water amount. The orange synthetic lunar glass had a total water content of 390 ppm, and the yellow synthetic lunar glass had a total water content of 305 ppm as measured by SIMS.</w:t>
      </w:r>
    </w:p>
    <w:p w14:paraId="28B0CF79" w14:textId="77777777" w:rsidR="00867801" w:rsidRDefault="009E1DFE">
      <w:pPr>
        <w:pBdr>
          <w:top w:val="nil"/>
          <w:left w:val="nil"/>
          <w:bottom w:val="nil"/>
          <w:right w:val="nil"/>
          <w:between w:val="nil"/>
        </w:pBdr>
        <w:spacing w:before="120"/>
        <w:rPr>
          <w:rFonts w:eastAsia="Times New Roman"/>
          <w:b/>
          <w:color w:val="000000"/>
          <w:sz w:val="24"/>
          <w:szCs w:val="24"/>
        </w:rPr>
      </w:pPr>
      <w:r>
        <w:rPr>
          <w:rFonts w:eastAsia="Times New Roman"/>
          <w:b/>
          <w:color w:val="000000"/>
          <w:sz w:val="24"/>
          <w:szCs w:val="24"/>
        </w:rPr>
        <w:t>Table 1</w:t>
      </w:r>
    </w:p>
    <w:p w14:paraId="28B0CF7A" w14:textId="77777777" w:rsidR="00867801" w:rsidRDefault="009E1DFE">
      <w:pPr>
        <w:pBdr>
          <w:top w:val="nil"/>
          <w:left w:val="nil"/>
          <w:bottom w:val="nil"/>
          <w:right w:val="nil"/>
          <w:between w:val="nil"/>
        </w:pBdr>
        <w:spacing w:before="120"/>
        <w:rPr>
          <w:rFonts w:eastAsia="Times New Roman"/>
          <w:i/>
          <w:color w:val="000000"/>
          <w:sz w:val="24"/>
          <w:szCs w:val="24"/>
        </w:rPr>
      </w:pPr>
      <w:r>
        <w:rPr>
          <w:rFonts w:eastAsia="Times New Roman"/>
          <w:i/>
          <w:color w:val="000000"/>
          <w:sz w:val="24"/>
          <w:szCs w:val="24"/>
        </w:rPr>
        <w:t>Information on endmember spectra used to generate intimate mixtures. The main simulations used mixtures of the top six endmembers. Additional limited simulations were performed using the synthetic lunar glasses.</w:t>
      </w:r>
    </w:p>
    <w:tbl>
      <w:tblPr>
        <w:tblStyle w:val="a"/>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1"/>
        <w:gridCol w:w="2549"/>
        <w:gridCol w:w="1350"/>
        <w:gridCol w:w="1440"/>
        <w:gridCol w:w="1890"/>
      </w:tblGrid>
      <w:tr w:rsidR="00867801" w14:paraId="28B0CF80" w14:textId="77777777" w:rsidTr="008678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1" w:type="dxa"/>
            <w:shd w:val="clear" w:color="auto" w:fill="FFFFFF"/>
          </w:tcPr>
          <w:p w14:paraId="28B0CF7B"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lastRenderedPageBreak/>
              <w:t>Endmember</w:t>
            </w:r>
          </w:p>
        </w:tc>
        <w:tc>
          <w:tcPr>
            <w:tcW w:w="2549" w:type="dxa"/>
            <w:shd w:val="clear" w:color="auto" w:fill="FFFFFF"/>
          </w:tcPr>
          <w:p w14:paraId="28B0CF7C" w14:textId="77777777" w:rsidR="00867801" w:rsidRDefault="009E1DFE">
            <w:pPr>
              <w:pBdr>
                <w:top w:val="nil"/>
                <w:left w:val="nil"/>
                <w:bottom w:val="nil"/>
                <w:right w:val="nil"/>
                <w:between w:val="nil"/>
              </w:pBdr>
              <w:spacing w:before="120"/>
              <w:cnfStyle w:val="100000000000" w:firstRow="1"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b w:val="0"/>
                <w:color w:val="000000"/>
                <w:sz w:val="22"/>
                <w:szCs w:val="22"/>
              </w:rPr>
              <w:t>Sample/Spectrum label</w:t>
            </w:r>
          </w:p>
        </w:tc>
        <w:tc>
          <w:tcPr>
            <w:tcW w:w="1350" w:type="dxa"/>
            <w:shd w:val="clear" w:color="auto" w:fill="FFFFFF"/>
          </w:tcPr>
          <w:p w14:paraId="28B0CF7D" w14:textId="77777777" w:rsidR="00867801" w:rsidRDefault="009E1DFE">
            <w:pPr>
              <w:pBdr>
                <w:top w:val="nil"/>
                <w:left w:val="nil"/>
                <w:bottom w:val="nil"/>
                <w:right w:val="nil"/>
                <w:between w:val="nil"/>
              </w:pBdr>
              <w:spacing w:before="120"/>
              <w:cnfStyle w:val="100000000000" w:firstRow="1"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b w:val="0"/>
                <w:color w:val="000000"/>
                <w:sz w:val="22"/>
                <w:szCs w:val="22"/>
              </w:rPr>
              <w:t>Grain Size</w:t>
            </w:r>
          </w:p>
        </w:tc>
        <w:tc>
          <w:tcPr>
            <w:tcW w:w="1440" w:type="dxa"/>
            <w:shd w:val="clear" w:color="auto" w:fill="FFFFFF"/>
          </w:tcPr>
          <w:p w14:paraId="28B0CF7E" w14:textId="77777777" w:rsidR="00867801" w:rsidRDefault="009E1DFE">
            <w:pPr>
              <w:pBdr>
                <w:top w:val="nil"/>
                <w:left w:val="nil"/>
                <w:bottom w:val="nil"/>
                <w:right w:val="nil"/>
                <w:between w:val="nil"/>
              </w:pBdr>
              <w:spacing w:before="120"/>
              <w:cnfStyle w:val="100000000000" w:firstRow="1"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b w:val="0"/>
                <w:color w:val="000000"/>
                <w:sz w:val="22"/>
                <w:szCs w:val="22"/>
              </w:rPr>
              <w:t>Minimum abundance</w:t>
            </w:r>
          </w:p>
        </w:tc>
        <w:tc>
          <w:tcPr>
            <w:tcW w:w="1890" w:type="dxa"/>
            <w:shd w:val="clear" w:color="auto" w:fill="FFFFFF"/>
          </w:tcPr>
          <w:p w14:paraId="28B0CF7F" w14:textId="77777777" w:rsidR="00867801" w:rsidRDefault="009E1DFE">
            <w:pPr>
              <w:pBdr>
                <w:top w:val="nil"/>
                <w:left w:val="nil"/>
                <w:bottom w:val="nil"/>
                <w:right w:val="nil"/>
                <w:between w:val="nil"/>
              </w:pBdr>
              <w:spacing w:before="120"/>
              <w:cnfStyle w:val="100000000000" w:firstRow="1"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b w:val="0"/>
                <w:color w:val="000000"/>
                <w:sz w:val="22"/>
                <w:szCs w:val="22"/>
              </w:rPr>
              <w:t>Maximum abundance</w:t>
            </w:r>
          </w:p>
        </w:tc>
      </w:tr>
      <w:tr w:rsidR="00867801" w14:paraId="28B0CF86"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1" w:type="dxa"/>
            <w:shd w:val="clear" w:color="auto" w:fill="FFFFFF"/>
            <w:vAlign w:val="center"/>
          </w:tcPr>
          <w:p w14:paraId="28B0CF81"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Mature highlands</w:t>
            </w:r>
          </w:p>
        </w:tc>
        <w:tc>
          <w:tcPr>
            <w:tcW w:w="2549" w:type="dxa"/>
            <w:shd w:val="clear" w:color="auto" w:fill="FFFFFF"/>
            <w:vAlign w:val="center"/>
          </w:tcPr>
          <w:p w14:paraId="28B0CF82" w14:textId="77777777" w:rsidR="00867801" w:rsidRDefault="009E1DFE">
            <w:pPr>
              <w:pBdr>
                <w:top w:val="nil"/>
                <w:left w:val="nil"/>
                <w:bottom w:val="nil"/>
                <w:right w:val="nil"/>
                <w:between w:val="nil"/>
              </w:pBdr>
              <w:spacing w:before="120"/>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62231/LR-CMP-098</w:t>
            </w:r>
          </w:p>
        </w:tc>
        <w:tc>
          <w:tcPr>
            <w:tcW w:w="1350" w:type="dxa"/>
            <w:shd w:val="clear" w:color="auto" w:fill="FFFFFF"/>
          </w:tcPr>
          <w:p w14:paraId="28B0CF83"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20-45 µm</w:t>
            </w:r>
          </w:p>
        </w:tc>
        <w:tc>
          <w:tcPr>
            <w:tcW w:w="1440" w:type="dxa"/>
            <w:shd w:val="clear" w:color="auto" w:fill="FFFFFF"/>
            <w:vAlign w:val="center"/>
          </w:tcPr>
          <w:p w14:paraId="28B0CF84"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w:t>
            </w:r>
            <w:r>
              <w:rPr>
                <w:sz w:val="22"/>
                <w:szCs w:val="22"/>
              </w:rPr>
              <w:t>2</w:t>
            </w:r>
          </w:p>
        </w:tc>
        <w:tc>
          <w:tcPr>
            <w:tcW w:w="1890" w:type="dxa"/>
            <w:shd w:val="clear" w:color="auto" w:fill="FFFFFF"/>
            <w:vAlign w:val="center"/>
          </w:tcPr>
          <w:p w14:paraId="28B0CF85"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vertAlign w:val="superscript"/>
              </w:rPr>
            </w:pPr>
            <w:r>
              <w:rPr>
                <w:sz w:val="22"/>
                <w:szCs w:val="22"/>
              </w:rPr>
              <w:t>1</w:t>
            </w:r>
            <w:r>
              <w:rPr>
                <w:rFonts w:eastAsia="Times New Roman"/>
                <w:color w:val="000000"/>
                <w:sz w:val="22"/>
                <w:szCs w:val="22"/>
                <w:vertAlign w:val="superscript"/>
              </w:rPr>
              <w:t>a</w:t>
            </w:r>
          </w:p>
        </w:tc>
      </w:tr>
      <w:tr w:rsidR="00867801" w14:paraId="28B0CF8C" w14:textId="77777777" w:rsidTr="00867801">
        <w:tc>
          <w:tcPr>
            <w:cnfStyle w:val="001000000000" w:firstRow="0" w:lastRow="0" w:firstColumn="1" w:lastColumn="0" w:oddVBand="0" w:evenVBand="0" w:oddHBand="0" w:evenHBand="0" w:firstRowFirstColumn="0" w:firstRowLastColumn="0" w:lastRowFirstColumn="0" w:lastRowLastColumn="0"/>
            <w:tcW w:w="2131" w:type="dxa"/>
            <w:shd w:val="clear" w:color="auto" w:fill="FFFFFF"/>
            <w:vAlign w:val="center"/>
          </w:tcPr>
          <w:p w14:paraId="28B0CF87"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Immature highlands</w:t>
            </w:r>
          </w:p>
        </w:tc>
        <w:tc>
          <w:tcPr>
            <w:tcW w:w="2549" w:type="dxa"/>
            <w:shd w:val="clear" w:color="auto" w:fill="FFFFFF"/>
            <w:vAlign w:val="center"/>
          </w:tcPr>
          <w:p w14:paraId="28B0CF88" w14:textId="77777777" w:rsidR="00867801" w:rsidRDefault="009E1DFE">
            <w:pPr>
              <w:pBdr>
                <w:top w:val="nil"/>
                <w:left w:val="nil"/>
                <w:bottom w:val="nil"/>
                <w:right w:val="nil"/>
                <w:between w:val="nil"/>
              </w:pBdr>
              <w:spacing w:before="120"/>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61221/LR-CMP-106</w:t>
            </w:r>
          </w:p>
        </w:tc>
        <w:tc>
          <w:tcPr>
            <w:tcW w:w="1350" w:type="dxa"/>
            <w:shd w:val="clear" w:color="auto" w:fill="FFFFFF"/>
          </w:tcPr>
          <w:p w14:paraId="28B0CF89"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20-45 µm</w:t>
            </w:r>
          </w:p>
        </w:tc>
        <w:tc>
          <w:tcPr>
            <w:tcW w:w="1440" w:type="dxa"/>
            <w:shd w:val="clear" w:color="auto" w:fill="FFFFFF"/>
            <w:vAlign w:val="center"/>
          </w:tcPr>
          <w:p w14:paraId="28B0CF8A"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0.0</w:t>
            </w:r>
          </w:p>
        </w:tc>
        <w:tc>
          <w:tcPr>
            <w:tcW w:w="1890" w:type="dxa"/>
            <w:shd w:val="clear" w:color="auto" w:fill="FFFFFF"/>
            <w:vAlign w:val="center"/>
          </w:tcPr>
          <w:p w14:paraId="28B0CF8B"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0.25</w:t>
            </w:r>
          </w:p>
        </w:tc>
      </w:tr>
      <w:tr w:rsidR="00867801" w14:paraId="28B0CF92"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1" w:type="dxa"/>
            <w:shd w:val="clear" w:color="auto" w:fill="FFFFFF"/>
            <w:vAlign w:val="center"/>
          </w:tcPr>
          <w:p w14:paraId="28B0CF8D"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Mature mare</w:t>
            </w:r>
          </w:p>
        </w:tc>
        <w:tc>
          <w:tcPr>
            <w:tcW w:w="2549" w:type="dxa"/>
            <w:shd w:val="clear" w:color="auto" w:fill="FFFFFF"/>
            <w:vAlign w:val="center"/>
          </w:tcPr>
          <w:p w14:paraId="28B0CF8E" w14:textId="77777777" w:rsidR="00867801" w:rsidRDefault="009E1DFE">
            <w:pPr>
              <w:pBdr>
                <w:top w:val="nil"/>
                <w:left w:val="nil"/>
                <w:bottom w:val="nil"/>
                <w:right w:val="nil"/>
                <w:between w:val="nil"/>
              </w:pBdr>
              <w:spacing w:before="120"/>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70181/LR-CMP-023</w:t>
            </w:r>
          </w:p>
        </w:tc>
        <w:tc>
          <w:tcPr>
            <w:tcW w:w="1350" w:type="dxa"/>
            <w:shd w:val="clear" w:color="auto" w:fill="FFFFFF"/>
          </w:tcPr>
          <w:p w14:paraId="28B0CF8F"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20-44 µm</w:t>
            </w:r>
          </w:p>
        </w:tc>
        <w:tc>
          <w:tcPr>
            <w:tcW w:w="1440" w:type="dxa"/>
            <w:shd w:val="clear" w:color="auto" w:fill="FFFFFF"/>
            <w:vAlign w:val="center"/>
          </w:tcPr>
          <w:p w14:paraId="28B0CF90"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w:t>
            </w:r>
            <w:r>
              <w:rPr>
                <w:sz w:val="22"/>
                <w:szCs w:val="22"/>
              </w:rPr>
              <w:t>2</w:t>
            </w:r>
          </w:p>
        </w:tc>
        <w:tc>
          <w:tcPr>
            <w:tcW w:w="1890" w:type="dxa"/>
            <w:shd w:val="clear" w:color="auto" w:fill="FFFFFF"/>
            <w:vAlign w:val="center"/>
          </w:tcPr>
          <w:p w14:paraId="28B0CF91"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vertAlign w:val="superscript"/>
              </w:rPr>
            </w:pPr>
            <w:r>
              <w:rPr>
                <w:sz w:val="22"/>
                <w:szCs w:val="22"/>
              </w:rPr>
              <w:t>1</w:t>
            </w:r>
            <w:r>
              <w:rPr>
                <w:rFonts w:eastAsia="Times New Roman"/>
                <w:color w:val="000000"/>
                <w:sz w:val="22"/>
                <w:szCs w:val="22"/>
                <w:vertAlign w:val="superscript"/>
              </w:rPr>
              <w:t>a</w:t>
            </w:r>
          </w:p>
        </w:tc>
      </w:tr>
      <w:tr w:rsidR="00867801" w14:paraId="28B0CF98" w14:textId="77777777" w:rsidTr="00867801">
        <w:tc>
          <w:tcPr>
            <w:cnfStyle w:val="001000000000" w:firstRow="0" w:lastRow="0" w:firstColumn="1" w:lastColumn="0" w:oddVBand="0" w:evenVBand="0" w:oddHBand="0" w:evenHBand="0" w:firstRowFirstColumn="0" w:firstRowLastColumn="0" w:lastRowFirstColumn="0" w:lastRowLastColumn="0"/>
            <w:tcW w:w="2131" w:type="dxa"/>
            <w:shd w:val="clear" w:color="auto" w:fill="FFFFFF"/>
            <w:vAlign w:val="center"/>
          </w:tcPr>
          <w:p w14:paraId="28B0CF93"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Immature mare</w:t>
            </w:r>
          </w:p>
        </w:tc>
        <w:tc>
          <w:tcPr>
            <w:tcW w:w="2549" w:type="dxa"/>
            <w:shd w:val="clear" w:color="auto" w:fill="FFFFFF"/>
            <w:vAlign w:val="center"/>
          </w:tcPr>
          <w:p w14:paraId="28B0CF94" w14:textId="77777777" w:rsidR="00867801" w:rsidRDefault="009E1DFE">
            <w:pPr>
              <w:pBdr>
                <w:top w:val="nil"/>
                <w:left w:val="nil"/>
                <w:bottom w:val="nil"/>
                <w:right w:val="nil"/>
                <w:between w:val="nil"/>
              </w:pBdr>
              <w:spacing w:before="120"/>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71061/LR-CMP-026</w:t>
            </w:r>
          </w:p>
        </w:tc>
        <w:tc>
          <w:tcPr>
            <w:tcW w:w="1350" w:type="dxa"/>
            <w:shd w:val="clear" w:color="auto" w:fill="FFFFFF"/>
          </w:tcPr>
          <w:p w14:paraId="28B0CF95"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20-44 µm</w:t>
            </w:r>
          </w:p>
        </w:tc>
        <w:tc>
          <w:tcPr>
            <w:tcW w:w="1440" w:type="dxa"/>
            <w:shd w:val="clear" w:color="auto" w:fill="FFFFFF"/>
            <w:vAlign w:val="center"/>
          </w:tcPr>
          <w:p w14:paraId="28B0CF96"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0.0</w:t>
            </w:r>
          </w:p>
        </w:tc>
        <w:tc>
          <w:tcPr>
            <w:tcW w:w="1890" w:type="dxa"/>
            <w:shd w:val="clear" w:color="auto" w:fill="FFFFFF"/>
            <w:vAlign w:val="center"/>
          </w:tcPr>
          <w:p w14:paraId="28B0CF97"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0.25</w:t>
            </w:r>
          </w:p>
        </w:tc>
      </w:tr>
      <w:tr w:rsidR="00867801" w14:paraId="28B0CF9E"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1" w:type="dxa"/>
            <w:shd w:val="clear" w:color="auto" w:fill="FFFFFF"/>
            <w:vAlign w:val="center"/>
          </w:tcPr>
          <w:p w14:paraId="28B0CF99"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Pyroxene</w:t>
            </w:r>
          </w:p>
        </w:tc>
        <w:tc>
          <w:tcPr>
            <w:tcW w:w="2549" w:type="dxa"/>
            <w:shd w:val="clear" w:color="auto" w:fill="FFFFFF"/>
            <w:vAlign w:val="center"/>
          </w:tcPr>
          <w:p w14:paraId="28B0CF9A" w14:textId="77777777" w:rsidR="00867801" w:rsidRDefault="009E1DFE">
            <w:pPr>
              <w:pBdr>
                <w:top w:val="nil"/>
                <w:left w:val="nil"/>
                <w:bottom w:val="nil"/>
                <w:right w:val="nil"/>
                <w:between w:val="nil"/>
              </w:pBdr>
              <w:spacing w:before="120"/>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15555/LR-CMP-168</w:t>
            </w:r>
          </w:p>
        </w:tc>
        <w:tc>
          <w:tcPr>
            <w:tcW w:w="1350" w:type="dxa"/>
            <w:shd w:val="clear" w:color="auto" w:fill="FFFFFF"/>
          </w:tcPr>
          <w:p w14:paraId="28B0CF9B"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0-125 µm</w:t>
            </w:r>
          </w:p>
        </w:tc>
        <w:tc>
          <w:tcPr>
            <w:tcW w:w="1440" w:type="dxa"/>
            <w:shd w:val="clear" w:color="auto" w:fill="FFFFFF"/>
            <w:vAlign w:val="center"/>
          </w:tcPr>
          <w:p w14:paraId="28B0CF9C"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0.0</w:t>
            </w:r>
          </w:p>
        </w:tc>
        <w:tc>
          <w:tcPr>
            <w:tcW w:w="1890" w:type="dxa"/>
            <w:shd w:val="clear" w:color="auto" w:fill="FFFFFF"/>
            <w:vAlign w:val="center"/>
          </w:tcPr>
          <w:p w14:paraId="28B0CF9D"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0.25</w:t>
            </w:r>
          </w:p>
        </w:tc>
      </w:tr>
      <w:tr w:rsidR="00867801" w14:paraId="28B0CFA4" w14:textId="77777777" w:rsidTr="00867801">
        <w:tc>
          <w:tcPr>
            <w:cnfStyle w:val="001000000000" w:firstRow="0" w:lastRow="0" w:firstColumn="1" w:lastColumn="0" w:oddVBand="0" w:evenVBand="0" w:oddHBand="0" w:evenHBand="0" w:firstRowFirstColumn="0" w:firstRowLastColumn="0" w:lastRowFirstColumn="0" w:lastRowLastColumn="0"/>
            <w:tcW w:w="2131" w:type="dxa"/>
            <w:tcBorders>
              <w:bottom w:val="single" w:sz="4" w:space="0" w:color="000000"/>
            </w:tcBorders>
            <w:shd w:val="clear" w:color="auto" w:fill="FFFFFF"/>
            <w:vAlign w:val="center"/>
          </w:tcPr>
          <w:p w14:paraId="28B0CF9F"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Hydrated glass</w:t>
            </w:r>
          </w:p>
        </w:tc>
        <w:tc>
          <w:tcPr>
            <w:tcW w:w="2549" w:type="dxa"/>
            <w:tcBorders>
              <w:bottom w:val="single" w:sz="4" w:space="0" w:color="000000"/>
            </w:tcBorders>
            <w:shd w:val="clear" w:color="auto" w:fill="FFFFFF"/>
            <w:vAlign w:val="center"/>
          </w:tcPr>
          <w:p w14:paraId="28B0CFA0" w14:textId="77777777" w:rsidR="00867801" w:rsidRDefault="009E1DFE">
            <w:pPr>
              <w:pBdr>
                <w:top w:val="nil"/>
                <w:left w:val="nil"/>
                <w:bottom w:val="nil"/>
                <w:right w:val="nil"/>
                <w:between w:val="nil"/>
              </w:pBdr>
              <w:spacing w:before="120"/>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MORB D38A</w:t>
            </w:r>
          </w:p>
        </w:tc>
        <w:tc>
          <w:tcPr>
            <w:tcW w:w="1350" w:type="dxa"/>
            <w:tcBorders>
              <w:bottom w:val="single" w:sz="4" w:space="0" w:color="000000"/>
            </w:tcBorders>
            <w:shd w:val="clear" w:color="auto" w:fill="FFFFFF"/>
          </w:tcPr>
          <w:p w14:paraId="28B0CFA1"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63-75 µm</w:t>
            </w:r>
          </w:p>
        </w:tc>
        <w:tc>
          <w:tcPr>
            <w:tcW w:w="1440" w:type="dxa"/>
            <w:tcBorders>
              <w:bottom w:val="single" w:sz="4" w:space="0" w:color="000000"/>
            </w:tcBorders>
            <w:shd w:val="clear" w:color="auto" w:fill="FFFFFF"/>
            <w:vAlign w:val="center"/>
          </w:tcPr>
          <w:p w14:paraId="28B0CFA2"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0.0</w:t>
            </w:r>
          </w:p>
        </w:tc>
        <w:tc>
          <w:tcPr>
            <w:tcW w:w="1890" w:type="dxa"/>
            <w:tcBorders>
              <w:bottom w:val="single" w:sz="4" w:space="0" w:color="000000"/>
            </w:tcBorders>
            <w:shd w:val="clear" w:color="auto" w:fill="FFFFFF"/>
            <w:vAlign w:val="center"/>
          </w:tcPr>
          <w:p w14:paraId="28B0CFA3"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0.3</w:t>
            </w:r>
          </w:p>
        </w:tc>
      </w:tr>
      <w:tr w:rsidR="00867801" w14:paraId="28B0CFAA"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1" w:type="dxa"/>
            <w:tcBorders>
              <w:top w:val="single" w:sz="4" w:space="0" w:color="000000"/>
            </w:tcBorders>
            <w:shd w:val="clear" w:color="auto" w:fill="FFFFFF"/>
            <w:vAlign w:val="center"/>
          </w:tcPr>
          <w:p w14:paraId="28B0CFA5"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Synthetic lunar orange glass</w:t>
            </w:r>
          </w:p>
        </w:tc>
        <w:tc>
          <w:tcPr>
            <w:tcW w:w="2549" w:type="dxa"/>
            <w:tcBorders>
              <w:top w:val="single" w:sz="4" w:space="0" w:color="000000"/>
            </w:tcBorders>
            <w:shd w:val="clear" w:color="auto" w:fill="FFFFFF"/>
            <w:vAlign w:val="center"/>
          </w:tcPr>
          <w:p w14:paraId="28B0CFA6" w14:textId="77777777" w:rsidR="00867801" w:rsidRDefault="009E1DFE">
            <w:pPr>
              <w:pBdr>
                <w:top w:val="nil"/>
                <w:left w:val="nil"/>
                <w:bottom w:val="nil"/>
                <w:right w:val="nil"/>
                <w:between w:val="nil"/>
              </w:pBdr>
              <w:spacing w:before="120"/>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OGV-5/RM-REM-140-A</w:t>
            </w:r>
          </w:p>
        </w:tc>
        <w:tc>
          <w:tcPr>
            <w:tcW w:w="1350" w:type="dxa"/>
            <w:tcBorders>
              <w:top w:val="single" w:sz="4" w:space="0" w:color="000000"/>
            </w:tcBorders>
            <w:shd w:val="clear" w:color="auto" w:fill="FFFFFF"/>
          </w:tcPr>
          <w:p w14:paraId="28B0CFA7"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0-45 µm</w:t>
            </w:r>
          </w:p>
        </w:tc>
        <w:tc>
          <w:tcPr>
            <w:tcW w:w="1440" w:type="dxa"/>
            <w:tcBorders>
              <w:top w:val="single" w:sz="4" w:space="0" w:color="000000"/>
            </w:tcBorders>
            <w:shd w:val="clear" w:color="auto" w:fill="FFFFFF"/>
            <w:vAlign w:val="center"/>
          </w:tcPr>
          <w:p w14:paraId="28B0CFA8"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0.0</w:t>
            </w:r>
          </w:p>
        </w:tc>
        <w:tc>
          <w:tcPr>
            <w:tcW w:w="1890" w:type="dxa"/>
            <w:tcBorders>
              <w:top w:val="single" w:sz="4" w:space="0" w:color="000000"/>
            </w:tcBorders>
            <w:shd w:val="clear" w:color="auto" w:fill="FFFFFF"/>
            <w:vAlign w:val="center"/>
          </w:tcPr>
          <w:p w14:paraId="28B0CFA9"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0.3</w:t>
            </w:r>
          </w:p>
        </w:tc>
      </w:tr>
      <w:tr w:rsidR="00867801" w14:paraId="28B0CFB0" w14:textId="77777777" w:rsidTr="00867801">
        <w:tc>
          <w:tcPr>
            <w:cnfStyle w:val="001000000000" w:firstRow="0" w:lastRow="0" w:firstColumn="1" w:lastColumn="0" w:oddVBand="0" w:evenVBand="0" w:oddHBand="0" w:evenHBand="0" w:firstRowFirstColumn="0" w:firstRowLastColumn="0" w:lastRowFirstColumn="0" w:lastRowLastColumn="0"/>
            <w:tcW w:w="2131" w:type="dxa"/>
            <w:shd w:val="clear" w:color="auto" w:fill="FFFFFF"/>
            <w:vAlign w:val="center"/>
          </w:tcPr>
          <w:p w14:paraId="28B0CFAB" w14:textId="77777777" w:rsidR="00867801" w:rsidRDefault="009E1DFE">
            <w:pPr>
              <w:pBdr>
                <w:top w:val="nil"/>
                <w:left w:val="nil"/>
                <w:bottom w:val="nil"/>
                <w:right w:val="nil"/>
                <w:between w:val="nil"/>
              </w:pBdr>
              <w:spacing w:before="120"/>
              <w:rPr>
                <w:rFonts w:eastAsia="Times New Roman"/>
                <w:color w:val="000000"/>
                <w:sz w:val="22"/>
                <w:szCs w:val="22"/>
              </w:rPr>
            </w:pPr>
            <w:r>
              <w:rPr>
                <w:rFonts w:eastAsia="Times New Roman"/>
                <w:b w:val="0"/>
                <w:color w:val="000000"/>
                <w:sz w:val="22"/>
                <w:szCs w:val="22"/>
              </w:rPr>
              <w:t>Synthetic lunar yellow glass</w:t>
            </w:r>
          </w:p>
        </w:tc>
        <w:tc>
          <w:tcPr>
            <w:tcW w:w="2549" w:type="dxa"/>
            <w:shd w:val="clear" w:color="auto" w:fill="FFFFFF"/>
            <w:vAlign w:val="center"/>
          </w:tcPr>
          <w:p w14:paraId="28B0CFAC" w14:textId="77777777" w:rsidR="00867801" w:rsidRDefault="009E1DFE">
            <w:pPr>
              <w:pBdr>
                <w:top w:val="nil"/>
                <w:left w:val="nil"/>
                <w:bottom w:val="nil"/>
                <w:right w:val="nil"/>
                <w:between w:val="nil"/>
              </w:pBdr>
              <w:spacing w:before="120"/>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YG-5/RM-REM-139-A</w:t>
            </w:r>
          </w:p>
        </w:tc>
        <w:tc>
          <w:tcPr>
            <w:tcW w:w="1350" w:type="dxa"/>
            <w:shd w:val="clear" w:color="auto" w:fill="FFFFFF"/>
          </w:tcPr>
          <w:p w14:paraId="28B0CFAD"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0-45 µm</w:t>
            </w:r>
          </w:p>
        </w:tc>
        <w:tc>
          <w:tcPr>
            <w:tcW w:w="1440" w:type="dxa"/>
            <w:shd w:val="clear" w:color="auto" w:fill="FFFFFF"/>
            <w:vAlign w:val="center"/>
          </w:tcPr>
          <w:p w14:paraId="28B0CFAE"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0.0</w:t>
            </w:r>
          </w:p>
        </w:tc>
        <w:tc>
          <w:tcPr>
            <w:tcW w:w="1890" w:type="dxa"/>
            <w:shd w:val="clear" w:color="auto" w:fill="FFFFFF"/>
            <w:vAlign w:val="center"/>
          </w:tcPr>
          <w:p w14:paraId="28B0CFAF"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0.3</w:t>
            </w:r>
          </w:p>
        </w:tc>
      </w:tr>
    </w:tbl>
    <w:p w14:paraId="28B0CFB1" w14:textId="77777777"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color w:val="000000"/>
          <w:sz w:val="24"/>
          <w:szCs w:val="24"/>
          <w:vertAlign w:val="superscript"/>
        </w:rPr>
        <w:t>a</w:t>
      </w:r>
      <w:r>
        <w:rPr>
          <w:rFonts w:eastAsia="Times New Roman"/>
          <w:color w:val="000000"/>
          <w:sz w:val="24"/>
          <w:szCs w:val="24"/>
        </w:rPr>
        <w:t>Amounts were determined last to ensure the endmember abundances summed to 1 for each mixture.</w:t>
      </w:r>
    </w:p>
    <w:p w14:paraId="28B0CFB2" w14:textId="77777777"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color w:val="000000"/>
          <w:sz w:val="24"/>
          <w:szCs w:val="24"/>
        </w:rPr>
        <w:t>2.2 Removal of Terrestrial Water Signature from Endmember Spectra</w:t>
      </w:r>
    </w:p>
    <w:p w14:paraId="28B0CFB3" w14:textId="14962964" w:rsidR="00867801" w:rsidRDefault="009E1DFE">
      <w:pPr>
        <w:pBdr>
          <w:top w:val="nil"/>
          <w:left w:val="nil"/>
          <w:bottom w:val="nil"/>
          <w:right w:val="nil"/>
          <w:between w:val="nil"/>
        </w:pBdr>
        <w:spacing w:before="120"/>
        <w:ind w:firstLine="720"/>
        <w:rPr>
          <w:rFonts w:eastAsia="Times New Roman"/>
          <w:color w:val="000000"/>
          <w:sz w:val="24"/>
          <w:szCs w:val="24"/>
        </w:rPr>
      </w:pPr>
      <w:bookmarkStart w:id="0" w:name="_heading=h.gjdgxs" w:colFirst="0" w:colLast="0"/>
      <w:bookmarkEnd w:id="0"/>
      <w:r>
        <w:rPr>
          <w:rFonts w:eastAsia="Times New Roman"/>
          <w:color w:val="000000"/>
          <w:sz w:val="24"/>
          <w:szCs w:val="24"/>
        </w:rPr>
        <w:t>The Apollo soil spectra from the RELAB database all exhibited various absorption features between 2.6 and 4 µm indicating the presence of unquantified hydration and organic doublets near 3.5 µm</w:t>
      </w:r>
      <w:r>
        <w:rPr>
          <w:sz w:val="24"/>
          <w:szCs w:val="24"/>
        </w:rPr>
        <w:t>, both likely from a terrestrial source</w:t>
      </w:r>
      <w:r>
        <w:rPr>
          <w:rFonts w:eastAsia="Times New Roman"/>
          <w:color w:val="000000"/>
          <w:sz w:val="24"/>
          <w:szCs w:val="24"/>
        </w:rPr>
        <w:t xml:space="preserve">. Our goal was to introduce only a quantified hydration signature to compare with the retrieved value, which meant we must first remove this unknown signature from the endmember spectra. We performed a linear fit of the reflectance data for the five Apollo samples using anchor points at 2.6 and 4.0 µm, then substituted the linear fit into the endmember spectrum to remove the absorption feature (Figure </w:t>
      </w:r>
      <w:r w:rsidR="005814EB">
        <w:rPr>
          <w:rFonts w:eastAsia="Times New Roman"/>
          <w:color w:val="000000"/>
          <w:sz w:val="24"/>
          <w:szCs w:val="24"/>
        </w:rPr>
        <w:t>S</w:t>
      </w:r>
      <w:r w:rsidR="005814EB">
        <w:rPr>
          <w:sz w:val="24"/>
          <w:szCs w:val="24"/>
        </w:rPr>
        <w:t>3</w:t>
      </w:r>
      <w:r>
        <w:rPr>
          <w:rFonts w:eastAsia="Times New Roman"/>
          <w:color w:val="000000"/>
          <w:sz w:val="24"/>
          <w:szCs w:val="24"/>
        </w:rPr>
        <w:t>). This is analogous to the lunar continuum removal process used to isolate and determine the 3 µm band depth of spectra from the EPOXI instrument on Deep Impact</w:t>
      </w:r>
      <w:r w:rsidR="008C5AA8">
        <w:rPr>
          <w:rFonts w:eastAsia="Times New Roman"/>
          <w:color w:val="000000"/>
          <w:sz w:val="24"/>
          <w:szCs w:val="24"/>
        </w:rPr>
        <w:t xml:space="preserve"> </w:t>
      </w:r>
      <w:r w:rsidR="008C5AA8">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{"citationID":"bZWj74kA","properties":{"formattedCitation":"(Sunshine et al., 2009)","plainCitation":"(Sunshine et al., 2009)","noteIndex":0},"citationItems":[{"id":20,"uris":["http://zotero.org/users/local/lFa3rRs0/items/9C44DU36"],"itemData":{"id":20,"type":"article-journal","abstract":"The Moon is generally anhydrous, yet the Deep Impact spacecraft found the entire surface to be hydrated during some portions of the day. Hydroxyl (OH) and water (H2O) absorptions in the near infrared were strongest near the North Pole and are consistent with &lt;0.5 weight percent H2O. Hydration varied with temperature, rather than cumulative solar radiation, but no inherent absorptivity differences with composition were observed. However, comparisons between data collected 1 week (a quarter lunar day) apart show a dynamic process with diurnal changes in hydration that were greater for mare basalts ($\\sim$70%) than for highlands ($\\sim$50%). This hydration loss and return to a steady state occurred entirely between local morning and evening, requiring a ready daytime source of water-group ions, which is consistent with a solar wind origin.","container-title":"Science","DOI":"10.1126/SCIENCE.1179788","ISSN":"0036-8075","issue":"5952","note":"publisher: American Association for the Advancement of Science\nPMID: 19779149","page":"565–568","title":"Temporal and Spatial Variability of Lunar Hydration As Observed by the Deep Impact Spacecraft","volume":"326","author":[{"family":"Sunshine","given":"Jessica M."},{"family":"Farnham","given":"Tony L."},{"family":"Feaga","given":"Lori M."},{"family":"Groussin","given":"Olivier"},{"family":"Merlin","given":"Frédéric"},{"family":"Milliken","given":"Ralph E."},{"family":"A'Hearn","given":"Michael F."}],"issued":{"date-parts":[["2009",10]]}}}],"schema":"https://github.com/citation-style-language/schema/raw/master/csl-citation.json"} </w:instrText>
      </w:r>
      <w:r w:rsidR="008C5AA8">
        <w:rPr>
          <w:rFonts w:eastAsia="Times New Roman"/>
          <w:color w:val="000000"/>
          <w:sz w:val="24"/>
          <w:szCs w:val="24"/>
        </w:rPr>
        <w:fldChar w:fldCharType="separate"/>
      </w:r>
      <w:r w:rsidR="008C5AA8" w:rsidRPr="008C5AA8">
        <w:rPr>
          <w:sz w:val="24"/>
        </w:rPr>
        <w:t>(Sunshine et al., 2009)</w:t>
      </w:r>
      <w:r w:rsidR="008C5AA8">
        <w:rPr>
          <w:rFonts w:eastAsia="Times New Roman"/>
          <w:color w:val="000000"/>
          <w:sz w:val="24"/>
          <w:szCs w:val="24"/>
        </w:rPr>
        <w:fldChar w:fldCharType="end"/>
      </w:r>
      <w:r>
        <w:rPr>
          <w:rFonts w:eastAsia="Times New Roman"/>
          <w:color w:val="000000"/>
          <w:sz w:val="24"/>
          <w:szCs w:val="24"/>
        </w:rPr>
        <w:t>. Finally, the endmember spectra were interpolated to a uniform 5-nm spectral sampling from 1 to 4 µm. The reflectance spectr</w:t>
      </w:r>
      <w:r>
        <w:rPr>
          <w:sz w:val="24"/>
          <w:szCs w:val="24"/>
        </w:rPr>
        <w:t>a</w:t>
      </w:r>
      <w:r>
        <w:rPr>
          <w:rFonts w:eastAsia="Times New Roman"/>
          <w:color w:val="000000"/>
          <w:sz w:val="24"/>
          <w:szCs w:val="24"/>
        </w:rPr>
        <w:t xml:space="preserve"> o</w:t>
      </w:r>
      <w:r>
        <w:rPr>
          <w:sz w:val="24"/>
          <w:szCs w:val="24"/>
        </w:rPr>
        <w:t>f</w:t>
      </w:r>
      <w:r>
        <w:rPr>
          <w:rFonts w:eastAsia="Times New Roman"/>
          <w:color w:val="000000"/>
          <w:sz w:val="24"/>
          <w:szCs w:val="24"/>
        </w:rPr>
        <w:t xml:space="preserve"> </w:t>
      </w:r>
      <w:r>
        <w:rPr>
          <w:sz w:val="24"/>
          <w:szCs w:val="24"/>
        </w:rPr>
        <w:t>the</w:t>
      </w:r>
      <w:r>
        <w:rPr>
          <w:rFonts w:eastAsia="Times New Roman"/>
          <w:color w:val="000000"/>
          <w:sz w:val="24"/>
          <w:szCs w:val="24"/>
        </w:rPr>
        <w:t xml:space="preserve"> endmember</w:t>
      </w:r>
      <w:r w:rsidR="002A47B0">
        <w:rPr>
          <w:rFonts w:eastAsia="Times New Roman"/>
          <w:color w:val="000000"/>
          <w:sz w:val="24"/>
          <w:szCs w:val="24"/>
        </w:rPr>
        <w:t>s</w:t>
      </w:r>
      <w:r>
        <w:rPr>
          <w:rFonts w:eastAsia="Times New Roman"/>
          <w:color w:val="000000"/>
          <w:sz w:val="24"/>
          <w:szCs w:val="24"/>
        </w:rPr>
        <w:t xml:space="preserve"> </w:t>
      </w:r>
      <w:r>
        <w:rPr>
          <w:sz w:val="24"/>
          <w:szCs w:val="24"/>
        </w:rPr>
        <w:t>are</w:t>
      </w:r>
      <w:r>
        <w:rPr>
          <w:rFonts w:eastAsia="Times New Roman"/>
          <w:color w:val="000000"/>
          <w:sz w:val="24"/>
          <w:szCs w:val="24"/>
        </w:rPr>
        <w:t xml:space="preserve"> shown in Figure </w:t>
      </w:r>
      <w:r>
        <w:rPr>
          <w:sz w:val="24"/>
          <w:szCs w:val="24"/>
        </w:rPr>
        <w:t>1</w:t>
      </w:r>
      <w:r>
        <w:rPr>
          <w:rFonts w:eastAsia="Times New Roman"/>
          <w:color w:val="000000"/>
          <w:sz w:val="24"/>
          <w:szCs w:val="24"/>
        </w:rPr>
        <w:t>.</w:t>
      </w:r>
    </w:p>
    <w:p w14:paraId="28B0CFB4"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noProof/>
          <w:color w:val="000000"/>
          <w:sz w:val="24"/>
          <w:szCs w:val="24"/>
        </w:rPr>
        <w:drawing>
          <wp:inline distT="0" distB="0" distL="0" distR="0" wp14:anchorId="28B0D0BB" wp14:editId="28B0D0BC">
            <wp:extent cx="5943600" cy="2301875"/>
            <wp:effectExtent l="0" t="0" r="0" b="0"/>
            <wp:docPr id="21" name="image8.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Chart, line chart&#10;&#10;Description automatically generated"/>
                    <pic:cNvPicPr preferRelativeResize="0"/>
                  </pic:nvPicPr>
                  <pic:blipFill>
                    <a:blip r:embed="rId12"/>
                    <a:srcRect/>
                    <a:stretch>
                      <a:fillRect/>
                    </a:stretch>
                  </pic:blipFill>
                  <pic:spPr>
                    <a:xfrm>
                      <a:off x="0" y="0"/>
                      <a:ext cx="5943600" cy="2301875"/>
                    </a:xfrm>
                    <a:prstGeom prst="rect">
                      <a:avLst/>
                    </a:prstGeom>
                    <a:ln/>
                  </pic:spPr>
                </pic:pic>
              </a:graphicData>
            </a:graphic>
          </wp:inline>
        </w:drawing>
      </w:r>
    </w:p>
    <w:p w14:paraId="28B0CFB5" w14:textId="5CB0A493" w:rsidR="00867801" w:rsidRDefault="009E1DFE">
      <w:pPr>
        <w:keepNext/>
        <w:pBdr>
          <w:top w:val="nil"/>
          <w:left w:val="nil"/>
          <w:bottom w:val="nil"/>
          <w:right w:val="nil"/>
          <w:between w:val="nil"/>
        </w:pBdr>
        <w:spacing w:before="240"/>
        <w:rPr>
          <w:rFonts w:eastAsia="Times New Roman"/>
          <w:color w:val="000000"/>
          <w:sz w:val="24"/>
          <w:szCs w:val="24"/>
        </w:rPr>
      </w:pPr>
      <w:r>
        <w:rPr>
          <w:b/>
          <w:color w:val="000000"/>
          <w:sz w:val="24"/>
          <w:szCs w:val="24"/>
        </w:rPr>
        <w:lastRenderedPageBreak/>
        <w:t xml:space="preserve">Figure </w:t>
      </w:r>
      <w:r>
        <w:rPr>
          <w:b/>
          <w:sz w:val="24"/>
          <w:szCs w:val="24"/>
        </w:rPr>
        <w:t>1</w:t>
      </w:r>
      <w:r>
        <w:rPr>
          <w:b/>
          <w:color w:val="000000"/>
          <w:sz w:val="24"/>
          <w:szCs w:val="24"/>
        </w:rPr>
        <w:t>.</w:t>
      </w:r>
      <w:r>
        <w:rPr>
          <w:rFonts w:eastAsia="Times New Roman"/>
          <w:color w:val="000000"/>
          <w:sz w:val="24"/>
          <w:szCs w:val="24"/>
        </w:rPr>
        <w:t xml:space="preserve"> Processed endmember laboratory reflectance spectra. Each spectrum was processed to remove hydration and organic contamination features as described in the text. (a) Regolith and pyroxene spectra as described in Table 1. (b) Laboratory MORB glass reflectance spectra used to simulate surface hydration in the reflectance simulations.</w:t>
      </w:r>
      <w:r w:rsidR="00411F16">
        <w:rPr>
          <w:rFonts w:eastAsia="Times New Roman"/>
          <w:color w:val="000000"/>
          <w:sz w:val="24"/>
          <w:szCs w:val="24"/>
        </w:rPr>
        <w:t xml:space="preserve"> The</w:t>
      </w:r>
      <w:r w:rsidR="00E30770">
        <w:rPr>
          <w:rFonts w:eastAsia="Times New Roman"/>
          <w:color w:val="000000"/>
          <w:sz w:val="24"/>
          <w:szCs w:val="24"/>
        </w:rPr>
        <w:t xml:space="preserve"> raw</w:t>
      </w:r>
      <w:r w:rsidR="00411F16">
        <w:rPr>
          <w:rFonts w:eastAsia="Times New Roman"/>
          <w:color w:val="000000"/>
          <w:sz w:val="24"/>
          <w:szCs w:val="24"/>
        </w:rPr>
        <w:t xml:space="preserve"> </w:t>
      </w:r>
      <w:r w:rsidR="0088761E">
        <w:rPr>
          <w:rFonts w:eastAsia="Times New Roman"/>
          <w:color w:val="000000"/>
          <w:sz w:val="24"/>
          <w:szCs w:val="24"/>
        </w:rPr>
        <w:t>MORB spectra were normalized to each other at</w:t>
      </w:r>
      <w:r w:rsidR="003B1D56">
        <w:rPr>
          <w:rFonts w:eastAsia="Times New Roman"/>
          <w:color w:val="000000"/>
          <w:sz w:val="24"/>
          <w:szCs w:val="24"/>
        </w:rPr>
        <w:t xml:space="preserve"> a wavelength</w:t>
      </w:r>
      <w:r w:rsidR="0088761E">
        <w:rPr>
          <w:rFonts w:eastAsia="Times New Roman"/>
          <w:color w:val="000000"/>
          <w:sz w:val="24"/>
          <w:szCs w:val="24"/>
        </w:rPr>
        <w:t xml:space="preserve"> 2.6 µm</w:t>
      </w:r>
      <w:r w:rsidR="00D06872">
        <w:rPr>
          <w:rFonts w:eastAsia="Times New Roman"/>
          <w:color w:val="000000"/>
          <w:sz w:val="24"/>
          <w:szCs w:val="24"/>
        </w:rPr>
        <w:t>.</w:t>
      </w:r>
    </w:p>
    <w:p w14:paraId="28B0CFB6"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2.3 Interpolation of MORB Glass Spectra</w:t>
      </w:r>
    </w:p>
    <w:p w14:paraId="28B0CFB7" w14:textId="29FE8360"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We used four MORB glass spectra with SIMS-measured water content of 1522 ppm, 762 ppm, 176 ppm, and 22 ppm (Figure 1b). All four spectra were obtained after heating to 600 °C or above, which ensured the removal of surface-bound water</w:t>
      </w:r>
      <w:r w:rsidR="0050174D">
        <w:rPr>
          <w:rFonts w:eastAsia="Times New Roman"/>
          <w:color w:val="000000"/>
          <w:sz w:val="24"/>
          <w:szCs w:val="24"/>
        </w:rPr>
        <w:t xml:space="preserve"> </w:t>
      </w:r>
      <w:r w:rsidR="00200C52">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{"citationID":"GTEsXKTP","properties":{"formattedCitation":"(Dyar et al., 2010)","plainCitation":"(Dyar et al., 2010)","noteIndex":0},"citationItems":[{"id":599,"uris":["http://zotero.org/users/local/lFa3rRs0/items/NAWEE6AI"],"itemData":{"id":599,"type":"article-journal","abstract":"Storage of hydrogen atoms in or on a planetary surface can take place via several different mechanisms. If the hydrogen atom reacts to form a hydroxyl (OH) group or water molecule, an absorption band near 3μm will be present. Many possible mechanisms for sequestering atomic hydrogen are discussed: internal hydrogen in the form of non-structural OH and H2O in nominally-anhydrous minerals, structural OH in minerals, structural H2O in minerals, H2O in fluid inclusions, and OH and H2O in glasses; bulk H2O as either liquid water or ice; and surficial hydrogen that is either physisorbed as H2O, chemisorbed as an H2O surface complex, or chemically-bound as an OH group on surface terminal sites and grain boundary regions. Understanding the spectroscopic distinctions among these various phenomena is of critical importance in constraining both the evolution of planetary interiors and the cycling of water on planetary surfaces. Proper interpretation of 3-μm bands in reflectance spectra is shown to depend upon the relative contributions from surficial vs. interior hydrogen, which vary with effective surface area (i.e., the grain size and surface roughness) and the volume sampled by the spectrometer.","container-title":"Icarus","DOI":"10.1016/j.icarus.2010.02.014","ISSN":"0019-1035","issue":"1","journalAbbreviation":"Icarus","language":"en","page":"425-437","source":"ScienceDirect","title":"Mechanisms for incorporation of hydrogen in and on terrestrial planetary surfaces","volume":"208","author":[{"family":"Dyar","given":"M. D."},{"family":"Hibbitts","given":"C. A."},{"family":"Orlando","given":"T. M."}],"issued":{"date-parts":[["2010",7,1]]}}}],"schema":"https://github.com/citation-style-language/schema/raw/master/csl-citation.json"} </w:instrText>
      </w:r>
      <w:r w:rsidR="00200C52">
        <w:rPr>
          <w:rFonts w:eastAsia="Times New Roman"/>
          <w:color w:val="000000"/>
          <w:sz w:val="24"/>
          <w:szCs w:val="24"/>
        </w:rPr>
        <w:fldChar w:fldCharType="separate"/>
      </w:r>
      <w:r w:rsidR="00200C52" w:rsidRPr="00200C52">
        <w:rPr>
          <w:sz w:val="24"/>
        </w:rPr>
        <w:t>(Dyar et al., 2010)</w:t>
      </w:r>
      <w:r w:rsidR="00200C52">
        <w:rPr>
          <w:rFonts w:eastAsia="Times New Roman"/>
          <w:color w:val="000000"/>
          <w:sz w:val="24"/>
          <w:szCs w:val="24"/>
        </w:rPr>
        <w:fldChar w:fldCharType="end"/>
      </w:r>
      <w:r>
        <w:rPr>
          <w:rFonts w:eastAsia="Times New Roman"/>
          <w:color w:val="000000"/>
          <w:sz w:val="24"/>
          <w:szCs w:val="24"/>
        </w:rPr>
        <w:t>. Our simulated total water range was 0 to 500 ppm, with glass abundances between 0 and 0.3. Thus, finer resolution steps in hydration were needed compared to the experimental step-heating spectra. We generated synthetic MORB glass spectra at steps of 1 ppm total water from 0 ppm to 1666 ppm via linear interpolation of the step-heating data. At each wavelength from 2.65 to 4 µm, the SSA values for each of the four experimental spectra were used to calculate the effective single-particle absorption thickness (ESPAT) value (1-SSA/SSA)</w:t>
      </w:r>
      <w:r w:rsidR="00200E24">
        <w:rPr>
          <w:rFonts w:eastAsia="Times New Roman"/>
          <w:color w:val="000000"/>
          <w:sz w:val="24"/>
          <w:szCs w:val="24"/>
        </w:rPr>
        <w:t xml:space="preserve"> for that wavelength</w:t>
      </w:r>
      <w:r>
        <w:rPr>
          <w:rFonts w:eastAsia="Times New Roman"/>
          <w:color w:val="000000"/>
          <w:sz w:val="24"/>
          <w:szCs w:val="24"/>
        </w:rPr>
        <w:t>. The ES</w:t>
      </w:r>
      <w:r>
        <w:rPr>
          <w:sz w:val="24"/>
          <w:szCs w:val="24"/>
        </w:rPr>
        <w:t>PA</w:t>
      </w:r>
      <w:r>
        <w:rPr>
          <w:rFonts w:eastAsia="Times New Roman"/>
          <w:color w:val="000000"/>
          <w:sz w:val="24"/>
          <w:szCs w:val="24"/>
        </w:rPr>
        <w:t xml:space="preserve">T values at each wavelength were fit linearly using the total water abundance as the independent variable (Figure </w:t>
      </w:r>
      <w:r w:rsidR="005814EB">
        <w:rPr>
          <w:rFonts w:eastAsia="Times New Roman"/>
          <w:color w:val="000000"/>
          <w:sz w:val="24"/>
          <w:szCs w:val="24"/>
        </w:rPr>
        <w:t>S</w:t>
      </w:r>
      <w:r w:rsidR="005814EB">
        <w:rPr>
          <w:sz w:val="24"/>
          <w:szCs w:val="24"/>
        </w:rPr>
        <w:t>7</w:t>
      </w:r>
      <w:r>
        <w:rPr>
          <w:rFonts w:eastAsia="Times New Roman"/>
          <w:color w:val="000000"/>
          <w:sz w:val="24"/>
          <w:szCs w:val="24"/>
        </w:rPr>
        <w:t>).</w:t>
      </w:r>
      <w:r w:rsidR="00304732">
        <w:rPr>
          <w:rFonts w:eastAsia="Times New Roman"/>
          <w:color w:val="000000"/>
          <w:sz w:val="24"/>
          <w:szCs w:val="24"/>
        </w:rPr>
        <w:t xml:space="preserve"> This gave us an analytical expression with</w:t>
      </w:r>
      <w:r w:rsidR="002C62B7">
        <w:rPr>
          <w:rFonts w:eastAsia="Times New Roman"/>
          <w:color w:val="000000"/>
          <w:sz w:val="24"/>
          <w:szCs w:val="24"/>
        </w:rPr>
        <w:t xml:space="preserve"> total water abundance as the input and SSA as a function of wavelength as the output</w:t>
      </w:r>
      <w:r>
        <w:rPr>
          <w:rFonts w:eastAsia="Times New Roman"/>
          <w:color w:val="000000"/>
          <w:sz w:val="24"/>
          <w:szCs w:val="24"/>
        </w:rPr>
        <w:t xml:space="preserve"> </w:t>
      </w:r>
      <w:r w:rsidR="002C62B7">
        <w:rPr>
          <w:rFonts w:eastAsia="Times New Roman"/>
          <w:color w:val="000000"/>
          <w:sz w:val="24"/>
          <w:szCs w:val="24"/>
        </w:rPr>
        <w:t>enabl</w:t>
      </w:r>
      <w:r w:rsidR="002C62B7">
        <w:rPr>
          <w:rFonts w:eastAsia="Times New Roman"/>
          <w:color w:val="000000"/>
          <w:sz w:val="24"/>
          <w:szCs w:val="24"/>
        </w:rPr>
        <w:t>ing</w:t>
      </w:r>
      <w:r w:rsidR="002C62B7">
        <w:rPr>
          <w:rFonts w:eastAsia="Times New Roman"/>
          <w:color w:val="000000"/>
          <w:sz w:val="24"/>
          <w:szCs w:val="24"/>
        </w:rPr>
        <w:t xml:space="preserve"> </w:t>
      </w:r>
      <w:r>
        <w:rPr>
          <w:rFonts w:eastAsia="Times New Roman"/>
          <w:color w:val="000000"/>
          <w:sz w:val="24"/>
          <w:szCs w:val="24"/>
        </w:rPr>
        <w:t>us to create MORB glass SSA spectra with a near-continuous range of water content</w:t>
      </w:r>
      <w:r w:rsidR="002C62B7">
        <w:rPr>
          <w:rFonts w:eastAsia="Times New Roman"/>
          <w:color w:val="000000"/>
          <w:sz w:val="24"/>
          <w:szCs w:val="24"/>
        </w:rPr>
        <w:t>,</w:t>
      </w:r>
      <w:r>
        <w:rPr>
          <w:rFonts w:eastAsia="Times New Roman"/>
          <w:color w:val="000000"/>
          <w:sz w:val="24"/>
          <w:szCs w:val="24"/>
        </w:rPr>
        <w:t xml:space="preserve"> which we used to precisely introduce hydration to the overall spectral mixture. A subset of the interpolated MORB glass spectra </w:t>
      </w:r>
      <w:r w:rsidR="003B4B30">
        <w:rPr>
          <w:rFonts w:eastAsia="Times New Roman"/>
          <w:color w:val="000000"/>
          <w:sz w:val="24"/>
          <w:szCs w:val="24"/>
        </w:rPr>
        <w:t>is</w:t>
      </w:r>
      <w:r>
        <w:rPr>
          <w:rFonts w:eastAsia="Times New Roman"/>
          <w:color w:val="000000"/>
          <w:sz w:val="24"/>
          <w:szCs w:val="24"/>
        </w:rPr>
        <w:t xml:space="preserve"> shown in Figure </w:t>
      </w:r>
      <w:r>
        <w:rPr>
          <w:sz w:val="24"/>
          <w:szCs w:val="24"/>
        </w:rPr>
        <w:t>2</w:t>
      </w:r>
      <w:r>
        <w:rPr>
          <w:rFonts w:eastAsia="Times New Roman"/>
          <w:color w:val="000000"/>
          <w:sz w:val="24"/>
          <w:szCs w:val="24"/>
        </w:rPr>
        <w:t>.</w:t>
      </w:r>
    </w:p>
    <w:p w14:paraId="28B0CFB8" w14:textId="33A59FE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used these interpolated MORB glass spectra to vary the total water abundance in our simulations. In each mixture both the amount of glass in the mixture (ranging from 0 to 0.3) as well as the amount of hydration in the glass (ranging from 0 ppm to 1666 ppm) were randomly varied via a Monte Carlo method. The overall range of input total water in the simulations was 0 to 500 ppm, which covers the range of lunar total water ranges observed remotely with the IRTF by Honniball et al. </w:t>
      </w:r>
      <w:r w:rsidR="00D165A1">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{"citationID":"J8BkAnLl","properties":{"formattedCitation":"(Honniball et al., 2020)","plainCitation":"(Honniball et al., 2020)","noteIndex":0},"citationItems":[{"id":15,"uris":["http://zotero.org/users/local/lFa3rRs0/items/FA5YXWFR"],"itemData":{"id":15,"type":"article-journal","abstract":"Prior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M."},{"family":"Takir","given":"D."}],"issued":{"date-parts":[["2020",9]]}}}],"schema":"https://github.com/citation-style-language/schema/raw/master/csl-citation.json"} </w:instrText>
      </w:r>
      <w:r w:rsidR="00D165A1">
        <w:rPr>
          <w:rFonts w:eastAsia="Times New Roman"/>
          <w:color w:val="000000"/>
          <w:sz w:val="24"/>
          <w:szCs w:val="24"/>
        </w:rPr>
        <w:fldChar w:fldCharType="separate"/>
      </w:r>
      <w:r w:rsidR="00D165A1" w:rsidRPr="00D165A1">
        <w:rPr>
          <w:sz w:val="24"/>
        </w:rPr>
        <w:t>(Honniball et al., 2020)</w:t>
      </w:r>
      <w:r w:rsidR="00D165A1">
        <w:rPr>
          <w:rFonts w:eastAsia="Times New Roman"/>
          <w:color w:val="000000"/>
          <w:sz w:val="24"/>
          <w:szCs w:val="24"/>
        </w:rPr>
        <w:fldChar w:fldCharType="end"/>
      </w:r>
      <w:r>
        <w:rPr>
          <w:rFonts w:eastAsia="Times New Roman"/>
          <w:color w:val="000000"/>
          <w:sz w:val="24"/>
          <w:szCs w:val="24"/>
        </w:rPr>
        <w:t xml:space="preserve"> and </w:t>
      </w:r>
      <w:r>
        <w:rPr>
          <w:sz w:val="24"/>
          <w:szCs w:val="24"/>
        </w:rPr>
        <w:t xml:space="preserve">is within the </w:t>
      </w:r>
      <w:r>
        <w:rPr>
          <w:rFonts w:eastAsia="Times New Roman"/>
          <w:color w:val="000000"/>
          <w:sz w:val="24"/>
          <w:szCs w:val="24"/>
        </w:rPr>
        <w:t>range observed with M</w:t>
      </w:r>
      <w:r>
        <w:rPr>
          <w:rFonts w:eastAsia="Times New Roman"/>
          <w:color w:val="000000"/>
          <w:sz w:val="24"/>
          <w:szCs w:val="24"/>
          <w:vertAlign w:val="superscript"/>
        </w:rPr>
        <w:t>3</w:t>
      </w:r>
      <w:r>
        <w:rPr>
          <w:rFonts w:eastAsia="Times New Roman"/>
          <w:color w:val="000000"/>
          <w:sz w:val="24"/>
          <w:szCs w:val="24"/>
        </w:rPr>
        <w:t xml:space="preserve"> by Milliken and Li </w:t>
      </w:r>
      <w:r w:rsidR="00D165A1">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{"citationID":"Aqby1qJy","properties":{"formattedCitation":"(S. Li &amp; Milliken, 2017)","plainCitation":"(S. Li &amp; Milliken, 2017)","noteIndex":0},"citationItems":[{"id":607,"uris":["http://zotero.org/users/local/lFa3rRs0/items/X2YEI7YD"],"itemData":{"id":607,"type":"article-journal","abstract":"A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1014 g of water averaged over the globe. Formation and migration of water toward cold traps may thus be a continuous process on the Moon and other airless bodies.\nSpectral reflectance data are used to determine the formation, distribution, and variation of water across the lunar surface.\nSpectral reflectance data are used to determine the formation, distribution, and variation of water across the lunar surface.","container-title":"Science Advances","DOI":"10.1126/sciadv.1701471","ISSN":"2375-2548","issue":"9","language":"en","note":"publisher: American Association for the Advancement of Science\nsection: Research Article","page":"e1701471","source":"advances.sciencemag.org","title":"Water on the surface of the Moon as seen by the Moon Mineralogy Mapper: Distribution, abundance, and origins","title-short":"Water on the surface of the Moon as seen by the Moon Mineralogy Mapper","volume":"3","author":[{"family":"Li","given":"Shuai"},{"family":"Milliken","given":"Ralph E."}],"issued":{"date-parts":[["2017",9,1]]}}}],"schema":"https://github.com/citation-style-language/schema/raw/master/csl-citation.json"} </w:instrText>
      </w:r>
      <w:r w:rsidR="00D165A1">
        <w:rPr>
          <w:rFonts w:eastAsia="Times New Roman"/>
          <w:color w:val="000000"/>
          <w:sz w:val="24"/>
          <w:szCs w:val="24"/>
        </w:rPr>
        <w:fldChar w:fldCharType="separate"/>
      </w:r>
      <w:r w:rsidR="0048765A" w:rsidRPr="0048765A">
        <w:rPr>
          <w:sz w:val="24"/>
        </w:rPr>
        <w:t>(S. Li &amp; Milliken, 2017)</w:t>
      </w:r>
      <w:r w:rsidR="00D165A1">
        <w:rPr>
          <w:rFonts w:eastAsia="Times New Roman"/>
          <w:color w:val="000000"/>
          <w:sz w:val="24"/>
          <w:szCs w:val="24"/>
        </w:rPr>
        <w:fldChar w:fldCharType="end"/>
      </w:r>
      <w:r>
        <w:rPr>
          <w:rFonts w:eastAsia="Times New Roman"/>
          <w:color w:val="000000"/>
          <w:sz w:val="24"/>
          <w:szCs w:val="24"/>
        </w:rPr>
        <w:t>.</w:t>
      </w:r>
    </w:p>
    <w:p w14:paraId="28B0CFB9" w14:textId="77777777" w:rsidR="00867801" w:rsidRDefault="009E1DFE">
      <w:pPr>
        <w:pBdr>
          <w:top w:val="nil"/>
          <w:left w:val="nil"/>
          <w:bottom w:val="nil"/>
          <w:right w:val="nil"/>
          <w:between w:val="nil"/>
        </w:pBdr>
        <w:spacing w:before="120"/>
        <w:ind w:firstLine="720"/>
        <w:jc w:val="center"/>
        <w:rPr>
          <w:rFonts w:eastAsia="Times New Roman"/>
          <w:color w:val="000000"/>
          <w:sz w:val="24"/>
          <w:szCs w:val="24"/>
        </w:rPr>
      </w:pPr>
      <w:r>
        <w:rPr>
          <w:rFonts w:eastAsia="Times New Roman"/>
          <w:noProof/>
          <w:color w:val="000000"/>
          <w:sz w:val="24"/>
          <w:szCs w:val="24"/>
        </w:rPr>
        <w:lastRenderedPageBreak/>
        <w:drawing>
          <wp:inline distT="0" distB="0" distL="0" distR="0" wp14:anchorId="28B0D0BD" wp14:editId="28B0D0BE">
            <wp:extent cx="4572000" cy="3435531"/>
            <wp:effectExtent l="0" t="0" r="0" b="0"/>
            <wp:docPr id="20" name="image6.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Chart&#10;&#10;Description automatically generated"/>
                    <pic:cNvPicPr preferRelativeResize="0"/>
                  </pic:nvPicPr>
                  <pic:blipFill>
                    <a:blip r:embed="rId13"/>
                    <a:srcRect/>
                    <a:stretch>
                      <a:fillRect/>
                    </a:stretch>
                  </pic:blipFill>
                  <pic:spPr>
                    <a:xfrm>
                      <a:off x="0" y="0"/>
                      <a:ext cx="4572000" cy="3435531"/>
                    </a:xfrm>
                    <a:prstGeom prst="rect">
                      <a:avLst/>
                    </a:prstGeom>
                    <a:ln/>
                  </pic:spPr>
                </pic:pic>
              </a:graphicData>
            </a:graphic>
          </wp:inline>
        </w:drawing>
      </w:r>
    </w:p>
    <w:p w14:paraId="28B0CFBA" w14:textId="77777777"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b/>
          <w:color w:val="000000"/>
          <w:sz w:val="24"/>
          <w:szCs w:val="24"/>
        </w:rPr>
        <w:t xml:space="preserve">Figure </w:t>
      </w:r>
      <w:r>
        <w:rPr>
          <w:b/>
          <w:sz w:val="24"/>
          <w:szCs w:val="24"/>
        </w:rPr>
        <w:t>2</w:t>
      </w:r>
      <w:r>
        <w:rPr>
          <w:rFonts w:eastAsia="Times New Roman"/>
          <w:b/>
          <w:color w:val="000000"/>
          <w:sz w:val="24"/>
          <w:szCs w:val="24"/>
        </w:rPr>
        <w:t xml:space="preserve">. </w:t>
      </w:r>
      <w:r>
        <w:rPr>
          <w:rFonts w:eastAsia="Times New Roman"/>
          <w:color w:val="000000"/>
          <w:sz w:val="24"/>
          <w:szCs w:val="24"/>
        </w:rPr>
        <w:t>A</w:t>
      </w:r>
      <w:r>
        <w:rPr>
          <w:rFonts w:eastAsia="Times New Roman"/>
          <w:b/>
          <w:color w:val="000000"/>
          <w:sz w:val="24"/>
          <w:szCs w:val="24"/>
        </w:rPr>
        <w:t xml:space="preserve"> </w:t>
      </w:r>
      <w:r>
        <w:rPr>
          <w:rFonts w:eastAsia="Times New Roman"/>
          <w:color w:val="000000"/>
          <w:sz w:val="24"/>
          <w:szCs w:val="24"/>
        </w:rPr>
        <w:t>Subset of interpolated MORB single scattering albedo spectra. The interpolated spectra correspond to total water values of (from low to high): 0 ppm, 150 ppm, 300 ppm, 450 ppm, 600 ppm, 750 ppm, 900 ppm, 1050ppm, 1200 ppm, and 1350, and 1500 ppm.</w:t>
      </w:r>
    </w:p>
    <w:p w14:paraId="28B0CFBB"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2.4 Spectral Mixing and Reflectance Spectrum Generation</w:t>
      </w:r>
    </w:p>
    <w:p w14:paraId="28B0CFBC" w14:textId="590AC05B"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One thousand mare spectral mixtures and 1000 highlands spectral mixtures were generated using a Monte Carlo method based on the endmember fractional ranges given in Table 1. We used a Monte Carlo method to assess the accuracy of the multispectral lidar method as they enabled us to test a wider range of spectral shapes and assess the effects of the measurement SNR and pyroxene abundance. To create the spectral mixtures, each endmember reflectance spectrum was first converted to single-scattering albedo (SSA) using the methods of Hapke </w:t>
      </w:r>
      <w:r w:rsidR="00BA37D8">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{"citationID":"8xsf0Vi9","properties":{"formattedCitation":"(Hapke, 2012)","plainCitation":"(Hapke, 2012)","noteIndex":0},"citationItems":[{"id":12,"uris":["http://zotero.org/users/local/lFa3rRs0/items/DNDS2RF3"],"itemData":{"id":12,"type":"book","edition":"2nd","number-of-pages":"513","publisher":"Cambridge University Press","title":"Theory of reflectance and emittance spectroscopy","author":[{"family":"Hapke","given":"Bruce"}],"issued":{"date-parts":[["2012"]]}}}],"schema":"https://github.com/citation-style-language/schema/raw/master/csl-citation.json"} </w:instrText>
      </w:r>
      <w:r w:rsidR="00BA37D8">
        <w:rPr>
          <w:rFonts w:eastAsia="Times New Roman"/>
          <w:color w:val="000000"/>
          <w:sz w:val="24"/>
          <w:szCs w:val="24"/>
        </w:rPr>
        <w:fldChar w:fldCharType="separate"/>
      </w:r>
      <w:r w:rsidR="00BA37D8" w:rsidRPr="00BA37D8">
        <w:rPr>
          <w:sz w:val="24"/>
        </w:rPr>
        <w:t>(Hapke, 2012)</w:t>
      </w:r>
      <w:r w:rsidR="00BA37D8">
        <w:rPr>
          <w:rFonts w:eastAsia="Times New Roman"/>
          <w:color w:val="000000"/>
          <w:sz w:val="24"/>
          <w:szCs w:val="24"/>
        </w:rPr>
        <w:fldChar w:fldCharType="end"/>
      </w:r>
      <w:r w:rsidR="00183A44">
        <w:rPr>
          <w:rFonts w:eastAsia="Times New Roman"/>
          <w:color w:val="000000"/>
          <w:sz w:val="24"/>
          <w:szCs w:val="24"/>
        </w:rPr>
        <w:t xml:space="preserve"> </w:t>
      </w:r>
      <w:r>
        <w:rPr>
          <w:rFonts w:eastAsia="Times New Roman"/>
          <w:color w:val="000000"/>
          <w:sz w:val="24"/>
          <w:szCs w:val="24"/>
        </w:rPr>
        <w:t>and least-squares minimization. The reflectance of the endmember spectra measured in the laboratory (which Hapke calls the radiance coefficient, but will be referred to as reflectance here) is related to the SSA in the Hapke model by</w:t>
      </w:r>
      <w:r w:rsidR="00183A44">
        <w:rPr>
          <w:rFonts w:eastAsia="Times New Roman"/>
          <w:color w:val="000000"/>
          <w:sz w:val="24"/>
          <w:szCs w:val="24"/>
        </w:rPr>
        <w:t xml:space="preserve"> </w:t>
      </w:r>
      <w:r w:rsidR="00183A44">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{"citationID":"AKeANAyV","properties":{"formattedCitation":"(Lucey, 1998)","plainCitation":"(Lucey, 1998)","noteIndex":0},"citationItems":[{"id":13,"uris":["http://zotero.org/users/local/lFa3rRs0/items/8NK2TDQH"],"itemData":{"id":13,"type":"article-journal","abstract":"The imaginary coefficients of the complex index of refraction of olivine, low-Ca orthopyroxene, and high-Ca clinopyroxene are derived as a function of iron content and wavelength over the spectral region 0.4 to 2.5 μm from reflectance spectra of powders and Hapke radiative transfer theory. Reflectance spectra as a function of composition and grain size are computed and compared. I find that while spectral effects of variations in these parameters are similar, they are distinguishable. Variations in iron content do not explain all the observed spectral variations in the spectra of the samples investigated. Copyright 1998 by the American Geophysical Union.","container-title":"Journal of Geophysical Research: Planets","DOI":"10.1029/97JE03145","ISSN":"2156-2202","issue":"E1","note":"publisher: John Wiley &amp; Sons, Ltd","page":"1703–1713","title":"Model near-infrared optical constants of olivine and pyroxene as a function of iron content","volume":"103","author":[{"family":"Lucey","given":"Paul G."}],"issued":{"date-parts":[["1998",1]]}}}],"schema":"https://github.com/citation-style-language/schema/raw/master/csl-citation.json"} </w:instrText>
      </w:r>
      <w:r w:rsidR="00183A44">
        <w:rPr>
          <w:rFonts w:eastAsia="Times New Roman"/>
          <w:color w:val="000000"/>
          <w:sz w:val="24"/>
          <w:szCs w:val="24"/>
        </w:rPr>
        <w:fldChar w:fldCharType="separate"/>
      </w:r>
      <w:r w:rsidR="00183A44" w:rsidRPr="00183A44">
        <w:rPr>
          <w:sz w:val="24"/>
        </w:rPr>
        <w:t>(Lucey, 1998)</w:t>
      </w:r>
      <w:r w:rsidR="00183A44">
        <w:rPr>
          <w:rFonts w:eastAsia="Times New Roman"/>
          <w:color w:val="000000"/>
          <w:sz w:val="24"/>
          <w:szCs w:val="24"/>
        </w:rPr>
        <w:fldChar w:fldCharType="end"/>
      </w:r>
      <w:r>
        <w:rPr>
          <w:rFonts w:eastAsia="Times New Roman"/>
          <w:color w:val="000000"/>
          <w:sz w:val="24"/>
          <w:szCs w:val="24"/>
        </w:rPr>
        <w:t>:</w:t>
      </w: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8635"/>
        <w:gridCol w:w="715"/>
      </w:tblGrid>
      <w:tr w:rsidR="00867801" w14:paraId="28B0CFBF" w14:textId="77777777">
        <w:tc>
          <w:tcPr>
            <w:tcW w:w="8635" w:type="dxa"/>
          </w:tcPr>
          <w:p w14:paraId="28B0CFBD" w14:textId="77777777" w:rsidR="00867801" w:rsidRDefault="009E1DFE">
            <w:pPr>
              <w:jc w:val="center"/>
              <w:rPr>
                <w:rFonts w:ascii="Cambria Math" w:eastAsia="Cambria Math" w:hAnsi="Cambria Math" w:cs="Cambria Math"/>
                <w:color w:val="000000"/>
                <w:sz w:val="24"/>
                <w:szCs w:val="24"/>
              </w:rPr>
            </w:pPr>
            <m:oMathPara>
              <m:oMath>
                <m:r>
                  <w:rPr>
                    <w:rFonts w:ascii="Cambria Math" w:eastAsia="Cambria Math" w:hAnsi="Cambria Math" w:cs="Cambria Math"/>
                    <w:color w:val="000000"/>
                    <w:sz w:val="24"/>
                    <w:szCs w:val="24"/>
                  </w:rPr>
                  <m:t>R=</m:t>
                </m:r>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ω</m:t>
                    </m:r>
                  </m:num>
                  <m:den>
                    <m:r>
                      <w:rPr>
                        <w:rFonts w:ascii="Cambria Math" w:eastAsia="Cambria Math" w:hAnsi="Cambria Math" w:cs="Cambria Math"/>
                        <w:color w:val="000000"/>
                        <w:sz w:val="24"/>
                        <w:szCs w:val="24"/>
                      </w:rPr>
                      <m:t>4</m:t>
                    </m:r>
                  </m:den>
                </m:f>
                <m:f>
                  <m:fPr>
                    <m:ctrlPr>
                      <w:rPr>
                        <w:rFonts w:ascii="Cambria Math" w:eastAsia="Cambria Math" w:hAnsi="Cambria Math" w:cs="Cambria Math"/>
                        <w:color w:val="000000"/>
                        <w:sz w:val="24"/>
                        <w:szCs w:val="24"/>
                      </w:rPr>
                    </m:ctrlPr>
                  </m:fPr>
                  <m:num>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μ</m:t>
                        </m:r>
                      </m:e>
                      <m:sub>
                        <m:r>
                          <w:rPr>
                            <w:rFonts w:ascii="Cambria Math" w:eastAsia="Cambria Math" w:hAnsi="Cambria Math" w:cs="Cambria Math"/>
                            <w:color w:val="000000"/>
                            <w:sz w:val="24"/>
                            <w:szCs w:val="24"/>
                          </w:rPr>
                          <m:t>0</m:t>
                        </m:r>
                      </m:sub>
                    </m:sSub>
                  </m:num>
                  <m:den>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μ+</m:t>
                        </m:r>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μ</m:t>
                            </m:r>
                          </m:e>
                          <m:sub>
                            <m:r>
                              <w:rPr>
                                <w:rFonts w:ascii="Cambria Math" w:eastAsia="Cambria Math" w:hAnsi="Cambria Math" w:cs="Cambria Math"/>
                                <w:color w:val="000000"/>
                                <w:sz w:val="24"/>
                                <w:szCs w:val="24"/>
                              </w:rPr>
                              <m:t>0</m:t>
                            </m:r>
                          </m:sub>
                        </m:sSub>
                      </m:e>
                    </m:d>
                  </m:den>
                </m:f>
                <m:d>
                  <m:dPr>
                    <m:begChr m:val="{"/>
                    <m:endChr m:val="}"/>
                    <m:ctrlPr>
                      <w:rPr>
                        <w:rFonts w:ascii="Cambria Math" w:eastAsia="Cambria Math" w:hAnsi="Cambria Math" w:cs="Cambria Math"/>
                        <w:color w:val="000000"/>
                        <w:sz w:val="24"/>
                        <w:szCs w:val="24"/>
                      </w:rPr>
                    </m:ctrlPr>
                  </m:dPr>
                  <m:e>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1+B</m:t>
                        </m:r>
                      </m:e>
                    </m:d>
                    <m:r>
                      <w:rPr>
                        <w:rFonts w:ascii="Cambria Math" w:eastAsia="Cambria Math" w:hAnsi="Cambria Math" w:cs="Cambria Math"/>
                        <w:color w:val="000000"/>
                        <w:sz w:val="24"/>
                        <w:szCs w:val="24"/>
                      </w:rPr>
                      <m:t>P+H</m:t>
                    </m:r>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ω</m:t>
                        </m:r>
                      </m:e>
                    </m:d>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H</m:t>
                        </m:r>
                      </m:e>
                      <m:sub>
                        <m:r>
                          <w:rPr>
                            <w:rFonts w:ascii="Cambria Math" w:eastAsia="Cambria Math" w:hAnsi="Cambria Math" w:cs="Cambria Math"/>
                            <w:color w:val="000000"/>
                            <w:sz w:val="24"/>
                            <w:szCs w:val="24"/>
                          </w:rPr>
                          <m:t>0</m:t>
                        </m:r>
                      </m:sub>
                    </m:sSub>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ω</m:t>
                        </m:r>
                      </m:e>
                    </m:d>
                    <m:r>
                      <w:rPr>
                        <w:rFonts w:ascii="Cambria Math" w:eastAsia="Cambria Math" w:hAnsi="Cambria Math" w:cs="Cambria Math"/>
                        <w:color w:val="000000"/>
                        <w:sz w:val="24"/>
                        <w:szCs w:val="24"/>
                      </w:rPr>
                      <m:t>-1</m:t>
                    </m:r>
                  </m:e>
                </m:d>
              </m:oMath>
            </m:oMathPara>
          </w:p>
        </w:tc>
        <w:tc>
          <w:tcPr>
            <w:tcW w:w="715" w:type="dxa"/>
            <w:vAlign w:val="center"/>
          </w:tcPr>
          <w:p w14:paraId="28B0CFBE" w14:textId="77777777" w:rsidR="00867801" w:rsidRDefault="009E1DFE">
            <w:pPr>
              <w:pBdr>
                <w:top w:val="nil"/>
                <w:left w:val="nil"/>
                <w:bottom w:val="nil"/>
                <w:right w:val="nil"/>
                <w:between w:val="nil"/>
              </w:pBdr>
              <w:spacing w:before="120"/>
              <w:jc w:val="right"/>
              <w:rPr>
                <w:rFonts w:eastAsia="Times New Roman"/>
                <w:color w:val="000000"/>
                <w:sz w:val="24"/>
                <w:szCs w:val="24"/>
              </w:rPr>
            </w:pPr>
            <w:r>
              <w:rPr>
                <w:rFonts w:eastAsia="Times New Roman"/>
                <w:color w:val="000000"/>
                <w:sz w:val="24"/>
                <w:szCs w:val="24"/>
              </w:rPr>
              <w:t>(1)</w:t>
            </w:r>
          </w:p>
        </w:tc>
      </w:tr>
    </w:tbl>
    <w:p w14:paraId="28B0CFC0" w14:textId="5E7887CE"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 xml:space="preserve">where </w:t>
      </w:r>
      <w:r>
        <w:rPr>
          <w:rFonts w:eastAsia="Times New Roman"/>
          <w:i/>
          <w:color w:val="000000"/>
          <w:sz w:val="24"/>
          <w:szCs w:val="24"/>
        </w:rPr>
        <w:t>R</w:t>
      </w:r>
      <w:r>
        <w:rPr>
          <w:rFonts w:eastAsia="Times New Roman"/>
          <w:color w:val="000000"/>
          <w:sz w:val="24"/>
          <w:szCs w:val="24"/>
        </w:rPr>
        <w:t xml:space="preserve"> is the bidirectional reflectance, </w:t>
      </w:r>
      <w:r>
        <w:rPr>
          <w:rFonts w:eastAsia="Times New Roman"/>
          <w:i/>
          <w:color w:val="000000"/>
          <w:sz w:val="24"/>
          <w:szCs w:val="24"/>
        </w:rPr>
        <w:t>ω</w:t>
      </w:r>
      <w:r>
        <w:rPr>
          <w:rFonts w:eastAsia="Times New Roman"/>
          <w:color w:val="000000"/>
          <w:sz w:val="24"/>
          <w:szCs w:val="24"/>
        </w:rPr>
        <w:t xml:space="preserve"> is the SSA, and </w:t>
      </w:r>
      <w:r>
        <w:rPr>
          <w:rFonts w:eastAsia="Times New Roman"/>
          <w:i/>
          <w:color w:val="000000"/>
          <w:sz w:val="24"/>
          <w:szCs w:val="24"/>
        </w:rPr>
        <w:t xml:space="preserve">µ </w:t>
      </w:r>
      <w:r>
        <w:rPr>
          <w:rFonts w:eastAsia="Times New Roman"/>
          <w:color w:val="000000"/>
          <w:sz w:val="24"/>
          <w:szCs w:val="24"/>
        </w:rPr>
        <w:t xml:space="preserve">and </w:t>
      </w:r>
      <w:r>
        <w:rPr>
          <w:rFonts w:eastAsia="Times New Roman"/>
          <w:i/>
          <w:color w:val="000000"/>
          <w:sz w:val="24"/>
          <w:szCs w:val="24"/>
        </w:rPr>
        <w:t>µ</w:t>
      </w:r>
      <w:r>
        <w:rPr>
          <w:rFonts w:eastAsia="Times New Roman"/>
          <w:i/>
          <w:color w:val="000000"/>
          <w:sz w:val="24"/>
          <w:szCs w:val="24"/>
          <w:vertAlign w:val="subscript"/>
        </w:rPr>
        <w:t>0</w:t>
      </w:r>
      <w:r>
        <w:rPr>
          <w:rFonts w:eastAsia="Times New Roman"/>
          <w:i/>
          <w:color w:val="000000"/>
          <w:sz w:val="24"/>
          <w:szCs w:val="24"/>
        </w:rPr>
        <w:t xml:space="preserve"> </w:t>
      </w:r>
      <w:r>
        <w:rPr>
          <w:rFonts w:eastAsia="Times New Roman"/>
          <w:color w:val="000000"/>
          <w:sz w:val="24"/>
          <w:szCs w:val="24"/>
        </w:rPr>
        <w:t xml:space="preserve">are the cosines of the emission and incident angles, respectively. </w:t>
      </w:r>
      <w:r>
        <w:rPr>
          <w:i/>
          <w:sz w:val="24"/>
          <w:szCs w:val="24"/>
        </w:rPr>
        <w:t>P</w:t>
      </w:r>
      <w:r>
        <w:rPr>
          <w:sz w:val="24"/>
          <w:szCs w:val="24"/>
        </w:rPr>
        <w:t xml:space="preserve"> is the scattering phase function</w:t>
      </w:r>
      <w:r>
        <w:rPr>
          <w:i/>
          <w:sz w:val="24"/>
          <w:szCs w:val="24"/>
        </w:rPr>
        <w:t xml:space="preserve"> </w:t>
      </w:r>
      <w:r>
        <w:rPr>
          <w:sz w:val="24"/>
          <w:szCs w:val="24"/>
        </w:rPr>
        <w:t>which we set at 0.15 for anisotropic scattering based on the modeled mean particle phase function for lunar soil</w:t>
      </w:r>
      <w:r w:rsidR="008816A1">
        <w:rPr>
          <w:sz w:val="24"/>
          <w:szCs w:val="24"/>
        </w:rPr>
        <w:t xml:space="preserve"> </w:t>
      </w:r>
      <w:r w:rsidR="008816A1">
        <w:rPr>
          <w:sz w:val="24"/>
          <w:szCs w:val="24"/>
        </w:rPr>
        <w:fldChar w:fldCharType="begin"/>
      </w:r>
      <w:r w:rsidR="008B0A8A">
        <w:rPr>
          <w:sz w:val="24"/>
          <w:szCs w:val="24"/>
        </w:rPr>
        <w:instrText xml:space="preserve"> ADDIN ZOTERO_ITEM CSL_CITATION {"citationID":"ORRsrRwY","properties":{"formattedCitation":"(Goguen et al., 2010)","plainCitation":"(Goguen et al., 2010)","noteIndex":0},"citationItems":[{"id":653,"uris":["http://zotero.org/users/local/lFa3rRs0/items/RDV86JA7"],"itemData":{"id":653,"type":"article-journal","container-title":"Icarus","issue":"2","note":"publisher: Elsevier","page":"548–557","title":"A new look at photometry of the Moon","volume":"208","author":[{"family":"Goguen","given":"Jay D"},{"family":"Stone","given":"Thomas C"},{"family":"Kieffer","given":"Hugh H"},{"family":"Buratti","given":"Bonnie J"}],"issued":{"date-parts":[["2010"]]}}}],"schema":"https://github.com/citation-style-language/schema/raw/master/csl-citation.json"} </w:instrText>
      </w:r>
      <w:r w:rsidR="008816A1">
        <w:rPr>
          <w:sz w:val="24"/>
          <w:szCs w:val="24"/>
        </w:rPr>
        <w:fldChar w:fldCharType="separate"/>
      </w:r>
      <w:r w:rsidR="008816A1" w:rsidRPr="008816A1">
        <w:rPr>
          <w:sz w:val="24"/>
        </w:rPr>
        <w:t>(Goguen et al., 2010)</w:t>
      </w:r>
      <w:r w:rsidR="008816A1">
        <w:rPr>
          <w:sz w:val="24"/>
          <w:szCs w:val="24"/>
        </w:rPr>
        <w:fldChar w:fldCharType="end"/>
      </w:r>
      <w:r>
        <w:rPr>
          <w:sz w:val="24"/>
          <w:szCs w:val="24"/>
        </w:rPr>
        <w:t xml:space="preserve">. </w:t>
      </w:r>
      <w:r>
        <w:rPr>
          <w:i/>
          <w:sz w:val="24"/>
          <w:szCs w:val="24"/>
        </w:rPr>
        <w:t>H</w:t>
      </w:r>
      <w:r>
        <w:rPr>
          <w:sz w:val="24"/>
          <w:szCs w:val="24"/>
        </w:rPr>
        <w:t xml:space="preserve"> and </w:t>
      </w:r>
      <w:r>
        <w:rPr>
          <w:i/>
          <w:sz w:val="24"/>
          <w:szCs w:val="24"/>
        </w:rPr>
        <w:t>H</w:t>
      </w:r>
      <w:r>
        <w:rPr>
          <w:i/>
          <w:sz w:val="24"/>
          <w:szCs w:val="24"/>
          <w:vertAlign w:val="subscript"/>
        </w:rPr>
        <w:t>0</w:t>
      </w:r>
      <w:r>
        <w:rPr>
          <w:sz w:val="24"/>
          <w:szCs w:val="24"/>
        </w:rPr>
        <w:t xml:space="preserve"> are the Ambartsumian-Chandrasekhar H function, which we computed the H functions using the approximation from equation 8.57 from Hapke </w:t>
      </w:r>
      <w:r w:rsidR="00E8774E">
        <w:rPr>
          <w:sz w:val="24"/>
          <w:szCs w:val="24"/>
        </w:rPr>
        <w:fldChar w:fldCharType="begin"/>
      </w:r>
      <w:r w:rsidR="008B0A8A">
        <w:rPr>
          <w:sz w:val="24"/>
          <w:szCs w:val="24"/>
        </w:rPr>
        <w:instrText xml:space="preserve"> ADDIN ZOTERO_ITEM CSL_CITATION {"citationID":"BRph9VaF","properties":{"formattedCitation":"(Hapke, 2012)","plainCitation":"(Hapke, 2012)","noteIndex":0},"citationItems":[{"id":12,"uris":["http://zotero.org/users/local/lFa3rRs0/items/DNDS2RF3"],"itemData":{"id":12,"type":"book","edition":"2nd","number-of-pages":"513","publisher":"Cambridge University Press","title":"Theory of reflectance and emittance spectroscopy","author":[{"family":"Hapke","given":"Bruce"}],"issued":{"date-parts":[["2012"]]}}}],"schema":"https://github.com/citation-style-language/schema/raw/master/csl-citation.json"} </w:instrText>
      </w:r>
      <w:r w:rsidR="00E8774E">
        <w:rPr>
          <w:sz w:val="24"/>
          <w:szCs w:val="24"/>
        </w:rPr>
        <w:fldChar w:fldCharType="separate"/>
      </w:r>
      <w:r w:rsidR="00E8774E" w:rsidRPr="00E8774E">
        <w:rPr>
          <w:sz w:val="24"/>
        </w:rPr>
        <w:t>(Hapke, 2012)</w:t>
      </w:r>
      <w:r w:rsidR="00E8774E">
        <w:rPr>
          <w:sz w:val="24"/>
          <w:szCs w:val="24"/>
        </w:rPr>
        <w:fldChar w:fldCharType="end"/>
      </w:r>
      <w:r>
        <w:rPr>
          <w:sz w:val="24"/>
          <w:szCs w:val="24"/>
        </w:rPr>
        <w:t xml:space="preserve">. </w:t>
      </w:r>
      <w:r>
        <w:rPr>
          <w:rFonts w:eastAsia="Times New Roman"/>
          <w:i/>
          <w:color w:val="000000"/>
          <w:sz w:val="24"/>
          <w:szCs w:val="24"/>
        </w:rPr>
        <w:t>B</w:t>
      </w:r>
      <w:r>
        <w:rPr>
          <w:rFonts w:eastAsia="Times New Roman"/>
          <w:color w:val="000000"/>
          <w:sz w:val="24"/>
          <w:szCs w:val="24"/>
        </w:rPr>
        <w:t xml:space="preserve"> is the backscattering function which describes the opposition effect </w:t>
      </w:r>
      <w:r w:rsidR="00E8774E">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{"citationID":"xBHSDFXf","properties":{"formattedCitation":"(Hapke, 1986)","plainCitation":"(Hapke, 1986)","noteIndex":0},"citationItems":[{"id":11,"uris":["http://zotero.org/users/local/lFa3rRs0/items/ACYTHXK6"],"itemData":{"id":11,"type":"article-journal","abstract":"The extinction coefficient and the opposition effect in a particulate medium are discussed. Simple analytic expressions that describe these quantities are rigorously derived using a few physically realistic mathematical approximations. The particles of the medium may have a distribution of sizes, and the particle density is allowed to vary with depth. The expression for the extinction coefficient is valid for both large and small porosities and is more accurate than the one commonly used. The opposition effect arises from the hiding of extinction shadows and occurs even if the particles are transparent. The angular half-width of the opposition peak is shown to be equal to the ratio of the average particle radius to extinction length at unit slant path optical depth in the medium, and depends on both the filling factor (ratio of bulk to solid density) F and the particle size distribution. To illustrate the theory, it is fitted to observations of the Moon, an asteroid, and a satellite of Uranus; Europa is also discussed. For the Moon, a value of F = 0.41 is derived, in good agreement with data on Apollo soils. For Oberon, the width of the opposition effect peak gives F = 0.10, which is similar to values for terrestrial frosts and snow. Thus, the narrow opposition effects of the Uranian satellites do not require any unusual particles or microstructures on their surfaces. More photometric observations of Europa are needed. © 1986.","container-title":"Icarus","DOI":"10.1016/0019-1035(86)90108-9","ISSN":"0019-1035","issue":"2","note":"publisher: Academic Press","page":"264–280","title":"Bidirectional reflectance spectroscopy: 4. The extinction coefficient and the opposition effect","volume":"67","author":[{"family":"Hapke","given":"Bruce"}],"issued":{"date-parts":[["1986"]]}}}],"schema":"https://github.com/citation-style-language/schema/raw/master/csl-citation.json"} </w:instrText>
      </w:r>
      <w:r w:rsidR="00E8774E">
        <w:rPr>
          <w:rFonts w:eastAsia="Times New Roman"/>
          <w:color w:val="000000"/>
          <w:sz w:val="24"/>
          <w:szCs w:val="24"/>
        </w:rPr>
        <w:fldChar w:fldCharType="separate"/>
      </w:r>
      <w:r w:rsidR="0013140F" w:rsidRPr="0013140F">
        <w:rPr>
          <w:sz w:val="24"/>
        </w:rPr>
        <w:t>(Hapke, 1986)</w:t>
      </w:r>
      <w:r w:rsidR="00E8774E">
        <w:rPr>
          <w:rFonts w:eastAsia="Times New Roman"/>
          <w:color w:val="000000"/>
          <w:sz w:val="24"/>
          <w:szCs w:val="24"/>
        </w:rPr>
        <w:fldChar w:fldCharType="end"/>
      </w:r>
      <w:r w:rsidR="008D1AB5">
        <w:rPr>
          <w:rFonts w:eastAsia="Times New Roman"/>
          <w:color w:val="000000"/>
          <w:sz w:val="24"/>
          <w:szCs w:val="24"/>
        </w:rPr>
        <w:t xml:space="preserve"> </w:t>
      </w:r>
      <w:r>
        <w:rPr>
          <w:rFonts w:eastAsia="Times New Roman"/>
          <w:color w:val="000000"/>
          <w:sz w:val="24"/>
          <w:szCs w:val="24"/>
        </w:rPr>
        <w:t>and is approximated by:</w:t>
      </w:r>
    </w:p>
    <w:tbl>
      <w:tblPr>
        <w:tblStyle w:val="a1"/>
        <w:tblW w:w="9350" w:type="dxa"/>
        <w:tblBorders>
          <w:top w:val="nil"/>
          <w:left w:val="nil"/>
          <w:bottom w:val="nil"/>
          <w:right w:val="nil"/>
          <w:insideH w:val="nil"/>
          <w:insideV w:val="nil"/>
        </w:tblBorders>
        <w:tblLayout w:type="fixed"/>
        <w:tblLook w:val="0400" w:firstRow="0" w:lastRow="0" w:firstColumn="0" w:lastColumn="0" w:noHBand="0" w:noVBand="1"/>
      </w:tblPr>
      <w:tblGrid>
        <w:gridCol w:w="8635"/>
        <w:gridCol w:w="715"/>
      </w:tblGrid>
      <w:tr w:rsidR="00867801" w14:paraId="28B0CFC3" w14:textId="77777777">
        <w:tc>
          <w:tcPr>
            <w:tcW w:w="8635" w:type="dxa"/>
          </w:tcPr>
          <w:p w14:paraId="28B0CFC1" w14:textId="77777777" w:rsidR="00867801" w:rsidRDefault="009E1DFE">
            <w:pPr>
              <w:jc w:val="center"/>
              <w:rPr>
                <w:rFonts w:ascii="Cambria Math" w:eastAsia="Cambria Math" w:hAnsi="Cambria Math" w:cs="Cambria Math"/>
                <w:color w:val="000000"/>
                <w:sz w:val="24"/>
                <w:szCs w:val="24"/>
              </w:rPr>
            </w:pPr>
            <m:oMathPara>
              <m:oMath>
                <m:r>
                  <w:rPr>
                    <w:rFonts w:ascii="Cambria Math" w:eastAsia="Cambria Math" w:hAnsi="Cambria Math" w:cs="Cambria Math"/>
                    <w:color w:val="000000"/>
                    <w:sz w:val="24"/>
                    <w:szCs w:val="24"/>
                  </w:rPr>
                  <w:lastRenderedPageBreak/>
                  <m:t>B=</m:t>
                </m:r>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1</m:t>
                    </m:r>
                  </m:num>
                  <m:den>
                    <m:r>
                      <w:rPr>
                        <w:rFonts w:ascii="Cambria Math" w:eastAsia="Cambria Math" w:hAnsi="Cambria Math" w:cs="Cambria Math"/>
                        <w:color w:val="000000"/>
                        <w:sz w:val="24"/>
                        <w:szCs w:val="24"/>
                      </w:rPr>
                      <m:t>1+</m:t>
                    </m:r>
                    <m:d>
                      <m:dPr>
                        <m:ctrlPr>
                          <w:rPr>
                            <w:rFonts w:ascii="Cambria Math" w:eastAsia="Cambria Math" w:hAnsi="Cambria Math" w:cs="Cambria Math"/>
                            <w:color w:val="000000"/>
                            <w:sz w:val="24"/>
                            <w:szCs w:val="24"/>
                          </w:rPr>
                        </m:ctrlPr>
                      </m:dPr>
                      <m:e>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1</m:t>
                            </m:r>
                          </m:num>
                          <m:den>
                            <m:r>
                              <w:rPr>
                                <w:rFonts w:ascii="Cambria Math" w:eastAsia="Cambria Math" w:hAnsi="Cambria Math" w:cs="Cambria Math"/>
                                <w:color w:val="000000"/>
                                <w:sz w:val="24"/>
                                <w:szCs w:val="24"/>
                              </w:rPr>
                              <m:t>h</m:t>
                            </m:r>
                          </m:den>
                        </m:f>
                      </m:e>
                    </m:d>
                    <m:r>
                      <w:rPr>
                        <w:rFonts w:ascii="Cambria Math" w:eastAsia="Cambria Math" w:hAnsi="Cambria Math" w:cs="Cambria Math"/>
                        <w:color w:val="000000"/>
                        <w:sz w:val="24"/>
                        <w:szCs w:val="24"/>
                      </w:rPr>
                      <m:t>tan</m:t>
                    </m:r>
                    <m:d>
                      <m:dPr>
                        <m:ctrlPr>
                          <w:rPr>
                            <w:rFonts w:ascii="Cambria Math" w:eastAsia="Cambria Math" w:hAnsi="Cambria Math" w:cs="Cambria Math"/>
                            <w:color w:val="000000"/>
                            <w:sz w:val="24"/>
                            <w:szCs w:val="24"/>
                          </w:rPr>
                        </m:ctrlPr>
                      </m:dPr>
                      <m:e>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g</m:t>
                            </m:r>
                          </m:num>
                          <m:den>
                            <m:r>
                              <w:rPr>
                                <w:rFonts w:ascii="Cambria Math" w:eastAsia="Cambria Math" w:hAnsi="Cambria Math" w:cs="Cambria Math"/>
                                <w:color w:val="000000"/>
                                <w:sz w:val="24"/>
                                <w:szCs w:val="24"/>
                              </w:rPr>
                              <m:t>2</m:t>
                            </m:r>
                          </m:den>
                        </m:f>
                      </m:e>
                    </m:d>
                  </m:den>
                </m:f>
              </m:oMath>
            </m:oMathPara>
          </w:p>
        </w:tc>
        <w:tc>
          <w:tcPr>
            <w:tcW w:w="715" w:type="dxa"/>
            <w:vAlign w:val="center"/>
          </w:tcPr>
          <w:p w14:paraId="28B0CFC2" w14:textId="77777777" w:rsidR="00867801" w:rsidRDefault="009E1DFE">
            <w:pPr>
              <w:pBdr>
                <w:top w:val="nil"/>
                <w:left w:val="nil"/>
                <w:bottom w:val="nil"/>
                <w:right w:val="nil"/>
                <w:between w:val="nil"/>
              </w:pBdr>
              <w:spacing w:before="120"/>
              <w:jc w:val="right"/>
              <w:rPr>
                <w:rFonts w:eastAsia="Times New Roman"/>
                <w:color w:val="000000"/>
                <w:sz w:val="24"/>
                <w:szCs w:val="24"/>
              </w:rPr>
            </w:pPr>
            <w:r>
              <w:rPr>
                <w:rFonts w:eastAsia="Times New Roman"/>
                <w:color w:val="000000"/>
                <w:sz w:val="24"/>
                <w:szCs w:val="24"/>
              </w:rPr>
              <w:t>(2)</w:t>
            </w:r>
          </w:p>
        </w:tc>
      </w:tr>
    </w:tbl>
    <w:p w14:paraId="28B0CFC4"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 xml:space="preserve">Where </w:t>
      </w:r>
      <w:r>
        <w:rPr>
          <w:rFonts w:eastAsia="Times New Roman"/>
          <w:i/>
          <w:color w:val="000000"/>
          <w:sz w:val="24"/>
          <w:szCs w:val="24"/>
        </w:rPr>
        <w:t>g</w:t>
      </w:r>
      <w:r>
        <w:rPr>
          <w:rFonts w:eastAsia="Times New Roman"/>
          <w:color w:val="000000"/>
          <w:sz w:val="24"/>
          <w:szCs w:val="24"/>
        </w:rPr>
        <w:t xml:space="preserve"> is the phase angle </w:t>
      </w:r>
      <w:r>
        <w:rPr>
          <w:sz w:val="24"/>
          <w:szCs w:val="24"/>
        </w:rPr>
        <w:t>and</w:t>
      </w:r>
      <w:r>
        <w:rPr>
          <w:rFonts w:eastAsia="Times New Roman"/>
          <w:color w:val="000000"/>
          <w:sz w:val="24"/>
          <w:szCs w:val="24"/>
        </w:rPr>
        <w:t xml:space="preserve"> </w:t>
      </w:r>
      <w:r>
        <w:rPr>
          <w:rFonts w:eastAsia="Times New Roman"/>
          <w:i/>
          <w:color w:val="000000"/>
          <w:sz w:val="24"/>
          <w:szCs w:val="24"/>
        </w:rPr>
        <w:t>h</w:t>
      </w:r>
      <w:r>
        <w:rPr>
          <w:rFonts w:eastAsia="Times New Roman"/>
          <w:color w:val="000000"/>
          <w:sz w:val="24"/>
          <w:szCs w:val="24"/>
        </w:rPr>
        <w:t xml:space="preserve"> </w:t>
      </w:r>
      <w:proofErr w:type="gramStart"/>
      <w:r>
        <w:rPr>
          <w:rFonts w:eastAsia="Times New Roman"/>
          <w:color w:val="000000"/>
          <w:sz w:val="24"/>
          <w:szCs w:val="24"/>
        </w:rPr>
        <w:t>is</w:t>
      </w:r>
      <w:proofErr w:type="gramEnd"/>
      <w:r>
        <w:rPr>
          <w:rFonts w:eastAsia="Times New Roman"/>
          <w:color w:val="000000"/>
          <w:sz w:val="24"/>
          <w:szCs w:val="24"/>
        </w:rPr>
        <w:t xml:space="preserve"> the angular width parameter and can be described by:</w:t>
      </w:r>
    </w:p>
    <w:tbl>
      <w:tblPr>
        <w:tblStyle w:val="a2"/>
        <w:tblW w:w="9350" w:type="dxa"/>
        <w:tblBorders>
          <w:top w:val="nil"/>
          <w:left w:val="nil"/>
          <w:bottom w:val="nil"/>
          <w:right w:val="nil"/>
          <w:insideH w:val="nil"/>
          <w:insideV w:val="nil"/>
        </w:tblBorders>
        <w:tblLayout w:type="fixed"/>
        <w:tblLook w:val="0400" w:firstRow="0" w:lastRow="0" w:firstColumn="0" w:lastColumn="0" w:noHBand="0" w:noVBand="1"/>
      </w:tblPr>
      <w:tblGrid>
        <w:gridCol w:w="8635"/>
        <w:gridCol w:w="715"/>
      </w:tblGrid>
      <w:tr w:rsidR="00867801" w14:paraId="28B0CFC7" w14:textId="77777777">
        <w:tc>
          <w:tcPr>
            <w:tcW w:w="8635" w:type="dxa"/>
          </w:tcPr>
          <w:p w14:paraId="28B0CFC5" w14:textId="77777777" w:rsidR="00867801" w:rsidRDefault="009E1DFE">
            <w:pPr>
              <w:jc w:val="center"/>
              <w:rPr>
                <w:rFonts w:ascii="Cambria Math" w:eastAsia="Cambria Math" w:hAnsi="Cambria Math" w:cs="Cambria Math"/>
                <w:color w:val="000000"/>
                <w:sz w:val="24"/>
                <w:szCs w:val="24"/>
              </w:rPr>
            </w:pPr>
            <m:oMathPara>
              <m:oMath>
                <m:r>
                  <w:rPr>
                    <w:rFonts w:ascii="Cambria Math" w:eastAsia="Cambria Math" w:hAnsi="Cambria Math" w:cs="Cambria Math"/>
                    <w:color w:val="000000"/>
                    <w:sz w:val="24"/>
                    <w:szCs w:val="24"/>
                  </w:rPr>
                  <m:t>h=-</m:t>
                </m:r>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3</m:t>
                    </m:r>
                  </m:num>
                  <m:den>
                    <m:r>
                      <w:rPr>
                        <w:rFonts w:ascii="Cambria Math" w:eastAsia="Cambria Math" w:hAnsi="Cambria Math" w:cs="Cambria Math"/>
                        <w:color w:val="000000"/>
                        <w:sz w:val="24"/>
                        <w:szCs w:val="24"/>
                      </w:rPr>
                      <m:t>8</m:t>
                    </m:r>
                  </m:den>
                </m:f>
                <m:r>
                  <w:rPr>
                    <w:rFonts w:ascii="Cambria Math" w:eastAsia="Cambria Math" w:hAnsi="Cambria Math" w:cs="Cambria Math"/>
                    <w:color w:val="000000"/>
                    <w:sz w:val="24"/>
                    <w:szCs w:val="24"/>
                  </w:rPr>
                  <m:t>ln(1-ϕ)</m:t>
                </m:r>
              </m:oMath>
            </m:oMathPara>
          </w:p>
        </w:tc>
        <w:tc>
          <w:tcPr>
            <w:tcW w:w="715" w:type="dxa"/>
            <w:vAlign w:val="center"/>
          </w:tcPr>
          <w:p w14:paraId="28B0CFC6" w14:textId="77777777" w:rsidR="00867801" w:rsidRDefault="009E1DFE">
            <w:pPr>
              <w:pBdr>
                <w:top w:val="nil"/>
                <w:left w:val="nil"/>
                <w:bottom w:val="nil"/>
                <w:right w:val="nil"/>
                <w:between w:val="nil"/>
              </w:pBdr>
              <w:spacing w:before="120"/>
              <w:jc w:val="right"/>
              <w:rPr>
                <w:rFonts w:eastAsia="Times New Roman"/>
                <w:color w:val="000000"/>
                <w:sz w:val="24"/>
                <w:szCs w:val="24"/>
              </w:rPr>
            </w:pPr>
            <w:r>
              <w:rPr>
                <w:rFonts w:eastAsia="Times New Roman"/>
                <w:color w:val="000000"/>
                <w:sz w:val="24"/>
                <w:szCs w:val="24"/>
              </w:rPr>
              <w:t>(3)</w:t>
            </w:r>
          </w:p>
        </w:tc>
      </w:tr>
    </w:tbl>
    <w:p w14:paraId="28B0CFC8" w14:textId="703A0A26"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 xml:space="preserve">Where </w:t>
      </w:r>
      <m:oMath>
        <m:r>
          <w:rPr>
            <w:rFonts w:ascii="Cambria Math" w:eastAsia="Cambria Math" w:hAnsi="Cambria Math" w:cs="Cambria Math"/>
            <w:sz w:val="24"/>
            <w:szCs w:val="24"/>
          </w:rPr>
          <m:t>ϕ</m:t>
        </m:r>
      </m:oMath>
      <w:r>
        <w:rPr>
          <w:rFonts w:eastAsia="Times New Roman"/>
          <w:i/>
          <w:color w:val="000000"/>
          <w:sz w:val="24"/>
          <w:szCs w:val="24"/>
        </w:rPr>
        <w:t xml:space="preserve"> </w:t>
      </w:r>
      <w:r>
        <w:rPr>
          <w:rFonts w:eastAsia="Times New Roman"/>
          <w:color w:val="000000"/>
          <w:sz w:val="24"/>
          <w:szCs w:val="24"/>
        </w:rPr>
        <w:t xml:space="preserve">is the filling factor and set to 0.41 for the lunar </w:t>
      </w:r>
      <w:r>
        <w:rPr>
          <w:sz w:val="24"/>
          <w:szCs w:val="24"/>
        </w:rPr>
        <w:t xml:space="preserve">regolith </w:t>
      </w:r>
      <w:r w:rsidR="00477850">
        <w:rPr>
          <w:sz w:val="24"/>
          <w:szCs w:val="24"/>
        </w:rPr>
        <w:fldChar w:fldCharType="begin"/>
      </w:r>
      <w:r w:rsidR="008B0A8A">
        <w:rPr>
          <w:sz w:val="24"/>
          <w:szCs w:val="24"/>
        </w:rPr>
        <w:instrText xml:space="preserve"> ADDIN ZOTERO_ITEM CSL_CITATION {"citationID":"W58Qbpiz","properties":{"formattedCitation":"(Bowell et al., 1989)","plainCitation":"(Bowell et al., 1989)","noteIndex":0},"citationItems":[{"id":735,"uris":["http://zotero.org/users/local/lFa3rRs0/items/WW58UIAA"],"itemData":{"id":735,"type":"chapter","container-title":"Asteroids II","event-place":"Tuscon","page":"524-556","publisher":"University of Arizona Press","publisher-place":"Tuscon","title":"Application of photometric models to asteroids","author":[{"family":"Bowell","given":"E"},{"family":"Hapke","given":"B"},{"family":"Domingue","given":"D"},{"family":"Lumme","given":"K"},{"family":"Peltoniemi","given":"J"},{"family":"Harris","given":"A"}],"issued":{"date-parts":[["1989"]]}}}],"schema":"https://github.com/citation-style-language/schema/raw/master/csl-citation.json"} </w:instrText>
      </w:r>
      <w:r w:rsidR="00477850">
        <w:rPr>
          <w:sz w:val="24"/>
          <w:szCs w:val="24"/>
        </w:rPr>
        <w:fldChar w:fldCharType="separate"/>
      </w:r>
      <w:r w:rsidR="003545B6" w:rsidRPr="003545B6">
        <w:rPr>
          <w:sz w:val="24"/>
        </w:rPr>
        <w:t>(Bowell et al., 1989)</w:t>
      </w:r>
      <w:r w:rsidR="00477850">
        <w:rPr>
          <w:sz w:val="24"/>
          <w:szCs w:val="24"/>
        </w:rPr>
        <w:fldChar w:fldCharType="end"/>
      </w:r>
      <w:r>
        <w:rPr>
          <w:rFonts w:eastAsia="Times New Roman"/>
          <w:color w:val="000000"/>
          <w:sz w:val="24"/>
          <w:szCs w:val="24"/>
        </w:rPr>
        <w:t xml:space="preserve">. </w:t>
      </w:r>
      <w:r w:rsidR="00477850">
        <w:rPr>
          <w:rFonts w:eastAsia="Times New Roman"/>
          <w:color w:val="000000"/>
          <w:sz w:val="24"/>
          <w:szCs w:val="24"/>
        </w:rPr>
        <w:t>All</w:t>
      </w:r>
      <w:r>
        <w:rPr>
          <w:rFonts w:eastAsia="Times New Roman"/>
          <w:color w:val="000000"/>
          <w:sz w:val="24"/>
          <w:szCs w:val="24"/>
        </w:rPr>
        <w:t xml:space="preserve"> the endmember spectra were measured with a viewing geometry of </w:t>
      </w:r>
      <w:r>
        <w:rPr>
          <w:rFonts w:eastAsia="Times New Roman"/>
          <w:i/>
          <w:color w:val="000000"/>
          <w:sz w:val="24"/>
          <w:szCs w:val="24"/>
        </w:rPr>
        <w:t xml:space="preserve">µ </w:t>
      </w:r>
      <w:r>
        <w:rPr>
          <w:rFonts w:eastAsia="Times New Roman"/>
          <w:color w:val="000000"/>
          <w:sz w:val="24"/>
          <w:szCs w:val="24"/>
        </w:rPr>
        <w:t xml:space="preserve">= 0, </w:t>
      </w:r>
      <w:r>
        <w:rPr>
          <w:rFonts w:eastAsia="Times New Roman"/>
          <w:i/>
          <w:color w:val="000000"/>
          <w:sz w:val="24"/>
          <w:szCs w:val="24"/>
        </w:rPr>
        <w:t>µ</w:t>
      </w:r>
      <w:r>
        <w:rPr>
          <w:rFonts w:eastAsia="Times New Roman"/>
          <w:i/>
          <w:color w:val="000000"/>
          <w:sz w:val="24"/>
          <w:szCs w:val="24"/>
          <w:vertAlign w:val="subscript"/>
        </w:rPr>
        <w:t>0</w:t>
      </w:r>
      <w:r>
        <w:rPr>
          <w:rFonts w:eastAsia="Times New Roman"/>
          <w:i/>
          <w:color w:val="000000"/>
          <w:sz w:val="24"/>
          <w:szCs w:val="24"/>
        </w:rPr>
        <w:t xml:space="preserve"> </w:t>
      </w:r>
      <w:r>
        <w:rPr>
          <w:rFonts w:eastAsia="Times New Roman"/>
          <w:color w:val="000000"/>
          <w:sz w:val="24"/>
          <w:szCs w:val="24"/>
        </w:rPr>
        <w:t xml:space="preserve">= 30, and g = 30. </w:t>
      </w:r>
    </w:p>
    <w:p w14:paraId="28B0CFC9" w14:textId="7777777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then mixed the endmember SSA spectra </w:t>
      </w:r>
      <w:r>
        <w:rPr>
          <w:sz w:val="24"/>
          <w:szCs w:val="24"/>
        </w:rPr>
        <w:t>using</w:t>
      </w:r>
      <w:r>
        <w:rPr>
          <w:rFonts w:eastAsia="Times New Roman"/>
          <w:color w:val="000000"/>
          <w:sz w:val="24"/>
          <w:szCs w:val="24"/>
        </w:rPr>
        <w:t xml:space="preserve"> </w:t>
      </w:r>
      <w:r>
        <w:rPr>
          <w:sz w:val="24"/>
          <w:szCs w:val="24"/>
        </w:rPr>
        <w:t>randomized</w:t>
      </w:r>
      <w:r>
        <w:rPr>
          <w:rFonts w:eastAsia="Times New Roman"/>
          <w:color w:val="000000"/>
          <w:sz w:val="24"/>
          <w:szCs w:val="24"/>
        </w:rPr>
        <w:t xml:space="preserve"> mass fractions </w:t>
      </w:r>
      <w:r>
        <w:rPr>
          <w:sz w:val="24"/>
          <w:szCs w:val="24"/>
        </w:rPr>
        <w:t>within</w:t>
      </w:r>
      <w:r>
        <w:rPr>
          <w:rFonts w:eastAsia="Times New Roman"/>
          <w:color w:val="000000"/>
          <w:sz w:val="24"/>
          <w:szCs w:val="24"/>
        </w:rPr>
        <w:t xml:space="preserve"> the bo</w:t>
      </w:r>
      <w:r>
        <w:rPr>
          <w:sz w:val="24"/>
          <w:szCs w:val="24"/>
        </w:rPr>
        <w:t>unds</w:t>
      </w:r>
      <w:r>
        <w:rPr>
          <w:rFonts w:eastAsia="Times New Roman"/>
          <w:color w:val="000000"/>
          <w:sz w:val="24"/>
          <w:szCs w:val="24"/>
        </w:rPr>
        <w:t xml:space="preserve"> described in Table 1 to simulate an intimate mixture of particles and determine the average SSA:</w:t>
      </w:r>
    </w:p>
    <w:tbl>
      <w:tblPr>
        <w:tblStyle w:val="a3"/>
        <w:tblW w:w="9350" w:type="dxa"/>
        <w:tblBorders>
          <w:top w:val="nil"/>
          <w:left w:val="nil"/>
          <w:bottom w:val="nil"/>
          <w:right w:val="nil"/>
          <w:insideH w:val="nil"/>
          <w:insideV w:val="nil"/>
        </w:tblBorders>
        <w:tblLayout w:type="fixed"/>
        <w:tblLook w:val="0400" w:firstRow="0" w:lastRow="0" w:firstColumn="0" w:lastColumn="0" w:noHBand="0" w:noVBand="1"/>
      </w:tblPr>
      <w:tblGrid>
        <w:gridCol w:w="8635"/>
        <w:gridCol w:w="715"/>
      </w:tblGrid>
      <w:tr w:rsidR="00867801" w14:paraId="28B0CFCC" w14:textId="77777777">
        <w:trPr>
          <w:trHeight w:val="792"/>
        </w:trPr>
        <w:tc>
          <w:tcPr>
            <w:tcW w:w="8635" w:type="dxa"/>
          </w:tcPr>
          <w:p w14:paraId="28B0CFCA" w14:textId="3A1B284E" w:rsidR="00867801" w:rsidRDefault="003E2FB5">
            <w:pPr>
              <w:jc w:val="center"/>
              <w:rPr>
                <w:rFonts w:ascii="Cambria Math" w:eastAsia="Cambria Math" w:hAnsi="Cambria Math" w:cs="Cambria Math"/>
                <w:color w:val="000000"/>
                <w:sz w:val="24"/>
                <w:szCs w:val="24"/>
              </w:rPr>
            </w:pPr>
            <m:oMathPara>
              <m:oMath>
                <m:sSub>
                  <m:sSubPr>
                    <m:ctrlPr>
                      <w:rPr>
                        <w:rFonts w:ascii="Cambria Math" w:eastAsia="Cambria Math" w:hAnsi="Cambria Math" w:cs="Cambria Math"/>
                        <w:color w:val="000000"/>
                        <w:sz w:val="24"/>
                        <w:szCs w:val="24"/>
                      </w:rPr>
                    </m:ctrlPr>
                  </m:sSubPr>
                  <m:e>
                    <m:r>
                      <w:rPr>
                        <w:rFonts w:ascii="Cambria Math" w:hAnsi="Cambria Math"/>
                      </w:rPr>
                      <m:t>ω</m:t>
                    </m:r>
                  </m:e>
                  <m:sub>
                    <m:r>
                      <w:rPr>
                        <w:rFonts w:ascii="Cambria Math" w:eastAsia="Cambria Math" w:hAnsi="Cambria Math" w:cs="Cambria Math"/>
                        <w:color w:val="000000"/>
                        <w:sz w:val="24"/>
                        <w:szCs w:val="24"/>
                      </w:rPr>
                      <m:t>Ave</m:t>
                    </m:r>
                  </m:sub>
                </m:sSub>
                <m:r>
                  <w:rPr>
                    <w:rFonts w:ascii="Cambria Math" w:eastAsia="Cambria Math" w:hAnsi="Cambria Math" w:cs="Cambria Math"/>
                    <w:color w:val="000000"/>
                    <w:sz w:val="24"/>
                    <w:szCs w:val="24"/>
                  </w:rPr>
                  <m:t>=</m:t>
                </m:r>
                <m:f>
                  <m:fPr>
                    <m:ctrlPr>
                      <w:rPr>
                        <w:rFonts w:ascii="Cambria Math" w:eastAsia="Cambria Math" w:hAnsi="Cambria Math" w:cs="Cambria Math"/>
                        <w:color w:val="000000"/>
                        <w:sz w:val="24"/>
                        <w:szCs w:val="24"/>
                      </w:rPr>
                    </m:ctrlPr>
                  </m:fPr>
                  <m:num>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m:t>
                        </m:r>
                      </m:sub>
                      <m:sup/>
                      <m:e>
                        <m:f>
                          <m:fPr>
                            <m:ctrlPr>
                              <w:rPr>
                                <w:rFonts w:ascii="Cambria Math" w:eastAsia="Cambria Math" w:hAnsi="Cambria Math" w:cs="Cambria Math"/>
                                <w:color w:val="000000"/>
                                <w:sz w:val="24"/>
                                <w:szCs w:val="24"/>
                              </w:rPr>
                            </m:ctrlPr>
                          </m:fPr>
                          <m:num>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M</m:t>
                                </m:r>
                              </m:e>
                              <m:sub>
                                <m:r>
                                  <w:rPr>
                                    <w:rFonts w:ascii="Cambria Math" w:eastAsia="Cambria Math" w:hAnsi="Cambria Math" w:cs="Cambria Math"/>
                                    <w:color w:val="000000"/>
                                    <w:sz w:val="24"/>
                                    <w:szCs w:val="24"/>
                                  </w:rPr>
                                  <m:t>i</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ω</m:t>
                                </m:r>
                              </m:e>
                              <m:sub>
                                <m:r>
                                  <w:rPr>
                                    <w:rFonts w:ascii="Cambria Math" w:eastAsia="Cambria Math" w:hAnsi="Cambria Math" w:cs="Cambria Math"/>
                                    <w:color w:val="000000"/>
                                    <w:sz w:val="24"/>
                                    <w:szCs w:val="24"/>
                                  </w:rPr>
                                  <m:t>i</m:t>
                                </m:r>
                              </m:sub>
                            </m:sSub>
                          </m:num>
                          <m:den>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ρ</m:t>
                                </m:r>
                              </m:e>
                              <m:sub>
                                <m:r>
                                  <w:rPr>
                                    <w:rFonts w:ascii="Cambria Math" w:eastAsia="Cambria Math" w:hAnsi="Cambria Math" w:cs="Cambria Math"/>
                                    <w:color w:val="000000"/>
                                    <w:sz w:val="24"/>
                                    <w:szCs w:val="24"/>
                                  </w:rPr>
                                  <m:t>i</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d</m:t>
                                </m:r>
                              </m:e>
                              <m:sub>
                                <m:r>
                                  <w:rPr>
                                    <w:rFonts w:ascii="Cambria Math" w:eastAsia="Cambria Math" w:hAnsi="Cambria Math" w:cs="Cambria Math"/>
                                    <w:color w:val="000000"/>
                                    <w:sz w:val="24"/>
                                    <w:szCs w:val="24"/>
                                  </w:rPr>
                                  <m:t>i</m:t>
                                </m:r>
                              </m:sub>
                            </m:sSub>
                          </m:den>
                        </m:f>
                      </m:e>
                    </m:nary>
                  </m:num>
                  <m:den>
                    <m:nary>
                      <m:naryPr>
                        <m:chr m:val="∑"/>
                        <m:ctrlPr>
                          <w:rPr>
                            <w:rFonts w:ascii="Cambria Math" w:eastAsia="Cambria Math" w:hAnsi="Cambria Math" w:cs="Cambria Math"/>
                            <w:color w:val="000000"/>
                            <w:sz w:val="24"/>
                            <w:szCs w:val="24"/>
                          </w:rPr>
                        </m:ctrlPr>
                      </m:naryPr>
                      <m:sub>
                        <m:r>
                          <w:rPr>
                            <w:rFonts w:ascii="Cambria Math" w:eastAsia="Cambria Math" w:hAnsi="Cambria Math" w:cs="Cambria Math"/>
                            <w:color w:val="000000"/>
                            <w:sz w:val="24"/>
                            <w:szCs w:val="24"/>
                          </w:rPr>
                          <m:t>i</m:t>
                        </m:r>
                      </m:sub>
                      <m:sup/>
                      <m:e>
                        <m:f>
                          <m:fPr>
                            <m:ctrlPr>
                              <w:rPr>
                                <w:rFonts w:ascii="Cambria Math" w:eastAsia="Cambria Math" w:hAnsi="Cambria Math" w:cs="Cambria Math"/>
                                <w:color w:val="000000"/>
                                <w:sz w:val="24"/>
                                <w:szCs w:val="24"/>
                              </w:rPr>
                            </m:ctrlPr>
                          </m:fPr>
                          <m:num>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M</m:t>
                                </m:r>
                              </m:e>
                              <m:sub>
                                <m:r>
                                  <w:rPr>
                                    <w:rFonts w:ascii="Cambria Math" w:eastAsia="Cambria Math" w:hAnsi="Cambria Math" w:cs="Cambria Math"/>
                                    <w:color w:val="000000"/>
                                    <w:sz w:val="24"/>
                                    <w:szCs w:val="24"/>
                                  </w:rPr>
                                  <m:t>i</m:t>
                                </m:r>
                              </m:sub>
                            </m:sSub>
                          </m:num>
                          <m:den>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ρ</m:t>
                                </m:r>
                              </m:e>
                              <m:sub>
                                <m:r>
                                  <w:rPr>
                                    <w:rFonts w:ascii="Cambria Math" w:eastAsia="Cambria Math" w:hAnsi="Cambria Math" w:cs="Cambria Math"/>
                                    <w:color w:val="000000"/>
                                    <w:sz w:val="24"/>
                                    <w:szCs w:val="24"/>
                                  </w:rPr>
                                  <m:t>i</m:t>
                                </m:r>
                              </m:sub>
                            </m:sSub>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d</m:t>
                                </m:r>
                              </m:e>
                              <m:sub>
                                <m:r>
                                  <w:rPr>
                                    <w:rFonts w:ascii="Cambria Math" w:eastAsia="Cambria Math" w:hAnsi="Cambria Math" w:cs="Cambria Math"/>
                                    <w:color w:val="000000"/>
                                    <w:sz w:val="24"/>
                                    <w:szCs w:val="24"/>
                                  </w:rPr>
                                  <m:t>i</m:t>
                                </m:r>
                              </m:sub>
                            </m:sSub>
                          </m:den>
                        </m:f>
                      </m:e>
                    </m:nary>
                  </m:den>
                </m:f>
              </m:oMath>
            </m:oMathPara>
          </w:p>
        </w:tc>
        <w:tc>
          <w:tcPr>
            <w:tcW w:w="715" w:type="dxa"/>
            <w:vAlign w:val="center"/>
          </w:tcPr>
          <w:p w14:paraId="28B0CFCB" w14:textId="77777777" w:rsidR="00867801" w:rsidRDefault="009E1DFE">
            <w:pPr>
              <w:pBdr>
                <w:top w:val="nil"/>
                <w:left w:val="nil"/>
                <w:bottom w:val="nil"/>
                <w:right w:val="nil"/>
                <w:between w:val="nil"/>
              </w:pBdr>
              <w:spacing w:before="120"/>
              <w:jc w:val="right"/>
              <w:rPr>
                <w:rFonts w:eastAsia="Times New Roman"/>
                <w:color w:val="000000"/>
                <w:sz w:val="24"/>
                <w:szCs w:val="24"/>
              </w:rPr>
            </w:pPr>
            <w:r>
              <w:rPr>
                <w:rFonts w:eastAsia="Times New Roman"/>
                <w:color w:val="000000"/>
                <w:sz w:val="24"/>
                <w:szCs w:val="24"/>
              </w:rPr>
              <w:t>(4)</w:t>
            </w:r>
          </w:p>
        </w:tc>
      </w:tr>
    </w:tbl>
    <w:p w14:paraId="28B0CFCD" w14:textId="1D054A60"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 xml:space="preserve">where </w:t>
      </w:r>
      <w:r>
        <w:rPr>
          <w:rFonts w:eastAsia="Times New Roman"/>
          <w:i/>
          <w:color w:val="000000"/>
          <w:sz w:val="24"/>
          <w:szCs w:val="24"/>
        </w:rPr>
        <w:t xml:space="preserve">i </w:t>
      </w:r>
      <w:r>
        <w:rPr>
          <w:rFonts w:eastAsia="Times New Roman"/>
          <w:color w:val="000000"/>
          <w:sz w:val="24"/>
          <w:szCs w:val="24"/>
        </w:rPr>
        <w:t xml:space="preserve">denotes the </w:t>
      </w:r>
      <w:r>
        <w:rPr>
          <w:rFonts w:eastAsia="Times New Roman"/>
          <w:i/>
          <w:color w:val="000000"/>
          <w:sz w:val="24"/>
          <w:szCs w:val="24"/>
        </w:rPr>
        <w:t>i</w:t>
      </w:r>
      <w:r>
        <w:rPr>
          <w:rFonts w:eastAsia="Times New Roman"/>
          <w:color w:val="000000"/>
          <w:sz w:val="24"/>
          <w:szCs w:val="24"/>
        </w:rPr>
        <w:t xml:space="preserve">th endmember, </w:t>
      </w:r>
      <w:r>
        <w:rPr>
          <w:rFonts w:eastAsia="Times New Roman"/>
          <w:i/>
          <w:color w:val="000000"/>
          <w:sz w:val="24"/>
          <w:szCs w:val="24"/>
        </w:rPr>
        <w:t>M</w:t>
      </w:r>
      <w:r>
        <w:rPr>
          <w:rFonts w:eastAsia="Times New Roman"/>
          <w:i/>
          <w:color w:val="000000"/>
          <w:sz w:val="24"/>
          <w:szCs w:val="24"/>
          <w:vertAlign w:val="subscript"/>
        </w:rPr>
        <w:t>i</w:t>
      </w:r>
      <w:r>
        <w:rPr>
          <w:rFonts w:eastAsia="Times New Roman"/>
          <w:color w:val="000000"/>
          <w:sz w:val="24"/>
          <w:szCs w:val="24"/>
        </w:rPr>
        <w:t xml:space="preserve"> is the mass fraction, </w:t>
      </w:r>
      <w:r>
        <w:rPr>
          <w:rFonts w:eastAsia="Times New Roman"/>
          <w:i/>
          <w:color w:val="000000"/>
          <w:sz w:val="24"/>
          <w:szCs w:val="24"/>
        </w:rPr>
        <w:t>ω</w:t>
      </w:r>
      <w:r>
        <w:rPr>
          <w:rFonts w:eastAsia="Times New Roman"/>
          <w:i/>
          <w:color w:val="000000"/>
          <w:sz w:val="24"/>
          <w:szCs w:val="24"/>
          <w:vertAlign w:val="subscript"/>
        </w:rPr>
        <w:t>i</w:t>
      </w:r>
      <w:r>
        <w:rPr>
          <w:rFonts w:eastAsia="Times New Roman"/>
          <w:color w:val="000000"/>
          <w:sz w:val="24"/>
          <w:szCs w:val="24"/>
        </w:rPr>
        <w:t xml:space="preserve"> is the endmember SSA, </w:t>
      </w:r>
      <w:r>
        <w:rPr>
          <w:rFonts w:eastAsia="Times New Roman"/>
          <w:i/>
          <w:color w:val="000000"/>
          <w:sz w:val="24"/>
          <w:szCs w:val="24"/>
        </w:rPr>
        <w:t>ρ</w:t>
      </w:r>
      <w:r>
        <w:rPr>
          <w:rFonts w:eastAsia="Times New Roman"/>
          <w:i/>
          <w:color w:val="000000"/>
          <w:sz w:val="24"/>
          <w:szCs w:val="24"/>
          <w:vertAlign w:val="subscript"/>
        </w:rPr>
        <w:t>i</w:t>
      </w:r>
      <w:r>
        <w:rPr>
          <w:rFonts w:eastAsia="Times New Roman"/>
          <w:color w:val="000000"/>
          <w:sz w:val="24"/>
          <w:szCs w:val="24"/>
        </w:rPr>
        <w:t xml:space="preserve"> is the endmember density,</w:t>
      </w:r>
      <w:r>
        <w:rPr>
          <w:rFonts w:eastAsia="Times New Roman"/>
          <w:i/>
          <w:color w:val="000000"/>
          <w:sz w:val="24"/>
          <w:szCs w:val="24"/>
        </w:rPr>
        <w:t xml:space="preserve"> </w:t>
      </w:r>
      <w:r>
        <w:rPr>
          <w:rFonts w:eastAsia="Times New Roman"/>
          <w:color w:val="000000"/>
          <w:sz w:val="24"/>
          <w:szCs w:val="24"/>
        </w:rPr>
        <w:t xml:space="preserve">and </w:t>
      </w:r>
      <w:r>
        <w:rPr>
          <w:rFonts w:eastAsia="Times New Roman"/>
          <w:i/>
          <w:color w:val="000000"/>
          <w:sz w:val="24"/>
          <w:szCs w:val="24"/>
        </w:rPr>
        <w:t>d</w:t>
      </w:r>
      <w:r>
        <w:rPr>
          <w:rFonts w:eastAsia="Times New Roman"/>
          <w:i/>
          <w:color w:val="000000"/>
          <w:sz w:val="24"/>
          <w:szCs w:val="24"/>
          <w:vertAlign w:val="subscript"/>
        </w:rPr>
        <w:t>i</w:t>
      </w:r>
      <w:r>
        <w:rPr>
          <w:rFonts w:eastAsia="Times New Roman"/>
          <w:color w:val="000000"/>
          <w:sz w:val="24"/>
          <w:szCs w:val="24"/>
        </w:rPr>
        <w:t xml:space="preserve"> is the endmember mean grain diameter. For each spectral endmember, we used the average value of the grain size range listed in the RELAB database, which can be found in Table 1. We used a density of 1.8 g/cm</w:t>
      </w:r>
      <w:r>
        <w:rPr>
          <w:rFonts w:eastAsia="Times New Roman"/>
          <w:color w:val="000000"/>
          <w:sz w:val="24"/>
          <w:szCs w:val="24"/>
          <w:vertAlign w:val="superscript"/>
        </w:rPr>
        <w:t>3</w:t>
      </w:r>
      <w:r>
        <w:rPr>
          <w:rFonts w:eastAsia="Times New Roman"/>
          <w:color w:val="000000"/>
          <w:sz w:val="24"/>
          <w:szCs w:val="24"/>
        </w:rPr>
        <w:t xml:space="preserve"> for the highlands and mare </w:t>
      </w:r>
      <w:r w:rsidR="004D3B7A">
        <w:rPr>
          <w:rFonts w:eastAsia="Times New Roman"/>
          <w:color w:val="000000"/>
          <w:sz w:val="24"/>
          <w:szCs w:val="24"/>
        </w:rPr>
        <w:t>s</w:t>
      </w:r>
      <w:r>
        <w:rPr>
          <w:rFonts w:eastAsia="Times New Roman"/>
          <w:color w:val="000000"/>
          <w:sz w:val="24"/>
          <w:szCs w:val="24"/>
        </w:rPr>
        <w:t>regolith</w:t>
      </w:r>
      <w:r w:rsidR="00BE44FB">
        <w:rPr>
          <w:rFonts w:eastAsia="Times New Roman"/>
          <w:color w:val="000000"/>
          <w:sz w:val="24"/>
          <w:szCs w:val="24"/>
        </w:rPr>
        <w:t xml:space="preserve"> </w:t>
      </w:r>
      <w:r w:rsidR="00BE44FB">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{"citationID":"TT9Coefg","properties":{"formattedCitation":"(McKay et al., 1991)","plainCitation":"(McKay et al., 1991)","noteIndex":0},"citationItems":[{"id":7,"uris":["http://zotero.org/users/local/lFa3rRs0/items/RC4CS5EF"],"itemData":{"id":7,"type":"book","note":"container-title: Lunar Sourcebook: A User's Guide to the Moon","number-of-pages":"285–356","publisher":"Cambridge University Press","title":"The Lunar Regolith","author":[{"family":"McKay","given":"D.S."},{"family":"Heiken","given":"G."},{"family":"Basu","given":"A."},{"family":"Blanford","given":"G."},{"family":"Simon","given":"S."},{"family":"Reedy","given":"R."},{"family":"French","given":"B. M."},{"family":"Papike","given":"J."}],"issued":{"date-parts":[["1991"]]}}}],"schema":"https://github.com/citation-style-language/schema/raw/master/csl-citation.json"} </w:instrText>
      </w:r>
      <w:r w:rsidR="00BE44FB">
        <w:rPr>
          <w:rFonts w:eastAsia="Times New Roman"/>
          <w:color w:val="000000"/>
          <w:sz w:val="24"/>
          <w:szCs w:val="24"/>
        </w:rPr>
        <w:fldChar w:fldCharType="separate"/>
      </w:r>
      <w:r w:rsidR="00BE44FB" w:rsidRPr="00BE44FB">
        <w:rPr>
          <w:sz w:val="24"/>
        </w:rPr>
        <w:t>(McKay et al., 1991)</w:t>
      </w:r>
      <w:r w:rsidR="00BE44FB">
        <w:rPr>
          <w:rFonts w:eastAsia="Times New Roman"/>
          <w:color w:val="000000"/>
          <w:sz w:val="24"/>
          <w:szCs w:val="24"/>
        </w:rPr>
        <w:fldChar w:fldCharType="end"/>
      </w:r>
      <w:r>
        <w:rPr>
          <w:rFonts w:eastAsia="Times New Roman"/>
          <w:color w:val="000000"/>
          <w:sz w:val="24"/>
          <w:szCs w:val="24"/>
        </w:rPr>
        <w:t>, a density of 3.2 g/cm</w:t>
      </w:r>
      <w:r>
        <w:rPr>
          <w:rFonts w:eastAsia="Times New Roman"/>
          <w:color w:val="000000"/>
          <w:sz w:val="24"/>
          <w:szCs w:val="24"/>
          <w:vertAlign w:val="superscript"/>
        </w:rPr>
        <w:t>3</w:t>
      </w:r>
      <w:r>
        <w:rPr>
          <w:rFonts w:eastAsia="Times New Roman"/>
          <w:color w:val="000000"/>
          <w:sz w:val="24"/>
          <w:szCs w:val="24"/>
        </w:rPr>
        <w:t xml:space="preserve"> for the pyroxene </w:t>
      </w:r>
      <w:r w:rsidR="00BE44FB">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{"citationID":"xQeDCzYJ","properties":{"formattedCitation":"(Chai et al., 1997)","plainCitation":"(Chai et al., 1997)","noteIndex":0},"citationItems":[{"id":8,"uris":["http://zotero.org/users/local/lFa3rRs0/items/94TNQAL4"],"itemData":{"id":8,"type":"article-journal","abstract":"The elastic constants, average bulk and shear moduli, and lattice parameters of Kilbourne Hole orthopyroxene [(Mg•.63Fe0.•7Ca0.04 Mn0.0•)(A10.•2Cr0.0•)(Si•.89A10.•)O 6] have been determined to a pressure of 12.5 GPa. The molar ratio Mg/(Mg+Fe) in the sample is 0.91 and 5 wt % of A120 3 and 1 wt % of CaO are present. The bulk modulus, in gigpascals, expressed as a function of the pressure (with an rms misfit of 0.5%) is K= 115.4 +7.82P- 0.18P 2. The unusually large pressure derivative of bulk modulus at 1 bar decreases to a more typical value (-4) at high pressure. The isotropic shear modulus is linear within experimental uncertainty (the rms misfit is 0.5%) with G = 77.9+ 1.44P. At 1 bar the isotropic longitudinal and shear velocities 8.15 and 4.86 km/s, respectively are approximately 3% faster than those found in nonaluminous orthopyroxenes. Above 4 GPa the average compressional wave velocities in the orthopyroxene exceed those in olivine. These results call into question the assumption, common in models created to interpret mantle seismic data, that high velocities in garnet are balanced by low velocities in orthopyroxene.","container-title":"Journal of Geophysical Research: Solid Earth","DOI":"10.1029/97JB00893","ISSN":"2156-2202","issue":"B7","note":"publisher: John Wiley &amp; Sons, Ltd","page":"14779–14785","title":"The elastic constants of an aluminous orthopyroxene to 12.5 GPa","volume":"102","author":[{"family":"Chai","given":"Mu"},{"family":"Brown","given":"J. Michael"},{"family":"Slutsky","given":"Leon J."}],"issued":{"date-parts":[["1997",7]]}}}],"schema":"https://github.com/citation-style-language/schema/raw/master/csl-citation.json"} </w:instrText>
      </w:r>
      <w:r w:rsidR="00BE44FB">
        <w:rPr>
          <w:rFonts w:eastAsia="Times New Roman"/>
          <w:color w:val="000000"/>
          <w:sz w:val="24"/>
          <w:szCs w:val="24"/>
        </w:rPr>
        <w:fldChar w:fldCharType="separate"/>
      </w:r>
      <w:r w:rsidR="00BE44FB" w:rsidRPr="00BE44FB">
        <w:rPr>
          <w:sz w:val="24"/>
        </w:rPr>
        <w:t>(Chai et al., 1997)</w:t>
      </w:r>
      <w:r w:rsidR="00BE44FB">
        <w:rPr>
          <w:rFonts w:eastAsia="Times New Roman"/>
          <w:color w:val="000000"/>
          <w:sz w:val="24"/>
          <w:szCs w:val="24"/>
        </w:rPr>
        <w:fldChar w:fldCharType="end"/>
      </w:r>
      <w:r>
        <w:rPr>
          <w:rFonts w:eastAsia="Times New Roman"/>
          <w:color w:val="000000"/>
          <w:sz w:val="24"/>
          <w:szCs w:val="24"/>
        </w:rPr>
        <w:t>, and a density of 2.8 g/cm</w:t>
      </w:r>
      <w:r>
        <w:rPr>
          <w:rFonts w:eastAsia="Times New Roman"/>
          <w:color w:val="000000"/>
          <w:sz w:val="24"/>
          <w:szCs w:val="24"/>
          <w:vertAlign w:val="superscript"/>
        </w:rPr>
        <w:t xml:space="preserve">3 </w:t>
      </w:r>
      <w:r>
        <w:rPr>
          <w:rFonts w:eastAsia="Times New Roman"/>
          <w:color w:val="000000"/>
          <w:sz w:val="24"/>
          <w:szCs w:val="24"/>
        </w:rPr>
        <w:t xml:space="preserve">for the MORB glass </w:t>
      </w:r>
      <w:r w:rsidR="00BE44FB">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{"citationID":"A6hG0H0u","properties":{"formattedCitation":"(Almeev et al., 2008)","plainCitation":"(Almeev et al., 2008)","noteIndex":0},"citationItems":[{"id":5,"uris":["http://zotero.org/users/local/lFa3rRs0/items/CFTGQMHJ"],"itemData":{"id":5,"type":"article-journal","abstract":"Phase equilibria simulations were performed on naturally quenched basaltic glasses to determine crystallization conditions prior to eruption of magmas at the Mid-Atlantic Ridge (MAR) east of Ascension Island (7-11°S). The results indicate that mid-ocean ridge basalt (MORB) magmas beneath different segments of the MAR have crystallized over a wide range of pressures (100-900 MPa). However, each segment seems to have a specific crystallization history. Nearly isobaric crystallization conditions (100-300 MPa) were obtained for the geochemically enriched MORB magmas of the central segments, whereas normal (N)-MORB magmas of the bounding segments are characterized by polybaric crystallization conditions (200-900 MPa). In addition, our results demonstrate close to anhydrous crystallization conditions of N-MORBs, whereas geochemically enriched MORBs were successfully modeled in the presence of 0.4-1 wt% H2O in the parental melts. These estimates are in agreement with direct (Fourier transform IR) measurements of H2O abundances in basaltic glasses and melt inclusions for selected samples. Water contents determined in the parental melts are in the range 0.04-0.09 and 0.30-0.55 wt% H2O for depleted and enriched MORBs, respectively. Our results are in general agreement (within ±200 MPa) with previous approaches used to evaluate pressure estimates in MORB. However, the determination of pre-eruptive conditions of MORBs, including temperature and water content in addition to pressure, requires the improvement of magma crystallization models to simulate liquid lines of descent in the presence of small amounts of water. © The Author 2007. Published by Oxford University Press. All rights reserved.","container-title":"Journal of Petrology","DOI":"10.1093/PETROLOGY/EGM068","ISSN":"0022-3530","issue":"1","note":"publisher: Oxford Academic","page":"25–45","title":"Depths of Partial Crystallization of H2O-bearing MORB: Phase Equilibria Simulations of Basalts at the MAR near Ascension Island (7–11°S)","volume":"49","author":[{"family":"Almeev","given":"Renat"},{"family":"Holtz","given":"François"},{"family":"Koepke","given":"Jürgen"},{"family":"Haase","given":"Karsten"},{"family":"Devey","given":"Colin"}],"issued":{"date-parts":[["2008",1]]}}}],"schema":"https://github.com/citation-style-language/schema/raw/master/csl-citation.json"} </w:instrText>
      </w:r>
      <w:r w:rsidR="00BE44FB">
        <w:rPr>
          <w:rFonts w:eastAsia="Times New Roman"/>
          <w:color w:val="000000"/>
          <w:sz w:val="24"/>
          <w:szCs w:val="24"/>
        </w:rPr>
        <w:fldChar w:fldCharType="separate"/>
      </w:r>
      <w:r w:rsidR="00BE44FB" w:rsidRPr="00BE44FB">
        <w:rPr>
          <w:sz w:val="24"/>
        </w:rPr>
        <w:t>(Almeev et al., 2008)</w:t>
      </w:r>
      <w:r w:rsidR="00BE44FB">
        <w:rPr>
          <w:rFonts w:eastAsia="Times New Roman"/>
          <w:color w:val="000000"/>
          <w:sz w:val="24"/>
          <w:szCs w:val="24"/>
        </w:rPr>
        <w:fldChar w:fldCharType="end"/>
      </w:r>
      <w:r>
        <w:rPr>
          <w:rFonts w:eastAsia="Times New Roman"/>
          <w:color w:val="000000"/>
          <w:sz w:val="24"/>
          <w:szCs w:val="24"/>
        </w:rPr>
        <w:t xml:space="preserve">. Once the average SSA was determined at each wavelength, we used the Hapke radiative transfer model in an inverse fashion to generate bidirectional reflectance spectra of the mixtures at zero phase to simulate the lidar reflectance. With this change in viewing geometry, we modified the scattering phase function, </w:t>
      </w:r>
      <w:r>
        <w:rPr>
          <w:rFonts w:eastAsia="Times New Roman"/>
          <w:i/>
          <w:color w:val="000000"/>
          <w:sz w:val="24"/>
          <w:szCs w:val="24"/>
        </w:rPr>
        <w:t>P</w:t>
      </w:r>
      <w:r>
        <w:rPr>
          <w:rFonts w:eastAsia="Times New Roman"/>
          <w:color w:val="000000"/>
          <w:sz w:val="24"/>
          <w:szCs w:val="24"/>
        </w:rPr>
        <w:t xml:space="preserve">, to 1.5 based on models of lunar surface scattering properties </w:t>
      </w:r>
      <w:r w:rsidR="003E3EE7">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{"citationID":"iaIYgs3f","properties":{"formattedCitation":"(Goguen et al., 2010)","plainCitation":"(Goguen et al., 2010)","noteIndex":0},"citationItems":[{"id":653,"uris":["http://zotero.org/users/local/lFa3rRs0/items/RDV86JA7"],"itemData":{"id":653,"type":"article-journal","container-title":"Icarus","issue":"2","note":"publisher: Elsevier","page":"548–557","title":"A new look at photometry of the Moon","volume":"208","author":[{"family":"Goguen","given":"Jay D"},{"family":"Stone","given":"Thomas C"},{"family":"Kieffer","given":"Hugh H"},{"family":"Buratti","given":"Bonnie J"}],"issued":{"date-parts":[["2010"]]}}}],"schema":"https://github.com/citation-style-language/schema/raw/master/csl-citation.json"} </w:instrText>
      </w:r>
      <w:r w:rsidR="003E3EE7">
        <w:rPr>
          <w:rFonts w:eastAsia="Times New Roman"/>
          <w:color w:val="000000"/>
          <w:sz w:val="24"/>
          <w:szCs w:val="24"/>
        </w:rPr>
        <w:fldChar w:fldCharType="separate"/>
      </w:r>
      <w:r w:rsidR="003E3EE7" w:rsidRPr="003E3EE7">
        <w:rPr>
          <w:sz w:val="24"/>
        </w:rPr>
        <w:t>(Goguen et al., 2010)</w:t>
      </w:r>
      <w:r w:rsidR="003E3EE7">
        <w:rPr>
          <w:rFonts w:eastAsia="Times New Roman"/>
          <w:color w:val="000000"/>
          <w:sz w:val="24"/>
          <w:szCs w:val="24"/>
        </w:rPr>
        <w:fldChar w:fldCharType="end"/>
      </w:r>
      <w:r>
        <w:rPr>
          <w:rFonts w:eastAsia="Times New Roman"/>
          <w:color w:val="000000"/>
          <w:sz w:val="24"/>
          <w:szCs w:val="24"/>
        </w:rPr>
        <w:t xml:space="preserve"> and normal albedo measurements of mare and highlands regions from the lunar orbiter laser altimeter (LOLA) </w:t>
      </w:r>
      <w:r w:rsidR="003E3EE7">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{"citationID":"YXP2xsdd","properties":{"formattedCitation":"(Lucey et al., 2014)","plainCitation":"(Lucey et al., 2014)","noteIndex":0},"citationItems":[{"id":99,"uris":["http://zotero.org/users/local/lFa3rRs0/items/KC6VHX2I"],"itemData":{"id":99,"type":"article-journal","abstract":"The Lunar Orbiter Laser Altimeter (LOLA) measures the backscattered energy of the returning altimetric laser pulse at its wavelength of 1064 nm, and these data are used to map the reflectivity of the Moon at zero-phase angle with a photometrically uniform data set. Global maps have been produced at 4 pixels per degree (about 8 km at the equator) and 2 km resolution within 20° latitude of each pole. The zero-phase geometry is insensitive to lunar topography, so these data enable characterization of subtle variations in lunar albedo, even at high latitudes where such measurements are not possible with the Sun as the illumination source. The geometric albedo of the Moon at 1064 nm was estimated from these data with absolute calibration derived from the Kaguya Multiband Imager and extrapolated to visual wavelengths. The LOLA estimates are within 2σ of historical measurements of geometric albedo. No consistent latitude-dependent variations in reflectance are observed, suggesting that solar wind does not dominate space weathering processes that modify lunar reflectance. The average normal albedo of the Moon is found to be much higher than that of Mercury consistent with prior measurements, but the normal albedo of the lunar maria is similar to that of Mercury suggesting a similar abundance of space weathering products. Regions within permanent shadow in the polar regions are found to be more reflective than polar surfaces that are sometimes illuminated. Limiting analysis to data with slopes less than 10° eliminates variations in reflectance due to mass wasting and shows a similar increased reflectivity within permanent polar shadow. Steep slopes within permanent shadow are also more reflective than similar slopes that experience at least some illumination. Water frost and a reduction in effectiveness of space weathering are offered as possible explanations for the increased reflectivity of permanent shadow; porosity is largely ruled out as the sole explanation. The south polar crater Shackleton is found to be among the most reflective craters in its size range globally but is not the most reflective, so mass wasting cannot be ruled out as a cause for the crater's anomalous reflectance. Models of the abundance of ice needed to account for the reflectance anomaly range from 3 to 14% by weight or area depending on assumptions regarding the effects of porosity on reflectance and whether ice is present as patches or is well mixed in the regolith. If differences in nanophase iron abundances are responsible for the anomaly, the permanently shadowed regions have between 50 and 80% the abundance of nanophase iron in mature lunar soil. Key Points Global lunar map of zero-phase reflectance derived from LOLA 1064 nm data Permanently shadowed regions in the poles are anomalously bright Bright PSRs could be due to water frost and/or less effective space weathering © 2014. American Geophysical Union. All Rights Reserved.","container-title":"Journal of Geophysical Research: Planets","DOI":"10.1002/2013JE004592","ISSN":"21699100","issue":"7","page":"1665–1679","title":"The global albedo of the Moon at 1064 nm from LOLA","volume":"119","author":[{"family":"Lucey","given":"P. G."},{"family":"Neumann","given":"G. A."},{"family":"Riner","given":"M. A."},{"family":"Mazarico","given":"E."},{"family":"Smith","given":"D. E."},{"family":"Zuber","given":"M. T."},{"family":"Paige","given":"D. A."},{"family":"Bussey","given":"D. B."},{"family":"Cahill","given":"J. T."},{"family":"McGovern","given":"A."},{"family":"Isaacson","given":"P."},{"family":"Corley","given":"L. M."},{"family":"Torrence","given":"M. H."},{"family":"Melosh","given":"H. J."},{"family":"Head","given":"J. W."},{"family":"Song","given":"E."}],"issued":{"date-parts":[["2014"]]}}}],"schema":"https://github.com/citation-style-language/schema/raw/master/csl-citation.json"} </w:instrText>
      </w:r>
      <w:r w:rsidR="003E3EE7">
        <w:rPr>
          <w:rFonts w:eastAsia="Times New Roman"/>
          <w:color w:val="000000"/>
          <w:sz w:val="24"/>
          <w:szCs w:val="24"/>
        </w:rPr>
        <w:fldChar w:fldCharType="separate"/>
      </w:r>
      <w:r w:rsidR="003E3EE7" w:rsidRPr="003E3EE7">
        <w:rPr>
          <w:sz w:val="24"/>
        </w:rPr>
        <w:t>(Lucey et al., 2014)</w:t>
      </w:r>
      <w:r w:rsidR="003E3EE7">
        <w:rPr>
          <w:rFonts w:eastAsia="Times New Roman"/>
          <w:color w:val="000000"/>
          <w:sz w:val="24"/>
          <w:szCs w:val="24"/>
        </w:rPr>
        <w:fldChar w:fldCharType="end"/>
      </w:r>
      <w:r>
        <w:rPr>
          <w:rFonts w:eastAsia="Times New Roman"/>
          <w:color w:val="000000"/>
          <w:sz w:val="24"/>
          <w:szCs w:val="24"/>
        </w:rPr>
        <w:t xml:space="preserve">. A subset of 200 of the 2000 total spectral mixtures are shown in Figure </w:t>
      </w:r>
      <w:r>
        <w:rPr>
          <w:sz w:val="24"/>
          <w:szCs w:val="24"/>
        </w:rPr>
        <w:t>3</w:t>
      </w:r>
      <w:r>
        <w:rPr>
          <w:rFonts w:eastAsia="Times New Roman"/>
          <w:color w:val="000000"/>
          <w:sz w:val="24"/>
          <w:szCs w:val="24"/>
        </w:rPr>
        <w:t>.</w:t>
      </w:r>
    </w:p>
    <w:p w14:paraId="28B0CFCE" w14:textId="77777777" w:rsidR="00867801" w:rsidRDefault="00867801">
      <w:pPr>
        <w:pBdr>
          <w:top w:val="nil"/>
          <w:left w:val="nil"/>
          <w:bottom w:val="nil"/>
          <w:right w:val="nil"/>
          <w:between w:val="nil"/>
        </w:pBdr>
        <w:spacing w:before="120"/>
        <w:rPr>
          <w:rFonts w:eastAsia="Times New Roman"/>
          <w:color w:val="000000"/>
          <w:sz w:val="24"/>
          <w:szCs w:val="24"/>
        </w:rPr>
      </w:pPr>
    </w:p>
    <w:p w14:paraId="28B0CFCF" w14:textId="3EE61180" w:rsidR="00867801" w:rsidRDefault="00843554">
      <w:pPr>
        <w:pBdr>
          <w:top w:val="nil"/>
          <w:left w:val="nil"/>
          <w:bottom w:val="nil"/>
          <w:right w:val="nil"/>
          <w:between w:val="nil"/>
        </w:pBdr>
        <w:spacing w:before="120"/>
        <w:rPr>
          <w:rFonts w:eastAsia="Times New Roman"/>
          <w:color w:val="000000"/>
          <w:sz w:val="24"/>
          <w:szCs w:val="24"/>
        </w:rPr>
      </w:pPr>
      <w:r>
        <w:rPr>
          <w:rFonts w:eastAsia="Times New Roman"/>
          <w:noProof/>
          <w:color w:val="000000"/>
          <w:sz w:val="24"/>
          <w:szCs w:val="24"/>
        </w:rPr>
        <w:drawing>
          <wp:inline distT="0" distB="0" distL="0" distR="0" wp14:anchorId="47D5B29B" wp14:editId="70708B9A">
            <wp:extent cx="5943600" cy="2225040"/>
            <wp:effectExtent l="0" t="0" r="0" b="381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225040"/>
                    </a:xfrm>
                    <a:prstGeom prst="rect">
                      <a:avLst/>
                    </a:prstGeom>
                  </pic:spPr>
                </pic:pic>
              </a:graphicData>
            </a:graphic>
          </wp:inline>
        </w:drawing>
      </w:r>
    </w:p>
    <w:p w14:paraId="28B0CFD0" w14:textId="629D2DE2"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b/>
          <w:color w:val="000000"/>
          <w:sz w:val="24"/>
          <w:szCs w:val="24"/>
        </w:rPr>
        <w:t xml:space="preserve">Figure </w:t>
      </w:r>
      <w:r>
        <w:rPr>
          <w:b/>
          <w:sz w:val="24"/>
          <w:szCs w:val="24"/>
        </w:rPr>
        <w:t>3</w:t>
      </w:r>
      <w:r>
        <w:rPr>
          <w:rFonts w:eastAsia="Times New Roman"/>
          <w:color w:val="000000"/>
          <w:sz w:val="24"/>
          <w:szCs w:val="24"/>
        </w:rPr>
        <w:t xml:space="preserve">. Subset of lidar reflectance spectra (zero-phase reflectance) using the spectral mixing methods described here. Each frame shows 200 individual spectra. (a) Spectra using mare </w:t>
      </w:r>
      <w:r>
        <w:rPr>
          <w:rFonts w:eastAsia="Times New Roman"/>
          <w:color w:val="000000"/>
          <w:sz w:val="24"/>
          <w:szCs w:val="24"/>
        </w:rPr>
        <w:lastRenderedPageBreak/>
        <w:t>endmembers. (b) Spectra using highlands endmembers.</w:t>
      </w:r>
      <w:r w:rsidR="00843554">
        <w:rPr>
          <w:rFonts w:eastAsia="Times New Roman"/>
          <w:color w:val="000000"/>
          <w:sz w:val="24"/>
          <w:szCs w:val="24"/>
        </w:rPr>
        <w:t xml:space="preserve"> The blue lines denote the lidar wavelengths chosen for this study.</w:t>
      </w:r>
    </w:p>
    <w:p w14:paraId="28B0CFD1"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2.5 Lidar Wavelengths and Simulated Measurement Error</w:t>
      </w:r>
    </w:p>
    <w:p w14:paraId="28B0CFD2" w14:textId="24045DB3" w:rsidR="00867801" w:rsidRDefault="00637132">
      <w:pPr>
        <w:pBdr>
          <w:top w:val="nil"/>
          <w:left w:val="nil"/>
          <w:bottom w:val="nil"/>
          <w:right w:val="nil"/>
          <w:between w:val="nil"/>
        </w:pBdr>
        <w:spacing w:before="120"/>
        <w:ind w:firstLine="720"/>
        <w:rPr>
          <w:rFonts w:eastAsia="Times New Roman"/>
          <w:color w:val="000000"/>
          <w:sz w:val="24"/>
          <w:szCs w:val="24"/>
        </w:rPr>
      </w:pPr>
      <w:r>
        <w:rPr>
          <w:sz w:val="24"/>
          <w:szCs w:val="24"/>
        </w:rPr>
        <w:t>P</w:t>
      </w:r>
      <w:r>
        <w:rPr>
          <w:rFonts w:eastAsia="Times New Roman"/>
          <w:color w:val="000000"/>
          <w:sz w:val="24"/>
          <w:szCs w:val="24"/>
        </w:rPr>
        <w:t>ass</w:t>
      </w:r>
      <w:r>
        <w:rPr>
          <w:sz w:val="24"/>
          <w:szCs w:val="24"/>
        </w:rPr>
        <w:t>ive spectrometers have</w:t>
      </w:r>
      <w:r>
        <w:rPr>
          <w:rFonts w:eastAsia="Times New Roman"/>
          <w:color w:val="000000"/>
          <w:sz w:val="24"/>
          <w:szCs w:val="24"/>
        </w:rPr>
        <w:t xml:space="preserve"> difficulties with removal of the thermal emission signature and accounting for effects of observation geometry near the terminators </w:t>
      </w:r>
      <w:r>
        <w:rPr>
          <w:sz w:val="24"/>
          <w:szCs w:val="24"/>
        </w:rPr>
        <w:t xml:space="preserve">that </w:t>
      </w:r>
      <w:r>
        <w:rPr>
          <w:rFonts w:eastAsia="Times New Roman"/>
          <w:color w:val="000000"/>
          <w:sz w:val="24"/>
          <w:szCs w:val="24"/>
        </w:rPr>
        <w:t xml:space="preserve">may introduce error in the total water abundance measurement, even with continuous spectral sampling. The benefits of an active reflectance measurement, mainly the fixed, zero-phase viewing geometry and ability to remove the effects of surface temperature, </w:t>
      </w:r>
      <w:r>
        <w:rPr>
          <w:sz w:val="24"/>
          <w:szCs w:val="24"/>
        </w:rPr>
        <w:t>necessitate</w:t>
      </w:r>
      <w:r>
        <w:rPr>
          <w:rFonts w:eastAsia="Times New Roman"/>
          <w:color w:val="000000"/>
          <w:sz w:val="24"/>
          <w:szCs w:val="24"/>
        </w:rPr>
        <w:t xml:space="preserve"> a spectral illumination source. Wideband illumination sources such as tungsten filament lamps and supercontinuum lasers may be suitable for short-range measurements</w:t>
      </w:r>
      <w:r w:rsidR="005B6CE6">
        <w:rPr>
          <w:rFonts w:eastAsia="Times New Roman"/>
          <w:color w:val="000000"/>
          <w:sz w:val="24"/>
          <w:szCs w:val="24"/>
        </w:rPr>
        <w:t xml:space="preserve"> (tens of meters)</w:t>
      </w:r>
      <w:r>
        <w:rPr>
          <w:rFonts w:eastAsia="Times New Roman"/>
          <w:color w:val="000000"/>
          <w:sz w:val="24"/>
          <w:szCs w:val="24"/>
        </w:rPr>
        <w:t xml:space="preserve">, but orbital measurements will </w:t>
      </w:r>
      <w:r>
        <w:rPr>
          <w:sz w:val="24"/>
          <w:szCs w:val="24"/>
        </w:rPr>
        <w:t>need to</w:t>
      </w:r>
      <w:r>
        <w:rPr>
          <w:rFonts w:eastAsia="Times New Roman"/>
          <w:color w:val="000000"/>
          <w:sz w:val="24"/>
          <w:szCs w:val="24"/>
        </w:rPr>
        <w:t xml:space="preserve"> rely on </w:t>
      </w:r>
      <w:r w:rsidR="005B6CE6">
        <w:rPr>
          <w:rFonts w:eastAsia="Times New Roman"/>
          <w:color w:val="000000"/>
          <w:sz w:val="24"/>
          <w:szCs w:val="24"/>
        </w:rPr>
        <w:t>discrete</w:t>
      </w:r>
      <w:r>
        <w:rPr>
          <w:rFonts w:eastAsia="Times New Roman"/>
          <w:color w:val="000000"/>
          <w:sz w:val="24"/>
          <w:szCs w:val="24"/>
        </w:rPr>
        <w:t xml:space="preserve"> laser wavelengths to achieve a suitable signal-to-noise ratio at a </w:t>
      </w:r>
      <w:r w:rsidR="005B6CE6">
        <w:rPr>
          <w:rFonts w:eastAsia="Times New Roman"/>
          <w:color w:val="000000"/>
          <w:sz w:val="24"/>
          <w:szCs w:val="24"/>
        </w:rPr>
        <w:t>realistic</w:t>
      </w:r>
      <w:r>
        <w:rPr>
          <w:rFonts w:eastAsia="Times New Roman"/>
          <w:color w:val="000000"/>
          <w:sz w:val="24"/>
          <w:szCs w:val="24"/>
        </w:rPr>
        <w:t xml:space="preserve"> mass and power.</w:t>
      </w:r>
      <w:r>
        <w:rPr>
          <w:rFonts w:eastAsia="Times New Roman"/>
          <w:color w:val="000000"/>
          <w:sz w:val="24"/>
          <w:szCs w:val="24"/>
        </w:rPr>
        <w:t xml:space="preserve"> </w:t>
      </w:r>
      <w:r w:rsidR="009E1DFE">
        <w:rPr>
          <w:sz w:val="24"/>
          <w:szCs w:val="24"/>
        </w:rPr>
        <w:t xml:space="preserve">Surface reflectance from a lidar is determined by measuring the transmitted laser energy, return laser energy, and range to the target along with fixed instrument parameters (see the </w:t>
      </w:r>
      <w:r w:rsidR="009C6717">
        <w:rPr>
          <w:sz w:val="24"/>
          <w:szCs w:val="24"/>
        </w:rPr>
        <w:t>s</w:t>
      </w:r>
      <w:r w:rsidR="009E1DFE">
        <w:rPr>
          <w:sz w:val="24"/>
          <w:szCs w:val="24"/>
        </w:rPr>
        <w:t xml:space="preserve">upplementary </w:t>
      </w:r>
      <w:r w:rsidR="00D51DE1">
        <w:rPr>
          <w:sz w:val="24"/>
          <w:szCs w:val="24"/>
        </w:rPr>
        <w:t>material</w:t>
      </w:r>
      <w:r w:rsidR="009E1DFE">
        <w:rPr>
          <w:sz w:val="24"/>
          <w:szCs w:val="24"/>
        </w:rPr>
        <w:t xml:space="preserve"> for further details). </w:t>
      </w:r>
      <w:r w:rsidR="009E1DFE">
        <w:rPr>
          <w:rFonts w:eastAsia="Times New Roman"/>
          <w:color w:val="000000"/>
          <w:sz w:val="24"/>
          <w:szCs w:val="24"/>
        </w:rPr>
        <w:t xml:space="preserve">Determining the total water abundance from the 3 µm band has generally been done using the ESPAT function, which relates the single scattering albedo at the band minimum and lunar continuum to the total water abundance for a given grain size </w:t>
      </w:r>
      <w:r w:rsidR="00FB02B0">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{"citationID":"dLOL1L34","properties":{"formattedCitation":"(Hapke, 2012; Honniball et al., 2020; S. Li &amp; Milliken, 2017)","plainCitation":"(Hapke, 2012; Honniball et al., 2020; S. Li &amp; Milliken, 2017)","noteIndex":0},"citationItems":[{"id":12,"uris":["http://zotero.org/users/local/lFa3rRs0/items/DNDS2RF3"],"itemData":{"id":12,"type":"book","edition":"2nd","number-of-pages":"513","publisher":"Cambridge University Press","title":"Theory of reflectance and emittance spectroscopy","author":[{"family":"Hapke","given":"Bruce"}],"issued":{"date-parts":[["2012"]]}}},{"id":15,"uris":["http://zotero.org/users/local/lFa3rRs0/items/FA5YXWFR"],"itemData":{"id":15,"type":"article-journal","abstract":"Prior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M."},{"family":"Takir","given":"D."}],"issued":{"date-parts":[["2020",9]]}}},{"id":607,"uris":["http://zotero.org/users/local/lFa3rRs0/items/X2YEI7YD"],"itemData":{"id":607,"type":"article-journal","abstract":"A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1014 g of water averaged over the globe. Formation and migration of water toward cold traps may thus be a continuous process on the Moon and other airless bodies.\nSpectral reflectance data are used to determine the formation, distribution, and variation of water across the lunar surface.\nSpectral reflectance data are used to determine the formation, distribution, and variation of water across the lunar surface.","container-title":"Science Advances","DOI":"10.1126/sciadv.1701471","ISSN":"2375-2548","issue":"9","language":"en","note":"publisher: American Association for the Advancement of Science\nsection: Research Article","page":"e1701471","source":"advances.sciencemag.org","title":"Water on the surface of the Moon as seen by the Moon Mineralogy Mapper: Distribution, abundance, and origins","title-short":"Water on the surface of the Moon as seen by the Moon Mineralogy Mapper","volume":"3","author":[{"family":"Li","given":"Shuai"},{"family":"Milliken","given":"Ralph E."}],"issued":{"date-parts":[["2017",9,1]]}}}],"schema":"https://github.com/citation-style-language/schema/raw/master/csl-citation.json"} </w:instrText>
      </w:r>
      <w:r w:rsidR="00FB02B0">
        <w:rPr>
          <w:rFonts w:eastAsia="Times New Roman"/>
          <w:color w:val="000000"/>
          <w:sz w:val="24"/>
          <w:szCs w:val="24"/>
        </w:rPr>
        <w:fldChar w:fldCharType="separate"/>
      </w:r>
      <w:r w:rsidR="0048765A" w:rsidRPr="0048765A">
        <w:rPr>
          <w:sz w:val="24"/>
        </w:rPr>
        <w:t>(Hapke, 2012; Honniball et al., 2020; S. Li &amp; Milliken, 2017)</w:t>
      </w:r>
      <w:r w:rsidR="00FB02B0">
        <w:rPr>
          <w:rFonts w:eastAsia="Times New Roman"/>
          <w:color w:val="000000"/>
          <w:sz w:val="24"/>
          <w:szCs w:val="24"/>
        </w:rPr>
        <w:fldChar w:fldCharType="end"/>
      </w:r>
      <w:r w:rsidR="009E1DFE">
        <w:rPr>
          <w:rFonts w:eastAsia="Times New Roman"/>
          <w:color w:val="000000"/>
          <w:sz w:val="24"/>
          <w:szCs w:val="24"/>
        </w:rPr>
        <w:t xml:space="preserve">. In the ESPAT method, the wavelengths that define the continuum and band minimum are not fixed but are chosen based on a convex-hull method. </w:t>
      </w:r>
    </w:p>
    <w:p w14:paraId="28B0CFD3" w14:textId="769B027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chose four lidar wavelengths at which to measure the zero-phase surface reflectance, distributing the wavelengths based on our desire to constrain the 3 µm band depth and shape. We selected lidar wavelengths at 1.50 µm, 2.65 µm, 2.80 µm, and 3.10 µm. The wavelengths at 1.50 and 2.65 µm constrain the lunar continuum, while those at 2.80 µm and 3.10 µm constrain the OH band depth and shape to enable a more accurate retrieval of the total water content. By ratioing the two wavelengths within the absorption band we can determine where the deepest portion of the band lies. From Figure 1, the band minimum of the hydroxyl absorption occurs at 2.80 µm and thus offers the highest contrast between the 3 µm total water feature and the lunar continuum. Although this work is aimed at total water signatures across the lunar surface, these wavelengths would also offer high reflectance contrast in polar regions with surface water ice, for which the highest k-value (imaginary component of the index of refraction) occurs at 3.10 µm </w:t>
      </w:r>
      <w:r w:rsidR="00FB02B0">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{"citationID":"c5SiwvT6","properties":{"formattedCitation":"(Warren &amp; Brandt, 2008)","plainCitation":"(Warren &amp; Brandt, 2008)","noteIndex":0},"citationItems":[{"id":610,"uris":["http://zotero.org/users/local/lFa3rRs0/items/M6AQ4V8W"],"itemData":{"id":610,"type":"article-journal","abstract":"A compilation of the spectral absorption coefficient of ice Ih is presented for temperatures near the melting point, superseding the compilation of Warren (1984). Significant changes are made to nearly all spectral regions. The blue and near-ultraviolet absorption is much weaker than the prior estimates, which were already very small. The near-infrared absorption coefficient differs by as much as a factor of 2 from the prior compilation at some wavelengths. The midinfrared absorption coefficient is rather uncertain in the weakly absorbing regions near 9 and 20 μm. New far-infrared measurements at low temperatures are extrapolated to higher temperatures, which shifts the peak positions. New microwave measurements find absorption much weaker than previously reported, by factors of 2–5. The real part of the index of refraction is computed using Kramers-Kronig analysis; it differs from the prior compilation only in the far infrared. Tables of the revised optical constants are available on a website.","container-title":"Journal of Geophysical Research: Atmospheres","DOI":"10.1029/2007JD009744","ISSN":"2156-2202","issue":"D14","language":"en","note":"_eprint: https://agupubs.onlinelibrary.wiley.com/doi/pdf/10.1029/2007JD009744","source":"Wiley Online Library","title":"Optical constants of ice from the ultraviolet to the microwave: A revised compilation","title-short":"Optical constants of ice from the ultraviolet to the microwave","URL":"https://agupubs.onlinelibrary.wiley.com/doi/abs/10.1029/2007JD009744","volume":"113","author":[{"family":"Warren","given":"Stephen G."},{"family":"Brandt","given":"Richard E."}],"accessed":{"date-parts":[["2021",7,21]]},"issued":{"date-parts":[["2008"]]}}}],"schema":"https://github.com/citation-style-language/schema/raw/master/csl-citation.json"} </w:instrText>
      </w:r>
      <w:r w:rsidR="00FB02B0">
        <w:rPr>
          <w:rFonts w:eastAsia="Times New Roman"/>
          <w:color w:val="000000"/>
          <w:sz w:val="24"/>
          <w:szCs w:val="24"/>
        </w:rPr>
        <w:fldChar w:fldCharType="separate"/>
      </w:r>
      <w:r w:rsidR="00FB02B0" w:rsidRPr="00FB02B0">
        <w:rPr>
          <w:sz w:val="24"/>
        </w:rPr>
        <w:t>(Warren &amp; Brandt, 2008)</w:t>
      </w:r>
      <w:r w:rsidR="00FB02B0">
        <w:rPr>
          <w:rFonts w:eastAsia="Times New Roman"/>
          <w:color w:val="000000"/>
          <w:sz w:val="24"/>
          <w:szCs w:val="24"/>
        </w:rPr>
        <w:fldChar w:fldCharType="end"/>
      </w:r>
      <w:r>
        <w:rPr>
          <w:rFonts w:eastAsia="Times New Roman"/>
          <w:color w:val="000000"/>
          <w:sz w:val="24"/>
          <w:szCs w:val="24"/>
        </w:rPr>
        <w:t>. We note these are not necessarily the only viable wavelengths for measuring surface hydration with a multispectral lidar, and we intend to study the optimization of these wavelengths in the future. Upcoming missions to the lunar surface will perform chemical, spectroscopic, and mineralogical studies to increase our knowledge of the form and content of lunar hydration that will all help to refine the number and placement of multispectral lidar wavelengths.</w:t>
      </w:r>
    </w:p>
    <w:p w14:paraId="28B0CFD4" w14:textId="1004C1D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The reflectance measurement precision at each lidar wavelength depends on the ability to accurately measure the transmitted laser pulse energy and the return pulse energy from the lidar. From these measurements (and the range to the surface) the lidar equation is used to retrieve the surface reflectance </w:t>
      </w:r>
      <w:r w:rsidR="00FB02B0">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{"citationID":"oFZlE2KO","properties":{"formattedCitation":"(Cohen et al., 2020; Lucey et al., 2014; Sun, 2017)","plainCitation":"(Cohen et al., 2020; Lucey et al., 2014; Sun, 2017)","noteIndex":0},"citationItems":[{"id":69,"uris":["http://zotero.org/users/local/lFa3rRs0/items/CUPNJS8W"],"itemData":{"id":69,"type":"article-journal","abstract":"Water ice and other volatile compounds may be present on the Moon's surface within permanently shadowed regions (PSRs) near the lunar poles. Understanding the composition, quantity, distribution, and form of water and other volatiles associated with lunar PSRs is identified as a Strategic Knowledge Gap (SKG) for NASA's human exploration program, projected to visit the lunar south pole in the next decade. These polar volatile deposits are also scientifically interesting, having potential to reveal important information about the delivery of water to the Earth-Moon system.","container-title":"IEEE Aerospace and Electronic Systems Magazine","DOI":"10.1109/MAES.2019.2950746","ISSN":"1557959X","issue":"3","page":"46–52","title":"Lunar Flashlight: Illuminating the Lunar South Pole","volume":"35","author":[{"family":"Cohen","given":"Barbara A."},{"family":"Hayne","given":"Paul O."},{"family":"Greenhagen","given":"Benjamin"},{"family":"Paige","given":"David A."},{"family":"Seybold","given":"Calina"},{"family":"Baker","given":"John"}],"issued":{"date-parts":[["2020"]]}}},{"id":99,"uris":["http://zotero.org/users/local/lFa3rRs0/items/KC6VHX2I"],"itemData":{"id":99,"type":"article-journal","abstract":"The Lunar Orbiter Laser Altimeter (LOLA) measures the backscattered energy of the returning altimetric laser pulse at its wavelength of 1064 nm, and these data are used to map the reflectivity of the Moon at zero-phase angle with a photometrically uniform data set. Global maps have been produced at 4 pixels per degree (about 8 km at the equator) and 2 km resolution within 20° latitude of each pole. The zero-phase geometry is insensitive to lunar topography, so these data enable characterization of subtle variations in lunar albedo, even at high latitudes where such measurements are not possible with the Sun as the illumination source. The geometric albedo of the Moon at 1064 nm was estimated from these data with absolute calibration derived from the Kaguya Multiband Imager and extrapolated to visual wavelengths. The LOLA estimates are within 2σ of historical measurements of geometric albedo. No consistent latitude-dependent variations in reflectance are observed, suggesting that solar wind does not dominate space weathering processes that modify lunar reflectance. The average normal albedo of the Moon is found to be much higher than that of Mercury consistent with prior measurements, but the normal albedo of the lunar maria is similar to that of Mercury suggesting a similar abundance of space weathering products. Regions within permanent shadow in the polar regions are found to be more reflective than polar surfaces that are sometimes illuminated. Limiting analysis to data with slopes less than 10° eliminates variations in reflectance due to mass wasting and shows a similar increased reflectivity within permanent polar shadow. Steep slopes within permanent shadow are also more reflective than similar slopes that experience at least some illumination. Water frost and a reduction in effectiveness of space weathering are offered as possible explanations for the increased reflectivity of permanent shadow; porosity is largely ruled out as the sole explanation. The south polar crater Shackleton is found to be among the most reflective craters in its size range globally but is not the most reflective, so mass wasting cannot be ruled out as a cause for the crater's anomalous reflectance. Models of the abundance of ice needed to account for the reflectance anomaly range from 3 to 14% by weight or area depending on assumptions regarding the effects of porosity on reflectance and whether ice is present as patches or is well mixed in the regolith. If differences in nanophase iron abundances are responsible for the anomaly, the permanently shadowed regions have between 50 and 80% the abundance of nanophase iron in mature lunar soil. Key Points Global lunar map of zero-phase reflectance derived from LOLA 1064 nm data Permanently shadowed regions in the poles are anomalously bright Bright PSRs could be due to water frost and/or less effective space weathering © 2014. American Geophysical Union. All Rights Reserved.","container-title":"Journal of Geophysical Research: Planets","DOI":"10.1002/2013JE004592","ISSN":"21699100","issue":"7","page":"1665–1679","title":"The global albedo of the Moon at 1064 nm from LOLA","volume":"119","author":[{"family":"Lucey","given":"P. G."},{"family":"Neumann","given":"G. A."},{"family":"Riner","given":"M. A."},{"family":"Mazarico","given":"E."},{"family":"Smith","given":"D. E."},{"family":"Zuber","given":"M. T."},{"family":"Paige","given":"D. A."},{"family":"Bussey","given":"D. B."},{"family":"Cahill","given":"J. T."},{"family":"McGovern","given":"A."},{"family":"Isaacson","given":"P."},{"family":"Corley","given":"L. M."},{"family":"Torrence","given":"M. H."},{"family":"Melosh","given":"H. J."},{"family":"Head","given":"J. W."},{"family":"Song","given":"E."}],"issued":{"date-parts":[["2014"]]}}},{"id":59,"uris":["http://zotero.org/users/local/lFa3rRs0/items/33NG6MRU"],"itemData":{"id":59,"type":"chapter","abstract":"Light Detection and Ranging, or lidars, are similar to radars but at optical wavelengths. They have the unique advantages of high temporal and spatial resolution and high measurement efficiency because of the much shorter wavelengths. Lidars have been used to map Mars, Mercury, and the Moon, with unprecedented precision and accuracy. There have been several Earth-orbiting lidar missions which measured the surface elevation, atmosphere backscattering profiles, and vegetation coverage. Several Earth remote-sensing lidars are being developed at present. Here we give a brief description of various types of lidar sensors for remote sensing from space and a summary of the space lidar missions by various space agencies over the years.","container-title":"Comprehensive Remote Sensing","ISBN":"978-0-12-803220-6","note":"DOI: 10.1016/B978-0-12-409548-9.10327-6","page":"412–432","title":"Lidar sensors from space","author":[{"family":"Sun","given":"X."}],"issued":{"date-parts":[["2017"]]}}}],"schema":"https://github.com/citation-style-language/schema/raw/master/csl-citation.json"} </w:instrText>
      </w:r>
      <w:r w:rsidR="00FB02B0">
        <w:rPr>
          <w:rFonts w:eastAsia="Times New Roman"/>
          <w:color w:val="000000"/>
          <w:sz w:val="24"/>
          <w:szCs w:val="24"/>
        </w:rPr>
        <w:fldChar w:fldCharType="separate"/>
      </w:r>
      <w:r w:rsidR="00FB02B0" w:rsidRPr="00FB02B0">
        <w:rPr>
          <w:sz w:val="24"/>
        </w:rPr>
        <w:t>(Cohen et al., 2020; Lucey et al., 2014; Sun, 2017)</w:t>
      </w:r>
      <w:r w:rsidR="00FB02B0">
        <w:rPr>
          <w:rFonts w:eastAsia="Times New Roman"/>
          <w:color w:val="000000"/>
          <w:sz w:val="24"/>
          <w:szCs w:val="24"/>
        </w:rPr>
        <w:fldChar w:fldCharType="end"/>
      </w:r>
      <w:r>
        <w:rPr>
          <w:rFonts w:eastAsia="Times New Roman"/>
          <w:color w:val="000000"/>
          <w:sz w:val="24"/>
          <w:szCs w:val="24"/>
        </w:rPr>
        <w:t xml:space="preserve">. The contribution of signal from thermal emission and solar reflectance was assumed to be removed using the continuous signal that is present between laser pulses when no laser illumination is present. For these simulations we developed a multispectral lidar performance model (see </w:t>
      </w:r>
      <w:r w:rsidR="009C6717">
        <w:rPr>
          <w:rFonts w:eastAsia="Times New Roman"/>
          <w:color w:val="000000"/>
          <w:sz w:val="24"/>
          <w:szCs w:val="24"/>
        </w:rPr>
        <w:t>s</w:t>
      </w:r>
      <w:r>
        <w:rPr>
          <w:rFonts w:eastAsia="Times New Roman"/>
          <w:color w:val="000000"/>
          <w:sz w:val="24"/>
          <w:szCs w:val="24"/>
        </w:rPr>
        <w:t xml:space="preserve">upplementary </w:t>
      </w:r>
      <w:r w:rsidR="00D51DE1">
        <w:rPr>
          <w:rFonts w:eastAsia="Times New Roman"/>
          <w:color w:val="000000"/>
          <w:sz w:val="24"/>
          <w:szCs w:val="24"/>
        </w:rPr>
        <w:t>material</w:t>
      </w:r>
      <w:r>
        <w:rPr>
          <w:rFonts w:eastAsia="Times New Roman"/>
          <w:color w:val="000000"/>
          <w:sz w:val="24"/>
          <w:szCs w:val="24"/>
        </w:rPr>
        <w:t xml:space="preserve">) to determine a realistic signal-to-noise ratio with which reflectance uncertainty can be added to </w:t>
      </w:r>
      <w:r>
        <w:rPr>
          <w:rFonts w:eastAsia="Times New Roman"/>
          <w:color w:val="000000"/>
          <w:sz w:val="24"/>
          <w:szCs w:val="24"/>
        </w:rPr>
        <w:lastRenderedPageBreak/>
        <w:t xml:space="preserve">the synthetic spectra. From our model, we conservatively estimated an SNR of 250 for each lidar wavelength under sunlit conditions from a 50 km orbit with a 25-cm diameter receiver telescope, 100 µJ output pulse energy per wavelength, and assuming a 1-s integration time (Figure </w:t>
      </w:r>
      <w:r w:rsidR="005814EB">
        <w:rPr>
          <w:rFonts w:eastAsia="Times New Roman"/>
          <w:color w:val="000000"/>
          <w:sz w:val="24"/>
          <w:szCs w:val="24"/>
        </w:rPr>
        <w:t>S</w:t>
      </w:r>
      <w:r w:rsidR="005814EB">
        <w:rPr>
          <w:sz w:val="24"/>
          <w:szCs w:val="24"/>
        </w:rPr>
        <w:t>1</w:t>
      </w:r>
      <w:r w:rsidR="005814EB">
        <w:rPr>
          <w:sz w:val="24"/>
          <w:szCs w:val="24"/>
        </w:rPr>
        <w:t>1</w:t>
      </w:r>
      <w:r>
        <w:rPr>
          <w:rFonts w:eastAsia="Times New Roman"/>
          <w:color w:val="000000"/>
          <w:sz w:val="24"/>
          <w:szCs w:val="24"/>
        </w:rPr>
        <w:t xml:space="preserve">). The laser and detector performance have been demonstrated for this wavelength regime using optical parametric oscillator-based lasers </w:t>
      </w:r>
      <w:r w:rsidR="00D51DE1">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{"citationID":"jv2yDb0b","properties":{"formattedCitation":"(Cremons et al., 2020; S. X. Li et al., 2017)","plainCitation":"(Cremons et al., 2020; S. X. Li et al., 2017)","noteIndex":0},"citationItems":[{"id":585,"uris":["http://zotero.org/users/local/lFa3rRs0/items/25KBF75Y"],"itemData":{"id":585,"type":"paper-conference","container-title":"Lunar Surface Science Workshop","page":"5068","title":"Multiwavelength Lidar for Remote Spectroscopic Measurements of the Lunar Surface","volume":"2241","author":[{"family":"Cremons","given":"D. R."},{"family":"Abshire","given":"J. B."},{"family":"Lucey","given":"P. G."},{"family":"Stubbs","given":"T. J."},{"family":"Mazarico","given":"E."}],"issued":{"date-parts":[["2020",5]]}}},{"id":282,"uris":["http://zotero.org/users/local/lFa3rRs0/items/5HNSMD8A"],"itemData":{"id":282,"type":"paper-conference","container-title":"Laser Radar Technology and Applications XXII","DOI":"10.1117/12.2262391","page":"101910L","title":"A multi-wavelength IR laser for space applications","URL":"https://www.spiedigitallibrary.org/conference-proceedings-of-spie/10191/101910L/A-multi-wavelength-IR-laser-for-space-applications/10.1117/12.2262391.short","volume":"10191","author":[{"family":"Li","given":"Steven X."},{"family":"Yu","given":"Anthony W."},{"family":"Sun","given":"Xiaoli"},{"family":"Fahey","given":"Molly E."},{"family":"Numata","given":"Kenji"},{"family":"Krainak","given":"Michael A."}],"issued":{"date-parts":[["2017"]]}}}],"schema":"https://github.com/citation-style-language/schema/raw/master/csl-citation.json"} </w:instrText>
      </w:r>
      <w:r w:rsidR="00D51DE1">
        <w:rPr>
          <w:rFonts w:eastAsia="Times New Roman"/>
          <w:color w:val="000000"/>
          <w:sz w:val="24"/>
          <w:szCs w:val="24"/>
        </w:rPr>
        <w:fldChar w:fldCharType="separate"/>
      </w:r>
      <w:r w:rsidR="0048765A" w:rsidRPr="0048765A">
        <w:rPr>
          <w:sz w:val="24"/>
        </w:rPr>
        <w:t>(Cremons et al., 2020; S. X. Li et al., 2017)</w:t>
      </w:r>
      <w:r w:rsidR="00D51DE1">
        <w:rPr>
          <w:rFonts w:eastAsia="Times New Roman"/>
          <w:color w:val="000000"/>
          <w:sz w:val="24"/>
          <w:szCs w:val="24"/>
        </w:rPr>
        <w:fldChar w:fldCharType="end"/>
      </w:r>
      <w:r>
        <w:rPr>
          <w:rFonts w:eastAsia="Times New Roman"/>
          <w:color w:val="000000"/>
          <w:sz w:val="24"/>
          <w:szCs w:val="24"/>
        </w:rPr>
        <w:t xml:space="preserve">, and a sensitive HgCdTe APD detector </w:t>
      </w:r>
      <w:r w:rsidR="0048765A">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{"citationID":"2fdBCEuw","properties":{"formattedCitation":"(Abshire et al., 2018; Hubbs et al., 2018; Sun et al., 2019)","plainCitation":"(Abshire et al., 2018; Hubbs et al., 2018; Sun et al., 2019)","noteIndex":0},"citationItems":[{"id":592,"uris":["http://zotero.org/users/local/lFa3rRs0/items/NLGFWI4G"],"itemData":{"id":592,"type":"article-journal","abstract":"&lt;p&gt;&lt;strong class=\"journal-contentHeaderColor\"&gt;Abstract.&lt;/strong&gt; Here we report on measurements made with an improved CO&lt;sub&gt;2&lt;/sub&gt; Sounder lidar during the ASCENDS 2014 and 2016 airborne campaigns. The changes made to the 2011 version of the lidar included incorporating a rapidly wavelength-tunable, step-locked seed laser in the transmitter, using a much more sensitive HgCdTe APD detector and using an analog digitizer with faster readout time in the receiver. We also improved the lidar's calibration approach and the XCO&lt;sub&gt;2&lt;/sub&gt; retrieval algorithm. The 2014 and 2016 flights were made over several types of topographic surfaces from 3 to 12 km aircraft altitudes in the continental US. The results are compared to the XCO&lt;sub&gt;2&lt;/sub&gt; values computed from an airborne in situ sensor during spiral-down maneuvers. The 2014 results show significantly better performance and include measurement of horizontal gradients in XCO&lt;sub&gt;2&lt;/sub&gt; made over the Midwestern US that agree with chemistry transport models. The results from the 2016 airborne lidar retrievals show precisions of </w:instrText>
      </w:r>
      <w:r w:rsidR="008B0A8A">
        <w:rPr>
          <w:rFonts w:ascii="Cambria Math" w:eastAsia="Times New Roman" w:hAnsi="Cambria Math" w:cs="Cambria Math"/>
          <w:color w:val="000000"/>
          <w:sz w:val="24"/>
          <w:szCs w:val="24"/>
        </w:rPr>
        <w:instrText>∼</w:instrText>
      </w:r>
      <w:r w:rsidR="008B0A8A">
        <w:rPr>
          <w:rFonts w:eastAsia="Times New Roman"/>
          <w:color w:val="000000"/>
          <w:sz w:val="24"/>
          <w:szCs w:val="24"/>
        </w:rPr>
        <w:instrText xml:space="preserve"> 0.7 parts per million (ppm) with 1 s averaging over desert surfaces, which is an improvement of about 8 times compared to similar measurements made in 2011. Measurements in 2016 were also made over fresh snow surfaces that have lower surface reflectance at the laser wavelengths. The results from both campaigns showed that the mean values of XCO&lt;sub&gt;2&lt;/sub&gt; retrieved from the lidar consistently agreed with those based on the in situ sensor to within 1 ppm. The improved precision and accuracy demonstrated in the 2014 and 2016 flights should benefit future airborne science campaigns and advance the technique's readiness for a space-based instrument.&lt;/p&gt;","container-title":"Atmospheric Measurement Techniques","DOI":"10.5194/amt-11-2001-2018","ISSN":"1867-1381","issue":"4","language":"English","note":"publisher: Copernicus GmbH","page":"2001-2025","source":"amt.copernicus.org","title":"Airborne measurements of CO&lt;sub&gt;2&lt;/sub&gt; column concentrations made with a pulsed IPDA lidar using a multiple-wavelength-locked laser and HgCdTe APD detector","volume":"11","author":[{"family":"Abshire","given":"James B."},{"family":"Ramanathan","given":"Anand K."},{"family":"Riris","given":"Haris"},{"family":"Allan","given":"Graham R."},{"family":"Sun","given":"Xiaoli"},{"family":"Hasselbrack","given":"William E."},{"family":"Mao","given":"Jianping"},{"family":"Wu","given":"Stewart"},{"family":"Chen","given":"Jeffrey"},{"family":"Numata","given":"Kenji"},{"family":"Kawa","given":"Stephan R."},{"family":"Yang","given":"Mei Ying Melissa"},{"family":"DiGangi","given":"Joshua"}],"issued":{"date-parts":[["2018",4,10]]}}},{"id":406,"uris":["http://zotero.org/users/local/lFa3rRs0/items/M3GGZJR4"],"itemData":{"id":406,"type":"paper-conference","abstract":"We report the results from proton and gamma ray radiation testing of HgCdTe avalanche photodiode (APD) arrays developed by Leonardo DRS for space lidar receivers. The devices were tested with $\\sim$60 MeV protons up to 100 krad(Si) without the read-out integrated circuit (ROIC) and 30 krad(Si) with the ROIC. We also measured the transient responses with the device fully powered and the APD gain set to &gt;1000. The detectors output a large current impulse in response to each proton hit, which could saturate the ROIC but recovered within 1 &amp;mu;s. The APD dark currents increased linearly with the proton dose. The quantum efficiency and APD gain decreased slightly with dose. The dark currents due to the radiation damage went up many times after the devices were warmed to room temperature and cooled to 80K again. The radiation damage was found to completely anneal after baking the device at 85&amp;deg;C or higher. These results showed the HgCdTe APD arrays are suitable for use in space lidar for typical Earth orbiting and planetary missions provided that provisions are made to heat the detector chip to 85&amp;deg;C when the system performance is impacted.","container-title":"Infrared Technology and Applications XLIV","DOI":"10.1117/12.2304601","ISBN":"978-1-5106-1759-9","page":"15","publisher":"SPIE","title":"Evaluation of space radiation effects on HgCdTe avalanche photodiode arrays for Lidar applications","URL":"https://www.spiedigitallibrary.org/conference-proceedings-of-spie/10624/2304601/Evaluation-of-space-radiation-effects-on-HgCdTe-avalanche-photodiode-arrays/10.1117/12.2304601.full","volume":"10624","author":[{"family":"Hubbs","given":"John E."},{"family":"Sun","given":"Xiaoli"},{"family":"Abshire","given":"James B."},{"family":"Lauenstein","given":"Jean-Marie"},{"family":"Sullivan","given":"William"},{"family":"Beck","given":"Jeff D."}],"editor":[{"family":"Fulop","given":"Gabor F."},{"family":"Hanson","given":"Charles M."},{"family":"Norton","given":"Paul R."},{"family":"Andresen","given":"Bjørn F."},{"family":"Miller","given":"John L."}],"issued":{"date-parts":[["2018",5]]}}},{"id":121,"uris":["http://zotero.org/users/local/lFa3rRs0/items/M4IXUGLI"],"itemData":{"id":121,"type":"article-journal","abstract":"© 2018 SPIE. A linear mode photon counting HgCdTe avalanche photodiode (APD) focal plane array (FPA) detector was developed for space lidar applications. An integrated detector cooler assembly (IDCA) was manufactured using a miniature Stirling cooler. The HgCdTe APD demonstrated a greater than 60% photon detection efficiency from 0.9 to 4.3 μm wavelength and a dark count rate less than 250,000/s. The IDCA cooled the FPA to 110K from ambient room temperature at a total electrical power of 7 W. The IDCA has passed environmental tests, including vibration, thermal cycling and thermal vacuum tests.","container-title":"Optical Engineering","DOI":"10.1117/1.oe.58.6.067103","ISSN":"1560-2303","issue":"6","page":"067103","title":"HgCdTe avalanche photodiode array detectors with single photon sensitivity and integrated detector cooler assemblies for space lidar applications","volume":"58","author":[{"family":"Sun","given":"Xiaoli"},{"family":"Abshire","given":"James B."},{"family":"Krainak","given":"Michael A."},{"family":"Lu","given":"Wei"},{"family":"Beck","given":"Jeff D."},{"family":"Sullivan","given":"William W."},{"family":"Mitra","given":"Pradip"},{"family":"Rawlings","given":"Dick M."},{"family":"Fields","given":"Renny A."},{"family":"Hinkley","given":"David A."},{"family":"Hirasuna","given":"Bradley S."}],"issued":{"date-parts":[["2019"]]}}}],"schema":"https://github.com/citation-style-language/schema/raw/master/csl-citation.json"} </w:instrText>
      </w:r>
      <w:r w:rsidR="0048765A">
        <w:rPr>
          <w:rFonts w:eastAsia="Times New Roman"/>
          <w:color w:val="000000"/>
          <w:sz w:val="24"/>
          <w:szCs w:val="24"/>
        </w:rPr>
        <w:fldChar w:fldCharType="separate"/>
      </w:r>
      <w:r w:rsidR="0048765A" w:rsidRPr="0048765A">
        <w:rPr>
          <w:sz w:val="24"/>
        </w:rPr>
        <w:t>(Abshire et al., 2018; Hubbs et al., 2018; Sun et al., 2019)</w:t>
      </w:r>
      <w:r w:rsidR="0048765A">
        <w:rPr>
          <w:rFonts w:eastAsia="Times New Roman"/>
          <w:color w:val="000000"/>
          <w:sz w:val="24"/>
          <w:szCs w:val="24"/>
        </w:rPr>
        <w:fldChar w:fldCharType="end"/>
      </w:r>
      <w:r>
        <w:rPr>
          <w:rFonts w:eastAsia="Times New Roman"/>
          <w:color w:val="000000"/>
          <w:sz w:val="24"/>
          <w:szCs w:val="24"/>
        </w:rPr>
        <w:t>. We do not intend to limit the lidar system or subsystem architecture here, but to ensure the simulations include reasonable measurement conditions for an orbital multispectral lidar. The results section includes simulations of total water retrieval error as a function of measurement SNR</w:t>
      </w:r>
      <w:r w:rsidR="00F45FAD">
        <w:rPr>
          <w:rFonts w:eastAsia="Times New Roman"/>
          <w:color w:val="000000"/>
          <w:sz w:val="24"/>
          <w:szCs w:val="24"/>
        </w:rPr>
        <w:t xml:space="preserve">, </w:t>
      </w:r>
      <w:r w:rsidR="008B7742">
        <w:rPr>
          <w:rFonts w:eastAsia="Times New Roman"/>
          <w:color w:val="000000"/>
          <w:sz w:val="24"/>
          <w:szCs w:val="24"/>
        </w:rPr>
        <w:t>as well as the effect of differing lighting conditions on instrument performance</w:t>
      </w:r>
      <w:r w:rsidR="00465110">
        <w:rPr>
          <w:rFonts w:eastAsia="Times New Roman"/>
          <w:color w:val="000000"/>
          <w:sz w:val="24"/>
          <w:szCs w:val="24"/>
        </w:rPr>
        <w:t>.</w:t>
      </w:r>
    </w:p>
    <w:p w14:paraId="28B0CFD5" w14:textId="704272BD"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simulated the lidar measurement precision by adding randomly distributed Gaussian noise to the reflectance spectra. The noise was zero-mean with a variance equal to the noiseless reflectance divided by the SNR. We justify the assumption of zero-mean noise because the </w:t>
      </w:r>
      <w:r w:rsidR="004077C1">
        <w:rPr>
          <w:rFonts w:eastAsia="Times New Roman"/>
          <w:color w:val="000000"/>
          <w:sz w:val="24"/>
          <w:szCs w:val="24"/>
        </w:rPr>
        <w:t>sources of bias</w:t>
      </w:r>
      <w:r>
        <w:rPr>
          <w:rFonts w:eastAsia="Times New Roman"/>
          <w:color w:val="000000"/>
          <w:sz w:val="24"/>
          <w:szCs w:val="24"/>
        </w:rPr>
        <w:t xml:space="preserve"> (the detector dark noise and solar/thermal background photons) </w:t>
      </w:r>
      <w:r w:rsidR="004077C1">
        <w:rPr>
          <w:rFonts w:eastAsia="Times New Roman"/>
          <w:color w:val="000000"/>
          <w:sz w:val="24"/>
          <w:szCs w:val="24"/>
        </w:rPr>
        <w:t>are</w:t>
      </w:r>
      <w:r>
        <w:rPr>
          <w:rFonts w:eastAsia="Times New Roman"/>
          <w:color w:val="000000"/>
          <w:sz w:val="24"/>
          <w:szCs w:val="24"/>
        </w:rPr>
        <w:t xml:space="preserve"> measured between laser pulses and removed from the return pulse energy measurement.  Reflectance spectra in the lidar geometry for mixtures using mare and highlands soils with noise added are shown in Figure </w:t>
      </w:r>
      <w:r>
        <w:rPr>
          <w:sz w:val="24"/>
          <w:szCs w:val="24"/>
        </w:rPr>
        <w:t>3</w:t>
      </w:r>
      <w:r>
        <w:rPr>
          <w:rFonts w:eastAsia="Times New Roman"/>
          <w:color w:val="000000"/>
          <w:sz w:val="24"/>
          <w:szCs w:val="24"/>
        </w:rPr>
        <w:t>. A total of 1000 mare spectra and 1000 highlands spectra were generated using the methods described above.</w:t>
      </w:r>
    </w:p>
    <w:p w14:paraId="28B0CFD6"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2.6 Spectral Unmixing using Non-negative Linear Regression</w:t>
      </w:r>
    </w:p>
    <w:p w14:paraId="28B0CFD7" w14:textId="0464E492"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used a non-negative linear least-squares algorithm to solve for the total water abundance from the four lidar measurements of the noisy reflectance spectra. Our method is based on those of Mustard and Pieters </w:t>
      </w:r>
      <w:r w:rsidR="00C3325B">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{"citationID":"LjNulqtG","properties":{"formattedCitation":"(Mustard &amp; Pieters, 1987)","plainCitation":"(Mustard &amp; Pieters, 1987)","noteIndex":0},"citationItems":[{"id":590,"uris":["http://zotero.org/users/local/lFa3rRs0/items/QVSV5X9K"],"itemData":{"id":590,"type":"article-journal","container-title":"Journal of Geophysical Research: Solid Earth","issue":"B4","note":"publisher: Wiley Online Library","page":"E617–E626","title":"Quantitative abundance estimates from bidirectional reflectance measurements","volume":"92","author":[{"family":"Mustard","given":"John F"},{"family":"Pieters","given":"Carle M"}],"issued":{"date-parts":[["1987"]]}}}],"schema":"https://github.com/citation-style-language/schema/raw/master/csl-citation.json"} </w:instrText>
      </w:r>
      <w:r w:rsidR="00C3325B">
        <w:rPr>
          <w:rFonts w:eastAsia="Times New Roman"/>
          <w:color w:val="000000"/>
          <w:sz w:val="24"/>
          <w:szCs w:val="24"/>
        </w:rPr>
        <w:fldChar w:fldCharType="separate"/>
      </w:r>
      <w:r w:rsidR="00C3325B" w:rsidRPr="00C3325B">
        <w:rPr>
          <w:sz w:val="24"/>
        </w:rPr>
        <w:t>(Mustard &amp; Pieters, 1987)</w:t>
      </w:r>
      <w:r w:rsidR="00C3325B">
        <w:rPr>
          <w:rFonts w:eastAsia="Times New Roman"/>
          <w:color w:val="000000"/>
          <w:sz w:val="24"/>
          <w:szCs w:val="24"/>
        </w:rPr>
        <w:fldChar w:fldCharType="end"/>
      </w:r>
      <w:r>
        <w:rPr>
          <w:rFonts w:eastAsia="Times New Roman"/>
          <w:color w:val="000000"/>
          <w:sz w:val="24"/>
          <w:szCs w:val="24"/>
        </w:rPr>
        <w:t xml:space="preserve">, and Li and Li </w:t>
      </w:r>
      <w:r w:rsidR="00C3325B">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{"citationID":"4s0PO0Oa","properties":{"formattedCitation":"(S. Li &amp; Li, 2011)","plainCitation":"(S. Li &amp; Li, 2011)","noteIndex":0},"citationItems":[{"id":589,"uris":["http://zotero.org/users/local/lFa3rRs0/items/7SS8553X"],"itemData":{"id":589,"type":"article-journal","container-title":"Journal of Geophysical Research: Planets","issue":"E9","note":"publisher: Wiley Online Library","title":"Radiative transfer modeling for quantifying lunar surface minerals, particle size, and submicroscopic metallic Fe","volume":"116","author":[{"family":"Li","given":"Shuai"},{"family":"Li","given":"Lin"}],"issued":{"date-parts":[["2011"]]}}}],"schema":"https://github.com/citation-style-language/schema/raw/master/csl-citation.json"} </w:instrText>
      </w:r>
      <w:r w:rsidR="00C3325B">
        <w:rPr>
          <w:rFonts w:eastAsia="Times New Roman"/>
          <w:color w:val="000000"/>
          <w:sz w:val="24"/>
          <w:szCs w:val="24"/>
        </w:rPr>
        <w:fldChar w:fldCharType="separate"/>
      </w:r>
      <w:r w:rsidR="00C3325B" w:rsidRPr="00C3325B">
        <w:rPr>
          <w:sz w:val="24"/>
        </w:rPr>
        <w:t>(S. Li &amp; Li, 2011)</w:t>
      </w:r>
      <w:r w:rsidR="00C3325B">
        <w:rPr>
          <w:rFonts w:eastAsia="Times New Roman"/>
          <w:color w:val="000000"/>
          <w:sz w:val="24"/>
          <w:szCs w:val="24"/>
        </w:rPr>
        <w:fldChar w:fldCharType="end"/>
      </w:r>
      <w:r>
        <w:rPr>
          <w:rFonts w:eastAsia="Times New Roman"/>
          <w:color w:val="000000"/>
          <w:sz w:val="24"/>
          <w:szCs w:val="24"/>
        </w:rPr>
        <w:t xml:space="preserve">, who applied a linear-least squares algorithm on reflectance spectra to retrieve mineral endmember abundances. For an intimate mixture as we have modeled here, the abundance of each endmember is non-linear in reflectance, so the four reflectance values at the lidar wavelengths were first converted back to SSA using the Hapke model of radiative transfer with the parameters given above. We used four endmember spectra to solve for each four-wavelength spectrum. Two of the four endmembers were from the MORB glass step-heating experiment: the 1522 ppm and 22 ppm experimental spectra (Figure </w:t>
      </w:r>
      <w:r>
        <w:rPr>
          <w:sz w:val="24"/>
          <w:szCs w:val="24"/>
        </w:rPr>
        <w:t>1</w:t>
      </w:r>
      <w:r>
        <w:rPr>
          <w:rFonts w:eastAsia="Times New Roman"/>
          <w:color w:val="000000"/>
          <w:sz w:val="24"/>
          <w:szCs w:val="24"/>
        </w:rPr>
        <w:t xml:space="preserve">b) The 1522 and 22 ppm spectra were chosen as they represent the two extremes of the 3 µm band shapes in the mixtures. The other two endmembers were the mature mare spectrum (70181/LR-CMP-023), and the immature highlands (61221/LRCMP-106). These regolith spectra were chosen because they represent the extrema with respect to the highest and lowest spectral slopes for the lunar continuum (Figure </w:t>
      </w:r>
      <w:r>
        <w:rPr>
          <w:sz w:val="24"/>
          <w:szCs w:val="24"/>
        </w:rPr>
        <w:t>1</w:t>
      </w:r>
      <w:r>
        <w:rPr>
          <w:rFonts w:eastAsia="Times New Roman"/>
          <w:color w:val="000000"/>
          <w:sz w:val="24"/>
          <w:szCs w:val="24"/>
        </w:rPr>
        <w:t xml:space="preserve">a). The same four endmember spectra were used for all simulations. </w:t>
      </w:r>
    </w:p>
    <w:p w14:paraId="28B0CFD8" w14:textId="74B8B173"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The system of linear equations to be solved is given by:</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0"/>
        <w:gridCol w:w="620"/>
      </w:tblGrid>
      <w:tr w:rsidR="00BE57C8" w:rsidRPr="00734AFA" w14:paraId="682888A9" w14:textId="77777777" w:rsidTr="00F95A0E">
        <w:trPr>
          <w:trHeight w:val="1323"/>
        </w:trPr>
        <w:tc>
          <w:tcPr>
            <w:tcW w:w="8730" w:type="dxa"/>
          </w:tcPr>
          <w:p w14:paraId="2646BD66" w14:textId="77777777" w:rsidR="00BE57C8" w:rsidRPr="00734AFA" w:rsidRDefault="003E2FB5" w:rsidP="00F95A0E">
            <w:pPr>
              <w:pStyle w:val="Text"/>
              <w:ind w:firstLine="0"/>
            </w:pPr>
            <m:oMathPara>
              <m:oMath>
                <m:d>
                  <m:dPr>
                    <m:begChr m:val="["/>
                    <m:endChr m:val="]"/>
                    <m:ctrlPr>
                      <w:rPr>
                        <w:rFonts w:ascii="Cambria Math" w:hAnsi="Cambria Math"/>
                        <w:i/>
                        <w:sz w:val="22"/>
                        <w:szCs w:val="22"/>
                      </w:rPr>
                    </m:ctrlPr>
                  </m:dPr>
                  <m:e>
                    <m:m>
                      <m:mPr>
                        <m:mcs>
                          <m:mc>
                            <m:mcPr>
                              <m:count m:val="3"/>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λ1M</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λ2M</m:t>
                              </m:r>
                            </m:sub>
                          </m:sSub>
                        </m:e>
                        <m:e>
                          <m:m>
                            <m:mPr>
                              <m:mcs>
                                <m:mc>
                                  <m:mcPr>
                                    <m:count m:val="2"/>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λ3M</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λ4M</m:t>
                                    </m:r>
                                  </m:sub>
                                </m:sSub>
                              </m:e>
                            </m:mr>
                          </m:m>
                        </m:e>
                      </m:mr>
                    </m:m>
                  </m:e>
                </m:d>
                <m:r>
                  <w:rPr>
                    <w:rFonts w:ascii="Cambria Math" w:hAnsi="Cambria Math"/>
                    <w:sz w:val="22"/>
                    <w:szCs w:val="22"/>
                  </w:rPr>
                  <m:t>=</m:t>
                </m:r>
                <m:d>
                  <m:dPr>
                    <m:begChr m:val="["/>
                    <m:endChr m:val="]"/>
                    <m:ctrlPr>
                      <w:rPr>
                        <w:rFonts w:ascii="Cambria Math" w:hAnsi="Cambria Math"/>
                        <w:i/>
                        <w:sz w:val="22"/>
                        <w:szCs w:val="22"/>
                      </w:rPr>
                    </m:ctrlPr>
                  </m:dPr>
                  <m:e>
                    <m:m>
                      <m:mPr>
                        <m:mcs>
                          <m:mc>
                            <m:mcPr>
                              <m:count m:val="2"/>
                              <m:mcJc m:val="center"/>
                            </m:mcPr>
                          </m:mc>
                        </m:mcs>
                        <m:ctrlPr>
                          <w:rPr>
                            <w:rFonts w:ascii="Cambria Math" w:hAnsi="Cambria Math"/>
                            <w:i/>
                            <w:sz w:val="22"/>
                            <w:szCs w:val="22"/>
                          </w:rPr>
                        </m:ctrlPr>
                      </m:mPr>
                      <m:mr>
                        <m:e>
                          <m:m>
                            <m:mPr>
                              <m:mcs>
                                <m:mc>
                                  <m:mcPr>
                                    <m:count m:val="2"/>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C1, λ1</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C2, λ1</m:t>
                                    </m:r>
                                  </m:sub>
                                </m:sSub>
                              </m:e>
                            </m:m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C1, λ2</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C2, λ2</m:t>
                                    </m:r>
                                  </m:sub>
                                </m:sSub>
                              </m:e>
                            </m:mr>
                          </m:m>
                        </m:e>
                        <m:e>
                          <m:m>
                            <m:mPr>
                              <m:mcs>
                                <m:mc>
                                  <m:mcPr>
                                    <m:count m:val="2"/>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C3, λ1</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C4, λ1</m:t>
                                    </m:r>
                                  </m:sub>
                                </m:sSub>
                              </m:e>
                            </m:m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C3, λ2</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C4, λ2</m:t>
                                    </m:r>
                                  </m:sub>
                                </m:sSub>
                              </m:e>
                            </m:mr>
                          </m:m>
                        </m:e>
                      </m:mr>
                      <m:mr>
                        <m:e>
                          <m:m>
                            <m:mPr>
                              <m:mcs>
                                <m:mc>
                                  <m:mcPr>
                                    <m:count m:val="2"/>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C1, λ3</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C2, λ1</m:t>
                                    </m:r>
                                  </m:sub>
                                </m:sSub>
                              </m:e>
                            </m:m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C1, λ4</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C2, λ1</m:t>
                                    </m:r>
                                  </m:sub>
                                </m:sSub>
                              </m:e>
                            </m:mr>
                          </m:m>
                        </m:e>
                        <m:e>
                          <m:m>
                            <m:mPr>
                              <m:mcs>
                                <m:mc>
                                  <m:mcPr>
                                    <m:count m:val="2"/>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C3, λ3</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C4, λ3</m:t>
                                    </m:r>
                                  </m:sub>
                                </m:sSub>
                              </m:e>
                            </m:mr>
                            <m:mr>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C3, λ4</m:t>
                                    </m:r>
                                  </m:sub>
                                </m:sSub>
                              </m:e>
                              <m:e>
                                <m:sSub>
                                  <m:sSubPr>
                                    <m:ctrlPr>
                                      <w:rPr>
                                        <w:rFonts w:ascii="Cambria Math" w:hAnsi="Cambria Math"/>
                                        <w:i/>
                                        <w:sz w:val="22"/>
                                        <w:szCs w:val="22"/>
                                      </w:rPr>
                                    </m:ctrlPr>
                                  </m:sSubPr>
                                  <m:e>
                                    <m:r>
                                      <w:rPr>
                                        <w:rFonts w:ascii="Cambria Math" w:hAnsi="Cambria Math"/>
                                        <w:sz w:val="22"/>
                                        <w:szCs w:val="22"/>
                                      </w:rPr>
                                      <m:t>SSA</m:t>
                                    </m:r>
                                  </m:e>
                                  <m:sub>
                                    <m:r>
                                      <w:rPr>
                                        <w:rFonts w:ascii="Cambria Math" w:hAnsi="Cambria Math"/>
                                        <w:sz w:val="22"/>
                                        <w:szCs w:val="22"/>
                                      </w:rPr>
                                      <m:t>C4, λ4</m:t>
                                    </m:r>
                                  </m:sub>
                                </m:sSub>
                              </m:e>
                            </m:mr>
                          </m:m>
                        </m:e>
                      </m:mr>
                    </m:m>
                  </m:e>
                </m:d>
                <m:d>
                  <m:dPr>
                    <m:begChr m:val="["/>
                    <m:endChr m:val="]"/>
                    <m:ctrlPr>
                      <w:rPr>
                        <w:rFonts w:ascii="Cambria Math" w:hAnsi="Cambria Math"/>
                        <w:i/>
                        <w:sz w:val="22"/>
                        <w:szCs w:val="22"/>
                      </w:rPr>
                    </m:ctrlPr>
                  </m:dPr>
                  <m:e>
                    <m:m>
                      <m:mPr>
                        <m:mcs>
                          <m:mc>
                            <m:mcPr>
                              <m:count m:val="1"/>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C1</m:t>
                              </m:r>
                            </m:sub>
                          </m:sSub>
                        </m:e>
                      </m:mr>
                      <m:mr>
                        <m:e>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C2</m:t>
                              </m:r>
                            </m:sub>
                          </m:sSub>
                        </m:e>
                      </m:mr>
                      <m:mr>
                        <m:e>
                          <m:m>
                            <m:mPr>
                              <m:mcs>
                                <m:mc>
                                  <m:mcPr>
                                    <m:count m:val="1"/>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C3</m:t>
                                    </m:r>
                                  </m:sub>
                                </m:sSub>
                              </m:e>
                            </m:mr>
                            <m:mr>
                              <m:e>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C4</m:t>
                                    </m:r>
                                  </m:sub>
                                </m:sSub>
                              </m:e>
                            </m:mr>
                          </m:m>
                        </m:e>
                      </m:mr>
                    </m:m>
                  </m:e>
                </m:d>
              </m:oMath>
            </m:oMathPara>
          </w:p>
        </w:tc>
        <w:tc>
          <w:tcPr>
            <w:tcW w:w="620" w:type="dxa"/>
            <w:vAlign w:val="center"/>
          </w:tcPr>
          <w:p w14:paraId="02DCB56B" w14:textId="77777777" w:rsidR="00BE57C8" w:rsidRPr="001A317E" w:rsidRDefault="00BE57C8" w:rsidP="00F95A0E">
            <w:pPr>
              <w:pStyle w:val="Text"/>
              <w:ind w:firstLine="0"/>
              <w:jc w:val="right"/>
              <w:rPr>
                <w:rFonts w:ascii="Times New Roman" w:hAnsi="Times New Roman" w:cs="Times New Roman"/>
              </w:rPr>
            </w:pPr>
            <w:r w:rsidRPr="001A317E">
              <w:rPr>
                <w:rFonts w:ascii="Times New Roman" w:hAnsi="Times New Roman" w:cs="Times New Roman"/>
              </w:rPr>
              <w:t>(5)</w:t>
            </w:r>
          </w:p>
        </w:tc>
      </w:tr>
    </w:tbl>
    <w:p w14:paraId="28B0CFDC" w14:textId="61BEC04E"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 xml:space="preserve">where SSA </w:t>
      </w:r>
      <w:r>
        <w:rPr>
          <w:rFonts w:eastAsia="Times New Roman"/>
          <w:i/>
          <w:color w:val="000000"/>
          <w:sz w:val="24"/>
          <w:szCs w:val="24"/>
        </w:rPr>
        <w:t>λ</w:t>
      </w:r>
      <w:r>
        <w:rPr>
          <w:rFonts w:eastAsia="Times New Roman"/>
          <w:i/>
          <w:color w:val="000000"/>
          <w:sz w:val="24"/>
          <w:szCs w:val="24"/>
          <w:vertAlign w:val="subscript"/>
        </w:rPr>
        <w:t>iM</w:t>
      </w:r>
      <w:r>
        <w:rPr>
          <w:rFonts w:eastAsia="Times New Roman"/>
          <w:color w:val="000000"/>
          <w:sz w:val="24"/>
          <w:szCs w:val="24"/>
          <w:vertAlign w:val="subscript"/>
        </w:rPr>
        <w:t xml:space="preserve"> </w:t>
      </w:r>
      <w:r>
        <w:rPr>
          <w:rFonts w:eastAsia="Times New Roman"/>
          <w:color w:val="000000"/>
          <w:sz w:val="24"/>
          <w:szCs w:val="24"/>
        </w:rPr>
        <w:t xml:space="preserve">is the single-scattering albedo at the </w:t>
      </w:r>
      <w:r>
        <w:rPr>
          <w:rFonts w:eastAsia="Times New Roman"/>
          <w:i/>
          <w:color w:val="000000"/>
          <w:sz w:val="24"/>
          <w:szCs w:val="24"/>
        </w:rPr>
        <w:t>ith</w:t>
      </w:r>
      <w:r>
        <w:rPr>
          <w:rFonts w:eastAsia="Times New Roman"/>
          <w:color w:val="000000"/>
          <w:sz w:val="24"/>
          <w:szCs w:val="24"/>
        </w:rPr>
        <w:t xml:space="preserve"> wavelength from the noisy spectrum, </w:t>
      </w:r>
      <w:proofErr w:type="gramStart"/>
      <w:r>
        <w:rPr>
          <w:rFonts w:eastAsia="Times New Roman"/>
          <w:i/>
          <w:color w:val="000000"/>
          <w:sz w:val="24"/>
          <w:szCs w:val="24"/>
        </w:rPr>
        <w:t>SSA</w:t>
      </w:r>
      <w:r>
        <w:rPr>
          <w:rFonts w:eastAsia="Times New Roman"/>
          <w:i/>
          <w:color w:val="000000"/>
          <w:sz w:val="24"/>
          <w:szCs w:val="24"/>
          <w:vertAlign w:val="subscript"/>
        </w:rPr>
        <w:t>C</w:t>
      </w:r>
      <w:r w:rsidRPr="003C4099">
        <w:rPr>
          <w:rFonts w:eastAsia="Times New Roman"/>
          <w:i/>
          <w:color w:val="000000"/>
          <w:sz w:val="24"/>
          <w:szCs w:val="24"/>
          <w:vertAlign w:val="subscript"/>
        </w:rPr>
        <w:t>j</w:t>
      </w:r>
      <w:r>
        <w:rPr>
          <w:rFonts w:eastAsia="Times New Roman"/>
          <w:i/>
          <w:color w:val="000000"/>
          <w:sz w:val="24"/>
          <w:szCs w:val="24"/>
        </w:rPr>
        <w:t>,</w:t>
      </w:r>
      <w:r>
        <w:rPr>
          <w:rFonts w:eastAsia="Times New Roman"/>
          <w:i/>
          <w:color w:val="000000"/>
          <w:sz w:val="24"/>
          <w:szCs w:val="24"/>
          <w:vertAlign w:val="subscript"/>
        </w:rPr>
        <w:t>λ</w:t>
      </w:r>
      <w:proofErr w:type="gramEnd"/>
      <w:r>
        <w:rPr>
          <w:rFonts w:eastAsia="Times New Roman"/>
          <w:i/>
          <w:color w:val="000000"/>
          <w:sz w:val="24"/>
          <w:szCs w:val="24"/>
          <w:vertAlign w:val="subscript"/>
        </w:rPr>
        <w:t xml:space="preserve">i </w:t>
      </w:r>
      <w:r>
        <w:rPr>
          <w:rFonts w:eastAsia="Times New Roman"/>
          <w:color w:val="000000"/>
          <w:sz w:val="24"/>
          <w:szCs w:val="24"/>
        </w:rPr>
        <w:t xml:space="preserve">is the single-scattering albedo of the </w:t>
      </w:r>
      <w:r>
        <w:rPr>
          <w:rFonts w:eastAsia="Times New Roman"/>
          <w:i/>
          <w:color w:val="000000"/>
          <w:sz w:val="24"/>
          <w:szCs w:val="24"/>
        </w:rPr>
        <w:t xml:space="preserve">jth </w:t>
      </w:r>
      <w:r>
        <w:rPr>
          <w:rFonts w:eastAsia="Times New Roman"/>
          <w:color w:val="000000"/>
          <w:sz w:val="24"/>
          <w:szCs w:val="24"/>
        </w:rPr>
        <w:t xml:space="preserve">endmember at the </w:t>
      </w:r>
      <w:r>
        <w:rPr>
          <w:rFonts w:eastAsia="Times New Roman"/>
          <w:i/>
          <w:color w:val="000000"/>
          <w:sz w:val="24"/>
          <w:szCs w:val="24"/>
        </w:rPr>
        <w:t xml:space="preserve">ith </w:t>
      </w:r>
      <w:r>
        <w:rPr>
          <w:rFonts w:eastAsia="Times New Roman"/>
          <w:color w:val="000000"/>
          <w:sz w:val="24"/>
          <w:szCs w:val="24"/>
        </w:rPr>
        <w:t xml:space="preserve">wavelength, and </w:t>
      </w:r>
      <w:r>
        <w:rPr>
          <w:rFonts w:eastAsia="Times New Roman"/>
          <w:i/>
          <w:color w:val="000000"/>
          <w:sz w:val="24"/>
          <w:szCs w:val="24"/>
        </w:rPr>
        <w:t>A</w:t>
      </w:r>
      <w:r>
        <w:rPr>
          <w:rFonts w:eastAsia="Times New Roman"/>
          <w:i/>
          <w:color w:val="000000"/>
          <w:sz w:val="24"/>
          <w:szCs w:val="24"/>
          <w:vertAlign w:val="subscript"/>
        </w:rPr>
        <w:t>Cj</w:t>
      </w:r>
      <w:r>
        <w:rPr>
          <w:rFonts w:eastAsia="Times New Roman"/>
          <w:i/>
          <w:color w:val="000000"/>
          <w:sz w:val="24"/>
          <w:szCs w:val="24"/>
        </w:rPr>
        <w:t xml:space="preserve"> </w:t>
      </w:r>
      <w:r>
        <w:rPr>
          <w:rFonts w:eastAsia="Times New Roman"/>
          <w:color w:val="000000"/>
          <w:sz w:val="24"/>
          <w:szCs w:val="24"/>
        </w:rPr>
        <w:t xml:space="preserve">is the abundance of the </w:t>
      </w:r>
      <w:r>
        <w:rPr>
          <w:rFonts w:eastAsia="Times New Roman"/>
          <w:i/>
          <w:color w:val="000000"/>
          <w:sz w:val="24"/>
          <w:szCs w:val="24"/>
        </w:rPr>
        <w:t>jth</w:t>
      </w:r>
      <w:r>
        <w:rPr>
          <w:rFonts w:eastAsia="Times New Roman"/>
          <w:color w:val="000000"/>
          <w:sz w:val="24"/>
          <w:szCs w:val="24"/>
        </w:rPr>
        <w:t xml:space="preserve"> endmember. Following the least-squares fitting, the retrieved abundances of the MORB endmembers </w:t>
      </w:r>
      <w:r w:rsidR="00EB0E2B">
        <w:rPr>
          <w:rFonts w:eastAsia="Times New Roman"/>
          <w:color w:val="000000"/>
          <w:sz w:val="24"/>
          <w:szCs w:val="24"/>
        </w:rPr>
        <w:t>were</w:t>
      </w:r>
      <w:r w:rsidR="00EB0E2B">
        <w:rPr>
          <w:rFonts w:eastAsia="Times New Roman"/>
          <w:color w:val="000000"/>
          <w:sz w:val="24"/>
          <w:szCs w:val="24"/>
        </w:rPr>
        <w:t xml:space="preserve"> </w:t>
      </w:r>
      <w:r>
        <w:rPr>
          <w:rFonts w:eastAsia="Times New Roman"/>
          <w:color w:val="000000"/>
          <w:sz w:val="24"/>
          <w:szCs w:val="24"/>
        </w:rPr>
        <w:t>multiplied by the total water in each endmember (</w:t>
      </w:r>
      <w:r>
        <w:rPr>
          <w:rFonts w:eastAsia="Times New Roman"/>
          <w:i/>
          <w:color w:val="000000"/>
          <w:sz w:val="24"/>
          <w:szCs w:val="24"/>
        </w:rPr>
        <w:t>i.e.</w:t>
      </w:r>
      <w:r>
        <w:rPr>
          <w:rFonts w:eastAsia="Times New Roman"/>
          <w:color w:val="000000"/>
          <w:sz w:val="24"/>
          <w:szCs w:val="24"/>
        </w:rPr>
        <w:t xml:space="preserve">, 1522 ppm </w:t>
      </w:r>
      <w:r>
        <w:rPr>
          <w:rFonts w:eastAsia="Times New Roman"/>
          <w:color w:val="000000"/>
          <w:sz w:val="24"/>
          <w:szCs w:val="24"/>
        </w:rPr>
        <w:lastRenderedPageBreak/>
        <w:t xml:space="preserve">and </w:t>
      </w:r>
      <w:r>
        <w:rPr>
          <w:sz w:val="24"/>
          <w:szCs w:val="24"/>
        </w:rPr>
        <w:t>22</w:t>
      </w:r>
      <w:r>
        <w:rPr>
          <w:rFonts w:eastAsia="Times New Roman"/>
          <w:color w:val="000000"/>
          <w:sz w:val="24"/>
          <w:szCs w:val="24"/>
        </w:rPr>
        <w:t xml:space="preserve"> ppm). This resulted in a measured total water abundance for each spectrum, which was then compared to the </w:t>
      </w:r>
      <w:r w:rsidR="00EB0E2B">
        <w:rPr>
          <w:rFonts w:eastAsia="Times New Roman"/>
          <w:color w:val="000000"/>
          <w:sz w:val="24"/>
          <w:szCs w:val="24"/>
        </w:rPr>
        <w:t>input</w:t>
      </w:r>
      <w:r w:rsidR="00EB0E2B">
        <w:rPr>
          <w:rFonts w:eastAsia="Times New Roman"/>
          <w:color w:val="000000"/>
          <w:sz w:val="24"/>
          <w:szCs w:val="24"/>
        </w:rPr>
        <w:t xml:space="preserve"> </w:t>
      </w:r>
      <w:r>
        <w:rPr>
          <w:rFonts w:eastAsia="Times New Roman"/>
          <w:color w:val="000000"/>
          <w:sz w:val="24"/>
          <w:szCs w:val="24"/>
        </w:rPr>
        <w:t xml:space="preserve">total water abundance </w:t>
      </w:r>
      <w:r w:rsidR="00EB0E2B">
        <w:rPr>
          <w:rFonts w:eastAsia="Times New Roman"/>
          <w:color w:val="000000"/>
          <w:sz w:val="24"/>
          <w:szCs w:val="24"/>
        </w:rPr>
        <w:t>for</w:t>
      </w:r>
      <w:r>
        <w:rPr>
          <w:rFonts w:eastAsia="Times New Roman"/>
          <w:color w:val="000000"/>
          <w:sz w:val="24"/>
          <w:szCs w:val="24"/>
        </w:rPr>
        <w:t xml:space="preserve"> each mixture.</w:t>
      </w:r>
    </w:p>
    <w:p w14:paraId="28B0CFDD"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3. Results</w:t>
      </w:r>
    </w:p>
    <w:p w14:paraId="28B0CFDE"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3.1 Representative Spectral Unmixing Results and Total Water Retrievals</w:t>
      </w:r>
    </w:p>
    <w:p w14:paraId="28B0CFDF" w14:textId="7777777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Figure </w:t>
      </w:r>
      <w:r>
        <w:rPr>
          <w:sz w:val="24"/>
          <w:szCs w:val="24"/>
        </w:rPr>
        <w:t>4</w:t>
      </w:r>
      <w:r>
        <w:rPr>
          <w:rFonts w:eastAsia="Times New Roman"/>
          <w:color w:val="000000"/>
          <w:sz w:val="24"/>
          <w:szCs w:val="24"/>
        </w:rPr>
        <w:t xml:space="preserve"> shows the results of the spectral unmixing technique described above for two of the 2000 simulated spectra. We remind the reader that the four lidar SSA values denoted by the blue dots in Figure </w:t>
      </w:r>
      <w:r>
        <w:rPr>
          <w:sz w:val="24"/>
          <w:szCs w:val="24"/>
        </w:rPr>
        <w:t>4</w:t>
      </w:r>
      <w:r>
        <w:rPr>
          <w:rFonts w:eastAsia="Times New Roman"/>
          <w:color w:val="000000"/>
          <w:sz w:val="24"/>
          <w:szCs w:val="24"/>
        </w:rPr>
        <w:t xml:space="preserve">a and </w:t>
      </w:r>
      <w:r>
        <w:rPr>
          <w:sz w:val="24"/>
          <w:szCs w:val="24"/>
        </w:rPr>
        <w:t>4</w:t>
      </w:r>
      <w:r>
        <w:rPr>
          <w:rFonts w:eastAsia="Times New Roman"/>
          <w:color w:val="000000"/>
          <w:sz w:val="24"/>
          <w:szCs w:val="24"/>
        </w:rPr>
        <w:t xml:space="preserve">b were the only values used to solve for the abundances of each of the endmember spectra. Multiplying the lidar-derived endmember abundances by their respective SSA spectra gives the green spectra in Figure </w:t>
      </w:r>
      <w:r>
        <w:rPr>
          <w:sz w:val="24"/>
          <w:szCs w:val="24"/>
        </w:rPr>
        <w:t>4</w:t>
      </w:r>
      <w:r>
        <w:rPr>
          <w:rFonts w:eastAsia="Times New Roman"/>
          <w:color w:val="000000"/>
          <w:sz w:val="24"/>
          <w:szCs w:val="24"/>
        </w:rPr>
        <w:t xml:space="preserve">. As expected, the least squares algorithm minimizes the residual SSA near the lidar wavelengths. This can be seen in the residual spectrum (Figure </w:t>
      </w:r>
      <w:r>
        <w:rPr>
          <w:sz w:val="24"/>
          <w:szCs w:val="24"/>
        </w:rPr>
        <w:t>4</w:t>
      </w:r>
      <w:r>
        <w:rPr>
          <w:rFonts w:eastAsia="Times New Roman"/>
          <w:color w:val="000000"/>
          <w:sz w:val="24"/>
          <w:szCs w:val="24"/>
        </w:rPr>
        <w:t xml:space="preserve">c and </w:t>
      </w:r>
      <w:r>
        <w:rPr>
          <w:sz w:val="24"/>
          <w:szCs w:val="24"/>
        </w:rPr>
        <w:t>4</w:t>
      </w:r>
      <w:r>
        <w:rPr>
          <w:rFonts w:eastAsia="Times New Roman"/>
          <w:color w:val="000000"/>
          <w:sz w:val="24"/>
          <w:szCs w:val="24"/>
        </w:rPr>
        <w:t>d) generated by subtracting the noisy simulated spectrum from the retrieved spectrum. The lowest residuals are near the measurement wavelengths. Error in the total water abundance retrieval is visible from the small absorption feature in the residual spectra near 2.8 µm.</w:t>
      </w:r>
    </w:p>
    <w:p w14:paraId="28B0CFE0" w14:textId="77777777" w:rsidR="00867801" w:rsidRDefault="00867801">
      <w:pPr>
        <w:pBdr>
          <w:top w:val="nil"/>
          <w:left w:val="nil"/>
          <w:bottom w:val="nil"/>
          <w:right w:val="nil"/>
          <w:between w:val="nil"/>
        </w:pBdr>
        <w:spacing w:before="120"/>
        <w:rPr>
          <w:rFonts w:eastAsia="Times New Roman"/>
          <w:color w:val="000000"/>
          <w:sz w:val="24"/>
          <w:szCs w:val="24"/>
        </w:rPr>
      </w:pPr>
    </w:p>
    <w:p w14:paraId="28B0CFE1"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noProof/>
          <w:color w:val="000000"/>
          <w:sz w:val="24"/>
          <w:szCs w:val="24"/>
        </w:rPr>
        <w:drawing>
          <wp:inline distT="0" distB="0" distL="0" distR="0" wp14:anchorId="28B0D0C1" wp14:editId="28B0D0C2">
            <wp:extent cx="5943600" cy="3120390"/>
            <wp:effectExtent l="0" t="0" r="0" b="0"/>
            <wp:docPr id="22" name="image9.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Chart&#10;&#10;Description automatically generated"/>
                    <pic:cNvPicPr preferRelativeResize="0"/>
                  </pic:nvPicPr>
                  <pic:blipFill>
                    <a:blip r:embed="rId15"/>
                    <a:srcRect/>
                    <a:stretch>
                      <a:fillRect/>
                    </a:stretch>
                  </pic:blipFill>
                  <pic:spPr>
                    <a:xfrm>
                      <a:off x="0" y="0"/>
                      <a:ext cx="5943600" cy="3120390"/>
                    </a:xfrm>
                    <a:prstGeom prst="rect">
                      <a:avLst/>
                    </a:prstGeom>
                    <a:ln/>
                  </pic:spPr>
                </pic:pic>
              </a:graphicData>
            </a:graphic>
          </wp:inline>
        </w:drawing>
      </w:r>
    </w:p>
    <w:p w14:paraId="28B0CFE2" w14:textId="77777777"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b/>
          <w:color w:val="000000"/>
          <w:sz w:val="24"/>
          <w:szCs w:val="24"/>
        </w:rPr>
        <w:t xml:space="preserve">Figure </w:t>
      </w:r>
      <w:r>
        <w:rPr>
          <w:b/>
          <w:sz w:val="24"/>
          <w:szCs w:val="24"/>
        </w:rPr>
        <w:t>4</w:t>
      </w:r>
      <w:r>
        <w:rPr>
          <w:rFonts w:eastAsia="Times New Roman"/>
          <w:color w:val="000000"/>
          <w:sz w:val="24"/>
          <w:szCs w:val="24"/>
        </w:rPr>
        <w:t xml:space="preserve">. Representative results of spectral unmixing using least-squares regression. (a) The input spectrum is from the highlands simulations. (b) The input spectrum is from the mare simulations. The green line is the retrieved spectrum generated by multiplying the retrieved endmember abundances by the endmember SSAs. Only the reflectance values at the four blue points were used in the retrieval process. (c and d) </w:t>
      </w:r>
      <w:r>
        <w:rPr>
          <w:sz w:val="24"/>
          <w:szCs w:val="24"/>
        </w:rPr>
        <w:t>R</w:t>
      </w:r>
      <w:r>
        <w:rPr>
          <w:rFonts w:eastAsia="Times New Roman"/>
          <w:color w:val="000000"/>
          <w:sz w:val="24"/>
          <w:szCs w:val="24"/>
        </w:rPr>
        <w:t xml:space="preserve">esiduals </w:t>
      </w:r>
      <w:r>
        <w:rPr>
          <w:sz w:val="24"/>
          <w:szCs w:val="24"/>
        </w:rPr>
        <w:t xml:space="preserve">from </w:t>
      </w:r>
      <w:r>
        <w:rPr>
          <w:rFonts w:eastAsia="Times New Roman"/>
          <w:color w:val="000000"/>
          <w:sz w:val="24"/>
          <w:szCs w:val="24"/>
        </w:rPr>
        <w:t>the spectral unmixing re</w:t>
      </w:r>
      <w:r>
        <w:rPr>
          <w:sz w:val="24"/>
          <w:szCs w:val="24"/>
        </w:rPr>
        <w:t>sults</w:t>
      </w:r>
      <w:r>
        <w:rPr>
          <w:rFonts w:eastAsia="Times New Roman"/>
          <w:color w:val="000000"/>
          <w:sz w:val="24"/>
          <w:szCs w:val="24"/>
        </w:rPr>
        <w:t xml:space="preserve"> determined by subtracting the mixture SSA spectrum (calculated from the noisy reflectance spectrum) from the retrieved spectrum in (a) and (b), respectively.</w:t>
      </w:r>
    </w:p>
    <w:p w14:paraId="28B0CFE3" w14:textId="6B23A4D3"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The results showing the derived and input abundances for the spectra in Figure </w:t>
      </w:r>
      <w:r>
        <w:rPr>
          <w:sz w:val="24"/>
          <w:szCs w:val="24"/>
        </w:rPr>
        <w:t>4</w:t>
      </w:r>
      <w:r>
        <w:rPr>
          <w:rFonts w:eastAsia="Times New Roman"/>
          <w:color w:val="000000"/>
          <w:sz w:val="24"/>
          <w:szCs w:val="24"/>
        </w:rPr>
        <w:t xml:space="preserve"> are shown in Table 2. This highlands simulation had a randomly chosen input glass fraction of 0.27 </w:t>
      </w:r>
      <w:r>
        <w:rPr>
          <w:rFonts w:eastAsia="Times New Roman"/>
          <w:color w:val="000000"/>
          <w:sz w:val="24"/>
          <w:szCs w:val="24"/>
        </w:rPr>
        <w:lastRenderedPageBreak/>
        <w:t xml:space="preserve">and </w:t>
      </w:r>
      <w:r w:rsidR="00B556AF">
        <w:rPr>
          <w:rFonts w:eastAsia="Times New Roman"/>
          <w:color w:val="000000"/>
          <w:sz w:val="24"/>
          <w:szCs w:val="24"/>
        </w:rPr>
        <w:t>a</w:t>
      </w:r>
      <w:r w:rsidR="00B556AF">
        <w:rPr>
          <w:rFonts w:eastAsia="Times New Roman"/>
          <w:color w:val="000000"/>
          <w:sz w:val="24"/>
          <w:szCs w:val="24"/>
        </w:rPr>
        <w:t xml:space="preserve"> </w:t>
      </w:r>
      <w:r w:rsidR="00B556AF">
        <w:rPr>
          <w:rFonts w:eastAsia="Times New Roman"/>
          <w:color w:val="000000"/>
          <w:sz w:val="24"/>
          <w:szCs w:val="24"/>
        </w:rPr>
        <w:t>randomly</w:t>
      </w:r>
      <w:r w:rsidR="00B556AF">
        <w:rPr>
          <w:rFonts w:eastAsia="Times New Roman"/>
          <w:color w:val="000000"/>
          <w:sz w:val="24"/>
          <w:szCs w:val="24"/>
        </w:rPr>
        <w:t xml:space="preserve"> </w:t>
      </w:r>
      <w:r>
        <w:rPr>
          <w:rFonts w:eastAsia="Times New Roman"/>
          <w:color w:val="000000"/>
          <w:sz w:val="24"/>
          <w:szCs w:val="24"/>
        </w:rPr>
        <w:t xml:space="preserve">selected interpolated MORB spectrum with 581 ppm total water (0.27 × 581 ppm = 156 ppm input abundance). The least-squares algorithm was tasked with fitting this spectral mixture using the two MORB endmember spectra (1522 ppm and 22 ppm), as well as the mature mare spectrum and immature highlands spectrum. The line shape of the input MORB spectrum (581 ppm) is about 1/3 of the way between the two endmembers (22 ppm and 1522 ppm), and the least-squares algorithm resulted in a 1:2 mixture of the two MORB endmembers (0.06 of the 1522 ppm endmember and 0.12 of the </w:t>
      </w:r>
      <w:proofErr w:type="gramStart"/>
      <w:r>
        <w:rPr>
          <w:rFonts w:eastAsia="Times New Roman"/>
          <w:color w:val="000000"/>
          <w:sz w:val="24"/>
          <w:szCs w:val="24"/>
        </w:rPr>
        <w:t>22 ppm</w:t>
      </w:r>
      <w:proofErr w:type="gramEnd"/>
      <w:r>
        <w:rPr>
          <w:rFonts w:eastAsia="Times New Roman"/>
          <w:color w:val="000000"/>
          <w:sz w:val="24"/>
          <w:szCs w:val="24"/>
        </w:rPr>
        <w:t xml:space="preserve"> endmember). The total water error for this example, defined as the measured total water abundance minus the input total water abundance was -37 ppm.</w:t>
      </w:r>
    </w:p>
    <w:p w14:paraId="28B0CFE4" w14:textId="7777777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The mare simulation had a glass fraction of 0.25 and an interpolated MORB spectrum selection with 1548 ppm total water. Here, the least-squares algorithm mixed in much more of the high-water content MORB spectrum, as 1548 ppm is closer to 1522 than it is to 22 ppm, and the shape of the 3 µm feature was better fit with the closest endmember. For the mare simulation here, the total water error was -81 ppm.</w:t>
      </w:r>
    </w:p>
    <w:p w14:paraId="28B0CFE5" w14:textId="77777777" w:rsidR="00867801" w:rsidRDefault="009E1DFE">
      <w:pPr>
        <w:pBdr>
          <w:top w:val="nil"/>
          <w:left w:val="nil"/>
          <w:bottom w:val="nil"/>
          <w:right w:val="nil"/>
          <w:between w:val="nil"/>
        </w:pBdr>
        <w:spacing w:before="120"/>
        <w:ind w:firstLine="720"/>
        <w:rPr>
          <w:rFonts w:eastAsia="Times New Roman"/>
          <w:b/>
          <w:color w:val="000000"/>
          <w:sz w:val="24"/>
          <w:szCs w:val="24"/>
        </w:rPr>
      </w:pPr>
      <w:r>
        <w:rPr>
          <w:rFonts w:eastAsia="Times New Roman"/>
          <w:color w:val="000000"/>
          <w:sz w:val="24"/>
          <w:szCs w:val="24"/>
        </w:rPr>
        <w:t>The abundances of the other endmembers (regolith spectra and pyroxene) were not retrieved with high accuracy, though this is expected based on the placement of the lidar wavelengths and the similar spectral shape of the regolith endmembers. The regolith spectra are primarily used to fit the overall spectral magnitude (the continuum albedo) and the continuum spectral slope. Similarly, there is no constraint on the abundances summing to 1, such that a low abundance of immature mare and a high abundance of mature mare may appear equally valid to the least-squares algorithm based on their spectral similarity. However, the least-squares algorithm was able to correctly identify the soil as primarily mare or highlands in nature.</w:t>
      </w:r>
    </w:p>
    <w:p w14:paraId="28B0CFE6" w14:textId="77777777" w:rsidR="00867801" w:rsidRDefault="009E1DFE">
      <w:pPr>
        <w:pBdr>
          <w:top w:val="nil"/>
          <w:left w:val="nil"/>
          <w:bottom w:val="nil"/>
          <w:right w:val="nil"/>
          <w:between w:val="nil"/>
        </w:pBdr>
        <w:spacing w:before="120"/>
        <w:rPr>
          <w:rFonts w:eastAsia="Times New Roman"/>
          <w:b/>
          <w:color w:val="000000"/>
          <w:sz w:val="24"/>
          <w:szCs w:val="24"/>
        </w:rPr>
      </w:pPr>
      <w:r>
        <w:rPr>
          <w:rFonts w:eastAsia="Times New Roman"/>
          <w:b/>
          <w:color w:val="000000"/>
          <w:sz w:val="24"/>
          <w:szCs w:val="24"/>
        </w:rPr>
        <w:t>Table 2</w:t>
      </w:r>
    </w:p>
    <w:p w14:paraId="28B0CFE7" w14:textId="77777777" w:rsidR="00867801" w:rsidRDefault="009E1DFE">
      <w:pPr>
        <w:pBdr>
          <w:top w:val="nil"/>
          <w:left w:val="nil"/>
          <w:bottom w:val="nil"/>
          <w:right w:val="nil"/>
          <w:between w:val="nil"/>
        </w:pBdr>
        <w:spacing w:before="120"/>
        <w:rPr>
          <w:rFonts w:eastAsia="Times New Roman"/>
          <w:b/>
          <w:i/>
          <w:color w:val="000000"/>
          <w:sz w:val="24"/>
          <w:szCs w:val="24"/>
        </w:rPr>
      </w:pPr>
      <w:r>
        <w:rPr>
          <w:rFonts w:eastAsia="Times New Roman"/>
          <w:i/>
          <w:color w:val="000000"/>
          <w:sz w:val="24"/>
          <w:szCs w:val="24"/>
        </w:rPr>
        <w:t xml:space="preserve">Summary of spectral unmixing results for the spectra in Figure </w:t>
      </w:r>
      <w:r>
        <w:rPr>
          <w:i/>
          <w:sz w:val="24"/>
          <w:szCs w:val="24"/>
        </w:rPr>
        <w:t>4</w:t>
      </w:r>
      <w:r>
        <w:rPr>
          <w:rFonts w:eastAsia="Times New Roman"/>
          <w:i/>
          <w:color w:val="000000"/>
          <w:sz w:val="24"/>
          <w:szCs w:val="24"/>
        </w:rPr>
        <w:t xml:space="preserve">. The input glass abundance and interpolated hydration spectrum (see Figure </w:t>
      </w:r>
      <w:r>
        <w:rPr>
          <w:i/>
          <w:sz w:val="24"/>
          <w:szCs w:val="24"/>
        </w:rPr>
        <w:t>2</w:t>
      </w:r>
      <w:r>
        <w:rPr>
          <w:rFonts w:eastAsia="Times New Roman"/>
          <w:i/>
          <w:color w:val="000000"/>
          <w:sz w:val="24"/>
          <w:szCs w:val="24"/>
        </w:rPr>
        <w:t>) were independently and randomly selected for each simulation.</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05"/>
        <w:gridCol w:w="1761"/>
        <w:gridCol w:w="1761"/>
        <w:gridCol w:w="1761"/>
        <w:gridCol w:w="1762"/>
      </w:tblGrid>
      <w:tr w:rsidR="00867801" w14:paraId="28B0CFEB" w14:textId="77777777" w:rsidTr="008678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5" w:type="dxa"/>
            <w:vMerge w:val="restart"/>
            <w:shd w:val="clear" w:color="auto" w:fill="FFFFFF"/>
            <w:vAlign w:val="center"/>
          </w:tcPr>
          <w:p w14:paraId="28B0CFE8"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Endmember</w:t>
            </w:r>
          </w:p>
        </w:tc>
        <w:tc>
          <w:tcPr>
            <w:tcW w:w="3522" w:type="dxa"/>
            <w:gridSpan w:val="2"/>
            <w:shd w:val="clear" w:color="auto" w:fill="FFFFFF"/>
          </w:tcPr>
          <w:p w14:paraId="28B0CFE9" w14:textId="77777777" w:rsidR="00867801" w:rsidRDefault="009E1DFE">
            <w:pPr>
              <w:pBdr>
                <w:top w:val="nil"/>
                <w:left w:val="nil"/>
                <w:bottom w:val="nil"/>
                <w:right w:val="nil"/>
                <w:between w:val="nil"/>
              </w:pBdr>
              <w:tabs>
                <w:tab w:val="left" w:pos="1152"/>
                <w:tab w:val="center" w:pos="1632"/>
              </w:tabs>
              <w:spacing w:before="12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 xml:space="preserve">Highlands Simulation </w:t>
            </w:r>
          </w:p>
        </w:tc>
        <w:tc>
          <w:tcPr>
            <w:tcW w:w="3523" w:type="dxa"/>
            <w:gridSpan w:val="2"/>
            <w:shd w:val="clear" w:color="auto" w:fill="FFFFFF"/>
          </w:tcPr>
          <w:p w14:paraId="28B0CFEA" w14:textId="77777777" w:rsidR="00867801" w:rsidRDefault="009E1DFE">
            <w:pPr>
              <w:pBdr>
                <w:top w:val="nil"/>
                <w:left w:val="nil"/>
                <w:bottom w:val="nil"/>
                <w:right w:val="nil"/>
                <w:between w:val="nil"/>
              </w:pBdr>
              <w:spacing w:before="12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 xml:space="preserve">Mare Simulation </w:t>
            </w:r>
          </w:p>
        </w:tc>
      </w:tr>
      <w:tr w:rsidR="00867801" w14:paraId="28B0CFF1"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5" w:type="dxa"/>
            <w:vMerge/>
            <w:shd w:val="clear" w:color="auto" w:fill="FFFFFF"/>
            <w:vAlign w:val="center"/>
          </w:tcPr>
          <w:p w14:paraId="28B0CFEC" w14:textId="77777777" w:rsidR="00867801" w:rsidRDefault="00867801">
            <w:pPr>
              <w:widowControl w:val="0"/>
              <w:pBdr>
                <w:top w:val="nil"/>
                <w:left w:val="nil"/>
                <w:bottom w:val="nil"/>
                <w:right w:val="nil"/>
                <w:between w:val="nil"/>
              </w:pBdr>
              <w:spacing w:line="276" w:lineRule="auto"/>
              <w:rPr>
                <w:rFonts w:eastAsia="Times New Roman"/>
                <w:color w:val="000000"/>
                <w:sz w:val="22"/>
                <w:szCs w:val="22"/>
              </w:rPr>
            </w:pPr>
          </w:p>
        </w:tc>
        <w:tc>
          <w:tcPr>
            <w:tcW w:w="1761" w:type="dxa"/>
            <w:shd w:val="clear" w:color="auto" w:fill="FFFFFF"/>
          </w:tcPr>
          <w:p w14:paraId="28B0CFED"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2"/>
                <w:szCs w:val="22"/>
              </w:rPr>
            </w:pPr>
            <w:r>
              <w:rPr>
                <w:b/>
                <w:color w:val="000000"/>
                <w:sz w:val="22"/>
                <w:szCs w:val="22"/>
              </w:rPr>
              <w:t>Input abundance</w:t>
            </w:r>
          </w:p>
        </w:tc>
        <w:tc>
          <w:tcPr>
            <w:tcW w:w="1761" w:type="dxa"/>
            <w:shd w:val="clear" w:color="auto" w:fill="FFFFFF"/>
          </w:tcPr>
          <w:p w14:paraId="28B0CFEE"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2"/>
                <w:szCs w:val="22"/>
              </w:rPr>
            </w:pPr>
            <w:r>
              <w:rPr>
                <w:b/>
                <w:color w:val="000000"/>
                <w:sz w:val="22"/>
                <w:szCs w:val="22"/>
              </w:rPr>
              <w:t>Least-squares abundance</w:t>
            </w:r>
          </w:p>
        </w:tc>
        <w:tc>
          <w:tcPr>
            <w:tcW w:w="1761" w:type="dxa"/>
            <w:shd w:val="clear" w:color="auto" w:fill="FFFFFF"/>
          </w:tcPr>
          <w:p w14:paraId="28B0CFEF"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b/>
                <w:color w:val="000000"/>
                <w:sz w:val="22"/>
                <w:szCs w:val="22"/>
              </w:rPr>
            </w:pPr>
            <w:r>
              <w:rPr>
                <w:b/>
                <w:color w:val="000000"/>
                <w:sz w:val="22"/>
                <w:szCs w:val="22"/>
              </w:rPr>
              <w:t>Input abundance</w:t>
            </w:r>
          </w:p>
        </w:tc>
        <w:tc>
          <w:tcPr>
            <w:tcW w:w="1762" w:type="dxa"/>
            <w:shd w:val="clear" w:color="auto" w:fill="FFFFFF"/>
          </w:tcPr>
          <w:p w14:paraId="28B0CFF0"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b/>
                <w:color w:val="000000"/>
                <w:sz w:val="22"/>
                <w:szCs w:val="22"/>
              </w:rPr>
            </w:pPr>
            <w:r>
              <w:rPr>
                <w:b/>
                <w:color w:val="000000"/>
                <w:sz w:val="22"/>
                <w:szCs w:val="22"/>
              </w:rPr>
              <w:t>Least-squares abundance</w:t>
            </w:r>
          </w:p>
        </w:tc>
      </w:tr>
      <w:tr w:rsidR="00867801" w14:paraId="28B0CFF7" w14:textId="77777777" w:rsidTr="00867801">
        <w:trPr>
          <w:trHeight w:val="525"/>
        </w:trPr>
        <w:tc>
          <w:tcPr>
            <w:cnfStyle w:val="001000000000" w:firstRow="0" w:lastRow="0" w:firstColumn="1" w:lastColumn="0" w:oddVBand="0" w:evenVBand="0" w:oddHBand="0" w:evenHBand="0" w:firstRowFirstColumn="0" w:firstRowLastColumn="0" w:lastRowFirstColumn="0" w:lastRowLastColumn="0"/>
            <w:tcW w:w="2305" w:type="dxa"/>
            <w:vMerge w:val="restart"/>
            <w:shd w:val="clear" w:color="auto" w:fill="FFFFFF"/>
            <w:vAlign w:val="center"/>
          </w:tcPr>
          <w:p w14:paraId="28B0CFF2"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Glass Abundance (Interpolated Hydration Spectrum)</w:t>
            </w:r>
          </w:p>
        </w:tc>
        <w:tc>
          <w:tcPr>
            <w:tcW w:w="1761" w:type="dxa"/>
            <w:vMerge w:val="restart"/>
            <w:shd w:val="clear" w:color="auto" w:fill="FFFFFF"/>
            <w:vAlign w:val="center"/>
          </w:tcPr>
          <w:p w14:paraId="28B0CFF3"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0.27 (581 ppm spectrum)</w:t>
            </w:r>
          </w:p>
        </w:tc>
        <w:tc>
          <w:tcPr>
            <w:tcW w:w="1761" w:type="dxa"/>
            <w:shd w:val="clear" w:color="auto" w:fill="FFFFFF"/>
            <w:vAlign w:val="center"/>
          </w:tcPr>
          <w:p w14:paraId="28B0CFF4"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0.06 (1522 ppm endmember)</w:t>
            </w:r>
          </w:p>
        </w:tc>
        <w:tc>
          <w:tcPr>
            <w:tcW w:w="1761" w:type="dxa"/>
            <w:vMerge w:val="restart"/>
            <w:shd w:val="clear" w:color="auto" w:fill="FFFFFF"/>
            <w:vAlign w:val="center"/>
          </w:tcPr>
          <w:p w14:paraId="28B0CFF5"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0.25 (1548 ppm)</w:t>
            </w:r>
          </w:p>
        </w:tc>
        <w:tc>
          <w:tcPr>
            <w:tcW w:w="1762" w:type="dxa"/>
            <w:shd w:val="clear" w:color="auto" w:fill="FFFFFF"/>
            <w:vAlign w:val="center"/>
          </w:tcPr>
          <w:p w14:paraId="28B0CFF6"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0.17 (1522 ppm endmember)</w:t>
            </w:r>
          </w:p>
        </w:tc>
      </w:tr>
      <w:tr w:rsidR="00867801" w14:paraId="28B0CFFD" w14:textId="77777777" w:rsidTr="00867801">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2305" w:type="dxa"/>
            <w:vMerge/>
            <w:shd w:val="clear" w:color="auto" w:fill="FFFFFF"/>
            <w:vAlign w:val="center"/>
          </w:tcPr>
          <w:p w14:paraId="28B0CFF8" w14:textId="77777777" w:rsidR="00867801" w:rsidRDefault="00867801">
            <w:pPr>
              <w:widowControl w:val="0"/>
              <w:pBdr>
                <w:top w:val="nil"/>
                <w:left w:val="nil"/>
                <w:bottom w:val="nil"/>
                <w:right w:val="nil"/>
                <w:between w:val="nil"/>
              </w:pBdr>
              <w:spacing w:line="276" w:lineRule="auto"/>
              <w:rPr>
                <w:rFonts w:eastAsia="Times New Roman"/>
                <w:color w:val="000000"/>
                <w:sz w:val="22"/>
                <w:szCs w:val="22"/>
              </w:rPr>
            </w:pPr>
          </w:p>
        </w:tc>
        <w:tc>
          <w:tcPr>
            <w:tcW w:w="1761" w:type="dxa"/>
            <w:vMerge/>
            <w:shd w:val="clear" w:color="auto" w:fill="FFFFFF"/>
            <w:vAlign w:val="center"/>
          </w:tcPr>
          <w:p w14:paraId="28B0CFF9" w14:textId="77777777" w:rsidR="00867801" w:rsidRDefault="00867801">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p>
        </w:tc>
        <w:tc>
          <w:tcPr>
            <w:tcW w:w="1761" w:type="dxa"/>
            <w:shd w:val="clear" w:color="auto" w:fill="FFFFFF"/>
            <w:vAlign w:val="center"/>
          </w:tcPr>
          <w:p w14:paraId="28B0CFFA"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0.12 (22 ppm endmember)</w:t>
            </w:r>
          </w:p>
        </w:tc>
        <w:tc>
          <w:tcPr>
            <w:tcW w:w="1761" w:type="dxa"/>
            <w:vMerge/>
            <w:shd w:val="clear" w:color="auto" w:fill="FFFFFF"/>
            <w:vAlign w:val="center"/>
          </w:tcPr>
          <w:p w14:paraId="28B0CFFB" w14:textId="77777777" w:rsidR="00867801" w:rsidRDefault="00867801">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p>
        </w:tc>
        <w:tc>
          <w:tcPr>
            <w:tcW w:w="1762" w:type="dxa"/>
            <w:shd w:val="clear" w:color="auto" w:fill="FFFFFF"/>
            <w:vAlign w:val="center"/>
          </w:tcPr>
          <w:p w14:paraId="28B0CFFC"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0.03 (22 ppm endmember)</w:t>
            </w:r>
          </w:p>
        </w:tc>
      </w:tr>
      <w:tr w:rsidR="00867801" w14:paraId="28B0D003" w14:textId="77777777" w:rsidTr="00867801">
        <w:tc>
          <w:tcPr>
            <w:cnfStyle w:val="001000000000" w:firstRow="0" w:lastRow="0" w:firstColumn="1" w:lastColumn="0" w:oddVBand="0" w:evenVBand="0" w:oddHBand="0" w:evenHBand="0" w:firstRowFirstColumn="0" w:firstRowLastColumn="0" w:lastRowFirstColumn="0" w:lastRowLastColumn="0"/>
            <w:tcW w:w="2305" w:type="dxa"/>
            <w:shd w:val="clear" w:color="auto" w:fill="FFFFFF"/>
            <w:vAlign w:val="center"/>
          </w:tcPr>
          <w:p w14:paraId="28B0CFFE"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Mature mare</w:t>
            </w:r>
          </w:p>
        </w:tc>
        <w:tc>
          <w:tcPr>
            <w:tcW w:w="1761" w:type="dxa"/>
            <w:shd w:val="clear" w:color="auto" w:fill="FFFFFF"/>
            <w:vAlign w:val="center"/>
          </w:tcPr>
          <w:p w14:paraId="28B0CFFF"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w:t>
            </w:r>
          </w:p>
        </w:tc>
        <w:tc>
          <w:tcPr>
            <w:tcW w:w="1761" w:type="dxa"/>
            <w:shd w:val="clear" w:color="auto" w:fill="FFFFFF"/>
            <w:vAlign w:val="center"/>
          </w:tcPr>
          <w:p w14:paraId="28B0D000"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0.15</w:t>
            </w:r>
          </w:p>
        </w:tc>
        <w:tc>
          <w:tcPr>
            <w:tcW w:w="1761" w:type="dxa"/>
            <w:shd w:val="clear" w:color="auto" w:fill="FFFFFF"/>
            <w:vAlign w:val="center"/>
          </w:tcPr>
          <w:p w14:paraId="28B0D001"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0.48</w:t>
            </w:r>
          </w:p>
        </w:tc>
        <w:tc>
          <w:tcPr>
            <w:tcW w:w="1762" w:type="dxa"/>
            <w:shd w:val="clear" w:color="auto" w:fill="FFFFFF"/>
            <w:vAlign w:val="center"/>
          </w:tcPr>
          <w:p w14:paraId="28B0D002"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0.40</w:t>
            </w:r>
          </w:p>
        </w:tc>
      </w:tr>
      <w:tr w:rsidR="00867801" w14:paraId="28B0D009"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5" w:type="dxa"/>
            <w:shd w:val="clear" w:color="auto" w:fill="FFFFFF"/>
            <w:vAlign w:val="center"/>
          </w:tcPr>
          <w:p w14:paraId="28B0D004"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Immature mare</w:t>
            </w:r>
          </w:p>
        </w:tc>
        <w:tc>
          <w:tcPr>
            <w:tcW w:w="1761" w:type="dxa"/>
            <w:shd w:val="clear" w:color="auto" w:fill="FFFFFF"/>
            <w:vAlign w:val="center"/>
          </w:tcPr>
          <w:p w14:paraId="28B0D005"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w:t>
            </w:r>
          </w:p>
        </w:tc>
        <w:tc>
          <w:tcPr>
            <w:tcW w:w="1761" w:type="dxa"/>
            <w:shd w:val="clear" w:color="auto" w:fill="FFFFFF"/>
            <w:vAlign w:val="center"/>
          </w:tcPr>
          <w:p w14:paraId="28B0D006"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Not retrieved</w:t>
            </w:r>
          </w:p>
        </w:tc>
        <w:tc>
          <w:tcPr>
            <w:tcW w:w="1761" w:type="dxa"/>
            <w:shd w:val="clear" w:color="auto" w:fill="FFFFFF"/>
            <w:vAlign w:val="center"/>
          </w:tcPr>
          <w:p w14:paraId="28B0D007"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0.20</w:t>
            </w:r>
          </w:p>
        </w:tc>
        <w:tc>
          <w:tcPr>
            <w:tcW w:w="1762" w:type="dxa"/>
            <w:shd w:val="clear" w:color="auto" w:fill="FFFFFF"/>
            <w:vAlign w:val="center"/>
          </w:tcPr>
          <w:p w14:paraId="28B0D008"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Not retrieved</w:t>
            </w:r>
          </w:p>
        </w:tc>
      </w:tr>
      <w:tr w:rsidR="00867801" w14:paraId="28B0D00F" w14:textId="77777777" w:rsidTr="00867801">
        <w:tc>
          <w:tcPr>
            <w:cnfStyle w:val="001000000000" w:firstRow="0" w:lastRow="0" w:firstColumn="1" w:lastColumn="0" w:oddVBand="0" w:evenVBand="0" w:oddHBand="0" w:evenHBand="0" w:firstRowFirstColumn="0" w:firstRowLastColumn="0" w:lastRowFirstColumn="0" w:lastRowLastColumn="0"/>
            <w:tcW w:w="2305" w:type="dxa"/>
            <w:shd w:val="clear" w:color="auto" w:fill="FFFFFF"/>
            <w:vAlign w:val="center"/>
          </w:tcPr>
          <w:p w14:paraId="28B0D00A"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Mature highlands</w:t>
            </w:r>
          </w:p>
        </w:tc>
        <w:tc>
          <w:tcPr>
            <w:tcW w:w="1761" w:type="dxa"/>
            <w:shd w:val="clear" w:color="auto" w:fill="FFFFFF"/>
            <w:vAlign w:val="center"/>
          </w:tcPr>
          <w:p w14:paraId="28B0D00B"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0.40</w:t>
            </w:r>
          </w:p>
        </w:tc>
        <w:tc>
          <w:tcPr>
            <w:tcW w:w="1761" w:type="dxa"/>
            <w:shd w:val="clear" w:color="auto" w:fill="FFFFFF"/>
            <w:vAlign w:val="center"/>
          </w:tcPr>
          <w:p w14:paraId="28B0D00C"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Not retrieved</w:t>
            </w:r>
          </w:p>
        </w:tc>
        <w:tc>
          <w:tcPr>
            <w:tcW w:w="1761" w:type="dxa"/>
            <w:shd w:val="clear" w:color="auto" w:fill="FFFFFF"/>
            <w:vAlign w:val="center"/>
          </w:tcPr>
          <w:p w14:paraId="28B0D00D"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w:t>
            </w:r>
          </w:p>
        </w:tc>
        <w:tc>
          <w:tcPr>
            <w:tcW w:w="1762" w:type="dxa"/>
            <w:shd w:val="clear" w:color="auto" w:fill="FFFFFF"/>
            <w:vAlign w:val="center"/>
          </w:tcPr>
          <w:p w14:paraId="28B0D00E"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Not retrieved</w:t>
            </w:r>
          </w:p>
        </w:tc>
      </w:tr>
      <w:tr w:rsidR="00867801" w14:paraId="28B0D015"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5" w:type="dxa"/>
            <w:shd w:val="clear" w:color="auto" w:fill="FFFFFF"/>
            <w:vAlign w:val="center"/>
          </w:tcPr>
          <w:p w14:paraId="28B0D010"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Immature highlands</w:t>
            </w:r>
          </w:p>
        </w:tc>
        <w:tc>
          <w:tcPr>
            <w:tcW w:w="1761" w:type="dxa"/>
            <w:shd w:val="clear" w:color="auto" w:fill="FFFFFF"/>
            <w:vAlign w:val="center"/>
          </w:tcPr>
          <w:p w14:paraId="28B0D011"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0.18</w:t>
            </w:r>
          </w:p>
        </w:tc>
        <w:tc>
          <w:tcPr>
            <w:tcW w:w="1761" w:type="dxa"/>
            <w:shd w:val="clear" w:color="auto" w:fill="FFFFFF"/>
            <w:vAlign w:val="center"/>
          </w:tcPr>
          <w:p w14:paraId="28B0D012"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0.31</w:t>
            </w:r>
          </w:p>
        </w:tc>
        <w:tc>
          <w:tcPr>
            <w:tcW w:w="1761" w:type="dxa"/>
            <w:shd w:val="clear" w:color="auto" w:fill="FFFFFF"/>
            <w:vAlign w:val="center"/>
          </w:tcPr>
          <w:p w14:paraId="28B0D013"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w:t>
            </w:r>
          </w:p>
        </w:tc>
        <w:tc>
          <w:tcPr>
            <w:tcW w:w="1762" w:type="dxa"/>
            <w:shd w:val="clear" w:color="auto" w:fill="FFFFFF"/>
            <w:vAlign w:val="center"/>
          </w:tcPr>
          <w:p w14:paraId="28B0D014"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2"/>
                <w:szCs w:val="22"/>
              </w:rPr>
            </w:pPr>
            <w:r>
              <w:rPr>
                <w:rFonts w:eastAsia="Times New Roman"/>
                <w:color w:val="000000"/>
                <w:sz w:val="22"/>
                <w:szCs w:val="22"/>
              </w:rPr>
              <w:t>0.03</w:t>
            </w:r>
          </w:p>
        </w:tc>
      </w:tr>
      <w:tr w:rsidR="00867801" w14:paraId="28B0D01B" w14:textId="77777777" w:rsidTr="00867801">
        <w:tc>
          <w:tcPr>
            <w:cnfStyle w:val="001000000000" w:firstRow="0" w:lastRow="0" w:firstColumn="1" w:lastColumn="0" w:oddVBand="0" w:evenVBand="0" w:oddHBand="0" w:evenHBand="0" w:firstRowFirstColumn="0" w:firstRowLastColumn="0" w:lastRowFirstColumn="0" w:lastRowLastColumn="0"/>
            <w:tcW w:w="2305" w:type="dxa"/>
            <w:shd w:val="clear" w:color="auto" w:fill="FFFFFF"/>
            <w:vAlign w:val="center"/>
          </w:tcPr>
          <w:p w14:paraId="28B0D016"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Pyroxene</w:t>
            </w:r>
          </w:p>
        </w:tc>
        <w:tc>
          <w:tcPr>
            <w:tcW w:w="1761" w:type="dxa"/>
            <w:shd w:val="clear" w:color="auto" w:fill="FFFFFF"/>
            <w:vAlign w:val="center"/>
          </w:tcPr>
          <w:p w14:paraId="28B0D017"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0.15</w:t>
            </w:r>
          </w:p>
        </w:tc>
        <w:tc>
          <w:tcPr>
            <w:tcW w:w="1761" w:type="dxa"/>
            <w:shd w:val="clear" w:color="auto" w:fill="FFFFFF"/>
            <w:vAlign w:val="center"/>
          </w:tcPr>
          <w:p w14:paraId="28B0D018"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Not retrieved</w:t>
            </w:r>
          </w:p>
        </w:tc>
        <w:tc>
          <w:tcPr>
            <w:tcW w:w="1761" w:type="dxa"/>
            <w:shd w:val="clear" w:color="auto" w:fill="FFFFFF"/>
            <w:vAlign w:val="center"/>
          </w:tcPr>
          <w:p w14:paraId="28B0D019"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0.06</w:t>
            </w:r>
          </w:p>
        </w:tc>
        <w:tc>
          <w:tcPr>
            <w:tcW w:w="1762" w:type="dxa"/>
            <w:shd w:val="clear" w:color="auto" w:fill="FFFFFF"/>
            <w:vAlign w:val="center"/>
          </w:tcPr>
          <w:p w14:paraId="28B0D01A"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2"/>
                <w:szCs w:val="22"/>
              </w:rPr>
            </w:pPr>
            <w:r>
              <w:rPr>
                <w:rFonts w:eastAsia="Times New Roman"/>
                <w:color w:val="000000"/>
                <w:sz w:val="22"/>
                <w:szCs w:val="22"/>
              </w:rPr>
              <w:t>Not retrieved</w:t>
            </w:r>
          </w:p>
        </w:tc>
      </w:tr>
      <w:tr w:rsidR="00867801" w14:paraId="28B0D021" w14:textId="77777777" w:rsidTr="008678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5" w:type="dxa"/>
            <w:shd w:val="clear" w:color="auto" w:fill="FFFFFF"/>
            <w:vAlign w:val="center"/>
          </w:tcPr>
          <w:p w14:paraId="28B0D01C" w14:textId="77777777" w:rsidR="00867801" w:rsidRDefault="009E1DFE">
            <w:pPr>
              <w:pBdr>
                <w:top w:val="nil"/>
                <w:left w:val="nil"/>
                <w:bottom w:val="nil"/>
                <w:right w:val="nil"/>
                <w:between w:val="nil"/>
              </w:pBdr>
              <w:spacing w:before="120"/>
              <w:rPr>
                <w:color w:val="000000"/>
                <w:sz w:val="22"/>
                <w:szCs w:val="22"/>
              </w:rPr>
            </w:pPr>
            <w:r>
              <w:rPr>
                <w:color w:val="000000"/>
                <w:sz w:val="22"/>
                <w:szCs w:val="22"/>
              </w:rPr>
              <w:t>Total Water Abund</w:t>
            </w:r>
            <w:r>
              <w:rPr>
                <w:sz w:val="22"/>
                <w:szCs w:val="22"/>
              </w:rPr>
              <w:t>ance</w:t>
            </w:r>
          </w:p>
        </w:tc>
        <w:tc>
          <w:tcPr>
            <w:tcW w:w="1761" w:type="dxa"/>
            <w:shd w:val="clear" w:color="auto" w:fill="FFFFFF"/>
            <w:vAlign w:val="center"/>
          </w:tcPr>
          <w:p w14:paraId="28B0D01D"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156 ppm</w:t>
            </w:r>
          </w:p>
        </w:tc>
        <w:tc>
          <w:tcPr>
            <w:tcW w:w="1761" w:type="dxa"/>
            <w:shd w:val="clear" w:color="auto" w:fill="FFFFFF"/>
            <w:vAlign w:val="center"/>
          </w:tcPr>
          <w:p w14:paraId="28B0D01E"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119 ppm</w:t>
            </w:r>
          </w:p>
        </w:tc>
        <w:tc>
          <w:tcPr>
            <w:tcW w:w="1761" w:type="dxa"/>
            <w:shd w:val="clear" w:color="auto" w:fill="FFFFFF"/>
            <w:vAlign w:val="center"/>
          </w:tcPr>
          <w:p w14:paraId="28B0D01F"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390 ppm</w:t>
            </w:r>
          </w:p>
        </w:tc>
        <w:tc>
          <w:tcPr>
            <w:tcW w:w="1762" w:type="dxa"/>
            <w:shd w:val="clear" w:color="auto" w:fill="FFFFFF"/>
            <w:vAlign w:val="center"/>
          </w:tcPr>
          <w:p w14:paraId="28B0D020" w14:textId="77777777" w:rsidR="00867801" w:rsidRDefault="009E1DFE">
            <w:pPr>
              <w:pBdr>
                <w:top w:val="nil"/>
                <w:left w:val="nil"/>
                <w:bottom w:val="nil"/>
                <w:right w:val="nil"/>
                <w:between w:val="nil"/>
              </w:pBdr>
              <w:spacing w:before="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309 ppm</w:t>
            </w:r>
          </w:p>
        </w:tc>
      </w:tr>
      <w:tr w:rsidR="00867801" w14:paraId="28B0D025" w14:textId="77777777" w:rsidTr="00867801">
        <w:trPr>
          <w:trHeight w:val="220"/>
        </w:trPr>
        <w:tc>
          <w:tcPr>
            <w:cnfStyle w:val="001000000000" w:firstRow="0" w:lastRow="0" w:firstColumn="1" w:lastColumn="0" w:oddVBand="0" w:evenVBand="0" w:oddHBand="0" w:evenHBand="0" w:firstRowFirstColumn="0" w:firstRowLastColumn="0" w:lastRowFirstColumn="0" w:lastRowLastColumn="0"/>
            <w:tcW w:w="2305" w:type="dxa"/>
            <w:shd w:val="clear" w:color="auto" w:fill="FFFFFF"/>
            <w:vAlign w:val="center"/>
          </w:tcPr>
          <w:p w14:paraId="28B0D022" w14:textId="77777777" w:rsidR="00867801" w:rsidRDefault="009E1DFE">
            <w:pPr>
              <w:pBdr>
                <w:top w:val="nil"/>
                <w:left w:val="nil"/>
                <w:bottom w:val="nil"/>
                <w:right w:val="nil"/>
                <w:between w:val="nil"/>
              </w:pBdr>
              <w:spacing w:before="120"/>
              <w:rPr>
                <w:color w:val="000000"/>
                <w:sz w:val="22"/>
                <w:szCs w:val="22"/>
              </w:rPr>
            </w:pPr>
            <w:r>
              <w:rPr>
                <w:sz w:val="22"/>
                <w:szCs w:val="22"/>
              </w:rPr>
              <w:t>Total Water Error</w:t>
            </w:r>
          </w:p>
        </w:tc>
        <w:tc>
          <w:tcPr>
            <w:tcW w:w="3522" w:type="dxa"/>
            <w:gridSpan w:val="2"/>
            <w:shd w:val="clear" w:color="auto" w:fill="FFFFFF"/>
            <w:vAlign w:val="center"/>
          </w:tcPr>
          <w:p w14:paraId="28B0D023"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2"/>
                <w:szCs w:val="22"/>
              </w:rPr>
            </w:pPr>
            <w:r>
              <w:rPr>
                <w:b/>
                <w:sz w:val="22"/>
                <w:szCs w:val="22"/>
              </w:rPr>
              <w:t>-37 ppm</w:t>
            </w:r>
          </w:p>
        </w:tc>
        <w:tc>
          <w:tcPr>
            <w:tcW w:w="3523" w:type="dxa"/>
            <w:gridSpan w:val="2"/>
            <w:shd w:val="clear" w:color="auto" w:fill="FFFFFF"/>
            <w:vAlign w:val="center"/>
          </w:tcPr>
          <w:p w14:paraId="28B0D024" w14:textId="77777777" w:rsidR="00867801" w:rsidRDefault="009E1DFE">
            <w:pPr>
              <w:pBdr>
                <w:top w:val="nil"/>
                <w:left w:val="nil"/>
                <w:bottom w:val="nil"/>
                <w:right w:val="nil"/>
                <w:between w:val="nil"/>
              </w:pBdr>
              <w:spacing w:before="120"/>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2"/>
                <w:szCs w:val="22"/>
              </w:rPr>
            </w:pPr>
            <w:r>
              <w:rPr>
                <w:b/>
                <w:sz w:val="22"/>
                <w:szCs w:val="22"/>
              </w:rPr>
              <w:t>-81 ppm</w:t>
            </w:r>
          </w:p>
        </w:tc>
      </w:tr>
    </w:tbl>
    <w:p w14:paraId="28B0D026"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lastRenderedPageBreak/>
        <w:t>3.2 Total Water Retrieval as a Function of Temperature for Mare Mixtures</w:t>
      </w:r>
    </w:p>
    <w:p w14:paraId="28B0D027" w14:textId="7777777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The total water retrieval results for the mare mixtures are shown in Figure </w:t>
      </w:r>
      <w:r>
        <w:rPr>
          <w:sz w:val="24"/>
          <w:szCs w:val="24"/>
        </w:rPr>
        <w:t>5</w:t>
      </w:r>
      <w:r>
        <w:rPr>
          <w:rFonts w:eastAsia="Times New Roman"/>
          <w:color w:val="000000"/>
          <w:sz w:val="24"/>
          <w:szCs w:val="24"/>
        </w:rPr>
        <w:t>. Input abundance is defined above as the glass fraction multiplied by the total water abundance in the randomly chosen synthetic MORB spectrum. Retrieved total water was calculated from the least-squares endmember abundances using the following formula:</w:t>
      </w:r>
    </w:p>
    <w:tbl>
      <w:tblPr>
        <w:tblStyle w:val="a6"/>
        <w:tblW w:w="9350" w:type="dxa"/>
        <w:tblBorders>
          <w:top w:val="nil"/>
          <w:left w:val="nil"/>
          <w:bottom w:val="nil"/>
          <w:right w:val="nil"/>
          <w:insideH w:val="nil"/>
          <w:insideV w:val="nil"/>
        </w:tblBorders>
        <w:tblLayout w:type="fixed"/>
        <w:tblLook w:val="0400" w:firstRow="0" w:lastRow="0" w:firstColumn="0" w:lastColumn="0" w:noHBand="0" w:noVBand="1"/>
      </w:tblPr>
      <w:tblGrid>
        <w:gridCol w:w="8635"/>
        <w:gridCol w:w="715"/>
      </w:tblGrid>
      <w:tr w:rsidR="00867801" w14:paraId="28B0D02A" w14:textId="77777777">
        <w:trPr>
          <w:trHeight w:val="792"/>
        </w:trPr>
        <w:tc>
          <w:tcPr>
            <w:tcW w:w="8635" w:type="dxa"/>
          </w:tcPr>
          <w:p w14:paraId="28B0D028" w14:textId="77777777" w:rsidR="00867801" w:rsidRDefault="003E2FB5">
            <w:pPr>
              <w:jc w:val="center"/>
              <w:rPr>
                <w:rFonts w:ascii="Cambria Math" w:eastAsia="Cambria Math" w:hAnsi="Cambria Math" w:cs="Cambria Math"/>
                <w:color w:val="000000"/>
                <w:sz w:val="24"/>
                <w:szCs w:val="24"/>
              </w:rPr>
            </w:pPr>
            <m:oMathPara>
              <m:oMath>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A</m:t>
                    </m:r>
                  </m:e>
                  <m:sub>
                    <m:r>
                      <w:rPr>
                        <w:rFonts w:ascii="Cambria Math" w:eastAsia="Cambria Math" w:hAnsi="Cambria Math" w:cs="Cambria Math"/>
                        <w:color w:val="000000"/>
                        <w:sz w:val="24"/>
                        <w:szCs w:val="24"/>
                      </w:rPr>
                      <m:t>T.W.</m:t>
                    </m:r>
                  </m:sub>
                </m:sSub>
                <m:r>
                  <w:rPr>
                    <w:rFonts w:ascii="Cambria Math" w:eastAsia="Cambria Math" w:hAnsi="Cambria Math" w:cs="Cambria Math"/>
                    <w:color w:val="000000"/>
                    <w:sz w:val="24"/>
                    <w:szCs w:val="24"/>
                  </w:rPr>
                  <m:t>[ppm]=</m:t>
                </m:r>
                <m:d>
                  <m:dPr>
                    <m:ctrlPr>
                      <w:rPr>
                        <w:rFonts w:ascii="Cambria Math" w:eastAsia="Cambria Math" w:hAnsi="Cambria Math" w:cs="Cambria Math"/>
                        <w:color w:val="000000"/>
                        <w:sz w:val="24"/>
                        <w:szCs w:val="24"/>
                      </w:rPr>
                    </m:ctrlPr>
                  </m:d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A</m:t>
                        </m:r>
                      </m:e>
                      <m:sub>
                        <m:r>
                          <w:rPr>
                            <w:rFonts w:ascii="Cambria Math" w:eastAsia="Cambria Math" w:hAnsi="Cambria Math" w:cs="Cambria Math"/>
                            <w:color w:val="000000"/>
                            <w:sz w:val="24"/>
                            <w:szCs w:val="24"/>
                          </w:rPr>
                          <m:t>1522</m:t>
                        </m:r>
                      </m:sub>
                    </m:sSub>
                    <m:r>
                      <w:rPr>
                        <w:rFonts w:ascii="Cambria Math" w:eastAsia="Cambria Math" w:hAnsi="Cambria Math" w:cs="Cambria Math"/>
                        <w:color w:val="000000"/>
                        <w:sz w:val="24"/>
                        <w:szCs w:val="24"/>
                      </w:rPr>
                      <m:t>∙1522</m:t>
                    </m:r>
                  </m:e>
                </m:d>
                <m:r>
                  <w:rPr>
                    <w:rFonts w:ascii="Cambria Math" w:eastAsia="Cambria Math" w:hAnsi="Cambria Math" w:cs="Cambria Math"/>
                    <w:color w:val="000000"/>
                    <w:sz w:val="24"/>
                    <w:szCs w:val="24"/>
                  </w:rPr>
                  <m:t>+</m:t>
                </m:r>
                <m:d>
                  <m:dPr>
                    <m:ctrlPr>
                      <w:rPr>
                        <w:rFonts w:ascii="Cambria Math" w:eastAsia="Cambria Math" w:hAnsi="Cambria Math" w:cs="Cambria Math"/>
                        <w:color w:val="000000"/>
                        <w:sz w:val="24"/>
                        <w:szCs w:val="24"/>
                      </w:rPr>
                    </m:ctrlPr>
                  </m:dPr>
                  <m:e>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A</m:t>
                        </m:r>
                      </m:e>
                      <m:sub>
                        <m:r>
                          <w:rPr>
                            <w:rFonts w:ascii="Cambria Math" w:eastAsia="Cambria Math" w:hAnsi="Cambria Math" w:cs="Cambria Math"/>
                            <w:color w:val="000000"/>
                            <w:sz w:val="24"/>
                            <w:szCs w:val="24"/>
                          </w:rPr>
                          <m:t>22</m:t>
                        </m:r>
                      </m:sub>
                    </m:sSub>
                    <m:r>
                      <w:rPr>
                        <w:rFonts w:ascii="Cambria Math" w:eastAsia="Cambria Math" w:hAnsi="Cambria Math" w:cs="Cambria Math"/>
                        <w:color w:val="000000"/>
                        <w:sz w:val="24"/>
                        <w:szCs w:val="24"/>
                      </w:rPr>
                      <m:t>∙22</m:t>
                    </m:r>
                  </m:e>
                </m:d>
              </m:oMath>
            </m:oMathPara>
          </w:p>
        </w:tc>
        <w:tc>
          <w:tcPr>
            <w:tcW w:w="715" w:type="dxa"/>
            <w:vAlign w:val="center"/>
          </w:tcPr>
          <w:p w14:paraId="28B0D029" w14:textId="77777777" w:rsidR="00867801" w:rsidRDefault="009E1DFE">
            <w:pPr>
              <w:pBdr>
                <w:top w:val="nil"/>
                <w:left w:val="nil"/>
                <w:bottom w:val="nil"/>
                <w:right w:val="nil"/>
                <w:between w:val="nil"/>
              </w:pBdr>
              <w:spacing w:before="120"/>
              <w:jc w:val="right"/>
              <w:rPr>
                <w:rFonts w:eastAsia="Times New Roman"/>
                <w:color w:val="000000"/>
                <w:sz w:val="24"/>
                <w:szCs w:val="24"/>
              </w:rPr>
            </w:pPr>
            <w:r>
              <w:rPr>
                <w:rFonts w:eastAsia="Times New Roman"/>
                <w:color w:val="000000"/>
                <w:sz w:val="24"/>
                <w:szCs w:val="24"/>
              </w:rPr>
              <w:t>(6)</w:t>
            </w:r>
          </w:p>
        </w:tc>
      </w:tr>
    </w:tbl>
    <w:p w14:paraId="28B0D02B"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 xml:space="preserve">where </w:t>
      </w:r>
      <w:r>
        <w:rPr>
          <w:rFonts w:eastAsia="Times New Roman"/>
          <w:i/>
          <w:color w:val="000000"/>
          <w:sz w:val="24"/>
          <w:szCs w:val="24"/>
        </w:rPr>
        <w:t>A</w:t>
      </w:r>
      <w:r>
        <w:rPr>
          <w:rFonts w:eastAsia="Times New Roman"/>
          <w:i/>
          <w:color w:val="000000"/>
          <w:sz w:val="24"/>
          <w:szCs w:val="24"/>
          <w:vertAlign w:val="subscript"/>
        </w:rPr>
        <w:t>T.W</w:t>
      </w:r>
      <w:r>
        <w:rPr>
          <w:rFonts w:eastAsia="Times New Roman"/>
          <w:color w:val="000000"/>
          <w:sz w:val="24"/>
          <w:szCs w:val="24"/>
          <w:vertAlign w:val="subscript"/>
        </w:rPr>
        <w:t>.</w:t>
      </w:r>
      <w:r>
        <w:rPr>
          <w:rFonts w:eastAsia="Times New Roman"/>
          <w:color w:val="000000"/>
          <w:sz w:val="24"/>
          <w:szCs w:val="24"/>
        </w:rPr>
        <w:t xml:space="preserve"> is the retrieved total water abundance in parts per million, </w:t>
      </w:r>
      <w:r>
        <w:rPr>
          <w:rFonts w:eastAsia="Times New Roman"/>
          <w:i/>
          <w:color w:val="000000"/>
          <w:sz w:val="24"/>
          <w:szCs w:val="24"/>
        </w:rPr>
        <w:t>A</w:t>
      </w:r>
      <w:r>
        <w:rPr>
          <w:rFonts w:eastAsia="Times New Roman"/>
          <w:i/>
          <w:color w:val="000000"/>
          <w:sz w:val="24"/>
          <w:szCs w:val="24"/>
          <w:vertAlign w:val="subscript"/>
        </w:rPr>
        <w:t>1522</w:t>
      </w:r>
      <w:r>
        <w:rPr>
          <w:rFonts w:eastAsia="Times New Roman"/>
          <w:color w:val="000000"/>
          <w:sz w:val="24"/>
          <w:szCs w:val="24"/>
        </w:rPr>
        <w:t xml:space="preserve"> is the least-squares abundance of the 1522 ppm MORB endmember, and </w:t>
      </w:r>
      <w:r>
        <w:rPr>
          <w:rFonts w:eastAsia="Times New Roman"/>
          <w:i/>
          <w:color w:val="000000"/>
          <w:sz w:val="24"/>
          <w:szCs w:val="24"/>
        </w:rPr>
        <w:t>A</w:t>
      </w:r>
      <w:r>
        <w:rPr>
          <w:rFonts w:eastAsia="Times New Roman"/>
          <w:i/>
          <w:color w:val="000000"/>
          <w:sz w:val="24"/>
          <w:szCs w:val="24"/>
          <w:vertAlign w:val="subscript"/>
        </w:rPr>
        <w:t>22</w:t>
      </w:r>
      <w:r>
        <w:rPr>
          <w:rFonts w:eastAsia="Times New Roman"/>
          <w:color w:val="000000"/>
          <w:sz w:val="24"/>
          <w:szCs w:val="24"/>
        </w:rPr>
        <w:t xml:space="preserve"> is the least-squares abundance of the 22 ppm MORB endmember. The mare multispectral lidar simulations exhibited a mean error of -38 ppm and a standard deviation of 52 ppm. This mean error represents a deviation from the desired </w:t>
      </w:r>
      <w:r>
        <w:rPr>
          <w:sz w:val="24"/>
          <w:szCs w:val="24"/>
        </w:rPr>
        <w:t>one-to-one relationship between input abundance and retrieved abundance and a statistical underestimation of the total water content.</w:t>
      </w:r>
      <w:r>
        <w:rPr>
          <w:rFonts w:eastAsia="Times New Roman"/>
          <w:color w:val="000000"/>
          <w:sz w:val="24"/>
          <w:szCs w:val="24"/>
        </w:rPr>
        <w:t xml:space="preserve"> The root mean square error (RMSE) for the mare simulations was 65 ppm. Figure </w:t>
      </w:r>
      <w:r>
        <w:rPr>
          <w:sz w:val="24"/>
          <w:szCs w:val="24"/>
        </w:rPr>
        <w:t>5</w:t>
      </w:r>
      <w:r>
        <w:rPr>
          <w:rFonts w:eastAsia="Times New Roman"/>
          <w:color w:val="000000"/>
          <w:sz w:val="24"/>
          <w:szCs w:val="24"/>
        </w:rPr>
        <w:t>b shows a histogram of the total water error, defined as the retrieved total water minus the input total water. The mean error can be observed by the peak in the histogram at a value slightly less than 0 ppm total water error.</w:t>
      </w:r>
    </w:p>
    <w:p w14:paraId="28B0D02C"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noProof/>
          <w:color w:val="000000"/>
          <w:sz w:val="24"/>
          <w:szCs w:val="24"/>
        </w:rPr>
        <w:drawing>
          <wp:inline distT="0" distB="0" distL="0" distR="0" wp14:anchorId="28B0D0C3" wp14:editId="28B0D0C4">
            <wp:extent cx="5943600" cy="2372995"/>
            <wp:effectExtent l="0" t="0" r="0" b="0"/>
            <wp:docPr id="25" name="image5.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scatter chart&#10;&#10;Description automatically generated"/>
                    <pic:cNvPicPr preferRelativeResize="0"/>
                  </pic:nvPicPr>
                  <pic:blipFill>
                    <a:blip r:embed="rId16"/>
                    <a:srcRect/>
                    <a:stretch>
                      <a:fillRect/>
                    </a:stretch>
                  </pic:blipFill>
                  <pic:spPr>
                    <a:xfrm>
                      <a:off x="0" y="0"/>
                      <a:ext cx="5943600" cy="2372995"/>
                    </a:xfrm>
                    <a:prstGeom prst="rect">
                      <a:avLst/>
                    </a:prstGeom>
                    <a:ln/>
                  </pic:spPr>
                </pic:pic>
              </a:graphicData>
            </a:graphic>
          </wp:inline>
        </w:drawing>
      </w:r>
    </w:p>
    <w:p w14:paraId="28B0D02D" w14:textId="77777777"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b/>
          <w:color w:val="000000"/>
          <w:sz w:val="24"/>
          <w:szCs w:val="24"/>
        </w:rPr>
        <w:t xml:space="preserve">Figure </w:t>
      </w:r>
      <w:r>
        <w:rPr>
          <w:b/>
          <w:sz w:val="24"/>
          <w:szCs w:val="24"/>
        </w:rPr>
        <w:t>5</w:t>
      </w:r>
      <w:r>
        <w:rPr>
          <w:rFonts w:eastAsia="Times New Roman"/>
          <w:color w:val="000000"/>
          <w:sz w:val="24"/>
          <w:szCs w:val="24"/>
        </w:rPr>
        <w:t>. (a) Results for all 1000 mare simulations. Each dot denotes a single retrieval. The black dotted line denotes a slope of 1. (b) Histogram of total water error. The histogram bin width is 5 ppm.</w:t>
      </w:r>
    </w:p>
    <w:p w14:paraId="28B0D02E"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3.3 Total Water Retrieval as a Function of Temperature for Highlands Mixtures</w:t>
      </w:r>
    </w:p>
    <w:p w14:paraId="28B0D02F" w14:textId="7777777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The results for the highlands simulations are shown in Figure </w:t>
      </w:r>
      <w:r>
        <w:rPr>
          <w:sz w:val="24"/>
          <w:szCs w:val="24"/>
        </w:rPr>
        <w:t>6</w:t>
      </w:r>
      <w:r>
        <w:rPr>
          <w:rFonts w:eastAsia="Times New Roman"/>
          <w:color w:val="000000"/>
          <w:sz w:val="24"/>
          <w:szCs w:val="24"/>
        </w:rPr>
        <w:t xml:space="preserve"> using the same conventions as Figure </w:t>
      </w:r>
      <w:r>
        <w:rPr>
          <w:sz w:val="24"/>
          <w:szCs w:val="24"/>
        </w:rPr>
        <w:t>5</w:t>
      </w:r>
      <w:r>
        <w:rPr>
          <w:rFonts w:eastAsia="Times New Roman"/>
          <w:color w:val="000000"/>
          <w:sz w:val="24"/>
          <w:szCs w:val="24"/>
        </w:rPr>
        <w:t xml:space="preserve">. In general, the highlands results were </w:t>
      </w:r>
      <w:proofErr w:type="gramStart"/>
      <w:r>
        <w:rPr>
          <w:rFonts w:eastAsia="Times New Roman"/>
          <w:color w:val="000000"/>
          <w:sz w:val="24"/>
          <w:szCs w:val="24"/>
        </w:rPr>
        <w:t>similar to</w:t>
      </w:r>
      <w:proofErr w:type="gramEnd"/>
      <w:r>
        <w:rPr>
          <w:rFonts w:eastAsia="Times New Roman"/>
          <w:color w:val="000000"/>
          <w:sz w:val="24"/>
          <w:szCs w:val="24"/>
        </w:rPr>
        <w:t xml:space="preserve"> the mare simulations, though slightly more accurate. The mean error and standard deviation were -39 ppm and 38 ppm, respectively. The RMSE of the highlands simulations was 55 ppm compared to 65 ppm for the mare simulations. The statistics for the mare and highlands simulations are given in Table 3.</w:t>
      </w:r>
    </w:p>
    <w:p w14:paraId="28B0D030" w14:textId="77777777" w:rsidR="00867801" w:rsidRDefault="00867801">
      <w:pPr>
        <w:pBdr>
          <w:top w:val="nil"/>
          <w:left w:val="nil"/>
          <w:bottom w:val="nil"/>
          <w:right w:val="nil"/>
          <w:between w:val="nil"/>
        </w:pBdr>
        <w:spacing w:before="120"/>
        <w:rPr>
          <w:rFonts w:eastAsia="Times New Roman"/>
          <w:color w:val="000000"/>
          <w:sz w:val="24"/>
          <w:szCs w:val="24"/>
        </w:rPr>
      </w:pPr>
    </w:p>
    <w:p w14:paraId="28B0D031"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noProof/>
          <w:color w:val="000000"/>
          <w:sz w:val="24"/>
          <w:szCs w:val="24"/>
        </w:rPr>
        <w:lastRenderedPageBreak/>
        <w:drawing>
          <wp:inline distT="0" distB="0" distL="0" distR="0" wp14:anchorId="28B0D0C5" wp14:editId="28B0D0C6">
            <wp:extent cx="5943600" cy="2378710"/>
            <wp:effectExtent l="0" t="0" r="0" b="0"/>
            <wp:docPr id="24" name="image4.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Chart, scatter chart&#10;&#10;Description automatically generated"/>
                    <pic:cNvPicPr preferRelativeResize="0"/>
                  </pic:nvPicPr>
                  <pic:blipFill>
                    <a:blip r:embed="rId17"/>
                    <a:srcRect/>
                    <a:stretch>
                      <a:fillRect/>
                    </a:stretch>
                  </pic:blipFill>
                  <pic:spPr>
                    <a:xfrm>
                      <a:off x="0" y="0"/>
                      <a:ext cx="5943600" cy="2378710"/>
                    </a:xfrm>
                    <a:prstGeom prst="rect">
                      <a:avLst/>
                    </a:prstGeom>
                    <a:ln/>
                  </pic:spPr>
                </pic:pic>
              </a:graphicData>
            </a:graphic>
          </wp:inline>
        </w:drawing>
      </w:r>
    </w:p>
    <w:p w14:paraId="28B0D032" w14:textId="77777777"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b/>
          <w:color w:val="000000"/>
          <w:sz w:val="24"/>
          <w:szCs w:val="24"/>
        </w:rPr>
        <w:t xml:space="preserve">Figure </w:t>
      </w:r>
      <w:r>
        <w:rPr>
          <w:b/>
          <w:sz w:val="24"/>
          <w:szCs w:val="24"/>
        </w:rPr>
        <w:t>6</w:t>
      </w:r>
      <w:r>
        <w:rPr>
          <w:rFonts w:eastAsia="Times New Roman"/>
          <w:color w:val="000000"/>
          <w:sz w:val="24"/>
          <w:szCs w:val="24"/>
        </w:rPr>
        <w:t xml:space="preserve">. (a) Results for all 1000 highlands simulations following the conventions of Figure </w:t>
      </w:r>
      <w:r>
        <w:rPr>
          <w:sz w:val="24"/>
          <w:szCs w:val="24"/>
        </w:rPr>
        <w:t>5</w:t>
      </w:r>
      <w:r>
        <w:rPr>
          <w:rFonts w:eastAsia="Times New Roman"/>
          <w:color w:val="000000"/>
          <w:sz w:val="24"/>
          <w:szCs w:val="24"/>
        </w:rPr>
        <w:t xml:space="preserve">. (b) Histogram of total water error following the conventions of Figure </w:t>
      </w:r>
      <w:r>
        <w:rPr>
          <w:sz w:val="24"/>
          <w:szCs w:val="24"/>
        </w:rPr>
        <w:t>5</w:t>
      </w:r>
      <w:r>
        <w:rPr>
          <w:rFonts w:eastAsia="Times New Roman"/>
          <w:color w:val="000000"/>
          <w:sz w:val="24"/>
          <w:szCs w:val="24"/>
        </w:rPr>
        <w:t>.</w:t>
      </w:r>
    </w:p>
    <w:p w14:paraId="28B0D033" w14:textId="77777777" w:rsidR="00867801" w:rsidRDefault="009E1DFE">
      <w:pPr>
        <w:pBdr>
          <w:top w:val="nil"/>
          <w:left w:val="nil"/>
          <w:bottom w:val="nil"/>
          <w:right w:val="nil"/>
          <w:between w:val="nil"/>
        </w:pBdr>
        <w:tabs>
          <w:tab w:val="left" w:pos="2213"/>
          <w:tab w:val="left" w:pos="2560"/>
        </w:tabs>
        <w:spacing w:before="120"/>
        <w:rPr>
          <w:rFonts w:eastAsia="Times New Roman"/>
          <w:color w:val="000000"/>
          <w:sz w:val="24"/>
          <w:szCs w:val="24"/>
        </w:rPr>
      </w:pPr>
      <w:r>
        <w:rPr>
          <w:rFonts w:eastAsia="Times New Roman"/>
          <w:color w:val="000000"/>
          <w:sz w:val="24"/>
          <w:szCs w:val="24"/>
        </w:rPr>
        <w:tab/>
      </w:r>
    </w:p>
    <w:p w14:paraId="28B0D034" w14:textId="77777777" w:rsidR="00867801" w:rsidRDefault="009E1DFE">
      <w:pPr>
        <w:pBdr>
          <w:top w:val="nil"/>
          <w:left w:val="nil"/>
          <w:bottom w:val="nil"/>
          <w:right w:val="nil"/>
          <w:between w:val="nil"/>
        </w:pBdr>
        <w:spacing w:before="120"/>
        <w:rPr>
          <w:rFonts w:eastAsia="Times New Roman"/>
          <w:b/>
          <w:color w:val="000000"/>
          <w:sz w:val="24"/>
          <w:szCs w:val="24"/>
        </w:rPr>
      </w:pPr>
      <w:r>
        <w:rPr>
          <w:rFonts w:eastAsia="Times New Roman"/>
          <w:b/>
          <w:color w:val="000000"/>
          <w:sz w:val="24"/>
          <w:szCs w:val="24"/>
        </w:rPr>
        <w:t>Table 3</w:t>
      </w:r>
    </w:p>
    <w:p w14:paraId="28B0D035" w14:textId="77777777" w:rsidR="00867801" w:rsidRDefault="009E1DFE">
      <w:pPr>
        <w:pBdr>
          <w:top w:val="nil"/>
          <w:left w:val="nil"/>
          <w:bottom w:val="nil"/>
          <w:right w:val="nil"/>
          <w:between w:val="nil"/>
        </w:pBdr>
        <w:spacing w:before="120"/>
        <w:rPr>
          <w:rFonts w:eastAsia="Times New Roman"/>
          <w:i/>
          <w:color w:val="000000"/>
          <w:sz w:val="24"/>
          <w:szCs w:val="24"/>
        </w:rPr>
      </w:pPr>
      <w:r>
        <w:rPr>
          <w:rFonts w:eastAsia="Times New Roman"/>
          <w:i/>
          <w:color w:val="000000"/>
          <w:sz w:val="24"/>
          <w:szCs w:val="24"/>
        </w:rPr>
        <w:t>Summary of total water retrieval results for mare and highlands simulations</w:t>
      </w:r>
    </w:p>
    <w:tbl>
      <w:tblPr>
        <w:tblStyle w:val="a7"/>
        <w:tblW w:w="7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tblGrid>
      <w:tr w:rsidR="00867801" w14:paraId="28B0D03A" w14:textId="77777777">
        <w:tc>
          <w:tcPr>
            <w:tcW w:w="1870" w:type="dxa"/>
          </w:tcPr>
          <w:p w14:paraId="28B0D036"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Mixture Type</w:t>
            </w:r>
          </w:p>
        </w:tc>
        <w:tc>
          <w:tcPr>
            <w:tcW w:w="1870" w:type="dxa"/>
          </w:tcPr>
          <w:p w14:paraId="28B0D037"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Total Water Mean Error</w:t>
            </w:r>
          </w:p>
        </w:tc>
        <w:tc>
          <w:tcPr>
            <w:tcW w:w="1870" w:type="dxa"/>
          </w:tcPr>
          <w:p w14:paraId="28B0D038"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Total Water Error Standard Deviation</w:t>
            </w:r>
          </w:p>
        </w:tc>
        <w:tc>
          <w:tcPr>
            <w:tcW w:w="1870" w:type="dxa"/>
          </w:tcPr>
          <w:p w14:paraId="28B0D039"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Total Water RMSE</w:t>
            </w:r>
          </w:p>
        </w:tc>
      </w:tr>
      <w:tr w:rsidR="00867801" w14:paraId="28B0D03F" w14:textId="77777777">
        <w:tc>
          <w:tcPr>
            <w:tcW w:w="1870" w:type="dxa"/>
          </w:tcPr>
          <w:p w14:paraId="28B0D03B"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Mare</w:t>
            </w:r>
          </w:p>
        </w:tc>
        <w:tc>
          <w:tcPr>
            <w:tcW w:w="1870" w:type="dxa"/>
          </w:tcPr>
          <w:p w14:paraId="28B0D03C"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-38 ppm</w:t>
            </w:r>
          </w:p>
        </w:tc>
        <w:tc>
          <w:tcPr>
            <w:tcW w:w="1870" w:type="dxa"/>
          </w:tcPr>
          <w:p w14:paraId="28B0D03D"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52 ppm</w:t>
            </w:r>
          </w:p>
        </w:tc>
        <w:tc>
          <w:tcPr>
            <w:tcW w:w="1870" w:type="dxa"/>
          </w:tcPr>
          <w:p w14:paraId="28B0D03E"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65 ppm</w:t>
            </w:r>
          </w:p>
        </w:tc>
      </w:tr>
      <w:tr w:rsidR="00867801" w14:paraId="28B0D044" w14:textId="77777777">
        <w:tc>
          <w:tcPr>
            <w:tcW w:w="1870" w:type="dxa"/>
          </w:tcPr>
          <w:p w14:paraId="28B0D040"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Highlands</w:t>
            </w:r>
          </w:p>
        </w:tc>
        <w:tc>
          <w:tcPr>
            <w:tcW w:w="1870" w:type="dxa"/>
          </w:tcPr>
          <w:p w14:paraId="28B0D041"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-39 ppm</w:t>
            </w:r>
          </w:p>
        </w:tc>
        <w:tc>
          <w:tcPr>
            <w:tcW w:w="1870" w:type="dxa"/>
          </w:tcPr>
          <w:p w14:paraId="28B0D042"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38 ppm</w:t>
            </w:r>
          </w:p>
        </w:tc>
        <w:tc>
          <w:tcPr>
            <w:tcW w:w="1870" w:type="dxa"/>
          </w:tcPr>
          <w:p w14:paraId="28B0D043"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55 ppm</w:t>
            </w:r>
          </w:p>
        </w:tc>
      </w:tr>
    </w:tbl>
    <w:p w14:paraId="28B0D045"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3.4 Effects of SNR on Total Water Error</w:t>
      </w:r>
    </w:p>
    <w:p w14:paraId="28B0D046" w14:textId="66A1285A"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tested a range of SNR values for </w:t>
      </w:r>
      <w:r>
        <w:rPr>
          <w:sz w:val="24"/>
          <w:szCs w:val="24"/>
        </w:rPr>
        <w:t>the entire set</w:t>
      </w:r>
      <w:r>
        <w:rPr>
          <w:rFonts w:eastAsia="Times New Roman"/>
          <w:color w:val="000000"/>
          <w:sz w:val="24"/>
          <w:szCs w:val="24"/>
        </w:rPr>
        <w:t xml:space="preserve"> of simulat</w:t>
      </w:r>
      <w:r>
        <w:rPr>
          <w:sz w:val="24"/>
          <w:szCs w:val="24"/>
        </w:rPr>
        <w:t>ed spectra</w:t>
      </w:r>
      <w:r>
        <w:rPr>
          <w:rFonts w:eastAsia="Times New Roman"/>
          <w:color w:val="000000"/>
          <w:sz w:val="24"/>
          <w:szCs w:val="24"/>
        </w:rPr>
        <w:t xml:space="preserve"> (</w:t>
      </w:r>
      <w:r>
        <w:rPr>
          <w:sz w:val="24"/>
          <w:szCs w:val="24"/>
        </w:rPr>
        <w:t>10</w:t>
      </w:r>
      <w:r>
        <w:rPr>
          <w:rFonts w:eastAsia="Times New Roman"/>
          <w:color w:val="000000"/>
          <w:sz w:val="24"/>
          <w:szCs w:val="24"/>
        </w:rPr>
        <w:t>00 mare and 10</w:t>
      </w:r>
      <w:r>
        <w:rPr>
          <w:sz w:val="24"/>
          <w:szCs w:val="24"/>
        </w:rPr>
        <w:t>00 highlands</w:t>
      </w:r>
      <w:r>
        <w:rPr>
          <w:rFonts w:eastAsia="Times New Roman"/>
          <w:color w:val="000000"/>
          <w:sz w:val="24"/>
          <w:szCs w:val="24"/>
        </w:rPr>
        <w:t xml:space="preserve"> spectra) to quantify the standard deviation of the retrieval under different noise conditions. These simulations were run using the same spectral mixtures as the data presented in Figures </w:t>
      </w:r>
      <w:r>
        <w:rPr>
          <w:sz w:val="24"/>
          <w:szCs w:val="24"/>
        </w:rPr>
        <w:t>5</w:t>
      </w:r>
      <w:r>
        <w:rPr>
          <w:rFonts w:eastAsia="Times New Roman"/>
          <w:color w:val="000000"/>
          <w:sz w:val="24"/>
          <w:szCs w:val="24"/>
        </w:rPr>
        <w:t xml:space="preserve"> and </w:t>
      </w:r>
      <w:r>
        <w:rPr>
          <w:sz w:val="24"/>
          <w:szCs w:val="24"/>
        </w:rPr>
        <w:t>6</w:t>
      </w:r>
      <w:r>
        <w:rPr>
          <w:rFonts w:eastAsia="Times New Roman"/>
          <w:color w:val="000000"/>
          <w:sz w:val="24"/>
          <w:szCs w:val="24"/>
        </w:rPr>
        <w:t>, with the only difference being the</w:t>
      </w:r>
      <w:r>
        <w:rPr>
          <w:sz w:val="24"/>
          <w:szCs w:val="24"/>
        </w:rPr>
        <w:t xml:space="preserve"> noise-addition process. For each SNR, noisy-spectra were re-generated from the mixture SSA spectra using different</w:t>
      </w:r>
      <w:r>
        <w:rPr>
          <w:rFonts w:eastAsia="Times New Roman"/>
          <w:color w:val="000000"/>
          <w:sz w:val="24"/>
          <w:szCs w:val="24"/>
        </w:rPr>
        <w:t xml:space="preserve"> magnitudes </w:t>
      </w:r>
      <w:r>
        <w:rPr>
          <w:sz w:val="24"/>
          <w:szCs w:val="24"/>
        </w:rPr>
        <w:t xml:space="preserve">for </w:t>
      </w:r>
      <w:r>
        <w:rPr>
          <w:rFonts w:eastAsia="Times New Roman"/>
          <w:color w:val="000000"/>
          <w:sz w:val="24"/>
          <w:szCs w:val="24"/>
        </w:rPr>
        <w:t xml:space="preserve">the Gaussian-distributed reflectance error. We then performed the total water retrievals in the same manner as the </w:t>
      </w:r>
      <w:r>
        <w:rPr>
          <w:sz w:val="24"/>
          <w:szCs w:val="24"/>
        </w:rPr>
        <w:t xml:space="preserve">prior </w:t>
      </w:r>
      <w:r>
        <w:rPr>
          <w:rFonts w:eastAsia="Times New Roman"/>
          <w:color w:val="000000"/>
          <w:sz w:val="24"/>
          <w:szCs w:val="24"/>
        </w:rPr>
        <w:t xml:space="preserve">simulations. The standard deviations for the range of SNRs tested are given in Table 4. Figure </w:t>
      </w:r>
      <w:r>
        <w:rPr>
          <w:sz w:val="24"/>
          <w:szCs w:val="24"/>
        </w:rPr>
        <w:t>7</w:t>
      </w:r>
      <w:r>
        <w:rPr>
          <w:rFonts w:eastAsia="Times New Roman"/>
          <w:color w:val="000000"/>
          <w:sz w:val="24"/>
          <w:szCs w:val="24"/>
        </w:rPr>
        <w:t xml:space="preserve"> shows a graphical representation of the total water error standard deviation as a function of SNR. The standard deviation decrease</w:t>
      </w:r>
      <w:r>
        <w:rPr>
          <w:sz w:val="24"/>
          <w:szCs w:val="24"/>
        </w:rPr>
        <w:t>d</w:t>
      </w:r>
      <w:r>
        <w:rPr>
          <w:rFonts w:eastAsia="Times New Roman"/>
          <w:color w:val="000000"/>
          <w:sz w:val="24"/>
          <w:szCs w:val="24"/>
        </w:rPr>
        <w:t xml:space="preserve"> as a function of increasing SNR following a power-law curve with an exponent of -0.</w:t>
      </w:r>
      <w:r>
        <w:rPr>
          <w:sz w:val="24"/>
          <w:szCs w:val="24"/>
        </w:rPr>
        <w:t>37</w:t>
      </w:r>
      <w:r>
        <w:rPr>
          <w:rFonts w:eastAsia="Times New Roman"/>
          <w:color w:val="000000"/>
          <w:sz w:val="24"/>
          <w:szCs w:val="24"/>
        </w:rPr>
        <w:t xml:space="preserve"> f</w:t>
      </w:r>
      <w:r>
        <w:rPr>
          <w:sz w:val="24"/>
          <w:szCs w:val="24"/>
        </w:rPr>
        <w:t>or the mare simulations and -0.34 for the highland simulations</w:t>
      </w:r>
      <w:r>
        <w:rPr>
          <w:rFonts w:eastAsia="Times New Roman"/>
          <w:color w:val="000000"/>
          <w:sz w:val="24"/>
          <w:szCs w:val="24"/>
        </w:rPr>
        <w:t xml:space="preserve">. </w:t>
      </w:r>
      <w:r>
        <w:rPr>
          <w:sz w:val="24"/>
          <w:szCs w:val="24"/>
        </w:rPr>
        <w:t>I</w:t>
      </w:r>
      <w:r>
        <w:rPr>
          <w:rFonts w:eastAsia="Times New Roman"/>
          <w:color w:val="000000"/>
          <w:sz w:val="24"/>
          <w:szCs w:val="24"/>
        </w:rPr>
        <w:t xml:space="preserve">n an ideal case where the </w:t>
      </w:r>
      <w:r>
        <w:rPr>
          <w:sz w:val="24"/>
          <w:szCs w:val="24"/>
        </w:rPr>
        <w:t>total water abundance</w:t>
      </w:r>
      <w:r>
        <w:rPr>
          <w:rFonts w:eastAsia="Times New Roman"/>
          <w:color w:val="000000"/>
          <w:sz w:val="24"/>
          <w:szCs w:val="24"/>
        </w:rPr>
        <w:t xml:space="preserve"> error was only due to random error in the band depth measurement, the exponent is expected to be -0.5</w:t>
      </w:r>
      <w:r w:rsidR="00C85811">
        <w:rPr>
          <w:rFonts w:eastAsia="Times New Roman"/>
          <w:color w:val="000000"/>
          <w:sz w:val="24"/>
          <w:szCs w:val="24"/>
        </w:rPr>
        <w:t xml:space="preserve"> </w:t>
      </w:r>
      <w:r w:rsidR="00C85811">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{"citationID":"WR1l2K84","properties":{"formattedCitation":"(Gardner, 1982)","plainCitation":"(Gardner, 1982)","noteIndex":0},"citationItems":[{"id":72,"uris":["http://zotero.org/users/local/lFa3rRs0/items/AIXY6B42"],"itemData":{"id":72,"type":"article-journal","abstract":"The statistical characteristics of the received signal for short pulse laser altimeters are investigated. Expressions are derived for the mean and temporal covariances of the received pulse for a direct detection receiver. The effects of laser speckle, shot noise, and surface profile of the ground target are considered. The results are used to compute the means and variances of the total received energy, propagation delay, and rms width of the received pulse. These parameters are shown to be directly related to the statistics of the surface profile.","container-title":"Applied Optics","DOI":"10.1364/ao.21.000448","ISSN":"0003-6935","issue":"3","page":"448–453","title":"Target signatures for laser altimeters: an analysis","volume":"21","author":[{"family":"Gardner","given":"C. S."}],"issued":{"date-parts":[["1982"]]}}}],"schema":"https://github.com/citation-style-language/schema/raw/master/csl-citation.json"} </w:instrText>
      </w:r>
      <w:r w:rsidR="00C85811">
        <w:rPr>
          <w:rFonts w:eastAsia="Times New Roman"/>
          <w:color w:val="000000"/>
          <w:sz w:val="24"/>
          <w:szCs w:val="24"/>
        </w:rPr>
        <w:fldChar w:fldCharType="separate"/>
      </w:r>
      <w:r w:rsidR="00C85811" w:rsidRPr="00C85811">
        <w:rPr>
          <w:sz w:val="24"/>
        </w:rPr>
        <w:t>(Gardner, 1982)</w:t>
      </w:r>
      <w:r w:rsidR="00C85811">
        <w:rPr>
          <w:rFonts w:eastAsia="Times New Roman"/>
          <w:color w:val="000000"/>
          <w:sz w:val="24"/>
          <w:szCs w:val="24"/>
        </w:rPr>
        <w:fldChar w:fldCharType="end"/>
      </w:r>
      <w:r>
        <w:rPr>
          <w:rFonts w:eastAsia="Times New Roman"/>
          <w:color w:val="000000"/>
          <w:sz w:val="24"/>
          <w:szCs w:val="24"/>
        </w:rPr>
        <w:t xml:space="preserve"> (see </w:t>
      </w:r>
      <w:r>
        <w:rPr>
          <w:sz w:val="24"/>
          <w:szCs w:val="24"/>
        </w:rPr>
        <w:t xml:space="preserve">equation S1 in the </w:t>
      </w:r>
      <w:r w:rsidR="00BD1820">
        <w:rPr>
          <w:sz w:val="24"/>
          <w:szCs w:val="24"/>
        </w:rPr>
        <w:t>s</w:t>
      </w:r>
      <w:r>
        <w:rPr>
          <w:sz w:val="24"/>
          <w:szCs w:val="24"/>
        </w:rPr>
        <w:t xml:space="preserve">upplementary </w:t>
      </w:r>
      <w:r w:rsidR="00BD1820">
        <w:rPr>
          <w:sz w:val="24"/>
          <w:szCs w:val="24"/>
        </w:rPr>
        <w:t>m</w:t>
      </w:r>
      <w:r>
        <w:rPr>
          <w:sz w:val="24"/>
          <w:szCs w:val="24"/>
        </w:rPr>
        <w:t>aterial</w:t>
      </w:r>
      <w:r w:rsidR="00C85811">
        <w:rPr>
          <w:sz w:val="24"/>
          <w:szCs w:val="24"/>
        </w:rPr>
        <w:t>).</w:t>
      </w:r>
    </w:p>
    <w:p w14:paraId="28B0D047" w14:textId="77777777" w:rsidR="00867801" w:rsidRDefault="009E1DFE">
      <w:pPr>
        <w:spacing w:before="120"/>
        <w:jc w:val="center"/>
        <w:rPr>
          <w:sz w:val="24"/>
          <w:szCs w:val="24"/>
        </w:rPr>
      </w:pPr>
      <w:r>
        <w:rPr>
          <w:noProof/>
          <w:sz w:val="24"/>
          <w:szCs w:val="24"/>
        </w:rPr>
        <w:lastRenderedPageBreak/>
        <w:drawing>
          <wp:inline distT="114300" distB="114300" distL="114300" distR="114300" wp14:anchorId="28B0D0C7" wp14:editId="28B0D0C8">
            <wp:extent cx="3200400" cy="2506980"/>
            <wp:effectExtent l="0" t="0" r="0" b="0"/>
            <wp:docPr id="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3200400" cy="2506980"/>
                    </a:xfrm>
                    <a:prstGeom prst="rect">
                      <a:avLst/>
                    </a:prstGeom>
                    <a:ln/>
                  </pic:spPr>
                </pic:pic>
              </a:graphicData>
            </a:graphic>
          </wp:inline>
        </w:drawing>
      </w:r>
    </w:p>
    <w:p w14:paraId="28B0D048" w14:textId="4ECDEE79" w:rsidR="00867801" w:rsidRDefault="009E1DFE">
      <w:pPr>
        <w:keepNext/>
        <w:spacing w:before="240"/>
        <w:rPr>
          <w:sz w:val="24"/>
          <w:szCs w:val="24"/>
        </w:rPr>
      </w:pPr>
      <w:r>
        <w:rPr>
          <w:b/>
          <w:sz w:val="24"/>
          <w:szCs w:val="24"/>
        </w:rPr>
        <w:t>Figure 7</w:t>
      </w:r>
      <w:r>
        <w:rPr>
          <w:sz w:val="24"/>
          <w:szCs w:val="24"/>
        </w:rPr>
        <w:t>. Total water standard deviation as a function of SNR. The purple squares denote the standard deviations from the highlands simulations and the green squares denote the standard deviations from the mare</w:t>
      </w:r>
      <w:r w:rsidR="00E13BD0">
        <w:rPr>
          <w:sz w:val="24"/>
          <w:szCs w:val="24"/>
        </w:rPr>
        <w:t xml:space="preserve"> </w:t>
      </w:r>
      <w:r>
        <w:rPr>
          <w:sz w:val="24"/>
          <w:szCs w:val="24"/>
        </w:rPr>
        <w:t>simulations. The black crosses denote the values for the histograms and scatter plots in the prior sections for SNR = 250. The dotted lines are best-fit power laws with the formulae shown.</w:t>
      </w:r>
    </w:p>
    <w:p w14:paraId="28B0D049" w14:textId="3244CF21"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hypothesize </w:t>
      </w:r>
      <w:r>
        <w:rPr>
          <w:sz w:val="24"/>
          <w:szCs w:val="24"/>
        </w:rPr>
        <w:t xml:space="preserve">these </w:t>
      </w:r>
      <w:r>
        <w:rPr>
          <w:rFonts w:eastAsia="Times New Roman"/>
          <w:color w:val="000000"/>
          <w:sz w:val="24"/>
          <w:szCs w:val="24"/>
        </w:rPr>
        <w:t xml:space="preserve">slightly </w:t>
      </w:r>
      <w:r>
        <w:rPr>
          <w:sz w:val="24"/>
          <w:szCs w:val="24"/>
        </w:rPr>
        <w:t xml:space="preserve">lower </w:t>
      </w:r>
      <w:r>
        <w:rPr>
          <w:rFonts w:eastAsia="Times New Roman"/>
          <w:color w:val="000000"/>
          <w:sz w:val="24"/>
          <w:szCs w:val="24"/>
        </w:rPr>
        <w:t xml:space="preserve">exponents </w:t>
      </w:r>
      <w:r>
        <w:rPr>
          <w:sz w:val="24"/>
          <w:szCs w:val="24"/>
        </w:rPr>
        <w:t>are</w:t>
      </w:r>
      <w:r>
        <w:rPr>
          <w:rFonts w:eastAsia="Times New Roman"/>
          <w:color w:val="000000"/>
          <w:sz w:val="24"/>
          <w:szCs w:val="24"/>
        </w:rPr>
        <w:t xml:space="preserve"> due to the correlated nature of the four reflectance measurements in determining the total water abundance, such that errors in any one measurement (either the baseline or the 3 µm band) will negatively affect the other wavelength measurements. Not all four wavelengths are expected to affect the error uniformly; we expect that errors in the 2.65 and 2.8 µm measurements affect the total water error more than the 1.5 and 3.1 µm measurements, though further simulations are needed to test this sensitivity, along with the sensitivity to the precise laser wavelengths themselves. Overall, the performance as a function of SNR followed the expected power law behavior and </w:t>
      </w:r>
      <w:r>
        <w:rPr>
          <w:sz w:val="24"/>
          <w:szCs w:val="24"/>
        </w:rPr>
        <w:t xml:space="preserve">suggests </w:t>
      </w:r>
      <w:r>
        <w:rPr>
          <w:rFonts w:eastAsia="Times New Roman"/>
          <w:color w:val="000000"/>
          <w:sz w:val="24"/>
          <w:szCs w:val="24"/>
        </w:rPr>
        <w:t>that engineering efforts to increase the measurement SNR beyond ~300 will have diminishing returns on reducing the overall measurement uncertainty.</w:t>
      </w:r>
    </w:p>
    <w:p w14:paraId="14CAEE32" w14:textId="04DB0067" w:rsidR="00AF15D5" w:rsidRDefault="00AF15D5">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The relationship between SNR and</w:t>
      </w:r>
      <w:r w:rsidR="00E756BF">
        <w:rPr>
          <w:rFonts w:eastAsia="Times New Roman"/>
          <w:color w:val="000000"/>
          <w:sz w:val="24"/>
          <w:szCs w:val="24"/>
        </w:rPr>
        <w:t xml:space="preserve"> retrieval precision is also useful for estimating the performance under night</w:t>
      </w:r>
      <w:r w:rsidR="00E85244">
        <w:rPr>
          <w:rFonts w:eastAsia="Times New Roman"/>
          <w:color w:val="000000"/>
          <w:sz w:val="24"/>
          <w:szCs w:val="24"/>
        </w:rPr>
        <w:t xml:space="preserve"> or shadowed conditions. From the SNR model results shown in Figure S</w:t>
      </w:r>
      <w:r w:rsidR="00486441">
        <w:rPr>
          <w:rFonts w:eastAsia="Times New Roman"/>
          <w:color w:val="000000"/>
          <w:sz w:val="24"/>
          <w:szCs w:val="24"/>
        </w:rPr>
        <w:t>1</w:t>
      </w:r>
      <w:r w:rsidR="005814EB">
        <w:rPr>
          <w:rFonts w:eastAsia="Times New Roman"/>
          <w:color w:val="000000"/>
          <w:sz w:val="24"/>
          <w:szCs w:val="24"/>
        </w:rPr>
        <w:t>1</w:t>
      </w:r>
      <w:r w:rsidR="00486441">
        <w:rPr>
          <w:rFonts w:eastAsia="Times New Roman"/>
          <w:color w:val="000000"/>
          <w:sz w:val="24"/>
          <w:szCs w:val="24"/>
        </w:rPr>
        <w:t xml:space="preserve">, the shadowed terrain SNR for this design is &gt;300 at all lidar wavelengths. From the equations shown in Figure 7, this corresponds to </w:t>
      </w:r>
      <w:r w:rsidR="008B7742">
        <w:rPr>
          <w:rFonts w:eastAsia="Times New Roman"/>
          <w:color w:val="000000"/>
          <w:sz w:val="24"/>
          <w:szCs w:val="24"/>
        </w:rPr>
        <w:t>slight improved performance with a</w:t>
      </w:r>
      <w:r w:rsidR="00BA0EF2">
        <w:rPr>
          <w:rFonts w:eastAsia="Times New Roman"/>
          <w:color w:val="000000"/>
          <w:sz w:val="24"/>
          <w:szCs w:val="24"/>
        </w:rPr>
        <w:t xml:space="preserve"> standard deviation of 38 ppm for the Highlands case and </w:t>
      </w:r>
      <w:r w:rsidR="0086260F">
        <w:rPr>
          <w:rFonts w:eastAsia="Times New Roman"/>
          <w:color w:val="000000"/>
          <w:sz w:val="24"/>
          <w:szCs w:val="24"/>
        </w:rPr>
        <w:t>48 ppm for the Mare case. Th</w:t>
      </w:r>
      <w:r w:rsidR="004D10FF">
        <w:rPr>
          <w:rFonts w:eastAsia="Times New Roman"/>
          <w:color w:val="000000"/>
          <w:sz w:val="24"/>
          <w:szCs w:val="24"/>
        </w:rPr>
        <w:t xml:space="preserve">us, </w:t>
      </w:r>
      <w:r w:rsidR="00843BD3">
        <w:rPr>
          <w:rFonts w:eastAsia="Times New Roman"/>
          <w:color w:val="000000"/>
          <w:sz w:val="24"/>
          <w:szCs w:val="24"/>
        </w:rPr>
        <w:t xml:space="preserve">the performance of this </w:t>
      </w:r>
      <w:r w:rsidR="004D10FF">
        <w:rPr>
          <w:rFonts w:eastAsia="Times New Roman"/>
          <w:color w:val="000000"/>
          <w:sz w:val="24"/>
          <w:szCs w:val="24"/>
        </w:rPr>
        <w:t xml:space="preserve">instrument </w:t>
      </w:r>
      <w:r w:rsidR="00843BD3">
        <w:rPr>
          <w:rFonts w:eastAsia="Times New Roman"/>
          <w:color w:val="000000"/>
          <w:sz w:val="24"/>
          <w:szCs w:val="24"/>
        </w:rPr>
        <w:t>will</w:t>
      </w:r>
      <w:r w:rsidR="004D10FF">
        <w:rPr>
          <w:rFonts w:eastAsia="Times New Roman"/>
          <w:color w:val="000000"/>
          <w:sz w:val="24"/>
          <w:szCs w:val="24"/>
        </w:rPr>
        <w:t xml:space="preserve"> depend more strongly </w:t>
      </w:r>
      <w:r w:rsidR="00843BD3">
        <w:rPr>
          <w:rFonts w:eastAsia="Times New Roman"/>
          <w:color w:val="000000"/>
          <w:sz w:val="24"/>
          <w:szCs w:val="24"/>
        </w:rPr>
        <w:t>on the absolute regolith reflectance than on the illumination</w:t>
      </w:r>
      <w:r w:rsidR="00F047D5">
        <w:rPr>
          <w:rFonts w:eastAsia="Times New Roman"/>
          <w:color w:val="000000"/>
          <w:sz w:val="24"/>
          <w:szCs w:val="24"/>
        </w:rPr>
        <w:t xml:space="preserve"> state</w:t>
      </w:r>
      <w:r w:rsidR="00843BD3">
        <w:rPr>
          <w:rFonts w:eastAsia="Times New Roman"/>
          <w:color w:val="000000"/>
          <w:sz w:val="24"/>
          <w:szCs w:val="24"/>
        </w:rPr>
        <w:t xml:space="preserve"> of the surface</w:t>
      </w:r>
      <w:r w:rsidR="006247DC">
        <w:rPr>
          <w:rFonts w:eastAsia="Times New Roman"/>
          <w:color w:val="000000"/>
          <w:sz w:val="24"/>
          <w:szCs w:val="24"/>
        </w:rPr>
        <w:t xml:space="preserve">, as </w:t>
      </w:r>
      <w:r w:rsidR="002D003A">
        <w:rPr>
          <w:rFonts w:eastAsia="Times New Roman"/>
          <w:color w:val="000000"/>
          <w:sz w:val="24"/>
          <w:szCs w:val="24"/>
        </w:rPr>
        <w:t xml:space="preserve">detector dark noise, not </w:t>
      </w:r>
      <w:r w:rsidR="006247DC">
        <w:rPr>
          <w:rFonts w:eastAsia="Times New Roman"/>
          <w:color w:val="000000"/>
          <w:sz w:val="24"/>
          <w:szCs w:val="24"/>
        </w:rPr>
        <w:t>reflected solar light</w:t>
      </w:r>
      <w:r w:rsidR="002D003A">
        <w:rPr>
          <w:rFonts w:eastAsia="Times New Roman"/>
          <w:color w:val="000000"/>
          <w:sz w:val="24"/>
          <w:szCs w:val="24"/>
        </w:rPr>
        <w:t>,</w:t>
      </w:r>
      <w:r w:rsidR="006247DC">
        <w:rPr>
          <w:rFonts w:eastAsia="Times New Roman"/>
          <w:color w:val="000000"/>
          <w:sz w:val="24"/>
          <w:szCs w:val="24"/>
        </w:rPr>
        <w:t xml:space="preserve"> is the limiting noise source.</w:t>
      </w:r>
    </w:p>
    <w:p w14:paraId="28B0D04A" w14:textId="77777777" w:rsidR="00867801" w:rsidRDefault="009E1DFE">
      <w:pPr>
        <w:pBdr>
          <w:top w:val="nil"/>
          <w:left w:val="nil"/>
          <w:bottom w:val="nil"/>
          <w:right w:val="nil"/>
          <w:between w:val="nil"/>
        </w:pBdr>
        <w:spacing w:before="120"/>
        <w:rPr>
          <w:rFonts w:eastAsia="Times New Roman"/>
          <w:b/>
          <w:color w:val="000000"/>
          <w:sz w:val="24"/>
          <w:szCs w:val="24"/>
        </w:rPr>
      </w:pPr>
      <w:r>
        <w:rPr>
          <w:rFonts w:eastAsia="Times New Roman"/>
          <w:b/>
          <w:color w:val="000000"/>
          <w:sz w:val="24"/>
          <w:szCs w:val="24"/>
        </w:rPr>
        <w:t>Table 4</w:t>
      </w:r>
    </w:p>
    <w:p w14:paraId="28B0D04B" w14:textId="77777777" w:rsidR="00867801" w:rsidRDefault="009E1DFE">
      <w:pPr>
        <w:pBdr>
          <w:top w:val="nil"/>
          <w:left w:val="nil"/>
          <w:bottom w:val="nil"/>
          <w:right w:val="nil"/>
          <w:between w:val="nil"/>
        </w:pBdr>
        <w:spacing w:before="120"/>
        <w:rPr>
          <w:rFonts w:eastAsia="Times New Roman"/>
          <w:i/>
          <w:color w:val="000000"/>
          <w:sz w:val="24"/>
          <w:szCs w:val="24"/>
        </w:rPr>
      </w:pPr>
      <w:r>
        <w:rPr>
          <w:rFonts w:eastAsia="Times New Roman"/>
          <w:i/>
          <w:color w:val="000000"/>
          <w:sz w:val="24"/>
          <w:szCs w:val="24"/>
        </w:rPr>
        <w:t>Summary of total water retrieval results at various SNRs for a subset (200) of the spectral mixtures</w:t>
      </w:r>
    </w:p>
    <w:tbl>
      <w:tblPr>
        <w:tblStyle w:val="a8"/>
        <w:tblW w:w="8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5"/>
        <w:gridCol w:w="4095"/>
        <w:gridCol w:w="3960"/>
      </w:tblGrid>
      <w:tr w:rsidR="00867801" w14:paraId="28B0D04F" w14:textId="77777777">
        <w:tc>
          <w:tcPr>
            <w:tcW w:w="915" w:type="dxa"/>
          </w:tcPr>
          <w:p w14:paraId="28B0D04C"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SNR</w:t>
            </w:r>
          </w:p>
        </w:tc>
        <w:tc>
          <w:tcPr>
            <w:tcW w:w="4095" w:type="dxa"/>
          </w:tcPr>
          <w:p w14:paraId="28B0D04D"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 xml:space="preserve">Mare </w:t>
            </w:r>
            <w:r>
              <w:rPr>
                <w:rFonts w:eastAsia="Times New Roman"/>
                <w:color w:val="000000"/>
                <w:sz w:val="24"/>
                <w:szCs w:val="24"/>
              </w:rPr>
              <w:t>Total Water Error Standard Deviation</w:t>
            </w:r>
          </w:p>
        </w:tc>
        <w:tc>
          <w:tcPr>
            <w:tcW w:w="3960" w:type="dxa"/>
          </w:tcPr>
          <w:p w14:paraId="28B0D04E" w14:textId="77777777" w:rsidR="00867801" w:rsidRDefault="009E1DFE">
            <w:pPr>
              <w:spacing w:before="120"/>
              <w:rPr>
                <w:sz w:val="24"/>
                <w:szCs w:val="24"/>
              </w:rPr>
            </w:pPr>
            <w:r>
              <w:rPr>
                <w:sz w:val="24"/>
                <w:szCs w:val="24"/>
              </w:rPr>
              <w:t>Highlands Total Water Error Standard Deviation</w:t>
            </w:r>
          </w:p>
        </w:tc>
      </w:tr>
      <w:tr w:rsidR="00867801" w14:paraId="28B0D053" w14:textId="77777777">
        <w:tc>
          <w:tcPr>
            <w:tcW w:w="915" w:type="dxa"/>
          </w:tcPr>
          <w:p w14:paraId="28B0D050"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10</w:t>
            </w:r>
          </w:p>
        </w:tc>
        <w:tc>
          <w:tcPr>
            <w:tcW w:w="4095" w:type="dxa"/>
          </w:tcPr>
          <w:p w14:paraId="28B0D051"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1</w:t>
            </w:r>
            <w:r>
              <w:rPr>
                <w:sz w:val="24"/>
                <w:szCs w:val="24"/>
              </w:rPr>
              <w:t>70</w:t>
            </w:r>
          </w:p>
        </w:tc>
        <w:tc>
          <w:tcPr>
            <w:tcW w:w="3960" w:type="dxa"/>
          </w:tcPr>
          <w:p w14:paraId="28B0D052"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122</w:t>
            </w:r>
          </w:p>
        </w:tc>
      </w:tr>
      <w:tr w:rsidR="00867801" w14:paraId="28B0D057" w14:textId="77777777">
        <w:tc>
          <w:tcPr>
            <w:tcW w:w="915" w:type="dxa"/>
          </w:tcPr>
          <w:p w14:paraId="28B0D054"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lastRenderedPageBreak/>
              <w:t>50</w:t>
            </w:r>
          </w:p>
        </w:tc>
        <w:tc>
          <w:tcPr>
            <w:tcW w:w="4095" w:type="dxa"/>
          </w:tcPr>
          <w:p w14:paraId="28B0D055"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1</w:t>
            </w:r>
            <w:r>
              <w:rPr>
                <w:sz w:val="24"/>
                <w:szCs w:val="24"/>
              </w:rPr>
              <w:t>00</w:t>
            </w:r>
          </w:p>
        </w:tc>
        <w:tc>
          <w:tcPr>
            <w:tcW w:w="3960" w:type="dxa"/>
          </w:tcPr>
          <w:p w14:paraId="28B0D056"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63</w:t>
            </w:r>
          </w:p>
        </w:tc>
      </w:tr>
      <w:tr w:rsidR="00867801" w14:paraId="28B0D05B" w14:textId="77777777">
        <w:tc>
          <w:tcPr>
            <w:tcW w:w="915" w:type="dxa"/>
          </w:tcPr>
          <w:p w14:paraId="28B0D058"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100</w:t>
            </w:r>
          </w:p>
        </w:tc>
        <w:tc>
          <w:tcPr>
            <w:tcW w:w="4095" w:type="dxa"/>
          </w:tcPr>
          <w:p w14:paraId="28B0D059"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63</w:t>
            </w:r>
          </w:p>
        </w:tc>
        <w:tc>
          <w:tcPr>
            <w:tcW w:w="3960" w:type="dxa"/>
          </w:tcPr>
          <w:p w14:paraId="28B0D05A"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50</w:t>
            </w:r>
          </w:p>
        </w:tc>
      </w:tr>
      <w:tr w:rsidR="00867801" w14:paraId="28B0D05F" w14:textId="77777777">
        <w:tc>
          <w:tcPr>
            <w:tcW w:w="915" w:type="dxa"/>
          </w:tcPr>
          <w:p w14:paraId="28B0D05C"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250</w:t>
            </w:r>
          </w:p>
        </w:tc>
        <w:tc>
          <w:tcPr>
            <w:tcW w:w="4095" w:type="dxa"/>
          </w:tcPr>
          <w:p w14:paraId="28B0D05D"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52</w:t>
            </w:r>
          </w:p>
        </w:tc>
        <w:tc>
          <w:tcPr>
            <w:tcW w:w="3960" w:type="dxa"/>
          </w:tcPr>
          <w:p w14:paraId="28B0D05E"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38</w:t>
            </w:r>
          </w:p>
        </w:tc>
      </w:tr>
      <w:tr w:rsidR="00867801" w14:paraId="28B0D063" w14:textId="77777777">
        <w:tc>
          <w:tcPr>
            <w:tcW w:w="915" w:type="dxa"/>
          </w:tcPr>
          <w:p w14:paraId="28B0D060"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500</w:t>
            </w:r>
          </w:p>
        </w:tc>
        <w:tc>
          <w:tcPr>
            <w:tcW w:w="4095" w:type="dxa"/>
          </w:tcPr>
          <w:p w14:paraId="28B0D061"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4</w:t>
            </w:r>
            <w:r>
              <w:rPr>
                <w:sz w:val="24"/>
                <w:szCs w:val="24"/>
              </w:rPr>
              <w:t>0</w:t>
            </w:r>
          </w:p>
        </w:tc>
        <w:tc>
          <w:tcPr>
            <w:tcW w:w="3960" w:type="dxa"/>
          </w:tcPr>
          <w:p w14:paraId="28B0D062"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35</w:t>
            </w:r>
          </w:p>
        </w:tc>
      </w:tr>
      <w:tr w:rsidR="00867801" w14:paraId="28B0D067" w14:textId="77777777">
        <w:tc>
          <w:tcPr>
            <w:tcW w:w="915" w:type="dxa"/>
          </w:tcPr>
          <w:p w14:paraId="28B0D064"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1000</w:t>
            </w:r>
          </w:p>
        </w:tc>
        <w:tc>
          <w:tcPr>
            <w:tcW w:w="4095" w:type="dxa"/>
          </w:tcPr>
          <w:p w14:paraId="28B0D065"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t>3</w:t>
            </w:r>
            <w:r>
              <w:rPr>
                <w:sz w:val="24"/>
                <w:szCs w:val="24"/>
              </w:rPr>
              <w:t>8</w:t>
            </w:r>
          </w:p>
        </w:tc>
        <w:tc>
          <w:tcPr>
            <w:tcW w:w="3960" w:type="dxa"/>
          </w:tcPr>
          <w:p w14:paraId="28B0D066" w14:textId="77777777" w:rsidR="00867801" w:rsidRDefault="009E1DFE">
            <w:pPr>
              <w:pBdr>
                <w:top w:val="nil"/>
                <w:left w:val="nil"/>
                <w:bottom w:val="nil"/>
                <w:right w:val="nil"/>
                <w:between w:val="nil"/>
              </w:pBdr>
              <w:spacing w:before="120"/>
              <w:rPr>
                <w:rFonts w:eastAsia="Times New Roman"/>
                <w:color w:val="000000"/>
                <w:sz w:val="24"/>
                <w:szCs w:val="24"/>
              </w:rPr>
            </w:pPr>
            <w:r>
              <w:rPr>
                <w:sz w:val="24"/>
                <w:szCs w:val="24"/>
              </w:rPr>
              <w:t>32</w:t>
            </w:r>
          </w:p>
        </w:tc>
      </w:tr>
    </w:tbl>
    <w:p w14:paraId="28B0D068" w14:textId="77777777" w:rsidR="00867801" w:rsidRDefault="00867801">
      <w:pPr>
        <w:keepNext/>
        <w:pBdr>
          <w:top w:val="nil"/>
          <w:left w:val="nil"/>
          <w:bottom w:val="nil"/>
          <w:right w:val="nil"/>
          <w:between w:val="nil"/>
        </w:pBdr>
        <w:spacing w:before="240"/>
        <w:rPr>
          <w:rFonts w:eastAsia="Times New Roman"/>
          <w:color w:val="000000"/>
          <w:sz w:val="24"/>
          <w:szCs w:val="24"/>
        </w:rPr>
      </w:pPr>
    </w:p>
    <w:p w14:paraId="28B0D069"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3.5 Effects of Pyroxene on Retrievals and Band Depth</w:t>
      </w:r>
    </w:p>
    <w:p w14:paraId="28B0D06A" w14:textId="77777777" w:rsidR="00867801" w:rsidRDefault="009E1DFE">
      <w:pPr>
        <w:pBdr>
          <w:top w:val="nil"/>
          <w:left w:val="nil"/>
          <w:bottom w:val="nil"/>
          <w:right w:val="nil"/>
          <w:between w:val="nil"/>
        </w:pBdr>
        <w:spacing w:before="120"/>
        <w:ind w:firstLine="720"/>
        <w:rPr>
          <w:sz w:val="24"/>
          <w:szCs w:val="24"/>
        </w:rPr>
      </w:pPr>
      <w:r>
        <w:rPr>
          <w:rFonts w:eastAsia="Times New Roman"/>
          <w:color w:val="000000"/>
          <w:sz w:val="24"/>
          <w:szCs w:val="24"/>
        </w:rPr>
        <w:t>We chose to add between 0 and 25% of pyroxene to the spectral mixtures to test the effects of pyroxene abundance on the multispectral lidar total water retrieval. T</w:t>
      </w:r>
      <w:r>
        <w:rPr>
          <w:sz w:val="24"/>
          <w:szCs w:val="24"/>
        </w:rPr>
        <w:t>his includes determining whether the larger error observed in the mare mixtures was related to the higher pyroxene abundance in the mare mixtures.</w:t>
      </w:r>
      <w:r>
        <w:rPr>
          <w:rFonts w:eastAsia="Times New Roman"/>
          <w:color w:val="000000"/>
          <w:sz w:val="24"/>
          <w:szCs w:val="24"/>
        </w:rPr>
        <w:t xml:space="preserve"> For our simulations the pyroxene abundance </w:t>
      </w:r>
      <w:r>
        <w:rPr>
          <w:sz w:val="24"/>
          <w:szCs w:val="24"/>
        </w:rPr>
        <w:t>had a small e</w:t>
      </w:r>
      <w:r>
        <w:rPr>
          <w:rFonts w:eastAsia="Times New Roman"/>
          <w:color w:val="000000"/>
          <w:sz w:val="24"/>
          <w:szCs w:val="24"/>
        </w:rPr>
        <w:t>ffect on the errors in the retrieval. In general,</w:t>
      </w:r>
      <w:r>
        <w:rPr>
          <w:sz w:val="24"/>
          <w:szCs w:val="24"/>
        </w:rPr>
        <w:t xml:space="preserve"> t</w:t>
      </w:r>
      <w:r>
        <w:rPr>
          <w:rFonts w:eastAsia="Times New Roman"/>
          <w:color w:val="000000"/>
          <w:sz w:val="24"/>
          <w:szCs w:val="24"/>
        </w:rPr>
        <w:t>he total water error became more negative (</w:t>
      </w:r>
      <w:r>
        <w:rPr>
          <w:rFonts w:eastAsia="Times New Roman"/>
          <w:i/>
          <w:color w:val="000000"/>
          <w:sz w:val="24"/>
          <w:szCs w:val="24"/>
        </w:rPr>
        <w:t>i.e.</w:t>
      </w:r>
      <w:r>
        <w:rPr>
          <w:rFonts w:eastAsia="Times New Roman"/>
          <w:color w:val="000000"/>
          <w:sz w:val="24"/>
          <w:szCs w:val="24"/>
        </w:rPr>
        <w:t>, the underestimation of total water was greater) in a linear fashion as pyroxene abundance went up, though it was a minor effect</w:t>
      </w:r>
      <w:r>
        <w:rPr>
          <w:sz w:val="24"/>
          <w:szCs w:val="24"/>
        </w:rPr>
        <w:t>. The</w:t>
      </w:r>
      <w:r>
        <w:rPr>
          <w:rFonts w:eastAsia="Times New Roman"/>
          <w:color w:val="000000"/>
          <w:sz w:val="24"/>
          <w:szCs w:val="24"/>
        </w:rPr>
        <w:t xml:space="preserve"> magnitude of the effect was 0.6 ppm per percent pyroxene. T</w:t>
      </w:r>
      <w:r>
        <w:rPr>
          <w:sz w:val="24"/>
          <w:szCs w:val="24"/>
        </w:rPr>
        <w:t xml:space="preserve">he effect of pyroxene was more pronounced in trials where the continuum lidar wavelength was shifted shorter in wavelength towards the 2 µm pyroxene band. We performed a second set of lidar retrievals on the 2000 simulated spectra using a 2.5 µm lidar wavelength instead of 2.65 µm and observed the overall total water abundance accuracy and precision went down and a stronger pyroxene trend was observed (-2 ppm per percent pyroxene). </w:t>
      </w:r>
    </w:p>
    <w:p w14:paraId="28B0D06B" w14:textId="55BFBFA7" w:rsidR="00867801" w:rsidRDefault="009E1DFE">
      <w:pPr>
        <w:pBdr>
          <w:top w:val="nil"/>
          <w:left w:val="nil"/>
          <w:bottom w:val="nil"/>
          <w:right w:val="nil"/>
          <w:between w:val="nil"/>
        </w:pBdr>
        <w:spacing w:before="120"/>
        <w:ind w:firstLine="720"/>
        <w:rPr>
          <w:sz w:val="24"/>
          <w:szCs w:val="24"/>
        </w:rPr>
      </w:pPr>
      <w:r>
        <w:rPr>
          <w:rFonts w:eastAsia="Times New Roman"/>
          <w:color w:val="000000"/>
          <w:sz w:val="24"/>
          <w:szCs w:val="24"/>
        </w:rPr>
        <w:t xml:space="preserve">To explore the impact of this effect on </w:t>
      </w:r>
      <w:r>
        <w:rPr>
          <w:sz w:val="24"/>
          <w:szCs w:val="24"/>
        </w:rPr>
        <w:t>band depth in general (not specific to the four-wavelength lidar retrievals)</w:t>
      </w:r>
      <w:r>
        <w:rPr>
          <w:rFonts w:eastAsia="Times New Roman"/>
          <w:color w:val="000000"/>
          <w:sz w:val="24"/>
          <w:szCs w:val="24"/>
        </w:rPr>
        <w:t xml:space="preserve"> we </w:t>
      </w:r>
      <w:r>
        <w:rPr>
          <w:sz w:val="24"/>
          <w:szCs w:val="24"/>
        </w:rPr>
        <w:t>created new spectral mixtures using the methods of sections 2.4 through 2.6 with a fixed amount of MORB glass (0.3) and a fixed interpolated MORB spectrum (1000 ppm), but randomly varied amounts of pyroxene and regolith spectra. Our intent was to isolate the effect of pyroxene abundance on the band depth for both mare and highlands terrain. We then processed the lidar reflectance spectra</w:t>
      </w:r>
      <w:r>
        <w:rPr>
          <w:rFonts w:eastAsia="Times New Roman"/>
          <w:color w:val="000000"/>
          <w:sz w:val="24"/>
          <w:szCs w:val="24"/>
        </w:rPr>
        <w:t xml:space="preserve"> to determine the 3 µm band depth. </w:t>
      </w:r>
      <w:r>
        <w:rPr>
          <w:sz w:val="24"/>
          <w:szCs w:val="24"/>
        </w:rPr>
        <w:t>Here we define band depth for the lidar as the difference between a linear continuum with anchor points at 2.5 or 2.65 µm and 3.5 µm and the measured reflectance at 2.8 µm. This ensures a band depth of zero when no hydration is present based on our method of using a linear fit to remove terrestrial water from the endmember spectra.</w:t>
      </w:r>
      <w:r>
        <w:rPr>
          <w:rFonts w:eastAsia="Times New Roman"/>
          <w:color w:val="000000"/>
          <w:sz w:val="24"/>
          <w:szCs w:val="24"/>
        </w:rPr>
        <w:t xml:space="preserve"> This band depth was calculated for </w:t>
      </w:r>
      <w:r>
        <w:rPr>
          <w:sz w:val="24"/>
          <w:szCs w:val="24"/>
        </w:rPr>
        <w:t>the</w:t>
      </w:r>
      <w:r>
        <w:rPr>
          <w:rFonts w:eastAsia="Times New Roman"/>
          <w:color w:val="000000"/>
          <w:sz w:val="24"/>
          <w:szCs w:val="24"/>
        </w:rPr>
        <w:t xml:space="preserve"> 2000 new spectral mixtures (Figure </w:t>
      </w:r>
      <w:r>
        <w:rPr>
          <w:sz w:val="24"/>
          <w:szCs w:val="24"/>
        </w:rPr>
        <w:t>8</w:t>
      </w:r>
      <w:r>
        <w:rPr>
          <w:rFonts w:eastAsia="Times New Roman"/>
          <w:color w:val="000000"/>
          <w:sz w:val="24"/>
          <w:szCs w:val="24"/>
        </w:rPr>
        <w:t>). We observed</w:t>
      </w:r>
      <w:r>
        <w:rPr>
          <w:sz w:val="24"/>
          <w:szCs w:val="24"/>
        </w:rPr>
        <w:t xml:space="preserve"> </w:t>
      </w:r>
      <w:r>
        <w:rPr>
          <w:rFonts w:eastAsia="Times New Roman"/>
          <w:color w:val="000000"/>
          <w:sz w:val="24"/>
          <w:szCs w:val="24"/>
        </w:rPr>
        <w:t xml:space="preserve">clear linear </w:t>
      </w:r>
      <w:r>
        <w:rPr>
          <w:sz w:val="24"/>
          <w:szCs w:val="24"/>
        </w:rPr>
        <w:t xml:space="preserve">trends </w:t>
      </w:r>
      <w:r>
        <w:rPr>
          <w:rFonts w:eastAsia="Times New Roman"/>
          <w:color w:val="000000"/>
          <w:sz w:val="24"/>
          <w:szCs w:val="24"/>
        </w:rPr>
        <w:t>of measured band depth as pyroxene abundance</w:t>
      </w:r>
      <w:r>
        <w:rPr>
          <w:sz w:val="24"/>
          <w:szCs w:val="24"/>
        </w:rPr>
        <w:t xml:space="preserve"> </w:t>
      </w:r>
      <w:r>
        <w:rPr>
          <w:rFonts w:eastAsia="Times New Roman"/>
          <w:color w:val="000000"/>
          <w:sz w:val="24"/>
          <w:szCs w:val="24"/>
        </w:rPr>
        <w:t>increased, however, the slo</w:t>
      </w:r>
      <w:r>
        <w:rPr>
          <w:sz w:val="24"/>
          <w:szCs w:val="24"/>
        </w:rPr>
        <w:t>pe of the trend changed depending on where the continuum was anchored</w:t>
      </w:r>
      <w:r>
        <w:rPr>
          <w:rFonts w:eastAsia="Times New Roman"/>
          <w:color w:val="000000"/>
          <w:sz w:val="24"/>
          <w:szCs w:val="24"/>
        </w:rPr>
        <w:t xml:space="preserve">. </w:t>
      </w:r>
      <w:r>
        <w:rPr>
          <w:sz w:val="24"/>
          <w:szCs w:val="24"/>
        </w:rPr>
        <w:t>When 2.5 µm was used as a continuum reference, the band depth decreased as a function of increasing pyroxene abundance as the 2 µm pyroxene band edge pulled down the continuum reflectance. Using 2.65 µm as a continuum anchor, the band depth increased with pyroxene abundance as the local maximum in the pyroxene spectrum raised the continuum reflectance.</w:t>
      </w:r>
    </w:p>
    <w:p w14:paraId="28B0D06C" w14:textId="77777777" w:rsidR="00867801" w:rsidRDefault="009E1DFE">
      <w:pPr>
        <w:spacing w:before="120"/>
        <w:rPr>
          <w:sz w:val="24"/>
          <w:szCs w:val="24"/>
        </w:rPr>
      </w:pPr>
      <w:r>
        <w:rPr>
          <w:noProof/>
          <w:sz w:val="24"/>
          <w:szCs w:val="24"/>
        </w:rPr>
        <w:lastRenderedPageBreak/>
        <w:drawing>
          <wp:inline distT="114300" distB="114300" distL="114300" distR="114300" wp14:anchorId="28B0D0C9" wp14:editId="28B0D0CA">
            <wp:extent cx="5943600" cy="2260600"/>
            <wp:effectExtent l="0" t="0" r="0" b="0"/>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943600" cy="2260600"/>
                    </a:xfrm>
                    <a:prstGeom prst="rect">
                      <a:avLst/>
                    </a:prstGeom>
                    <a:ln/>
                  </pic:spPr>
                </pic:pic>
              </a:graphicData>
            </a:graphic>
          </wp:inline>
        </w:drawing>
      </w:r>
    </w:p>
    <w:p w14:paraId="28B0D06D" w14:textId="77777777" w:rsidR="00867801" w:rsidRDefault="009E1DFE">
      <w:pPr>
        <w:keepNext/>
        <w:spacing w:before="240"/>
        <w:rPr>
          <w:sz w:val="24"/>
          <w:szCs w:val="24"/>
        </w:rPr>
      </w:pPr>
      <w:r>
        <w:rPr>
          <w:b/>
          <w:sz w:val="24"/>
          <w:szCs w:val="24"/>
        </w:rPr>
        <w:t>Figure 8</w:t>
      </w:r>
      <w:r>
        <w:rPr>
          <w:sz w:val="24"/>
          <w:szCs w:val="24"/>
        </w:rPr>
        <w:t>. Band depth at 2.8 µm as a function of pyroxene abundance (pyroxene in regolith endmembers + added pyroxene in mixture) using different continuum wavelengths. Every mixture shown here contained 300 ppm total water abundance. Random noise was added to each spectrum to simulate the multispectral lidar SNR. Each point corresponds to a separate spectrum and the solid lines denote a linear fit to the data.</w:t>
      </w:r>
    </w:p>
    <w:p w14:paraId="28B0D06E" w14:textId="11F5DEF7" w:rsidR="00867801" w:rsidRDefault="009E1DFE">
      <w:pPr>
        <w:pBdr>
          <w:top w:val="nil"/>
          <w:left w:val="nil"/>
          <w:bottom w:val="nil"/>
          <w:right w:val="nil"/>
          <w:between w:val="nil"/>
        </w:pBdr>
        <w:spacing w:before="120"/>
        <w:ind w:firstLine="720"/>
        <w:rPr>
          <w:sz w:val="24"/>
          <w:szCs w:val="24"/>
        </w:rPr>
      </w:pPr>
      <w:r>
        <w:rPr>
          <w:sz w:val="24"/>
          <w:szCs w:val="24"/>
        </w:rPr>
        <w:t xml:space="preserve">For both continuum wavelengths the highlands simulations showed a larger effect of pyroxene abundance on band depth, which aligns with previous studies showing the OH band depth is greater in brighter host material </w:t>
      </w:r>
      <w:r w:rsidR="00C560D8">
        <w:rPr>
          <w:sz w:val="24"/>
          <w:szCs w:val="24"/>
        </w:rPr>
        <w:fldChar w:fldCharType="begin"/>
      </w:r>
      <w:r w:rsidR="008B0A8A">
        <w:rPr>
          <w:sz w:val="24"/>
          <w:szCs w:val="24"/>
        </w:rPr>
        <w:instrText xml:space="preserve"> ADDIN ZOTERO_ITEM CSL_CITATION {"citationID":"m1h1mNYH","properties":{"formattedCitation":"(Starukhina &amp; Shkuratov, 2010)","plainCitation":"(Starukhina &amp; Shkuratov, 2010)","noteIndex":0},"citationItems":[{"id":714,"uris":["http://zotero.org/users/local/lFa3rRs0/items/GJKD8FKW"],"itemData":{"id":714,"type":"paper-conference","abstract":"Theoretical simulation of 3-µm absorption bands in lunar reflectance spectra shows that chemical trapping of solar wind protons and formation of OH groups in the rims of lunar regolith particles can be responsible for the observed absorption.","event":"41st Lunar and Planetary Science Conference","note":"event: 41st Annual Lunar and Planetary Science Conference\nADS Bibcode: 2010LPI....41.1385S","page":"1385","source":"NASA ADS","title":"Simulation of 3-µm Absorption Band in Lunar Spectra: Water or Solar Wind Induced Hydroxyl?","title-short":"Simulation of 3-µm Absorption Band in Lunar Spectra","URL":"https://ui.adsabs.harvard.edu/abs/2010LPI....41.1385S","author":[{"family":"Starukhina","given":"L"},{"family":"Shkuratov","given":"Y. G."}],"accessed":{"date-parts":[["2022",1,25]]},"issued":{"date-parts":[["2010",3,1]]}}}],"schema":"https://github.com/citation-style-language/schema/raw/master/csl-citation.json"} </w:instrText>
      </w:r>
      <w:r w:rsidR="00C560D8">
        <w:rPr>
          <w:sz w:val="24"/>
          <w:szCs w:val="24"/>
        </w:rPr>
        <w:fldChar w:fldCharType="separate"/>
      </w:r>
      <w:r w:rsidR="00200C52" w:rsidRPr="00200C52">
        <w:rPr>
          <w:sz w:val="24"/>
        </w:rPr>
        <w:t>(Starukhina &amp; Shkuratov, 2010)</w:t>
      </w:r>
      <w:r w:rsidR="00C560D8">
        <w:rPr>
          <w:sz w:val="24"/>
          <w:szCs w:val="24"/>
        </w:rPr>
        <w:fldChar w:fldCharType="end"/>
      </w:r>
      <w:r>
        <w:rPr>
          <w:sz w:val="24"/>
          <w:szCs w:val="24"/>
        </w:rPr>
        <w:t>.</w:t>
      </w:r>
      <w:r>
        <w:rPr>
          <w:rFonts w:eastAsia="Times New Roman"/>
          <w:color w:val="000000"/>
          <w:sz w:val="24"/>
          <w:szCs w:val="24"/>
        </w:rPr>
        <w:t xml:space="preserve"> </w:t>
      </w:r>
      <w:r>
        <w:rPr>
          <w:sz w:val="24"/>
          <w:szCs w:val="24"/>
        </w:rPr>
        <w:t xml:space="preserve">A similar linear trend to what we observe in our simulations was reported by McCord et al. </w:t>
      </w:r>
      <w:r w:rsidR="00B3642E">
        <w:rPr>
          <w:sz w:val="24"/>
          <w:szCs w:val="24"/>
        </w:rPr>
        <w:fldChar w:fldCharType="begin"/>
      </w:r>
      <w:r w:rsidR="008B0A8A">
        <w:rPr>
          <w:sz w:val="24"/>
          <w:szCs w:val="24"/>
        </w:rPr>
        <w:instrText xml:space="preserve"> ADDIN ZOTERO_ITEM CSL_CITATION {"citationID":"5OqtKiyq","properties":{"formattedCitation":"(McCord et al., 2011)","plainCitation":"(McCord et al., 2011)","noteIndex":0},"citationItems":[{"id":597,"uris":["http://zotero.org/users/local/lFa3rRs0/items/5KS7Z69F"],"itemData":{"id":597,"type":"article-journal","abstract":"Analysis of two absorption features near 3 μm in the lunar reflectance spectrum, observed by the orbiting M3 spectrometer and interpreted as being due to OH and H2O, is presented, and the results are used to discuss the processes producing these molecules. This analysis focuses on the dependence of the absorptions on lunar physical properties, including composition, illumination, latitude, and temperature. Solar wind proton-induced hydroxylation is proposed as the creation process, and its products could be a source for other reported types of hydrogen-rich material and water. The irregular and damaged fine-grained lunar soil seems especially adapted for trapping solar wind protons and forming OH owing to abundant dangling oxygen bonds. The M3 data reveal that the strengths of the two absorptions are correlated and widespread, and both are correlated with lunar composition but in different ways. Feldspathic material seems richer in OH. These results seem to rule out water from the lunar interior and cometary infall as major sources. There appear to be correlations of apparent band strengths with time of day and lighting conditions. However, thermal emission from the Moon reduces the apparent strengths of the M3 absorptions, and its removal is not yet completely successful. Further, many of the lunar physical properties are themselves intercorrelated, and so separating these dependencies on the absorptions is difficult, due to the incomplete M3 data set. This process should also operate on other airless silicate surfaces, such as Mercury and Vesta, which will be visited by the Dawn spacecraft in mid-2011.","container-title":"Journal of Geophysical Research: Planets","DOI":"10.1029/2010JE003711","ISSN":"2156-2202","issue":"E6","language":"en","note":"_eprint: https://agupubs.onlinelibrary.wiley.com/doi/pdf/10.1029/2010JE003711","source":"Wiley Online Library","title":"Sources and physical processes responsible for OH/H2O in the lunar soil as revealed by the Moon Mineralogy Mapper (M3)","URL":"https://agupubs.onlinelibrary.wiley.com/doi/abs/10.1029/2010JE003711","volume":"116","author":[{"family":"McCord","given":"T. B."},{"family":"Taylor","given":"L. A."},{"family":"Combe","given":"J.-P."},{"family":"Kramer","given":"G."},{"family":"Pieters","given":"C. M."},{"family":"Sunshine","given":"J. M."},{"family":"Clark","given":"R. N."}],"accessed":{"date-parts":[["2021",7,21]]},"issued":{"date-parts":[["2011"]]}}}],"schema":"https://github.com/citation-style-language/schema/raw/master/csl-citation.json"} </w:instrText>
      </w:r>
      <w:r w:rsidR="00B3642E">
        <w:rPr>
          <w:sz w:val="24"/>
          <w:szCs w:val="24"/>
        </w:rPr>
        <w:fldChar w:fldCharType="separate"/>
      </w:r>
      <w:r w:rsidR="00B3642E" w:rsidRPr="00B3642E">
        <w:rPr>
          <w:sz w:val="24"/>
        </w:rPr>
        <w:t>(McCord et al., 2011)</w:t>
      </w:r>
      <w:r w:rsidR="00B3642E">
        <w:rPr>
          <w:sz w:val="24"/>
          <w:szCs w:val="24"/>
        </w:rPr>
        <w:fldChar w:fldCharType="end"/>
      </w:r>
      <w:r>
        <w:rPr>
          <w:sz w:val="24"/>
          <w:szCs w:val="24"/>
        </w:rPr>
        <w:t>, who compared the 2 µm pyroxene and 2.8 µm hydration band depths from M</w:t>
      </w:r>
      <w:r>
        <w:rPr>
          <w:sz w:val="24"/>
          <w:szCs w:val="24"/>
          <w:vertAlign w:val="superscript"/>
        </w:rPr>
        <w:t>3</w:t>
      </w:r>
      <w:r>
        <w:rPr>
          <w:sz w:val="24"/>
          <w:szCs w:val="24"/>
        </w:rPr>
        <w:t xml:space="preserve"> observations. They cautioned the strength of the correlation is dependent on how the band strengths are measured and continua defined, which our simulation results here reinforce.</w:t>
      </w:r>
    </w:p>
    <w:p w14:paraId="28B0D06F" w14:textId="77777777" w:rsidR="00867801" w:rsidRDefault="009E1DFE">
      <w:pPr>
        <w:spacing w:before="120"/>
        <w:ind w:firstLine="720"/>
        <w:rPr>
          <w:rFonts w:eastAsia="Times New Roman"/>
          <w:color w:val="000000"/>
          <w:sz w:val="24"/>
          <w:szCs w:val="24"/>
        </w:rPr>
      </w:pPr>
      <w:r>
        <w:rPr>
          <w:sz w:val="24"/>
          <w:szCs w:val="24"/>
        </w:rPr>
        <w:t>We conclude band depth effects due to pyroxene shown in Figure 8 are d</w:t>
      </w:r>
      <w:r>
        <w:rPr>
          <w:rFonts w:eastAsia="Times New Roman"/>
          <w:color w:val="000000"/>
          <w:sz w:val="24"/>
          <w:szCs w:val="24"/>
        </w:rPr>
        <w:t xml:space="preserve">ue to two effects. First, the spectral </w:t>
      </w:r>
      <w:r>
        <w:rPr>
          <w:sz w:val="24"/>
          <w:szCs w:val="24"/>
        </w:rPr>
        <w:t>collocation</w:t>
      </w:r>
      <w:r>
        <w:rPr>
          <w:rFonts w:eastAsia="Times New Roman"/>
          <w:color w:val="000000"/>
          <w:sz w:val="24"/>
          <w:szCs w:val="24"/>
        </w:rPr>
        <w:t xml:space="preserve"> of the OH absorption feature and the local reflectance maximum of the pyroxene (see Figure </w:t>
      </w:r>
      <w:r>
        <w:rPr>
          <w:sz w:val="24"/>
          <w:szCs w:val="24"/>
        </w:rPr>
        <w:t>1</w:t>
      </w:r>
      <w:r>
        <w:rPr>
          <w:rFonts w:eastAsia="Times New Roman"/>
          <w:color w:val="000000"/>
          <w:sz w:val="24"/>
          <w:szCs w:val="24"/>
        </w:rPr>
        <w:t xml:space="preserve">a) decreases </w:t>
      </w:r>
      <w:r>
        <w:rPr>
          <w:sz w:val="24"/>
          <w:szCs w:val="24"/>
        </w:rPr>
        <w:t>(</w:t>
      </w:r>
      <w:r>
        <w:rPr>
          <w:i/>
          <w:sz w:val="24"/>
          <w:szCs w:val="24"/>
        </w:rPr>
        <w:t>i.e.</w:t>
      </w:r>
      <w:r>
        <w:rPr>
          <w:sz w:val="24"/>
          <w:szCs w:val="24"/>
        </w:rPr>
        <w:t>,</w:t>
      </w:r>
      <w:r>
        <w:rPr>
          <w:i/>
          <w:sz w:val="24"/>
          <w:szCs w:val="24"/>
        </w:rPr>
        <w:t xml:space="preserve"> </w:t>
      </w:r>
      <w:r>
        <w:rPr>
          <w:sz w:val="24"/>
          <w:szCs w:val="24"/>
        </w:rPr>
        <w:t>fills in)</w:t>
      </w:r>
      <w:r>
        <w:rPr>
          <w:rFonts w:eastAsia="Times New Roman"/>
          <w:color w:val="000000"/>
          <w:sz w:val="24"/>
          <w:szCs w:val="24"/>
        </w:rPr>
        <w:t xml:space="preserve"> the </w:t>
      </w:r>
      <w:r>
        <w:rPr>
          <w:sz w:val="24"/>
          <w:szCs w:val="24"/>
        </w:rPr>
        <w:t>3 µm band</w:t>
      </w:r>
      <w:r>
        <w:rPr>
          <w:rFonts w:eastAsia="Times New Roman"/>
          <w:color w:val="000000"/>
          <w:sz w:val="24"/>
          <w:szCs w:val="24"/>
        </w:rPr>
        <w:t xml:space="preserve">. Second, the 2 µm pyroxene absorption modifies the lunar continuum used to compute the band depth from which the total water abundance is calculated. We chose 1.5 µm and 2.65 </w:t>
      </w:r>
      <w:r>
        <w:rPr>
          <w:sz w:val="24"/>
          <w:szCs w:val="24"/>
        </w:rPr>
        <w:t>µm</w:t>
      </w:r>
      <w:r>
        <w:rPr>
          <w:rFonts w:eastAsia="Times New Roman"/>
          <w:color w:val="000000"/>
          <w:sz w:val="24"/>
          <w:szCs w:val="24"/>
        </w:rPr>
        <w:t xml:space="preserve"> as the continuum lidar wavelengths to purposely avoid the pyroxene crystal field transition near 2 µm and its effects on the continuum fit. </w:t>
      </w:r>
      <w:r>
        <w:rPr>
          <w:sz w:val="24"/>
          <w:szCs w:val="24"/>
        </w:rPr>
        <w:t>We note t</w:t>
      </w:r>
      <w:r>
        <w:rPr>
          <w:rFonts w:eastAsia="Times New Roman"/>
          <w:color w:val="000000"/>
          <w:sz w:val="24"/>
          <w:szCs w:val="24"/>
        </w:rPr>
        <w:t>h</w:t>
      </w:r>
      <w:r>
        <w:rPr>
          <w:sz w:val="24"/>
          <w:szCs w:val="24"/>
        </w:rPr>
        <w:t>ese</w:t>
      </w:r>
      <w:r>
        <w:rPr>
          <w:rFonts w:eastAsia="Times New Roman"/>
          <w:color w:val="000000"/>
          <w:sz w:val="24"/>
          <w:szCs w:val="24"/>
        </w:rPr>
        <w:t xml:space="preserve"> effects</w:t>
      </w:r>
      <w:r>
        <w:rPr>
          <w:sz w:val="24"/>
          <w:szCs w:val="24"/>
        </w:rPr>
        <w:t xml:space="preserve"> are</w:t>
      </w:r>
      <w:r>
        <w:rPr>
          <w:rFonts w:eastAsia="Times New Roman"/>
          <w:color w:val="000000"/>
          <w:sz w:val="24"/>
          <w:szCs w:val="24"/>
        </w:rPr>
        <w:t xml:space="preserve"> relevant not only for multispectral lidar measurements but for measurements of the 3 µm band depth and continuum using </w:t>
      </w:r>
      <w:r>
        <w:rPr>
          <w:sz w:val="24"/>
          <w:szCs w:val="24"/>
        </w:rPr>
        <w:t xml:space="preserve">passive </w:t>
      </w:r>
      <w:r>
        <w:rPr>
          <w:rFonts w:eastAsia="Times New Roman"/>
          <w:color w:val="000000"/>
          <w:sz w:val="24"/>
          <w:szCs w:val="24"/>
        </w:rPr>
        <w:t>methods.</w:t>
      </w:r>
      <w:r>
        <w:rPr>
          <w:sz w:val="24"/>
          <w:szCs w:val="24"/>
        </w:rPr>
        <w:t xml:space="preserve"> Careful laboratory reflectance studies of the 3 µm hydration band in pyroxene-bearing mixtures would be valuable in interpreting current and future remote sensing datasets.</w:t>
      </w:r>
    </w:p>
    <w:p w14:paraId="28B0D070" w14:textId="77777777" w:rsidR="00867801" w:rsidRDefault="009E1DFE">
      <w:pPr>
        <w:keepNext/>
        <w:pBdr>
          <w:top w:val="nil"/>
          <w:left w:val="nil"/>
          <w:bottom w:val="nil"/>
          <w:right w:val="nil"/>
          <w:between w:val="nil"/>
        </w:pBdr>
        <w:spacing w:before="240" w:after="120"/>
        <w:ind w:left="720"/>
        <w:rPr>
          <w:rFonts w:eastAsia="Times New Roman"/>
          <w:color w:val="000000"/>
          <w:sz w:val="24"/>
          <w:szCs w:val="24"/>
        </w:rPr>
      </w:pPr>
      <w:r>
        <w:rPr>
          <w:rFonts w:eastAsia="Times New Roman"/>
          <w:color w:val="000000"/>
          <w:sz w:val="24"/>
          <w:szCs w:val="24"/>
        </w:rPr>
        <w:t>3.6 Synthetic Lunar Glass Mixture Results</w:t>
      </w:r>
    </w:p>
    <w:p w14:paraId="28B0D071" w14:textId="490BEFE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The hydrated synthetic lunar glass mixtures (1000 of both orange and yellow glass) were generated in the same way as the mixtures using MORB glass, including the abundance ranges, other endmembers (regolith and pyroxene), and radiative transfer methods. The only difference was that the amount of water in the synthetic glasses was constant and only the glass abundance was used to vary the total water amount in the mixture. The retrievals were also conducted in the same fashion as the MORB mixtures, including the measurement SNR (250), four lidar wavelengths, and the four endmember spectra used in the least-squares algorithm: the 1522 ppm </w:t>
      </w:r>
      <w:r>
        <w:rPr>
          <w:rFonts w:eastAsia="Times New Roman"/>
          <w:color w:val="000000"/>
          <w:sz w:val="24"/>
          <w:szCs w:val="24"/>
        </w:rPr>
        <w:lastRenderedPageBreak/>
        <w:t xml:space="preserve">and 22 ppm MORB glass spectra, immature mare spectrum, and mature highlands spectrum. The results of the synthetic lunar glass simulations are shown in Figure </w:t>
      </w:r>
      <w:r w:rsidR="00905A48">
        <w:rPr>
          <w:sz w:val="24"/>
          <w:szCs w:val="24"/>
        </w:rPr>
        <w:t>9</w:t>
      </w:r>
      <w:r>
        <w:rPr>
          <w:rFonts w:eastAsia="Times New Roman"/>
          <w:color w:val="000000"/>
          <w:sz w:val="24"/>
          <w:szCs w:val="24"/>
        </w:rPr>
        <w:t>.</w:t>
      </w:r>
    </w:p>
    <w:p w14:paraId="28B0D072" w14:textId="77777777"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noProof/>
          <w:color w:val="000000"/>
          <w:sz w:val="24"/>
          <w:szCs w:val="24"/>
        </w:rPr>
        <w:drawing>
          <wp:inline distT="0" distB="0" distL="0" distR="0" wp14:anchorId="28B0D0CB" wp14:editId="28B0D0CC">
            <wp:extent cx="5943600" cy="4340860"/>
            <wp:effectExtent l="0" t="0" r="0" b="0"/>
            <wp:docPr id="26" name="image10.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Chart&#10;&#10;Description automatically generated"/>
                    <pic:cNvPicPr preferRelativeResize="0"/>
                  </pic:nvPicPr>
                  <pic:blipFill>
                    <a:blip r:embed="rId20"/>
                    <a:srcRect/>
                    <a:stretch>
                      <a:fillRect/>
                    </a:stretch>
                  </pic:blipFill>
                  <pic:spPr>
                    <a:xfrm>
                      <a:off x="0" y="0"/>
                      <a:ext cx="5943600" cy="4340860"/>
                    </a:xfrm>
                    <a:prstGeom prst="rect">
                      <a:avLst/>
                    </a:prstGeom>
                    <a:ln/>
                  </pic:spPr>
                </pic:pic>
              </a:graphicData>
            </a:graphic>
          </wp:inline>
        </w:drawing>
      </w:r>
    </w:p>
    <w:p w14:paraId="28B0D073" w14:textId="4D349B54"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b/>
          <w:color w:val="000000"/>
          <w:sz w:val="24"/>
          <w:szCs w:val="24"/>
        </w:rPr>
        <w:t xml:space="preserve">Figure </w:t>
      </w:r>
      <w:r w:rsidR="00905A48">
        <w:rPr>
          <w:b/>
          <w:sz w:val="24"/>
          <w:szCs w:val="24"/>
        </w:rPr>
        <w:t>9</w:t>
      </w:r>
      <w:r>
        <w:rPr>
          <w:rFonts w:eastAsia="Times New Roman"/>
          <w:color w:val="000000"/>
          <w:sz w:val="24"/>
          <w:szCs w:val="24"/>
        </w:rPr>
        <w:t xml:space="preserve">. Synthetic lunar glass mixture retrieval results. (a) Retrieved total water abundance as a function of input total water abundance for mixtures including synthetic orange glass following the conventions of Figures </w:t>
      </w:r>
      <w:r>
        <w:rPr>
          <w:sz w:val="24"/>
          <w:szCs w:val="24"/>
        </w:rPr>
        <w:t>5</w:t>
      </w:r>
      <w:r>
        <w:rPr>
          <w:rFonts w:eastAsia="Times New Roman"/>
          <w:color w:val="000000"/>
          <w:sz w:val="24"/>
          <w:szCs w:val="24"/>
        </w:rPr>
        <w:t xml:space="preserve"> and </w:t>
      </w:r>
      <w:r>
        <w:rPr>
          <w:sz w:val="24"/>
          <w:szCs w:val="24"/>
        </w:rPr>
        <w:t>6</w:t>
      </w:r>
      <w:r>
        <w:rPr>
          <w:rFonts w:eastAsia="Times New Roman"/>
          <w:color w:val="000000"/>
          <w:sz w:val="24"/>
          <w:szCs w:val="24"/>
        </w:rPr>
        <w:t xml:space="preserve">. (b) Histogram of total water error for the synthetic orange glass simulations. </w:t>
      </w:r>
      <w:r>
        <w:rPr>
          <w:rFonts w:eastAsia="Times New Roman"/>
          <w:i/>
          <w:color w:val="000000"/>
          <w:sz w:val="24"/>
          <w:szCs w:val="24"/>
        </w:rPr>
        <w:t>µ</w:t>
      </w:r>
      <w:r>
        <w:rPr>
          <w:rFonts w:eastAsia="Times New Roman"/>
          <w:color w:val="000000"/>
          <w:sz w:val="24"/>
          <w:szCs w:val="24"/>
        </w:rPr>
        <w:t xml:space="preserve"> denotes the mean error and </w:t>
      </w:r>
      <w:r>
        <w:rPr>
          <w:rFonts w:eastAsia="Times New Roman"/>
          <w:i/>
          <w:color w:val="000000"/>
          <w:sz w:val="24"/>
          <w:szCs w:val="24"/>
        </w:rPr>
        <w:t>σ</w:t>
      </w:r>
      <w:r>
        <w:rPr>
          <w:rFonts w:eastAsia="Times New Roman"/>
          <w:color w:val="000000"/>
          <w:sz w:val="24"/>
          <w:szCs w:val="24"/>
        </w:rPr>
        <w:t xml:space="preserve"> denotes the standard deviation for the simulations. (c) Retrieval results for the synthetic yellow glass mixtures following the conventions of (a). (d) Histogram of total water error for the synthetic yellow glass mixtures.</w:t>
      </w:r>
    </w:p>
    <w:p w14:paraId="28B0D074" w14:textId="63423502"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The synthetic glass mixture results show that the multispectral lidar retrieval method using the two experimental MORB endmember spectra to fit the 3 µm feature performs similarly for the i</w:t>
      </w:r>
      <w:r>
        <w:rPr>
          <w:sz w:val="24"/>
          <w:szCs w:val="24"/>
        </w:rPr>
        <w:t xml:space="preserve">nterpolated </w:t>
      </w:r>
      <w:r>
        <w:rPr>
          <w:rFonts w:eastAsia="Times New Roman"/>
          <w:color w:val="000000"/>
          <w:sz w:val="24"/>
          <w:szCs w:val="24"/>
        </w:rPr>
        <w:t xml:space="preserve">MORB glass and synthetic glass mixtures. Both glass mixtures had a negative mean error, with the orange glass mean error (-31 ppm) being </w:t>
      </w:r>
      <w:r w:rsidR="001B0059">
        <w:rPr>
          <w:rFonts w:eastAsia="Times New Roman"/>
          <w:color w:val="000000"/>
          <w:sz w:val="24"/>
          <w:szCs w:val="24"/>
        </w:rPr>
        <w:t>closer to</w:t>
      </w:r>
      <w:r w:rsidR="001B0059">
        <w:rPr>
          <w:rFonts w:eastAsia="Times New Roman"/>
          <w:color w:val="000000"/>
          <w:sz w:val="24"/>
          <w:szCs w:val="24"/>
        </w:rPr>
        <w:t xml:space="preserve"> </w:t>
      </w:r>
      <w:r>
        <w:rPr>
          <w:rFonts w:eastAsia="Times New Roman"/>
          <w:color w:val="000000"/>
          <w:sz w:val="24"/>
          <w:szCs w:val="24"/>
        </w:rPr>
        <w:t>the MORB results</w:t>
      </w:r>
      <w:r w:rsidR="00212C75">
        <w:rPr>
          <w:rFonts w:eastAsia="Times New Roman"/>
          <w:color w:val="000000"/>
          <w:sz w:val="24"/>
          <w:szCs w:val="24"/>
        </w:rPr>
        <w:t xml:space="preserve"> (-38 ppm)</w:t>
      </w:r>
      <w:r>
        <w:rPr>
          <w:rFonts w:eastAsia="Times New Roman"/>
          <w:color w:val="000000"/>
          <w:sz w:val="24"/>
          <w:szCs w:val="24"/>
        </w:rPr>
        <w:t xml:space="preserve"> given in Table 3, and the yellow glass mean error (-14 ppm) being </w:t>
      </w:r>
      <w:r w:rsidR="009F5E48">
        <w:rPr>
          <w:rFonts w:eastAsia="Times New Roman"/>
          <w:color w:val="000000"/>
          <w:sz w:val="24"/>
          <w:szCs w:val="24"/>
        </w:rPr>
        <w:t>lower</w:t>
      </w:r>
      <w:r w:rsidR="009F5E48">
        <w:rPr>
          <w:rFonts w:eastAsia="Times New Roman"/>
          <w:color w:val="000000"/>
          <w:sz w:val="24"/>
          <w:szCs w:val="24"/>
        </w:rPr>
        <w:t xml:space="preserve"> </w:t>
      </w:r>
      <w:r>
        <w:rPr>
          <w:rFonts w:eastAsia="Times New Roman"/>
          <w:color w:val="000000"/>
          <w:sz w:val="24"/>
          <w:szCs w:val="24"/>
        </w:rPr>
        <w:t>than the MORB results. The standard deviation for the glass mixture retrievals were very close to one another and the MORB results.</w:t>
      </w:r>
    </w:p>
    <w:p w14:paraId="28B0D075" w14:textId="77777777" w:rsidR="00867801" w:rsidRDefault="009E1DFE">
      <w:pPr>
        <w:keepNext/>
        <w:pBdr>
          <w:top w:val="nil"/>
          <w:left w:val="nil"/>
          <w:bottom w:val="nil"/>
          <w:right w:val="nil"/>
          <w:between w:val="nil"/>
        </w:pBdr>
        <w:tabs>
          <w:tab w:val="left" w:pos="7170"/>
        </w:tabs>
        <w:spacing w:before="240" w:after="120"/>
        <w:rPr>
          <w:rFonts w:eastAsia="Times New Roman"/>
          <w:b/>
          <w:color w:val="000000"/>
          <w:sz w:val="24"/>
          <w:szCs w:val="24"/>
        </w:rPr>
      </w:pPr>
      <w:r>
        <w:rPr>
          <w:rFonts w:eastAsia="Times New Roman"/>
          <w:b/>
          <w:color w:val="000000"/>
          <w:sz w:val="24"/>
          <w:szCs w:val="24"/>
        </w:rPr>
        <w:t>4. Discussion</w:t>
      </w:r>
      <w:r>
        <w:rPr>
          <w:rFonts w:eastAsia="Times New Roman"/>
          <w:b/>
          <w:color w:val="000000"/>
          <w:sz w:val="24"/>
          <w:szCs w:val="24"/>
        </w:rPr>
        <w:tab/>
      </w:r>
    </w:p>
    <w:p w14:paraId="28B0D076" w14:textId="2846DF04" w:rsidR="00867801" w:rsidRDefault="009E1DFE">
      <w:pPr>
        <w:pBdr>
          <w:top w:val="nil"/>
          <w:left w:val="nil"/>
          <w:bottom w:val="nil"/>
          <w:right w:val="nil"/>
          <w:between w:val="nil"/>
        </w:pBdr>
        <w:spacing w:before="120"/>
        <w:ind w:firstLine="720"/>
        <w:rPr>
          <w:sz w:val="24"/>
          <w:szCs w:val="24"/>
        </w:rPr>
      </w:pPr>
      <w:r>
        <w:rPr>
          <w:sz w:val="24"/>
          <w:szCs w:val="24"/>
        </w:rPr>
        <w:t xml:space="preserve">The highlands simulations exhibited a lower standard deviation for the total water error than the mare simulations, and this trend held over the entire range of SNRs tested. The higher total water sensitivity for highlands spectra is a direct consequence of the non-linearity of mixing </w:t>
      </w:r>
      <w:r>
        <w:rPr>
          <w:sz w:val="24"/>
          <w:szCs w:val="24"/>
        </w:rPr>
        <w:lastRenderedPageBreak/>
        <w:t xml:space="preserve">single scattering albedos. A brighter surface host material (highlands) manifests a stronger absolute reflectance band depth for a given total water abundance than darker surface material (mare). This effect was similarly demonstrated by Starukhina and Shkuratov </w:t>
      </w:r>
      <w:r w:rsidR="0074626E">
        <w:rPr>
          <w:sz w:val="24"/>
          <w:szCs w:val="24"/>
        </w:rPr>
        <w:fldChar w:fldCharType="begin"/>
      </w:r>
      <w:r w:rsidR="008B0A8A">
        <w:rPr>
          <w:sz w:val="24"/>
          <w:szCs w:val="24"/>
        </w:rPr>
        <w:instrText xml:space="preserve"> ADDIN ZOTERO_ITEM CSL_CITATION {"citationID":"UC847LoS","properties":{"formattedCitation":"(Starukhina &amp; Shkuratov, 2010)","plainCitation":"(Starukhina &amp; Shkuratov, 2010)","noteIndex":0},"citationItems":[{"id":714,"uris":["http://zotero.org/users/local/lFa3rRs0/items/GJKD8FKW"],"itemData":{"id":714,"type":"paper-conference","abstract":"Theoretical simulation of 3-µm absorption bands in lunar reflectance spectra shows that chemical trapping of solar wind protons and formation of OH groups in the rims of lunar regolith particles can be responsible for the observed absorption.","event":"41st Lunar and Planetary Science Conference","note":"event: 41st Annual Lunar and Planetary Science Conference\nADS Bibcode: 2010LPI....41.1385S","page":"1385","source":"NASA ADS","title":"Simulation of 3-µm Absorption Band in Lunar Spectra: Water or Solar Wind Induced Hydroxyl?","title-short":"Simulation of 3-µm Absorption Band in Lunar Spectra","URL":"https://ui.adsabs.harvard.edu/abs/2010LPI....41.1385S","author":[{"family":"Starukhina","given":"L"},{"family":"Shkuratov","given":"Y. G."}],"accessed":{"date-parts":[["2022",1,25]]},"issued":{"date-parts":[["2010",3,1]]}}}],"schema":"https://github.com/citation-style-language/schema/raw/master/csl-citation.json"} </w:instrText>
      </w:r>
      <w:r w:rsidR="0074626E">
        <w:rPr>
          <w:sz w:val="24"/>
          <w:szCs w:val="24"/>
        </w:rPr>
        <w:fldChar w:fldCharType="separate"/>
      </w:r>
      <w:r w:rsidR="00200C52" w:rsidRPr="00200C52">
        <w:rPr>
          <w:sz w:val="24"/>
        </w:rPr>
        <w:t>(Starukhina &amp; Shkuratov, 2010)</w:t>
      </w:r>
      <w:r w:rsidR="0074626E">
        <w:rPr>
          <w:sz w:val="24"/>
          <w:szCs w:val="24"/>
        </w:rPr>
        <w:fldChar w:fldCharType="end"/>
      </w:r>
      <w:r>
        <w:rPr>
          <w:sz w:val="24"/>
          <w:szCs w:val="24"/>
        </w:rPr>
        <w:t xml:space="preserve"> in their 3 µm band modeling efforts related to theories of solar wind proton implantation. McCord et al. </w:t>
      </w:r>
      <w:r w:rsidR="004407F6">
        <w:rPr>
          <w:sz w:val="24"/>
          <w:szCs w:val="24"/>
        </w:rPr>
        <w:fldChar w:fldCharType="begin"/>
      </w:r>
      <w:r w:rsidR="008B0A8A">
        <w:rPr>
          <w:sz w:val="24"/>
          <w:szCs w:val="24"/>
        </w:rPr>
        <w:instrText xml:space="preserve"> ADDIN ZOTERO_ITEM CSL_CITATION {"citationID":"23NNg4z9","properties":{"formattedCitation":"(McCord et al., 2011)","plainCitation":"(McCord et al., 2011)","noteIndex":0},"citationItems":[{"id":597,"uris":["http://zotero.org/users/local/lFa3rRs0/items/5KS7Z69F"],"itemData":{"id":597,"type":"article-journal","abstract":"Analysis of two absorption features near 3 μm in the lunar reflectance spectrum, observed by the orbiting M3 spectrometer and interpreted as being due to OH and H2O, is presented, and the results are used to discuss the processes producing these molecules. This analysis focuses on the dependence of the absorptions on lunar physical properties, including composition, illumination, latitude, and temperature. Solar wind proton-induced hydroxylation is proposed as the creation process, and its products could be a source for other reported types of hydrogen-rich material and water. The irregular and damaged fine-grained lunar soil seems especially adapted for trapping solar wind protons and forming OH owing to abundant dangling oxygen bonds. The M3 data reveal that the strengths of the two absorptions are correlated and widespread, and both are correlated with lunar composition but in different ways. Feldspathic material seems richer in OH. These results seem to rule out water from the lunar interior and cometary infall as major sources. There appear to be correlations of apparent band strengths with time of day and lighting conditions. However, thermal emission from the Moon reduces the apparent strengths of the M3 absorptions, and its removal is not yet completely successful. Further, many of the lunar physical properties are themselves intercorrelated, and so separating these dependencies on the absorptions is difficult, due to the incomplete M3 data set. This process should also operate on other airless silicate surfaces, such as Mercury and Vesta, which will be visited by the Dawn spacecraft in mid-2011.","container-title":"Journal of Geophysical Research: Planets","DOI":"10.1029/2010JE003711","ISSN":"2156-2202","issue":"E6","language":"en","note":"_eprint: https://agupubs.onlinelibrary.wiley.com/doi/pdf/10.1029/2010JE003711","source":"Wiley Online Library","title":"Sources and physical processes responsible for OH/H2O in the lunar soil as revealed by the Moon Mineralogy Mapper (M3)","URL":"https://agupubs.onlinelibrary.wiley.com/doi/abs/10.1029/2010JE003711","volume":"116","author":[{"family":"McCord","given":"T. B."},{"family":"Taylor","given":"L. A."},{"family":"Combe","given":"J.-P."},{"family":"Kramer","given":"G."},{"family":"Pieters","given":"C. M."},{"family":"Sunshine","given":"J. M."},{"family":"Clark","given":"R. N."}],"accessed":{"date-parts":[["2021",7,21]]},"issued":{"date-parts":[["2011"]]}}}],"schema":"https://github.com/citation-style-language/schema/raw/master/csl-citation.json"} </w:instrText>
      </w:r>
      <w:r w:rsidR="004407F6">
        <w:rPr>
          <w:sz w:val="24"/>
          <w:szCs w:val="24"/>
        </w:rPr>
        <w:fldChar w:fldCharType="separate"/>
      </w:r>
      <w:r w:rsidR="004407F6" w:rsidRPr="004407F6">
        <w:rPr>
          <w:sz w:val="24"/>
        </w:rPr>
        <w:t>(McCord et al., 2011)</w:t>
      </w:r>
      <w:r w:rsidR="004407F6">
        <w:rPr>
          <w:sz w:val="24"/>
          <w:szCs w:val="24"/>
        </w:rPr>
        <w:fldChar w:fldCharType="end"/>
      </w:r>
      <w:r>
        <w:rPr>
          <w:sz w:val="24"/>
          <w:szCs w:val="24"/>
        </w:rPr>
        <w:t xml:space="preserve"> also identified a trend in their M</w:t>
      </w:r>
      <w:r>
        <w:rPr>
          <w:sz w:val="24"/>
          <w:szCs w:val="24"/>
          <w:vertAlign w:val="superscript"/>
        </w:rPr>
        <w:t>3</w:t>
      </w:r>
      <w:r>
        <w:rPr>
          <w:sz w:val="24"/>
          <w:szCs w:val="24"/>
        </w:rPr>
        <w:t xml:space="preserve"> data of stronger 3 µm absorptions in more feldspathic material, however, it is not clear whether this is a chemical/mineralogical effect or an optical effect of the higher albedo of highlands regions, as observed here. We demonstrate this effect in Figure </w:t>
      </w:r>
      <w:r w:rsidR="00194A88">
        <w:rPr>
          <w:sz w:val="24"/>
          <w:szCs w:val="24"/>
        </w:rPr>
        <w:t>10</w:t>
      </w:r>
      <w:r>
        <w:rPr>
          <w:sz w:val="24"/>
          <w:szCs w:val="24"/>
        </w:rPr>
        <w:t>, where a subset of the highlands and mare simulations with the same total water abundance exhibit differing band depths</w:t>
      </w:r>
      <w:r w:rsidR="00895E65">
        <w:rPr>
          <w:sz w:val="24"/>
          <w:szCs w:val="24"/>
        </w:rPr>
        <w:t>.</w:t>
      </w:r>
      <w:r w:rsidR="00895E65" w:rsidRPr="00895E65">
        <w:t xml:space="preserve"> </w:t>
      </w:r>
      <w:r w:rsidR="00895E65" w:rsidRPr="00895E65">
        <w:rPr>
          <w:sz w:val="24"/>
          <w:szCs w:val="24"/>
        </w:rPr>
        <w:t>All the spectral mixtures</w:t>
      </w:r>
      <w:r w:rsidR="00874E8F">
        <w:rPr>
          <w:sz w:val="24"/>
          <w:szCs w:val="24"/>
        </w:rPr>
        <w:t xml:space="preserve"> shown in Figure 10</w:t>
      </w:r>
      <w:r w:rsidR="00895E65" w:rsidRPr="00895E65">
        <w:rPr>
          <w:sz w:val="24"/>
          <w:szCs w:val="24"/>
        </w:rPr>
        <w:t xml:space="preserve"> </w:t>
      </w:r>
      <w:r w:rsidR="00874E8F">
        <w:rPr>
          <w:sz w:val="24"/>
          <w:szCs w:val="24"/>
        </w:rPr>
        <w:t>have</w:t>
      </w:r>
      <w:r w:rsidR="00895E65" w:rsidRPr="00895E65">
        <w:rPr>
          <w:sz w:val="24"/>
          <w:szCs w:val="24"/>
        </w:rPr>
        <w:t xml:space="preserve"> a total water abundance between 245 and 255 ppm, for which the band depth may be expected to be constant. However, the highlands spectra have a clearly stronger 3 µm band</w:t>
      </w:r>
      <w:r w:rsidR="001231A9">
        <w:rPr>
          <w:sz w:val="24"/>
          <w:szCs w:val="24"/>
        </w:rPr>
        <w:t xml:space="preserve"> (Figure 10b)</w:t>
      </w:r>
      <w:r w:rsidR="00895E65" w:rsidRPr="00895E65">
        <w:rPr>
          <w:sz w:val="24"/>
          <w:szCs w:val="24"/>
        </w:rPr>
        <w:t xml:space="preserve">, demonstrating this albedo effect </w:t>
      </w:r>
      <w:r w:rsidR="00874E8F">
        <w:rPr>
          <w:sz w:val="24"/>
          <w:szCs w:val="24"/>
        </w:rPr>
        <w:fldChar w:fldCharType="begin"/>
      </w:r>
      <w:r w:rsidR="008B0A8A">
        <w:rPr>
          <w:sz w:val="24"/>
          <w:szCs w:val="24"/>
        </w:rPr>
        <w:instrText xml:space="preserve"> ADDIN ZOTERO_ITEM CSL_CITATION {"citationID":"EctwPxgR","properties":{"formattedCitation":"(Lucey et al., 2021)","plainCitation":"(Lucey et al., 2021)","noteIndex":0},"citationItems":[{"id":705,"uris":["http://zotero.org/users/local/lFa3rRs0/items/J5SUEDZU"],"itemData":{"id":705,"type":"article-journal","container-title":"Geochemistry","note":"publisher: Elsevier","page":"125858","title":"Volatile interactions with the lunar surface","author":[{"family":"Lucey","given":"Paul G"},{"family":"Petro","given":"Noah"},{"family":"Hurley","given":"Dana"},{"family":"Farrell","given":"William"},{"family":"Prem","given":"Parvathy"},{"family":"Costello","given":"Emily"},{"family":"Cable","given":"Morgan"},{"family":"Barker","given":"Michael"},{"family":"Benna","given":"Mehdi"},{"family":"Dyar","given":"Darby"},{"literal":"others"}],"issued":{"date-parts":[["2021"]]}}}],"schema":"https://github.com/citation-style-language/schema/raw/master/csl-citation.json"} </w:instrText>
      </w:r>
      <w:r w:rsidR="00874E8F">
        <w:rPr>
          <w:sz w:val="24"/>
          <w:szCs w:val="24"/>
        </w:rPr>
        <w:fldChar w:fldCharType="separate"/>
      </w:r>
      <w:r w:rsidR="00874E8F" w:rsidRPr="00874E8F">
        <w:rPr>
          <w:sz w:val="24"/>
        </w:rPr>
        <w:t>(Lucey et al., 2021)</w:t>
      </w:r>
      <w:r w:rsidR="00874E8F">
        <w:rPr>
          <w:sz w:val="24"/>
          <w:szCs w:val="24"/>
        </w:rPr>
        <w:fldChar w:fldCharType="end"/>
      </w:r>
      <w:r w:rsidR="00090EAB">
        <w:rPr>
          <w:sz w:val="24"/>
          <w:szCs w:val="24"/>
        </w:rPr>
        <w:t>.</w:t>
      </w:r>
      <w:r w:rsidR="00B966EA">
        <w:rPr>
          <w:sz w:val="24"/>
          <w:szCs w:val="24"/>
        </w:rPr>
        <w:t xml:space="preserve"> Because of the non-linearity</w:t>
      </w:r>
      <w:r w:rsidR="000A31FC">
        <w:rPr>
          <w:sz w:val="24"/>
          <w:szCs w:val="24"/>
        </w:rPr>
        <w:t xml:space="preserve"> of reflectance with respect to SSA, this effect is not present </w:t>
      </w:r>
      <w:r w:rsidR="00BD24D8">
        <w:rPr>
          <w:sz w:val="24"/>
          <w:szCs w:val="24"/>
        </w:rPr>
        <w:t>in SSA</w:t>
      </w:r>
      <w:r w:rsidR="00083335">
        <w:rPr>
          <w:sz w:val="24"/>
          <w:szCs w:val="24"/>
        </w:rPr>
        <w:t xml:space="preserve"> (Figure 10c)</w:t>
      </w:r>
      <w:r w:rsidR="00BD24D8">
        <w:rPr>
          <w:sz w:val="24"/>
          <w:szCs w:val="24"/>
        </w:rPr>
        <w:t>.</w:t>
      </w:r>
      <w:r w:rsidR="00895E65">
        <w:rPr>
          <w:sz w:val="24"/>
          <w:szCs w:val="24"/>
        </w:rPr>
        <w:t xml:space="preserve"> </w:t>
      </w:r>
      <w:r>
        <w:rPr>
          <w:sz w:val="24"/>
          <w:szCs w:val="24"/>
        </w:rPr>
        <w:t xml:space="preserve">Since the retrieval error arises from band depth measurement error, a stronger band depth results in a more sensitive measurement for the highlands simulations and a lower standard deviation for the </w:t>
      </w:r>
      <w:proofErr w:type="gramStart"/>
      <w:r>
        <w:rPr>
          <w:sz w:val="24"/>
          <w:szCs w:val="24"/>
        </w:rPr>
        <w:t>simulations as a whole</w:t>
      </w:r>
      <w:proofErr w:type="gramEnd"/>
      <w:r>
        <w:rPr>
          <w:sz w:val="24"/>
          <w:szCs w:val="24"/>
        </w:rPr>
        <w:t xml:space="preserve">. </w:t>
      </w:r>
    </w:p>
    <w:p w14:paraId="65A1F85A" w14:textId="712A544E" w:rsidR="00194A88" w:rsidRDefault="00D21617" w:rsidP="00EE6B30">
      <w:pPr>
        <w:pBdr>
          <w:top w:val="nil"/>
          <w:left w:val="nil"/>
          <w:bottom w:val="nil"/>
          <w:right w:val="nil"/>
          <w:between w:val="nil"/>
        </w:pBdr>
        <w:spacing w:before="120"/>
        <w:rPr>
          <w:sz w:val="24"/>
          <w:szCs w:val="24"/>
        </w:rPr>
      </w:pPr>
      <w:r>
        <w:rPr>
          <w:noProof/>
          <w:sz w:val="24"/>
          <w:szCs w:val="24"/>
        </w:rPr>
        <w:drawing>
          <wp:inline distT="0" distB="0" distL="0" distR="0" wp14:anchorId="7FF11969" wp14:editId="358BF9FE">
            <wp:extent cx="5943600" cy="4483735"/>
            <wp:effectExtent l="0" t="0" r="0" b="0"/>
            <wp:docPr id="6" name="Picture 6"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 histogra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483735"/>
                    </a:xfrm>
                    <a:prstGeom prst="rect">
                      <a:avLst/>
                    </a:prstGeom>
                  </pic:spPr>
                </pic:pic>
              </a:graphicData>
            </a:graphic>
          </wp:inline>
        </w:drawing>
      </w:r>
    </w:p>
    <w:p w14:paraId="03CADAD4" w14:textId="58FB3D19" w:rsidR="004629DE" w:rsidRPr="005A78FA" w:rsidRDefault="005A78FA" w:rsidP="00EE6B30">
      <w:pPr>
        <w:pBdr>
          <w:top w:val="nil"/>
          <w:left w:val="nil"/>
          <w:bottom w:val="nil"/>
          <w:right w:val="nil"/>
          <w:between w:val="nil"/>
        </w:pBdr>
        <w:spacing w:before="120"/>
        <w:rPr>
          <w:sz w:val="24"/>
          <w:szCs w:val="24"/>
        </w:rPr>
      </w:pPr>
      <w:r>
        <w:rPr>
          <w:b/>
          <w:bCs/>
          <w:sz w:val="24"/>
          <w:szCs w:val="24"/>
        </w:rPr>
        <w:t>Figure 10.</w:t>
      </w:r>
      <w:r>
        <w:rPr>
          <w:sz w:val="24"/>
          <w:szCs w:val="24"/>
        </w:rPr>
        <w:t xml:space="preserve"> </w:t>
      </w:r>
      <w:r w:rsidR="003A532C">
        <w:rPr>
          <w:sz w:val="24"/>
          <w:szCs w:val="24"/>
        </w:rPr>
        <w:t xml:space="preserve">(a) </w:t>
      </w:r>
      <w:r w:rsidR="00090EAB">
        <w:rPr>
          <w:sz w:val="24"/>
          <w:szCs w:val="24"/>
        </w:rPr>
        <w:t>Simulated</w:t>
      </w:r>
      <w:r w:rsidR="00895E65" w:rsidRPr="00895E65">
        <w:rPr>
          <w:sz w:val="24"/>
          <w:szCs w:val="24"/>
        </w:rPr>
        <w:t xml:space="preserve"> mare and highland</w:t>
      </w:r>
      <w:r w:rsidR="00090EAB">
        <w:rPr>
          <w:sz w:val="24"/>
          <w:szCs w:val="24"/>
        </w:rPr>
        <w:t xml:space="preserve">s </w:t>
      </w:r>
      <w:r w:rsidR="00400CB7">
        <w:rPr>
          <w:sz w:val="24"/>
          <w:szCs w:val="24"/>
        </w:rPr>
        <w:t xml:space="preserve">noiseless </w:t>
      </w:r>
      <w:r w:rsidR="00895E65" w:rsidRPr="00895E65">
        <w:rPr>
          <w:sz w:val="24"/>
          <w:szCs w:val="24"/>
        </w:rPr>
        <w:t>spectra</w:t>
      </w:r>
      <w:r w:rsidR="00400CB7">
        <w:rPr>
          <w:sz w:val="24"/>
          <w:szCs w:val="24"/>
        </w:rPr>
        <w:t xml:space="preserve"> </w:t>
      </w:r>
      <w:r w:rsidR="00895E65" w:rsidRPr="00895E65">
        <w:rPr>
          <w:sz w:val="24"/>
          <w:szCs w:val="24"/>
        </w:rPr>
        <w:t>with total water abundances between 245 and 255 ppm.</w:t>
      </w:r>
      <w:r w:rsidR="00090EAB">
        <w:rPr>
          <w:sz w:val="24"/>
          <w:szCs w:val="24"/>
        </w:rPr>
        <w:t xml:space="preserve"> These </w:t>
      </w:r>
      <w:r w:rsidR="003A532C">
        <w:rPr>
          <w:sz w:val="24"/>
          <w:szCs w:val="24"/>
        </w:rPr>
        <w:t xml:space="preserve">lidar reflectance </w:t>
      </w:r>
      <w:r w:rsidR="00090EAB">
        <w:rPr>
          <w:sz w:val="24"/>
          <w:szCs w:val="24"/>
        </w:rPr>
        <w:t>spectra are a subset of</w:t>
      </w:r>
      <w:r w:rsidR="000722E4">
        <w:rPr>
          <w:sz w:val="24"/>
          <w:szCs w:val="24"/>
        </w:rPr>
        <w:t xml:space="preserve"> 36 of</w:t>
      </w:r>
      <w:r w:rsidR="00090EAB">
        <w:rPr>
          <w:sz w:val="24"/>
          <w:szCs w:val="24"/>
        </w:rPr>
        <w:t xml:space="preserve"> the 2000 simulat</w:t>
      </w:r>
      <w:r w:rsidR="001374FA">
        <w:rPr>
          <w:sz w:val="24"/>
          <w:szCs w:val="24"/>
        </w:rPr>
        <w:t>ed spectra.</w:t>
      </w:r>
      <w:r w:rsidR="003A532C">
        <w:rPr>
          <w:sz w:val="24"/>
          <w:szCs w:val="24"/>
        </w:rPr>
        <w:t xml:space="preserve"> (b) Spectra from (a)</w:t>
      </w:r>
      <w:r w:rsidR="003A6DF1">
        <w:rPr>
          <w:sz w:val="24"/>
          <w:szCs w:val="24"/>
        </w:rPr>
        <w:t xml:space="preserve"> after continuum removal using a convex-hull method.</w:t>
      </w:r>
      <w:r w:rsidR="00D21617">
        <w:rPr>
          <w:sz w:val="24"/>
          <w:szCs w:val="24"/>
        </w:rPr>
        <w:t xml:space="preserve"> (c) </w:t>
      </w:r>
      <w:r w:rsidR="00D21617">
        <w:rPr>
          <w:sz w:val="24"/>
          <w:szCs w:val="24"/>
        </w:rPr>
        <w:lastRenderedPageBreak/>
        <w:t>S</w:t>
      </w:r>
      <w:r w:rsidR="00BE3512">
        <w:rPr>
          <w:sz w:val="24"/>
          <w:szCs w:val="24"/>
        </w:rPr>
        <w:t>ingle scattering albedo spectra from which reflectance spectra in (a) and (b) were generated</w:t>
      </w:r>
      <w:r w:rsidR="006879E4">
        <w:rPr>
          <w:sz w:val="24"/>
          <w:szCs w:val="24"/>
        </w:rPr>
        <w:t xml:space="preserve"> using equation 1</w:t>
      </w:r>
      <w:r w:rsidR="00BE3512">
        <w:rPr>
          <w:sz w:val="24"/>
          <w:szCs w:val="24"/>
        </w:rPr>
        <w:t>.</w:t>
      </w:r>
    </w:p>
    <w:p w14:paraId="28B0D077" w14:textId="63AB72D0"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w:t>
      </w:r>
      <w:r>
        <w:rPr>
          <w:sz w:val="24"/>
          <w:szCs w:val="24"/>
        </w:rPr>
        <w:t xml:space="preserve">found </w:t>
      </w:r>
      <w:r>
        <w:rPr>
          <w:rFonts w:eastAsia="Times New Roman"/>
          <w:color w:val="000000"/>
          <w:sz w:val="24"/>
          <w:szCs w:val="24"/>
        </w:rPr>
        <w:t xml:space="preserve">that the mean errors </w:t>
      </w:r>
      <w:r>
        <w:rPr>
          <w:sz w:val="24"/>
          <w:szCs w:val="24"/>
        </w:rPr>
        <w:t>are</w:t>
      </w:r>
      <w:r>
        <w:rPr>
          <w:rFonts w:eastAsia="Times New Roman"/>
          <w:color w:val="000000"/>
          <w:sz w:val="24"/>
          <w:szCs w:val="24"/>
        </w:rPr>
        <w:t xml:space="preserve"> all negative with a magnitude of between 14 ppm (yellow glass simulations) and 39 ppm (highlands simulations). We note that this is a statistical mean error over the 2000 simulations, not a fixed error that applies uniformly to each retrieval. It does however indicate that there is a systematic error involved with our fitting methodology. The origin of this systematic error can be understood by looking at the total water errors plotted as a function of which interpolated MORB spectrum (see Figure </w:t>
      </w:r>
      <w:r>
        <w:rPr>
          <w:sz w:val="24"/>
          <w:szCs w:val="24"/>
        </w:rPr>
        <w:t>2</w:t>
      </w:r>
      <w:r>
        <w:rPr>
          <w:rFonts w:eastAsia="Times New Roman"/>
          <w:color w:val="000000"/>
          <w:sz w:val="24"/>
          <w:szCs w:val="24"/>
        </w:rPr>
        <w:t xml:space="preserve">) was mixed in to model the 3 µm absorption. This is shown in Figure </w:t>
      </w:r>
      <w:r w:rsidR="000C3453">
        <w:rPr>
          <w:rFonts w:eastAsia="Times New Roman"/>
          <w:color w:val="000000"/>
          <w:sz w:val="24"/>
          <w:szCs w:val="24"/>
        </w:rPr>
        <w:t>1</w:t>
      </w:r>
      <w:r w:rsidR="000C3453">
        <w:rPr>
          <w:sz w:val="24"/>
          <w:szCs w:val="24"/>
        </w:rPr>
        <w:t>1</w:t>
      </w:r>
      <w:r w:rsidR="000C3453">
        <w:rPr>
          <w:rFonts w:eastAsia="Times New Roman"/>
          <w:color w:val="000000"/>
          <w:sz w:val="24"/>
          <w:szCs w:val="24"/>
        </w:rPr>
        <w:t>a</w:t>
      </w:r>
      <w:r>
        <w:rPr>
          <w:rFonts w:eastAsia="Times New Roman"/>
          <w:color w:val="000000"/>
          <w:sz w:val="24"/>
          <w:szCs w:val="24"/>
        </w:rPr>
        <w:t>. Here it can be seen the largest negative errors were associated with higher values for the interpolated MORB spectrum used. In Figure 1</w:t>
      </w:r>
      <w:r w:rsidR="00905A48">
        <w:rPr>
          <w:sz w:val="24"/>
          <w:szCs w:val="24"/>
        </w:rPr>
        <w:t>0</w:t>
      </w:r>
      <w:r>
        <w:rPr>
          <w:rFonts w:eastAsia="Times New Roman"/>
          <w:color w:val="000000"/>
          <w:sz w:val="24"/>
          <w:szCs w:val="24"/>
        </w:rPr>
        <w:t xml:space="preserve">b, we show a comparison of the interpolated MORB spectra used to generate the simulated spectra (black lines) to the experimental MORB spectra used for the retrieval (colored points). </w:t>
      </w:r>
      <w:r w:rsidR="005A393B">
        <w:rPr>
          <w:rFonts w:eastAsia="Times New Roman"/>
          <w:color w:val="000000"/>
          <w:sz w:val="24"/>
          <w:szCs w:val="24"/>
        </w:rPr>
        <w:t xml:space="preserve">Figure 10c shows the residuals </w:t>
      </w:r>
      <w:r w:rsidR="00001528">
        <w:rPr>
          <w:rFonts w:eastAsia="Times New Roman"/>
          <w:color w:val="000000"/>
          <w:sz w:val="24"/>
          <w:szCs w:val="24"/>
        </w:rPr>
        <w:t>taken from subtracting the interpolated MORB spectra from the laboratory spectra. Evident from the residuals</w:t>
      </w:r>
      <w:r w:rsidR="00001528">
        <w:rPr>
          <w:rFonts w:eastAsia="Times New Roman"/>
          <w:color w:val="000000"/>
          <w:sz w:val="24"/>
          <w:szCs w:val="24"/>
        </w:rPr>
        <w:t xml:space="preserve"> </w:t>
      </w:r>
      <w:r>
        <w:rPr>
          <w:rFonts w:eastAsia="Times New Roman"/>
          <w:color w:val="000000"/>
          <w:sz w:val="24"/>
          <w:szCs w:val="24"/>
        </w:rPr>
        <w:t xml:space="preserve">is a small band </w:t>
      </w:r>
      <w:r>
        <w:rPr>
          <w:sz w:val="24"/>
          <w:szCs w:val="24"/>
        </w:rPr>
        <w:t xml:space="preserve">depth </w:t>
      </w:r>
      <w:r>
        <w:rPr>
          <w:rFonts w:eastAsia="Times New Roman"/>
          <w:color w:val="000000"/>
          <w:sz w:val="24"/>
          <w:szCs w:val="24"/>
        </w:rPr>
        <w:t xml:space="preserve">mismatch between the interpolated spectra (which assumes a perfect linear relationship between SSA and total water content) and the realistically non-linear experimental spectra from </w:t>
      </w:r>
      <w:r>
        <w:rPr>
          <w:sz w:val="24"/>
          <w:szCs w:val="24"/>
        </w:rPr>
        <w:t xml:space="preserve">laboratory measurements (see Figure </w:t>
      </w:r>
      <w:r w:rsidR="005814EB">
        <w:rPr>
          <w:sz w:val="24"/>
          <w:szCs w:val="24"/>
        </w:rPr>
        <w:t>S</w:t>
      </w:r>
      <w:r w:rsidR="005814EB">
        <w:rPr>
          <w:sz w:val="24"/>
          <w:szCs w:val="24"/>
        </w:rPr>
        <w:t>7</w:t>
      </w:r>
      <w:r>
        <w:rPr>
          <w:sz w:val="24"/>
          <w:szCs w:val="24"/>
        </w:rPr>
        <w:t>)</w:t>
      </w:r>
      <w:r>
        <w:rPr>
          <w:rFonts w:eastAsia="Times New Roman"/>
          <w:color w:val="000000"/>
          <w:sz w:val="24"/>
          <w:szCs w:val="24"/>
        </w:rPr>
        <w:t>. Specifically, for the 1522 ppm spectrum, the interpolated band shape is slightly shallower than the experimental band shape</w:t>
      </w:r>
      <w:r w:rsidR="00001528">
        <w:rPr>
          <w:rFonts w:eastAsia="Times New Roman"/>
          <w:color w:val="000000"/>
          <w:sz w:val="24"/>
          <w:szCs w:val="24"/>
        </w:rPr>
        <w:t xml:space="preserve"> (negative residual)</w:t>
      </w:r>
      <w:r>
        <w:rPr>
          <w:rFonts w:eastAsia="Times New Roman"/>
          <w:color w:val="000000"/>
          <w:sz w:val="24"/>
          <w:szCs w:val="24"/>
        </w:rPr>
        <w:t xml:space="preserve">. This band </w:t>
      </w:r>
      <w:r>
        <w:rPr>
          <w:sz w:val="24"/>
          <w:szCs w:val="24"/>
        </w:rPr>
        <w:t xml:space="preserve">shape </w:t>
      </w:r>
      <w:r>
        <w:rPr>
          <w:rFonts w:eastAsia="Times New Roman"/>
          <w:color w:val="000000"/>
          <w:sz w:val="24"/>
          <w:szCs w:val="24"/>
        </w:rPr>
        <w:t>mismatch resulted in the least-squares algorithm fitting slightly too little of the</w:t>
      </w:r>
      <w:r w:rsidR="00A70C23">
        <w:rPr>
          <w:rFonts w:eastAsia="Times New Roman"/>
          <w:color w:val="000000"/>
          <w:sz w:val="24"/>
          <w:szCs w:val="24"/>
        </w:rPr>
        <w:t xml:space="preserve"> laboratory</w:t>
      </w:r>
      <w:r>
        <w:rPr>
          <w:rFonts w:eastAsia="Times New Roman"/>
          <w:color w:val="000000"/>
          <w:sz w:val="24"/>
          <w:szCs w:val="24"/>
        </w:rPr>
        <w:t xml:space="preserve"> 1522 ppm endmember to the mixture and underestimating the total water content systemat</w:t>
      </w:r>
      <w:r>
        <w:rPr>
          <w:sz w:val="24"/>
          <w:szCs w:val="24"/>
        </w:rPr>
        <w:t>ically</w:t>
      </w:r>
      <w:r>
        <w:rPr>
          <w:rFonts w:eastAsia="Times New Roman"/>
          <w:color w:val="000000"/>
          <w:sz w:val="24"/>
          <w:szCs w:val="24"/>
        </w:rPr>
        <w:t>.</w:t>
      </w:r>
    </w:p>
    <w:p w14:paraId="28B0D078" w14:textId="4360734C" w:rsidR="00867801" w:rsidRDefault="00770CB1">
      <w:pPr>
        <w:pBdr>
          <w:top w:val="nil"/>
          <w:left w:val="nil"/>
          <w:bottom w:val="nil"/>
          <w:right w:val="nil"/>
          <w:between w:val="nil"/>
        </w:pBdr>
        <w:spacing w:before="120"/>
        <w:rPr>
          <w:rFonts w:eastAsia="Times New Roman"/>
          <w:color w:val="000000"/>
          <w:sz w:val="24"/>
          <w:szCs w:val="24"/>
        </w:rPr>
      </w:pPr>
      <w:r>
        <w:rPr>
          <w:rFonts w:eastAsia="Times New Roman"/>
          <w:noProof/>
          <w:color w:val="000000"/>
          <w:sz w:val="24"/>
          <w:szCs w:val="24"/>
        </w:rPr>
        <w:drawing>
          <wp:inline distT="0" distB="0" distL="0" distR="0" wp14:anchorId="44AD80B0" wp14:editId="150F431D">
            <wp:extent cx="5943600" cy="4465320"/>
            <wp:effectExtent l="0" t="0" r="0" b="0"/>
            <wp:docPr id="4" name="Picture 4" descr="Graphical user interface,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chart&#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465320"/>
                    </a:xfrm>
                    <a:prstGeom prst="rect">
                      <a:avLst/>
                    </a:prstGeom>
                  </pic:spPr>
                </pic:pic>
              </a:graphicData>
            </a:graphic>
          </wp:inline>
        </w:drawing>
      </w:r>
    </w:p>
    <w:p w14:paraId="28B0D079" w14:textId="2C519F51" w:rsidR="00867801" w:rsidRDefault="009E1DFE">
      <w:pPr>
        <w:keepNext/>
        <w:pBdr>
          <w:top w:val="nil"/>
          <w:left w:val="nil"/>
          <w:bottom w:val="nil"/>
          <w:right w:val="nil"/>
          <w:between w:val="nil"/>
        </w:pBdr>
        <w:spacing w:before="240"/>
        <w:rPr>
          <w:rFonts w:eastAsia="Times New Roman"/>
          <w:color w:val="000000"/>
          <w:sz w:val="24"/>
          <w:szCs w:val="24"/>
        </w:rPr>
      </w:pPr>
      <w:r>
        <w:rPr>
          <w:rFonts w:eastAsia="Times New Roman"/>
          <w:b/>
          <w:color w:val="000000"/>
          <w:sz w:val="24"/>
          <w:szCs w:val="24"/>
        </w:rPr>
        <w:lastRenderedPageBreak/>
        <w:t xml:space="preserve">Figure </w:t>
      </w:r>
      <w:r w:rsidR="00194A88">
        <w:rPr>
          <w:rFonts w:eastAsia="Times New Roman"/>
          <w:b/>
          <w:color w:val="000000"/>
          <w:sz w:val="24"/>
          <w:szCs w:val="24"/>
        </w:rPr>
        <w:t>1</w:t>
      </w:r>
      <w:r w:rsidR="00194A88">
        <w:rPr>
          <w:b/>
          <w:sz w:val="24"/>
          <w:szCs w:val="24"/>
        </w:rPr>
        <w:t>1</w:t>
      </w:r>
      <w:r>
        <w:rPr>
          <w:rFonts w:eastAsia="Times New Roman"/>
          <w:b/>
          <w:color w:val="000000"/>
          <w:sz w:val="24"/>
          <w:szCs w:val="24"/>
        </w:rPr>
        <w:t xml:space="preserve">. </w:t>
      </w:r>
      <w:r>
        <w:rPr>
          <w:rFonts w:eastAsia="Times New Roman"/>
          <w:color w:val="000000"/>
          <w:sz w:val="24"/>
          <w:szCs w:val="24"/>
        </w:rPr>
        <w:t xml:space="preserve">(a) Total water error as a function of input glass abundance and the interpolated MORB spectrum (Figure </w:t>
      </w:r>
      <w:r>
        <w:rPr>
          <w:sz w:val="24"/>
          <w:szCs w:val="24"/>
        </w:rPr>
        <w:t>2</w:t>
      </w:r>
      <w:r>
        <w:rPr>
          <w:rFonts w:eastAsia="Times New Roman"/>
          <w:color w:val="000000"/>
          <w:sz w:val="24"/>
          <w:szCs w:val="24"/>
        </w:rPr>
        <w:t>) used for each mixture. Each point corresponds to one spectrum/simulation. (b) Comparison of interpolated MORB spectra (obtained from a linear ESPAT fit) and laboratory MORB spectra at the same total water content for each. The total water content for each laboratory spectrum is given in the legend.</w:t>
      </w:r>
      <w:r w:rsidR="00D03CA7">
        <w:rPr>
          <w:rFonts w:eastAsia="Times New Roman"/>
          <w:color w:val="000000"/>
          <w:sz w:val="24"/>
          <w:szCs w:val="24"/>
        </w:rPr>
        <w:t xml:space="preserve"> (c) Residual</w:t>
      </w:r>
      <w:r w:rsidR="00A44279">
        <w:rPr>
          <w:rFonts w:eastAsia="Times New Roman"/>
          <w:color w:val="000000"/>
          <w:sz w:val="24"/>
          <w:szCs w:val="24"/>
        </w:rPr>
        <w:t>s from (b) obtained from subtracting the interpolated MORB spectra from the laboratory MORB spectra for each</w:t>
      </w:r>
      <w:r w:rsidR="003B1D28">
        <w:rPr>
          <w:rFonts w:eastAsia="Times New Roman"/>
          <w:color w:val="000000"/>
          <w:sz w:val="24"/>
          <w:szCs w:val="24"/>
        </w:rPr>
        <w:t xml:space="preserve"> experimental</w:t>
      </w:r>
      <w:r w:rsidR="00A44279">
        <w:rPr>
          <w:rFonts w:eastAsia="Times New Roman"/>
          <w:color w:val="000000"/>
          <w:sz w:val="24"/>
          <w:szCs w:val="24"/>
        </w:rPr>
        <w:t xml:space="preserve"> total water </w:t>
      </w:r>
      <w:r w:rsidR="003B1D28">
        <w:rPr>
          <w:rFonts w:eastAsia="Times New Roman"/>
          <w:color w:val="000000"/>
          <w:sz w:val="24"/>
          <w:szCs w:val="24"/>
        </w:rPr>
        <w:t>value</w:t>
      </w:r>
      <w:r w:rsidR="00A44279">
        <w:rPr>
          <w:rFonts w:eastAsia="Times New Roman"/>
          <w:color w:val="000000"/>
          <w:sz w:val="24"/>
          <w:szCs w:val="24"/>
        </w:rPr>
        <w:t>.</w:t>
      </w:r>
    </w:p>
    <w:p w14:paraId="28B0D07A" w14:textId="351A114E"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This band shape mismatch is not an issue unique to our simulations but is always present to some extent when using library or laboratory spectra (or relationships generated from them such as linear ESPAT relationships) to fit remote sensing datasets (passively or actively obtained). In our case the “laboratory” spectra are the experimental MORB spectra, and the “remote sensing” spectra are the spectral mixtures using the interpolated MORB spectra (Figure </w:t>
      </w:r>
      <w:r w:rsidR="00194A88">
        <w:rPr>
          <w:rFonts w:eastAsia="Times New Roman"/>
          <w:color w:val="000000"/>
          <w:sz w:val="24"/>
          <w:szCs w:val="24"/>
        </w:rPr>
        <w:t>1</w:t>
      </w:r>
      <w:r w:rsidR="00194A88">
        <w:rPr>
          <w:sz w:val="24"/>
          <w:szCs w:val="24"/>
        </w:rPr>
        <w:t>1</w:t>
      </w:r>
      <w:r w:rsidR="00194A88">
        <w:rPr>
          <w:rFonts w:eastAsia="Times New Roman"/>
          <w:color w:val="000000"/>
          <w:sz w:val="24"/>
          <w:szCs w:val="24"/>
        </w:rPr>
        <w:t>b</w:t>
      </w:r>
      <w:r>
        <w:rPr>
          <w:rFonts w:eastAsia="Times New Roman"/>
          <w:color w:val="000000"/>
          <w:sz w:val="24"/>
          <w:szCs w:val="24"/>
        </w:rPr>
        <w:t xml:space="preserve">). This same phenomenon of band shape mismatch </w:t>
      </w:r>
      <w:r>
        <w:rPr>
          <w:sz w:val="24"/>
          <w:szCs w:val="24"/>
        </w:rPr>
        <w:t xml:space="preserve">was </w:t>
      </w:r>
      <w:r>
        <w:rPr>
          <w:rFonts w:eastAsia="Times New Roman"/>
          <w:color w:val="000000"/>
          <w:sz w:val="24"/>
          <w:szCs w:val="24"/>
        </w:rPr>
        <w:t xml:space="preserve">observed with the synthetic lunar orange and yellow glass mixtures, where the differences between the MORB spectra used for fitting and the synthetic glass spectra used to create the mixture led to systematic errors in the retrievals on the order of 10s of ppm. The orange glass simulations exhibited a larger mean error than the yellow glass simulations, which is due to the band shapes of the synthetic glasses (Figure </w:t>
      </w:r>
      <w:r w:rsidR="005814EB">
        <w:rPr>
          <w:rFonts w:eastAsia="Times New Roman"/>
          <w:color w:val="000000"/>
          <w:sz w:val="24"/>
          <w:szCs w:val="24"/>
        </w:rPr>
        <w:t>S</w:t>
      </w:r>
      <w:r w:rsidR="005814EB">
        <w:rPr>
          <w:sz w:val="24"/>
          <w:szCs w:val="24"/>
        </w:rPr>
        <w:t>8</w:t>
      </w:r>
      <w:r>
        <w:rPr>
          <w:rFonts w:eastAsia="Times New Roman"/>
          <w:color w:val="000000"/>
          <w:sz w:val="24"/>
          <w:szCs w:val="24"/>
        </w:rPr>
        <w:t xml:space="preserve">). The orange glass has a band minimum closer to 2.85 µm, while the yellow glass band minimum is near 2.8 µm, giving a better match to the MORB glass band minimum used for the retrieval. </w:t>
      </w:r>
    </w:p>
    <w:p w14:paraId="28B0D07B" w14:textId="66D86523"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tested whether this systematic error was a function of the band shape difference (as described above) or the use of only these four wavelengths for the retrieval. We performed new retrievals on the orange and yellow glass spectra using the entire wavelength range between 1 and 4 µm for the least squares fitting procedure (approximating a passively obtained spectrum at 5 nm wavelength </w:t>
      </w:r>
      <w:r>
        <w:rPr>
          <w:sz w:val="24"/>
          <w:szCs w:val="24"/>
        </w:rPr>
        <w:t>sampling</w:t>
      </w:r>
      <w:r>
        <w:rPr>
          <w:rFonts w:eastAsia="Times New Roman"/>
          <w:color w:val="000000"/>
          <w:sz w:val="24"/>
          <w:szCs w:val="24"/>
        </w:rPr>
        <w:t>). From these tests we found the band shape difference to be the primary cause of the syste</w:t>
      </w:r>
      <w:r>
        <w:rPr>
          <w:sz w:val="24"/>
          <w:szCs w:val="24"/>
        </w:rPr>
        <w:t>matic</w:t>
      </w:r>
      <w:r>
        <w:rPr>
          <w:rFonts w:eastAsia="Times New Roman"/>
          <w:color w:val="000000"/>
          <w:sz w:val="24"/>
          <w:szCs w:val="24"/>
        </w:rPr>
        <w:t xml:space="preserve"> error. For the orange glass </w:t>
      </w:r>
      <w:r w:rsidR="00E05C5A">
        <w:rPr>
          <w:rFonts w:eastAsia="Times New Roman"/>
          <w:color w:val="000000"/>
          <w:sz w:val="24"/>
          <w:szCs w:val="24"/>
        </w:rPr>
        <w:t>simulations,</w:t>
      </w:r>
      <w:r>
        <w:rPr>
          <w:rFonts w:eastAsia="Times New Roman"/>
          <w:color w:val="000000"/>
          <w:sz w:val="24"/>
          <w:szCs w:val="24"/>
        </w:rPr>
        <w:t xml:space="preserve"> the mean error was still -53 ppm when using the entire wavelength range, the exact same as for the four-wavelength method. For the yellow glass simulations, the mean error was 0 ppm, an improvement of 11 ppm over the four-wavelength method.</w:t>
      </w:r>
    </w:p>
    <w:p w14:paraId="28B0D07C" w14:textId="7F7CBC94" w:rsidR="00867801" w:rsidRDefault="009E1DFE">
      <w:pPr>
        <w:pBdr>
          <w:top w:val="nil"/>
          <w:left w:val="nil"/>
          <w:bottom w:val="nil"/>
          <w:right w:val="nil"/>
          <w:between w:val="nil"/>
        </w:pBdr>
        <w:spacing w:before="120"/>
        <w:ind w:firstLine="720"/>
        <w:rPr>
          <w:rFonts w:eastAsia="Times New Roman"/>
          <w:b/>
          <w:color w:val="000000"/>
          <w:sz w:val="24"/>
          <w:szCs w:val="24"/>
        </w:rPr>
      </w:pPr>
      <w:r>
        <w:rPr>
          <w:rFonts w:eastAsia="Times New Roman"/>
          <w:color w:val="000000"/>
          <w:sz w:val="24"/>
          <w:szCs w:val="24"/>
        </w:rPr>
        <w:t>When only considering the reflectance values at the lidar wavelengths the mare and highlands mixtures are quite similar in overall spectral shape, with the main differences coming from the absolute reflectance.</w:t>
      </w:r>
      <w:r w:rsidR="00B922DC">
        <w:rPr>
          <w:rFonts w:eastAsia="Times New Roman"/>
          <w:color w:val="000000"/>
          <w:sz w:val="24"/>
          <w:szCs w:val="24"/>
        </w:rPr>
        <w:t xml:space="preserve"> </w:t>
      </w:r>
      <w:r>
        <w:rPr>
          <w:rFonts w:eastAsia="Times New Roman"/>
          <w:color w:val="000000"/>
          <w:sz w:val="24"/>
          <w:szCs w:val="24"/>
        </w:rPr>
        <w:t xml:space="preserve">The mean errors and standard deviations for the two sets of simulations were very similar, differing by less than 5 ppm for the mean error and less than 15 ppm for the standard deviation. </w:t>
      </w:r>
      <w:r w:rsidR="003E2FB5">
        <w:rPr>
          <w:rFonts w:eastAsia="Times New Roman"/>
          <w:color w:val="000000"/>
          <w:sz w:val="24"/>
          <w:szCs w:val="24"/>
        </w:rPr>
        <w:t>To</w:t>
      </w:r>
      <w:r w:rsidR="00CA3675">
        <w:rPr>
          <w:rFonts w:eastAsia="Times New Roman"/>
          <w:color w:val="000000"/>
          <w:sz w:val="24"/>
          <w:szCs w:val="24"/>
        </w:rPr>
        <w:t xml:space="preserve"> convert the lidar measurement precision to band depth,</w:t>
      </w:r>
      <w:r w:rsidR="009E16AF">
        <w:rPr>
          <w:rFonts w:eastAsia="Times New Roman"/>
          <w:color w:val="000000"/>
          <w:sz w:val="24"/>
          <w:szCs w:val="24"/>
        </w:rPr>
        <w:t xml:space="preserve"> </w:t>
      </w:r>
      <w:r w:rsidR="009E16AF">
        <w:rPr>
          <w:sz w:val="24"/>
          <w:szCs w:val="24"/>
        </w:rPr>
        <w:t>w</w:t>
      </w:r>
      <w:r w:rsidR="009E16AF">
        <w:rPr>
          <w:sz w:val="24"/>
          <w:szCs w:val="24"/>
        </w:rPr>
        <w:t xml:space="preserve">e </w:t>
      </w:r>
      <w:r w:rsidR="009E16AF">
        <w:rPr>
          <w:sz w:val="24"/>
          <w:szCs w:val="24"/>
        </w:rPr>
        <w:t>used</w:t>
      </w:r>
      <w:r w:rsidR="009E16AF">
        <w:rPr>
          <w:sz w:val="24"/>
          <w:szCs w:val="24"/>
        </w:rPr>
        <w:t xml:space="preserve"> </w:t>
      </w:r>
      <w:r w:rsidR="00B922DC">
        <w:rPr>
          <w:sz w:val="24"/>
          <w:szCs w:val="24"/>
        </w:rPr>
        <w:t>the</w:t>
      </w:r>
      <w:r>
        <w:rPr>
          <w:sz w:val="24"/>
          <w:szCs w:val="24"/>
        </w:rPr>
        <w:t xml:space="preserve"> largest standard deviation of the retrieval error (52 ppm for the mare simulations) </w:t>
      </w:r>
      <w:r w:rsidR="00977CB7">
        <w:rPr>
          <w:sz w:val="24"/>
          <w:szCs w:val="24"/>
        </w:rPr>
        <w:t>and</w:t>
      </w:r>
      <w:r w:rsidR="00977CB7">
        <w:rPr>
          <w:sz w:val="24"/>
          <w:szCs w:val="24"/>
        </w:rPr>
        <w:t xml:space="preserve"> </w:t>
      </w:r>
      <w:r w:rsidR="009E16AF">
        <w:rPr>
          <w:sz w:val="24"/>
          <w:szCs w:val="24"/>
        </w:rPr>
        <w:t>creat</w:t>
      </w:r>
      <w:r w:rsidR="009E16AF">
        <w:rPr>
          <w:sz w:val="24"/>
          <w:szCs w:val="24"/>
        </w:rPr>
        <w:t>e</w:t>
      </w:r>
      <w:r w:rsidR="00977CB7">
        <w:rPr>
          <w:sz w:val="24"/>
          <w:szCs w:val="24"/>
        </w:rPr>
        <w:t>d</w:t>
      </w:r>
      <w:r w:rsidR="009E16AF">
        <w:rPr>
          <w:sz w:val="24"/>
          <w:szCs w:val="24"/>
        </w:rPr>
        <w:t xml:space="preserve"> </w:t>
      </w:r>
      <w:r>
        <w:rPr>
          <w:sz w:val="24"/>
          <w:szCs w:val="24"/>
        </w:rPr>
        <w:t xml:space="preserve">a new set of spectral mixtures all with 52 ppm total water (see supplementary material for details). </w:t>
      </w:r>
      <w:r w:rsidR="003238EE">
        <w:rPr>
          <w:sz w:val="24"/>
          <w:szCs w:val="24"/>
        </w:rPr>
        <w:t>Measured b</w:t>
      </w:r>
      <w:r>
        <w:rPr>
          <w:sz w:val="24"/>
          <w:szCs w:val="24"/>
        </w:rPr>
        <w:t>and depth depends on both the albedo</w:t>
      </w:r>
      <w:r w:rsidR="003238EE">
        <w:rPr>
          <w:sz w:val="24"/>
          <w:szCs w:val="24"/>
        </w:rPr>
        <w:t xml:space="preserve"> </w:t>
      </w:r>
      <w:r>
        <w:rPr>
          <w:sz w:val="24"/>
          <w:szCs w:val="24"/>
        </w:rPr>
        <w:t>of the regolith</w:t>
      </w:r>
      <w:r w:rsidR="003238EE">
        <w:rPr>
          <w:sz w:val="24"/>
          <w:szCs w:val="24"/>
        </w:rPr>
        <w:t xml:space="preserve"> </w:t>
      </w:r>
      <w:r w:rsidR="003238EE">
        <w:rPr>
          <w:sz w:val="24"/>
          <w:szCs w:val="24"/>
        </w:rPr>
        <w:t>(as discussed above and shown in Figure 10)</w:t>
      </w:r>
      <w:r>
        <w:rPr>
          <w:sz w:val="24"/>
          <w:szCs w:val="24"/>
        </w:rPr>
        <w:t xml:space="preserve"> and how the continuum is defined. </w:t>
      </w:r>
      <w:r w:rsidR="00DB2B90">
        <w:rPr>
          <w:sz w:val="24"/>
          <w:szCs w:val="24"/>
        </w:rPr>
        <w:t xml:space="preserve">From these simulations </w:t>
      </w:r>
      <w:r>
        <w:rPr>
          <w:sz w:val="24"/>
          <w:szCs w:val="24"/>
        </w:rPr>
        <w:t xml:space="preserve">52 ppm of total water </w:t>
      </w:r>
      <w:r>
        <w:rPr>
          <w:rFonts w:eastAsia="Times New Roman"/>
          <w:color w:val="000000"/>
          <w:sz w:val="24"/>
          <w:szCs w:val="24"/>
        </w:rPr>
        <w:t>correspond</w:t>
      </w:r>
      <w:r>
        <w:rPr>
          <w:sz w:val="24"/>
          <w:szCs w:val="24"/>
        </w:rPr>
        <w:t>ed</w:t>
      </w:r>
      <w:r>
        <w:rPr>
          <w:rFonts w:eastAsia="Times New Roman"/>
          <w:color w:val="000000"/>
          <w:sz w:val="24"/>
          <w:szCs w:val="24"/>
        </w:rPr>
        <w:t xml:space="preserve"> to </w:t>
      </w:r>
      <w:r w:rsidR="00DB2B90">
        <w:rPr>
          <w:rFonts w:eastAsia="Times New Roman"/>
          <w:color w:val="000000"/>
          <w:sz w:val="24"/>
          <w:szCs w:val="24"/>
        </w:rPr>
        <w:t>a</w:t>
      </w:r>
      <w:r w:rsidR="00DB2B90">
        <w:rPr>
          <w:rFonts w:eastAsia="Times New Roman"/>
          <w:color w:val="000000"/>
          <w:sz w:val="24"/>
          <w:szCs w:val="24"/>
        </w:rPr>
        <w:t xml:space="preserve"> </w:t>
      </w:r>
      <w:r>
        <w:rPr>
          <w:rFonts w:eastAsia="Times New Roman"/>
          <w:color w:val="000000"/>
          <w:sz w:val="24"/>
          <w:szCs w:val="24"/>
        </w:rPr>
        <w:t xml:space="preserve">relative 2.8 µm band depth to a precision of </w:t>
      </w:r>
      <w:r>
        <w:rPr>
          <w:sz w:val="24"/>
          <w:szCs w:val="24"/>
        </w:rPr>
        <w:t>0.62</w:t>
      </w:r>
      <w:r>
        <w:rPr>
          <w:rFonts w:eastAsia="Times New Roman"/>
          <w:color w:val="000000"/>
          <w:sz w:val="24"/>
          <w:szCs w:val="24"/>
        </w:rPr>
        <w:t xml:space="preserve">% in </w:t>
      </w:r>
      <w:r w:rsidRPr="00EE6B30">
        <w:rPr>
          <w:rFonts w:eastAsia="Times New Roman"/>
          <w:i/>
          <w:iCs/>
          <w:color w:val="000000"/>
          <w:sz w:val="24"/>
          <w:szCs w:val="24"/>
        </w:rPr>
        <w:t>lidar</w:t>
      </w:r>
      <w:r>
        <w:rPr>
          <w:rFonts w:eastAsia="Times New Roman"/>
          <w:color w:val="000000"/>
          <w:sz w:val="24"/>
          <w:szCs w:val="24"/>
        </w:rPr>
        <w:t xml:space="preserve"> reflectance</w:t>
      </w:r>
      <w:r w:rsidR="00DB2B90">
        <w:rPr>
          <w:rFonts w:eastAsia="Times New Roman"/>
          <w:color w:val="000000"/>
          <w:sz w:val="24"/>
          <w:szCs w:val="24"/>
        </w:rPr>
        <w:t xml:space="preserve"> (Figure S10)</w:t>
      </w:r>
      <w:r>
        <w:rPr>
          <w:rFonts w:eastAsia="Times New Roman"/>
          <w:color w:val="000000"/>
          <w:sz w:val="24"/>
          <w:szCs w:val="24"/>
        </w:rPr>
        <w:t xml:space="preserve">. </w:t>
      </w:r>
      <w:r>
        <w:rPr>
          <w:sz w:val="24"/>
          <w:szCs w:val="24"/>
        </w:rPr>
        <w:t>Comparing this precision with the precision of passive spectrometer results is not straightforward, and even direct comparison between varying precision metrics present in the literature (ESPAT, band depth, integrated band depth, abundance) is difficult. However, this precision is generally in line with or slightly better than the band depth precision reported from M</w:t>
      </w:r>
      <w:r>
        <w:rPr>
          <w:sz w:val="24"/>
          <w:szCs w:val="24"/>
          <w:vertAlign w:val="superscript"/>
        </w:rPr>
        <w:t>3</w:t>
      </w:r>
      <w:r>
        <w:rPr>
          <w:sz w:val="24"/>
          <w:szCs w:val="24"/>
        </w:rPr>
        <w:t xml:space="preserve"> results </w:t>
      </w:r>
      <w:r w:rsidR="00E05C5A">
        <w:rPr>
          <w:sz w:val="24"/>
          <w:szCs w:val="24"/>
        </w:rPr>
        <w:fldChar w:fldCharType="begin"/>
      </w:r>
      <w:r w:rsidR="008B0A8A">
        <w:rPr>
          <w:sz w:val="24"/>
          <w:szCs w:val="24"/>
        </w:rPr>
        <w:instrText xml:space="preserve"> ADDIN ZOTERO_ITEM CSL_CITATION {"citationID":"yVz0mY5o","properties":{"formattedCitation":"(S. Li &amp; Milliken, 2017; McCord et al., 2011)","plainCitation":"(S. Li &amp; Milliken, 2017; McCord et al., 2011)","noteIndex":0},"citationItems":[{"id":607,"uris":["http://zotero.org/users/local/lFa3rRs0/items/X2YEI7YD"],"itemData":{"id":607,"type":"article-journal","abstract":"A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1014 g of water averaged over the globe. Formation and migration of water toward cold traps may thus be a continuous process on the Moon and other airless bodies.\nSpectral reflectance data are used to determine the formation, distribution, and variation of water across the lunar surface.\nSpectral reflectance data are used to determine the formation, distribution, and variation of water across the lunar surface.","container-title":"Science Advances","DOI":"10.1126/sciadv.1701471","ISSN":"2375-2548","issue":"9","language":"en","note":"publisher: American Association for the Advancement of Science\nsection: Research Article","page":"e1701471","source":"advances.sciencemag.org","title":"Water on the surface of the Moon as seen by the Moon Mineralogy Mapper: Distribution, abundance, and origins","title-short":"Water on the surface of the Moon as seen by the Moon Mineralogy Mapper","volume":"3","author":[{"family":"Li","given":"Shuai"},{"family":"Milliken","given":"Ralph E."}],"issued":{"date-parts":[["2017",9,1]]}}},{"id":597,"uris":["http://zotero.org/users/local/lFa3rRs0/items/5KS7Z69F"],"itemData":{"id":597,"type":"article-journal","abstract":"Analysis of two absorption features near 3 μm in the lunar reflectance spectrum, observed by the orbiting M3 spectrometer and interpreted as being due to OH and H2O, is presented, and the results are used to discuss the processes producing these molecules. This analysis focuses on the dependence of the absorptions on lunar physical properties, including composition, illumination, latitude, and temperature. Solar wind proton-induced hydroxylation is proposed as the creation process, and its products could be a source for other reported types of hydrogen-rich material and water. The irregular and damaged fine-grained lunar soil seems especially adapted for trapping solar wind protons and forming OH owing to abundant dangling oxygen bonds. The M3 data reveal that the strengths of the two absorptions are correlated and widespread, and both are correlated with lunar composition but in different ways. Feldspathic material seems richer in OH. These results seem to rule out water from the lunar interior and cometary infall as major sources. There appear to be correlations of apparent band strengths with time of day and lighting conditions. However, thermal emission from the Moon reduces the apparent strengths of the M3 absorptions, and its removal is not yet completely successful. Further, many of the lunar physical properties are themselves intercorrelated, and so separating these dependencies on the absorptions is difficult, due to the incomplete M3 data set. This process should also operate on other airless silicate surfaces, such as Mercury and Vesta, which will be visited by the Dawn spacecraft in mid-2011.","container-title":"Journal of Geophysical Research: Planets","DOI":"10.1029/2010JE003711","ISSN":"2156-2202","issue":"E6","language":"en","note":"_eprint: https://agupubs.onlinelibrary.wiley.com/doi/pdf/10.1029/2010JE003711","source":"Wiley Online Library","title":"Sources and physical processes responsible for OH/H2O in the lunar soil as revealed by the Moon Mineralogy Mapper (M3)","URL":"https://agupubs.onlinelibrary.wiley.com/doi/abs/10.1029/2010JE003711","volume":"116","author":[{"family":"McCord","given":"T. B."},{"family":"Taylor","given":"L. A."},{"family":"Combe","given":"J.-P."},{"family":"Kramer","given":"G."},{"family":"Pieters","given":"C. M."},{"family":"Sunshine","given":"J. M."},{"family":"Clark","given":"R. N."}],"accessed":{"date-parts":[["2021",7,21]]},"issued":{"date-parts":[["2011"]]}}}],"schema":"https://github.com/citation-style-language/schema/raw/master/csl-citation.json"} </w:instrText>
      </w:r>
      <w:r w:rsidR="00E05C5A">
        <w:rPr>
          <w:sz w:val="24"/>
          <w:szCs w:val="24"/>
        </w:rPr>
        <w:fldChar w:fldCharType="separate"/>
      </w:r>
      <w:r w:rsidR="00E05C5A" w:rsidRPr="00E05C5A">
        <w:rPr>
          <w:sz w:val="24"/>
        </w:rPr>
        <w:t>(S. Li &amp; Milliken, 2017; McCord et al., 2011)</w:t>
      </w:r>
      <w:r w:rsidR="00E05C5A">
        <w:rPr>
          <w:sz w:val="24"/>
          <w:szCs w:val="24"/>
        </w:rPr>
        <w:fldChar w:fldCharType="end"/>
      </w:r>
      <w:r>
        <w:rPr>
          <w:sz w:val="24"/>
          <w:szCs w:val="24"/>
        </w:rPr>
        <w:t xml:space="preserve"> and the ground-based IRTF </w:t>
      </w:r>
      <w:r w:rsidR="005A6F05">
        <w:rPr>
          <w:sz w:val="24"/>
          <w:szCs w:val="24"/>
        </w:rPr>
        <w:fldChar w:fldCharType="begin"/>
      </w:r>
      <w:r w:rsidR="008B0A8A">
        <w:rPr>
          <w:sz w:val="24"/>
          <w:szCs w:val="24"/>
        </w:rPr>
        <w:instrText xml:space="preserve"> ADDIN ZOTERO_ITEM CSL_CITATION {"citationID":"2TOuCyw7","properties":{"formattedCitation":"(Honniball et al., 2020)","plainCitation":"(Honniball et al., 2020)","noteIndex":0},"citationItems":[{"id":15,"uris":["http://zotero.org/users/local/lFa3rRs0/items/FA5YXWFR"],"itemData":{"id":15,"type":"article-journal","abstract":"Prior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M."},{"family":"Takir","given":"D."}],"issued":{"date-parts":[["2020",9]]}}}],"schema":"https://github.com/citation-style-language/schema/raw/master/csl-citation.json"} </w:instrText>
      </w:r>
      <w:r w:rsidR="005A6F05">
        <w:rPr>
          <w:sz w:val="24"/>
          <w:szCs w:val="24"/>
        </w:rPr>
        <w:fldChar w:fldCharType="separate"/>
      </w:r>
      <w:r w:rsidR="005A6F05" w:rsidRPr="005A6F05">
        <w:rPr>
          <w:sz w:val="24"/>
        </w:rPr>
        <w:t>(Honniball et al., 2020)</w:t>
      </w:r>
      <w:r w:rsidR="005A6F05">
        <w:rPr>
          <w:sz w:val="24"/>
          <w:szCs w:val="24"/>
        </w:rPr>
        <w:fldChar w:fldCharType="end"/>
      </w:r>
      <w:r>
        <w:rPr>
          <w:sz w:val="24"/>
          <w:szCs w:val="24"/>
        </w:rPr>
        <w:t>.</w:t>
      </w:r>
    </w:p>
    <w:p w14:paraId="28B0D07D" w14:textId="3068EA7B" w:rsidR="00867801" w:rsidRDefault="009E1DFE">
      <w:pPr>
        <w:pBdr>
          <w:top w:val="nil"/>
          <w:left w:val="nil"/>
          <w:bottom w:val="nil"/>
          <w:right w:val="nil"/>
          <w:between w:val="nil"/>
        </w:pBdr>
        <w:spacing w:before="120"/>
        <w:ind w:firstLine="720"/>
        <w:rPr>
          <w:sz w:val="24"/>
          <w:szCs w:val="24"/>
        </w:rPr>
      </w:pPr>
      <w:r>
        <w:rPr>
          <w:sz w:val="24"/>
          <w:szCs w:val="24"/>
        </w:rPr>
        <w:lastRenderedPageBreak/>
        <w:t xml:space="preserve">With the largest error of 52 ppm for the mare simulations, variations in the 3 µm band can be distinguished using this four wavelength lidar system. Taking the conservative side of recent observations, Honniball et al. </w:t>
      </w:r>
      <w:r w:rsidR="005A6F05">
        <w:rPr>
          <w:sz w:val="24"/>
          <w:szCs w:val="24"/>
        </w:rPr>
        <w:fldChar w:fldCharType="begin"/>
      </w:r>
      <w:r w:rsidR="008B0A8A">
        <w:rPr>
          <w:sz w:val="24"/>
          <w:szCs w:val="24"/>
        </w:rPr>
        <w:instrText xml:space="preserve"> ADDIN ZOTERO_ITEM CSL_CITATION {"citationID":"5NK0ktJr","properties":{"formattedCitation":"(Honniball et al., 2020)","plainCitation":"(Honniball et al., 2020)","noteIndex":0},"citationItems":[{"id":15,"uris":["http://zotero.org/users/local/lFa3rRs0/items/FA5YXWFR"],"itemData":{"id":15,"type":"article-journal","abstract":"Prior to 2009, the surface of the Moon was believed to be anhydrous. However, observations by three spacecraft revealed a hydrated surface by reporting a 3 μm absorption band attributed to hydroxyl and possibly molecular water. The Moon Mineralogy Mapper (M3) spectrometer on board the Chandrayaan-1 spacecraft has been used to study the lunar 3 μm band, but its spectral range ends at 3 μm. The limited wavelength range of M3 has allowed observed variations in the strength of the 3 μm band to be called into question due to uncertainties in thermal corrections. To investigate the validity of variations in the lunar 3 μm band, we used the SpeX infrared spectrograph at the NASA InfraRed Telescope Facility at Maunakea Observatory in Hawai‘i. With SpeX, we are able to obtain lunar data over a wavelength range of 1.67 to 4.2 μm at 1–2 km spatial resolution. The long wavelengths provide strong constraints on separating thermal emission from solar reflectance. We confirm that the 3 μm band varies with lunar time of day as well as with latitude and composition. Pole-to-pole observation chords reveal strong variations in abundances of hydroxyl and possibly molecular water. The data reveal a decrease in abundance as lunar noon is approached, an asymmetric trend about the equator that favors the southern latitudes, and higher concentrations in highland regions. The longer wavelengths provided by SpeX have allowed us to examine variations in the 3 μm band and provide definitive evidence that the variations are due to changes in hydration.","container-title":"Journal of Geophysical Research: Planets","DOI":"10.1029/2020JE006484","ISSN":"2169-9100","issue":"9","note":"publisher: John Wiley &amp; Sons, Ltd","page":"e2020JE006484","title":"Telescopic Observations of Lunar Hydration: Variations and Abundance","volume":"125","author":[{"family":"Honniball","given":"C. I."},{"family":"Lucey","given":"P. G."},{"family":"Ferrari-Wong","given":"C. M."},{"family":"Flom","given":"A."},{"family":"Li","given":"S."},{"family":"Kaluna","given":"H. M."},{"family":"Takir","given":"D."}],"issued":{"date-parts":[["2020",9]]}}}],"schema":"https://github.com/citation-style-language/schema/raw/master/csl-citation.json"} </w:instrText>
      </w:r>
      <w:r w:rsidR="005A6F05">
        <w:rPr>
          <w:sz w:val="24"/>
          <w:szCs w:val="24"/>
        </w:rPr>
        <w:fldChar w:fldCharType="separate"/>
      </w:r>
      <w:r w:rsidR="005A6F05" w:rsidRPr="005A6F05">
        <w:rPr>
          <w:sz w:val="24"/>
        </w:rPr>
        <w:t>(Honniball et al., 2020)</w:t>
      </w:r>
      <w:r w:rsidR="005A6F05">
        <w:rPr>
          <w:sz w:val="24"/>
          <w:szCs w:val="24"/>
        </w:rPr>
        <w:fldChar w:fldCharType="end"/>
      </w:r>
      <w:r>
        <w:rPr>
          <w:sz w:val="24"/>
          <w:szCs w:val="24"/>
        </w:rPr>
        <w:t xml:space="preserve"> report latitudinal and time of day variations of at least 100 to 200 ppm total water. Measurements with a lidar system as described here with a maximum error of 52 ppm would be able to distinguish these diurnal and latitude variations and make the first measurements of night-side hydration. If variations of any magnitude are observed</w:t>
      </w:r>
      <w:r w:rsidR="00956061">
        <w:rPr>
          <w:sz w:val="24"/>
          <w:szCs w:val="24"/>
        </w:rPr>
        <w:t>,</w:t>
      </w:r>
      <w:r>
        <w:rPr>
          <w:sz w:val="24"/>
          <w:szCs w:val="24"/>
        </w:rPr>
        <w:t xml:space="preserve"> it refutes models and processes that lead to no variation of hydration on the lunar surface. This magnitude of error is also suitable to test the models of Jones et al. </w:t>
      </w:r>
      <w:r w:rsidR="00FE00A8">
        <w:rPr>
          <w:sz w:val="24"/>
          <w:szCs w:val="24"/>
        </w:rPr>
        <w:fldChar w:fldCharType="begin"/>
      </w:r>
      <w:r w:rsidR="008B0A8A">
        <w:rPr>
          <w:sz w:val="24"/>
          <w:szCs w:val="24"/>
        </w:rPr>
        <w:instrText xml:space="preserve"> ADDIN ZOTERO_ITEM CSL_CITATION {"citationID":"f6rx5lyM","properties":{"formattedCitation":"(Jones et al., 2018)","plainCitation":"(Jones et al., 2018)","noteIndex":0},"citationItems":[{"id":728,"uris":["http://zotero.org/users/local/lFa3rRs0/items/CX5K44MA"],"itemData":{"id":728,"type":"article-journal","container-title":"Geophysical Research Letters","issue":"20","note":"publisher: Wiley Online Library","page":"10–959","title":"Solar wind-induced water cycle on the Moon","volume":"45","author":[{"family":"Jones","given":"Brant M"},{"family":"Aleksandrov","given":"Alex"},{"family":"Hibbitts","given":"K"},{"family":"Dyar","given":"MD"},{"family":"Orlando","given":"Thomas M"}],"issued":{"date-parts":[["2018"]]}}}],"schema":"https://github.com/citation-style-language/schema/raw/master/csl-citation.json"} </w:instrText>
      </w:r>
      <w:r w:rsidR="00FE00A8">
        <w:rPr>
          <w:sz w:val="24"/>
          <w:szCs w:val="24"/>
        </w:rPr>
        <w:fldChar w:fldCharType="separate"/>
      </w:r>
      <w:r w:rsidR="00FE00A8" w:rsidRPr="00FE00A8">
        <w:rPr>
          <w:sz w:val="24"/>
        </w:rPr>
        <w:t>(Jones et al., 2018)</w:t>
      </w:r>
      <w:r w:rsidR="00FE00A8">
        <w:rPr>
          <w:sz w:val="24"/>
          <w:szCs w:val="24"/>
        </w:rPr>
        <w:fldChar w:fldCharType="end"/>
      </w:r>
      <w:r>
        <w:rPr>
          <w:sz w:val="24"/>
          <w:szCs w:val="24"/>
        </w:rPr>
        <w:t xml:space="preserve"> and Tucker et al. (2018) that show 60 to 100 ppm variations of total water with latitude or lunar local time.</w:t>
      </w:r>
      <w:r w:rsidR="00737ED5">
        <w:rPr>
          <w:sz w:val="24"/>
          <w:szCs w:val="24"/>
        </w:rPr>
        <w:t xml:space="preserve"> Li and Milliken </w:t>
      </w:r>
      <w:r w:rsidR="00FE00A8">
        <w:rPr>
          <w:sz w:val="24"/>
          <w:szCs w:val="24"/>
        </w:rPr>
        <w:fldChar w:fldCharType="begin"/>
      </w:r>
      <w:r w:rsidR="008B0A8A">
        <w:rPr>
          <w:sz w:val="24"/>
          <w:szCs w:val="24"/>
        </w:rPr>
        <w:instrText xml:space="preserve"> ADDIN ZOTERO_ITEM CSL_CITATION {"citationID":"GfEjYXMf","properties":{"formattedCitation":"(S. Li &amp; Milliken, 2017)","plainCitation":"(S. Li &amp; Milliken, 2017)","noteIndex":0},"citationItems":[{"id":607,"uris":["http://zotero.org/users/local/lFa3rRs0/items/X2YEI7YD"],"itemData":{"id":607,"type":"article-journal","abstract":"A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1014 g of water averaged over the globe. Formation and migration of water toward cold traps may thus be a continuous process on the Moon and other airless bodies.\nSpectral reflectance data are used to determine the formation, distribution, and variation of water across the lunar surface.\nSpectral reflectance data are used to determine the formation, distribution, and variation of water across the lunar surface.","container-title":"Science Advances","DOI":"10.1126/sciadv.1701471","ISSN":"2375-2548","issue":"9","language":"en","note":"publisher: American Association for the Advancement of Science\nsection: Research Article","page":"e1701471","source":"advances.sciencemag.org","title":"Water on the surface of the Moon as seen by the Moon Mineralogy Mapper: Distribution, abundance, and origins","title-short":"Water on the surface of the Moon as seen by the Moon Mineralogy Mapper","volume":"3","author":[{"family":"Li","given":"Shuai"},{"family":"Milliken","given":"Ralph E."}],"issued":{"date-parts":[["2017",9,1]]}}}],"schema":"https://github.com/citation-style-language/schema/raw/master/csl-citation.json"} </w:instrText>
      </w:r>
      <w:r w:rsidR="00FE00A8">
        <w:rPr>
          <w:sz w:val="24"/>
          <w:szCs w:val="24"/>
        </w:rPr>
        <w:fldChar w:fldCharType="separate"/>
      </w:r>
      <w:r w:rsidR="00FE00A8" w:rsidRPr="00FE00A8">
        <w:rPr>
          <w:sz w:val="24"/>
        </w:rPr>
        <w:t>(S. Li &amp; Milliken, 2017)</w:t>
      </w:r>
      <w:r w:rsidR="00FE00A8">
        <w:rPr>
          <w:sz w:val="24"/>
          <w:szCs w:val="24"/>
        </w:rPr>
        <w:fldChar w:fldCharType="end"/>
      </w:r>
      <w:r w:rsidR="00737ED5">
        <w:rPr>
          <w:sz w:val="24"/>
          <w:szCs w:val="24"/>
        </w:rPr>
        <w:t xml:space="preserve"> </w:t>
      </w:r>
      <w:r w:rsidR="001B5258">
        <w:rPr>
          <w:sz w:val="24"/>
          <w:szCs w:val="24"/>
        </w:rPr>
        <w:t>performed analysis of M</w:t>
      </w:r>
      <w:r w:rsidR="001B5258">
        <w:rPr>
          <w:sz w:val="24"/>
          <w:szCs w:val="24"/>
          <w:vertAlign w:val="superscript"/>
        </w:rPr>
        <w:t>3</w:t>
      </w:r>
      <w:r w:rsidR="001B5258">
        <w:rPr>
          <w:sz w:val="24"/>
          <w:szCs w:val="24"/>
        </w:rPr>
        <w:t xml:space="preserve"> data showing diurnal trends of several hundred ppm, which</w:t>
      </w:r>
      <w:r w:rsidR="00552039">
        <w:rPr>
          <w:sz w:val="24"/>
          <w:szCs w:val="24"/>
        </w:rPr>
        <w:t xml:space="preserve"> would be easily observable by this technique. </w:t>
      </w:r>
      <w:r w:rsidR="0067114C">
        <w:rPr>
          <w:sz w:val="24"/>
          <w:szCs w:val="24"/>
        </w:rPr>
        <w:t xml:space="preserve">Finally, Sunshine et al. </w:t>
      </w:r>
      <w:r w:rsidR="00FE00A8">
        <w:rPr>
          <w:sz w:val="24"/>
          <w:szCs w:val="24"/>
        </w:rPr>
        <w:fldChar w:fldCharType="begin"/>
      </w:r>
      <w:r w:rsidR="008B0A8A">
        <w:rPr>
          <w:sz w:val="24"/>
          <w:szCs w:val="24"/>
        </w:rPr>
        <w:instrText xml:space="preserve"> ADDIN ZOTERO_ITEM CSL_CITATION {"citationID":"2rpuQE3P","properties":{"formattedCitation":"(Sunshine et al., 2009)","plainCitation":"(Sunshine et al., 2009)","noteIndex":0},"citationItems":[{"id":20,"uris":["http://zotero.org/users/local/lFa3rRs0/items/9C44DU36"],"itemData":{"id":20,"type":"article-journal","abstract":"The Moon is generally anhydrous, yet the Deep Impact spacecraft found the entire surface to be hydrated during some portions of the day. Hydroxyl (OH) and water (H2O) absorptions in the near infrared were strongest near the North Pole and are consistent with &lt;0.5 weight percent H2O. Hydration varied with temperature, rather than cumulative solar radiation, but no inherent absorptivity differences with composition were observed. However, comparisons between data collected 1 week (a quarter lunar day) apart show a dynamic process with diurnal changes in hydration that were greater for mare basalts ($\\sim$70%) than for highlands ($\\sim$50%). This hydration loss and return to a steady state occurred entirely between local morning and evening, requiring a ready daytime source of water-group ions, which is consistent with a solar wind origin.","container-title":"Science","DOI":"10.1126/SCIENCE.1179788","ISSN":"0036-8075","issue":"5952","note":"publisher: American Association for the Advancement of Science\nPMID: 19779149","page":"565–568","title":"Temporal and Spatial Variability of Lunar Hydration As Observed by the Deep Impact Spacecraft","volume":"326","author":[{"family":"Sunshine","given":"Jessica M."},{"family":"Farnham","given":"Tony L."},{"family":"Feaga","given":"Lori M."},{"family":"Groussin","given":"Olivier"},{"family":"Merlin","given":"Frédéric"},{"family":"Milliken","given":"Ralph E."},{"family":"A'Hearn","given":"Michael F."}],"issued":{"date-parts":[["2009",10]]}}}],"schema":"https://github.com/citation-style-language/schema/raw/master/csl-citation.json"} </w:instrText>
      </w:r>
      <w:r w:rsidR="00FE00A8">
        <w:rPr>
          <w:sz w:val="24"/>
          <w:szCs w:val="24"/>
        </w:rPr>
        <w:fldChar w:fldCharType="separate"/>
      </w:r>
      <w:r w:rsidR="00FE00A8" w:rsidRPr="00FE00A8">
        <w:rPr>
          <w:sz w:val="24"/>
        </w:rPr>
        <w:t>(Sunshine et al., 2009)</w:t>
      </w:r>
      <w:r w:rsidR="00FE00A8">
        <w:rPr>
          <w:sz w:val="24"/>
          <w:szCs w:val="24"/>
        </w:rPr>
        <w:fldChar w:fldCharType="end"/>
      </w:r>
      <w:r w:rsidR="0067114C">
        <w:rPr>
          <w:sz w:val="24"/>
          <w:szCs w:val="24"/>
        </w:rPr>
        <w:t xml:space="preserve"> observed changes in the 2.8 µm band depth of </w:t>
      </w:r>
      <w:r w:rsidR="00BE1629">
        <w:rPr>
          <w:sz w:val="24"/>
          <w:szCs w:val="24"/>
        </w:rPr>
        <w:t>3 to 5%, which is achievable by our approach</w:t>
      </w:r>
      <w:r w:rsidR="00E1626D">
        <w:rPr>
          <w:sz w:val="24"/>
          <w:szCs w:val="24"/>
        </w:rPr>
        <w:t xml:space="preserve"> which can measure to sub-1% band depth precision</w:t>
      </w:r>
      <w:r w:rsidR="00BE1629">
        <w:rPr>
          <w:sz w:val="24"/>
          <w:szCs w:val="24"/>
        </w:rPr>
        <w:t xml:space="preserve">. </w:t>
      </w:r>
      <w:r>
        <w:rPr>
          <w:sz w:val="24"/>
          <w:szCs w:val="24"/>
        </w:rPr>
        <w:t>The distribution of total water on the surface of the Moon is of high importance when distinguishing between different formation, transport, and retention models. With a maximum error of 52 ppm, a lidar system can map the distribution of total water as a function of latitude and time of day to about the same precision as M</w:t>
      </w:r>
      <w:r>
        <w:rPr>
          <w:sz w:val="24"/>
          <w:szCs w:val="24"/>
          <w:vertAlign w:val="superscript"/>
        </w:rPr>
        <w:t>3</w:t>
      </w:r>
      <w:r>
        <w:rPr>
          <w:sz w:val="24"/>
          <w:szCs w:val="24"/>
        </w:rPr>
        <w:t xml:space="preserve"> without any need to correct for surface temperature or observing geometry.</w:t>
      </w:r>
    </w:p>
    <w:p w14:paraId="28B0D07E"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5. Conclusions</w:t>
      </w:r>
    </w:p>
    <w:p w14:paraId="28B0D07F" w14:textId="29861224"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We have performed reflectance simulations for a multispectral lidar operating in the 3 </w:t>
      </w:r>
      <w:r>
        <w:rPr>
          <w:sz w:val="24"/>
          <w:szCs w:val="24"/>
        </w:rPr>
        <w:t>µm band</w:t>
      </w:r>
      <w:r>
        <w:rPr>
          <w:rFonts w:eastAsia="Times New Roman"/>
          <w:color w:val="000000"/>
          <w:sz w:val="24"/>
          <w:szCs w:val="24"/>
        </w:rPr>
        <w:t xml:space="preserve"> with the goal of assessing </w:t>
      </w:r>
      <w:r>
        <w:rPr>
          <w:sz w:val="24"/>
          <w:szCs w:val="24"/>
        </w:rPr>
        <w:t>its ability</w:t>
      </w:r>
      <w:r>
        <w:rPr>
          <w:rFonts w:eastAsia="Times New Roman"/>
          <w:color w:val="000000"/>
          <w:sz w:val="24"/>
          <w:szCs w:val="24"/>
        </w:rPr>
        <w:t xml:space="preserve"> to </w:t>
      </w:r>
      <w:r>
        <w:rPr>
          <w:sz w:val="24"/>
          <w:szCs w:val="24"/>
        </w:rPr>
        <w:t>measure diurnal and latitudinal</w:t>
      </w:r>
      <w:r>
        <w:rPr>
          <w:rFonts w:eastAsia="Times New Roman"/>
          <w:color w:val="000000"/>
          <w:sz w:val="24"/>
          <w:szCs w:val="24"/>
        </w:rPr>
        <w:t xml:space="preserve"> hydration </w:t>
      </w:r>
      <w:r>
        <w:rPr>
          <w:sz w:val="24"/>
          <w:szCs w:val="24"/>
        </w:rPr>
        <w:t>variations</w:t>
      </w:r>
      <w:r>
        <w:rPr>
          <w:rFonts w:eastAsia="Times New Roman"/>
          <w:color w:val="000000"/>
          <w:sz w:val="24"/>
          <w:szCs w:val="24"/>
        </w:rPr>
        <w:t xml:space="preserve"> on the lunar surface. We created spectral mixtures of highlands and mare soils and used hydrated MORB glass spectra to controllably introduce a total water signature </w:t>
      </w:r>
      <w:proofErr w:type="gramStart"/>
      <w:r>
        <w:rPr>
          <w:rFonts w:eastAsia="Times New Roman"/>
          <w:color w:val="000000"/>
          <w:sz w:val="24"/>
          <w:szCs w:val="24"/>
        </w:rPr>
        <w:t>similar to</w:t>
      </w:r>
      <w:proofErr w:type="gramEnd"/>
      <w:r>
        <w:rPr>
          <w:rFonts w:eastAsia="Times New Roman"/>
          <w:color w:val="000000"/>
          <w:sz w:val="24"/>
          <w:szCs w:val="24"/>
        </w:rPr>
        <w:t xml:space="preserve"> that observed from orbital and ground-based spectro</w:t>
      </w:r>
      <w:r>
        <w:rPr>
          <w:sz w:val="24"/>
          <w:szCs w:val="24"/>
        </w:rPr>
        <w:t>meters</w:t>
      </w:r>
      <w:r>
        <w:rPr>
          <w:rFonts w:eastAsia="Times New Roman"/>
          <w:color w:val="000000"/>
          <w:sz w:val="24"/>
          <w:szCs w:val="24"/>
        </w:rPr>
        <w:t xml:space="preserve">. We then used a </w:t>
      </w:r>
      <w:r>
        <w:rPr>
          <w:sz w:val="24"/>
          <w:szCs w:val="24"/>
        </w:rPr>
        <w:t>least-squares algorithm to solve for the endmember spectra and the total water abundance in each spectrum.</w:t>
      </w:r>
      <w:r>
        <w:rPr>
          <w:rFonts w:eastAsia="Times New Roman"/>
          <w:color w:val="000000"/>
          <w:sz w:val="24"/>
          <w:szCs w:val="24"/>
        </w:rPr>
        <w:t xml:space="preserve"> The simulation results indicate that a four-wavelength multispectral lidar with laser wavelengths at 1.5 µm, 2.65 µm, 2.8</w:t>
      </w:r>
      <w:r>
        <w:rPr>
          <w:sz w:val="24"/>
          <w:szCs w:val="24"/>
        </w:rPr>
        <w:t>0</w:t>
      </w:r>
      <w:r>
        <w:rPr>
          <w:rFonts w:eastAsia="Times New Roman"/>
          <w:color w:val="000000"/>
          <w:sz w:val="24"/>
          <w:szCs w:val="24"/>
        </w:rPr>
        <w:t xml:space="preserve"> µm, and 3.1 µm </w:t>
      </w:r>
      <w:r>
        <w:rPr>
          <w:sz w:val="24"/>
          <w:szCs w:val="24"/>
        </w:rPr>
        <w:t>could measure the</w:t>
      </w:r>
      <w:r>
        <w:rPr>
          <w:rFonts w:eastAsia="Times New Roman"/>
          <w:color w:val="000000"/>
          <w:sz w:val="24"/>
          <w:szCs w:val="24"/>
        </w:rPr>
        <w:t xml:space="preserve"> hydration signature with a </w:t>
      </w:r>
      <w:r>
        <w:rPr>
          <w:sz w:val="24"/>
          <w:szCs w:val="24"/>
        </w:rPr>
        <w:t>mean error</w:t>
      </w:r>
      <w:r>
        <w:rPr>
          <w:rFonts w:eastAsia="Times New Roman"/>
          <w:color w:val="000000"/>
          <w:sz w:val="24"/>
          <w:szCs w:val="24"/>
        </w:rPr>
        <w:t xml:space="preserve"> between -10 to -3</w:t>
      </w:r>
      <w:r>
        <w:rPr>
          <w:sz w:val="24"/>
          <w:szCs w:val="24"/>
        </w:rPr>
        <w:t>9</w:t>
      </w:r>
      <w:r>
        <w:rPr>
          <w:rFonts w:eastAsia="Times New Roman"/>
          <w:color w:val="000000"/>
          <w:sz w:val="24"/>
          <w:szCs w:val="24"/>
        </w:rPr>
        <w:t xml:space="preserve"> ppm </w:t>
      </w:r>
      <w:r>
        <w:rPr>
          <w:sz w:val="24"/>
          <w:szCs w:val="24"/>
        </w:rPr>
        <w:t>and a standard deviation of 52 ppm or less</w:t>
      </w:r>
      <w:r>
        <w:rPr>
          <w:rFonts w:eastAsia="Times New Roman"/>
          <w:color w:val="000000"/>
          <w:sz w:val="24"/>
          <w:szCs w:val="24"/>
        </w:rPr>
        <w:t xml:space="preserve">. </w:t>
      </w:r>
      <w:r>
        <w:rPr>
          <w:sz w:val="24"/>
          <w:szCs w:val="24"/>
        </w:rPr>
        <w:t>Simulations of mixtures using hydrated synthetic lunar glasses confirmed that t</w:t>
      </w:r>
      <w:r>
        <w:rPr>
          <w:rFonts w:eastAsia="Times New Roman"/>
          <w:color w:val="000000"/>
          <w:sz w:val="24"/>
          <w:szCs w:val="24"/>
        </w:rPr>
        <w:t xml:space="preserve">he mean error from the retrievals was a result of band shape mismatch between the </w:t>
      </w:r>
      <w:r>
        <w:rPr>
          <w:sz w:val="24"/>
          <w:szCs w:val="24"/>
        </w:rPr>
        <w:t xml:space="preserve">observed and retrieved </w:t>
      </w:r>
      <w:r w:rsidR="0013344D">
        <w:rPr>
          <w:sz w:val="24"/>
          <w:szCs w:val="24"/>
        </w:rPr>
        <w:t>spectra and</w:t>
      </w:r>
      <w:r>
        <w:rPr>
          <w:sz w:val="24"/>
          <w:szCs w:val="24"/>
        </w:rPr>
        <w:t xml:space="preserve"> was not a result of using only four lidar wavelengths to sample the spectrum. </w:t>
      </w:r>
      <w:r>
        <w:rPr>
          <w:rFonts w:eastAsia="Times New Roman"/>
          <w:color w:val="000000"/>
          <w:sz w:val="24"/>
          <w:szCs w:val="24"/>
        </w:rPr>
        <w:t xml:space="preserve">The results from the </w:t>
      </w:r>
      <w:r>
        <w:rPr>
          <w:sz w:val="24"/>
          <w:szCs w:val="24"/>
        </w:rPr>
        <w:t xml:space="preserve">synthetic lunar glass simulations suggest that measuring at multiple points within the 3 µm band helped reduce errors due to band shape mismatch. </w:t>
      </w:r>
      <w:r>
        <w:rPr>
          <w:rFonts w:eastAsia="Times New Roman"/>
          <w:color w:val="000000"/>
          <w:sz w:val="24"/>
          <w:szCs w:val="24"/>
        </w:rPr>
        <w:t xml:space="preserve">This </w:t>
      </w:r>
      <w:r>
        <w:rPr>
          <w:sz w:val="24"/>
          <w:szCs w:val="24"/>
        </w:rPr>
        <w:t>52</w:t>
      </w:r>
      <w:r w:rsidR="0013344D">
        <w:rPr>
          <w:sz w:val="24"/>
          <w:szCs w:val="24"/>
        </w:rPr>
        <w:t>-</w:t>
      </w:r>
      <w:r>
        <w:rPr>
          <w:sz w:val="24"/>
          <w:szCs w:val="24"/>
        </w:rPr>
        <w:t>ppm precision,</w:t>
      </w:r>
      <w:r>
        <w:rPr>
          <w:rFonts w:eastAsia="Times New Roman"/>
          <w:color w:val="000000"/>
          <w:sz w:val="24"/>
          <w:szCs w:val="24"/>
        </w:rPr>
        <w:t xml:space="preserve"> combined with the ability to measure over the entire diurnal cycle and at all locations with a fixed viewing geometry, suggests multispectral lidar observations in this wavelength regime </w:t>
      </w:r>
      <w:r>
        <w:rPr>
          <w:sz w:val="24"/>
          <w:szCs w:val="24"/>
        </w:rPr>
        <w:t>would provide a valuable new remote sensing dataset. Constraining lunar hydration over the entire diurnal cycle at all latitudes would elucidate mechanisms o</w:t>
      </w:r>
      <w:r>
        <w:rPr>
          <w:rFonts w:eastAsia="Times New Roman"/>
          <w:color w:val="000000"/>
          <w:sz w:val="24"/>
          <w:szCs w:val="24"/>
        </w:rPr>
        <w:t>f OH/H</w:t>
      </w:r>
      <w:r>
        <w:rPr>
          <w:rFonts w:eastAsia="Times New Roman"/>
          <w:color w:val="000000"/>
          <w:sz w:val="24"/>
          <w:szCs w:val="24"/>
          <w:vertAlign w:val="subscript"/>
        </w:rPr>
        <w:t>2</w:t>
      </w:r>
      <w:r>
        <w:rPr>
          <w:rFonts w:eastAsia="Times New Roman"/>
          <w:color w:val="000000"/>
          <w:sz w:val="24"/>
          <w:szCs w:val="24"/>
        </w:rPr>
        <w:t>O generation</w:t>
      </w:r>
      <w:r>
        <w:rPr>
          <w:sz w:val="24"/>
          <w:szCs w:val="24"/>
        </w:rPr>
        <w:t>,</w:t>
      </w:r>
      <w:r>
        <w:rPr>
          <w:rFonts w:eastAsia="Times New Roman"/>
          <w:color w:val="000000"/>
          <w:sz w:val="24"/>
          <w:szCs w:val="24"/>
        </w:rPr>
        <w:t xml:space="preserve"> migration, and destruction</w:t>
      </w:r>
      <w:r>
        <w:rPr>
          <w:sz w:val="24"/>
          <w:szCs w:val="24"/>
        </w:rPr>
        <w:t xml:space="preserve"> crucial to understanding the lunar volatile cycle in the past, present, and future</w:t>
      </w:r>
      <w:r>
        <w:rPr>
          <w:rFonts w:eastAsia="Times New Roman"/>
          <w:color w:val="000000"/>
          <w:sz w:val="24"/>
          <w:szCs w:val="24"/>
        </w:rPr>
        <w:t>.</w:t>
      </w:r>
    </w:p>
    <w:p w14:paraId="28B0D080"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Acknowledgments</w:t>
      </w:r>
    </w:p>
    <w:p w14:paraId="28B0D081" w14:textId="77777777"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The authors declare no conflict of interest.</w:t>
      </w:r>
    </w:p>
    <w:p w14:paraId="28B0D082"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Data Availability Statement</w:t>
      </w:r>
    </w:p>
    <w:p w14:paraId="28B0D083" w14:textId="06CD34A9" w:rsidR="00867801" w:rsidRDefault="009E1DFE">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The endmember reflectance spectra for the Apollo samples are available at the Keck/NASA Reflectance Experiment Laboratory managed by Brown University and hosted by </w:t>
      </w:r>
      <w:r>
        <w:rPr>
          <w:rFonts w:eastAsia="Times New Roman"/>
          <w:color w:val="000000"/>
          <w:sz w:val="24"/>
          <w:szCs w:val="24"/>
        </w:rPr>
        <w:lastRenderedPageBreak/>
        <w:t>the Planetary Data System Geosciences Node (</w:t>
      </w:r>
      <w:hyperlink r:id="rId23">
        <w:r>
          <w:rPr>
            <w:rFonts w:eastAsia="Times New Roman"/>
            <w:color w:val="0000FF"/>
            <w:sz w:val="24"/>
            <w:szCs w:val="24"/>
            <w:u w:val="single"/>
          </w:rPr>
          <w:t>https://pds-speclib.rsl.wustl.edu/</w:t>
        </w:r>
      </w:hyperlink>
      <w:r>
        <w:rPr>
          <w:rFonts w:eastAsia="Times New Roman"/>
          <w:color w:val="000000"/>
          <w:sz w:val="24"/>
          <w:szCs w:val="24"/>
        </w:rPr>
        <w:t>). The specific spectra can be found by performing a keyword search and checking the box for “Include Specimen ID in search”. The mature highlands spectrum can be found by searching for keyword “62231” and selecting the search result “LR-CMP-098”. The immature highlands spectrum can be found by searching for keyword “61221” and selecting the search result “LR-CMP-106”. The mature mare spectrum can be found by searching for keyword “70181” and selecting the search result “LR-CMP-023”. The immature mare spectrum can be found by searching for keyword “71061” and selecting the search result “LR-CMP-026”. The pyroxene spectrum can be found by searching for keyword “15555” and selecting the search result “LR-CMP-168”. The synthetic orange and yellow glass spectra can be found by searching for keywords “OGV-5” and “YG-5”, respectively. The MORB glass reflectance spectra included in this paper are from Li (2016); Li and Milliken (2017) and Shimizu et al. (2016).</w:t>
      </w:r>
    </w:p>
    <w:p w14:paraId="0969E4F4" w14:textId="0C4B90B9" w:rsidR="00116117" w:rsidRDefault="00E6141B">
      <w:pPr>
        <w:pBdr>
          <w:top w:val="nil"/>
          <w:left w:val="nil"/>
          <w:bottom w:val="nil"/>
          <w:right w:val="nil"/>
          <w:between w:val="nil"/>
        </w:pBdr>
        <w:spacing w:before="120"/>
        <w:ind w:firstLine="720"/>
        <w:rPr>
          <w:rFonts w:eastAsia="Times New Roman"/>
          <w:color w:val="000000"/>
          <w:sz w:val="24"/>
          <w:szCs w:val="24"/>
        </w:rPr>
      </w:pPr>
      <w:r>
        <w:rPr>
          <w:rFonts w:eastAsia="Times New Roman"/>
          <w:color w:val="000000"/>
          <w:sz w:val="24"/>
          <w:szCs w:val="24"/>
        </w:rPr>
        <w:t xml:space="preserve">The </w:t>
      </w:r>
      <w:r w:rsidR="0071178B">
        <w:rPr>
          <w:rFonts w:eastAsia="Times New Roman"/>
          <w:color w:val="000000"/>
          <w:sz w:val="24"/>
          <w:szCs w:val="24"/>
        </w:rPr>
        <w:t>MATLAB</w:t>
      </w:r>
      <w:r w:rsidR="006A3F81">
        <w:rPr>
          <w:rFonts w:eastAsia="Times New Roman"/>
          <w:color w:val="000000"/>
          <w:sz w:val="24"/>
          <w:szCs w:val="24"/>
        </w:rPr>
        <w:t xml:space="preserve"> </w:t>
      </w:r>
      <w:r>
        <w:rPr>
          <w:rFonts w:eastAsia="Times New Roman"/>
          <w:color w:val="000000"/>
          <w:sz w:val="24"/>
          <w:szCs w:val="24"/>
        </w:rPr>
        <w:t xml:space="preserve">code and </w:t>
      </w:r>
      <w:r w:rsidR="006B1450">
        <w:rPr>
          <w:rFonts w:eastAsia="Times New Roman"/>
          <w:color w:val="000000"/>
          <w:sz w:val="24"/>
          <w:szCs w:val="24"/>
        </w:rPr>
        <w:t xml:space="preserve">endmember spectra (regolith and MORB) used </w:t>
      </w:r>
      <w:r w:rsidR="0071178B">
        <w:rPr>
          <w:rFonts w:eastAsia="Times New Roman"/>
          <w:color w:val="000000"/>
          <w:sz w:val="24"/>
          <w:szCs w:val="24"/>
        </w:rPr>
        <w:t>to perform the simulations and analysis in</w:t>
      </w:r>
      <w:r w:rsidR="006A3F81">
        <w:rPr>
          <w:rFonts w:eastAsia="Times New Roman"/>
          <w:color w:val="000000"/>
          <w:sz w:val="24"/>
          <w:szCs w:val="24"/>
        </w:rPr>
        <w:t xml:space="preserve"> this work </w:t>
      </w:r>
      <w:r w:rsidR="0071178B">
        <w:rPr>
          <w:rFonts w:eastAsia="Times New Roman"/>
          <w:color w:val="000000"/>
          <w:sz w:val="24"/>
          <w:szCs w:val="24"/>
        </w:rPr>
        <w:t>are available at:</w:t>
      </w:r>
      <w:r w:rsidR="006A3F81">
        <w:rPr>
          <w:rFonts w:eastAsia="Times New Roman"/>
          <w:color w:val="000000"/>
          <w:sz w:val="24"/>
          <w:szCs w:val="24"/>
        </w:rPr>
        <w:t xml:space="preserve"> </w:t>
      </w:r>
      <w:hyperlink r:id="rId24" w:history="1">
        <w:r w:rsidR="00DD0FBF" w:rsidRPr="00FA71D5">
          <w:rPr>
            <w:rStyle w:val="Hyperlink"/>
            <w:rFonts w:eastAsia="Times New Roman"/>
            <w:sz w:val="24"/>
            <w:szCs w:val="24"/>
          </w:rPr>
          <w:t>https://doi.org/10.5281/zenodo.6025377</w:t>
        </w:r>
      </w:hyperlink>
      <w:r w:rsidR="008B0A8A">
        <w:rPr>
          <w:rFonts w:eastAsia="Times New Roman"/>
          <w:color w:val="000000"/>
          <w:sz w:val="24"/>
          <w:szCs w:val="24"/>
        </w:rPr>
        <w:t xml:space="preserve"> </w:t>
      </w:r>
      <w:r w:rsidR="008B0A8A">
        <w:rPr>
          <w:rFonts w:eastAsia="Times New Roman"/>
          <w:color w:val="000000"/>
          <w:sz w:val="24"/>
          <w:szCs w:val="24"/>
        </w:rPr>
        <w:fldChar w:fldCharType="begin"/>
      </w:r>
      <w:r w:rsidR="008B0A8A">
        <w:rPr>
          <w:rFonts w:eastAsia="Times New Roman"/>
          <w:color w:val="000000"/>
          <w:sz w:val="24"/>
          <w:szCs w:val="24"/>
        </w:rPr>
        <w:instrText xml:space="preserve"> ADDIN ZOTERO_ITEM CSL_CITATION {"citationID":"19lE4hsb","properties":{"formattedCitation":"(Cremons, 2022)","plainCitation":"(Cremons, 2022)","noteIndex":0},"citationItems":[{"id":750,"uris":["http://zotero.org/users/local/lFa3rRs0/items/LWHHH677"],"itemData":{"id":750,"type":"book","note":"DOI: 10.5281/zenodo.6025377","publisher":"Zenodo","title":"Software for Simulating Lunar Surface Hydration Measurements for Multispectral Lidar at 3 µm","URL":"https://doi.org/10.5281/zenodo.6025377","version":"1.0.0","author":[{"family":"Cremons","given":"Daniel R."}],"issued":{"date-parts":[["2022",7]]}}}],"schema":"https://github.com/citation-style-language/schema/raw/master/csl-citation.json"} </w:instrText>
      </w:r>
      <w:r w:rsidR="008B0A8A">
        <w:rPr>
          <w:rFonts w:eastAsia="Times New Roman"/>
          <w:color w:val="000000"/>
          <w:sz w:val="24"/>
          <w:szCs w:val="24"/>
        </w:rPr>
        <w:fldChar w:fldCharType="separate"/>
      </w:r>
      <w:r w:rsidR="008B0A8A" w:rsidRPr="008B0A8A">
        <w:rPr>
          <w:sz w:val="24"/>
        </w:rPr>
        <w:t>(Cremons, 2022)</w:t>
      </w:r>
      <w:r w:rsidR="008B0A8A">
        <w:rPr>
          <w:rFonts w:eastAsia="Times New Roman"/>
          <w:color w:val="000000"/>
          <w:sz w:val="24"/>
          <w:szCs w:val="24"/>
        </w:rPr>
        <w:fldChar w:fldCharType="end"/>
      </w:r>
      <w:r w:rsidR="00DD0FBF">
        <w:rPr>
          <w:rFonts w:eastAsia="Times New Roman"/>
          <w:color w:val="000000"/>
          <w:sz w:val="24"/>
          <w:szCs w:val="24"/>
        </w:rPr>
        <w:t xml:space="preserve"> </w:t>
      </w:r>
      <w:r w:rsidR="00376EFB">
        <w:rPr>
          <w:rFonts w:eastAsia="Times New Roman"/>
          <w:color w:val="000000"/>
          <w:sz w:val="24"/>
          <w:szCs w:val="24"/>
        </w:rPr>
        <w:t>.</w:t>
      </w:r>
    </w:p>
    <w:p w14:paraId="28B0D084" w14:textId="77777777" w:rsidR="00867801" w:rsidRDefault="009E1DFE">
      <w:pPr>
        <w:keepNext/>
        <w:pBdr>
          <w:top w:val="nil"/>
          <w:left w:val="nil"/>
          <w:bottom w:val="nil"/>
          <w:right w:val="nil"/>
          <w:between w:val="nil"/>
        </w:pBdr>
        <w:spacing w:before="240" w:after="120"/>
        <w:rPr>
          <w:rFonts w:eastAsia="Times New Roman"/>
          <w:b/>
          <w:color w:val="000000"/>
          <w:sz w:val="24"/>
          <w:szCs w:val="24"/>
        </w:rPr>
      </w:pPr>
      <w:r>
        <w:rPr>
          <w:rFonts w:eastAsia="Times New Roman"/>
          <w:b/>
          <w:color w:val="000000"/>
          <w:sz w:val="24"/>
          <w:szCs w:val="24"/>
        </w:rPr>
        <w:t>References</w:t>
      </w:r>
    </w:p>
    <w:p w14:paraId="1DD13F1B" w14:textId="77777777" w:rsidR="008B0A8A" w:rsidRDefault="009E1DFE" w:rsidP="008B0A8A">
      <w:pPr>
        <w:pStyle w:val="Bibliography"/>
      </w:pPr>
      <w:r>
        <w:rPr>
          <w:rFonts w:eastAsia="Times New Roman"/>
          <w:color w:val="000000"/>
        </w:rPr>
        <w:fldChar w:fldCharType="begin"/>
      </w:r>
      <w:r>
        <w:rPr>
          <w:rFonts w:eastAsia="Times New Roman"/>
          <w:color w:val="000000"/>
        </w:rPr>
        <w:instrText xml:space="preserve"> ADDIN ZOTERO_BIBL {"uncited":[],"omitted":[],"custom":[]} CSL_BIBLIOGRAPHY </w:instrText>
      </w:r>
      <w:r>
        <w:rPr>
          <w:rFonts w:eastAsia="Times New Roman"/>
          <w:color w:val="000000"/>
        </w:rPr>
        <w:fldChar w:fldCharType="separate"/>
      </w:r>
      <w:r w:rsidR="008B0A8A">
        <w:t>Abshire, J. B., Ramanathan, A. K., Riris, H., Allan, G. R., Sun, X., Hasselbrack, W. E., Mao, J., Wu, S., Chen, J., Numata, K., Kawa, S. R., Yang, M. Y. M., &amp; DiGangi, J. (2018). Airborne measurements of CO</w:t>
      </w:r>
      <w:r w:rsidR="008B0A8A">
        <w:rPr>
          <w:vertAlign w:val="subscript"/>
        </w:rPr>
        <w:t>2</w:t>
      </w:r>
      <w:r w:rsidR="008B0A8A">
        <w:t xml:space="preserve"> column concentrations made with a pulsed IPDA lidar using a multiple-wavelength-locked laser and HgCdTe APD detector. </w:t>
      </w:r>
      <w:r w:rsidR="008B0A8A">
        <w:rPr>
          <w:i/>
          <w:iCs/>
        </w:rPr>
        <w:t>Atmospheric Measurement Techniques</w:t>
      </w:r>
      <w:r w:rsidR="008B0A8A">
        <w:t xml:space="preserve">, </w:t>
      </w:r>
      <w:r w:rsidR="008B0A8A">
        <w:rPr>
          <w:i/>
          <w:iCs/>
        </w:rPr>
        <w:t>11</w:t>
      </w:r>
      <w:r w:rsidR="008B0A8A">
        <w:t>(4), 2001–2025. https://doi.org/10.5194/amt-11-2001-2018</w:t>
      </w:r>
    </w:p>
    <w:p w14:paraId="7F6EA846" w14:textId="77777777" w:rsidR="008B0A8A" w:rsidRDefault="008B0A8A" w:rsidP="008B0A8A">
      <w:pPr>
        <w:pStyle w:val="Bibliography"/>
      </w:pPr>
      <w:r>
        <w:t xml:space="preserve">Almeev, R., Holtz, F., Koepke, J., Haase, K., &amp; Devey, C. (2008). Depths of Partial Crystallization of H2O-bearing MORB: Phase Equilibria Simulations of Basalts at the MAR near Ascension Island (7–11°S). </w:t>
      </w:r>
      <w:r>
        <w:rPr>
          <w:i/>
          <w:iCs/>
        </w:rPr>
        <w:t>Journal of Petrology</w:t>
      </w:r>
      <w:r>
        <w:t xml:space="preserve">, </w:t>
      </w:r>
      <w:r>
        <w:rPr>
          <w:i/>
          <w:iCs/>
        </w:rPr>
        <w:t>49</w:t>
      </w:r>
      <w:r>
        <w:t>(1), 25–45. https://doi.org/10.1093/PETROLOGY/EGM068</w:t>
      </w:r>
    </w:p>
    <w:p w14:paraId="533A91D8" w14:textId="77777777" w:rsidR="008B0A8A" w:rsidRDefault="008B0A8A" w:rsidP="008B0A8A">
      <w:pPr>
        <w:pStyle w:val="Bibliography"/>
      </w:pPr>
      <w:r>
        <w:t xml:space="preserve">Bandfield, J. L., Poston, M. J., Klima, R. L., &amp; Edwards, C. S. (2018). Widespread distribution of OH/H 2 O on the lunar surface inferred from spectral data. </w:t>
      </w:r>
      <w:r>
        <w:rPr>
          <w:i/>
          <w:iCs/>
        </w:rPr>
        <w:t>Nature Geoscience</w:t>
      </w:r>
      <w:r>
        <w:t xml:space="preserve">, </w:t>
      </w:r>
      <w:r>
        <w:rPr>
          <w:i/>
          <w:iCs/>
        </w:rPr>
        <w:t>11</w:t>
      </w:r>
      <w:r>
        <w:t>(3), 173–177. https://doi.org/10.1038/s41561-018-0065-0</w:t>
      </w:r>
    </w:p>
    <w:p w14:paraId="08F9F499" w14:textId="77777777" w:rsidR="008B0A8A" w:rsidRDefault="008B0A8A" w:rsidP="008B0A8A">
      <w:pPr>
        <w:pStyle w:val="Bibliography"/>
      </w:pPr>
      <w:r>
        <w:t xml:space="preserve">Bowell, E., Hapke, B., Domingue, D., Lumme, K., Peltoniemi, J., &amp; Harris, A. (1989). Application of photometric models to asteroids. In </w:t>
      </w:r>
      <w:r>
        <w:rPr>
          <w:i/>
          <w:iCs/>
        </w:rPr>
        <w:t>Asteroids II</w:t>
      </w:r>
      <w:r>
        <w:t xml:space="preserve"> (pp. 524–556). University of Arizona Press.</w:t>
      </w:r>
    </w:p>
    <w:p w14:paraId="78293EFC" w14:textId="77777777" w:rsidR="008B0A8A" w:rsidRDefault="008B0A8A" w:rsidP="008B0A8A">
      <w:pPr>
        <w:pStyle w:val="Bibliography"/>
      </w:pPr>
      <w:r>
        <w:t xml:space="preserve">Burns, R. G. (1993). </w:t>
      </w:r>
      <w:r>
        <w:rPr>
          <w:i/>
          <w:iCs/>
        </w:rPr>
        <w:t>Mineralogical Applications of Crystal Field Theory</w:t>
      </w:r>
      <w:r>
        <w:t xml:space="preserve"> (2nd ed.). Cambridge University Press. https://doi.org/10.1017/CBO9780511524899</w:t>
      </w:r>
    </w:p>
    <w:p w14:paraId="61624C98" w14:textId="77777777" w:rsidR="008B0A8A" w:rsidRDefault="008B0A8A" w:rsidP="008B0A8A">
      <w:pPr>
        <w:pStyle w:val="Bibliography"/>
      </w:pPr>
      <w:r>
        <w:t xml:space="preserve">Chai, M., Brown, J. M., &amp; Slutsky, L. J. (1997). The elastic constants of an aluminous orthopyroxene to 12.5 GPa. </w:t>
      </w:r>
      <w:r>
        <w:rPr>
          <w:i/>
          <w:iCs/>
        </w:rPr>
        <w:t>Journal of Geophysical Research: Solid Earth</w:t>
      </w:r>
      <w:r>
        <w:t xml:space="preserve">, </w:t>
      </w:r>
      <w:r>
        <w:rPr>
          <w:i/>
          <w:iCs/>
        </w:rPr>
        <w:t>102</w:t>
      </w:r>
      <w:r>
        <w:t>(B7), 14779–14785. https://doi.org/10.1029/97JB00893</w:t>
      </w:r>
    </w:p>
    <w:p w14:paraId="13215796" w14:textId="77777777" w:rsidR="008B0A8A" w:rsidRDefault="008B0A8A" w:rsidP="008B0A8A">
      <w:pPr>
        <w:pStyle w:val="Bibliography"/>
      </w:pPr>
      <w:r>
        <w:t xml:space="preserve">Chauhan, P., Chauhan, M., Verma, P. A., Sharma, S., Bhattacharya, S., Dagar, A. K., Amitabh, Patil, A. N., Parashar, A. K., Kumar, A., Desai, N., Karidhal, R., &amp; Kumar, A. S. K. (2021). Unambiguous detection of OH and H2O on the Moon from Chandrayaan-2 Imaging Infrared Spectrometer reflectance data using 3 μm hydration feature. </w:t>
      </w:r>
      <w:r>
        <w:rPr>
          <w:i/>
          <w:iCs/>
        </w:rPr>
        <w:t>Current Science</w:t>
      </w:r>
      <w:r>
        <w:t xml:space="preserve">, </w:t>
      </w:r>
      <w:r>
        <w:rPr>
          <w:i/>
          <w:iCs/>
        </w:rPr>
        <w:t>121</w:t>
      </w:r>
      <w:r>
        <w:t>(3), 391–401.</w:t>
      </w:r>
    </w:p>
    <w:p w14:paraId="0129CC58" w14:textId="77777777" w:rsidR="008B0A8A" w:rsidRDefault="008B0A8A" w:rsidP="008B0A8A">
      <w:pPr>
        <w:pStyle w:val="Bibliography"/>
      </w:pPr>
      <w:r>
        <w:t xml:space="preserve">Clark, R. N. (1979). Planetary reflectance measurements in the region of planetary thermal emission. </w:t>
      </w:r>
      <w:r>
        <w:rPr>
          <w:i/>
          <w:iCs/>
        </w:rPr>
        <w:t>Icarus</w:t>
      </w:r>
      <w:r>
        <w:t xml:space="preserve">, </w:t>
      </w:r>
      <w:r>
        <w:rPr>
          <w:i/>
          <w:iCs/>
        </w:rPr>
        <w:t>40</w:t>
      </w:r>
      <w:r>
        <w:t>(1), 94–103. https://doi.org/10.1016/0019-1035(79)90056-3</w:t>
      </w:r>
    </w:p>
    <w:p w14:paraId="3B90FDF2" w14:textId="77777777" w:rsidR="008B0A8A" w:rsidRDefault="008B0A8A" w:rsidP="008B0A8A">
      <w:pPr>
        <w:pStyle w:val="Bibliography"/>
      </w:pPr>
      <w:r>
        <w:t xml:space="preserve">Clark, R. N. (2009). Detection of Adsorbed Water and Hydroxyl on the Moon. </w:t>
      </w:r>
      <w:r>
        <w:rPr>
          <w:i/>
          <w:iCs/>
        </w:rPr>
        <w:t>Science</w:t>
      </w:r>
      <w:r>
        <w:t xml:space="preserve">, </w:t>
      </w:r>
      <w:r>
        <w:rPr>
          <w:i/>
          <w:iCs/>
        </w:rPr>
        <w:t>326</w:t>
      </w:r>
      <w:r>
        <w:t>(5952), 562–564. https://doi.org/10.1126/science.1178105</w:t>
      </w:r>
    </w:p>
    <w:p w14:paraId="446B0CAC" w14:textId="77777777" w:rsidR="008B0A8A" w:rsidRDefault="008B0A8A" w:rsidP="008B0A8A">
      <w:pPr>
        <w:pStyle w:val="Bibliography"/>
      </w:pPr>
      <w:r>
        <w:t xml:space="preserve">Cloutis, E. A. (2002). Pyroxene reflectance spectra: Minor absorption bands and effects of elemental substitutions. </w:t>
      </w:r>
      <w:r>
        <w:rPr>
          <w:i/>
          <w:iCs/>
        </w:rPr>
        <w:t>Journal of Geophysical Research: Planets</w:t>
      </w:r>
      <w:r>
        <w:t xml:space="preserve">, </w:t>
      </w:r>
      <w:r>
        <w:rPr>
          <w:i/>
          <w:iCs/>
        </w:rPr>
        <w:t>107</w:t>
      </w:r>
      <w:r>
        <w:t>(E6), 6–1. https://doi.org/10.1029/2001JE001590</w:t>
      </w:r>
    </w:p>
    <w:p w14:paraId="59D20D08" w14:textId="77777777" w:rsidR="008B0A8A" w:rsidRDefault="008B0A8A" w:rsidP="008B0A8A">
      <w:pPr>
        <w:pStyle w:val="Bibliography"/>
      </w:pPr>
      <w:r>
        <w:t xml:space="preserve">Cohen, B. A., Hayne, P. O., Greenhagen, B., Paige, D. A., Seybold, C., &amp; Baker, J. (2020). Lunar Flashlight: Illuminating the Lunar South Pole. </w:t>
      </w:r>
      <w:r>
        <w:rPr>
          <w:i/>
          <w:iCs/>
        </w:rPr>
        <w:t>IEEE Aerospace and Electronic Systems Magazine</w:t>
      </w:r>
      <w:r>
        <w:t xml:space="preserve">, </w:t>
      </w:r>
      <w:r>
        <w:rPr>
          <w:i/>
          <w:iCs/>
        </w:rPr>
        <w:t>35</w:t>
      </w:r>
      <w:r>
        <w:t>(3), 46–52. https://doi.org/10.1109/MAES.2019.2950746</w:t>
      </w:r>
    </w:p>
    <w:p w14:paraId="6A4AD0FB" w14:textId="77777777" w:rsidR="008B0A8A" w:rsidRDefault="008B0A8A" w:rsidP="008B0A8A">
      <w:pPr>
        <w:pStyle w:val="Bibliography"/>
      </w:pPr>
      <w:r>
        <w:t xml:space="preserve">Cremons, D. R. (2022). </w:t>
      </w:r>
      <w:r>
        <w:rPr>
          <w:i/>
          <w:iCs/>
        </w:rPr>
        <w:t>Software for Simulating Lunar Surface Hydration Measurements for Multispectral Lidar at 3 µm</w:t>
      </w:r>
      <w:r>
        <w:t xml:space="preserve"> (1.0.0) [Computer software]. Zenodo. https://doi.org/10.5281/zenodo.6025377</w:t>
      </w:r>
    </w:p>
    <w:p w14:paraId="53402EA9" w14:textId="77777777" w:rsidR="008B0A8A" w:rsidRDefault="008B0A8A" w:rsidP="008B0A8A">
      <w:pPr>
        <w:pStyle w:val="Bibliography"/>
      </w:pPr>
      <w:r>
        <w:t xml:space="preserve">Cremons, D. R., Abshire, J. B., Lucey, P. G., Stubbs, T. J., &amp; Mazarico, E. (2020). Multiwavelength Lidar for Remote Spectroscopic Measurements of the Lunar Surface. </w:t>
      </w:r>
      <w:r>
        <w:rPr>
          <w:i/>
          <w:iCs/>
        </w:rPr>
        <w:t>Lunar Surface Science Workshop</w:t>
      </w:r>
      <w:r>
        <w:t xml:space="preserve">, </w:t>
      </w:r>
      <w:r>
        <w:rPr>
          <w:i/>
          <w:iCs/>
        </w:rPr>
        <w:t>2241</w:t>
      </w:r>
      <w:r>
        <w:t>, 5068.</w:t>
      </w:r>
    </w:p>
    <w:p w14:paraId="604ADE70" w14:textId="77777777" w:rsidR="008B0A8A" w:rsidRDefault="008B0A8A" w:rsidP="008B0A8A">
      <w:pPr>
        <w:pStyle w:val="Bibliography"/>
      </w:pPr>
      <w:r>
        <w:t xml:space="preserve">Deutsch, A. N., Neumann, G. A., &amp; Head, J. W. (2017). New evidence for surface water ice in small-scale cold traps and in three large craters at the north polar region of Mercury from the Mercury Laser Altimeter. </w:t>
      </w:r>
      <w:r>
        <w:rPr>
          <w:i/>
          <w:iCs/>
        </w:rPr>
        <w:t>Geophysical Research Letters</w:t>
      </w:r>
      <w:r>
        <w:t xml:space="preserve">, </w:t>
      </w:r>
      <w:r>
        <w:rPr>
          <w:i/>
          <w:iCs/>
        </w:rPr>
        <w:t>44</w:t>
      </w:r>
      <w:r>
        <w:t>(18), 9233–9241. https://doi.org/10.1002/2017GL074723</w:t>
      </w:r>
    </w:p>
    <w:p w14:paraId="33444EBF" w14:textId="77777777" w:rsidR="008B0A8A" w:rsidRDefault="008B0A8A" w:rsidP="008B0A8A">
      <w:pPr>
        <w:pStyle w:val="Bibliography"/>
      </w:pPr>
      <w:r>
        <w:t xml:space="preserve">Dyar, M. D., Hibbitts, C. A., &amp; Orlando, T. M. (2010). Mechanisms for incorporation of hydrogen in and on terrestrial planetary surfaces. </w:t>
      </w:r>
      <w:r>
        <w:rPr>
          <w:i/>
          <w:iCs/>
        </w:rPr>
        <w:t>Icarus</w:t>
      </w:r>
      <w:r>
        <w:t xml:space="preserve">, </w:t>
      </w:r>
      <w:r>
        <w:rPr>
          <w:i/>
          <w:iCs/>
        </w:rPr>
        <w:t>208</w:t>
      </w:r>
      <w:r>
        <w:t>(1), 425–437. https://doi.org/10.1016/j.icarus.2010.02.014</w:t>
      </w:r>
    </w:p>
    <w:p w14:paraId="5E8DC9FB" w14:textId="77777777" w:rsidR="008B0A8A" w:rsidRDefault="008B0A8A" w:rsidP="008B0A8A">
      <w:pPr>
        <w:pStyle w:val="Bibliography"/>
      </w:pPr>
      <w:r>
        <w:t xml:space="preserve">Farrell, W. M., Hurley, D. M., &amp; Zimmerman, M. I. (2015). Solar wind implantation into lunar regolith: Hydrogen retention in a surface with defects. </w:t>
      </w:r>
      <w:r>
        <w:rPr>
          <w:i/>
          <w:iCs/>
        </w:rPr>
        <w:t>Icarus</w:t>
      </w:r>
      <w:r>
        <w:t xml:space="preserve">, </w:t>
      </w:r>
      <w:r>
        <w:rPr>
          <w:i/>
          <w:iCs/>
        </w:rPr>
        <w:t>255</w:t>
      </w:r>
      <w:r>
        <w:t>, 116–126.</w:t>
      </w:r>
    </w:p>
    <w:p w14:paraId="008A7ECD" w14:textId="77777777" w:rsidR="008B0A8A" w:rsidRDefault="008B0A8A" w:rsidP="008B0A8A">
      <w:pPr>
        <w:pStyle w:val="Bibliography"/>
      </w:pPr>
      <w:r>
        <w:t xml:space="preserve">Fisher, E. A., Lucey, P. G., Lemelin, M., Greenhagen, B. T., Siegler, M. A., Mazarico, E., Aharonson, O., Williams, J.-P., Hayne, P. O., Neumann, G. A., Paige, D. A., Smith, D. E., &amp; Zuber, M. T. (2017). Evidence for surface water ice in the lunar polar regions using reflectance measurements from the Lunar Orbiter Laser Altimeter and temperature measurements from the Diviner Lunar Radiometer Experiment. </w:t>
      </w:r>
      <w:r>
        <w:rPr>
          <w:i/>
          <w:iCs/>
        </w:rPr>
        <w:t>Icarus</w:t>
      </w:r>
      <w:r>
        <w:t xml:space="preserve">, </w:t>
      </w:r>
      <w:r>
        <w:rPr>
          <w:i/>
          <w:iCs/>
        </w:rPr>
        <w:t>292</w:t>
      </w:r>
      <w:r>
        <w:t>, 74–85. https://doi.org/10.1016/j.icarus.2017.03.023</w:t>
      </w:r>
    </w:p>
    <w:p w14:paraId="5C2F1F11" w14:textId="77777777" w:rsidR="008B0A8A" w:rsidRDefault="008B0A8A" w:rsidP="008B0A8A">
      <w:pPr>
        <w:pStyle w:val="Bibliography"/>
      </w:pPr>
      <w:r>
        <w:t xml:space="preserve">Gardner, C. S. (1982). Target signatures for laser altimeters: An analysis. </w:t>
      </w:r>
      <w:r>
        <w:rPr>
          <w:i/>
          <w:iCs/>
        </w:rPr>
        <w:t>Applied Optics</w:t>
      </w:r>
      <w:r>
        <w:t xml:space="preserve">, </w:t>
      </w:r>
      <w:r>
        <w:rPr>
          <w:i/>
          <w:iCs/>
        </w:rPr>
        <w:t>21</w:t>
      </w:r>
      <w:r>
        <w:t>(3), 448–453. https://doi.org/10.1364/ao.21.000448</w:t>
      </w:r>
    </w:p>
    <w:p w14:paraId="16C7A98B" w14:textId="77777777" w:rsidR="008B0A8A" w:rsidRDefault="008B0A8A" w:rsidP="008B0A8A">
      <w:pPr>
        <w:pStyle w:val="Bibliography"/>
      </w:pPr>
      <w:r>
        <w:t xml:space="preserve">Goguen, J. D., Stone, T. C., Kieffer, H. H., &amp; Buratti, B. J. (2010). A new look at photometry of the Moon. </w:t>
      </w:r>
      <w:r>
        <w:rPr>
          <w:i/>
          <w:iCs/>
        </w:rPr>
        <w:t>Icarus</w:t>
      </w:r>
      <w:r>
        <w:t xml:space="preserve">, </w:t>
      </w:r>
      <w:r>
        <w:rPr>
          <w:i/>
          <w:iCs/>
        </w:rPr>
        <w:t>208</w:t>
      </w:r>
      <w:r>
        <w:t>(2), 548–557.</w:t>
      </w:r>
    </w:p>
    <w:p w14:paraId="04BFFAB0" w14:textId="77777777" w:rsidR="008B0A8A" w:rsidRDefault="008B0A8A" w:rsidP="008B0A8A">
      <w:pPr>
        <w:pStyle w:val="Bibliography"/>
      </w:pPr>
      <w:r>
        <w:t xml:space="preserve">Green, R., Pieters, C., Mouroulis, P., Eastwood, M., Boardman, J., Glavich, T., Isaacson, P., Annadurai, M., Besse, S., Barr, D., &amp; others. (2011). The Moon Mineralogy Mapper (M3) imaging spectrometer for lunar science: Instrument description, calibration, on-orbit measurements, science data calibration and on-orbit validation. </w:t>
      </w:r>
      <w:r>
        <w:rPr>
          <w:i/>
          <w:iCs/>
        </w:rPr>
        <w:t>Journal of Geophysical Research: Planets</w:t>
      </w:r>
      <w:r>
        <w:t xml:space="preserve">, </w:t>
      </w:r>
      <w:r>
        <w:rPr>
          <w:i/>
          <w:iCs/>
        </w:rPr>
        <w:t>116</w:t>
      </w:r>
      <w:r>
        <w:t>(E10).</w:t>
      </w:r>
    </w:p>
    <w:p w14:paraId="5400E676" w14:textId="77777777" w:rsidR="008B0A8A" w:rsidRDefault="008B0A8A" w:rsidP="008B0A8A">
      <w:pPr>
        <w:pStyle w:val="Bibliography"/>
      </w:pPr>
      <w:r>
        <w:t xml:space="preserve">Grumpe, A., Wöhler, C., Berezhnoy, A. A., &amp; Shevchenko, V. V. (2019). Time-of-day-dependent behavior of surficial lunar hydroxyl/water: Observations and modeling. </w:t>
      </w:r>
      <w:r>
        <w:rPr>
          <w:i/>
          <w:iCs/>
        </w:rPr>
        <w:t>Icarus</w:t>
      </w:r>
      <w:r>
        <w:t xml:space="preserve">, </w:t>
      </w:r>
      <w:r>
        <w:rPr>
          <w:i/>
          <w:iCs/>
        </w:rPr>
        <w:t>321</w:t>
      </w:r>
      <w:r>
        <w:t>, 486–507.</w:t>
      </w:r>
    </w:p>
    <w:p w14:paraId="4196235F" w14:textId="77777777" w:rsidR="008B0A8A" w:rsidRDefault="008B0A8A" w:rsidP="008B0A8A">
      <w:pPr>
        <w:pStyle w:val="Bibliography"/>
      </w:pPr>
      <w:r>
        <w:t xml:space="preserve">Hapke, B. (1986). Bidirectional reflectance spectroscopy: 4. The extinction coefficient and the opposition effect. </w:t>
      </w:r>
      <w:r>
        <w:rPr>
          <w:i/>
          <w:iCs/>
        </w:rPr>
        <w:t>Icarus</w:t>
      </w:r>
      <w:r>
        <w:t xml:space="preserve">, </w:t>
      </w:r>
      <w:r>
        <w:rPr>
          <w:i/>
          <w:iCs/>
        </w:rPr>
        <w:t>67</w:t>
      </w:r>
      <w:r>
        <w:t>(2), 264–280. https://doi.org/10.1016/0019-1035(86)90108-9</w:t>
      </w:r>
    </w:p>
    <w:p w14:paraId="37D7B992" w14:textId="77777777" w:rsidR="008B0A8A" w:rsidRDefault="008B0A8A" w:rsidP="008B0A8A">
      <w:pPr>
        <w:pStyle w:val="Bibliography"/>
      </w:pPr>
      <w:r>
        <w:t xml:space="preserve">Hapke, B. (2012). </w:t>
      </w:r>
      <w:r>
        <w:rPr>
          <w:i/>
          <w:iCs/>
        </w:rPr>
        <w:t>Theory of reflectance and emittance spectroscopy</w:t>
      </w:r>
      <w:r>
        <w:t xml:space="preserve"> (2nd ed.). Cambridge University Press.</w:t>
      </w:r>
    </w:p>
    <w:p w14:paraId="69F6E982" w14:textId="77777777" w:rsidR="008B0A8A" w:rsidRDefault="008B0A8A" w:rsidP="008B0A8A">
      <w:pPr>
        <w:pStyle w:val="Bibliography"/>
      </w:pPr>
      <w:r>
        <w:t xml:space="preserve">Hendrix, A. R., Hurley, D. M., Farrell, W. M., Greenhagen, B. T., Hayne, P. O., Retherford, K. D., Vilas, F., Cahill, J. T. S., Poston, M. J., &amp; Liu, Y. (2019). Diurnally Migrating Lunar Water: Evidence </w:t>
      </w:r>
      <w:proofErr w:type="gramStart"/>
      <w:r>
        <w:t>From</w:t>
      </w:r>
      <w:proofErr w:type="gramEnd"/>
      <w:r>
        <w:t xml:space="preserve"> Ultraviolet Data. </w:t>
      </w:r>
      <w:r>
        <w:rPr>
          <w:i/>
          <w:iCs/>
        </w:rPr>
        <w:t>Geophysical Research Letters</w:t>
      </w:r>
      <w:r>
        <w:t xml:space="preserve">, </w:t>
      </w:r>
      <w:r>
        <w:rPr>
          <w:i/>
          <w:iCs/>
        </w:rPr>
        <w:t>46</w:t>
      </w:r>
      <w:r>
        <w:t>(5), 2417–2424. https://doi.org/10.1029/2018GL081821</w:t>
      </w:r>
    </w:p>
    <w:p w14:paraId="40690767" w14:textId="77777777" w:rsidR="008B0A8A" w:rsidRDefault="008B0A8A" w:rsidP="008B0A8A">
      <w:pPr>
        <w:pStyle w:val="Bibliography"/>
      </w:pPr>
      <w:r>
        <w:t xml:space="preserve">Honniball, C. I., Lucey, P. G., Ferrari-Wong, C. M., Flom, A., Li, S., Kaluna, H. M., &amp; Takir, D. (2020). Telescopic Observations of Lunar Hydration: Variations and Abundance. </w:t>
      </w:r>
      <w:r>
        <w:rPr>
          <w:i/>
          <w:iCs/>
        </w:rPr>
        <w:t>Journal of Geophysical Research: Planets</w:t>
      </w:r>
      <w:r>
        <w:t xml:space="preserve">, </w:t>
      </w:r>
      <w:r>
        <w:rPr>
          <w:i/>
          <w:iCs/>
        </w:rPr>
        <w:t>125</w:t>
      </w:r>
      <w:r>
        <w:t>(9), e2020JE006484. https://doi.org/10.1029/2020JE006484</w:t>
      </w:r>
    </w:p>
    <w:p w14:paraId="184DD8D5" w14:textId="77777777" w:rsidR="008B0A8A" w:rsidRDefault="008B0A8A" w:rsidP="008B0A8A">
      <w:pPr>
        <w:pStyle w:val="Bibliography"/>
      </w:pPr>
      <w:r>
        <w:t xml:space="preserve">Hubbs, J. E., Sun, X., Abshire, J. B., Lauenstein, J.-M., Sullivan, W., &amp; Beck, J. D. (2018). Evaluation of space radiation effects on HgCdTe avalanche photodiode arrays for Lidar applications. In G. F. Fulop, C. M. Hanson, P. R. Norton, B. F. Andresen, &amp; J. L. Miller (Eds.), </w:t>
      </w:r>
      <w:r>
        <w:rPr>
          <w:i/>
          <w:iCs/>
        </w:rPr>
        <w:t>Infrared Technology and Applications XLIV</w:t>
      </w:r>
      <w:r>
        <w:t xml:space="preserve"> (Vol. 10624, p. 15). SPIE. https://doi.org/10.1117/12.2304601</w:t>
      </w:r>
    </w:p>
    <w:p w14:paraId="7D8411C2" w14:textId="77777777" w:rsidR="008B0A8A" w:rsidRDefault="008B0A8A" w:rsidP="008B0A8A">
      <w:pPr>
        <w:pStyle w:val="Bibliography"/>
      </w:pPr>
      <w:r>
        <w:t xml:space="preserve">Ichimura, A., Zent, A., Quinn, R., Sanchez, M., &amp; Taylor, L. (2012). Hydroxyl (OH) production on airless planetary bodies: Evidence from H+/D+ ion-beam experiments. </w:t>
      </w:r>
      <w:r>
        <w:rPr>
          <w:i/>
          <w:iCs/>
        </w:rPr>
        <w:t>Earth and Planetary Science Letters</w:t>
      </w:r>
      <w:r>
        <w:t xml:space="preserve">, </w:t>
      </w:r>
      <w:r>
        <w:rPr>
          <w:i/>
          <w:iCs/>
        </w:rPr>
        <w:t>345</w:t>
      </w:r>
      <w:r>
        <w:t>, 90–94.</w:t>
      </w:r>
    </w:p>
    <w:p w14:paraId="4EAA2A06" w14:textId="77777777" w:rsidR="008B0A8A" w:rsidRDefault="008B0A8A" w:rsidP="008B0A8A">
      <w:pPr>
        <w:pStyle w:val="Bibliography"/>
      </w:pPr>
      <w:r>
        <w:t xml:space="preserve">Jones, B. M., Aleksandrov, A., Hibbitts, K., Dyar, M., &amp; Orlando, T. M. (2018). Solar wind-induced water cycle on the Moon. </w:t>
      </w:r>
      <w:r>
        <w:rPr>
          <w:i/>
          <w:iCs/>
        </w:rPr>
        <w:t>Geophysical Research Letters</w:t>
      </w:r>
      <w:r>
        <w:t xml:space="preserve">, </w:t>
      </w:r>
      <w:r>
        <w:rPr>
          <w:i/>
          <w:iCs/>
        </w:rPr>
        <w:t>45</w:t>
      </w:r>
      <w:r>
        <w:t>(20), 10–959.</w:t>
      </w:r>
    </w:p>
    <w:p w14:paraId="711B0D68" w14:textId="77777777" w:rsidR="008B0A8A" w:rsidRDefault="008B0A8A" w:rsidP="008B0A8A">
      <w:pPr>
        <w:pStyle w:val="Bibliography"/>
      </w:pPr>
      <w:r>
        <w:t xml:space="preserve">Li, S. (2016). </w:t>
      </w:r>
      <w:r>
        <w:rPr>
          <w:i/>
          <w:iCs/>
        </w:rPr>
        <w:t>Water on the Lunar Surface as Seen by the Moon Minerology Mapper: Distribution, Abundance, and Origins</w:t>
      </w:r>
      <w:r>
        <w:t xml:space="preserve"> [PhD Thesis, Brown University]. https://doi.org/10.7301/Z0R49P73</w:t>
      </w:r>
    </w:p>
    <w:p w14:paraId="35DE37D5" w14:textId="77777777" w:rsidR="008B0A8A" w:rsidRDefault="008B0A8A" w:rsidP="008B0A8A">
      <w:pPr>
        <w:pStyle w:val="Bibliography"/>
      </w:pPr>
      <w:r>
        <w:t xml:space="preserve">Li, S., &amp; Li, L. (2011). Radiative transfer modeling for quantifying lunar surface minerals, particle size, and submicroscopic metallic Fe. </w:t>
      </w:r>
      <w:r>
        <w:rPr>
          <w:i/>
          <w:iCs/>
        </w:rPr>
        <w:t>Journal of Geophysical Research: Planets</w:t>
      </w:r>
      <w:r>
        <w:t xml:space="preserve">, </w:t>
      </w:r>
      <w:r>
        <w:rPr>
          <w:i/>
          <w:iCs/>
        </w:rPr>
        <w:t>116</w:t>
      </w:r>
      <w:r>
        <w:t>(E9).</w:t>
      </w:r>
    </w:p>
    <w:p w14:paraId="2910B355" w14:textId="77777777" w:rsidR="008B0A8A" w:rsidRDefault="008B0A8A" w:rsidP="008B0A8A">
      <w:pPr>
        <w:pStyle w:val="Bibliography"/>
      </w:pPr>
      <w:r>
        <w:t xml:space="preserve">Li, S., &amp; Milliken, R. E. (2017). Water on the surface of the Moon as seen by the Moon Mineralogy Mapper: Distribution, abundance, and origins. </w:t>
      </w:r>
      <w:r>
        <w:rPr>
          <w:i/>
          <w:iCs/>
        </w:rPr>
        <w:t>Science Advances</w:t>
      </w:r>
      <w:r>
        <w:t xml:space="preserve">, </w:t>
      </w:r>
      <w:r>
        <w:rPr>
          <w:i/>
          <w:iCs/>
        </w:rPr>
        <w:t>3</w:t>
      </w:r>
      <w:r>
        <w:t>(9), e1701471. https://doi.org/10.1126/sciadv.1701471</w:t>
      </w:r>
    </w:p>
    <w:p w14:paraId="00BC8C44" w14:textId="77777777" w:rsidR="008B0A8A" w:rsidRDefault="008B0A8A" w:rsidP="008B0A8A">
      <w:pPr>
        <w:pStyle w:val="Bibliography"/>
      </w:pPr>
      <w:r>
        <w:t xml:space="preserve">Li, S. X., Yu, A. W., Sun, X., Fahey, M. E., Numata, K., &amp; Krainak, M. A. (2017). A multi-wavelength IR laser for space applications. </w:t>
      </w:r>
      <w:r>
        <w:rPr>
          <w:i/>
          <w:iCs/>
        </w:rPr>
        <w:t>Laser Radar Technology and Applications XXII</w:t>
      </w:r>
      <w:r>
        <w:t xml:space="preserve">, </w:t>
      </w:r>
      <w:r>
        <w:rPr>
          <w:i/>
          <w:iCs/>
        </w:rPr>
        <w:t>10191</w:t>
      </w:r>
      <w:r>
        <w:t>, 101910L. https://doi.org/10.1117/12.2262391</w:t>
      </w:r>
    </w:p>
    <w:p w14:paraId="5C5DABA6" w14:textId="77777777" w:rsidR="008B0A8A" w:rsidRDefault="008B0A8A" w:rsidP="008B0A8A">
      <w:pPr>
        <w:pStyle w:val="Bibliography"/>
      </w:pPr>
      <w:r>
        <w:t xml:space="preserve">Lucey, P. G. (1998). Model near-infrared optical constants of olivine and pyroxene as a function of iron content. </w:t>
      </w:r>
      <w:r>
        <w:rPr>
          <w:i/>
          <w:iCs/>
        </w:rPr>
        <w:t>Journal of Geophysical Research: Planets</w:t>
      </w:r>
      <w:r>
        <w:t xml:space="preserve">, </w:t>
      </w:r>
      <w:r>
        <w:rPr>
          <w:i/>
          <w:iCs/>
        </w:rPr>
        <w:t>103</w:t>
      </w:r>
      <w:r>
        <w:t>(E1), 1703–1713. https://doi.org/10.1029/97JE03145</w:t>
      </w:r>
    </w:p>
    <w:p w14:paraId="108ED9D3" w14:textId="77777777" w:rsidR="008B0A8A" w:rsidRDefault="008B0A8A" w:rsidP="008B0A8A">
      <w:pPr>
        <w:pStyle w:val="Bibliography"/>
      </w:pPr>
      <w:r>
        <w:t xml:space="preserve">Lucey, P. G., Neumann, G. A., Riner, M. A., Mazarico, E., Smith, D. E., Zuber, M. T., Paige, D. A., Bussey, D. B., Cahill, J. T., McGovern, A., Isaacson, P., Corley, L. M., Torrence, M. H., Melosh, H. J., Head, J. W., &amp; Song, E. (2014). The global albedo of the Moon at 1064 nm from LOLA. </w:t>
      </w:r>
      <w:r>
        <w:rPr>
          <w:i/>
          <w:iCs/>
        </w:rPr>
        <w:t>Journal of Geophysical Research: Planets</w:t>
      </w:r>
      <w:r>
        <w:t xml:space="preserve">, </w:t>
      </w:r>
      <w:r>
        <w:rPr>
          <w:i/>
          <w:iCs/>
        </w:rPr>
        <w:t>119</w:t>
      </w:r>
      <w:r>
        <w:t>(7), 1665–1679. https://doi.org/10.1002/2013JE004592</w:t>
      </w:r>
    </w:p>
    <w:p w14:paraId="53471C6A" w14:textId="77777777" w:rsidR="008B0A8A" w:rsidRDefault="008B0A8A" w:rsidP="008B0A8A">
      <w:pPr>
        <w:pStyle w:val="Bibliography"/>
      </w:pPr>
      <w:r>
        <w:t xml:space="preserve">Lucey, P. G., Petro, N., Hurley, D., Farrell, W., Prem, P., Costello, E., Cable, M., Barker, M., Benna, M., Dyar, D., &amp; others. (2021). Volatile interactions with the lunar surface. </w:t>
      </w:r>
      <w:r>
        <w:rPr>
          <w:i/>
          <w:iCs/>
        </w:rPr>
        <w:t>Geochemistry</w:t>
      </w:r>
      <w:r>
        <w:t>, 125858.</w:t>
      </w:r>
    </w:p>
    <w:p w14:paraId="6A19E127" w14:textId="77777777" w:rsidR="008B0A8A" w:rsidRDefault="008B0A8A" w:rsidP="008B0A8A">
      <w:pPr>
        <w:pStyle w:val="Bibliography"/>
      </w:pPr>
      <w:r>
        <w:t xml:space="preserve">Mazarico, E., Neumann, G., Smith, D., Zuber, M., &amp; Torrence, M. (2011). Illumination conditions of the lunar polar regions using LOLA topography. </w:t>
      </w:r>
      <w:r>
        <w:rPr>
          <w:i/>
          <w:iCs/>
        </w:rPr>
        <w:t>Icarus</w:t>
      </w:r>
      <w:r>
        <w:t xml:space="preserve">, </w:t>
      </w:r>
      <w:r>
        <w:rPr>
          <w:i/>
          <w:iCs/>
        </w:rPr>
        <w:t>211</w:t>
      </w:r>
      <w:r>
        <w:t>(2), 1066–1081.</w:t>
      </w:r>
    </w:p>
    <w:p w14:paraId="7DDF7C6A" w14:textId="77777777" w:rsidR="008B0A8A" w:rsidRDefault="008B0A8A" w:rsidP="008B0A8A">
      <w:pPr>
        <w:pStyle w:val="Bibliography"/>
      </w:pPr>
      <w:r>
        <w:t xml:space="preserve">McCord, T. B., Taylor, L. A., Combe, J.-P., Kramer, G., Pieters, C. M., Sunshine, J. M., &amp; Clark, R. N. (2011). Sources and physical processes responsible for OH/H2O in the lunar soil as revealed by the Moon Mineralogy Mapper (M3). </w:t>
      </w:r>
      <w:r>
        <w:rPr>
          <w:i/>
          <w:iCs/>
        </w:rPr>
        <w:t>Journal of Geophysical Research: Planets</w:t>
      </w:r>
      <w:r>
        <w:t xml:space="preserve">, </w:t>
      </w:r>
      <w:r>
        <w:rPr>
          <w:i/>
          <w:iCs/>
        </w:rPr>
        <w:t>116</w:t>
      </w:r>
      <w:r>
        <w:t>(E6). https://doi.org/10.1029/2010JE003711</w:t>
      </w:r>
    </w:p>
    <w:p w14:paraId="01B4FA41" w14:textId="77777777" w:rsidR="008B0A8A" w:rsidRDefault="008B0A8A" w:rsidP="008B0A8A">
      <w:pPr>
        <w:pStyle w:val="Bibliography"/>
      </w:pPr>
      <w:r>
        <w:t xml:space="preserve">McKay, D. S., Heiken, G., Basu, A., Blanford, G., Simon, S., Reedy, R., French, B. M., &amp; Papike, J. (1991). The Lunar Regolith. In </w:t>
      </w:r>
      <w:r>
        <w:rPr>
          <w:i/>
          <w:iCs/>
        </w:rPr>
        <w:t>Lunar Sourcebook: A User’s Guide to the Moon</w:t>
      </w:r>
      <w:r>
        <w:t>. Cambridge University Press.</w:t>
      </w:r>
    </w:p>
    <w:p w14:paraId="16F139F3" w14:textId="77777777" w:rsidR="008B0A8A" w:rsidRDefault="008B0A8A" w:rsidP="008B0A8A">
      <w:pPr>
        <w:pStyle w:val="Bibliography"/>
      </w:pPr>
      <w:r>
        <w:t xml:space="preserve">McLain, J. L., Loeffler, M. J., Farrell, W. M., Honniball, C. I., Keller, J. W., &amp; Hudson, R. (2021). Hydroxylation of Apollo 17 Soil Sample 78421 by Solar Wind Protons. </w:t>
      </w:r>
      <w:r>
        <w:rPr>
          <w:i/>
          <w:iCs/>
        </w:rPr>
        <w:t>Journal of Geophysical Research: Planets</w:t>
      </w:r>
      <w:r>
        <w:t xml:space="preserve">, </w:t>
      </w:r>
      <w:r>
        <w:rPr>
          <w:i/>
          <w:iCs/>
        </w:rPr>
        <w:t>126</w:t>
      </w:r>
      <w:r>
        <w:t>(5), e2021JE006845. https://doi.org/10.1029/2021JE006845</w:t>
      </w:r>
    </w:p>
    <w:p w14:paraId="3F48EACF" w14:textId="77777777" w:rsidR="008B0A8A" w:rsidRDefault="008B0A8A" w:rsidP="008B0A8A">
      <w:pPr>
        <w:pStyle w:val="Bibliography"/>
      </w:pPr>
      <w:r>
        <w:t xml:space="preserve">Mustard, J. F., &amp; Pieters, C. M. (1987). Quantitative abundance estimates from bidirectional reflectance measurements. </w:t>
      </w:r>
      <w:r>
        <w:rPr>
          <w:i/>
          <w:iCs/>
        </w:rPr>
        <w:t>Journal of Geophysical Research: Solid Earth</w:t>
      </w:r>
      <w:r>
        <w:t xml:space="preserve">, </w:t>
      </w:r>
      <w:r>
        <w:rPr>
          <w:i/>
          <w:iCs/>
        </w:rPr>
        <w:t>92</w:t>
      </w:r>
      <w:r>
        <w:t>(B4), E617–E626.</w:t>
      </w:r>
    </w:p>
    <w:p w14:paraId="6B64D546" w14:textId="77777777" w:rsidR="008B0A8A" w:rsidRDefault="008B0A8A" w:rsidP="008B0A8A">
      <w:pPr>
        <w:pStyle w:val="Bibliography"/>
      </w:pPr>
      <w:r>
        <w:t xml:space="preserve">Papike, J., Taylor, L., &amp; Simon, S. (1991). Lunar Minerals. </w:t>
      </w:r>
      <w:r>
        <w:rPr>
          <w:i/>
          <w:iCs/>
        </w:rPr>
        <w:t>Lunar Sourcebook: A User’s Guide to the Moon</w:t>
      </w:r>
      <w:r>
        <w:t>, 121–181.</w:t>
      </w:r>
    </w:p>
    <w:p w14:paraId="1656C29D" w14:textId="77777777" w:rsidR="008B0A8A" w:rsidRDefault="008B0A8A" w:rsidP="008B0A8A">
      <w:pPr>
        <w:pStyle w:val="Bibliography"/>
      </w:pPr>
      <w:r>
        <w:t xml:space="preserve">Pieters, C. M., Goswami, J. N., Clark, R. N., Annadurai, M., Boardman, J., Buratti, B., Combe, J.-P., Dyar, M. D., Green, R., Head, J. W., Hibbitts, C., Hicks, M., Isaacson, P., Klima, R., Kramer, G., Kumar, S., Livo, E., Lundeen, S., Malaret, E., … Varanasi, P. (2009). Character and Spatial Distribution of OH/H2O on the Surface of the Moon Seen by M3 on Chandrayaan-1. </w:t>
      </w:r>
      <w:r>
        <w:rPr>
          <w:i/>
          <w:iCs/>
        </w:rPr>
        <w:t>Science</w:t>
      </w:r>
      <w:r>
        <w:t xml:space="preserve">, </w:t>
      </w:r>
      <w:r>
        <w:rPr>
          <w:i/>
          <w:iCs/>
        </w:rPr>
        <w:t>326</w:t>
      </w:r>
      <w:r>
        <w:t>(5952), 568–572. https://doi.org/10.1126/SCIENCE.1178658</w:t>
      </w:r>
    </w:p>
    <w:p w14:paraId="1974AEF8" w14:textId="77777777" w:rsidR="008B0A8A" w:rsidRDefault="008B0A8A" w:rsidP="008B0A8A">
      <w:pPr>
        <w:pStyle w:val="Bibliography"/>
      </w:pPr>
      <w:r>
        <w:t xml:space="preserve">Schaible, M. J., &amp; Baragiola, R. A. (2014). Hydrogen implantation in silicates: The role of solar wind in SiOH bond formation on the surfaces of airless bodies in space. </w:t>
      </w:r>
      <w:r>
        <w:rPr>
          <w:i/>
          <w:iCs/>
        </w:rPr>
        <w:t>Journal of Geophysical Research: Planets</w:t>
      </w:r>
      <w:r>
        <w:t xml:space="preserve">, </w:t>
      </w:r>
      <w:r>
        <w:rPr>
          <w:i/>
          <w:iCs/>
        </w:rPr>
        <w:t>119</w:t>
      </w:r>
      <w:r>
        <w:t>(9), 2017–2028. https://doi.org/10.1002/2014JE004650</w:t>
      </w:r>
    </w:p>
    <w:p w14:paraId="2C6920D5" w14:textId="77777777" w:rsidR="008B0A8A" w:rsidRDefault="008B0A8A" w:rsidP="008B0A8A">
      <w:pPr>
        <w:pStyle w:val="Bibliography"/>
      </w:pPr>
      <w:r>
        <w:t xml:space="preserve">Schorghofer, N., Lucey, P., &amp; Williams, J.-P. (2017). Theoretical time variability of mobile water on the Moon and its geographic pattern. </w:t>
      </w:r>
      <w:r>
        <w:rPr>
          <w:i/>
          <w:iCs/>
        </w:rPr>
        <w:t>Icarus</w:t>
      </w:r>
      <w:r>
        <w:t xml:space="preserve">, </w:t>
      </w:r>
      <w:r>
        <w:rPr>
          <w:i/>
          <w:iCs/>
        </w:rPr>
        <w:t>298</w:t>
      </w:r>
      <w:r>
        <w:t>, 111–116. https://doi.org/10.1016/j.icarus.2017.01.029</w:t>
      </w:r>
    </w:p>
    <w:p w14:paraId="581D62D2" w14:textId="77777777" w:rsidR="008B0A8A" w:rsidRDefault="008B0A8A" w:rsidP="008B0A8A">
      <w:pPr>
        <w:pStyle w:val="Bibliography"/>
      </w:pPr>
      <w:r>
        <w:t xml:space="preserve">Shimizu, K., Saal, A. E., Myers, C. E., Nagle, A. N., Hauri, E. H., Forsyth, D. W., Kamenetsky, V. S., &amp; Niu, Y. (2016). Two-component mantle melting-mixing model for the generation of mid-ocean ridge basalts: Implications for the volatile content of the Pacific upper mantle. </w:t>
      </w:r>
      <w:r>
        <w:rPr>
          <w:i/>
          <w:iCs/>
        </w:rPr>
        <w:t>Geochimica et Cosmochimica Acta</w:t>
      </w:r>
      <w:r>
        <w:t xml:space="preserve">, </w:t>
      </w:r>
      <w:r>
        <w:rPr>
          <w:i/>
          <w:iCs/>
        </w:rPr>
        <w:t>176</w:t>
      </w:r>
      <w:r>
        <w:t>, 44–80. https://doi.org/10.1016/j.gca.2015.10.033</w:t>
      </w:r>
    </w:p>
    <w:p w14:paraId="7A64EB27" w14:textId="77777777" w:rsidR="008B0A8A" w:rsidRDefault="008B0A8A" w:rsidP="008B0A8A">
      <w:pPr>
        <w:pStyle w:val="Bibliography"/>
      </w:pPr>
      <w:r>
        <w:t xml:space="preserve">Smith, D. E., Zuber, M. T., Jackson, G. B., Cavanaugh, J. F., Neumann, G. A., Riris, H., Sun, X., Zellar, R. S., Coltharp, C., Connelly, J., Katz, R. B., Kleyner, I., Liiva, P., Matuszeski, A., Mazarico, E. M., McGarry, J. F., Novo-Gradac, A. M., Ott, M. N., Peters, C., … Zagwodzki, T. W. (2010). The lunar orbiter laser altimeter investigation on the lunar reconnaissance orbiter mission. </w:t>
      </w:r>
      <w:r>
        <w:rPr>
          <w:i/>
          <w:iCs/>
        </w:rPr>
        <w:t>Space Science Reviews</w:t>
      </w:r>
      <w:r>
        <w:t xml:space="preserve">, </w:t>
      </w:r>
      <w:r>
        <w:rPr>
          <w:i/>
          <w:iCs/>
        </w:rPr>
        <w:t>150</w:t>
      </w:r>
      <w:r>
        <w:t>(1–4), 209–241. https://doi.org/10.1007/s11214-009-9512-y</w:t>
      </w:r>
    </w:p>
    <w:p w14:paraId="0C9E2158" w14:textId="77777777" w:rsidR="008B0A8A" w:rsidRDefault="008B0A8A" w:rsidP="008B0A8A">
      <w:pPr>
        <w:pStyle w:val="Bibliography"/>
      </w:pPr>
      <w:r>
        <w:t xml:space="preserve">Starukhina, L. (2006). Polar regions of the moon as a potential repository of solar-wind-implanted gases. </w:t>
      </w:r>
      <w:r>
        <w:rPr>
          <w:i/>
          <w:iCs/>
        </w:rPr>
        <w:t>Advances in Space Research</w:t>
      </w:r>
      <w:r>
        <w:t xml:space="preserve">, </w:t>
      </w:r>
      <w:r>
        <w:rPr>
          <w:i/>
          <w:iCs/>
        </w:rPr>
        <w:t>37</w:t>
      </w:r>
      <w:r>
        <w:t>(1), 50–58.</w:t>
      </w:r>
    </w:p>
    <w:p w14:paraId="2971EF48" w14:textId="77777777" w:rsidR="008B0A8A" w:rsidRDefault="008B0A8A" w:rsidP="008B0A8A">
      <w:pPr>
        <w:pStyle w:val="Bibliography"/>
      </w:pPr>
      <w:r>
        <w:t xml:space="preserve">Starukhina, L., &amp; Shkuratov, Y. G. (2010). </w:t>
      </w:r>
      <w:r>
        <w:rPr>
          <w:i/>
          <w:iCs/>
        </w:rPr>
        <w:t>Simulation of 3-µm Absorption Band in Lunar Spectra: Water or Solar Wind Induced Hydroxyl?</w:t>
      </w:r>
      <w:r>
        <w:t xml:space="preserve"> 1385. https://ui.adsabs.harvard.edu/abs/2010LPI....41.1385S</w:t>
      </w:r>
    </w:p>
    <w:p w14:paraId="12F56D7C" w14:textId="77777777" w:rsidR="008B0A8A" w:rsidRDefault="008B0A8A" w:rsidP="008B0A8A">
      <w:pPr>
        <w:pStyle w:val="Bibliography"/>
      </w:pPr>
      <w:r>
        <w:t xml:space="preserve">Sun, X. (2017). Lidar sensors from space. In </w:t>
      </w:r>
      <w:r>
        <w:rPr>
          <w:i/>
          <w:iCs/>
        </w:rPr>
        <w:t>Comprehensive Remote Sensing</w:t>
      </w:r>
      <w:r>
        <w:t xml:space="preserve"> (pp. 412–432). https://doi.org/10.1016/B978-0-12-409548-9.10327-6</w:t>
      </w:r>
    </w:p>
    <w:p w14:paraId="6C75D6BB" w14:textId="77777777" w:rsidR="008B0A8A" w:rsidRDefault="008B0A8A" w:rsidP="008B0A8A">
      <w:pPr>
        <w:pStyle w:val="Bibliography"/>
      </w:pPr>
      <w:r>
        <w:t xml:space="preserve">Sun, X., Abshire, J. B., Krainak, M. A., Lu, W., Beck, J. D., Sullivan, W. W., Mitra, P., Rawlings, D. M., Fields, R. A., Hinkley, D. A., &amp; Hirasuna, B. S. (2019). HgCdTe avalanche photodiode array detectors with single photon sensitivity and integrated detector cooler assemblies for space lidar applications. </w:t>
      </w:r>
      <w:r>
        <w:rPr>
          <w:i/>
          <w:iCs/>
        </w:rPr>
        <w:t>Optical Engineering</w:t>
      </w:r>
      <w:r>
        <w:t xml:space="preserve">, </w:t>
      </w:r>
      <w:r>
        <w:rPr>
          <w:i/>
          <w:iCs/>
        </w:rPr>
        <w:t>58</w:t>
      </w:r>
      <w:r>
        <w:t>(6), 067103. https://doi.org/10.1117/1.oe.58.6.067103</w:t>
      </w:r>
    </w:p>
    <w:p w14:paraId="7FBBB5F9" w14:textId="77777777" w:rsidR="008B0A8A" w:rsidRDefault="008B0A8A" w:rsidP="008B0A8A">
      <w:pPr>
        <w:pStyle w:val="Bibliography"/>
      </w:pPr>
      <w:r>
        <w:t xml:space="preserve">Sunshine, J. M., Farnham, T. L., Feaga, L. M., Groussin, O., Merlin, F., Milliken, R. E., &amp; A’Hearn, M. F. (2009). Temporal and Spatial Variability of Lunar Hydration </w:t>
      </w:r>
      <w:proofErr w:type="gramStart"/>
      <w:r>
        <w:t>As</w:t>
      </w:r>
      <w:proofErr w:type="gramEnd"/>
      <w:r>
        <w:t xml:space="preserve"> Observed by the Deep Impact Spacecraft. </w:t>
      </w:r>
      <w:r>
        <w:rPr>
          <w:i/>
          <w:iCs/>
        </w:rPr>
        <w:t>Science</w:t>
      </w:r>
      <w:r>
        <w:t xml:space="preserve">, </w:t>
      </w:r>
      <w:r>
        <w:rPr>
          <w:i/>
          <w:iCs/>
        </w:rPr>
        <w:t>326</w:t>
      </w:r>
      <w:r>
        <w:t>(5952), 565–568. https://doi.org/10.1126/SCIENCE.1179788</w:t>
      </w:r>
    </w:p>
    <w:p w14:paraId="5F40FCFA" w14:textId="77777777" w:rsidR="008B0A8A" w:rsidRDefault="008B0A8A" w:rsidP="008B0A8A">
      <w:pPr>
        <w:pStyle w:val="Bibliography"/>
      </w:pPr>
      <w:r>
        <w:t xml:space="preserve">Sunshine, J. M., &amp; Pieters, C. M. (1993). Estimating modal abundances from the spectra of natural and laboratory pyroxene mixtures using the modified Gaussian model. </w:t>
      </w:r>
      <w:r>
        <w:rPr>
          <w:i/>
          <w:iCs/>
        </w:rPr>
        <w:t>Journal of Geophysical Research: Planets</w:t>
      </w:r>
      <w:r>
        <w:t xml:space="preserve">, </w:t>
      </w:r>
      <w:r>
        <w:rPr>
          <w:i/>
          <w:iCs/>
        </w:rPr>
        <w:t>98</w:t>
      </w:r>
      <w:r>
        <w:t>(E5), 9075–9087.</w:t>
      </w:r>
    </w:p>
    <w:p w14:paraId="5B35F5D5" w14:textId="77777777" w:rsidR="008B0A8A" w:rsidRDefault="008B0A8A" w:rsidP="008B0A8A">
      <w:pPr>
        <w:pStyle w:val="Bibliography"/>
      </w:pPr>
      <w:r>
        <w:t xml:space="preserve">Taylor, L. A., Pieters, C. M., Keller, L. P., Morris, R. V., &amp; McKay, D. S. (2001). Lunar mare soils: Space weathering and the major effects of surface-correlated nanophase Fe. </w:t>
      </w:r>
      <w:r>
        <w:rPr>
          <w:i/>
          <w:iCs/>
        </w:rPr>
        <w:t>Journal of Geophysical Research: Planets</w:t>
      </w:r>
      <w:r>
        <w:t xml:space="preserve">, </w:t>
      </w:r>
      <w:r>
        <w:rPr>
          <w:i/>
          <w:iCs/>
        </w:rPr>
        <w:t>106</w:t>
      </w:r>
      <w:r>
        <w:t>(E11), 27985–27999.</w:t>
      </w:r>
    </w:p>
    <w:p w14:paraId="4024E59D" w14:textId="77777777" w:rsidR="008B0A8A" w:rsidRDefault="008B0A8A" w:rsidP="008B0A8A">
      <w:pPr>
        <w:pStyle w:val="Bibliography"/>
      </w:pPr>
      <w:r>
        <w:t xml:space="preserve">Taylor, L. A., Pieters, C., Patchen, A., Taylor, D.-H. S., Morris, R. V., Keller, L. P., &amp; McKay, D. S. (2010). Mineralogical and chemical characterization of lunar highland soils: Insights into the space weathering of soils on airless bodies. </w:t>
      </w:r>
      <w:r>
        <w:rPr>
          <w:i/>
          <w:iCs/>
        </w:rPr>
        <w:t>Journal of Geophysical Research: Planets</w:t>
      </w:r>
      <w:r>
        <w:t xml:space="preserve">, </w:t>
      </w:r>
      <w:r>
        <w:rPr>
          <w:i/>
          <w:iCs/>
        </w:rPr>
        <w:t>115</w:t>
      </w:r>
      <w:r>
        <w:t>(E2).</w:t>
      </w:r>
    </w:p>
    <w:p w14:paraId="62898DD4" w14:textId="77777777" w:rsidR="008B0A8A" w:rsidRDefault="008B0A8A" w:rsidP="008B0A8A">
      <w:pPr>
        <w:pStyle w:val="Bibliography"/>
      </w:pPr>
      <w:r>
        <w:t xml:space="preserve">Tucker, O. J., Farrell, W. M., Killen, R. M., &amp; Hurley, D. M. (2019). Solar Wind Implantation </w:t>
      </w:r>
      <w:proofErr w:type="gramStart"/>
      <w:r>
        <w:t>Into</w:t>
      </w:r>
      <w:proofErr w:type="gramEnd"/>
      <w:r>
        <w:t xml:space="preserve"> the Lunar Regolith: Monte Carlo Simulations of H Retention in a Surface With Defects and the H2 Exosphere. </w:t>
      </w:r>
      <w:r>
        <w:rPr>
          <w:i/>
          <w:iCs/>
        </w:rPr>
        <w:t>Journal of Geophysical Research: Planets</w:t>
      </w:r>
      <w:r>
        <w:t xml:space="preserve">, </w:t>
      </w:r>
      <w:r>
        <w:rPr>
          <w:i/>
          <w:iCs/>
        </w:rPr>
        <w:t>124</w:t>
      </w:r>
      <w:r>
        <w:t>(2), 278–293. https://doi.org/10.1029/2018JE005805</w:t>
      </w:r>
    </w:p>
    <w:p w14:paraId="5212D708" w14:textId="77777777" w:rsidR="008B0A8A" w:rsidRDefault="008B0A8A" w:rsidP="008B0A8A">
      <w:pPr>
        <w:pStyle w:val="Bibliography"/>
      </w:pPr>
      <w:r>
        <w:t xml:space="preserve">Vasavada, A. R., Bandfield, J. L., Greenhagen, B. T., Hayne, P. O., Siegler, M. A., Williams, J.-P., &amp; Paige, D. A. (2012). Lunar equatorial surface temperatures and regolith properties from the Diviner Lunar Radiometer Experiment. </w:t>
      </w:r>
      <w:r>
        <w:rPr>
          <w:i/>
          <w:iCs/>
        </w:rPr>
        <w:t>Journal of Geophysical Research: Planets</w:t>
      </w:r>
      <w:r>
        <w:t xml:space="preserve">, </w:t>
      </w:r>
      <w:r>
        <w:rPr>
          <w:i/>
          <w:iCs/>
        </w:rPr>
        <w:t>117</w:t>
      </w:r>
      <w:r>
        <w:t>(E12). https://doi.org/10.1029/2011JE003987</w:t>
      </w:r>
    </w:p>
    <w:p w14:paraId="37D01FA7" w14:textId="77777777" w:rsidR="008B0A8A" w:rsidRDefault="008B0A8A" w:rsidP="008B0A8A">
      <w:pPr>
        <w:pStyle w:val="Bibliography"/>
      </w:pPr>
      <w:r>
        <w:t xml:space="preserve">Warren, S. G., &amp; Brandt, R. E. (2008). Optical constants of ice from the ultraviolet to the microwave: A revised compilation. </w:t>
      </w:r>
      <w:r>
        <w:rPr>
          <w:i/>
          <w:iCs/>
        </w:rPr>
        <w:t>Journal of Geophysical Research: Atmospheres</w:t>
      </w:r>
      <w:r>
        <w:t xml:space="preserve">, </w:t>
      </w:r>
      <w:r>
        <w:rPr>
          <w:i/>
          <w:iCs/>
        </w:rPr>
        <w:t>113</w:t>
      </w:r>
      <w:r>
        <w:t>(D14). https://doi.org/10.1029/2007JD009744</w:t>
      </w:r>
    </w:p>
    <w:p w14:paraId="465B2A07" w14:textId="77777777" w:rsidR="008B0A8A" w:rsidRDefault="008B0A8A" w:rsidP="008B0A8A">
      <w:pPr>
        <w:pStyle w:val="Bibliography"/>
      </w:pPr>
      <w:r>
        <w:t xml:space="preserve">Wetzel, D. T., Hauri, E. H., Saal, A. E., &amp; Rutherford, M. J. (2015). Carbon content and degassing history of the lunar volcanic glasses. </w:t>
      </w:r>
      <w:r>
        <w:rPr>
          <w:i/>
          <w:iCs/>
        </w:rPr>
        <w:t>Nature Geoscience</w:t>
      </w:r>
      <w:r>
        <w:t xml:space="preserve">, </w:t>
      </w:r>
      <w:r>
        <w:rPr>
          <w:i/>
          <w:iCs/>
        </w:rPr>
        <w:t>8</w:t>
      </w:r>
      <w:r>
        <w:t>(10), 755–758. https://doi.org/10.1038/ngeo2511</w:t>
      </w:r>
    </w:p>
    <w:p w14:paraId="326818A6" w14:textId="77777777" w:rsidR="008B0A8A" w:rsidRDefault="008B0A8A" w:rsidP="008B0A8A">
      <w:pPr>
        <w:pStyle w:val="Bibliography"/>
      </w:pPr>
      <w:r>
        <w:t xml:space="preserve">Wöhler, C., Grumpe, A., Berezhnoy, A. A., &amp; Shevchenko, V. V. (2017). Time-of-day–dependent global distribution of lunar surficial water/hydroxyl. </w:t>
      </w:r>
      <w:r>
        <w:rPr>
          <w:i/>
          <w:iCs/>
        </w:rPr>
        <w:t>Science Advances</w:t>
      </w:r>
      <w:r>
        <w:t xml:space="preserve">, </w:t>
      </w:r>
      <w:r>
        <w:rPr>
          <w:i/>
          <w:iCs/>
        </w:rPr>
        <w:t>3</w:t>
      </w:r>
      <w:r>
        <w:t>(9), e1701286.</w:t>
      </w:r>
    </w:p>
    <w:p w14:paraId="5E86646E" w14:textId="77777777" w:rsidR="008B0A8A" w:rsidRDefault="008B0A8A" w:rsidP="008B0A8A">
      <w:pPr>
        <w:pStyle w:val="Bibliography"/>
      </w:pPr>
      <w:r>
        <w:t xml:space="preserve">Zuber, M. T., Head, J. W., Smith, D. E., Neumann, G. A., Mazarico, E., Torrence, M. H., Aharonson, O., Tye, A. R., Fassett, C. I., Rosenburg, M. A., &amp; Melosh, H. J. (2012). Constraints on the volatile distribution within Shackleton crater at the lunar south pole. </w:t>
      </w:r>
      <w:r>
        <w:rPr>
          <w:i/>
          <w:iCs/>
        </w:rPr>
        <w:t>Nature</w:t>
      </w:r>
      <w:r>
        <w:t xml:space="preserve">, </w:t>
      </w:r>
      <w:r>
        <w:rPr>
          <w:i/>
          <w:iCs/>
        </w:rPr>
        <w:t>486</w:t>
      </w:r>
      <w:r>
        <w:t>(7403), 378–381. https://doi.org/10.1038/nature11216</w:t>
      </w:r>
    </w:p>
    <w:p w14:paraId="28B0D0BA" w14:textId="2CEC0938" w:rsidR="00867801" w:rsidRDefault="009E1DFE">
      <w:pPr>
        <w:pBdr>
          <w:top w:val="nil"/>
          <w:left w:val="nil"/>
          <w:bottom w:val="nil"/>
          <w:right w:val="nil"/>
          <w:between w:val="nil"/>
        </w:pBdr>
        <w:spacing w:before="120"/>
        <w:rPr>
          <w:rFonts w:eastAsia="Times New Roman"/>
          <w:color w:val="000000"/>
          <w:sz w:val="24"/>
          <w:szCs w:val="24"/>
        </w:rPr>
      </w:pPr>
      <w:r>
        <w:rPr>
          <w:rFonts w:eastAsia="Times New Roman"/>
          <w:color w:val="000000"/>
          <w:sz w:val="24"/>
          <w:szCs w:val="24"/>
        </w:rPr>
        <w:fldChar w:fldCharType="end"/>
      </w:r>
    </w:p>
    <w:sectPr w:rsidR="00867801">
      <w:type w:val="continuous"/>
      <w:pgSz w:w="12240" w:h="15840"/>
      <w:pgMar w:top="1440" w:right="1440" w:bottom="1440" w:left="1440" w:header="43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14BBA" w14:textId="77777777" w:rsidR="006D0C73" w:rsidRDefault="006D0C73">
      <w:r>
        <w:separator/>
      </w:r>
    </w:p>
  </w:endnote>
  <w:endnote w:type="continuationSeparator" w:id="0">
    <w:p w14:paraId="258BA8EC" w14:textId="77777777" w:rsidR="006D0C73" w:rsidRDefault="006D0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0D0D1" w14:textId="77777777" w:rsidR="00867801" w:rsidRDefault="00867801">
    <w:pPr>
      <w:pBdr>
        <w:top w:val="nil"/>
        <w:left w:val="nil"/>
        <w:bottom w:val="nil"/>
        <w:right w:val="nil"/>
        <w:between w:val="nil"/>
      </w:pBdr>
      <w:tabs>
        <w:tab w:val="center" w:pos="4680"/>
        <w:tab w:val="right" w:pos="9360"/>
      </w:tabs>
      <w:jc w:val="center"/>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2305E" w14:textId="77777777" w:rsidR="006D0C73" w:rsidRDefault="006D0C73">
      <w:r>
        <w:separator/>
      </w:r>
    </w:p>
  </w:footnote>
  <w:footnote w:type="continuationSeparator" w:id="0">
    <w:p w14:paraId="1C3C908B" w14:textId="77777777" w:rsidR="006D0C73" w:rsidRDefault="006D0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0D0CF" w14:textId="77777777" w:rsidR="00867801" w:rsidRDefault="009E1DFE">
    <w:pPr>
      <w:pBdr>
        <w:top w:val="nil"/>
        <w:left w:val="nil"/>
        <w:bottom w:val="nil"/>
        <w:right w:val="nil"/>
        <w:between w:val="nil"/>
      </w:pBdr>
      <w:tabs>
        <w:tab w:val="center" w:pos="4680"/>
        <w:tab w:val="right" w:pos="9360"/>
      </w:tabs>
      <w:jc w:val="center"/>
      <w:rPr>
        <w:rFonts w:eastAsia="Times New Roman"/>
        <w:i/>
        <w:color w:val="000000"/>
      </w:rPr>
    </w:pPr>
    <w:r>
      <w:rPr>
        <w:rFonts w:eastAsia="Times New Roman"/>
        <w:color w:val="000000"/>
      </w:rPr>
      <w:t xml:space="preserve">manuscript submitted to </w:t>
    </w:r>
    <w:r>
      <w:rPr>
        <w:rFonts w:eastAsia="Times New Roman"/>
        <w:i/>
        <w:color w:val="000000"/>
      </w:rPr>
      <w:t>Earth and Space Science</w:t>
    </w:r>
  </w:p>
  <w:p w14:paraId="28B0D0D0" w14:textId="77777777" w:rsidR="00867801" w:rsidRDefault="00867801">
    <w:pPr>
      <w:pBdr>
        <w:top w:val="nil"/>
        <w:left w:val="nil"/>
        <w:bottom w:val="nil"/>
        <w:right w:val="nil"/>
        <w:between w:val="nil"/>
      </w:pBdr>
      <w:tabs>
        <w:tab w:val="center" w:pos="4680"/>
        <w:tab w:val="right" w:pos="9360"/>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0D0D2" w14:textId="77777777" w:rsidR="00867801" w:rsidRDefault="009E1DFE">
    <w:pPr>
      <w:pBdr>
        <w:top w:val="nil"/>
        <w:left w:val="nil"/>
        <w:bottom w:val="nil"/>
        <w:right w:val="nil"/>
        <w:between w:val="nil"/>
      </w:pBdr>
      <w:tabs>
        <w:tab w:val="center" w:pos="4680"/>
        <w:tab w:val="right" w:pos="9360"/>
      </w:tabs>
      <w:jc w:val="center"/>
      <w:rPr>
        <w:rFonts w:eastAsia="Times New Roman"/>
        <w:color w:val="000000"/>
      </w:rPr>
    </w:pPr>
    <w:r>
      <w:rPr>
        <w:rFonts w:eastAsia="Times New Roman"/>
        <w:color w:val="000000"/>
      </w:rPr>
      <w:t xml:space="preserve">Confidential manuscript submitted to </w:t>
    </w:r>
    <w:r>
      <w:rPr>
        <w:rFonts w:eastAsia="Times New Roman"/>
        <w:i/>
        <w:color w:val="000000"/>
      </w:rPr>
      <w:t>replace this text with name of AGU journal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F4483"/>
    <w:multiLevelType w:val="multilevel"/>
    <w:tmpl w:val="50924D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0021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801"/>
    <w:rsid w:val="00001528"/>
    <w:rsid w:val="0002306C"/>
    <w:rsid w:val="00044808"/>
    <w:rsid w:val="000722E4"/>
    <w:rsid w:val="00073F21"/>
    <w:rsid w:val="00083335"/>
    <w:rsid w:val="00090E3D"/>
    <w:rsid w:val="00090EAB"/>
    <w:rsid w:val="000A31FC"/>
    <w:rsid w:val="000A438B"/>
    <w:rsid w:val="000B3AD3"/>
    <w:rsid w:val="000C1D92"/>
    <w:rsid w:val="000C3453"/>
    <w:rsid w:val="000F5648"/>
    <w:rsid w:val="00116117"/>
    <w:rsid w:val="001231A9"/>
    <w:rsid w:val="0013140F"/>
    <w:rsid w:val="0013344D"/>
    <w:rsid w:val="001374FA"/>
    <w:rsid w:val="00157B7A"/>
    <w:rsid w:val="00183A44"/>
    <w:rsid w:val="00191B2E"/>
    <w:rsid w:val="00194A88"/>
    <w:rsid w:val="001A317E"/>
    <w:rsid w:val="001B0059"/>
    <w:rsid w:val="001B5258"/>
    <w:rsid w:val="001D4685"/>
    <w:rsid w:val="001E1A21"/>
    <w:rsid w:val="001E662E"/>
    <w:rsid w:val="001E768B"/>
    <w:rsid w:val="00200C52"/>
    <w:rsid w:val="00200E24"/>
    <w:rsid w:val="00201C98"/>
    <w:rsid w:val="00212C75"/>
    <w:rsid w:val="002355FC"/>
    <w:rsid w:val="00260B59"/>
    <w:rsid w:val="00285E9D"/>
    <w:rsid w:val="0029761B"/>
    <w:rsid w:val="002A22E8"/>
    <w:rsid w:val="002A47B0"/>
    <w:rsid w:val="002B1933"/>
    <w:rsid w:val="002C62B7"/>
    <w:rsid w:val="002D003A"/>
    <w:rsid w:val="002D1BC0"/>
    <w:rsid w:val="002F5F48"/>
    <w:rsid w:val="00304732"/>
    <w:rsid w:val="00317466"/>
    <w:rsid w:val="003238EE"/>
    <w:rsid w:val="00323B19"/>
    <w:rsid w:val="003545B6"/>
    <w:rsid w:val="00372E41"/>
    <w:rsid w:val="00376EFB"/>
    <w:rsid w:val="00382FAE"/>
    <w:rsid w:val="0039341F"/>
    <w:rsid w:val="003A532C"/>
    <w:rsid w:val="003A6DF1"/>
    <w:rsid w:val="003B1D28"/>
    <w:rsid w:val="003B1D56"/>
    <w:rsid w:val="003B4B30"/>
    <w:rsid w:val="003B591F"/>
    <w:rsid w:val="003C4099"/>
    <w:rsid w:val="003E2FB5"/>
    <w:rsid w:val="003E3EE7"/>
    <w:rsid w:val="00400CB7"/>
    <w:rsid w:val="004077C1"/>
    <w:rsid w:val="00411F16"/>
    <w:rsid w:val="004407F6"/>
    <w:rsid w:val="004629DE"/>
    <w:rsid w:val="00465110"/>
    <w:rsid w:val="00474FD3"/>
    <w:rsid w:val="00477850"/>
    <w:rsid w:val="00486441"/>
    <w:rsid w:val="0048765A"/>
    <w:rsid w:val="00492346"/>
    <w:rsid w:val="004B2BD6"/>
    <w:rsid w:val="004D10FF"/>
    <w:rsid w:val="004D18B7"/>
    <w:rsid w:val="004D3B7A"/>
    <w:rsid w:val="004F29A8"/>
    <w:rsid w:val="0050174D"/>
    <w:rsid w:val="00531102"/>
    <w:rsid w:val="00536A63"/>
    <w:rsid w:val="00552039"/>
    <w:rsid w:val="005814EB"/>
    <w:rsid w:val="00590464"/>
    <w:rsid w:val="005A3158"/>
    <w:rsid w:val="005A3720"/>
    <w:rsid w:val="005A393B"/>
    <w:rsid w:val="005A6F05"/>
    <w:rsid w:val="005A70CB"/>
    <w:rsid w:val="005A78FA"/>
    <w:rsid w:val="005B6CE6"/>
    <w:rsid w:val="00613731"/>
    <w:rsid w:val="006247DC"/>
    <w:rsid w:val="00624BA4"/>
    <w:rsid w:val="00637132"/>
    <w:rsid w:val="00646BDB"/>
    <w:rsid w:val="0067114C"/>
    <w:rsid w:val="006879E4"/>
    <w:rsid w:val="00692A05"/>
    <w:rsid w:val="006A3F81"/>
    <w:rsid w:val="006B1450"/>
    <w:rsid w:val="006D086D"/>
    <w:rsid w:val="006D0C73"/>
    <w:rsid w:val="006F7F09"/>
    <w:rsid w:val="0071178B"/>
    <w:rsid w:val="00716915"/>
    <w:rsid w:val="0073436B"/>
    <w:rsid w:val="00737ED5"/>
    <w:rsid w:val="0074626E"/>
    <w:rsid w:val="007574EA"/>
    <w:rsid w:val="00764D60"/>
    <w:rsid w:val="00770CB1"/>
    <w:rsid w:val="007B7024"/>
    <w:rsid w:val="007E0D4F"/>
    <w:rsid w:val="007E181B"/>
    <w:rsid w:val="007E64E6"/>
    <w:rsid w:val="00843554"/>
    <w:rsid w:val="00843BD3"/>
    <w:rsid w:val="0086260F"/>
    <w:rsid w:val="00867801"/>
    <w:rsid w:val="00867CA1"/>
    <w:rsid w:val="00874E8F"/>
    <w:rsid w:val="008816A1"/>
    <w:rsid w:val="0088761E"/>
    <w:rsid w:val="00895E65"/>
    <w:rsid w:val="008B07DF"/>
    <w:rsid w:val="008B0A8A"/>
    <w:rsid w:val="008B0E6A"/>
    <w:rsid w:val="008B680D"/>
    <w:rsid w:val="008B7742"/>
    <w:rsid w:val="008C5AA8"/>
    <w:rsid w:val="008C66F1"/>
    <w:rsid w:val="008D1AB5"/>
    <w:rsid w:val="008E46D5"/>
    <w:rsid w:val="008F4883"/>
    <w:rsid w:val="00905A48"/>
    <w:rsid w:val="009169DC"/>
    <w:rsid w:val="00925333"/>
    <w:rsid w:val="009402DB"/>
    <w:rsid w:val="00956061"/>
    <w:rsid w:val="00970406"/>
    <w:rsid w:val="009723E1"/>
    <w:rsid w:val="00977CB7"/>
    <w:rsid w:val="009C6717"/>
    <w:rsid w:val="009E16AF"/>
    <w:rsid w:val="009E1DFE"/>
    <w:rsid w:val="009F5E48"/>
    <w:rsid w:val="00A023C5"/>
    <w:rsid w:val="00A040F8"/>
    <w:rsid w:val="00A42D21"/>
    <w:rsid w:val="00A44279"/>
    <w:rsid w:val="00A70C23"/>
    <w:rsid w:val="00A711BC"/>
    <w:rsid w:val="00AB59F6"/>
    <w:rsid w:val="00AF15D5"/>
    <w:rsid w:val="00B134BF"/>
    <w:rsid w:val="00B3642E"/>
    <w:rsid w:val="00B556AF"/>
    <w:rsid w:val="00B922DC"/>
    <w:rsid w:val="00B966EA"/>
    <w:rsid w:val="00B974D8"/>
    <w:rsid w:val="00BA0EF2"/>
    <w:rsid w:val="00BA37D8"/>
    <w:rsid w:val="00BB57DB"/>
    <w:rsid w:val="00BB7E30"/>
    <w:rsid w:val="00BD1820"/>
    <w:rsid w:val="00BD24D8"/>
    <w:rsid w:val="00BE1629"/>
    <w:rsid w:val="00BE3512"/>
    <w:rsid w:val="00BE44FB"/>
    <w:rsid w:val="00BE57C8"/>
    <w:rsid w:val="00C178C0"/>
    <w:rsid w:val="00C21E17"/>
    <w:rsid w:val="00C3325B"/>
    <w:rsid w:val="00C52710"/>
    <w:rsid w:val="00C560D8"/>
    <w:rsid w:val="00C80DC3"/>
    <w:rsid w:val="00C85811"/>
    <w:rsid w:val="00CA3675"/>
    <w:rsid w:val="00CA4332"/>
    <w:rsid w:val="00CC09F3"/>
    <w:rsid w:val="00CD1D77"/>
    <w:rsid w:val="00D03CA7"/>
    <w:rsid w:val="00D06872"/>
    <w:rsid w:val="00D165A1"/>
    <w:rsid w:val="00D21617"/>
    <w:rsid w:val="00D37AAE"/>
    <w:rsid w:val="00D51DE1"/>
    <w:rsid w:val="00D9521D"/>
    <w:rsid w:val="00DB2B90"/>
    <w:rsid w:val="00DD0FBF"/>
    <w:rsid w:val="00DD44DA"/>
    <w:rsid w:val="00E05C5A"/>
    <w:rsid w:val="00E13BD0"/>
    <w:rsid w:val="00E1626D"/>
    <w:rsid w:val="00E24CC0"/>
    <w:rsid w:val="00E30770"/>
    <w:rsid w:val="00E47868"/>
    <w:rsid w:val="00E6141B"/>
    <w:rsid w:val="00E756BF"/>
    <w:rsid w:val="00E85244"/>
    <w:rsid w:val="00E8774E"/>
    <w:rsid w:val="00EB0E2B"/>
    <w:rsid w:val="00EE6B30"/>
    <w:rsid w:val="00EF36D2"/>
    <w:rsid w:val="00F047D5"/>
    <w:rsid w:val="00F4203D"/>
    <w:rsid w:val="00F45FAD"/>
    <w:rsid w:val="00F531B9"/>
    <w:rsid w:val="00F64E9B"/>
    <w:rsid w:val="00FB02B0"/>
    <w:rsid w:val="00FE0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CF5A"/>
  <w15:docId w15:val="{5E5149DD-CA93-4C89-9A6F-177DDE7F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077"/>
    <w:rPr>
      <w:rFonts w:eastAsia="Calibri"/>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00425"/>
    <w:pPr>
      <w:contextualSpacing/>
      <w:jc w:val="center"/>
    </w:pPr>
    <w:rPr>
      <w:rFonts w:eastAsiaTheme="majorEastAsia" w:cstheme="majorBidi"/>
      <w:b/>
      <w:spacing w:val="-10"/>
      <w:kern w:val="28"/>
      <w:sz w:val="28"/>
      <w:szCs w:val="56"/>
    </w:rPr>
  </w:style>
  <w:style w:type="paragraph" w:customStyle="1" w:styleId="Reference">
    <w:name w:val="Reference"/>
    <w:basedOn w:val="Normal"/>
    <w:rsid w:val="008A6077"/>
    <w:pPr>
      <w:spacing w:before="120"/>
      <w:ind w:left="720" w:hanging="720"/>
    </w:pPr>
    <w:rPr>
      <w:rFonts w:eastAsia="Times New Roman"/>
      <w:sz w:val="24"/>
      <w:szCs w:val="24"/>
    </w:rPr>
  </w:style>
  <w:style w:type="paragraph" w:styleId="Header">
    <w:name w:val="header"/>
    <w:basedOn w:val="Normal"/>
    <w:link w:val="HeaderChar"/>
    <w:uiPriority w:val="99"/>
    <w:unhideWhenUsed/>
    <w:rsid w:val="000379AB"/>
    <w:pPr>
      <w:tabs>
        <w:tab w:val="center" w:pos="4680"/>
        <w:tab w:val="right" w:pos="9360"/>
      </w:tabs>
    </w:pPr>
  </w:style>
  <w:style w:type="paragraph" w:customStyle="1" w:styleId="Heading-Secondary">
    <w:name w:val="Heading-Secondary"/>
    <w:basedOn w:val="Heading-Main"/>
    <w:qFormat/>
    <w:rsid w:val="00C81368"/>
    <w:pPr>
      <w:ind w:left="720"/>
    </w:pPr>
    <w:rPr>
      <w:b w:val="0"/>
    </w:rPr>
  </w:style>
  <w:style w:type="paragraph" w:customStyle="1" w:styleId="Authors">
    <w:name w:val="Authors"/>
    <w:basedOn w:val="Normal"/>
    <w:rsid w:val="00B120F3"/>
    <w:pPr>
      <w:spacing w:before="120" w:after="360"/>
    </w:pPr>
    <w:rPr>
      <w:rFonts w:eastAsia="Times New Roman"/>
      <w:b/>
      <w:sz w:val="24"/>
      <w:szCs w:val="24"/>
    </w:rPr>
  </w:style>
  <w:style w:type="paragraph" w:customStyle="1" w:styleId="Text">
    <w:name w:val="Text"/>
    <w:basedOn w:val="Normal"/>
    <w:rsid w:val="008A6077"/>
    <w:pPr>
      <w:spacing w:before="120"/>
      <w:ind w:firstLine="720"/>
    </w:pPr>
    <w:rPr>
      <w:rFonts w:eastAsia="Times New Roman"/>
      <w:sz w:val="24"/>
      <w:szCs w:val="24"/>
    </w:rPr>
  </w:style>
  <w:style w:type="paragraph" w:customStyle="1" w:styleId="FigureorTableCaption">
    <w:name w:val="Figure or Table Caption"/>
    <w:basedOn w:val="Normal"/>
    <w:rsid w:val="008A6077"/>
    <w:pPr>
      <w:keepNext/>
      <w:spacing w:before="240"/>
      <w:outlineLvl w:val="0"/>
    </w:pPr>
    <w:rPr>
      <w:rFonts w:eastAsia="Times New Roman"/>
      <w:kern w:val="28"/>
      <w:sz w:val="24"/>
      <w:szCs w:val="24"/>
    </w:rPr>
  </w:style>
  <w:style w:type="character" w:customStyle="1" w:styleId="HeaderChar">
    <w:name w:val="Header Char"/>
    <w:basedOn w:val="DefaultParagraphFont"/>
    <w:link w:val="Header"/>
    <w:uiPriority w:val="99"/>
    <w:rsid w:val="000379AB"/>
    <w:rPr>
      <w:rFonts w:ascii="Times New Roman" w:eastAsia="Calibri" w:hAnsi="Times New Roman" w:cs="Times New Roman"/>
      <w:sz w:val="20"/>
      <w:szCs w:val="20"/>
    </w:rPr>
  </w:style>
  <w:style w:type="character" w:styleId="Hyperlink">
    <w:name w:val="Hyperlink"/>
    <w:rsid w:val="008A6077"/>
    <w:rPr>
      <w:color w:val="0000FF"/>
      <w:u w:val="single"/>
    </w:rPr>
  </w:style>
  <w:style w:type="paragraph" w:customStyle="1" w:styleId="Heading-Main">
    <w:name w:val="Heading-Main"/>
    <w:basedOn w:val="Normal"/>
    <w:rsid w:val="005358D5"/>
    <w:pPr>
      <w:keepNext/>
      <w:spacing w:before="240" w:after="120"/>
      <w:outlineLvl w:val="0"/>
    </w:pPr>
    <w:rPr>
      <w:rFonts w:eastAsia="Times New Roman"/>
      <w:b/>
      <w:bCs/>
      <w:kern w:val="28"/>
      <w:sz w:val="24"/>
      <w:szCs w:val="24"/>
    </w:rPr>
  </w:style>
  <w:style w:type="paragraph" w:customStyle="1" w:styleId="Affiliation">
    <w:name w:val="Affiliation"/>
    <w:basedOn w:val="Text"/>
    <w:qFormat/>
    <w:rsid w:val="00B719C8"/>
    <w:pPr>
      <w:ind w:firstLine="0"/>
    </w:pPr>
  </w:style>
  <w:style w:type="paragraph" w:customStyle="1" w:styleId="KeyPoints">
    <w:name w:val="Key Points"/>
    <w:basedOn w:val="Normal"/>
    <w:rsid w:val="008A6077"/>
    <w:pPr>
      <w:spacing w:before="120"/>
    </w:pPr>
    <w:rPr>
      <w:rFonts w:eastAsia="Times New Roman"/>
      <w:sz w:val="24"/>
      <w:szCs w:val="24"/>
    </w:rPr>
  </w:style>
  <w:style w:type="paragraph" w:customStyle="1" w:styleId="Abstract">
    <w:name w:val="Abstract"/>
    <w:basedOn w:val="Normal"/>
    <w:qFormat/>
    <w:rsid w:val="00400425"/>
    <w:pPr>
      <w:spacing w:before="120"/>
    </w:pPr>
    <w:rPr>
      <w:rFonts w:eastAsia="Times New Roman"/>
      <w:sz w:val="24"/>
      <w:szCs w:val="24"/>
    </w:rPr>
  </w:style>
  <w:style w:type="character" w:customStyle="1" w:styleId="TitleChar">
    <w:name w:val="Title Char"/>
    <w:basedOn w:val="DefaultParagraphFont"/>
    <w:link w:val="Title"/>
    <w:uiPriority w:val="10"/>
    <w:rsid w:val="00400425"/>
    <w:rPr>
      <w:rFonts w:ascii="Times New Roman" w:eastAsiaTheme="majorEastAsia" w:hAnsi="Times New Roman" w:cstheme="majorBidi"/>
      <w:b/>
      <w:spacing w:val="-10"/>
      <w:kern w:val="28"/>
      <w:sz w:val="28"/>
      <w:szCs w:val="56"/>
    </w:rPr>
  </w:style>
  <w:style w:type="paragraph" w:customStyle="1" w:styleId="Note">
    <w:name w:val="Note"/>
    <w:basedOn w:val="Normal"/>
    <w:qFormat/>
    <w:rsid w:val="0037466A"/>
    <w:pPr>
      <w:spacing w:before="240" w:after="240"/>
    </w:pPr>
    <w:rPr>
      <w:color w:val="00B0F0"/>
    </w:rPr>
  </w:style>
  <w:style w:type="paragraph" w:styleId="NormalWeb">
    <w:name w:val="Normal (Web)"/>
    <w:basedOn w:val="Normal"/>
    <w:uiPriority w:val="99"/>
    <w:semiHidden/>
    <w:unhideWhenUsed/>
    <w:rsid w:val="002F3B11"/>
    <w:rPr>
      <w:sz w:val="24"/>
      <w:szCs w:val="24"/>
    </w:rPr>
  </w:style>
  <w:style w:type="paragraph" w:styleId="Footer">
    <w:name w:val="footer"/>
    <w:basedOn w:val="Normal"/>
    <w:link w:val="FooterChar"/>
    <w:uiPriority w:val="99"/>
    <w:unhideWhenUsed/>
    <w:rsid w:val="000379AB"/>
    <w:pPr>
      <w:tabs>
        <w:tab w:val="center" w:pos="4680"/>
        <w:tab w:val="right" w:pos="9360"/>
      </w:tabs>
    </w:pPr>
  </w:style>
  <w:style w:type="character" w:customStyle="1" w:styleId="FooterChar">
    <w:name w:val="Footer Char"/>
    <w:basedOn w:val="DefaultParagraphFont"/>
    <w:link w:val="Footer"/>
    <w:uiPriority w:val="99"/>
    <w:rsid w:val="000379AB"/>
    <w:rPr>
      <w:rFonts w:ascii="Times New Roman" w:eastAsia="Calibri" w:hAnsi="Times New Roman" w:cs="Times New Roman"/>
      <w:sz w:val="20"/>
      <w:szCs w:val="20"/>
    </w:rPr>
  </w:style>
  <w:style w:type="paragraph" w:styleId="ListParagraph">
    <w:name w:val="List Paragraph"/>
    <w:basedOn w:val="Normal"/>
    <w:uiPriority w:val="34"/>
    <w:qFormat/>
    <w:rsid w:val="00D810E5"/>
    <w:pPr>
      <w:spacing w:after="200"/>
      <w:ind w:left="720"/>
      <w:contextualSpacing/>
    </w:pPr>
    <w:rPr>
      <w:rFonts w:asciiTheme="minorHAnsi" w:eastAsiaTheme="minorEastAsia" w:hAnsiTheme="minorHAnsi" w:cstheme="minorBidi"/>
      <w:sz w:val="24"/>
      <w:szCs w:val="24"/>
      <w:lang w:eastAsia="ja-JP"/>
    </w:rPr>
  </w:style>
  <w:style w:type="character" w:styleId="UnresolvedMention">
    <w:name w:val="Unresolved Mention"/>
    <w:basedOn w:val="DefaultParagraphFont"/>
    <w:uiPriority w:val="99"/>
    <w:rsid w:val="00B81C79"/>
    <w:rPr>
      <w:color w:val="808080"/>
      <w:shd w:val="clear" w:color="auto" w:fill="E6E6E6"/>
    </w:rPr>
  </w:style>
  <w:style w:type="paragraph" w:styleId="BalloonText">
    <w:name w:val="Balloon Text"/>
    <w:basedOn w:val="Normal"/>
    <w:link w:val="BalloonTextChar"/>
    <w:uiPriority w:val="99"/>
    <w:semiHidden/>
    <w:unhideWhenUsed/>
    <w:rsid w:val="007B4B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B93"/>
    <w:rPr>
      <w:rFonts w:ascii="Segoe UI" w:eastAsia="Calibri" w:hAnsi="Segoe UI" w:cs="Segoe UI"/>
      <w:sz w:val="18"/>
      <w:szCs w:val="18"/>
    </w:rPr>
  </w:style>
  <w:style w:type="character" w:styleId="Emphasis">
    <w:name w:val="Emphasis"/>
    <w:basedOn w:val="DefaultParagraphFont"/>
    <w:uiPriority w:val="20"/>
    <w:qFormat/>
    <w:rsid w:val="007B4B93"/>
    <w:rPr>
      <w:i/>
      <w:iCs/>
    </w:rPr>
  </w:style>
  <w:style w:type="character" w:styleId="FollowedHyperlink">
    <w:name w:val="FollowedHyperlink"/>
    <w:basedOn w:val="DefaultParagraphFont"/>
    <w:uiPriority w:val="99"/>
    <w:semiHidden/>
    <w:unhideWhenUsed/>
    <w:rsid w:val="00F45E57"/>
    <w:rPr>
      <w:color w:val="954F72" w:themeColor="followedHyperlink"/>
      <w:u w:val="single"/>
    </w:rPr>
  </w:style>
  <w:style w:type="character" w:styleId="LineNumber">
    <w:name w:val="line number"/>
    <w:basedOn w:val="DefaultParagraphFont"/>
    <w:uiPriority w:val="99"/>
    <w:semiHidden/>
    <w:unhideWhenUsed/>
    <w:rsid w:val="00BD47BB"/>
  </w:style>
  <w:style w:type="table" w:styleId="TableGrid">
    <w:name w:val="Table Grid"/>
    <w:basedOn w:val="TableNormal"/>
    <w:uiPriority w:val="39"/>
    <w:rsid w:val="00AD7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2F7A3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1D6F09"/>
    <w:rPr>
      <w:color w:val="808080"/>
    </w:rPr>
  </w:style>
  <w:style w:type="paragraph" w:styleId="Bibliography">
    <w:name w:val="Bibliography"/>
    <w:basedOn w:val="Normal"/>
    <w:next w:val="Normal"/>
    <w:uiPriority w:val="37"/>
    <w:unhideWhenUsed/>
    <w:rsid w:val="004E77C3"/>
    <w:pPr>
      <w:ind w:left="720" w:hanging="720"/>
    </w:pPr>
  </w:style>
  <w:style w:type="character" w:styleId="CommentReference">
    <w:name w:val="annotation reference"/>
    <w:basedOn w:val="DefaultParagraphFont"/>
    <w:uiPriority w:val="99"/>
    <w:semiHidden/>
    <w:unhideWhenUsed/>
    <w:rsid w:val="00BB0745"/>
    <w:rPr>
      <w:sz w:val="16"/>
      <w:szCs w:val="16"/>
    </w:rPr>
  </w:style>
  <w:style w:type="paragraph" w:styleId="CommentText">
    <w:name w:val="annotation text"/>
    <w:basedOn w:val="Normal"/>
    <w:link w:val="CommentTextChar"/>
    <w:uiPriority w:val="99"/>
    <w:semiHidden/>
    <w:unhideWhenUsed/>
    <w:rsid w:val="00BB0745"/>
  </w:style>
  <w:style w:type="character" w:customStyle="1" w:styleId="CommentTextChar">
    <w:name w:val="Comment Text Char"/>
    <w:basedOn w:val="DefaultParagraphFont"/>
    <w:link w:val="CommentText"/>
    <w:uiPriority w:val="99"/>
    <w:semiHidden/>
    <w:rsid w:val="00BB074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0745"/>
    <w:rPr>
      <w:b/>
      <w:bCs/>
    </w:rPr>
  </w:style>
  <w:style w:type="character" w:customStyle="1" w:styleId="CommentSubjectChar">
    <w:name w:val="Comment Subject Char"/>
    <w:basedOn w:val="CommentTextChar"/>
    <w:link w:val="CommentSubject"/>
    <w:uiPriority w:val="99"/>
    <w:semiHidden/>
    <w:rsid w:val="00BB0745"/>
    <w:rPr>
      <w:rFonts w:ascii="Times New Roman" w:eastAsia="Calibri" w:hAnsi="Times New Roman" w:cs="Times New Roman"/>
      <w:b/>
      <w:bCs/>
      <w:sz w:val="20"/>
      <w:szCs w:val="20"/>
    </w:rPr>
  </w:style>
  <w:style w:type="paragraph" w:styleId="Revision">
    <w:name w:val="Revision"/>
    <w:hidden/>
    <w:uiPriority w:val="99"/>
    <w:semiHidden/>
    <w:rsid w:val="004B1AB4"/>
    <w:rPr>
      <w:rFonts w:eastAsia="Calibr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tblStylePr w:type="firstRow">
      <w:rPr>
        <w:b/>
      </w:rPr>
      <w:tblPr/>
      <w:tcPr>
        <w:tcBorders>
          <w:bottom w:val="single" w:sz="4"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tblStylePr w:type="firstRow">
      <w:rPr>
        <w:b/>
      </w:rPr>
      <w:tblPr/>
      <w:tcPr>
        <w:tcBorders>
          <w:bottom w:val="single" w:sz="4"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TableGrid1">
    <w:name w:val="Table Grid1"/>
    <w:basedOn w:val="TableNormal"/>
    <w:next w:val="TableGrid"/>
    <w:uiPriority w:val="39"/>
    <w:rsid w:val="00BE57C8"/>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05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doi.org/10.5281/zenodo.6025377"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pds-speclib.rsl.wustl.edu/" TargetMode="Externa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Xcylal9PeP0kVfDONP4tw9w8kg==">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B06A20-3828-40E2-98CF-56180AD2ECF5}">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4</TotalTime>
  <Pages>27</Pages>
  <Words>37395</Words>
  <Characters>213152</Characters>
  <Application>Microsoft Office Word</Application>
  <DocSecurity>0</DocSecurity>
  <Lines>1776</Lines>
  <Paragraphs>500</Paragraphs>
  <ScaleCrop>false</ScaleCrop>
  <Company/>
  <LinksUpToDate>false</LinksUpToDate>
  <CharactersWithSpaces>250047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 Hanson</dc:creator>
  <cp:lastModifiedBy>Cremons, Daniel R. (GSFC-6980)</cp:lastModifiedBy>
  <cp:revision>6</cp:revision>
  <dcterms:created xsi:type="dcterms:W3CDTF">2022-07-01T16:51:00Z</dcterms:created>
  <dcterms:modified xsi:type="dcterms:W3CDTF">2022-07-01T16:55:00Z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http://www.zotero.org/styles/apa-no-ampersand</vt:lpwstr>
  </property>
  <property fmtid="{D5CDD505-2E9C-101B-9397-08002B2CF9AE}" pid="7" name="Mendeley Recent Style Name 2_1">
    <vt:lpwstr>American Psychological Association 7th edition (no ampersand)</vt:lpwstr>
  </property>
  <property fmtid="{D5CDD505-2E9C-101B-9397-08002B2CF9AE}" pid="8" name="Mendeley Recent Style Id 3_1">
    <vt:lpwstr>http://www.zotero.org/styles/elsevier-vancouver-author-date</vt:lpwstr>
  </property>
  <property fmtid="{D5CDD505-2E9C-101B-9397-08002B2CF9AE}" pid="9" name="Mendeley Recent Style Name 3_1">
    <vt:lpwstr>Elsevier - Vancouver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http://www.zotero.org/styles/multidisciplinary-digital-publishing-institute</vt:lpwstr>
  </property>
  <property fmtid="{D5CDD505-2E9C-101B-9397-08002B2CF9AE}" pid="17" name="Mendeley Recent Style Name 7_1">
    <vt:lpwstr>Multidisciplinary Digital Publishing Institute</vt:lpwstr>
  </property>
  <property fmtid="{D5CDD505-2E9C-101B-9397-08002B2CF9AE}" pid="18" name="Mendeley Recent Style Id 8_1">
    <vt:lpwstr>http://www.zotero.org/styles/springer-mathphys-brackets</vt:lpwstr>
  </property>
  <property fmtid="{D5CDD505-2E9C-101B-9397-08002B2CF9AE}" pid="19" name="Mendeley Recent Style Name 8_1">
    <vt:lpwstr>Springer - MathPhys (numeric, brackets)</vt:lpwstr>
  </property>
  <property fmtid="{D5CDD505-2E9C-101B-9397-08002B2CF9AE}" pid="20" name="Mendeley Recent Style Id 9_1">
    <vt:lpwstr>http://csl.mendeley.com/styles/21392811/the-optical-society</vt:lpwstr>
  </property>
  <property fmtid="{D5CDD505-2E9C-101B-9397-08002B2CF9AE}" pid="21" name="Mendeley Recent Style Name 9_1">
    <vt:lpwstr>The Optical Society</vt:lpwstr>
  </property>
  <property fmtid="{D5CDD505-2E9C-101B-9397-08002B2CF9AE}" pid="22" name="Mendeley Document_1">
    <vt:lpwstr>True</vt:lpwstr>
  </property>
  <property fmtid="{D5CDD505-2E9C-101B-9397-08002B2CF9AE}" pid="23" name="Mendeley Unique User Id_1">
    <vt:lpwstr>c3259026-c5b6-31ac-9545-0de96ef9ad63</vt:lpwstr>
  </property>
  <property fmtid="{D5CDD505-2E9C-101B-9397-08002B2CF9AE}" pid="24" name="Mendeley Citation Style_1">
    <vt:lpwstr>http://www.zotero.org/styles/apa-no-ampersand</vt:lpwstr>
  </property>
  <property fmtid="{D5CDD505-2E9C-101B-9397-08002B2CF9AE}" pid="25" name="ZOTERO_PREF_1">
    <vt:lpwstr>&lt;data data-version="3" zotero-version="6.0.9"&gt;&lt;session id="3x3Wocjc"/&gt;&lt;style id="http://www.zotero.org/styles/apa" locale="en-US" hasBibliography="1" bibliographyStyleHasBeenSet="1"/&gt;&lt;prefs&gt;&lt;pref name="fieldType" value="Field"/&gt;&lt;/prefs&gt;&lt;/data&gt;</vt:lpwstr>
  </property>
</Properties>
</file>