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92DA" w14:textId="3420FEA5" w:rsidR="00785846" w:rsidRDefault="000A3671" w:rsidP="00F03140">
      <w:pPr>
        <w:pStyle w:val="PaperNumber"/>
      </w:pPr>
      <w:r w:rsidRPr="000A3671">
        <w:t>SSC22-III-09</w:t>
      </w:r>
    </w:p>
    <w:p w14:paraId="02F89E2D" w14:textId="5CC710EF" w:rsidR="00F03140" w:rsidRDefault="00965304" w:rsidP="00F03140">
      <w:pPr>
        <w:pStyle w:val="Title"/>
      </w:pPr>
      <w:r w:rsidRPr="00965304">
        <w:t>SCIENCE CONOPS FOR APPLICATION OF SPORT MISSION DATA TO STUDY LARGE (~1000KM) IONOSPHERIC PLASMA DEPLETIONS</w:t>
      </w:r>
    </w:p>
    <w:p w14:paraId="16D8C3D2" w14:textId="77777777" w:rsidR="00F03140" w:rsidRDefault="00F03140" w:rsidP="00F03140">
      <w:pPr>
        <w:pStyle w:val="Authors"/>
      </w:pPr>
    </w:p>
    <w:p w14:paraId="14DD0DDC" w14:textId="5A60833F" w:rsidR="00F03140" w:rsidRPr="00583607" w:rsidRDefault="004A0134" w:rsidP="00F03140">
      <w:pPr>
        <w:pStyle w:val="Authors"/>
      </w:pPr>
      <w:r>
        <w:t xml:space="preserve">Linda Habash </w:t>
      </w:r>
      <w:proofErr w:type="gramStart"/>
      <w:r>
        <w:t>Krause</w:t>
      </w:r>
      <w:r w:rsidR="0015663D">
        <w:t xml:space="preserve">, </w:t>
      </w:r>
      <w:r w:rsidR="00542D08">
        <w:t xml:space="preserve"> </w:t>
      </w:r>
      <w:r w:rsidR="0015663D">
        <w:t>Shelia</w:t>
      </w:r>
      <w:proofErr w:type="gramEnd"/>
      <w:r w:rsidR="0015663D">
        <w:t xml:space="preserve"> Nash-Stevenson, </w:t>
      </w:r>
      <w:r w:rsidR="00542D08">
        <w:t xml:space="preserve"> </w:t>
      </w:r>
      <w:r w:rsidR="0015663D">
        <w:t>Stephen Clanton</w:t>
      </w:r>
    </w:p>
    <w:p w14:paraId="7F696EBC" w14:textId="4579127A" w:rsidR="00F03140" w:rsidRDefault="004A0134" w:rsidP="00F03140">
      <w:pPr>
        <w:pStyle w:val="Authors"/>
      </w:pPr>
      <w:r>
        <w:t>NASA Marshall Space Flight Center</w:t>
      </w:r>
    </w:p>
    <w:p w14:paraId="50C6B41A" w14:textId="1B68FA18" w:rsidR="004A0134" w:rsidRPr="00583607" w:rsidRDefault="004A0134" w:rsidP="00F03140">
      <w:pPr>
        <w:pStyle w:val="Authors"/>
      </w:pPr>
      <w:r>
        <w:t>Huntsville, AL</w:t>
      </w:r>
    </w:p>
    <w:p w14:paraId="0ACA1CE2" w14:textId="2EF343B4" w:rsidR="00F03140" w:rsidRPr="00583607" w:rsidRDefault="004A0134" w:rsidP="00F03140">
      <w:pPr>
        <w:pStyle w:val="Authors"/>
      </w:pPr>
      <w:r>
        <w:t>1.256.961.7367</w:t>
      </w:r>
    </w:p>
    <w:p w14:paraId="06C2C3E0" w14:textId="4B633D62" w:rsidR="00F03140" w:rsidRDefault="00AE204B" w:rsidP="00F03140">
      <w:pPr>
        <w:pStyle w:val="Authors"/>
      </w:pPr>
      <w:r w:rsidRPr="00DF29B1">
        <w:t>Linda.H.Krause@nasa.gov</w:t>
      </w:r>
    </w:p>
    <w:p w14:paraId="219D6874" w14:textId="4F1C2D85" w:rsidR="00AE204B" w:rsidRDefault="00AE204B" w:rsidP="00F03140">
      <w:pPr>
        <w:pStyle w:val="Authors"/>
      </w:pPr>
    </w:p>
    <w:p w14:paraId="0183C2F0" w14:textId="77777777" w:rsidR="0015663D" w:rsidRDefault="0015663D" w:rsidP="0015663D">
      <w:pPr>
        <w:pStyle w:val="Authors"/>
      </w:pPr>
      <w:r>
        <w:t>Rebecca L. Bishop</w:t>
      </w:r>
    </w:p>
    <w:p w14:paraId="36DA1454" w14:textId="77777777" w:rsidR="0015663D" w:rsidRDefault="0015663D" w:rsidP="0015663D">
      <w:pPr>
        <w:pStyle w:val="Authors"/>
      </w:pPr>
      <w:r>
        <w:t>The Aerospace Corporation</w:t>
      </w:r>
    </w:p>
    <w:p w14:paraId="674ABB9F" w14:textId="3E6A8710" w:rsidR="0015663D" w:rsidRDefault="0015663D" w:rsidP="0015663D">
      <w:pPr>
        <w:pStyle w:val="Authors"/>
      </w:pPr>
      <w:r>
        <w:t>El Segundo, CA</w:t>
      </w:r>
    </w:p>
    <w:p w14:paraId="17CC3FF1" w14:textId="11BDACD6" w:rsidR="00BE6C9F" w:rsidRDefault="00BE6C9F" w:rsidP="0015663D">
      <w:pPr>
        <w:pStyle w:val="Authors"/>
      </w:pPr>
    </w:p>
    <w:p w14:paraId="349C4EA2" w14:textId="02353F96" w:rsidR="00BE6C9F" w:rsidRDefault="00BE6C9F" w:rsidP="0015663D">
      <w:pPr>
        <w:pStyle w:val="Authors"/>
      </w:pPr>
      <w:r>
        <w:t>Charles M. Swenson</w:t>
      </w:r>
    </w:p>
    <w:p w14:paraId="4C6125CA" w14:textId="49918AC4" w:rsidR="00BE6C9F" w:rsidRDefault="00BE6C9F" w:rsidP="0015663D">
      <w:pPr>
        <w:pStyle w:val="Authors"/>
      </w:pPr>
      <w:r>
        <w:t>Utah State University</w:t>
      </w:r>
    </w:p>
    <w:p w14:paraId="6F856F58" w14:textId="683DA431" w:rsidR="00BE6C9F" w:rsidRDefault="00BE6C9F" w:rsidP="0015663D">
      <w:pPr>
        <w:pStyle w:val="Authors"/>
      </w:pPr>
      <w:r>
        <w:t>Logan, UT</w:t>
      </w:r>
    </w:p>
    <w:p w14:paraId="27886BBC" w14:textId="1E8C8FFB" w:rsidR="00AE204B" w:rsidRDefault="00AE204B" w:rsidP="00AE204B">
      <w:pPr>
        <w:pStyle w:val="Authors"/>
      </w:pPr>
    </w:p>
    <w:p w14:paraId="117C5BA4" w14:textId="5822F849" w:rsidR="002009C0" w:rsidRDefault="002009C0" w:rsidP="00AE204B">
      <w:pPr>
        <w:pStyle w:val="Authors"/>
      </w:pPr>
      <w:r>
        <w:t xml:space="preserve">Joaquim E. R. </w:t>
      </w:r>
      <w:proofErr w:type="gramStart"/>
      <w:r>
        <w:t>Costa</w:t>
      </w:r>
      <w:r w:rsidR="00BE6C9F">
        <w:t>,</w:t>
      </w:r>
      <w:r w:rsidR="00BE6C9F" w:rsidRPr="00BE6C9F">
        <w:t xml:space="preserve"> </w:t>
      </w:r>
      <w:r w:rsidR="00542D08">
        <w:t xml:space="preserve"> </w:t>
      </w:r>
      <w:r w:rsidR="00BE6C9F" w:rsidRPr="00BE6C9F">
        <w:t>Marcelo</w:t>
      </w:r>
      <w:proofErr w:type="gramEnd"/>
      <w:r w:rsidR="00BE6C9F" w:rsidRPr="00BE6C9F">
        <w:t xml:space="preserve"> Banik de </w:t>
      </w:r>
      <w:proofErr w:type="spellStart"/>
      <w:r w:rsidR="00BE6C9F" w:rsidRPr="00BE6C9F">
        <w:t>Pádua</w:t>
      </w:r>
      <w:proofErr w:type="spellEnd"/>
      <w:r w:rsidR="00500A11">
        <w:t>‬</w:t>
      </w:r>
    </w:p>
    <w:p w14:paraId="21E1F077" w14:textId="36F94942" w:rsidR="00AE204B" w:rsidRDefault="0015663D" w:rsidP="00AE204B">
      <w:pPr>
        <w:pStyle w:val="Authors"/>
      </w:pPr>
      <w:r w:rsidRPr="0015663D">
        <w:t xml:space="preserve">Instituto Nacional de </w:t>
      </w:r>
      <w:proofErr w:type="spellStart"/>
      <w:r w:rsidRPr="0015663D">
        <w:t>Pesquisas</w:t>
      </w:r>
      <w:proofErr w:type="spellEnd"/>
      <w:r w:rsidRPr="0015663D">
        <w:t xml:space="preserve"> </w:t>
      </w:r>
      <w:proofErr w:type="spellStart"/>
      <w:r w:rsidRPr="0015663D">
        <w:t>Espaciais</w:t>
      </w:r>
      <w:proofErr w:type="spellEnd"/>
      <w:r>
        <w:t xml:space="preserve"> (INPE)</w:t>
      </w:r>
    </w:p>
    <w:p w14:paraId="147C3794" w14:textId="3AC91279" w:rsidR="0015663D" w:rsidRDefault="0015663D" w:rsidP="00AE204B">
      <w:pPr>
        <w:pStyle w:val="Authors"/>
      </w:pPr>
      <w:r w:rsidRPr="0015663D">
        <w:t>Sao Jose dos Campos</w:t>
      </w:r>
      <w:r>
        <w:t>, Brazil</w:t>
      </w:r>
    </w:p>
    <w:p w14:paraId="4ED671DD" w14:textId="60B99801" w:rsidR="0015663D" w:rsidRDefault="0015663D" w:rsidP="00AE204B">
      <w:pPr>
        <w:pStyle w:val="Authors"/>
      </w:pPr>
    </w:p>
    <w:p w14:paraId="4B093FFF" w14:textId="509BFA43" w:rsidR="002009C0" w:rsidRDefault="00BE6C9F" w:rsidP="00542D08">
      <w:pPr>
        <w:pStyle w:val="Authors"/>
        <w:ind w:left="720" w:right="720"/>
      </w:pPr>
      <w:r>
        <w:t xml:space="preserve">Marco A. </w:t>
      </w:r>
      <w:proofErr w:type="gramStart"/>
      <w:r>
        <w:t xml:space="preserve">Ridenti, </w:t>
      </w:r>
      <w:r w:rsidR="00542D08">
        <w:t xml:space="preserve"> </w:t>
      </w:r>
      <w:r w:rsidR="002009C0">
        <w:t>Luis</w:t>
      </w:r>
      <w:proofErr w:type="gramEnd"/>
      <w:r w:rsidR="002009C0">
        <w:t xml:space="preserve"> Loures, </w:t>
      </w:r>
      <w:r w:rsidR="00542D08">
        <w:t xml:space="preserve"> </w:t>
      </w:r>
      <w:r w:rsidR="002009C0">
        <w:t xml:space="preserve">Lidia Shibuya, </w:t>
      </w:r>
      <w:r w:rsidR="00542D08">
        <w:t xml:space="preserve"> </w:t>
      </w:r>
      <w:r w:rsidR="00542D08">
        <w:t xml:space="preserve">Jonas </w:t>
      </w:r>
      <w:r w:rsidR="00542D08" w:rsidRPr="00BE6C9F">
        <w:t>Sousa Santos</w:t>
      </w:r>
      <w:r w:rsidR="00542D08">
        <w:t xml:space="preserve">, </w:t>
      </w:r>
      <w:dir w:val="ltr">
        <w:r w:rsidR="00542D08">
          <w:t xml:space="preserve"> </w:t>
        </w:r>
        <w:r w:rsidR="002009C0">
          <w:t xml:space="preserve">Jayr de Amorim Filho, </w:t>
        </w:r>
        <w:r w:rsidR="00542D08">
          <w:t xml:space="preserve"> </w:t>
        </w:r>
        <w:r w:rsidR="002009C0">
          <w:t xml:space="preserve">Ana </w:t>
        </w:r>
        <w:r>
          <w:t xml:space="preserve">Paula </w:t>
        </w:r>
        <w:proofErr w:type="spellStart"/>
        <w:r>
          <w:t>Schuch</w:t>
        </w:r>
        <w:proofErr w:type="spellEnd"/>
        <w:r>
          <w:t xml:space="preserve">, </w:t>
        </w:r>
        <w:r w:rsidR="00542D08">
          <w:t xml:space="preserve"> </w:t>
        </w:r>
        <w:r>
          <w:t xml:space="preserve">Sophia Rodrigues </w:t>
        </w:r>
        <w:proofErr w:type="spellStart"/>
        <w:r>
          <w:t>Laranja</w:t>
        </w:r>
        <w:proofErr w:type="spellEnd"/>
      </w:dir>
    </w:p>
    <w:p w14:paraId="57152F21" w14:textId="2B8BE9D4" w:rsidR="0015663D" w:rsidRPr="00583607" w:rsidRDefault="0015663D" w:rsidP="00AE204B">
      <w:pPr>
        <w:pStyle w:val="Authors"/>
      </w:pPr>
      <w:r w:rsidRPr="0015663D">
        <w:t xml:space="preserve">Instituto </w:t>
      </w:r>
      <w:proofErr w:type="spellStart"/>
      <w:r w:rsidRPr="0015663D">
        <w:t>Tecnológico</w:t>
      </w:r>
      <w:proofErr w:type="spellEnd"/>
      <w:r w:rsidRPr="0015663D">
        <w:t xml:space="preserve"> de </w:t>
      </w:r>
      <w:proofErr w:type="spellStart"/>
      <w:r w:rsidRPr="0015663D">
        <w:t>Aeronáutica</w:t>
      </w:r>
      <w:proofErr w:type="spellEnd"/>
      <w:r>
        <w:t xml:space="preserve"> (ITA)</w:t>
      </w:r>
    </w:p>
    <w:p w14:paraId="070B2DE6" w14:textId="6A150A2A" w:rsidR="00AE204B" w:rsidRDefault="0015663D" w:rsidP="00F03140">
      <w:pPr>
        <w:pStyle w:val="Authors"/>
      </w:pPr>
      <w:r w:rsidRPr="0015663D">
        <w:t>São José dos Campos</w:t>
      </w:r>
      <w:r>
        <w:t>, Brazil</w:t>
      </w:r>
    </w:p>
    <w:p w14:paraId="4433DE2D" w14:textId="14DF33ED" w:rsidR="0015663D" w:rsidRDefault="0015663D" w:rsidP="00F03140">
      <w:pPr>
        <w:pStyle w:val="Authors"/>
      </w:pPr>
    </w:p>
    <w:p w14:paraId="19A2CB73" w14:textId="77777777" w:rsidR="0015663D" w:rsidRPr="00583607" w:rsidRDefault="0015663D" w:rsidP="0015663D">
      <w:pPr>
        <w:pStyle w:val="Authors"/>
      </w:pPr>
      <w:r>
        <w:t>Guan Le, Todd Bonalsky</w:t>
      </w:r>
    </w:p>
    <w:p w14:paraId="1563B1A1" w14:textId="77777777" w:rsidR="0015663D" w:rsidRDefault="0015663D" w:rsidP="0015663D">
      <w:pPr>
        <w:pStyle w:val="Authors"/>
      </w:pPr>
      <w:r>
        <w:t>NASA Goddard Space Flight Center</w:t>
      </w:r>
    </w:p>
    <w:p w14:paraId="2CA21F78" w14:textId="629DF7FD" w:rsidR="0015663D" w:rsidRDefault="0015663D" w:rsidP="0015663D">
      <w:pPr>
        <w:pStyle w:val="Authors"/>
      </w:pPr>
      <w:r>
        <w:t>Greenbelt, MD</w:t>
      </w:r>
    </w:p>
    <w:p w14:paraId="613F83FE" w14:textId="5CB7945E" w:rsidR="0015663D" w:rsidRDefault="0015663D" w:rsidP="0015663D">
      <w:pPr>
        <w:pStyle w:val="Authors"/>
      </w:pPr>
    </w:p>
    <w:p w14:paraId="09C3C5F9" w14:textId="58252BA6" w:rsidR="0015663D" w:rsidRDefault="0015663D" w:rsidP="0015663D">
      <w:pPr>
        <w:pStyle w:val="Authors"/>
      </w:pPr>
      <w:r>
        <w:t xml:space="preserve">Rod </w:t>
      </w:r>
      <w:r w:rsidR="002009C0">
        <w:t xml:space="preserve">A. </w:t>
      </w:r>
      <w:r>
        <w:t>Heelis</w:t>
      </w:r>
      <w:r w:rsidR="005F0688">
        <w:t xml:space="preserve">, </w:t>
      </w:r>
      <w:r w:rsidR="005F0688" w:rsidRPr="005F0688">
        <w:t>Mark W Mankey</w:t>
      </w:r>
    </w:p>
    <w:p w14:paraId="6ED6AD55" w14:textId="7581D1D0" w:rsidR="0015663D" w:rsidRDefault="0015663D" w:rsidP="0015663D">
      <w:pPr>
        <w:pStyle w:val="Authors"/>
      </w:pPr>
      <w:r>
        <w:t>University of Texas, Dallas</w:t>
      </w:r>
    </w:p>
    <w:p w14:paraId="105B0835" w14:textId="4B4641E5" w:rsidR="0015663D" w:rsidRDefault="0015663D" w:rsidP="0015663D">
      <w:pPr>
        <w:pStyle w:val="Authors"/>
      </w:pPr>
      <w:r>
        <w:t>Dallas, TX</w:t>
      </w:r>
    </w:p>
    <w:p w14:paraId="690F085F" w14:textId="77777777" w:rsidR="00101EA5" w:rsidRDefault="00101EA5" w:rsidP="00BE6C9F">
      <w:pPr>
        <w:pStyle w:val="Authors"/>
        <w:jc w:val="both"/>
        <w:rPr>
          <w:b/>
        </w:rPr>
      </w:pPr>
    </w:p>
    <w:p w14:paraId="00C11FD9" w14:textId="77777777" w:rsidR="002058E5" w:rsidRDefault="002058E5" w:rsidP="002058E5">
      <w:pPr>
        <w:pStyle w:val="AbstractTitle"/>
      </w:pPr>
      <w:r>
        <w:t>ABSTRACT</w:t>
      </w:r>
    </w:p>
    <w:p w14:paraId="0B7201EC" w14:textId="6AC67BDB" w:rsidR="008B538F" w:rsidRPr="005D1E82" w:rsidRDefault="008B538F" w:rsidP="008B538F">
      <w:r>
        <w:t xml:space="preserve">The Scintillation Prediction Observations Research Task (SPORT) mission is a single 6U CubeSat space weather satellite planned for an October 2022 launch into an ISS-like orbit.  The primary purpose of the SPORT mission is to determine the longitudinal effects on equatorial plasma bubble (EPB) growth resulting from the offset dipole magnetic field of the Earth.  By combining field and plasma measurements from SPORT with other low-altitude (i.e., alt &lt; 1000 km) spacecraft, it is possible to investigate large-scale (&gt; 1000 km) EPB structures.  The types of investigation made possible by measurements from SPORT and other contemporaneous missions include 1) dynamics of depleted magnetic flux tubes; 2) dynamics of field-aligned EPB expansion versus propagation speed; 3) EPB vertical extent; and 4) EPB temporal evolution. To support these investigation types, the respective modes of conjunctions are: 1) simultaneous intersection of a magnetic flux tube; 2) intersection of magnetic flux tube separated in time; 3) Simultaneous Latitude/Longitude position conjunction; and 4) </w:t>
      </w:r>
      <w:proofErr w:type="gramStart"/>
      <w:r>
        <w:t>Non-simultaneous</w:t>
      </w:r>
      <w:proofErr w:type="gramEnd"/>
      <w:r>
        <w:t xml:space="preserve"> latitude/longitude position conjunction. This paper will summarize </w:t>
      </w:r>
      <w:r w:rsidR="00492A98">
        <w:t>the SPORT satellite and data used for Science CONOPS to accomplish these objectives.</w:t>
      </w:r>
    </w:p>
    <w:p w14:paraId="7D3D98A9" w14:textId="3CE40106" w:rsidR="00B83208" w:rsidRDefault="00B83208" w:rsidP="00B83208">
      <w:pPr>
        <w:sectPr w:rsidR="00B83208" w:rsidSect="0005267D">
          <w:footerReference w:type="default" r:id="rId8"/>
          <w:pgSz w:w="12240" w:h="15840"/>
          <w:pgMar w:top="1440" w:right="1440" w:bottom="1440" w:left="1440" w:header="720" w:footer="720" w:gutter="0"/>
          <w:cols w:space="720"/>
          <w:docGrid w:linePitch="360"/>
        </w:sectPr>
      </w:pPr>
    </w:p>
    <w:p w14:paraId="3F16997F" w14:textId="18441365" w:rsidR="002058E5" w:rsidRDefault="0010330E" w:rsidP="002058E5">
      <w:pPr>
        <w:pStyle w:val="Heading1"/>
      </w:pPr>
      <w:r>
        <w:t>introduction and background</w:t>
      </w:r>
    </w:p>
    <w:p w14:paraId="7278CA0F" w14:textId="76C03850" w:rsidR="000576CF" w:rsidRDefault="000576CF" w:rsidP="000576CF">
      <w:r>
        <w:t xml:space="preserve">The Scintillation Prediction Observations Research Task (SPORT) is a focused investigation on the conditions under which ionospheric variability develops at low </w:t>
      </w:r>
      <w:r>
        <w:t xml:space="preserve">latitudes near the equator and leads to scintillations that compromises transmission of RF signals. The SPORT 6U CubeSat mission was proposed to the Heliophysics Division at NASA HQ under the Heliophysics </w:t>
      </w:r>
      <w:r>
        <w:lastRenderedPageBreak/>
        <w:t xml:space="preserve">Technology and Instrument Development for Science program within ROSES, announcement number NNH16ZDA001N-HTIDS, and selected for funding in 2017. It is an international joint partnership with NASA Marshal Space Flight Center, the Brazilian Space Agency (AEB), Brazilian Instituto Nacional de </w:t>
      </w:r>
      <w:proofErr w:type="spellStart"/>
      <w:r>
        <w:t>Pesquisas</w:t>
      </w:r>
      <w:proofErr w:type="spellEnd"/>
      <w:r>
        <w:t xml:space="preserve"> </w:t>
      </w:r>
      <w:proofErr w:type="spellStart"/>
      <w:r>
        <w:t>Espaciais</w:t>
      </w:r>
      <w:proofErr w:type="spellEnd"/>
      <w:r>
        <w:t xml:space="preserve"> (INPE), Brazilian Instituto </w:t>
      </w:r>
      <w:proofErr w:type="spellStart"/>
      <w:r>
        <w:t>Tecnológico</w:t>
      </w:r>
      <w:proofErr w:type="spellEnd"/>
      <w:r>
        <w:t xml:space="preserve"> de </w:t>
      </w:r>
      <w:proofErr w:type="spellStart"/>
      <w:r>
        <w:t>Aeronáutica</w:t>
      </w:r>
      <w:proofErr w:type="spellEnd"/>
      <w:r>
        <w:t>, (ITA), University of Texas Dallas (UTD), The Aerospace Corporation (TAC), NASA Goddard Space Flight Center (GSFC), and the Utah State University (USU) Center for Space Engineering. The United State partners are providing the flight instruments and the launch to orbit; the Brazilian partners are contributing the spacecraft, observatory integration &amp; test, ground observation networks, and mission operations &amp; data management.</w:t>
      </w:r>
    </w:p>
    <w:p w14:paraId="25D8C56D" w14:textId="7C7B98F6" w:rsidR="005C4B62" w:rsidRPr="002058E5" w:rsidRDefault="000576CF" w:rsidP="005C4B62">
      <w:r>
        <w:t>The SPORT mission will make progress on the very compelling but difficult problem of understanding preconditions leading to equatorial plasma bubbles. These ionospheric structures have been observed for decades. They are the primary source of radar reflections in the equatorial F-region ionosphere and cause strong scintillations on radio signals passing through them. The relationships between background ionospheric conditions and the irregularity regions, which may influence their growth to high altitudes are poorly understood. SPORT will address two specific questions about these phenomena: (1) What is the state of the ionosphere that gives rise to the growth of plasma bubbles that extend into and above the F-peak at different longitudes? (2) How are plasma irregularities at satellite altitudes related to the radio scintillations observed passing through these regions?  To answer these questions, the SPORT mission will collect data sets (instrument data and spacecraft ancillary data) that will be processed to meet the Science Measurement Requirements identified in</w:t>
      </w:r>
      <w:r w:rsidR="00FD3B19">
        <w:t xml:space="preserve"> </w:t>
      </w:r>
      <w:r w:rsidR="00FD3B19">
        <w:fldChar w:fldCharType="begin"/>
      </w:r>
      <w:r w:rsidR="00FD3B19">
        <w:instrText xml:space="preserve"> REF _Ref108513520 \h </w:instrText>
      </w:r>
      <w:r w:rsidR="00FD3B19">
        <w:fldChar w:fldCharType="separate"/>
      </w:r>
      <w:r w:rsidR="00FD3B19">
        <w:t xml:space="preserve">Table </w:t>
      </w:r>
      <w:r w:rsidR="00FD3B19">
        <w:rPr>
          <w:noProof/>
        </w:rPr>
        <w:t>1</w:t>
      </w:r>
      <w:r w:rsidR="00FD3B19">
        <w:fldChar w:fldCharType="end"/>
      </w:r>
      <w:r w:rsidR="001D51B5">
        <w:t>.</w:t>
      </w:r>
    </w:p>
    <w:p w14:paraId="081AAE88" w14:textId="67EC7F26" w:rsidR="00B83208" w:rsidRDefault="0010330E" w:rsidP="00B83208">
      <w:pPr>
        <w:pStyle w:val="Heading1"/>
      </w:pPr>
      <w:bookmarkStart w:id="0" w:name="_Hlk108090705"/>
      <w:r>
        <w:t>SPORT mission description</w:t>
      </w:r>
    </w:p>
    <w:p w14:paraId="0059E550" w14:textId="53B6F3F7" w:rsidR="00841646" w:rsidRDefault="000576CF" w:rsidP="00841646">
      <w:r w:rsidRPr="000576CF">
        <w:t xml:space="preserve">The </w:t>
      </w:r>
      <w:r w:rsidR="00841646">
        <w:t>SPORT spacecraft (S/C), including the bus and the complement of science instruments, is visualized i</w:t>
      </w:r>
      <w:r w:rsidR="00EA573E">
        <w:t xml:space="preserve">n </w:t>
      </w:r>
      <w:r w:rsidR="00EA573E">
        <w:fldChar w:fldCharType="begin"/>
      </w:r>
      <w:r w:rsidR="00EA573E">
        <w:instrText xml:space="preserve"> REF _Ref108509859 \h </w:instrText>
      </w:r>
      <w:r w:rsidR="00EA573E">
        <w:fldChar w:fldCharType="separate"/>
      </w:r>
      <w:r w:rsidR="00EA573E">
        <w:t xml:space="preserve">Figure </w:t>
      </w:r>
      <w:r w:rsidR="00EA573E">
        <w:rPr>
          <w:noProof/>
        </w:rPr>
        <w:t>1</w:t>
      </w:r>
      <w:r w:rsidR="00EA573E">
        <w:fldChar w:fldCharType="end"/>
      </w:r>
      <w:r w:rsidR="00841646">
        <w:t>. The S/C is designed to be 3-axis stabilized, with the +z surface (mechanical coordinates) facing into the ram.  The pointing fidelity is to within 5</w:t>
      </w:r>
      <w:r w:rsidR="00841646">
        <w:sym w:font="Symbol" w:char="F0B0"/>
      </w:r>
      <w:r w:rsidR="00841646">
        <w:t xml:space="preserve"> (1</w:t>
      </w:r>
      <w:r w:rsidR="00841646">
        <w:sym w:font="Symbol" w:char="F073"/>
      </w:r>
      <w:r w:rsidR="00841646">
        <w:t>) to accommodate the operational requirements of the science instruments (</w:t>
      </w:r>
      <w:r w:rsidR="00EA573E">
        <w:fldChar w:fldCharType="begin"/>
      </w:r>
      <w:r w:rsidR="00EA573E">
        <w:instrText xml:space="preserve"> REF _Ref108513520 \h </w:instrText>
      </w:r>
      <w:r w:rsidR="00EA573E">
        <w:fldChar w:fldCharType="separate"/>
      </w:r>
      <w:r w:rsidR="00FD3B19">
        <w:t xml:space="preserve">Table </w:t>
      </w:r>
      <w:r w:rsidR="00FD3B19">
        <w:rPr>
          <w:noProof/>
        </w:rPr>
        <w:t>1</w:t>
      </w:r>
      <w:r w:rsidR="00EA573E">
        <w:fldChar w:fldCharType="end"/>
      </w:r>
      <w:r w:rsidR="00841646">
        <w:t xml:space="preserve">).  The primary science objectives require the science instruments to make measurements on-orbit from 1700 until 0200 local time, more precisely described as when the ascending or descending orbit nodes cross the Brazil’s geographic equator within the geographic local time bracket.  </w:t>
      </w:r>
    </w:p>
    <w:p w14:paraId="3B9E2729" w14:textId="43BB37D6" w:rsidR="00841646" w:rsidRDefault="00841646" w:rsidP="00841646">
      <w:r>
        <w:t xml:space="preserve">The EMBRACE Space Weather Center in Brazil will house and maintain data servers to ingest SPORT data within 30 minutes of the satellite passage over two ground stations, one each located in Cuiabá-MT and </w:t>
      </w:r>
      <w:proofErr w:type="spellStart"/>
      <w:r>
        <w:t>Cachoeira</w:t>
      </w:r>
      <w:proofErr w:type="spellEnd"/>
      <w:r>
        <w:t xml:space="preserve"> </w:t>
      </w:r>
      <w:proofErr w:type="spellStart"/>
      <w:r>
        <w:t>Paulista</w:t>
      </w:r>
      <w:proofErr w:type="spellEnd"/>
      <w:r>
        <w:t>-SP, Brazil.  Once the data are converted from Level 0 to Level 2 and validated by the instrument providers, they will be made available to the public using the EMBRACE data warehouse portals.</w:t>
      </w:r>
    </w:p>
    <w:p w14:paraId="02A65946" w14:textId="484E5624" w:rsidR="00B83208" w:rsidRDefault="00485AAC" w:rsidP="00B83208">
      <w:r w:rsidRPr="00485AAC">
        <w:t xml:space="preserve">The </w:t>
      </w:r>
      <w:r>
        <w:t xml:space="preserve">SPORT </w:t>
      </w:r>
      <w:r w:rsidRPr="00485AAC">
        <w:t>instrument</w:t>
      </w:r>
      <w:r>
        <w:t>s</w:t>
      </w:r>
      <w:r w:rsidRPr="00485AAC">
        <w:t xml:space="preserve"> </w:t>
      </w:r>
      <w:r>
        <w:t>accomplish</w:t>
      </w:r>
      <w:r w:rsidRPr="00485AAC">
        <w:t xml:space="preserve"> the measurement </w:t>
      </w:r>
      <w:r>
        <w:t>objectives</w:t>
      </w:r>
      <w:r w:rsidRPr="00485AAC">
        <w:t xml:space="preserve"> </w:t>
      </w:r>
      <w:r>
        <w:t>traced</w:t>
      </w:r>
      <w:r w:rsidRPr="00485AAC">
        <w:t xml:space="preserve"> to </w:t>
      </w:r>
      <w:r>
        <w:t>the science objectives</w:t>
      </w:r>
      <w:r w:rsidRPr="00485AAC">
        <w:t>. The following subsections provide relevant details on the instruments, their data, and plans for application of the data</w:t>
      </w:r>
      <w:r w:rsidR="00B83208">
        <w:t>.</w:t>
      </w:r>
    </w:p>
    <w:bookmarkEnd w:id="0"/>
    <w:p w14:paraId="5047C826" w14:textId="12678DE9" w:rsidR="00485AAC" w:rsidRDefault="00485AAC" w:rsidP="00485AAC">
      <w:pPr>
        <w:pStyle w:val="Heading2"/>
      </w:pPr>
      <w:r>
        <w:t>USU Space Weather Probes</w:t>
      </w:r>
      <w:r w:rsidR="002847A8">
        <w:t xml:space="preserve"> (SWP)</w:t>
      </w:r>
    </w:p>
    <w:p w14:paraId="61F098C3" w14:textId="77777777" w:rsidR="00EF3F83" w:rsidRDefault="00485AAC" w:rsidP="00485AAC">
      <w:r w:rsidRPr="00485AAC">
        <w:t xml:space="preserve">The USU Space Weather Probes consist of a Sweeping Langmuir Probe (SLP), Electric Field Probe (EFP), and Sweeping Impedance Probe (SIP).  The electric field probe (EFP) is used to measure only one component of both DC and AC electric fields for identifying disturbed regions of the ionosphere. It is an implementation of the double-probe class of in-situ electric field instruments that have been used for decades to observe electric fields in the space environment.  It operates by making measurements of the potential difference between two separate conductive sensors immersed in the plasma that are electrically isolated from the spacecraft </w:t>
      </w:r>
    </w:p>
    <w:p w14:paraId="6CD6287A" w14:textId="66216666" w:rsidR="00485AAC" w:rsidRPr="001D51B5" w:rsidRDefault="00485AAC" w:rsidP="00485AAC">
      <w:r w:rsidRPr="00485AAC">
        <w:t>electronics.  The SLP consists of a 1-mm diameter cylindrical needle that is 60 mm long and deployed away from the spacecraft. The SLP operating in the ion saturation region is used to determine high-resolution ion density measurements (while minimizing spacecraft charging) based on accurate knowledge of the spacecraft speed and the probe ram cross-section area.  Temperature</w:t>
      </w:r>
      <w:r>
        <w:t xml:space="preserve"> </w:t>
      </w:r>
      <w:r w:rsidRPr="00485AAC">
        <w:t xml:space="preserve">is determined by periodically sweeping in a triangle fashion.  SIP is used to determine the absolute electron density, irrespective of the payload charging, by monitoring the changing impedance of a short cylindrical probe excited over a range of RF frequencies. The data collected is used to understand the state of ionosphere and nature of the density structures observed.  </w:t>
      </w:r>
    </w:p>
    <w:p w14:paraId="510BA110" w14:textId="0F050F9E" w:rsidR="00485AAC" w:rsidRDefault="00A95305" w:rsidP="00485AAC">
      <w:pPr>
        <w:pStyle w:val="Heading2"/>
      </w:pPr>
      <w:r>
        <w:t>Compact Total Electron Content Sensor (CTECS)</w:t>
      </w:r>
    </w:p>
    <w:p w14:paraId="26066721" w14:textId="6772BCF8" w:rsidR="00EF3F83" w:rsidRDefault="003D7BD9" w:rsidP="005F0688">
      <w:pPr>
        <w:sectPr w:rsidR="00EF3F83" w:rsidSect="0005267D">
          <w:type w:val="continuous"/>
          <w:pgSz w:w="12240" w:h="15840"/>
          <w:pgMar w:top="1440" w:right="1440" w:bottom="1440" w:left="1440" w:header="720" w:footer="720" w:gutter="0"/>
          <w:cols w:num="2" w:space="360"/>
          <w:docGrid w:linePitch="360"/>
        </w:sectPr>
      </w:pPr>
      <w:r w:rsidRPr="003D7BD9">
        <w:t>The Aerospace Corporation provided Compact Total Electron Content Sensor (CTECS) is a GPS Radio Occultation (GPSRO) instrument. It consists of a commercial-off-the-shelf receiver (</w:t>
      </w:r>
      <w:proofErr w:type="spellStart"/>
      <w:r w:rsidRPr="003D7BD9">
        <w:t>NovAtel</w:t>
      </w:r>
      <w:proofErr w:type="spellEnd"/>
      <w:r w:rsidRPr="003D7BD9">
        <w:t xml:space="preserve"> OEM628) with modified software, a custom designed antenna and RF front-end circuit. GPSRO sensors provide two types of measurements: Line-of-sight (LOS) and radio occultation (RO).  The GPS constellation satellites transmit signals in the L-band that are received by the SPORT CTECS.  CTECS will measure the </w:t>
      </w:r>
      <w:proofErr w:type="spellStart"/>
      <w:r w:rsidRPr="003D7BD9">
        <w:t>pseudorange</w:t>
      </w:r>
      <w:proofErr w:type="spellEnd"/>
      <w:r w:rsidRPr="003D7BD9">
        <w:t xml:space="preserve">, phase, and the signal-to-noise ratio (SNR) of both the GPS L1 (1575.42 MHz) and L2 (1227.6 MHz) signals. These measurements are then used to calculate the integrated electron density along the RO </w:t>
      </w:r>
      <w:r w:rsidR="00396DA3" w:rsidRPr="003D7BD9">
        <w:t xml:space="preserve">signal path. This is referred to as slant Total Electron </w:t>
      </w:r>
    </w:p>
    <w:p w14:paraId="03FE4CE9" w14:textId="4420DAB9" w:rsidR="00EF3F83" w:rsidRDefault="00F10062" w:rsidP="00EF3F83">
      <w:pPr>
        <w:keepNext/>
      </w:pPr>
      <w:r>
        <w:rPr>
          <w:noProof/>
        </w:rPr>
        <w:drawing>
          <wp:inline distT="0" distB="0" distL="0" distR="0" wp14:anchorId="2B8C3C30" wp14:editId="41891CC0">
            <wp:extent cx="8343900" cy="5067300"/>
            <wp:effectExtent l="0" t="0" r="0" b="0"/>
            <wp:docPr id="1"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43900" cy="5067300"/>
                    </a:xfrm>
                    <a:prstGeom prst="rect">
                      <a:avLst/>
                    </a:prstGeom>
                    <a:noFill/>
                    <a:ln>
                      <a:noFill/>
                    </a:ln>
                  </pic:spPr>
                </pic:pic>
              </a:graphicData>
            </a:graphic>
          </wp:inline>
        </w:drawing>
      </w:r>
    </w:p>
    <w:p w14:paraId="325EED4E" w14:textId="517DD07B" w:rsidR="00396DA3" w:rsidRPr="00542D08" w:rsidRDefault="00EF3F83" w:rsidP="00542D08">
      <w:pPr>
        <w:pStyle w:val="Caption"/>
      </w:pPr>
      <w:bookmarkStart w:id="1" w:name="_Ref108509859"/>
      <w:r w:rsidRPr="00542D08">
        <w:t xml:space="preserve">Figure </w:t>
      </w:r>
      <w:r w:rsidR="00500A11" w:rsidRPr="00542D08">
        <w:fldChar w:fldCharType="begin"/>
      </w:r>
      <w:r w:rsidR="00500A11" w:rsidRPr="00542D08">
        <w:instrText xml:space="preserve"> SEQ Figure \* ARABIC </w:instrText>
      </w:r>
      <w:r w:rsidR="00500A11" w:rsidRPr="00542D08">
        <w:fldChar w:fldCharType="separate"/>
      </w:r>
      <w:r w:rsidR="00ED3000" w:rsidRPr="00542D08">
        <w:t>1</w:t>
      </w:r>
      <w:r w:rsidR="00500A11" w:rsidRPr="00542D08">
        <w:fldChar w:fldCharType="end"/>
      </w:r>
      <w:bookmarkEnd w:id="1"/>
      <w:r w:rsidRPr="00542D08">
        <w:t>: SPORT Spacecraft System Overview</w:t>
      </w:r>
    </w:p>
    <w:p w14:paraId="08A50D6F" w14:textId="77777777" w:rsidR="00EF3F83" w:rsidRDefault="00EF3F83" w:rsidP="00E96697"/>
    <w:p w14:paraId="65664DD3" w14:textId="7EC28CEB" w:rsidR="00EF3F83" w:rsidRDefault="00EF3F83" w:rsidP="00E96697">
      <w:pPr>
        <w:sectPr w:rsidR="00EF3F83" w:rsidSect="00EF3F83">
          <w:pgSz w:w="15840" w:h="12240" w:orient="landscape"/>
          <w:pgMar w:top="1440" w:right="1440" w:bottom="1440" w:left="1440" w:header="720" w:footer="720" w:gutter="0"/>
          <w:cols w:space="360"/>
          <w:docGrid w:linePitch="360"/>
        </w:sectPr>
      </w:pPr>
    </w:p>
    <w:p w14:paraId="449550EB" w14:textId="1768C39D" w:rsidR="00DA0BC2" w:rsidRPr="00542D08" w:rsidRDefault="00DA0BC2" w:rsidP="00542D08">
      <w:pPr>
        <w:pStyle w:val="Caption"/>
      </w:pPr>
      <w:bookmarkStart w:id="2" w:name="_Ref108513520"/>
      <w:r w:rsidRPr="00542D08">
        <w:t xml:space="preserve">Table </w:t>
      </w:r>
      <w:r w:rsidR="00500A11" w:rsidRPr="00542D08">
        <w:fldChar w:fldCharType="begin"/>
      </w:r>
      <w:r w:rsidR="00500A11" w:rsidRPr="00542D08">
        <w:instrText xml:space="preserve"> SEQ Table \* ARABIC </w:instrText>
      </w:r>
      <w:r w:rsidR="00500A11" w:rsidRPr="00542D08">
        <w:fldChar w:fldCharType="separate"/>
      </w:r>
      <w:r w:rsidR="00FB696F" w:rsidRPr="00542D08">
        <w:t>1</w:t>
      </w:r>
      <w:r w:rsidR="00500A11" w:rsidRPr="00542D08">
        <w:fldChar w:fldCharType="end"/>
      </w:r>
      <w:bookmarkEnd w:id="2"/>
      <w:r w:rsidRPr="00542D08">
        <w:t>: SPORT Science Measurement and Spacecraft System Requirements from the Science Traceability Matrix (STM)</w:t>
      </w:r>
    </w:p>
    <w:p w14:paraId="0903E4B9" w14:textId="0DB88F5C" w:rsidR="00DA0BC2" w:rsidRDefault="00F10062" w:rsidP="00485AAC">
      <w:pPr>
        <w:sectPr w:rsidR="00DA0BC2" w:rsidSect="00DA0BC2">
          <w:pgSz w:w="15840" w:h="12240" w:orient="landscape"/>
          <w:pgMar w:top="1440" w:right="1440" w:bottom="1440" w:left="1440" w:header="720" w:footer="720" w:gutter="0"/>
          <w:cols w:space="360"/>
          <w:docGrid w:linePitch="360"/>
        </w:sectPr>
      </w:pPr>
      <w:r>
        <w:rPr>
          <w:noProof/>
          <w:color w:val="000000"/>
        </w:rPr>
        <w:drawing>
          <wp:inline distT="0" distB="0" distL="0" distR="0" wp14:anchorId="6D57C483" wp14:editId="15197C0C">
            <wp:extent cx="8705850" cy="497205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0" cy="4972050"/>
                    </a:xfrm>
                    <a:prstGeom prst="rect">
                      <a:avLst/>
                    </a:prstGeom>
                    <a:noFill/>
                    <a:ln>
                      <a:noFill/>
                    </a:ln>
                  </pic:spPr>
                </pic:pic>
              </a:graphicData>
            </a:graphic>
          </wp:inline>
        </w:drawing>
      </w:r>
    </w:p>
    <w:p w14:paraId="37C8576D" w14:textId="13489461" w:rsidR="005F0688" w:rsidRDefault="005F0688" w:rsidP="005F0688">
      <w:r w:rsidRPr="003D7BD9">
        <w:t>Content (</w:t>
      </w:r>
      <w:proofErr w:type="spellStart"/>
      <w:r w:rsidRPr="003D7BD9">
        <w:t>sTEC</w:t>
      </w:r>
      <w:proofErr w:type="spellEnd"/>
      <w:r w:rsidRPr="003D7BD9">
        <w:t>)</w:t>
      </w:r>
      <w:r>
        <w:t>,</w:t>
      </w:r>
      <w:r w:rsidRPr="003D7BD9">
        <w:t xml:space="preserve"> but </w:t>
      </w:r>
      <w:r>
        <w:t>for brevity, this</w:t>
      </w:r>
      <w:r w:rsidRPr="003D7BD9">
        <w:t xml:space="preserve"> will be shortened to TEC.   SPORT will make use of CTECS to obtain electron density profiles at low latitudes and to detect the presence of scintillation</w:t>
      </w:r>
    </w:p>
    <w:p w14:paraId="1BCEC891" w14:textId="77777777" w:rsidR="005F0688" w:rsidRDefault="005F0688" w:rsidP="005F0688">
      <w:pPr>
        <w:pStyle w:val="Heading2"/>
      </w:pPr>
      <w:r>
        <w:t>Ion Velocity Meter (IVM)</w:t>
      </w:r>
    </w:p>
    <w:p w14:paraId="63846EA5" w14:textId="235DA7DB" w:rsidR="002847A8" w:rsidRDefault="005F0688" w:rsidP="00485AAC">
      <w:r w:rsidRPr="002847A8">
        <w:t>The UTD provided Ion Velocity Meter (IVM) is mounted on the spacecraft to view along the velocity vector in the ram direction, and acts as two traditional instruments. The first function is a planar retarding potential analyzer (RPA), which determines the energy distribution of the thermal plasma along the sensor look direction. The second is a planar ion drift meter (IDM), which measures arrival angle of the thermal plasma with respect to the look direction in two mutually perpendicular planes approximately in the local vertical</w:t>
      </w:r>
      <w:r w:rsidRPr="003D7BD9">
        <w:t xml:space="preserve">. </w:t>
      </w:r>
      <w:r w:rsidRPr="002847A8">
        <w:t>and the local horizontal. Internal grids are biased to reject the collection of thermal electrons and to control the energy of incident ions that have access to the collector. The incident arrival angle of the ions is</w:t>
      </w:r>
      <w:r w:rsidRPr="00E96697">
        <w:t xml:space="preserve"> </w:t>
      </w:r>
      <w:r w:rsidRPr="002847A8">
        <w:t>derived from the ratio of currents to a segmented collector.  The IVM is used to collect data sets t</w:t>
      </w:r>
      <w:r>
        <w:t xml:space="preserve">o </w:t>
      </w:r>
      <w:r w:rsidR="002847A8" w:rsidRPr="002847A8">
        <w:t>determine the Vector Ion Drift,</w:t>
      </w:r>
      <w:r w:rsidR="00A620DE">
        <w:t xml:space="preserve"> </w:t>
      </w:r>
      <w:r w:rsidR="002847A8" w:rsidRPr="002847A8">
        <w:t>Total Ion Density, Ion Temperature, and the O+/H+ Relative Composition</w:t>
      </w:r>
    </w:p>
    <w:p w14:paraId="4C132828" w14:textId="6850EE83" w:rsidR="004E684C" w:rsidRDefault="004E684C" w:rsidP="004E684C">
      <w:pPr>
        <w:pStyle w:val="Heading2"/>
      </w:pPr>
      <w:r>
        <w:t>Miniature Science Magnetometer (MSM)</w:t>
      </w:r>
    </w:p>
    <w:p w14:paraId="4FDC28B9" w14:textId="13D14A27" w:rsidR="004E684C" w:rsidRDefault="004E684C" w:rsidP="004E684C">
      <w:r w:rsidRPr="00392F1D">
        <w:t>A GSFC-produced miniature vector magnetometer system will provide high-resolution measurements of the ambient magnetic field with sufficient sensitivity to potentially observe perturbations due to pressure gradients, diamagnetic cavities, or Alfvenic waves. The fluxgate magnetometer is deployed on a relatively short boom (~20 cm) to remove it from the majority of the magnetic noise of the spacecraft bus</w:t>
      </w:r>
      <w:r>
        <w:t>.</w:t>
      </w:r>
    </w:p>
    <w:p w14:paraId="42BB78F1" w14:textId="35403487" w:rsidR="00B83208" w:rsidRDefault="000C035A" w:rsidP="000C035A">
      <w:pPr>
        <w:pStyle w:val="Heading1"/>
        <w:jc w:val="left"/>
      </w:pPr>
      <w:r>
        <w:t>spacecraft systems to support science conops</w:t>
      </w:r>
    </w:p>
    <w:p w14:paraId="7B2BF0F0" w14:textId="726EE239" w:rsidR="000C035A" w:rsidRPr="00D61F86" w:rsidRDefault="000C035A" w:rsidP="000C035A">
      <w:pPr>
        <w:pStyle w:val="BodyText"/>
      </w:pPr>
      <w:r w:rsidRPr="00D61F86">
        <w:t>The ancillary spacecraft data</w:t>
      </w:r>
      <w:r w:rsidR="00FB696F">
        <w:t>,</w:t>
      </w:r>
      <w:r w:rsidRPr="00D61F86">
        <w:t xml:space="preserve"> specified in </w:t>
      </w:r>
      <w:r w:rsidR="00FD3B19">
        <w:fldChar w:fldCharType="begin"/>
      </w:r>
      <w:r w:rsidR="00FD3B19">
        <w:instrText xml:space="preserve"> REF _Ref108506768 \h </w:instrText>
      </w:r>
      <w:r w:rsidR="00FD3B19">
        <w:fldChar w:fldCharType="separate"/>
      </w:r>
      <w:r w:rsidR="00FD3B19">
        <w:t xml:space="preserve">Table </w:t>
      </w:r>
      <w:r w:rsidR="00FD3B19">
        <w:rPr>
          <w:noProof/>
        </w:rPr>
        <w:t>2</w:t>
      </w:r>
      <w:r w:rsidR="00FD3B19">
        <w:fldChar w:fldCharType="end"/>
      </w:r>
      <w:r w:rsidRPr="00D61F86">
        <w:t xml:space="preserve"> are required for SPORT science data processing.  </w:t>
      </w:r>
      <w:r>
        <w:t xml:space="preserve">These values are </w:t>
      </w:r>
      <w:r w:rsidRPr="00770479">
        <w:t xml:space="preserve">collected and updated </w:t>
      </w:r>
      <w:r>
        <w:t xml:space="preserve">using automatic software tools at the EMBRACE facility </w:t>
      </w:r>
      <w:r w:rsidRPr="00770479">
        <w:t>over the duration of the m</w:t>
      </w:r>
      <w:r>
        <w:t xml:space="preserve">ission. </w:t>
      </w:r>
      <w:r w:rsidRPr="00770479">
        <w:t xml:space="preserve"> </w:t>
      </w:r>
      <w:r w:rsidRPr="00D61F86">
        <w:t xml:space="preserve"> </w:t>
      </w:r>
    </w:p>
    <w:p w14:paraId="5FC7157B" w14:textId="688FDD67" w:rsidR="000C035A" w:rsidRDefault="000C035A" w:rsidP="000C035A">
      <w:pPr>
        <w:pStyle w:val="BodyText"/>
      </w:pPr>
      <w:r w:rsidRPr="00D61F86">
        <w:t>The Anci</w:t>
      </w:r>
      <w:r>
        <w:t>l</w:t>
      </w:r>
      <w:r w:rsidRPr="00D61F86">
        <w:t xml:space="preserve">lary files utilize the </w:t>
      </w:r>
      <w:proofErr w:type="spellStart"/>
      <w:r w:rsidRPr="00D61F86">
        <w:t>NetCDF</w:t>
      </w:r>
      <w:proofErr w:type="spellEnd"/>
      <w:r w:rsidRPr="00D61F86">
        <w:t xml:space="preserve"> format using 1-second cadence </w:t>
      </w:r>
      <w:r>
        <w:t>per record.</w:t>
      </w:r>
      <w:r w:rsidRPr="00D61F86">
        <w:t xml:space="preserve"> </w:t>
      </w:r>
      <w:r>
        <w:t>T</w:t>
      </w:r>
      <w:r w:rsidRPr="00D61F86">
        <w:t xml:space="preserve">he unique identifier is </w:t>
      </w:r>
      <w:r w:rsidRPr="00D61F86">
        <w:rPr>
          <w:rFonts w:ascii="Courier New" w:hAnsi="Courier New" w:cs="Courier New"/>
        </w:rPr>
        <w:t>T0</w:t>
      </w:r>
      <w:r>
        <w:rPr>
          <w:rFonts w:ascii="Courier New" w:hAnsi="Courier New" w:cs="Courier New"/>
        </w:rPr>
        <w:t xml:space="preserve"> </w:t>
      </w:r>
      <w:r w:rsidRPr="00D34EA5">
        <w:t>found in field #1</w:t>
      </w:r>
      <w:r>
        <w:t>.</w:t>
      </w:r>
      <w:r w:rsidRPr="00D61F86">
        <w:t xml:space="preserve">  </w:t>
      </w:r>
      <w:r>
        <w:t>The following fields in the Ancillary data files are described as follows.</w:t>
      </w:r>
    </w:p>
    <w:p w14:paraId="5BE02229" w14:textId="77777777" w:rsidR="00CA149D" w:rsidRPr="00D34EA5" w:rsidRDefault="00CA149D" w:rsidP="00CA149D">
      <w:pPr>
        <w:pStyle w:val="BodyText"/>
        <w:rPr>
          <w:i/>
          <w:u w:val="single"/>
        </w:rPr>
      </w:pPr>
      <w:r w:rsidRPr="00D34EA5">
        <w:rPr>
          <w:i/>
          <w:u w:val="single"/>
        </w:rPr>
        <w:t>Parameters 1 through 3:</w:t>
      </w:r>
    </w:p>
    <w:p w14:paraId="408B6BEA" w14:textId="77777777" w:rsidR="00CA149D" w:rsidRDefault="00CA149D" w:rsidP="00CA149D">
      <w:pPr>
        <w:pStyle w:val="BodyText"/>
      </w:pPr>
      <w:r w:rsidRPr="001375C8">
        <w:t xml:space="preserve">The first three parameters are provided by the SPORT flight computer clock, which is regularly updated using information from the </w:t>
      </w:r>
      <w:r w:rsidRPr="001375C8">
        <w:rPr>
          <w:rFonts w:ascii="Courier New" w:hAnsi="Courier New" w:cs="Courier New"/>
        </w:rPr>
        <w:t>BESTXYZ</w:t>
      </w:r>
      <w:r w:rsidRPr="001375C8">
        <w:t xml:space="preserve"> frame header from the CTECS instrument’s Novatel receiver, documented on the Novatel datasheet on Section 3.2.17 [</w:t>
      </w:r>
      <w:r w:rsidRPr="001375C8">
        <w:rPr>
          <w:i/>
        </w:rPr>
        <w:t>Novatel, 2000</w:t>
      </w:r>
      <w:r w:rsidRPr="001375C8">
        <w:t>].</w:t>
      </w:r>
      <w:r>
        <w:t xml:space="preserve"> </w:t>
      </w:r>
      <w:r w:rsidRPr="00D61F86">
        <w:t xml:space="preserve"> </w:t>
      </w:r>
      <w:r w:rsidRPr="00D61F86">
        <w:rPr>
          <w:rFonts w:ascii="Courier New" w:hAnsi="Courier New" w:cs="Courier New"/>
        </w:rPr>
        <w:t>T0</w:t>
      </w:r>
      <w:r>
        <w:t xml:space="preserve"> is the </w:t>
      </w:r>
      <w:r w:rsidRPr="00D61F86">
        <w:t>GPS time in number of milliseconds since 00:00</w:t>
      </w:r>
      <w:r>
        <w:t>.0001</w:t>
      </w:r>
      <w:r w:rsidRPr="00D61F86">
        <w:t xml:space="preserve"> on Jan 6</w:t>
      </w:r>
      <w:r>
        <w:t xml:space="preserve">, 1980.  </w:t>
      </w:r>
      <w:r w:rsidRPr="00D61F86">
        <w:t>The GPS reference week number (</w:t>
      </w:r>
      <w:r w:rsidRPr="00D61F86">
        <w:rPr>
          <w:rFonts w:ascii="Courier New" w:hAnsi="Courier New" w:cs="Courier New"/>
        </w:rPr>
        <w:t>GPS-Week</w:t>
      </w:r>
      <w:r w:rsidRPr="00D61F86">
        <w:t>) incorporates 2 bytes t</w:t>
      </w:r>
      <w:r>
        <w:t xml:space="preserve">o accommodate the 10-bit value </w:t>
      </w:r>
      <w:r w:rsidRPr="00C77BEE">
        <w:t>[</w:t>
      </w:r>
      <w:r w:rsidRPr="001448C8">
        <w:rPr>
          <w:i/>
        </w:rPr>
        <w:t>Novatel, 2000</w:t>
      </w:r>
      <w:r w:rsidRPr="00C77BEE">
        <w:t>]</w:t>
      </w:r>
      <w:r>
        <w:rPr>
          <w:i/>
        </w:rPr>
        <w:t>.</w:t>
      </w:r>
      <w:r w:rsidRPr="00D61F86">
        <w:t xml:space="preserve">  </w:t>
      </w:r>
      <w:r w:rsidRPr="00D61F86">
        <w:rPr>
          <w:rFonts w:ascii="Courier New" w:hAnsi="Courier New" w:cs="Courier New"/>
        </w:rPr>
        <w:t>GPS-Week-Time</w:t>
      </w:r>
      <w:r w:rsidRPr="00D61F86">
        <w:t xml:space="preserve"> is the number of milliseconds from the beginning of the GPS reference week (4 bytes). </w:t>
      </w:r>
      <w:r>
        <w:t xml:space="preserve"> </w:t>
      </w:r>
    </w:p>
    <w:p w14:paraId="3FB7D4DD" w14:textId="77777777" w:rsidR="00CA149D" w:rsidRPr="00D34EA5" w:rsidRDefault="00CA149D" w:rsidP="00CA149D">
      <w:pPr>
        <w:pStyle w:val="BodyText"/>
        <w:rPr>
          <w:i/>
          <w:u w:val="single"/>
        </w:rPr>
      </w:pPr>
      <w:r w:rsidRPr="00D34EA5">
        <w:rPr>
          <w:i/>
          <w:u w:val="single"/>
        </w:rPr>
        <w:t>Parameters 4 through 8:</w:t>
      </w:r>
    </w:p>
    <w:p w14:paraId="0A6DE87F" w14:textId="77777777" w:rsidR="00CA149D" w:rsidRDefault="00CA149D" w:rsidP="00CA149D">
      <w:pPr>
        <w:pStyle w:val="BodyText"/>
      </w:pPr>
      <w:r w:rsidRPr="00D61F86">
        <w:t xml:space="preserve">Note that </w:t>
      </w:r>
      <w:r w:rsidRPr="00D61F86">
        <w:rPr>
          <w:rFonts w:ascii="Courier New" w:hAnsi="Courier New" w:cs="Courier New"/>
        </w:rPr>
        <w:t>T0</w:t>
      </w:r>
      <w:r w:rsidRPr="00D61F86">
        <w:t xml:space="preserve"> does not contain leap seconds.  However, Coordinated Universal Time (</w:t>
      </w:r>
      <w:r w:rsidRPr="00D61F86">
        <w:rPr>
          <w:rFonts w:ascii="Courier New" w:hAnsi="Courier New" w:cs="Courier New"/>
        </w:rPr>
        <w:t>UTC</w:t>
      </w:r>
      <w:r w:rsidRPr="00D61F86">
        <w:t>) used in the SPORT Ancil</w:t>
      </w:r>
      <w:r>
        <w:t>l</w:t>
      </w:r>
      <w:r w:rsidRPr="00D61F86">
        <w:t xml:space="preserve">ary Data files do incorporate leap seconds, which as of CY2021, adds 18 seconds to the GPS time </w:t>
      </w:r>
      <w:r w:rsidRPr="00D61F86">
        <w:rPr>
          <w:rFonts w:ascii="Courier New" w:hAnsi="Courier New" w:cs="Courier New"/>
        </w:rPr>
        <w:t>T0</w:t>
      </w:r>
      <w:r>
        <w:rPr>
          <w:rFonts w:ascii="Courier New" w:hAnsi="Courier New" w:cs="Courier New"/>
        </w:rPr>
        <w:t xml:space="preserve"> </w:t>
      </w:r>
      <w:r w:rsidRPr="004E7EC2">
        <w:t>[</w:t>
      </w:r>
      <w:r w:rsidRPr="004E7EC2">
        <w:rPr>
          <w:i/>
        </w:rPr>
        <w:t>Sullivan et al., 2016</w:t>
      </w:r>
      <w:r w:rsidRPr="004E7EC2">
        <w:t>]</w:t>
      </w:r>
      <w:r w:rsidRPr="00D61F86">
        <w:t xml:space="preserve">.  All </w:t>
      </w:r>
      <w:r w:rsidRPr="00D61F86">
        <w:rPr>
          <w:rFonts w:ascii="Courier New" w:hAnsi="Courier New" w:cs="Courier New"/>
        </w:rPr>
        <w:t>UTC</w:t>
      </w:r>
      <w:r w:rsidRPr="00D61F86">
        <w:t xml:space="preserve"> parameters will be calculated on ground at EMBRACE, and they will be based on the GPS reference week number and milliseconds from the beginning of that GPS reference week.</w:t>
      </w:r>
    </w:p>
    <w:p w14:paraId="357D0B2E" w14:textId="77777777" w:rsidR="00CA149D" w:rsidRPr="00D34EA5" w:rsidRDefault="00CA149D" w:rsidP="00CA149D">
      <w:pPr>
        <w:pStyle w:val="BodyText"/>
        <w:rPr>
          <w:i/>
          <w:u w:val="single"/>
        </w:rPr>
      </w:pPr>
      <w:r w:rsidRPr="00D34EA5">
        <w:rPr>
          <w:i/>
          <w:u w:val="single"/>
        </w:rPr>
        <w:t>Parameter</w:t>
      </w:r>
      <w:r>
        <w:rPr>
          <w:i/>
          <w:u w:val="single"/>
        </w:rPr>
        <w:t>s 9 through 14</w:t>
      </w:r>
      <w:r w:rsidRPr="00D34EA5">
        <w:rPr>
          <w:i/>
          <w:u w:val="single"/>
        </w:rPr>
        <w:t>:</w:t>
      </w:r>
    </w:p>
    <w:p w14:paraId="1922C2A6" w14:textId="0C22D055" w:rsidR="00CA149D" w:rsidRDefault="00CA149D" w:rsidP="00CA149D">
      <w:pPr>
        <w:pStyle w:val="BodyText"/>
      </w:pPr>
      <w:r w:rsidRPr="00D61F86">
        <w:t xml:space="preserve">The spacecraft position and velocity data are provided in the </w:t>
      </w:r>
      <w:r w:rsidRPr="00D61F86">
        <w:rPr>
          <w:rFonts w:ascii="Courier New" w:hAnsi="Courier New" w:cs="Courier New"/>
        </w:rPr>
        <w:t>BESTXYZ</w:t>
      </w:r>
      <w:r w:rsidRPr="00D61F86">
        <w:t xml:space="preserve"> dat</w:t>
      </w:r>
      <w:r>
        <w:t>a frames from CTECS instrument [</w:t>
      </w:r>
      <w:r w:rsidRPr="00C77BEE">
        <w:rPr>
          <w:i/>
        </w:rPr>
        <w:t>Novatel, 2000</w:t>
      </w:r>
      <w:r>
        <w:t>]</w:t>
      </w:r>
      <w:r w:rsidRPr="00D61F86">
        <w:t xml:space="preserve"> in t</w:t>
      </w:r>
      <w:r>
        <w:t>he</w:t>
      </w:r>
      <w:r w:rsidRPr="00D61F86">
        <w:t xml:space="preserve"> </w:t>
      </w:r>
      <w:r>
        <w:t>Earth-Centered Earth-Fixed (</w:t>
      </w:r>
      <w:r w:rsidRPr="00D61F86">
        <w:t>ECEF</w:t>
      </w:r>
      <w:r>
        <w:t>)</w:t>
      </w:r>
      <w:r w:rsidRPr="00D61F86">
        <w:t xml:space="preserve"> Cartesian </w:t>
      </w:r>
      <w:r>
        <w:t xml:space="preserve">coordinate system (e.g., </w:t>
      </w:r>
      <w:r w:rsidRPr="00DF32CA">
        <w:rPr>
          <w:i/>
        </w:rPr>
        <w:t>Cai et al., 2011</w:t>
      </w:r>
      <w:r>
        <w:t xml:space="preserve">).  ECEF is </w:t>
      </w:r>
      <w:r w:rsidRPr="00D61F86">
        <w:t>a geocentric, non-inertial coordinate system</w:t>
      </w:r>
      <w:r>
        <w:t>, defined by a z-axis aligned with the minor axis of the ellipsoid that represents the surface of the oblate Earth, an x-axis defined by the vector from the Earth’s center of mass to the intersection of the Prime Meridian with the oblate Earth’s equator, and a y-axis that completes the right-hand coordinate system</w:t>
      </w:r>
      <w:r w:rsidR="00EF3F83">
        <w:t xml:space="preserve"> (</w:t>
      </w:r>
      <w:r w:rsidR="00EF3F83">
        <w:fldChar w:fldCharType="begin"/>
      </w:r>
      <w:r w:rsidR="00EF3F83">
        <w:instrText xml:space="preserve"> REF _Ref108507000 \h </w:instrText>
      </w:r>
      <w:r w:rsidR="00EF3F83">
        <w:fldChar w:fldCharType="separate"/>
      </w:r>
      <w:r w:rsidR="00EA573E">
        <w:t xml:space="preserve">Figure </w:t>
      </w:r>
      <w:r w:rsidR="00EA573E">
        <w:rPr>
          <w:noProof/>
        </w:rPr>
        <w:t>2</w:t>
      </w:r>
      <w:r w:rsidR="00EF3F83">
        <w:fldChar w:fldCharType="end"/>
      </w:r>
      <w:r w:rsidR="00EF3F83">
        <w:t>)</w:t>
      </w:r>
      <w:r w:rsidRPr="00D61F86">
        <w:t xml:space="preserve">.  </w:t>
      </w:r>
    </w:p>
    <w:p w14:paraId="6E61FF05" w14:textId="6A48A5AD" w:rsidR="00FB696F" w:rsidRDefault="00F10062" w:rsidP="00FB696F">
      <w:pPr>
        <w:keepNext/>
        <w:spacing w:after="120"/>
      </w:pPr>
      <w:r>
        <w:rPr>
          <w:noProof/>
        </w:rPr>
        <w:drawing>
          <wp:inline distT="0" distB="0" distL="0" distR="0" wp14:anchorId="49481BDE" wp14:editId="5621D080">
            <wp:extent cx="2971800" cy="2790825"/>
            <wp:effectExtent l="0" t="0" r="0" b="0"/>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790825"/>
                    </a:xfrm>
                    <a:prstGeom prst="rect">
                      <a:avLst/>
                    </a:prstGeom>
                    <a:noFill/>
                    <a:ln>
                      <a:noFill/>
                    </a:ln>
                  </pic:spPr>
                </pic:pic>
              </a:graphicData>
            </a:graphic>
          </wp:inline>
        </w:drawing>
      </w:r>
    </w:p>
    <w:p w14:paraId="408147D2" w14:textId="1F8E4F91" w:rsidR="00FB696F" w:rsidRDefault="00FB696F" w:rsidP="00FB696F">
      <w:pPr>
        <w:pStyle w:val="Caption"/>
        <w:jc w:val="left"/>
      </w:pPr>
      <w:bookmarkStart w:id="3" w:name="_Ref108507000"/>
      <w:r>
        <w:t xml:space="preserve">Figure </w:t>
      </w:r>
      <w:fldSimple w:instr=" SEQ Figure \* ARABIC ">
        <w:r w:rsidR="00ED3000">
          <w:rPr>
            <w:noProof/>
          </w:rPr>
          <w:t>2</w:t>
        </w:r>
      </w:fldSimple>
      <w:bookmarkEnd w:id="3"/>
      <w:r>
        <w:t xml:space="preserve">: </w:t>
      </w:r>
      <w:r w:rsidRPr="00C276E6">
        <w:t>WGS84 Coordinate System</w:t>
      </w:r>
      <w:r>
        <w:t>, an ECEF coordinate system,</w:t>
      </w:r>
      <w:r w:rsidRPr="00C276E6">
        <w:t xml:space="preserve"> depicting latitude and altitude for ellipsoid</w:t>
      </w:r>
    </w:p>
    <w:p w14:paraId="3E6AB7F8" w14:textId="77777777" w:rsidR="005F0688" w:rsidRDefault="005F0688" w:rsidP="00CA149D">
      <w:pPr>
        <w:pStyle w:val="BodyText"/>
        <w:rPr>
          <w:i/>
          <w:u w:val="single"/>
        </w:rPr>
      </w:pPr>
    </w:p>
    <w:p w14:paraId="39EC6871" w14:textId="77777777" w:rsidR="005F0688" w:rsidRDefault="005F0688" w:rsidP="00CA149D">
      <w:pPr>
        <w:pStyle w:val="BodyText"/>
        <w:rPr>
          <w:i/>
          <w:u w:val="single"/>
        </w:rPr>
      </w:pPr>
    </w:p>
    <w:p w14:paraId="4590FF70" w14:textId="6B4FF28F" w:rsidR="00C02FF3" w:rsidRDefault="00C02FF3" w:rsidP="00CA149D">
      <w:pPr>
        <w:pStyle w:val="BodyText"/>
        <w:sectPr w:rsidR="00C02FF3" w:rsidSect="00DA0BC2">
          <w:pgSz w:w="12240" w:h="15840"/>
          <w:pgMar w:top="1440" w:right="1440" w:bottom="1440" w:left="1440" w:header="720" w:footer="720" w:gutter="0"/>
          <w:cols w:num="2" w:space="360"/>
          <w:docGrid w:linePitch="360"/>
        </w:sectPr>
      </w:pPr>
    </w:p>
    <w:p w14:paraId="429C2965" w14:textId="77777777" w:rsidR="00C02FF3" w:rsidRDefault="00C02FF3" w:rsidP="00C02FF3">
      <w:pPr>
        <w:pStyle w:val="Caption"/>
        <w:keepNext/>
        <w:jc w:val="both"/>
      </w:pPr>
    </w:p>
    <w:p w14:paraId="7BECE63F" w14:textId="48C3FA38" w:rsidR="00C02FF3" w:rsidRDefault="00C02FF3" w:rsidP="00C02FF3">
      <w:pPr>
        <w:pStyle w:val="Caption"/>
        <w:keepNext/>
      </w:pPr>
      <w:bookmarkStart w:id="4" w:name="_Ref108506768"/>
      <w:r>
        <w:t xml:space="preserve">Table </w:t>
      </w:r>
      <w:r w:rsidR="00500A11">
        <w:fldChar w:fldCharType="begin"/>
      </w:r>
      <w:r w:rsidR="00500A11">
        <w:instrText xml:space="preserve"> SEQ Table \* ARABIC </w:instrText>
      </w:r>
      <w:r w:rsidR="00500A11">
        <w:fldChar w:fldCharType="separate"/>
      </w:r>
      <w:r w:rsidR="00FB696F">
        <w:rPr>
          <w:noProof/>
        </w:rPr>
        <w:t>2</w:t>
      </w:r>
      <w:r w:rsidR="00500A11">
        <w:rPr>
          <w:noProof/>
        </w:rPr>
        <w:fldChar w:fldCharType="end"/>
      </w:r>
      <w:bookmarkEnd w:id="4"/>
      <w:r>
        <w:t>: Spacecraft Data Fields</w:t>
      </w:r>
    </w:p>
    <w:p w14:paraId="4A4A07EE" w14:textId="4E3F7460" w:rsidR="00C02FF3" w:rsidRDefault="00F10062" w:rsidP="00C02FF3">
      <w:pPr>
        <w:jc w:val="center"/>
        <w:sectPr w:rsidR="00C02FF3" w:rsidSect="00CA149D">
          <w:pgSz w:w="12240" w:h="15840"/>
          <w:pgMar w:top="1440" w:right="1080" w:bottom="1440" w:left="1080" w:header="720" w:footer="720" w:gutter="0"/>
          <w:cols w:space="360"/>
          <w:docGrid w:linePitch="360"/>
        </w:sectPr>
      </w:pPr>
      <w:r>
        <w:rPr>
          <w:noProof/>
        </w:rPr>
        <w:drawing>
          <wp:inline distT="0" distB="0" distL="0" distR="0" wp14:anchorId="29D09977" wp14:editId="67A208FB">
            <wp:extent cx="6438900" cy="761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0" cy="7610475"/>
                    </a:xfrm>
                    <a:prstGeom prst="rect">
                      <a:avLst/>
                    </a:prstGeom>
                    <a:noFill/>
                    <a:ln>
                      <a:noFill/>
                    </a:ln>
                  </pic:spPr>
                </pic:pic>
              </a:graphicData>
            </a:graphic>
          </wp:inline>
        </w:drawing>
      </w:r>
    </w:p>
    <w:p w14:paraId="75193E26" w14:textId="77777777" w:rsidR="005F0688" w:rsidRPr="00D34EA5" w:rsidRDefault="005F0688" w:rsidP="005F0688">
      <w:pPr>
        <w:pStyle w:val="BodyText"/>
        <w:rPr>
          <w:i/>
          <w:u w:val="single"/>
        </w:rPr>
      </w:pPr>
      <w:r w:rsidRPr="00D34EA5">
        <w:rPr>
          <w:i/>
          <w:u w:val="single"/>
        </w:rPr>
        <w:t>Parameter</w:t>
      </w:r>
      <w:r>
        <w:rPr>
          <w:i/>
          <w:u w:val="single"/>
        </w:rPr>
        <w:t>s 15 through 20</w:t>
      </w:r>
      <w:r w:rsidRPr="00D34EA5">
        <w:rPr>
          <w:i/>
          <w:u w:val="single"/>
        </w:rPr>
        <w:t>:</w:t>
      </w:r>
    </w:p>
    <w:p w14:paraId="0B770683" w14:textId="44B295B2" w:rsidR="005F0688" w:rsidRPr="005F0688" w:rsidRDefault="005F0688" w:rsidP="005F0688">
      <w:pPr>
        <w:pStyle w:val="BodyText"/>
      </w:pPr>
      <w:r w:rsidRPr="00D61F86">
        <w:t xml:space="preserve">On the ground, EMBRACE calculates the spacecraft position and velocity </w:t>
      </w:r>
      <w:r>
        <w:t>in the Earth Centered Inertial (ECI) coordinate system</w:t>
      </w:r>
      <w:r w:rsidRPr="00D61F86">
        <w:t xml:space="preserve"> using the </w:t>
      </w:r>
      <w:r>
        <w:t xml:space="preserve">data collected by the S/C and supplemented by model data from </w:t>
      </w:r>
      <w:r w:rsidRPr="00D61F86">
        <w:t>the SGP4 propagator</w:t>
      </w:r>
      <w:r>
        <w:t xml:space="preserve"> [</w:t>
      </w:r>
      <w:proofErr w:type="spellStart"/>
      <w:r w:rsidRPr="00BD4E19">
        <w:rPr>
          <w:i/>
        </w:rPr>
        <w:t>Vallado</w:t>
      </w:r>
      <w:proofErr w:type="spellEnd"/>
      <w:r w:rsidRPr="00BD4E19">
        <w:rPr>
          <w:i/>
        </w:rPr>
        <w:t xml:space="preserve"> and Crawford, 2008</w:t>
      </w:r>
      <w:r>
        <w:t xml:space="preserve">].  </w:t>
      </w:r>
      <w:r w:rsidRPr="00D61F86">
        <w:t xml:space="preserve"> </w:t>
      </w:r>
      <w:r>
        <w:t>This</w:t>
      </w:r>
      <w:r w:rsidRPr="00D61F86">
        <w:t xml:space="preserve"> </w:t>
      </w:r>
      <w:r>
        <w:t>transforms</w:t>
      </w:r>
      <w:r w:rsidRPr="00D61F86">
        <w:t xml:space="preserve"> the position and velocity vectors into the iner</w:t>
      </w:r>
      <w:r>
        <w:t xml:space="preserve">tial Earth-Centered Inertial (ECI/J2000) geodetic </w:t>
      </w:r>
      <w:proofErr w:type="spellStart"/>
      <w:r>
        <w:t>cartesan</w:t>
      </w:r>
      <w:proofErr w:type="spellEnd"/>
      <w:r>
        <w:t xml:space="preserve"> coordinates [e.g., </w:t>
      </w:r>
      <w:r w:rsidRPr="00DF32CA">
        <w:rPr>
          <w:i/>
        </w:rPr>
        <w:t>Kumar, 1995</w:t>
      </w:r>
      <w:r>
        <w:t>], defined by the x-axis aligned with the Earth’s vernal equinox line, the z-axis aligned with the Earth’s rotation axis, and the y-axis completing the right-hand coordinate system.</w:t>
      </w:r>
      <w:r w:rsidRPr="00D61F86">
        <w:t xml:space="preserve">  </w:t>
      </w:r>
    </w:p>
    <w:p w14:paraId="704195DF" w14:textId="77777777" w:rsidR="005F0688" w:rsidRPr="00B96045" w:rsidRDefault="005F0688" w:rsidP="005F0688">
      <w:pPr>
        <w:spacing w:after="120"/>
        <w:rPr>
          <w:i/>
          <w:u w:val="single"/>
        </w:rPr>
      </w:pPr>
      <w:r w:rsidRPr="00B96045">
        <w:rPr>
          <w:i/>
          <w:u w:val="single"/>
        </w:rPr>
        <w:t>Parameters 21 through 23</w:t>
      </w:r>
    </w:p>
    <w:p w14:paraId="7D911DED" w14:textId="58A38C9B" w:rsidR="00CA149D" w:rsidRDefault="005F0688" w:rsidP="005F0688">
      <w:pPr>
        <w:pStyle w:val="BodyText"/>
      </w:pPr>
      <w:r w:rsidRPr="00D61F86">
        <w:t>Th</w:t>
      </w:r>
      <w:r>
        <w:t>e</w:t>
      </w:r>
      <w:r w:rsidRPr="00D61F86">
        <w:t xml:space="preserve"> </w:t>
      </w:r>
      <w:r>
        <w:t xml:space="preserve">S/C </w:t>
      </w:r>
      <w:r w:rsidRPr="00D61F86">
        <w:t xml:space="preserve">position data </w:t>
      </w:r>
      <w:r>
        <w:t xml:space="preserve">in the Cartesian ECEF coordinate system (i.e., Parameters 12 through 14) </w:t>
      </w:r>
      <w:r w:rsidRPr="00D61F86">
        <w:t xml:space="preserve">are </w:t>
      </w:r>
      <w:r>
        <w:t>calculated based on the</w:t>
      </w:r>
      <w:r w:rsidRPr="00D61F86">
        <w:t xml:space="preserve"> non-inertial </w:t>
      </w:r>
      <w:r>
        <w:t>World Geodetic System (</w:t>
      </w:r>
      <w:r w:rsidRPr="00D61F86">
        <w:t>WGS84</w:t>
      </w:r>
      <w:r>
        <w:t>)</w:t>
      </w:r>
      <w:r w:rsidRPr="00D61F86">
        <w:t xml:space="preserve"> </w:t>
      </w:r>
      <w:r>
        <w:t>datum that describes the shape of the Earth as an ellipsoid (i.e., an oblate Earth).  Parameters 21 through 23 are the values of the S/C position in</w:t>
      </w:r>
      <w:r w:rsidRPr="00FB696F">
        <w:t xml:space="preserve"> </w:t>
      </w:r>
      <w:r>
        <w:t>spherical coordinates; that is, as represented by latitude,</w:t>
      </w:r>
      <w:r w:rsidRPr="00FB696F">
        <w:t xml:space="preserve"> </w:t>
      </w:r>
      <w:r>
        <w:t xml:space="preserve">longitude, and altitude in ECEF according to the </w:t>
      </w:r>
      <w:r w:rsidR="00CA149D">
        <w:t xml:space="preserve">WGS84 datum [e.g., </w:t>
      </w:r>
      <w:r w:rsidR="00CA149D" w:rsidRPr="001B39C1">
        <w:rPr>
          <w:i/>
        </w:rPr>
        <w:t>Kumar, 1984</w:t>
      </w:r>
      <w:r w:rsidR="00CA149D">
        <w:t>].</w:t>
      </w:r>
      <w:r w:rsidR="00CA149D" w:rsidRPr="00D61F86">
        <w:t xml:space="preserve"> </w:t>
      </w:r>
      <w:r w:rsidR="00CA149D">
        <w:t xml:space="preserve"> The WGS84 datum provides the most accurate approximation of fitting a single ellipsoid to the surface of the Earth [e.g., </w:t>
      </w:r>
      <w:proofErr w:type="spellStart"/>
      <w:r w:rsidR="00CA149D" w:rsidRPr="003564FF">
        <w:rPr>
          <w:i/>
        </w:rPr>
        <w:t>Lohmar</w:t>
      </w:r>
      <w:proofErr w:type="spellEnd"/>
      <w:r w:rsidR="00CA149D">
        <w:rPr>
          <w:i/>
        </w:rPr>
        <w:t>, 1988</w:t>
      </w:r>
      <w:r w:rsidR="00CA149D">
        <w:t xml:space="preserve">], and is still the standard in use today by GPS receivers to provide latitude, longitude, and altitude solutions.  The WGS84 </w:t>
      </w:r>
      <w:r w:rsidR="00FB696F">
        <w:t>ellipsoid</w:t>
      </w:r>
      <w:r w:rsidR="00CA149D">
        <w:t xml:space="preserve"> is specified as having a semi-major axis of </w:t>
      </w:r>
      <w:r w:rsidR="00CA149D" w:rsidRPr="003564FF">
        <w:t>6378</w:t>
      </w:r>
      <w:r w:rsidR="00CA149D">
        <w:t>.</w:t>
      </w:r>
      <w:r w:rsidR="00CA149D" w:rsidRPr="003564FF">
        <w:t xml:space="preserve">137 </w:t>
      </w:r>
      <w:r w:rsidR="00CA149D">
        <w:t>k</w:t>
      </w:r>
      <w:r w:rsidR="00CA149D" w:rsidRPr="003564FF">
        <w:t>m</w:t>
      </w:r>
      <w:r w:rsidR="00CA149D">
        <w:t xml:space="preserve"> at the equator and a semi-minor axis of </w:t>
      </w:r>
      <w:r w:rsidR="00CA149D" w:rsidRPr="003564FF">
        <w:t>6356</w:t>
      </w:r>
      <w:r w:rsidR="00CA149D">
        <w:t>.752</w:t>
      </w:r>
      <w:r w:rsidR="00CA149D" w:rsidRPr="003564FF">
        <w:t xml:space="preserve"> </w:t>
      </w:r>
      <w:r w:rsidR="00CA149D">
        <w:t>k</w:t>
      </w:r>
      <w:r w:rsidR="00CA149D" w:rsidRPr="003564FF">
        <w:t>m</w:t>
      </w:r>
      <w:r w:rsidR="00CA149D">
        <w:t xml:space="preserve"> at the poles, corresponding to a flattening factor of </w:t>
      </w:r>
      <w:r w:rsidR="00CA149D" w:rsidRPr="003564FF">
        <w:t>1/298.257223</w:t>
      </w:r>
      <w:r w:rsidR="00CA149D">
        <w:t xml:space="preserve"> [Table 3.5 in </w:t>
      </w:r>
      <w:r w:rsidR="00CA149D" w:rsidRPr="000053D1">
        <w:rPr>
          <w:i/>
        </w:rPr>
        <w:t>NGA, 2014</w:t>
      </w:r>
      <w:r w:rsidR="00CA149D">
        <w:t>].  A graphical depiction of the WGS84 Coordinate System latitude and altitude appears in</w:t>
      </w:r>
      <w:r w:rsidR="00EA573E">
        <w:t xml:space="preserve"> </w:t>
      </w:r>
      <w:r w:rsidR="00EA573E">
        <w:fldChar w:fldCharType="begin"/>
      </w:r>
      <w:r w:rsidR="00EA573E">
        <w:instrText xml:space="preserve"> REF _Ref108507000 \h </w:instrText>
      </w:r>
      <w:r w:rsidR="00EA573E">
        <w:fldChar w:fldCharType="separate"/>
      </w:r>
      <w:r w:rsidR="00EA573E">
        <w:t xml:space="preserve">Figure </w:t>
      </w:r>
      <w:r w:rsidR="00EA573E">
        <w:rPr>
          <w:noProof/>
        </w:rPr>
        <w:t>2</w:t>
      </w:r>
      <w:r w:rsidR="00EA573E">
        <w:fldChar w:fldCharType="end"/>
      </w:r>
      <w:r w:rsidR="00CA149D">
        <w:t xml:space="preserve">.  </w:t>
      </w:r>
      <w:r w:rsidR="00CA149D" w:rsidRPr="00B97D53">
        <w:t>The geometric center of the WGS84 Ellipsoid serves as the origin of WGS84 Coordinate System.</w:t>
      </w:r>
      <w:r w:rsidR="00CA149D">
        <w:t xml:space="preserve">  The x-y plane is defined by the great circle circumscribed about the semi-major axis of the ellipsoid (i.e., the equatorial plane).  The z-axis is normal to this plane and passes through the ellipsoid’s center of mass; it thus serves as the rotational axis of the ellipsoid.  The x-axis points from the origin to the International Reference Meridian (IRM) projected onto the equatorial plane.  (The IRM is approximately </w:t>
      </w:r>
      <w:r w:rsidR="00CA149D" w:rsidRPr="00FB25FD">
        <w:t>5.3 arcsecond</w:t>
      </w:r>
      <w:r w:rsidR="00CA149D">
        <w:t>s</w:t>
      </w:r>
      <w:r w:rsidR="00CA149D" w:rsidRPr="00FB25FD">
        <w:t xml:space="preserve"> offset </w:t>
      </w:r>
      <w:r w:rsidR="00CA149D">
        <w:t>from the Prime Meridian at the latitude of the Royal Observatory in Greenwich, UK [</w:t>
      </w:r>
      <w:proofErr w:type="spellStart"/>
      <w:r w:rsidR="00CA149D" w:rsidRPr="00FB25FD">
        <w:rPr>
          <w:i/>
        </w:rPr>
        <w:t>Malys</w:t>
      </w:r>
      <w:proofErr w:type="spellEnd"/>
      <w:r w:rsidR="00CA149D" w:rsidRPr="00FB25FD">
        <w:rPr>
          <w:i/>
        </w:rPr>
        <w:t xml:space="preserve"> et al., 2015</w:t>
      </w:r>
      <w:r w:rsidR="00CA149D">
        <w:t xml:space="preserve">].)  The y-axis completes the right-hand coordinate system.  In that case, the WGS84 longitude of the S/C position is defined as the angle </w:t>
      </w:r>
      <w:r w:rsidR="00CA149D" w:rsidRPr="003960CB">
        <w:rPr>
          <w:i/>
        </w:rPr>
        <w:sym w:font="Symbol" w:char="F06C"/>
      </w:r>
      <w:r w:rsidR="00CA149D">
        <w:t xml:space="preserve"> between the IRM and the position vector projected onto the x-y plane.  </w:t>
      </w:r>
    </w:p>
    <w:p w14:paraId="4335FB78" w14:textId="6C76E78E" w:rsidR="00CA149D" w:rsidRPr="00D34EA5" w:rsidRDefault="00F10062" w:rsidP="00CA149D">
      <w:pPr>
        <w:pStyle w:val="BodyText"/>
        <w:rPr>
          <w:i/>
          <w:u w:val="single"/>
        </w:rPr>
      </w:pPr>
      <w:r>
        <w:rPr>
          <w:noProof/>
        </w:rPr>
        <mc:AlternateContent>
          <mc:Choice Requires="wps">
            <w:drawing>
              <wp:anchor distT="0" distB="0" distL="114300" distR="114300" simplePos="0" relativeHeight="251657728" behindDoc="0" locked="0" layoutInCell="1" allowOverlap="1" wp14:anchorId="292F1D43" wp14:editId="17031630">
                <wp:simplePos x="0" y="0"/>
                <wp:positionH relativeFrom="column">
                  <wp:posOffset>-314325</wp:posOffset>
                </wp:positionH>
                <wp:positionV relativeFrom="paragraph">
                  <wp:posOffset>2368550</wp:posOffset>
                </wp:positionV>
                <wp:extent cx="3168650" cy="273050"/>
                <wp:effectExtent l="0" t="0" r="3175" b="0"/>
                <wp:wrapTight wrapText="bothSides">
                  <wp:wrapPolygon edited="0">
                    <wp:start x="-65" y="0"/>
                    <wp:lineTo x="-65" y="20897"/>
                    <wp:lineTo x="21600" y="20897"/>
                    <wp:lineTo x="21600" y="0"/>
                    <wp:lineTo x="-65" y="0"/>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2640A" w14:textId="5229B9C9" w:rsidR="00CA149D" w:rsidRPr="00736E3B" w:rsidRDefault="00CA149D" w:rsidP="00CA149D">
                            <w:pPr>
                              <w:pStyle w:val="Caption"/>
                              <w:rPr>
                                <w:noProof/>
                                <w:szCs w:val="24"/>
                              </w:rPr>
                            </w:pPr>
                            <w:bookmarkStart w:id="5" w:name="_Ref108506934"/>
                            <w:r>
                              <w:t xml:space="preserve">Figure </w:t>
                            </w:r>
                            <w:r w:rsidR="00500A11">
                              <w:fldChar w:fldCharType="begin"/>
                            </w:r>
                            <w:r w:rsidR="00500A11">
                              <w:instrText xml:space="preserve"> SEQ Figure \* ARABIC </w:instrText>
                            </w:r>
                            <w:r w:rsidR="00500A11">
                              <w:fldChar w:fldCharType="separate"/>
                            </w:r>
                            <w:r w:rsidR="00ED3000">
                              <w:rPr>
                                <w:noProof/>
                              </w:rPr>
                              <w:t>3</w:t>
                            </w:r>
                            <w:r w:rsidR="00500A11">
                              <w:rPr>
                                <w:noProof/>
                              </w:rPr>
                              <w:fldChar w:fldCharType="end"/>
                            </w:r>
                            <w:bookmarkEnd w:id="5"/>
                            <w:r>
                              <w:t xml:space="preserve">: </w:t>
                            </w:r>
                            <w:r w:rsidRPr="002954F8">
                              <w:t>QSW Orbit Coordinate Frame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92F1D43" id="_x0000_t202" coordsize="21600,21600" o:spt="202" path="m,l,21600r21600,l21600,xe">
                <v:stroke joinstyle="miter"/>
                <v:path gradientshapeok="t" o:connecttype="rect"/>
              </v:shapetype>
              <v:shape id="Text Box 13" o:spid="_x0000_s1026" type="#_x0000_t202" style="position:absolute;left:0;text-align:left;margin-left:-24.75pt;margin-top:186.5pt;width:249.5pt;height: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" stroked="f">
                <v:textbox style="mso-fit-shape-to-text:t" inset="0,0,0,0">
                  <w:txbxContent>
                    <w:p w14:paraId="0F82640A" w14:textId="5229B9C9" w:rsidR="00CA149D" w:rsidRPr="00736E3B" w:rsidRDefault="00CA149D" w:rsidP="00CA149D">
                      <w:pPr>
                        <w:pStyle w:val="Caption"/>
                        <w:rPr>
                          <w:noProof/>
                          <w:szCs w:val="24"/>
                        </w:rPr>
                      </w:pPr>
                      <w:bookmarkStart w:id="6" w:name="_Ref108506934"/>
                      <w:r>
                        <w:t xml:space="preserve">Figure </w:t>
                      </w:r>
                      <w:fldSimple w:instr=" SEQ Figure \* ARABIC ">
                        <w:r w:rsidR="00ED3000">
                          <w:rPr>
                            <w:noProof/>
                          </w:rPr>
                          <w:t>3</w:t>
                        </w:r>
                      </w:fldSimple>
                      <w:bookmarkEnd w:id="6"/>
                      <w:r>
                        <w:t xml:space="preserve">: </w:t>
                      </w:r>
                      <w:r w:rsidRPr="002954F8">
                        <w:t>QSW Orbit Coordinate Frame</w:t>
                      </w:r>
                    </w:p>
                  </w:txbxContent>
                </v:textbox>
                <w10:wrap type="tight"/>
              </v:shape>
            </w:pict>
          </mc:Fallback>
        </mc:AlternateContent>
      </w:r>
      <w:r>
        <w:rPr>
          <w:noProof/>
        </w:rPr>
        <w:drawing>
          <wp:inline distT="0" distB="0" distL="0" distR="0" wp14:anchorId="39F7F281" wp14:editId="29C79478">
            <wp:extent cx="2857500" cy="2333625"/>
            <wp:effectExtent l="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r w:rsidR="00CA149D" w:rsidRPr="00D34EA5">
        <w:rPr>
          <w:i/>
          <w:u w:val="single"/>
        </w:rPr>
        <w:t>Parameter</w:t>
      </w:r>
      <w:r w:rsidR="00CA149D">
        <w:rPr>
          <w:i/>
          <w:u w:val="single"/>
        </w:rPr>
        <w:t>s 24 through 26:</w:t>
      </w:r>
    </w:p>
    <w:p w14:paraId="08FCF381" w14:textId="503ADD55" w:rsidR="00CA149D" w:rsidRPr="001459FA" w:rsidRDefault="00CA149D" w:rsidP="00CA149D">
      <w:pPr>
        <w:pStyle w:val="BodyText"/>
      </w:pPr>
      <w:r w:rsidRPr="001459FA">
        <w:t>The spacecraft attitude knowledge data are provided relative to the basis vectors in the QSW orbit frame at any given time.  The QSW orbit coordinate frame is depicted in</w:t>
      </w:r>
      <w:r w:rsidR="00EA573E">
        <w:t xml:space="preserve"> </w:t>
      </w:r>
      <w:r w:rsidR="00EA573E">
        <w:fldChar w:fldCharType="begin"/>
      </w:r>
      <w:r w:rsidR="00EA573E">
        <w:instrText xml:space="preserve"> REF _Ref108506934 \h </w:instrText>
      </w:r>
      <w:r w:rsidR="00EA573E">
        <w:fldChar w:fldCharType="separate"/>
      </w:r>
      <w:r w:rsidR="00EA573E">
        <w:t xml:space="preserve">Figure </w:t>
      </w:r>
      <w:r w:rsidR="00EA573E">
        <w:rPr>
          <w:noProof/>
        </w:rPr>
        <w:t>3</w:t>
      </w:r>
      <w:r w:rsidR="00EA573E">
        <w:fldChar w:fldCharType="end"/>
      </w:r>
      <w:r w:rsidRPr="001459FA">
        <w:t xml:space="preserve">.  Given the S/C position </w:t>
      </w:r>
      <m:oMath>
        <m:box>
          <m:boxPr>
            <m:opEmu m:val="1"/>
            <m:ctrlPr>
              <w:rPr>
                <w:rFonts w:ascii="Cambria Math" w:hAnsi="Cambria Math"/>
              </w:rPr>
            </m:ctrlPr>
          </m:boxPr>
          <m:e>
            <m:acc>
              <m:accPr>
                <m:chr m:val="⃗"/>
                <m:ctrlPr>
                  <w:rPr>
                    <w:rFonts w:ascii="Cambria Math" w:hAnsi="Cambria Math"/>
                  </w:rPr>
                </m:ctrlPr>
              </m:accPr>
              <m:e>
                <m:r>
                  <w:rPr>
                    <w:rFonts w:ascii="Cambria Math" w:hAnsi="Cambria Math"/>
                  </w:rPr>
                  <m:t>r</m:t>
                </m:r>
              </m:e>
            </m:acc>
          </m:e>
        </m:box>
      </m:oMath>
      <w:r w:rsidRPr="001459FA">
        <w:t xml:space="preserve">, velocity </w:t>
      </w:r>
      <m:oMath>
        <m:box>
          <m:boxPr>
            <m:opEmu m:val="1"/>
            <m:ctrlPr>
              <w:rPr>
                <w:rFonts w:ascii="Cambria Math" w:hAnsi="Cambria Math"/>
              </w:rPr>
            </m:ctrlPr>
          </m:boxPr>
          <m:e>
            <m:acc>
              <m:accPr>
                <m:chr m:val="⃗"/>
                <m:ctrlPr>
                  <w:rPr>
                    <w:rFonts w:ascii="Cambria Math" w:hAnsi="Cambria Math"/>
                  </w:rPr>
                </m:ctrlPr>
              </m:accPr>
              <m:e>
                <m:r>
                  <w:rPr>
                    <w:rFonts w:ascii="Cambria Math" w:hAnsi="Cambria Math"/>
                  </w:rPr>
                  <m:t>v</m:t>
                </m:r>
              </m:e>
            </m:acc>
          </m:e>
        </m:box>
      </m:oMath>
      <w:r w:rsidRPr="001459FA">
        <w:t xml:space="preserve"> and its mass-specific angular momentum </w:t>
      </w:r>
      <m:oMath>
        <m:acc>
          <m:accPr>
            <m:chr m:val="⃗"/>
            <m:ctrlPr>
              <w:rPr>
                <w:rFonts w:ascii="Cambria Math" w:hAnsi="Cambria Math"/>
              </w:rPr>
            </m:ctrlPr>
          </m:accPr>
          <m:e>
            <m:r>
              <w:rPr>
                <w:rFonts w:ascii="Cambria Math" w:hAnsi="Cambria Math"/>
              </w:rPr>
              <m:t>ω</m:t>
            </m:r>
          </m:e>
        </m:acc>
      </m:oMath>
      <w:r w:rsidRPr="001459FA">
        <w:t xml:space="preserve"> = </w:t>
      </w:r>
      <m:oMath>
        <m:r>
          <m:rPr>
            <m:sty m:val="p"/>
          </m:rPr>
          <w:rPr>
            <w:rFonts w:ascii="Cambria Math" w:hAnsi="Cambria Math"/>
          </w:rPr>
          <m:t xml:space="preserve"> </m:t>
        </m:r>
        <m:box>
          <m:boxPr>
            <m:opEmu m:val="1"/>
            <m:ctrlPr>
              <w:rPr>
                <w:rFonts w:ascii="Cambria Math" w:hAnsi="Cambria Math"/>
              </w:rPr>
            </m:ctrlPr>
          </m:boxPr>
          <m:e>
            <m:acc>
              <m:accPr>
                <m:chr m:val="⃗"/>
                <m:ctrlPr>
                  <w:rPr>
                    <w:rFonts w:ascii="Cambria Math" w:hAnsi="Cambria Math"/>
                  </w:rPr>
                </m:ctrlPr>
              </m:accPr>
              <m:e>
                <m:r>
                  <w:rPr>
                    <w:rFonts w:ascii="Cambria Math" w:hAnsi="Cambria Math"/>
                  </w:rPr>
                  <m:t>r</m:t>
                </m:r>
              </m:e>
            </m:acc>
          </m:e>
        </m:box>
        <m:r>
          <m:rPr>
            <m:sty m:val="p"/>
          </m:rPr>
          <w:rPr>
            <w:rFonts w:ascii="Cambria Math" w:hAnsi="Cambria Math"/>
          </w:rPr>
          <m:t>×</m:t>
        </m:r>
        <m:box>
          <m:boxPr>
            <m:opEmu m:val="1"/>
            <m:ctrlPr>
              <w:rPr>
                <w:rFonts w:ascii="Cambria Math" w:hAnsi="Cambria Math"/>
              </w:rPr>
            </m:ctrlPr>
          </m:boxPr>
          <m:e>
            <m:acc>
              <m:accPr>
                <m:chr m:val="⃗"/>
                <m:ctrlPr>
                  <w:rPr>
                    <w:rFonts w:ascii="Cambria Math" w:hAnsi="Cambria Math"/>
                  </w:rPr>
                </m:ctrlPr>
              </m:accPr>
              <m:e>
                <m:r>
                  <w:rPr>
                    <w:rFonts w:ascii="Cambria Math" w:hAnsi="Cambria Math"/>
                  </w:rPr>
                  <m:t>v</m:t>
                </m:r>
              </m:e>
            </m:acc>
          </m:e>
        </m:box>
      </m:oMath>
      <w:r w:rsidRPr="001459FA">
        <w:t xml:space="preserve"> in the J2000 reference system, then the QSW local orbital frame is defined here as: </w:t>
      </w:r>
      <m:oMath>
        <m:acc>
          <m:accPr>
            <m:ctrlPr>
              <w:rPr>
                <w:rFonts w:ascii="Cambria Math" w:hAnsi="Cambria Math"/>
              </w:rPr>
            </m:ctrlPr>
          </m:accPr>
          <m:e>
            <m:r>
              <w:rPr>
                <w:rFonts w:ascii="Cambria Math" w:hAnsi="Cambria Math"/>
              </w:rPr>
              <m:t>x</m:t>
            </m:r>
          </m:e>
        </m:acc>
        <m:r>
          <m:rPr>
            <m:sty m:val="p"/>
          </m:rPr>
          <w:rPr>
            <w:rFonts w:ascii="Cambria Math" w:hAnsi="Cambria Math"/>
          </w:rPr>
          <m:t>=</m:t>
        </m:r>
        <m:f>
          <m:fPr>
            <m:type m:val="lin"/>
            <m:ctrlPr>
              <w:rPr>
                <w:rFonts w:ascii="Cambria Math" w:hAnsi="Cambria Math"/>
              </w:rPr>
            </m:ctrlPr>
          </m:fPr>
          <m:num>
            <m:acc>
              <m:accPr>
                <m:chr m:val="⃗"/>
                <m:ctrlPr>
                  <w:rPr>
                    <w:rFonts w:ascii="Cambria Math" w:hAnsi="Cambria Math"/>
                  </w:rPr>
                </m:ctrlPr>
              </m:accPr>
              <m:e>
                <m:r>
                  <w:rPr>
                    <w:rFonts w:ascii="Cambria Math" w:hAnsi="Cambria Math"/>
                  </w:rPr>
                  <m:t>r</m:t>
                </m:r>
              </m:e>
            </m:acc>
          </m:num>
          <m:den>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r</m:t>
                    </m:r>
                  </m:e>
                </m:acc>
              </m:e>
            </m:d>
          </m:den>
        </m:f>
      </m:oMath>
      <w:r w:rsidRPr="001459FA">
        <w:t xml:space="preserve"> ; </w:t>
      </w:r>
      <m:oMath>
        <m:acc>
          <m:accPr>
            <m:ctrlPr>
              <w:rPr>
                <w:rFonts w:ascii="Cambria Math" w:hAnsi="Cambria Math"/>
              </w:rPr>
            </m:ctrlPr>
          </m:accPr>
          <m:e>
            <m:r>
              <w:rPr>
                <w:rFonts w:ascii="Cambria Math" w:hAnsi="Cambria Math"/>
              </w:rPr>
              <m:t>z</m:t>
            </m:r>
          </m:e>
        </m:acc>
        <m:r>
          <m:rPr>
            <m:sty m:val="p"/>
          </m:rPr>
          <w:rPr>
            <w:rFonts w:ascii="Cambria Math" w:hAnsi="Cambria Math"/>
          </w:rPr>
          <m:t>=</m:t>
        </m:r>
        <m:f>
          <m:fPr>
            <m:type m:val="lin"/>
            <m:ctrlPr>
              <w:rPr>
                <w:rFonts w:ascii="Cambria Math" w:hAnsi="Cambria Math"/>
              </w:rPr>
            </m:ctrlPr>
          </m:fPr>
          <m:num>
            <m:acc>
              <m:accPr>
                <m:chr m:val="⃗"/>
                <m:ctrlPr>
                  <w:rPr>
                    <w:rFonts w:ascii="Cambria Math" w:hAnsi="Cambria Math"/>
                  </w:rPr>
                </m:ctrlPr>
              </m:accPr>
              <m:e>
                <m:r>
                  <m:rPr>
                    <m:sty m:val="p"/>
                  </m:rPr>
                  <w:rPr>
                    <w:rFonts w:ascii="Cambria Math" w:hAnsi="Cambria Math"/>
                  </w:rPr>
                  <w:sym w:font="Symbol" w:char="F077"/>
                </m:r>
              </m:e>
            </m:acc>
          </m:num>
          <m:den>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w:sym w:font="Symbol" w:char="F077"/>
                    </m:r>
                  </m:e>
                </m:acc>
              </m:e>
            </m:d>
          </m:den>
        </m:f>
      </m:oMath>
      <w:r w:rsidRPr="001459FA">
        <w:t xml:space="preserve"> ; and </w:t>
      </w:r>
      <m:oMath>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r>
              <w:rPr>
                <w:rFonts w:ascii="Cambria Math" w:hAnsi="Cambria Math"/>
              </w:rPr>
              <m:t>z</m:t>
            </m:r>
          </m:e>
        </m:acc>
        <m:r>
          <m:rPr>
            <m:sty m:val="p"/>
          </m:rPr>
          <w:rPr>
            <w:rFonts w:ascii="Cambria Math" w:hAnsi="Cambria Math"/>
          </w:rPr>
          <m:t>×</m:t>
        </m:r>
        <m:acc>
          <m:accPr>
            <m:ctrlPr>
              <w:rPr>
                <w:rFonts w:ascii="Cambria Math" w:hAnsi="Cambria Math"/>
              </w:rPr>
            </m:ctrlPr>
          </m:accPr>
          <m:e>
            <m:r>
              <w:rPr>
                <w:rFonts w:ascii="Cambria Math" w:hAnsi="Cambria Math"/>
              </w:rPr>
              <m:t>x</m:t>
            </m:r>
          </m:e>
        </m:acc>
      </m:oMath>
      <w:r w:rsidRPr="001459FA">
        <w:t>.</w:t>
      </w:r>
    </w:p>
    <w:p w14:paraId="506A7FBC" w14:textId="03CF576A" w:rsidR="00CA149D" w:rsidRPr="001459FA" w:rsidRDefault="00CA149D" w:rsidP="00A620DE">
      <w:pPr>
        <w:autoSpaceDE w:val="0"/>
        <w:autoSpaceDN w:val="0"/>
        <w:adjustRightInd w:val="0"/>
      </w:pPr>
      <w:r w:rsidRPr="001459FA">
        <w:t xml:space="preserve">Note that in this simplified representation of the QSW frame, the symbol </w:t>
      </w:r>
      <w:r w:rsidRPr="001459FA">
        <w:sym w:font="Symbol" w:char="F0C4"/>
      </w:r>
      <w:r w:rsidRPr="001459FA">
        <w:t xml:space="preserve"> indicates a vector perpendicular to the plane pointing into page. As the SC velocity </w:t>
      </w:r>
      <m:oMath>
        <m:box>
          <m:boxPr>
            <m:opEmu m:val="1"/>
            <m:ctrlPr>
              <w:rPr>
                <w:rFonts w:ascii="Cambria Math" w:hAnsi="Cambria Math"/>
              </w:rPr>
            </m:ctrlPr>
          </m:boxPr>
          <m:e>
            <m:acc>
              <m:accPr>
                <m:chr m:val="⃗"/>
                <m:ctrlPr>
                  <w:rPr>
                    <w:rFonts w:ascii="Cambria Math" w:hAnsi="Cambria Math"/>
                  </w:rPr>
                </m:ctrlPr>
              </m:accPr>
              <m:e>
                <m:r>
                  <w:rPr>
                    <w:rFonts w:ascii="Cambria Math" w:hAnsi="Cambria Math"/>
                  </w:rPr>
                  <m:t>v</m:t>
                </m:r>
              </m:e>
            </m:acc>
          </m:e>
        </m:box>
      </m:oMath>
      <w:r w:rsidRPr="001459FA">
        <w:t xml:space="preserve"> is orthogonal to </w:t>
      </w:r>
      <m:oMath>
        <m:box>
          <m:boxPr>
            <m:opEmu m:val="1"/>
            <m:ctrlPr>
              <w:rPr>
                <w:rFonts w:ascii="Cambria Math" w:hAnsi="Cambria Math"/>
              </w:rPr>
            </m:ctrlPr>
          </m:boxPr>
          <m:e>
            <m:acc>
              <m:accPr>
                <m:chr m:val="⃗"/>
                <m:ctrlPr>
                  <w:rPr>
                    <w:rFonts w:ascii="Cambria Math" w:hAnsi="Cambria Math"/>
                  </w:rPr>
                </m:ctrlPr>
              </m:accPr>
              <m:e>
                <m:r>
                  <w:rPr>
                    <w:rFonts w:ascii="Cambria Math" w:hAnsi="Cambria Math"/>
                  </w:rPr>
                  <m:t>z</m:t>
                </m:r>
              </m:e>
            </m:acc>
          </m:e>
        </m:box>
      </m:oMath>
      <w:r w:rsidRPr="001459FA">
        <w:t xml:space="preserve">, then it is in the xy plane. Normally </w:t>
      </w:r>
      <m:oMath>
        <m:box>
          <m:boxPr>
            <m:opEmu m:val="1"/>
            <m:ctrlPr>
              <w:rPr>
                <w:rFonts w:ascii="Cambria Math" w:hAnsi="Cambria Math"/>
              </w:rPr>
            </m:ctrlPr>
          </m:boxPr>
          <m:e>
            <m:acc>
              <m:accPr>
                <m:chr m:val="⃗"/>
                <m:ctrlPr>
                  <w:rPr>
                    <w:rFonts w:ascii="Cambria Math" w:hAnsi="Cambria Math"/>
                  </w:rPr>
                </m:ctrlPr>
              </m:accPr>
              <m:e>
                <m:r>
                  <w:rPr>
                    <w:rFonts w:ascii="Cambria Math" w:hAnsi="Cambria Math"/>
                  </w:rPr>
                  <m:t>v</m:t>
                </m:r>
              </m:e>
            </m:acc>
          </m:e>
        </m:box>
      </m:oMath>
      <w:r w:rsidRPr="001459FA">
        <w:t xml:space="preserve"> will be very close to</w:t>
      </w:r>
      <w:r w:rsidR="00A620DE">
        <w:t xml:space="preserve"> </w:t>
      </w:r>
      <w:r w:rsidRPr="001459FA">
        <w:t xml:space="preserve">the </w:t>
      </w:r>
      <m:oMath>
        <m:acc>
          <m:accPr>
            <m:ctrlPr>
              <w:rPr>
                <w:rFonts w:ascii="Cambria Math" w:hAnsi="Cambria Math"/>
              </w:rPr>
            </m:ctrlPr>
          </m:accPr>
          <m:e>
            <m:r>
              <w:rPr>
                <w:rFonts w:ascii="Cambria Math" w:hAnsi="Cambria Math"/>
              </w:rPr>
              <m:t>y</m:t>
            </m:r>
          </m:e>
        </m:acc>
      </m:oMath>
      <w:r w:rsidRPr="001459FA">
        <w:t xml:space="preserve"> direction and exactly in the </w:t>
      </w:r>
      <m:oMath>
        <m:acc>
          <m:accPr>
            <m:ctrlPr>
              <w:rPr>
                <w:rFonts w:ascii="Cambria Math" w:hAnsi="Cambria Math"/>
              </w:rPr>
            </m:ctrlPr>
          </m:accPr>
          <m:e>
            <m:r>
              <w:rPr>
                <w:rFonts w:ascii="Cambria Math" w:hAnsi="Cambria Math"/>
              </w:rPr>
              <m:t>y</m:t>
            </m:r>
          </m:e>
        </m:acc>
      </m:oMath>
      <w:r w:rsidRPr="001459FA">
        <w:t xml:space="preserve"> direction if the S/C is in a circular orbit.</w:t>
      </w:r>
    </w:p>
    <w:p w14:paraId="20B33C05" w14:textId="77777777" w:rsidR="00CA149D" w:rsidRDefault="00CA149D" w:rsidP="00CA149D">
      <w:pPr>
        <w:rPr>
          <w:iCs/>
        </w:rPr>
      </w:pPr>
      <w:r>
        <w:rPr>
          <w:iCs/>
        </w:rPr>
        <w:t>Transforming QSW coordinates to S/C coordinates is accomplished by successive application of matrix rotations.  The S/C body coordinates are then given by multiplying the rotation matrices about each of the three axes, defined as follows:</w:t>
      </w:r>
    </w:p>
    <w:p w14:paraId="171254CD" w14:textId="34BDACDF" w:rsidR="00CA149D" w:rsidRDefault="00F10062" w:rsidP="00CA149D">
      <w:pPr>
        <w:rPr>
          <w:iCs/>
          <w:sz w:val="28"/>
          <w:szCs w:val="28"/>
        </w:rPr>
      </w:pPr>
      <w:r>
        <w:rPr>
          <w:noProof/>
        </w:rPr>
        <w:drawing>
          <wp:inline distT="0" distB="0" distL="0" distR="0" wp14:anchorId="758AAB36" wp14:editId="701019E0">
            <wp:extent cx="2219325" cy="762000"/>
            <wp:effectExtent l="0" t="0" r="0" b="0"/>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762000"/>
                    </a:xfrm>
                    <a:prstGeom prst="rect">
                      <a:avLst/>
                    </a:prstGeom>
                    <a:noFill/>
                    <a:ln>
                      <a:noFill/>
                    </a:ln>
                  </pic:spPr>
                </pic:pic>
              </a:graphicData>
            </a:graphic>
          </wp:inline>
        </w:drawing>
      </w:r>
      <w:r w:rsidR="00CA149D" w:rsidRPr="003A490A">
        <w:rPr>
          <w:iCs/>
          <w:sz w:val="28"/>
          <w:szCs w:val="28"/>
        </w:rPr>
        <w:t>;</w:t>
      </w:r>
      <w:r>
        <w:rPr>
          <w:noProof/>
        </w:rPr>
        <w:drawing>
          <wp:inline distT="0" distB="0" distL="0" distR="0" wp14:anchorId="4E5650C4" wp14:editId="041F535C">
            <wp:extent cx="2038350" cy="638175"/>
            <wp:effectExtent l="0" t="0" r="0" b="0"/>
            <wp:docPr id="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638175"/>
                    </a:xfrm>
                    <a:prstGeom prst="rect">
                      <a:avLst/>
                    </a:prstGeom>
                    <a:noFill/>
                    <a:ln>
                      <a:noFill/>
                    </a:ln>
                  </pic:spPr>
                </pic:pic>
              </a:graphicData>
            </a:graphic>
          </wp:inline>
        </w:drawing>
      </w:r>
      <w:r w:rsidR="00CA149D" w:rsidRPr="003A490A">
        <w:rPr>
          <w:iCs/>
          <w:sz w:val="28"/>
          <w:szCs w:val="28"/>
        </w:rPr>
        <w:t>;</w:t>
      </w:r>
      <w:r>
        <w:rPr>
          <w:noProof/>
        </w:rPr>
        <w:drawing>
          <wp:inline distT="0" distB="0" distL="0" distR="0" wp14:anchorId="5094FB8B" wp14:editId="44076B33">
            <wp:extent cx="2066925" cy="638175"/>
            <wp:effectExtent l="0" t="0" r="0"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638175"/>
                    </a:xfrm>
                    <a:prstGeom prst="rect">
                      <a:avLst/>
                    </a:prstGeom>
                    <a:noFill/>
                    <a:ln>
                      <a:noFill/>
                    </a:ln>
                  </pic:spPr>
                </pic:pic>
              </a:graphicData>
            </a:graphic>
          </wp:inline>
        </w:drawing>
      </w:r>
    </w:p>
    <w:p w14:paraId="354BECCD" w14:textId="77777777" w:rsidR="00CA149D" w:rsidRDefault="00CA149D" w:rsidP="00CA149D">
      <w:pPr>
        <w:rPr>
          <w:iCs/>
        </w:rPr>
      </w:pPr>
    </w:p>
    <w:p w14:paraId="3CC85462" w14:textId="07038468" w:rsidR="00CA149D" w:rsidRDefault="00F10062" w:rsidP="00CA149D">
      <w:pPr>
        <w:rPr>
          <w:iCs/>
        </w:rPr>
      </w:pPr>
      <w:r>
        <w:rPr>
          <w:noProof/>
        </w:rPr>
        <w:drawing>
          <wp:anchor distT="0" distB="0" distL="114300" distR="114300" simplePos="0" relativeHeight="251658752" behindDoc="1" locked="0" layoutInCell="1" allowOverlap="1" wp14:anchorId="12998846" wp14:editId="1D815E18">
            <wp:simplePos x="0" y="0"/>
            <wp:positionH relativeFrom="column">
              <wp:posOffset>215900</wp:posOffset>
            </wp:positionH>
            <wp:positionV relativeFrom="paragraph">
              <wp:posOffset>234315</wp:posOffset>
            </wp:positionV>
            <wp:extent cx="1955800" cy="425450"/>
            <wp:effectExtent l="0" t="0" r="0" b="0"/>
            <wp:wrapTight wrapText="bothSides">
              <wp:wrapPolygon edited="0">
                <wp:start x="0" y="0"/>
                <wp:lineTo x="0" y="20310"/>
                <wp:lineTo x="21460" y="20310"/>
                <wp:lineTo x="21460" y="0"/>
                <wp:lineTo x="0" y="0"/>
              </wp:wrapPolygon>
            </wp:wrapTight>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800" cy="425450"/>
                    </a:xfrm>
                    <a:prstGeom prst="rect">
                      <a:avLst/>
                    </a:prstGeom>
                    <a:noFill/>
                  </pic:spPr>
                </pic:pic>
              </a:graphicData>
            </a:graphic>
            <wp14:sizeRelH relativeFrom="page">
              <wp14:pctWidth>0</wp14:pctWidth>
            </wp14:sizeRelH>
            <wp14:sizeRelV relativeFrom="page">
              <wp14:pctHeight>0</wp14:pctHeight>
            </wp14:sizeRelV>
          </wp:anchor>
        </w:drawing>
      </w:r>
      <w:r w:rsidR="00CA149D">
        <w:rPr>
          <w:iCs/>
        </w:rPr>
        <w:t xml:space="preserve">Thus, the total rotation matrix is given by:  </w:t>
      </w:r>
    </w:p>
    <w:p w14:paraId="6C59FA42" w14:textId="77777777" w:rsidR="00CA149D" w:rsidRDefault="00CA149D" w:rsidP="00CA149D">
      <w:pPr>
        <w:rPr>
          <w:iCs/>
        </w:rPr>
      </w:pPr>
    </w:p>
    <w:p w14:paraId="52E29AD4" w14:textId="77777777" w:rsidR="00CA149D" w:rsidRDefault="00CA149D" w:rsidP="00CA149D">
      <w:pPr>
        <w:rPr>
          <w:iCs/>
        </w:rPr>
      </w:pPr>
    </w:p>
    <w:p w14:paraId="624852A3" w14:textId="77777777" w:rsidR="00CA149D" w:rsidRDefault="00CA149D" w:rsidP="00CA149D">
      <w:pPr>
        <w:rPr>
          <w:iCs/>
        </w:rPr>
      </w:pPr>
      <w:r>
        <w:rPr>
          <w:iCs/>
        </w:rPr>
        <w:t xml:space="preserve">Here, Parameters 24 through 26 represent </w:t>
      </w:r>
      <w:r>
        <w:rPr>
          <w:iCs/>
        </w:rPr>
        <w:sym w:font="Symbol" w:char="F061"/>
      </w:r>
      <w:r>
        <w:rPr>
          <w:iCs/>
        </w:rPr>
        <w:t xml:space="preserve">, </w:t>
      </w:r>
      <w:r>
        <w:rPr>
          <w:iCs/>
        </w:rPr>
        <w:sym w:font="Symbol" w:char="F062"/>
      </w:r>
      <w:r>
        <w:rPr>
          <w:iCs/>
        </w:rPr>
        <w:t xml:space="preserve">, and </w:t>
      </w:r>
      <w:r>
        <w:rPr>
          <w:iCs/>
        </w:rPr>
        <w:sym w:font="Symbol" w:char="F067"/>
      </w:r>
      <w:r>
        <w:rPr>
          <w:iCs/>
        </w:rPr>
        <w:t xml:space="preserve"> as the rotational angles about the z, y, and x-axes, respectively.</w:t>
      </w:r>
    </w:p>
    <w:p w14:paraId="7F9A0253" w14:textId="77777777" w:rsidR="0025575D" w:rsidRDefault="00CA149D" w:rsidP="00CA149D">
      <w:pPr>
        <w:pStyle w:val="BodyText"/>
        <w:rPr>
          <w:i/>
          <w:u w:val="single"/>
        </w:rPr>
      </w:pPr>
      <w:r w:rsidRPr="00D34EA5">
        <w:rPr>
          <w:i/>
          <w:u w:val="single"/>
        </w:rPr>
        <w:t>Parameter</w:t>
      </w:r>
      <w:r>
        <w:rPr>
          <w:i/>
          <w:u w:val="single"/>
        </w:rPr>
        <w:t>s 27 through 29</w:t>
      </w:r>
    </w:p>
    <w:p w14:paraId="07D736D0" w14:textId="0AEED52C" w:rsidR="005F0688" w:rsidRPr="00AB00B0" w:rsidRDefault="0025575D" w:rsidP="005F0688">
      <w:pPr>
        <w:pStyle w:val="BodyText"/>
        <w:spacing w:before="120"/>
      </w:pPr>
      <w:r w:rsidRPr="00AB00B0">
        <w:t xml:space="preserve">The Solar Zenith Angle (SZA), Parameter 27, is defined as follows.  In </w:t>
      </w:r>
      <w:r w:rsidR="00EA573E">
        <w:fldChar w:fldCharType="begin"/>
      </w:r>
      <w:r w:rsidR="00EA573E">
        <w:instrText xml:space="preserve"> REF _Ref108513404 \h </w:instrText>
      </w:r>
      <w:r w:rsidR="00EA573E">
        <w:fldChar w:fldCharType="separate"/>
      </w:r>
      <w:r w:rsidR="00DF29B1">
        <w:t xml:space="preserve">Figure </w:t>
      </w:r>
      <w:r w:rsidR="00DF29B1">
        <w:rPr>
          <w:noProof/>
        </w:rPr>
        <w:t>4</w:t>
      </w:r>
      <w:r w:rsidR="00EA573E">
        <w:fldChar w:fldCharType="end"/>
      </w:r>
      <w:r w:rsidRPr="00AB00B0">
        <w:fldChar w:fldCharType="begin"/>
      </w:r>
      <w:r w:rsidRPr="00AB00B0">
        <w:instrText xml:space="preserve"> REF _Ref100126596 \h  \* MERGEFORMAT </w:instrText>
      </w:r>
      <w:r w:rsidR="00500A11">
        <w:fldChar w:fldCharType="separate"/>
      </w:r>
      <w:r w:rsidRPr="00AB00B0">
        <w:fldChar w:fldCharType="end"/>
      </w:r>
      <w:r w:rsidRPr="00AB00B0">
        <w:t xml:space="preserve">, S, T and C are the center </w:t>
      </w:r>
      <w:proofErr w:type="gramStart"/>
      <w:r w:rsidRPr="00AB00B0">
        <w:t>of</w:t>
      </w:r>
      <w:r w:rsidR="00CA149D" w:rsidRPr="00D34EA5">
        <w:rPr>
          <w:i/>
          <w:u w:val="single"/>
        </w:rPr>
        <w:t>:</w:t>
      </w:r>
      <w:proofErr w:type="gramEnd"/>
      <w:r w:rsidRPr="00AB00B0">
        <w:t xml:space="preserve"> mass of the Sun, Earth, and spacecraft, respectively. These three points define a plane. The angle α between</w:t>
      </w:r>
      <w:r w:rsidRPr="0025575D">
        <w:t xml:space="preserve"> </w:t>
      </w:r>
      <w:r w:rsidRPr="00AB00B0">
        <w:t>the spacecraft’s zenith, C and S is the Solar Zenith</w:t>
      </w:r>
      <w:r w:rsidRPr="0025575D">
        <w:t xml:space="preserve"> </w:t>
      </w:r>
      <w:r w:rsidRPr="00AB00B0">
        <w:t>Angle.</w:t>
      </w:r>
      <w:r w:rsidR="005F0688" w:rsidRPr="005F0688">
        <w:t xml:space="preserve"> </w:t>
      </w:r>
      <w:r w:rsidR="005F0688" w:rsidRPr="00AB00B0">
        <w:t>From</w:t>
      </w:r>
      <w:r w:rsidR="00DF446C">
        <w:t xml:space="preserve"> </w:t>
      </w:r>
      <w:r w:rsidR="00DF446C">
        <w:fldChar w:fldCharType="begin"/>
      </w:r>
      <w:r w:rsidR="00DF446C">
        <w:instrText xml:space="preserve"> REF _Ref108513404 \h </w:instrText>
      </w:r>
      <w:r w:rsidR="00DF446C">
        <w:fldChar w:fldCharType="separate"/>
      </w:r>
      <w:r w:rsidR="00DF29B1">
        <w:t xml:space="preserve">Figure </w:t>
      </w:r>
      <w:r w:rsidR="00DF29B1">
        <w:rPr>
          <w:noProof/>
        </w:rPr>
        <w:t>4</w:t>
      </w:r>
      <w:r w:rsidR="00DF446C">
        <w:fldChar w:fldCharType="end"/>
      </w:r>
      <w:r w:rsidR="005F0688" w:rsidRPr="00AB00B0">
        <w:t>, α = ξ + ζ</w:t>
      </w:r>
      <w:r w:rsidR="005F0688">
        <w:t xml:space="preserve">.  </w:t>
      </w:r>
      <w:r w:rsidR="005F0688" w:rsidRPr="00AB00B0">
        <w:t xml:space="preserve">Note that </w:t>
      </w:r>
      <m:oMath>
        <m:acc>
          <m:accPr>
            <m:chr m:val="̅"/>
            <m:ctrlPr>
              <w:rPr>
                <w:rFonts w:ascii="Cambria Math" w:hAnsi="Cambria Math"/>
              </w:rPr>
            </m:ctrlPr>
          </m:accPr>
          <m:e>
            <m:r>
              <w:rPr>
                <w:rFonts w:ascii="Cambria Math" w:hAnsi="Cambria Math"/>
              </w:rPr>
              <m:t>TC</m:t>
            </m:r>
          </m:e>
        </m:acc>
        <m:r>
          <m:rPr>
            <m:sty m:val="p"/>
          </m:rPr>
          <w:rPr>
            <w:rFonts w:ascii="Cambria Math" w:hAnsi="Cambria Math"/>
          </w:rPr>
          <m:t>≪</m:t>
        </m:r>
        <m:acc>
          <m:accPr>
            <m:chr m:val="̅"/>
            <m:ctrlPr>
              <w:rPr>
                <w:rFonts w:ascii="Cambria Math" w:hAnsi="Cambria Math"/>
              </w:rPr>
            </m:ctrlPr>
          </m:accPr>
          <m:e>
            <m:r>
              <w:rPr>
                <w:rFonts w:ascii="Cambria Math" w:hAnsi="Cambria Math"/>
              </w:rPr>
              <m:t>TS</m:t>
            </m:r>
          </m:e>
        </m:acc>
      </m:oMath>
      <w:r w:rsidR="005F0688" w:rsidRPr="00AB00B0">
        <w:t>, so that ζ ≈ 0 and ξ ≈ α.</w:t>
      </w:r>
    </w:p>
    <w:p w14:paraId="665E6C07" w14:textId="17FDECD3" w:rsidR="005F0688" w:rsidRPr="00AB00B0" w:rsidRDefault="005F0688" w:rsidP="005F0688">
      <w:pPr>
        <w:pStyle w:val="BodyText"/>
      </w:pPr>
      <w:r w:rsidRPr="00AB00B0">
        <w:t>Parameter 28, the Solar Local Time (SLT), is simply the geocentric longitude converted from degrees to hours (i.e., 15 degrees of longitude per hour of time) and added to the UTC decimal hours.  Finally, Parameter 29 quantifies the unit vector of the satellite-Sun line projected onto the S/C coordinate frame axes (</w:t>
      </w:r>
      <w:r w:rsidR="00FD3B19">
        <w:fldChar w:fldCharType="begin"/>
      </w:r>
      <w:r w:rsidR="00FD3B19">
        <w:instrText xml:space="preserve"> REF _Ref108509845 \h </w:instrText>
      </w:r>
      <w:r w:rsidR="00FD3B19">
        <w:fldChar w:fldCharType="separate"/>
      </w:r>
      <w:r w:rsidR="00FD3B19">
        <w:t xml:space="preserve">Figure </w:t>
      </w:r>
      <w:r w:rsidR="00FD3B19">
        <w:rPr>
          <w:noProof/>
        </w:rPr>
        <w:t>7</w:t>
      </w:r>
      <w:r w:rsidR="00FD3B19">
        <w:fldChar w:fldCharType="end"/>
      </w:r>
      <w:r w:rsidRPr="00AB00B0">
        <w:t xml:space="preserve">) as the sum of fractional values of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S/C</m:t>
            </m:r>
          </m:sub>
        </m:sSub>
      </m:oMath>
      <w:r w:rsidRPr="00AB00B0">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S/C</m:t>
            </m:r>
          </m:sub>
        </m:sSub>
      </m:oMath>
      <w:r w:rsidRPr="00AB00B0">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z</m:t>
                </m:r>
              </m:e>
            </m:acc>
          </m:e>
          <m:sub>
            <m:r>
              <w:rPr>
                <w:rFonts w:ascii="Cambria Math" w:hAnsi="Cambria Math"/>
              </w:rPr>
              <m:t>S/C</m:t>
            </m:r>
          </m:sub>
        </m:sSub>
      </m:oMath>
      <w:r w:rsidRPr="00AB00B0">
        <w:t>.</w:t>
      </w:r>
    </w:p>
    <w:p w14:paraId="46E613C3" w14:textId="77777777" w:rsidR="005F0688" w:rsidRPr="00D34EA5" w:rsidRDefault="005F0688" w:rsidP="005F0688">
      <w:pPr>
        <w:pStyle w:val="BodyText"/>
        <w:rPr>
          <w:i/>
          <w:u w:val="single"/>
        </w:rPr>
      </w:pPr>
      <w:r w:rsidRPr="00D34EA5">
        <w:rPr>
          <w:i/>
          <w:u w:val="single"/>
        </w:rPr>
        <w:t>Parameter</w:t>
      </w:r>
      <w:r>
        <w:rPr>
          <w:i/>
          <w:u w:val="single"/>
        </w:rPr>
        <w:t>s 30 through 33</w:t>
      </w:r>
      <w:r w:rsidRPr="00D34EA5">
        <w:rPr>
          <w:i/>
          <w:u w:val="single"/>
        </w:rPr>
        <w:t>:</w:t>
      </w:r>
    </w:p>
    <w:p w14:paraId="029144B6" w14:textId="16F866D9" w:rsidR="00CA149D" w:rsidRPr="00D34EA5" w:rsidRDefault="005F0688" w:rsidP="005F0688">
      <w:pPr>
        <w:pStyle w:val="BodyText"/>
        <w:rPr>
          <w:i/>
          <w:u w:val="single"/>
        </w:rPr>
      </w:pPr>
      <w:r>
        <w:t xml:space="preserve">These four parameters correspond to the Magnetic Local Time (MLT), latitude, longitude, and apex height in the Quasi-Dipole (QD) coordinate system, which is one of two Magnetic Apex coordinate systems described in </w:t>
      </w:r>
      <w:proofErr w:type="spellStart"/>
      <w:r w:rsidRPr="000669D0">
        <w:rPr>
          <w:i/>
        </w:rPr>
        <w:t>La</w:t>
      </w:r>
      <w:r>
        <w:rPr>
          <w:i/>
        </w:rPr>
        <w:t>undal</w:t>
      </w:r>
      <w:proofErr w:type="spellEnd"/>
      <w:r>
        <w:rPr>
          <w:i/>
        </w:rPr>
        <w:t xml:space="preserve"> and Richmond (2017</w:t>
      </w:r>
      <w:r w:rsidRPr="000669D0">
        <w:rPr>
          <w:i/>
        </w:rPr>
        <w:t>)</w:t>
      </w:r>
      <w:r>
        <w:t>.  The QD coordinate system is different from the others described</w:t>
      </w:r>
      <w:r w:rsidRPr="005F0688">
        <w:t xml:space="preserve"> </w:t>
      </w:r>
      <w:r>
        <w:t>here in that it is non-orthogonal, meaning that coordinate transformations from other systems to the</w:t>
      </w:r>
    </w:p>
    <w:p w14:paraId="1E347C67" w14:textId="47F3962C" w:rsidR="0025575D" w:rsidRDefault="00F10062" w:rsidP="005F0688">
      <w:pPr>
        <w:pStyle w:val="BodyText"/>
        <w:keepNext/>
        <w:jc w:val="center"/>
      </w:pPr>
      <w:r>
        <w:rPr>
          <w:noProof/>
        </w:rPr>
        <w:drawing>
          <wp:inline distT="0" distB="0" distL="0" distR="0" wp14:anchorId="0887E527" wp14:editId="48F707D0">
            <wp:extent cx="2133600" cy="6153150"/>
            <wp:effectExtent l="0" t="0" r="0" b="0"/>
            <wp:docPr id="3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6153150"/>
                    </a:xfrm>
                    <a:prstGeom prst="rect">
                      <a:avLst/>
                    </a:prstGeom>
                    <a:noFill/>
                    <a:ln>
                      <a:noFill/>
                    </a:ln>
                  </pic:spPr>
                </pic:pic>
              </a:graphicData>
            </a:graphic>
          </wp:inline>
        </w:drawing>
      </w:r>
    </w:p>
    <w:p w14:paraId="5E95370F" w14:textId="285EA561" w:rsidR="0025575D" w:rsidRDefault="0025575D" w:rsidP="005F0688">
      <w:pPr>
        <w:pStyle w:val="Caption"/>
      </w:pPr>
      <w:bookmarkStart w:id="6" w:name="_Ref108513404"/>
      <w:r>
        <w:t xml:space="preserve">Figure </w:t>
      </w:r>
      <w:r w:rsidR="00500A11">
        <w:fldChar w:fldCharType="begin"/>
      </w:r>
      <w:r w:rsidR="00500A11">
        <w:instrText xml:space="preserve"> SEQ Figure \* ARABIC </w:instrText>
      </w:r>
      <w:r w:rsidR="00500A11">
        <w:fldChar w:fldCharType="separate"/>
      </w:r>
      <w:r w:rsidR="00ED3000">
        <w:rPr>
          <w:noProof/>
        </w:rPr>
        <w:t>4</w:t>
      </w:r>
      <w:r w:rsidR="00500A11">
        <w:rPr>
          <w:noProof/>
        </w:rPr>
        <w:fldChar w:fldCharType="end"/>
      </w:r>
      <w:bookmarkEnd w:id="6"/>
      <w:r>
        <w:t>: Sun-Satellite Geometry</w:t>
      </w:r>
    </w:p>
    <w:p w14:paraId="19905A3F" w14:textId="6DF5BF58" w:rsidR="00CA149D" w:rsidRDefault="00CA149D" w:rsidP="00CA149D">
      <w:pPr>
        <w:pStyle w:val="BodyText"/>
      </w:pPr>
      <w:r>
        <w:t>QD system cannot be accomplished using simple transform matrix multiplication.  These four parameters are calculated at the EMBRACE facility using software that traces the Earth’s magnetic field line from the satellite’s position to the highest point above the surface of the Earth – i.e., the apex of the field line.  The Earth is assumed to be oblate, and the magnetic field model is the IGRF-13 [</w:t>
      </w:r>
      <w:proofErr w:type="spellStart"/>
      <w:r w:rsidRPr="006921BD">
        <w:rPr>
          <w:i/>
          <w:iCs/>
        </w:rPr>
        <w:t>Alken</w:t>
      </w:r>
      <w:proofErr w:type="spellEnd"/>
      <w:r w:rsidRPr="006921BD">
        <w:rPr>
          <w:i/>
          <w:iCs/>
        </w:rPr>
        <w:t xml:space="preserve"> et al., 2021</w:t>
      </w:r>
      <w:r>
        <w:rPr>
          <w:i/>
          <w:iCs/>
        </w:rPr>
        <w:t>a</w:t>
      </w:r>
      <w:r>
        <w:t>].  By definition, the satellite’s altitude in the QD coordinate system is equal to that in the ECI coordinate system, and thus it is not duplicated with this set.  See [</w:t>
      </w:r>
      <w:proofErr w:type="spellStart"/>
      <w:r>
        <w:rPr>
          <w:i/>
        </w:rPr>
        <w:t>Laundal</w:t>
      </w:r>
      <w:proofErr w:type="spellEnd"/>
      <w:r>
        <w:rPr>
          <w:i/>
        </w:rPr>
        <w:t xml:space="preserve"> and Richmond</w:t>
      </w:r>
      <w:r w:rsidRPr="000669D0">
        <w:rPr>
          <w:i/>
        </w:rPr>
        <w:t>, 2017</w:t>
      </w:r>
      <w:r>
        <w:t>] for a complete description of the QD and other geomagnetic coordinate systems that may be of interest.</w:t>
      </w:r>
    </w:p>
    <w:p w14:paraId="51E2E233" w14:textId="77777777" w:rsidR="00CA149D" w:rsidRPr="00D34EA5" w:rsidRDefault="00CA149D" w:rsidP="00CA149D">
      <w:pPr>
        <w:pStyle w:val="BodyText"/>
        <w:rPr>
          <w:i/>
          <w:u w:val="single"/>
        </w:rPr>
      </w:pPr>
      <w:r w:rsidRPr="00D34EA5">
        <w:rPr>
          <w:i/>
          <w:u w:val="single"/>
        </w:rPr>
        <w:t>Parameter</w:t>
      </w:r>
      <w:r>
        <w:rPr>
          <w:i/>
          <w:u w:val="single"/>
        </w:rPr>
        <w:t>s 34 through 36</w:t>
      </w:r>
      <w:r w:rsidRPr="00D34EA5">
        <w:rPr>
          <w:i/>
          <w:u w:val="single"/>
        </w:rPr>
        <w:t>:</w:t>
      </w:r>
    </w:p>
    <w:p w14:paraId="6909DF9E" w14:textId="58D86CDB" w:rsidR="00CA149D" w:rsidRDefault="00CA149D" w:rsidP="00CA149D">
      <w:pPr>
        <w:pStyle w:val="BodyText"/>
      </w:pPr>
      <w:r>
        <w:t>These three Parameters</w:t>
      </w:r>
      <w:r w:rsidRPr="00BF67B7">
        <w:t xml:space="preserve"> describe the three Magneto</w:t>
      </w:r>
      <w:r w:rsidR="00B43856">
        <w:t>-</w:t>
      </w:r>
      <w:r w:rsidRPr="00BF67B7">
        <w:t xml:space="preserve">torquer Flags (one per axis in the s/c reference frame) that are high when the magneto-torquers are active and low when they are not. These will be computed on ground for each coil duty cycle provided by the ADCS telemetry frame.  </w:t>
      </w:r>
    </w:p>
    <w:p w14:paraId="3AD49374" w14:textId="77777777" w:rsidR="00CA149D" w:rsidRPr="00067582" w:rsidRDefault="00CA149D" w:rsidP="00CA149D">
      <w:pPr>
        <w:pStyle w:val="BodyText"/>
        <w:rPr>
          <w:i/>
          <w:u w:val="single"/>
        </w:rPr>
      </w:pPr>
      <w:r w:rsidRPr="00067582">
        <w:rPr>
          <w:i/>
          <w:u w:val="single"/>
        </w:rPr>
        <w:t>Parameters 3</w:t>
      </w:r>
      <w:r>
        <w:rPr>
          <w:i/>
          <w:u w:val="single"/>
        </w:rPr>
        <w:t>7</w:t>
      </w:r>
      <w:r w:rsidRPr="00067582">
        <w:rPr>
          <w:i/>
          <w:u w:val="single"/>
        </w:rPr>
        <w:t xml:space="preserve"> through 3</w:t>
      </w:r>
      <w:r>
        <w:rPr>
          <w:i/>
          <w:u w:val="single"/>
        </w:rPr>
        <w:t>9</w:t>
      </w:r>
      <w:r w:rsidRPr="00067582">
        <w:rPr>
          <w:i/>
          <w:u w:val="single"/>
        </w:rPr>
        <w:t>:</w:t>
      </w:r>
    </w:p>
    <w:p w14:paraId="0829A7EE" w14:textId="77777777" w:rsidR="00CA149D" w:rsidRPr="00F46C0C" w:rsidRDefault="00CA149D" w:rsidP="00CA149D">
      <w:pPr>
        <w:pStyle w:val="BodyText"/>
      </w:pPr>
      <w:r>
        <w:t xml:space="preserve">The flag </w:t>
      </w:r>
      <w:r w:rsidRPr="00067582">
        <w:rPr>
          <w:rFonts w:ascii="Courier New" w:hAnsi="Courier New" w:cs="Courier New"/>
        </w:rPr>
        <w:t>EPHEM_PROP</w:t>
      </w:r>
      <w:r>
        <w:t xml:space="preserve"> is in the high state when the satellite position data are based on calculations using orbit propagators driven by two-line element (TLE) sets from a non-SPORT data source (e.g., </w:t>
      </w:r>
      <w:proofErr w:type="spellStart"/>
      <w:r w:rsidRPr="00067582">
        <w:rPr>
          <w:i/>
        </w:rPr>
        <w:t>SpaceTrack</w:t>
      </w:r>
      <w:proofErr w:type="spellEnd"/>
      <w:r>
        <w:t xml:space="preserve">).  The flag </w:t>
      </w:r>
      <w:r w:rsidRPr="00353A25">
        <w:rPr>
          <w:rFonts w:ascii="Courier New" w:hAnsi="Courier New" w:cs="Courier New"/>
        </w:rPr>
        <w:t>ATT_PROP</w:t>
      </w:r>
      <w:r>
        <w:t xml:space="preserve"> is in the high state when the satellite attitude data are based on calculations using rate data and modeling tools.  The </w:t>
      </w:r>
      <w:r w:rsidRPr="00353A25">
        <w:rPr>
          <w:rFonts w:ascii="Courier New" w:hAnsi="Courier New" w:cs="Courier New"/>
        </w:rPr>
        <w:t>STAR_TRACK</w:t>
      </w:r>
      <w:r>
        <w:t xml:space="preserve"> flag is in the high state when the SPORT Star Tracker data were used in the calculation of the S/C attitude data.</w:t>
      </w:r>
    </w:p>
    <w:p w14:paraId="411C0052" w14:textId="77777777" w:rsidR="00CA149D" w:rsidRPr="00F46C0C" w:rsidRDefault="00CA149D" w:rsidP="00CA149D">
      <w:pPr>
        <w:pStyle w:val="BodyText"/>
        <w:rPr>
          <w:i/>
          <w:u w:val="single"/>
        </w:rPr>
      </w:pPr>
      <w:r w:rsidRPr="00D34EA5">
        <w:rPr>
          <w:i/>
          <w:u w:val="single"/>
        </w:rPr>
        <w:t>Parameter</w:t>
      </w:r>
      <w:r>
        <w:rPr>
          <w:i/>
          <w:u w:val="single"/>
        </w:rPr>
        <w:t>s 40 and 41</w:t>
      </w:r>
      <w:r w:rsidRPr="00D34EA5">
        <w:rPr>
          <w:i/>
          <w:u w:val="single"/>
        </w:rPr>
        <w:t>:</w:t>
      </w:r>
    </w:p>
    <w:p w14:paraId="6566634E" w14:textId="371B3AFD" w:rsidR="00744FA9" w:rsidRDefault="00CA149D" w:rsidP="00744FA9">
      <w:pPr>
        <w:pStyle w:val="BodyText"/>
        <w:rPr>
          <w:i/>
          <w:u w:val="single"/>
        </w:rPr>
      </w:pPr>
      <w:r w:rsidRPr="007070C2">
        <w:t xml:space="preserve">The spacecraft EPS (Energy and Power Supply) system provides maximum Solar Panel Voltage and maximum Solar Panel Current, </w:t>
      </w:r>
      <w:r w:rsidRPr="00365CFF">
        <w:t xml:space="preserve">in the EPS housekeeping data packet called DD_HOU_EPS_2. The solar panel voltages </w:t>
      </w:r>
      <w:proofErr w:type="gramStart"/>
      <w:r w:rsidRPr="00365CFF">
        <w:t>is</w:t>
      </w:r>
      <w:proofErr w:type="gramEnd"/>
      <w:r w:rsidRPr="00365CFF">
        <w:t xml:space="preserve"> provided by the BCR[X] voltage TM and each BCR has two input channels, where the current is provided on BCR[X] Currents TM. The BCR utilization is organized according to</w:t>
      </w:r>
      <w:r w:rsidR="00DF446C">
        <w:t xml:space="preserve"> </w:t>
      </w:r>
      <w:r w:rsidR="00DF446C">
        <w:fldChar w:fldCharType="begin"/>
      </w:r>
      <w:r w:rsidR="00DF446C">
        <w:instrText xml:space="preserve"> REF _Ref108513208 \h </w:instrText>
      </w:r>
      <w:r w:rsidR="00DF446C">
        <w:fldChar w:fldCharType="separate"/>
      </w:r>
      <w:r w:rsidR="00DF446C">
        <w:t xml:space="preserve">Figure </w:t>
      </w:r>
      <w:r w:rsidR="00DF446C">
        <w:rPr>
          <w:noProof/>
        </w:rPr>
        <w:t>5</w:t>
      </w:r>
      <w:r w:rsidR="00DF446C">
        <w:fldChar w:fldCharType="end"/>
      </w:r>
      <w:r w:rsidR="00744FA9">
        <w:t>.</w:t>
      </w:r>
      <w:r w:rsidR="00744FA9" w:rsidRPr="00744FA9">
        <w:rPr>
          <w:i/>
          <w:u w:val="single"/>
        </w:rPr>
        <w:t xml:space="preserve"> </w:t>
      </w:r>
    </w:p>
    <w:p w14:paraId="6437563B" w14:textId="34E2370B" w:rsidR="00744FA9" w:rsidRPr="00F46C0C" w:rsidRDefault="00744FA9" w:rsidP="00744FA9">
      <w:pPr>
        <w:pStyle w:val="BodyText"/>
        <w:rPr>
          <w:i/>
          <w:u w:val="single"/>
        </w:rPr>
      </w:pPr>
      <w:r w:rsidRPr="00F46C0C">
        <w:rPr>
          <w:i/>
          <w:u w:val="single"/>
        </w:rPr>
        <w:t>Parameter 4</w:t>
      </w:r>
      <w:r>
        <w:rPr>
          <w:i/>
          <w:u w:val="single"/>
        </w:rPr>
        <w:t>2</w:t>
      </w:r>
      <w:r w:rsidRPr="00F46C0C">
        <w:rPr>
          <w:i/>
          <w:u w:val="single"/>
        </w:rPr>
        <w:t>:</w:t>
      </w:r>
    </w:p>
    <w:p w14:paraId="23582648" w14:textId="77777777" w:rsidR="005F0688" w:rsidRDefault="00744FA9" w:rsidP="00CA149D">
      <w:pPr>
        <w:pStyle w:val="BodyText"/>
      </w:pPr>
      <w:r>
        <w:t xml:space="preserve">TLM valid flags in integer form.  </w:t>
      </w:r>
    </w:p>
    <w:p w14:paraId="431CAA03" w14:textId="3811F105" w:rsidR="00ED3000" w:rsidRDefault="00ED3000" w:rsidP="00CA149D">
      <w:pPr>
        <w:pStyle w:val="BodyText"/>
        <w:sectPr w:rsidR="00ED3000" w:rsidSect="00DA0BC2">
          <w:pgSz w:w="12240" w:h="15840"/>
          <w:pgMar w:top="1440" w:right="1440" w:bottom="1440" w:left="1440" w:header="720" w:footer="720" w:gutter="0"/>
          <w:cols w:num="2" w:space="360"/>
          <w:docGrid w:linePitch="360"/>
        </w:sectPr>
      </w:pPr>
    </w:p>
    <w:p w14:paraId="6A451FBB" w14:textId="08C62766" w:rsidR="00CA149D" w:rsidRDefault="00CA149D" w:rsidP="00CA149D">
      <w:pPr>
        <w:pStyle w:val="BodyText"/>
      </w:pPr>
    </w:p>
    <w:p w14:paraId="5511B14F" w14:textId="17934E1A" w:rsidR="00ED3000" w:rsidRDefault="00F10062" w:rsidP="00ED3000">
      <w:pPr>
        <w:pStyle w:val="BodyText"/>
        <w:keepNext/>
      </w:pPr>
      <w:r>
        <w:rPr>
          <w:i/>
          <w:noProof/>
          <w:u w:val="single"/>
        </w:rPr>
        <w:drawing>
          <wp:inline distT="0" distB="0" distL="0" distR="0" wp14:anchorId="726C141D" wp14:editId="0B4600A4">
            <wp:extent cx="6191250" cy="36385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3638550"/>
                    </a:xfrm>
                    <a:prstGeom prst="rect">
                      <a:avLst/>
                    </a:prstGeom>
                    <a:noFill/>
                    <a:ln>
                      <a:noFill/>
                    </a:ln>
                  </pic:spPr>
                </pic:pic>
              </a:graphicData>
            </a:graphic>
          </wp:inline>
        </w:drawing>
      </w:r>
    </w:p>
    <w:p w14:paraId="24288B0C" w14:textId="77777777" w:rsidR="00EF3F83" w:rsidRDefault="00ED3000" w:rsidP="00ED3000">
      <w:pPr>
        <w:pStyle w:val="Caption"/>
        <w:jc w:val="both"/>
      </w:pPr>
      <w:bookmarkStart w:id="7" w:name="_Ref108513208"/>
      <w:r>
        <w:t xml:space="preserve">Figure </w:t>
      </w:r>
      <w:r w:rsidR="00500A11">
        <w:fldChar w:fldCharType="begin"/>
      </w:r>
      <w:r w:rsidR="00500A11">
        <w:instrText xml:space="preserve"> SEQ Figure \* ARABIC </w:instrText>
      </w:r>
      <w:r w:rsidR="00500A11">
        <w:fldChar w:fldCharType="separate"/>
      </w:r>
      <w:r>
        <w:rPr>
          <w:noProof/>
        </w:rPr>
        <w:t>5</w:t>
      </w:r>
      <w:r w:rsidR="00500A11">
        <w:rPr>
          <w:noProof/>
        </w:rPr>
        <w:fldChar w:fldCharType="end"/>
      </w:r>
      <w:bookmarkEnd w:id="7"/>
      <w:r>
        <w:t>: SPORT Solar array configuration and BCR utilization on EPS.</w:t>
      </w:r>
    </w:p>
    <w:p w14:paraId="5496E7B9" w14:textId="503BE0B6" w:rsidR="00ED3000" w:rsidRPr="00ED3000" w:rsidRDefault="00ED3000" w:rsidP="00ED3000">
      <w:pPr>
        <w:sectPr w:rsidR="00ED3000" w:rsidRPr="00ED3000" w:rsidSect="00ED3000">
          <w:type w:val="continuous"/>
          <w:pgSz w:w="12240" w:h="15840"/>
          <w:pgMar w:top="1440" w:right="1440" w:bottom="1440" w:left="1440" w:header="720" w:footer="720" w:gutter="0"/>
          <w:cols w:space="360"/>
          <w:docGrid w:linePitch="360"/>
        </w:sectPr>
      </w:pPr>
    </w:p>
    <w:p w14:paraId="6B2289B8" w14:textId="77777777" w:rsidR="00CA149D" w:rsidRPr="00F46C0C" w:rsidRDefault="00CA149D" w:rsidP="00CA149D">
      <w:pPr>
        <w:pStyle w:val="BodyText"/>
        <w:rPr>
          <w:i/>
          <w:u w:val="single"/>
        </w:rPr>
      </w:pPr>
      <w:r w:rsidRPr="00F46C0C">
        <w:rPr>
          <w:i/>
          <w:u w:val="single"/>
        </w:rPr>
        <w:t>Parameter 4</w:t>
      </w:r>
      <w:r>
        <w:rPr>
          <w:i/>
          <w:u w:val="single"/>
        </w:rPr>
        <w:t>3</w:t>
      </w:r>
      <w:r w:rsidRPr="00F46C0C">
        <w:rPr>
          <w:i/>
          <w:u w:val="single"/>
        </w:rPr>
        <w:t>:</w:t>
      </w:r>
    </w:p>
    <w:p w14:paraId="17275B3C" w14:textId="0CCAD911" w:rsidR="00AF717F" w:rsidRDefault="00CA149D" w:rsidP="00CA149D">
      <w:pPr>
        <w:pStyle w:val="BodyText"/>
      </w:pPr>
      <w:proofErr w:type="spellStart"/>
      <w:r w:rsidRPr="00C77BEE">
        <w:rPr>
          <w:rFonts w:ascii="Courier New" w:hAnsi="Courier New" w:cs="Courier New"/>
        </w:rPr>
        <w:t>B_vec</w:t>
      </w:r>
      <w:proofErr w:type="spellEnd"/>
      <w:r>
        <w:t xml:space="preserve"> is the three-component magnetic field from the thirteenth generation of the International Geophysical Reference Field (IGRF-13) model [</w:t>
      </w:r>
      <w:proofErr w:type="spellStart"/>
      <w:r w:rsidRPr="004C424A">
        <w:rPr>
          <w:i/>
        </w:rPr>
        <w:t>Alken</w:t>
      </w:r>
      <w:proofErr w:type="spellEnd"/>
      <w:r w:rsidRPr="004C424A">
        <w:rPr>
          <w:i/>
        </w:rPr>
        <w:t xml:space="preserve"> et al</w:t>
      </w:r>
      <w:r>
        <w:rPr>
          <w:i/>
        </w:rPr>
        <w:t>.</w:t>
      </w:r>
      <w:r w:rsidRPr="004C424A">
        <w:rPr>
          <w:i/>
        </w:rPr>
        <w:t>, 2021</w:t>
      </w:r>
      <w:r>
        <w:rPr>
          <w:i/>
        </w:rPr>
        <w:t>b</w:t>
      </w:r>
      <w:r>
        <w:t>] in the S/C frame of reference (i.e., in the S/C coordinate frame, shown in</w:t>
      </w:r>
      <w:r w:rsidR="00DF446C">
        <w:t xml:space="preserve"> </w:t>
      </w:r>
      <w:r w:rsidR="00DF446C">
        <w:fldChar w:fldCharType="begin"/>
      </w:r>
      <w:r w:rsidR="00DF446C">
        <w:instrText xml:space="preserve"> REF _Ref108511356 \h </w:instrText>
      </w:r>
      <w:r w:rsidR="00DF446C">
        <w:fldChar w:fldCharType="separate"/>
      </w:r>
      <w:r w:rsidR="00DF446C">
        <w:t xml:space="preserve">Figure </w:t>
      </w:r>
      <w:r w:rsidR="00DF446C">
        <w:rPr>
          <w:noProof/>
        </w:rPr>
        <w:t>6</w:t>
      </w:r>
      <w:r w:rsidR="00DF446C">
        <w:fldChar w:fldCharType="end"/>
      </w:r>
      <w:r>
        <w:t>).  This parameter is calculated at the EMBRACE facility by retrieving the magnetic field components from IGRF-13 as a function of S/C position (in WGS84) and using the orientation of the S/C</w:t>
      </w:r>
      <w:r w:rsidRPr="00BA2719">
        <w:t xml:space="preserve"> reference axes in </w:t>
      </w:r>
      <w:r>
        <w:t>East-</w:t>
      </w:r>
      <w:r w:rsidR="00F10062">
        <w:rPr>
          <w:noProof/>
        </w:rPr>
        <mc:AlternateContent>
          <mc:Choice Requires="wps">
            <w:drawing>
              <wp:anchor distT="0" distB="0" distL="114300" distR="114300" simplePos="0" relativeHeight="251662848" behindDoc="0" locked="0" layoutInCell="1" allowOverlap="1" wp14:anchorId="145BFC84" wp14:editId="462FBD70">
                <wp:simplePos x="0" y="0"/>
                <wp:positionH relativeFrom="column">
                  <wp:posOffset>561975</wp:posOffset>
                </wp:positionH>
                <wp:positionV relativeFrom="paragraph">
                  <wp:posOffset>7350125</wp:posOffset>
                </wp:positionV>
                <wp:extent cx="5305425" cy="419100"/>
                <wp:effectExtent l="0" t="0" r="0" b="0"/>
                <wp:wrapTight wrapText="bothSides">
                  <wp:wrapPolygon edited="0">
                    <wp:start x="-39" y="0"/>
                    <wp:lineTo x="-39" y="20880"/>
                    <wp:lineTo x="21600" y="20880"/>
                    <wp:lineTo x="21600" y="0"/>
                    <wp:lineTo x="-39" y="0"/>
                  </wp:wrapPolygon>
                </wp:wrapTight>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31AC3" w14:textId="38C50F4E" w:rsidR="00AF717F" w:rsidRPr="00F86655" w:rsidRDefault="00AF717F" w:rsidP="00AF717F">
                            <w:pPr>
                              <w:pStyle w:val="Caption"/>
                              <w:rPr>
                                <w:rFonts w:ascii="Courier New" w:hAnsi="Courier New" w:cs="Courier New"/>
                                <w:szCs w:val="24"/>
                              </w:rPr>
                            </w:pPr>
                            <w:bookmarkStart w:id="8" w:name="_Ref108511356"/>
                            <w:r>
                              <w:t xml:space="preserve">Figure </w:t>
                            </w:r>
                            <w:r w:rsidR="00500A11">
                              <w:fldChar w:fldCharType="begin"/>
                            </w:r>
                            <w:r w:rsidR="00500A11">
                              <w:instrText xml:space="preserve"> SEQ Figure \* ARABIC </w:instrText>
                            </w:r>
                            <w:r w:rsidR="00500A11">
                              <w:fldChar w:fldCharType="separate"/>
                            </w:r>
                            <w:r w:rsidR="00DF446C">
                              <w:rPr>
                                <w:noProof/>
                              </w:rPr>
                              <w:t>6</w:t>
                            </w:r>
                            <w:r w:rsidR="00500A11">
                              <w:rPr>
                                <w:noProof/>
                              </w:rPr>
                              <w:fldChar w:fldCharType="end"/>
                            </w:r>
                            <w:bookmarkEnd w:id="8"/>
                            <w:r>
                              <w:t xml:space="preserve">: Depicted </w:t>
                            </w:r>
                            <w:r w:rsidRPr="00AF717F">
                              <w:t>are the Sun (orange), Earth (gray), and SPORT satellite (at Point C), showing the satellite at the edge between the umbra and penumbra (left) and in full sunlight (right).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5BFC84" id="Text Box 69" o:spid="_x0000_s1027" type="#_x0000_t202" style="position:absolute;left:0;text-align:left;margin-left:44.25pt;margin-top:578.75pt;width:417.75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" stroked="f">
                <v:textbox style="mso-fit-shape-to-text:t" inset="0,0,0,0">
                  <w:txbxContent>
                    <w:p w14:paraId="27F31AC3" w14:textId="38C50F4E" w:rsidR="00AF717F" w:rsidRPr="00F86655" w:rsidRDefault="00AF717F" w:rsidP="00AF717F">
                      <w:pPr>
                        <w:pStyle w:val="Caption"/>
                        <w:rPr>
                          <w:rFonts w:ascii="Courier New" w:hAnsi="Courier New" w:cs="Courier New"/>
                          <w:szCs w:val="24"/>
                        </w:rPr>
                      </w:pPr>
                      <w:bookmarkStart w:id="10" w:name="_Ref108511356"/>
                      <w:r>
                        <w:t xml:space="preserve">Figure </w:t>
                      </w:r>
                      <w:fldSimple w:instr=" SEQ Figure \* ARABIC ">
                        <w:r w:rsidR="00DF446C">
                          <w:rPr>
                            <w:noProof/>
                          </w:rPr>
                          <w:t>6</w:t>
                        </w:r>
                      </w:fldSimple>
                      <w:bookmarkEnd w:id="10"/>
                      <w:r>
                        <w:t xml:space="preserve">: Depicted </w:t>
                      </w:r>
                      <w:r w:rsidRPr="00AF717F">
                        <w:t>are the Sun (orange), Earth (gray), and SPORT satellite (at Point C), showing the satellite at the edge between the umbra and penumbra (left) and in full sunlight (right).</w:t>
                      </w:r>
                    </w:p>
                  </w:txbxContent>
                </v:textbox>
                <w10:wrap type="tight"/>
              </v:shape>
            </w:pict>
          </mc:Fallback>
        </mc:AlternateContent>
      </w:r>
      <w:r w:rsidR="00F10062">
        <w:rPr>
          <w:noProof/>
        </w:rPr>
        <w:drawing>
          <wp:anchor distT="0" distB="0" distL="114300" distR="114300" simplePos="0" relativeHeight="251660800" behindDoc="1" locked="0" layoutInCell="1" allowOverlap="0" wp14:anchorId="678FA874" wp14:editId="124E3684">
            <wp:simplePos x="0" y="0"/>
            <wp:positionH relativeFrom="character">
              <wp:posOffset>-86995</wp:posOffset>
            </wp:positionH>
            <wp:positionV relativeFrom="line">
              <wp:posOffset>278130</wp:posOffset>
            </wp:positionV>
            <wp:extent cx="5305425" cy="6419850"/>
            <wp:effectExtent l="0" t="0" r="0" b="0"/>
            <wp:wrapTight wrapText="bothSides">
              <wp:wrapPolygon edited="0">
                <wp:start x="0" y="0"/>
                <wp:lineTo x="0" y="21536"/>
                <wp:lineTo x="21561" y="21536"/>
                <wp:lineTo x="21561" y="11281"/>
                <wp:lineTo x="20398" y="10255"/>
                <wp:lineTo x="2039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t="1738"/>
                    <a:stretch>
                      <a:fillRect/>
                    </a:stretch>
                  </pic:blipFill>
                  <pic:spPr bwMode="auto">
                    <a:xfrm>
                      <a:off x="0" y="0"/>
                      <a:ext cx="5305425" cy="6419850"/>
                    </a:xfrm>
                    <a:prstGeom prst="rect">
                      <a:avLst/>
                    </a:prstGeom>
                    <a:noFill/>
                    <a:ln>
                      <a:noFill/>
                    </a:ln>
                  </pic:spPr>
                </pic:pic>
              </a:graphicData>
            </a:graphic>
            <wp14:sizeRelH relativeFrom="page">
              <wp14:pctWidth>0</wp14:pctWidth>
            </wp14:sizeRelH>
            <wp14:sizeRelV relativeFrom="page">
              <wp14:pctHeight>0</wp14:pctHeight>
            </wp14:sizeRelV>
          </wp:anchor>
        </w:drawing>
      </w:r>
      <w:r>
        <w:t>North-Up (</w:t>
      </w:r>
      <w:r w:rsidRPr="00BA2719">
        <w:t>ENU</w:t>
      </w:r>
      <w:r>
        <w:t>)</w:t>
      </w:r>
      <w:r w:rsidRPr="00BA2719">
        <w:t xml:space="preserve"> to map </w:t>
      </w:r>
      <w:r>
        <w:t>those components to the S/C coordinate frame.</w:t>
      </w:r>
      <w:r w:rsidR="00744FA9" w:rsidRPr="00744FA9">
        <w:t xml:space="preserve"> </w:t>
      </w:r>
    </w:p>
    <w:p w14:paraId="6660304A" w14:textId="437396F3" w:rsidR="00AF717F" w:rsidRDefault="00AF717F" w:rsidP="00CA149D">
      <w:pPr>
        <w:pStyle w:val="BodyText"/>
      </w:pPr>
    </w:p>
    <w:p w14:paraId="3678DEFB" w14:textId="560F2111" w:rsidR="00AF717F" w:rsidRDefault="00AF717F" w:rsidP="00CA149D">
      <w:pPr>
        <w:pStyle w:val="BodyText"/>
      </w:pPr>
    </w:p>
    <w:p w14:paraId="334A5915" w14:textId="606491C4" w:rsidR="00744FA9" w:rsidRDefault="00CA149D" w:rsidP="00B67BA7">
      <w:pPr>
        <w:pStyle w:val="BodyText"/>
        <w:sectPr w:rsidR="00744FA9" w:rsidSect="00B67BA7">
          <w:pgSz w:w="12240" w:h="15840"/>
          <w:pgMar w:top="1440" w:right="1440" w:bottom="1440" w:left="1440" w:header="720" w:footer="720" w:gutter="0"/>
          <w:cols w:space="360"/>
          <w:docGrid w:linePitch="360"/>
        </w:sectPr>
      </w:pPr>
      <w:r>
        <w:t xml:space="preserve">  </w:t>
      </w:r>
    </w:p>
    <w:p w14:paraId="52313E12" w14:textId="77777777" w:rsidR="00CA149D" w:rsidRPr="00F46C0C" w:rsidRDefault="00CA149D" w:rsidP="00CA149D">
      <w:pPr>
        <w:pStyle w:val="BodyText"/>
        <w:rPr>
          <w:i/>
          <w:u w:val="single"/>
        </w:rPr>
      </w:pPr>
      <w:r w:rsidRPr="00D34EA5">
        <w:rPr>
          <w:i/>
          <w:u w:val="single"/>
        </w:rPr>
        <w:t>Parameter</w:t>
      </w:r>
      <w:r>
        <w:rPr>
          <w:i/>
          <w:u w:val="single"/>
        </w:rPr>
        <w:t>s 44 through 46</w:t>
      </w:r>
      <w:r w:rsidRPr="00D34EA5">
        <w:rPr>
          <w:i/>
          <w:u w:val="single"/>
        </w:rPr>
        <w:t>:</w:t>
      </w:r>
    </w:p>
    <w:p w14:paraId="636C0B3F" w14:textId="685A464E" w:rsidR="00CA149D" w:rsidRDefault="00CA149D" w:rsidP="00CA149D">
      <w:pPr>
        <w:rPr>
          <w:szCs w:val="20"/>
        </w:rPr>
      </w:pPr>
      <w:r>
        <w:rPr>
          <w:szCs w:val="20"/>
        </w:rPr>
        <w:t>These three parameters are nine-element rotation matrices to transform vector-based quantities from one coordinate system to another.  Parameter 44 data contain the transformation matrices to convert from the local S/C coordinate system to the local geodetic ENU coordinate system.  Parameter 45 data contain the transformation matrices for converting from the S/C coordinate system to the global geodetic ECI/J2000.  Parameter 46 data contain the transformation matrices for converting from the ECEF to the global geodetic ECI/J2000.  These transformation matrices are calculated by EMBRACE.</w:t>
      </w:r>
    </w:p>
    <w:p w14:paraId="42F85364" w14:textId="77777777" w:rsidR="00CA149D" w:rsidRPr="009B273F" w:rsidRDefault="00CA149D" w:rsidP="00CA149D">
      <w:pPr>
        <w:pStyle w:val="BodyText"/>
        <w:rPr>
          <w:i/>
          <w:u w:val="single"/>
        </w:rPr>
      </w:pPr>
      <w:r>
        <w:rPr>
          <w:i/>
          <w:u w:val="single"/>
        </w:rPr>
        <w:t>Parameter 47 and 48</w:t>
      </w:r>
      <w:r w:rsidRPr="009B273F">
        <w:rPr>
          <w:i/>
          <w:u w:val="single"/>
        </w:rPr>
        <w:t>:</w:t>
      </w:r>
    </w:p>
    <w:p w14:paraId="4BA4058F" w14:textId="004F4A76" w:rsidR="00CA149D" w:rsidRPr="00454E15" w:rsidRDefault="00CA149D" w:rsidP="00CA149D">
      <w:pPr>
        <w:pStyle w:val="BodyText"/>
      </w:pPr>
      <w:r w:rsidRPr="003531E4">
        <w:t>Parameter 47 gives the Earth’s rotation velocity at the S/C altitude mapped onto the S/C coordinate frame</w:t>
      </w:r>
      <w:r>
        <w:t xml:space="preserve">, with </w:t>
      </w:r>
      <w:r w:rsidRPr="003531E4">
        <w:t>axes</w:t>
      </w:r>
      <w:r>
        <w:t xml:space="preserve"> defined in </w:t>
      </w:r>
      <w:r w:rsidR="00500A11">
        <w:fldChar w:fldCharType="begin"/>
      </w:r>
      <w:r w:rsidR="00500A11">
        <w:instrText xml:space="preserve"> REF _Ref79564279 \h  \* MERGEFORMAT </w:instrText>
      </w:r>
      <w:r w:rsidR="00500A11">
        <w:fldChar w:fldCharType="separate"/>
      </w:r>
      <w:r w:rsidR="00DF446C">
        <w:rPr>
          <w:b/>
          <w:bCs/>
        </w:rPr>
        <w:fldChar w:fldCharType="begin"/>
      </w:r>
      <w:r w:rsidR="00DF446C">
        <w:instrText xml:space="preserve"> REF _Ref108509845 \h </w:instrText>
      </w:r>
      <w:r w:rsidR="00DF446C">
        <w:rPr>
          <w:b/>
          <w:bCs/>
        </w:rPr>
      </w:r>
      <w:r w:rsidR="00DF446C">
        <w:rPr>
          <w:b/>
          <w:bCs/>
        </w:rPr>
        <w:fldChar w:fldCharType="separate"/>
      </w:r>
      <w:r w:rsidR="00DF446C">
        <w:t xml:space="preserve">Figure </w:t>
      </w:r>
      <w:r w:rsidR="00DF446C">
        <w:rPr>
          <w:noProof/>
        </w:rPr>
        <w:t>7</w:t>
      </w:r>
      <w:r w:rsidR="00DF446C">
        <w:rPr>
          <w:b/>
          <w:bCs/>
        </w:rPr>
        <w:fldChar w:fldCharType="end"/>
      </w:r>
      <w:r w:rsidR="00DF446C">
        <w:rPr>
          <w:b/>
          <w:bCs/>
        </w:rPr>
        <w:t>.</w:t>
      </w:r>
      <w:r w:rsidR="00500A11">
        <w:fldChar w:fldCharType="end"/>
      </w:r>
      <w:r w:rsidRPr="003531E4">
        <w:t xml:space="preserve">.  </w:t>
      </w:r>
      <w:r>
        <w:t>Parameter 48 represents the S/C</w:t>
      </w:r>
      <w:r w:rsidRPr="007A5F11">
        <w:t xml:space="preserve"> velocity (relative to the center of the Ea</w:t>
      </w:r>
      <w:r>
        <w:t xml:space="preserve">rth) in the S/C reference frame and is quantified by the sum of fractional values of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S/C</m:t>
            </m:r>
          </m:sub>
        </m:sSub>
      </m:oMath>
      <w: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S/C</m:t>
            </m:r>
          </m:sub>
        </m:sSub>
      </m:oMath>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z</m:t>
                </m:r>
              </m:e>
            </m:acc>
          </m:e>
          <m:sub>
            <m:r>
              <w:rPr>
                <w:rFonts w:ascii="Cambria Math" w:hAnsi="Cambria Math"/>
              </w:rPr>
              <m:t>S/C</m:t>
            </m:r>
          </m:sub>
        </m:sSub>
      </m:oMath>
      <w:r>
        <w:t>.</w:t>
      </w:r>
    </w:p>
    <w:p w14:paraId="3903DD2B" w14:textId="376D4DAE" w:rsidR="00EF3F83" w:rsidRDefault="00F10062" w:rsidP="00EF3F83">
      <w:pPr>
        <w:keepNext/>
      </w:pPr>
      <w:r>
        <w:rPr>
          <w:noProof/>
        </w:rPr>
        <w:drawing>
          <wp:inline distT="0" distB="0" distL="0" distR="0" wp14:anchorId="2F337939" wp14:editId="73FC76FA">
            <wp:extent cx="2809875" cy="2133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p w14:paraId="64488CAA" w14:textId="1611E76D" w:rsidR="00EF3F83" w:rsidRDefault="00EF3F83" w:rsidP="00EF3F83">
      <w:pPr>
        <w:pStyle w:val="Caption"/>
        <w:jc w:val="both"/>
      </w:pPr>
      <w:bookmarkStart w:id="9" w:name="_Ref108509845"/>
      <w:r>
        <w:t xml:space="preserve">Figure </w:t>
      </w:r>
      <w:r w:rsidR="00500A11">
        <w:fldChar w:fldCharType="begin"/>
      </w:r>
      <w:r w:rsidR="00500A11">
        <w:instrText xml:space="preserve"> SEQ Figure \* ARABIC </w:instrText>
      </w:r>
      <w:r w:rsidR="00500A11">
        <w:fldChar w:fldCharType="separate"/>
      </w:r>
      <w:r w:rsidR="00DF446C">
        <w:rPr>
          <w:noProof/>
        </w:rPr>
        <w:t>7</w:t>
      </w:r>
      <w:r w:rsidR="00500A11">
        <w:rPr>
          <w:noProof/>
        </w:rPr>
        <w:fldChar w:fldCharType="end"/>
      </w:r>
      <w:bookmarkEnd w:id="9"/>
      <w:r>
        <w:t xml:space="preserve">: S/C Coordinate Frame used for ADCS and GNC parameters.  Note that axis definitions differ from the mechanical coordinate system in </w:t>
      </w:r>
      <w:r w:rsidR="00B43856">
        <w:fldChar w:fldCharType="begin"/>
      </w:r>
      <w:r w:rsidR="00B43856">
        <w:instrText xml:space="preserve"> REF _Ref108509859 \h </w:instrText>
      </w:r>
      <w:r w:rsidR="00B43856">
        <w:fldChar w:fldCharType="separate"/>
      </w:r>
      <w:r w:rsidR="00DF446C">
        <w:t xml:space="preserve">Figure </w:t>
      </w:r>
      <w:r w:rsidR="00DF446C">
        <w:rPr>
          <w:noProof/>
        </w:rPr>
        <w:t>1</w:t>
      </w:r>
      <w:r w:rsidR="00B43856">
        <w:fldChar w:fldCharType="end"/>
      </w:r>
      <w:r w:rsidR="00271491">
        <w:t>.</w:t>
      </w:r>
    </w:p>
    <w:p w14:paraId="34405C93" w14:textId="77777777" w:rsidR="00787CE8" w:rsidRPr="00454E15" w:rsidRDefault="00787CE8" w:rsidP="00787CE8">
      <w:pPr>
        <w:rPr>
          <w:i/>
          <w:szCs w:val="20"/>
          <w:u w:val="single"/>
        </w:rPr>
      </w:pPr>
      <w:r w:rsidRPr="00454E15">
        <w:rPr>
          <w:i/>
          <w:szCs w:val="20"/>
          <w:u w:val="single"/>
        </w:rPr>
        <w:t>Parameter 49:</w:t>
      </w:r>
    </w:p>
    <w:p w14:paraId="722DA357" w14:textId="49287095" w:rsidR="00CA149D" w:rsidRDefault="00CA149D" w:rsidP="0047121B">
      <w:r>
        <w:rPr>
          <w:szCs w:val="20"/>
        </w:rPr>
        <w:t xml:space="preserve">This parameter describes the eclipse state of the S/C in integer form, where no eclipse = 0, full eclipse (umbra) = 1, and partial eclipse (penumbra) = 2.  The umbra and penumbra geometry </w:t>
      </w:r>
      <w:proofErr w:type="gramStart"/>
      <w:r>
        <w:rPr>
          <w:szCs w:val="20"/>
        </w:rPr>
        <w:t>is</w:t>
      </w:r>
      <w:proofErr w:type="gramEnd"/>
      <w:r>
        <w:rPr>
          <w:szCs w:val="20"/>
        </w:rPr>
        <w:t xml:space="preserve"> depicted in </w:t>
      </w:r>
      <w:r>
        <w:rPr>
          <w:szCs w:val="20"/>
        </w:rPr>
        <w:fldChar w:fldCharType="begin"/>
      </w:r>
      <w:r>
        <w:rPr>
          <w:szCs w:val="20"/>
        </w:rPr>
        <w:instrText xml:space="preserve"> REF _Ref86751868 \h  \* MERGEFORMAT </w:instrText>
      </w:r>
      <w:r>
        <w:rPr>
          <w:szCs w:val="20"/>
        </w:rPr>
      </w:r>
      <w:r>
        <w:rPr>
          <w:szCs w:val="20"/>
        </w:rPr>
        <w:fldChar w:fldCharType="separate"/>
      </w:r>
      <w:r w:rsidR="00FD3B19">
        <w:rPr>
          <w:b/>
          <w:bCs/>
          <w:szCs w:val="20"/>
        </w:rPr>
        <w:fldChar w:fldCharType="begin"/>
      </w:r>
      <w:r w:rsidR="00FD3B19">
        <w:rPr>
          <w:szCs w:val="20"/>
        </w:rPr>
        <w:instrText xml:space="preserve"> REF _Ref108511356 \h </w:instrText>
      </w:r>
      <w:r w:rsidR="00FD3B19">
        <w:rPr>
          <w:b/>
          <w:bCs/>
          <w:szCs w:val="20"/>
        </w:rPr>
      </w:r>
      <w:r w:rsidR="00FD3B19">
        <w:rPr>
          <w:b/>
          <w:bCs/>
          <w:szCs w:val="20"/>
        </w:rPr>
        <w:fldChar w:fldCharType="separate"/>
      </w:r>
      <w:r w:rsidR="00FD3B19">
        <w:t xml:space="preserve">Figure </w:t>
      </w:r>
      <w:r w:rsidR="00FD3B19">
        <w:rPr>
          <w:noProof/>
        </w:rPr>
        <w:t>6</w:t>
      </w:r>
      <w:r w:rsidR="00FD3B19">
        <w:rPr>
          <w:b/>
          <w:bCs/>
          <w:szCs w:val="20"/>
        </w:rPr>
        <w:fldChar w:fldCharType="end"/>
      </w:r>
      <w:r>
        <w:rPr>
          <w:szCs w:val="20"/>
        </w:rPr>
        <w:fldChar w:fldCharType="end"/>
      </w:r>
      <w:r>
        <w:rPr>
          <w:szCs w:val="20"/>
        </w:rPr>
        <w:t xml:space="preserve">.  Recall </w:t>
      </w:r>
      <w:r w:rsidRPr="00447D21">
        <w:rPr>
          <w:szCs w:val="20"/>
        </w:rPr>
        <w:t>S, T and C are the center of mass</w:t>
      </w:r>
      <w:r>
        <w:rPr>
          <w:szCs w:val="20"/>
        </w:rPr>
        <w:t xml:space="preserve"> </w:t>
      </w:r>
      <w:r w:rsidRPr="00447D21">
        <w:rPr>
          <w:szCs w:val="20"/>
        </w:rPr>
        <w:t>of the Sun, Earth, and spacecraft, respectively.</w:t>
      </w:r>
      <w:r>
        <w:rPr>
          <w:szCs w:val="20"/>
        </w:rPr>
        <w:t xml:space="preserve"> </w:t>
      </w:r>
      <w:r w:rsidRPr="00447D21">
        <w:rPr>
          <w:szCs w:val="20"/>
        </w:rPr>
        <w:t>The gray lines are tangent to the surfaces of</w:t>
      </w:r>
      <w:r>
        <w:rPr>
          <w:szCs w:val="20"/>
        </w:rPr>
        <w:t xml:space="preserve"> </w:t>
      </w:r>
      <w:r w:rsidRPr="00447D21">
        <w:rPr>
          <w:szCs w:val="20"/>
        </w:rPr>
        <w:t>the Sun and Earth. These lines behind the Earth</w:t>
      </w:r>
      <w:r>
        <w:rPr>
          <w:szCs w:val="20"/>
        </w:rPr>
        <w:t xml:space="preserve"> </w:t>
      </w:r>
      <w:r w:rsidRPr="00447D21">
        <w:rPr>
          <w:szCs w:val="20"/>
        </w:rPr>
        <w:t>define the umbra and penumbra regions.</w:t>
      </w:r>
      <w:r>
        <w:rPr>
          <w:szCs w:val="20"/>
        </w:rPr>
        <w:t xml:space="preserve">  </w:t>
      </w:r>
      <w:r w:rsidR="00787CE8">
        <w:rPr>
          <w:szCs w:val="20"/>
        </w:rPr>
        <w:fldChar w:fldCharType="begin"/>
      </w:r>
      <w:r w:rsidR="00787CE8">
        <w:rPr>
          <w:szCs w:val="20"/>
        </w:rPr>
        <w:instrText xml:space="preserve"> REF _Ref108511356 \h </w:instrText>
      </w:r>
      <w:r w:rsidR="00787CE8">
        <w:rPr>
          <w:szCs w:val="20"/>
        </w:rPr>
      </w:r>
      <w:r w:rsidR="00787CE8">
        <w:rPr>
          <w:szCs w:val="20"/>
        </w:rPr>
        <w:fldChar w:fldCharType="separate"/>
      </w:r>
      <w:r w:rsidR="00FD3B19">
        <w:t xml:space="preserve">Figure </w:t>
      </w:r>
      <w:r w:rsidR="00FD3B19">
        <w:rPr>
          <w:noProof/>
        </w:rPr>
        <w:t>6</w:t>
      </w:r>
      <w:r w:rsidR="00787CE8">
        <w:rPr>
          <w:szCs w:val="20"/>
        </w:rPr>
        <w:fldChar w:fldCharType="end"/>
      </w:r>
      <w:r w:rsidR="00787CE8">
        <w:rPr>
          <w:szCs w:val="20"/>
        </w:rPr>
        <w:t xml:space="preserve"> </w:t>
      </w:r>
      <w:r>
        <w:rPr>
          <w:szCs w:val="20"/>
        </w:rPr>
        <w:t>shows the geometry of the satellite at the edge of the Earth’s umbra/penumbra (left) and in full sunlight (right).  Recall t</w:t>
      </w:r>
      <w:r w:rsidRPr="001339D3">
        <w:rPr>
          <w:szCs w:val="20"/>
        </w:rPr>
        <w:t>he angle between the spacecraft zenith, C</w:t>
      </w:r>
      <w:r>
        <w:rPr>
          <w:szCs w:val="20"/>
        </w:rPr>
        <w:t xml:space="preserve"> </w:t>
      </w:r>
      <w:r w:rsidRPr="001339D3">
        <w:rPr>
          <w:szCs w:val="20"/>
        </w:rPr>
        <w:t xml:space="preserve">and S </w:t>
      </w:r>
      <w:r>
        <w:rPr>
          <w:szCs w:val="20"/>
        </w:rPr>
        <w:t xml:space="preserve">is the SZA </w:t>
      </w:r>
      <w:r>
        <w:rPr>
          <w:szCs w:val="20"/>
        </w:rPr>
        <w:sym w:font="Symbol" w:char="F061"/>
      </w:r>
      <w:r w:rsidRPr="001339D3">
        <w:rPr>
          <w:szCs w:val="20"/>
        </w:rPr>
        <w:t>.</w:t>
      </w:r>
      <w:r>
        <w:rPr>
          <w:szCs w:val="20"/>
        </w:rPr>
        <w:t xml:space="preserve"> </w:t>
      </w:r>
      <w:r w:rsidRPr="001339D3">
        <w:rPr>
          <w:szCs w:val="20"/>
        </w:rPr>
        <w:t xml:space="preserve">The supplementary angle of </w:t>
      </w:r>
      <w:r>
        <w:rPr>
          <w:szCs w:val="20"/>
        </w:rPr>
        <w:t xml:space="preserve">the SZA </w:t>
      </w:r>
      <w:r w:rsidRPr="001339D3">
        <w:rPr>
          <w:szCs w:val="20"/>
        </w:rPr>
        <w:t xml:space="preserve">is the angle </w:t>
      </w:r>
      <w:r>
        <w:rPr>
          <w:szCs w:val="20"/>
        </w:rPr>
        <w:sym w:font="Symbol" w:char="F071"/>
      </w:r>
      <w:r>
        <w:rPr>
          <w:szCs w:val="20"/>
        </w:rPr>
        <w:t xml:space="preserve"> = </w:t>
      </w:r>
      <w:r>
        <w:rPr>
          <w:szCs w:val="20"/>
        </w:rPr>
        <w:sym w:font="Symbol" w:char="F070"/>
      </w:r>
      <w:r>
        <w:rPr>
          <w:szCs w:val="20"/>
        </w:rPr>
        <w:t xml:space="preserve"> - </w:t>
      </w:r>
      <w:r>
        <w:rPr>
          <w:szCs w:val="20"/>
        </w:rPr>
        <w:sym w:font="Symbol" w:char="F061"/>
      </w:r>
      <w:r>
        <w:rPr>
          <w:szCs w:val="20"/>
        </w:rPr>
        <w:t xml:space="preserve">. The half-apex angle of the cone defined by the solar surface and apex at point C is given by </w:t>
      </w:r>
      <w:r>
        <w:rPr>
          <w:szCs w:val="20"/>
        </w:rPr>
        <w:sym w:font="Symbol" w:char="F064"/>
      </w:r>
      <w:r>
        <w:rPr>
          <w:szCs w:val="20"/>
        </w:rPr>
        <w:t xml:space="preserve"> = sin</w:t>
      </w:r>
      <w:r w:rsidRPr="00E774E9">
        <w:rPr>
          <w:szCs w:val="20"/>
          <w:vertAlign w:val="superscript"/>
        </w:rPr>
        <w:t>-1</w:t>
      </w:r>
      <w:r>
        <w:rPr>
          <w:szCs w:val="20"/>
        </w:rPr>
        <w:t>(R</w:t>
      </w:r>
      <w:r w:rsidRPr="00E774E9">
        <w:rPr>
          <w:szCs w:val="20"/>
          <w:vertAlign w:val="subscript"/>
        </w:rPr>
        <w:t>s</w:t>
      </w:r>
      <w:r>
        <w:rPr>
          <w:szCs w:val="20"/>
        </w:rPr>
        <w:t>/d</w:t>
      </w:r>
      <w:r w:rsidRPr="00E774E9">
        <w:rPr>
          <w:szCs w:val="20"/>
          <w:vertAlign w:val="subscript"/>
        </w:rPr>
        <w:t>s</w:t>
      </w:r>
      <w:r>
        <w:rPr>
          <w:szCs w:val="20"/>
        </w:rPr>
        <w:t xml:space="preserve">), where </w:t>
      </w:r>
      <w:r w:rsidRPr="001339D3">
        <w:rPr>
          <w:szCs w:val="20"/>
        </w:rPr>
        <w:t>R</w:t>
      </w:r>
      <w:r w:rsidRPr="00E774E9">
        <w:rPr>
          <w:szCs w:val="20"/>
          <w:vertAlign w:val="subscript"/>
        </w:rPr>
        <w:t>S</w:t>
      </w:r>
      <w:r w:rsidRPr="001339D3">
        <w:rPr>
          <w:szCs w:val="20"/>
        </w:rPr>
        <w:t xml:space="preserve"> </w:t>
      </w:r>
      <w:r>
        <w:rPr>
          <w:szCs w:val="20"/>
        </w:rPr>
        <w:t>i</w:t>
      </w:r>
      <w:r w:rsidRPr="001339D3">
        <w:rPr>
          <w:szCs w:val="20"/>
        </w:rPr>
        <w:t>s the radius of the Sun</w:t>
      </w:r>
      <w:r>
        <w:rPr>
          <w:szCs w:val="20"/>
        </w:rPr>
        <w:t xml:space="preserve"> </w:t>
      </w:r>
      <w:r w:rsidRPr="001339D3">
        <w:rPr>
          <w:szCs w:val="20"/>
        </w:rPr>
        <w:t xml:space="preserve">and </w:t>
      </w:r>
      <w:proofErr w:type="spellStart"/>
      <w:r w:rsidRPr="001339D3">
        <w:rPr>
          <w:szCs w:val="20"/>
        </w:rPr>
        <w:t>d</w:t>
      </w:r>
      <w:r w:rsidRPr="00E774E9">
        <w:rPr>
          <w:szCs w:val="20"/>
          <w:vertAlign w:val="subscript"/>
        </w:rPr>
        <w:t>S</w:t>
      </w:r>
      <w:proofErr w:type="spellEnd"/>
      <w:r>
        <w:rPr>
          <w:szCs w:val="20"/>
          <w:vertAlign w:val="subscript"/>
        </w:rPr>
        <w:t xml:space="preserve"> </w:t>
      </w:r>
      <w:r>
        <w:rPr>
          <w:szCs w:val="20"/>
        </w:rPr>
        <w:t>i</w:t>
      </w:r>
      <w:r w:rsidRPr="001339D3">
        <w:rPr>
          <w:szCs w:val="20"/>
        </w:rPr>
        <w:t xml:space="preserve">s the distance between C and S. </w:t>
      </w:r>
      <w:r>
        <w:rPr>
          <w:szCs w:val="20"/>
        </w:rPr>
        <w:t xml:space="preserve">Similarly, </w:t>
      </w:r>
      <w:r>
        <w:rPr>
          <w:szCs w:val="20"/>
        </w:rPr>
        <w:sym w:font="Symbol" w:char="F062"/>
      </w:r>
      <w:r>
        <w:rPr>
          <w:szCs w:val="20"/>
        </w:rPr>
        <w:t xml:space="preserve"> = sin</w:t>
      </w:r>
      <w:r w:rsidRPr="007E2914">
        <w:rPr>
          <w:szCs w:val="20"/>
          <w:vertAlign w:val="superscript"/>
        </w:rPr>
        <w:t>-1</w:t>
      </w:r>
      <w:r>
        <w:rPr>
          <w:szCs w:val="20"/>
        </w:rPr>
        <w:t>(R</w:t>
      </w:r>
      <w:r w:rsidRPr="007E2914">
        <w:rPr>
          <w:szCs w:val="20"/>
          <w:vertAlign w:val="subscript"/>
        </w:rPr>
        <w:t>T</w:t>
      </w:r>
      <w:r>
        <w:rPr>
          <w:szCs w:val="20"/>
        </w:rPr>
        <w:t>/d</w:t>
      </w:r>
      <w:r w:rsidRPr="007E2914">
        <w:rPr>
          <w:szCs w:val="20"/>
          <w:vertAlign w:val="subscript"/>
        </w:rPr>
        <w:t>T</w:t>
      </w:r>
      <w:r>
        <w:rPr>
          <w:szCs w:val="20"/>
        </w:rPr>
        <w:t>), where R</w:t>
      </w:r>
      <w:r w:rsidRPr="007E2914">
        <w:rPr>
          <w:szCs w:val="20"/>
          <w:vertAlign w:val="subscript"/>
        </w:rPr>
        <w:t>T</w:t>
      </w:r>
      <w:r>
        <w:rPr>
          <w:szCs w:val="20"/>
        </w:rPr>
        <w:t xml:space="preserve"> is the radius of the Earth and d</w:t>
      </w:r>
      <w:r w:rsidRPr="007E2914">
        <w:rPr>
          <w:szCs w:val="20"/>
          <w:vertAlign w:val="subscript"/>
        </w:rPr>
        <w:t>T</w:t>
      </w:r>
      <w:r>
        <w:rPr>
          <w:szCs w:val="20"/>
        </w:rPr>
        <w:t xml:space="preserve"> is the distance between C and T.  </w:t>
      </w:r>
      <w:r w:rsidRPr="007E2914">
        <w:rPr>
          <w:szCs w:val="20"/>
        </w:rPr>
        <w:t>Then</w:t>
      </w:r>
      <w:r>
        <w:rPr>
          <w:szCs w:val="20"/>
        </w:rPr>
        <w:t xml:space="preserve"> we have three eclipse conditions defined as follows: 1)</w:t>
      </w:r>
      <w:r w:rsidRPr="007E2914">
        <w:rPr>
          <w:szCs w:val="20"/>
        </w:rPr>
        <w:t xml:space="preserve"> C is outside the umbra and penumbra</w:t>
      </w:r>
      <w:r>
        <w:rPr>
          <w:szCs w:val="20"/>
        </w:rPr>
        <w:t xml:space="preserve"> </w:t>
      </w:r>
      <w:r w:rsidRPr="007E2914">
        <w:rPr>
          <w:szCs w:val="20"/>
        </w:rPr>
        <w:t>if</w:t>
      </w:r>
      <w:r>
        <w:rPr>
          <w:szCs w:val="20"/>
        </w:rPr>
        <w:t xml:space="preserve"> </w:t>
      </w:r>
      <w:r>
        <w:rPr>
          <w:szCs w:val="20"/>
        </w:rPr>
        <w:sym w:font="Symbol" w:char="F071"/>
      </w:r>
      <w:r>
        <w:rPr>
          <w:szCs w:val="20"/>
        </w:rPr>
        <w:t xml:space="preserve"> &gt; </w:t>
      </w:r>
      <w:r>
        <w:rPr>
          <w:szCs w:val="20"/>
        </w:rPr>
        <w:sym w:font="Symbol" w:char="F062"/>
      </w:r>
      <w:r>
        <w:rPr>
          <w:szCs w:val="20"/>
        </w:rPr>
        <w:t xml:space="preserve"> + </w:t>
      </w:r>
      <w:r>
        <w:rPr>
          <w:szCs w:val="20"/>
        </w:rPr>
        <w:sym w:font="Symbol" w:char="F064"/>
      </w:r>
      <w:r>
        <w:rPr>
          <w:szCs w:val="20"/>
        </w:rPr>
        <w:t xml:space="preserve">; 2) C is inside the umbra if </w:t>
      </w:r>
      <w:r>
        <w:rPr>
          <w:szCs w:val="20"/>
        </w:rPr>
        <w:sym w:font="Symbol" w:char="F071"/>
      </w:r>
      <w:r>
        <w:rPr>
          <w:szCs w:val="20"/>
        </w:rPr>
        <w:t xml:space="preserve"> + </w:t>
      </w:r>
      <w:r>
        <w:rPr>
          <w:szCs w:val="20"/>
        </w:rPr>
        <w:sym w:font="Symbol" w:char="F064"/>
      </w:r>
      <w:r>
        <w:rPr>
          <w:szCs w:val="20"/>
        </w:rPr>
        <w:t xml:space="preserve"> </w:t>
      </w:r>
      <w:r>
        <w:rPr>
          <w:szCs w:val="20"/>
        </w:rPr>
        <w:sym w:font="Symbol" w:char="F0A3"/>
      </w:r>
      <w:r>
        <w:rPr>
          <w:szCs w:val="20"/>
        </w:rPr>
        <w:t xml:space="preserve"> </w:t>
      </w:r>
      <w:r>
        <w:rPr>
          <w:szCs w:val="20"/>
        </w:rPr>
        <w:sym w:font="Symbol" w:char="F062"/>
      </w:r>
      <w:r>
        <w:rPr>
          <w:szCs w:val="20"/>
        </w:rPr>
        <w:t>; and 3) C is inside the penumbra otherwise.</w:t>
      </w:r>
    </w:p>
    <w:p w14:paraId="0A782035" w14:textId="4E233279" w:rsidR="00A965FE" w:rsidRDefault="00BF19DA" w:rsidP="00BF19DA">
      <w:pPr>
        <w:pStyle w:val="Heading1"/>
      </w:pPr>
      <w:r>
        <w:t xml:space="preserve"> </w:t>
      </w:r>
      <w:r w:rsidR="00586913">
        <w:t>Data access</w:t>
      </w:r>
    </w:p>
    <w:p w14:paraId="412953E9" w14:textId="3459688B" w:rsidR="00FB7EEA" w:rsidRDefault="00586913" w:rsidP="00FB7EEA">
      <w:r w:rsidRPr="00586913">
        <w:t xml:space="preserve">The EMBRACE program is based on </w:t>
      </w:r>
      <w:proofErr w:type="gramStart"/>
      <w:r w:rsidRPr="00586913">
        <w:t>open source</w:t>
      </w:r>
      <w:proofErr w:type="gramEnd"/>
      <w:r w:rsidRPr="00586913">
        <w:t xml:space="preserve"> data policy. It is structured to run a network of sensors on the ground and has already included initiatives involving space-based instruments through cooperative engagements.  For example, EMBRACE cooperated with NOAA to provide a downlink system for COSMIC 2.   The SPORT data processed and disseminated by EMBRACE will continue this </w:t>
      </w:r>
      <w:proofErr w:type="gramStart"/>
      <w:r w:rsidRPr="00586913">
        <w:t>open source</w:t>
      </w:r>
      <w:proofErr w:type="gramEnd"/>
      <w:r w:rsidRPr="00586913">
        <w:t xml:space="preserve"> policy.</w:t>
      </w:r>
    </w:p>
    <w:p w14:paraId="4664B829" w14:textId="5D576A09" w:rsidR="00586913" w:rsidRDefault="00586913" w:rsidP="00586913">
      <w:r>
        <w:t>SPORT S/C Science Data are actually stored at two facilities: EMBRACE and NASA GSFC’s Space Physics Data Facility (SPDF).  Only Levels 2 and 3 data products will be archived at GSFC.  As the GSFC site is considered to be a mirror archive site, the majority of the information in this Section is focused on the EMBRACE facilities.</w:t>
      </w:r>
    </w:p>
    <w:p w14:paraId="5D521248" w14:textId="5934EAF3" w:rsidR="00531406" w:rsidRDefault="00586913" w:rsidP="00B67BA7">
      <w:r>
        <w:t xml:space="preserve">The EMBRACE web-site is organized to offer a clear communication with users. It prompts the activity indices of the space weather environment in the first page. It offers graphical user interface to visualize and obtain the data. It is open to innovation with infrastructure of computation for new ideas on dealing with data and models for users that want to collaborate.  </w:t>
      </w:r>
    </w:p>
    <w:p w14:paraId="5E264BE2" w14:textId="0B8FC4EB" w:rsidR="0047121B" w:rsidRDefault="0047121B" w:rsidP="0047121B">
      <w:pPr>
        <w:pStyle w:val="Heading1"/>
      </w:pPr>
      <w:r>
        <w:t>Conclusion</w:t>
      </w:r>
    </w:p>
    <w:p w14:paraId="2FFCE748" w14:textId="18C7AA32" w:rsidR="00271491" w:rsidRDefault="0047121B" w:rsidP="00B67BA7">
      <w:r>
        <w:t>The SPORT 6U CubeSat mission is instrumented with a set of space environment sensors that</w:t>
      </w:r>
      <w:r w:rsidR="00271491">
        <w:t xml:space="preserve"> provides a rich set of ionospheric data tailored to the investigation of equatorial plasma bubbles (EPBs) and associated ionospheric scintillation of GPS signals.  The detailed parameters listed in this paper make it possible to conduct research on large-scale EPBs when combined with other measurements from ground- and space-based observatories.  </w:t>
      </w:r>
      <w:r w:rsidR="009B65B2">
        <w:t>In addition to the improvement of ionospheric EPB statistical occurrence models, specifically with respect to longitudinal effects, c</w:t>
      </w:r>
      <w:r w:rsidR="00271491">
        <w:t xml:space="preserve">oordinated campaigns </w:t>
      </w:r>
      <w:r w:rsidR="009B65B2">
        <w:t xml:space="preserve">for enhanced science return </w:t>
      </w:r>
      <w:r w:rsidR="00271491">
        <w:t>will be conducted within the broader space weather community.</w:t>
      </w:r>
    </w:p>
    <w:p w14:paraId="30942F6C" w14:textId="77777777" w:rsidR="00005E3E" w:rsidRDefault="00005E3E" w:rsidP="0047121B">
      <w:pPr>
        <w:pStyle w:val="Heading1"/>
      </w:pPr>
      <w:r>
        <w:t>Acknowledgments</w:t>
      </w:r>
    </w:p>
    <w:p w14:paraId="3FEC0A51" w14:textId="4D8E596B" w:rsidR="00005E3E" w:rsidRDefault="00492A98" w:rsidP="00005E3E">
      <w:r>
        <w:t>The Authors would like to thank NASA Science Mission Directorate, SOUTHCOM, and the Brazilian Government for funding the SPORT Mission.</w:t>
      </w:r>
    </w:p>
    <w:p w14:paraId="56154EF8" w14:textId="0A8370F0" w:rsidR="00AE204B" w:rsidRPr="00AE204B" w:rsidRDefault="00005E3E" w:rsidP="00AE204B">
      <w:pPr>
        <w:pStyle w:val="Heading1"/>
      </w:pPr>
      <w:r>
        <w:t xml:space="preserve">References </w:t>
      </w:r>
    </w:p>
    <w:p w14:paraId="7621BB46" w14:textId="77777777" w:rsidR="00492A98" w:rsidRDefault="00492A98" w:rsidP="00AE204B">
      <w:pPr>
        <w:pBdr>
          <w:top w:val="nil"/>
          <w:left w:val="nil"/>
          <w:bottom w:val="nil"/>
          <w:right w:val="nil"/>
          <w:between w:val="nil"/>
        </w:pBdr>
        <w:spacing w:before="0"/>
        <w:ind w:left="360" w:hanging="360"/>
        <w:rPr>
          <w:color w:val="000000"/>
        </w:rPr>
      </w:pPr>
      <w:proofErr w:type="spellStart"/>
      <w:r w:rsidRPr="006921BD">
        <w:rPr>
          <w:color w:val="000000"/>
        </w:rPr>
        <w:t>Alken</w:t>
      </w:r>
      <w:proofErr w:type="spellEnd"/>
      <w:r w:rsidRPr="006921BD">
        <w:rPr>
          <w:color w:val="000000"/>
        </w:rPr>
        <w:t xml:space="preserve">, P., </w:t>
      </w:r>
      <w:proofErr w:type="spellStart"/>
      <w:r w:rsidRPr="006921BD">
        <w:rPr>
          <w:color w:val="000000"/>
        </w:rPr>
        <w:t>Thébault</w:t>
      </w:r>
      <w:proofErr w:type="spellEnd"/>
      <w:r w:rsidRPr="006921BD">
        <w:rPr>
          <w:color w:val="000000"/>
        </w:rPr>
        <w:t xml:space="preserve">, E., </w:t>
      </w:r>
      <w:proofErr w:type="spellStart"/>
      <w:r w:rsidRPr="006921BD">
        <w:rPr>
          <w:color w:val="000000"/>
        </w:rPr>
        <w:t>Beggan</w:t>
      </w:r>
      <w:proofErr w:type="spellEnd"/>
      <w:r w:rsidRPr="006921BD">
        <w:rPr>
          <w:color w:val="000000"/>
        </w:rPr>
        <w:t>, C.D. et al. International Geomagnetic Reference Field: the thirteenth generation. Earth Planets Space 73, 49 (2021</w:t>
      </w:r>
      <w:r>
        <w:rPr>
          <w:color w:val="000000"/>
        </w:rPr>
        <w:t>a</w:t>
      </w:r>
      <w:r w:rsidRPr="006921BD">
        <w:rPr>
          <w:color w:val="000000"/>
        </w:rPr>
        <w:t>).</w:t>
      </w:r>
    </w:p>
    <w:p w14:paraId="071A68AA" w14:textId="77777777" w:rsidR="00492A98" w:rsidRDefault="00492A98" w:rsidP="00AE204B">
      <w:pPr>
        <w:pBdr>
          <w:top w:val="nil"/>
          <w:left w:val="nil"/>
          <w:bottom w:val="nil"/>
          <w:right w:val="nil"/>
          <w:between w:val="nil"/>
        </w:pBdr>
        <w:spacing w:before="0"/>
        <w:ind w:left="360" w:hanging="360"/>
        <w:rPr>
          <w:color w:val="000000"/>
        </w:rPr>
      </w:pPr>
      <w:proofErr w:type="spellStart"/>
      <w:r w:rsidRPr="004C424A">
        <w:rPr>
          <w:color w:val="000000"/>
        </w:rPr>
        <w:t>Alken</w:t>
      </w:r>
      <w:proofErr w:type="spellEnd"/>
      <w:r w:rsidRPr="004C424A">
        <w:rPr>
          <w:color w:val="000000"/>
        </w:rPr>
        <w:t xml:space="preserve">, Patrick, </w:t>
      </w:r>
      <w:proofErr w:type="spellStart"/>
      <w:r w:rsidRPr="004C424A">
        <w:rPr>
          <w:color w:val="000000"/>
        </w:rPr>
        <w:t>Erwan</w:t>
      </w:r>
      <w:proofErr w:type="spellEnd"/>
      <w:r w:rsidRPr="004C424A">
        <w:rPr>
          <w:color w:val="000000"/>
        </w:rPr>
        <w:t xml:space="preserve"> </w:t>
      </w:r>
      <w:proofErr w:type="spellStart"/>
      <w:r w:rsidRPr="004C424A">
        <w:rPr>
          <w:color w:val="000000"/>
        </w:rPr>
        <w:t>Thebault</w:t>
      </w:r>
      <w:proofErr w:type="spellEnd"/>
      <w:r w:rsidRPr="004C424A">
        <w:rPr>
          <w:color w:val="000000"/>
        </w:rPr>
        <w:t xml:space="preserve">, C. D. </w:t>
      </w:r>
      <w:proofErr w:type="spellStart"/>
      <w:r w:rsidRPr="004C424A">
        <w:rPr>
          <w:color w:val="000000"/>
        </w:rPr>
        <w:t>Beggan</w:t>
      </w:r>
      <w:proofErr w:type="spellEnd"/>
      <w:r w:rsidRPr="004C424A">
        <w:rPr>
          <w:color w:val="000000"/>
        </w:rPr>
        <w:t xml:space="preserve">, Julien Aubert, Julien </w:t>
      </w:r>
      <w:proofErr w:type="spellStart"/>
      <w:r w:rsidRPr="004C424A">
        <w:rPr>
          <w:color w:val="000000"/>
        </w:rPr>
        <w:t>Baerenzung</w:t>
      </w:r>
      <w:proofErr w:type="spellEnd"/>
      <w:r w:rsidRPr="004C424A">
        <w:rPr>
          <w:color w:val="000000"/>
        </w:rPr>
        <w:t xml:space="preserve">, William J. Brown, S. </w:t>
      </w:r>
      <w:proofErr w:type="spellStart"/>
      <w:r w:rsidRPr="004C424A">
        <w:rPr>
          <w:color w:val="000000"/>
        </w:rPr>
        <w:t>Califf</w:t>
      </w:r>
      <w:proofErr w:type="spellEnd"/>
      <w:r w:rsidRPr="004C424A">
        <w:rPr>
          <w:color w:val="000000"/>
        </w:rPr>
        <w:t xml:space="preserve"> et al. "Evaluation of candidate models for the 13th generation International Geomagnetic Reference Field." Earth, Planets and Space 73, no. 1 (2021</w:t>
      </w:r>
      <w:r>
        <w:rPr>
          <w:color w:val="000000"/>
        </w:rPr>
        <w:t>b</w:t>
      </w:r>
      <w:r w:rsidRPr="004C424A">
        <w:rPr>
          <w:color w:val="000000"/>
        </w:rPr>
        <w:t>): 1-21.</w:t>
      </w:r>
    </w:p>
    <w:p w14:paraId="1B2DFB88" w14:textId="77777777" w:rsidR="00492A98" w:rsidRDefault="00492A98" w:rsidP="00AE204B">
      <w:pPr>
        <w:pBdr>
          <w:top w:val="nil"/>
          <w:left w:val="nil"/>
          <w:bottom w:val="nil"/>
          <w:right w:val="nil"/>
          <w:between w:val="nil"/>
        </w:pBdr>
        <w:tabs>
          <w:tab w:val="right" w:pos="10224"/>
        </w:tabs>
        <w:spacing w:before="0"/>
        <w:ind w:left="360" w:hanging="360"/>
        <w:rPr>
          <w:color w:val="000000"/>
        </w:rPr>
      </w:pPr>
      <w:r>
        <w:rPr>
          <w:color w:val="000000"/>
        </w:rPr>
        <w:t xml:space="preserve">CCSDS, </w:t>
      </w:r>
      <w:r w:rsidRPr="00F66966">
        <w:rPr>
          <w:color w:val="000000"/>
        </w:rPr>
        <w:t>Report Concerning Space Data System Standards</w:t>
      </w:r>
      <w:r>
        <w:rPr>
          <w:color w:val="000000"/>
        </w:rPr>
        <w:t>, Navigation Data – Definitions a</w:t>
      </w:r>
      <w:r w:rsidRPr="00F66966">
        <w:rPr>
          <w:color w:val="000000"/>
        </w:rPr>
        <w:t>nd</w:t>
      </w:r>
      <w:r>
        <w:rPr>
          <w:color w:val="000000"/>
        </w:rPr>
        <w:t xml:space="preserve"> </w:t>
      </w:r>
      <w:r w:rsidRPr="00F66966">
        <w:rPr>
          <w:color w:val="000000"/>
        </w:rPr>
        <w:t>Conventions</w:t>
      </w:r>
      <w:r>
        <w:rPr>
          <w:color w:val="000000"/>
        </w:rPr>
        <w:t xml:space="preserve">, </w:t>
      </w:r>
      <w:r w:rsidRPr="00F66966">
        <w:rPr>
          <w:color w:val="000000"/>
        </w:rPr>
        <w:t xml:space="preserve">CCSDS </w:t>
      </w:r>
      <w:r>
        <w:rPr>
          <w:color w:val="000000"/>
        </w:rPr>
        <w:t xml:space="preserve">Green Book </w:t>
      </w:r>
      <w:r w:rsidRPr="00F66966">
        <w:rPr>
          <w:color w:val="000000"/>
        </w:rPr>
        <w:t>500.0-G-4</w:t>
      </w:r>
      <w:r>
        <w:rPr>
          <w:color w:val="000000"/>
        </w:rPr>
        <w:t>, 2019.</w:t>
      </w:r>
    </w:p>
    <w:p w14:paraId="4E17459B" w14:textId="77777777" w:rsidR="00492A98" w:rsidRDefault="00492A98" w:rsidP="00AE204B">
      <w:pPr>
        <w:pBdr>
          <w:top w:val="nil"/>
          <w:left w:val="nil"/>
          <w:bottom w:val="nil"/>
          <w:right w:val="nil"/>
          <w:between w:val="nil"/>
        </w:pBdr>
        <w:spacing w:before="0"/>
        <w:ind w:left="360" w:hanging="360"/>
        <w:rPr>
          <w:color w:val="000000"/>
        </w:rPr>
      </w:pPr>
      <w:r w:rsidRPr="00DF32CA">
        <w:rPr>
          <w:color w:val="000000"/>
        </w:rPr>
        <w:t xml:space="preserve">Cai, </w:t>
      </w:r>
      <w:proofErr w:type="spellStart"/>
      <w:r w:rsidRPr="00DF32CA">
        <w:rPr>
          <w:color w:val="000000"/>
        </w:rPr>
        <w:t>Guowei</w:t>
      </w:r>
      <w:proofErr w:type="spellEnd"/>
      <w:r w:rsidRPr="00DF32CA">
        <w:rPr>
          <w:color w:val="000000"/>
        </w:rPr>
        <w:t>, Ben M. Chen, and Tong Heng Lee. "Coordinate systems and transformations." In Unmanned rotorcraft systems, pp. 23-34. Springer, London, 2011.</w:t>
      </w:r>
    </w:p>
    <w:p w14:paraId="6DD623CC" w14:textId="77777777" w:rsidR="00492A98" w:rsidRDefault="00492A98" w:rsidP="00AE204B">
      <w:pPr>
        <w:pBdr>
          <w:top w:val="nil"/>
          <w:left w:val="nil"/>
          <w:bottom w:val="nil"/>
          <w:right w:val="nil"/>
          <w:between w:val="nil"/>
        </w:pBdr>
        <w:spacing w:before="0"/>
        <w:ind w:left="360" w:hanging="360"/>
        <w:rPr>
          <w:color w:val="000000"/>
        </w:rPr>
      </w:pPr>
      <w:r w:rsidRPr="0065447C">
        <w:rPr>
          <w:color w:val="000000"/>
        </w:rPr>
        <w:t xml:space="preserve">Drake, Samuel </w:t>
      </w:r>
      <w:proofErr w:type="spellStart"/>
      <w:r w:rsidRPr="0065447C">
        <w:rPr>
          <w:color w:val="000000"/>
        </w:rPr>
        <w:t>Picton</w:t>
      </w:r>
      <w:proofErr w:type="spellEnd"/>
      <w:r w:rsidRPr="0065447C">
        <w:rPr>
          <w:color w:val="000000"/>
        </w:rPr>
        <w:t>. "Converting GPS coordinates [phi, lambda, h] to navigation coordinates (ENU)." (2002).</w:t>
      </w:r>
    </w:p>
    <w:p w14:paraId="4B2836CE" w14:textId="77777777" w:rsidR="00492A98" w:rsidRPr="00392F1D" w:rsidRDefault="00492A98" w:rsidP="00AE204B">
      <w:pPr>
        <w:pBdr>
          <w:top w:val="nil"/>
          <w:left w:val="nil"/>
          <w:bottom w:val="nil"/>
          <w:right w:val="nil"/>
          <w:between w:val="nil"/>
        </w:pBdr>
        <w:spacing w:before="0"/>
        <w:ind w:left="360" w:hanging="360"/>
        <w:rPr>
          <w:color w:val="000000"/>
        </w:rPr>
      </w:pPr>
      <w:r w:rsidRPr="00392F1D">
        <w:rPr>
          <w:color w:val="000000"/>
        </w:rPr>
        <w:t>Klobuchar, 1987, Ionospheric time-delay algorithm for single-frequency GPS users, IEEE Transactions on Aerospace and Electronic Systems, p325-331</w:t>
      </w:r>
    </w:p>
    <w:p w14:paraId="60CB53AD" w14:textId="77777777" w:rsidR="00492A98" w:rsidRDefault="00492A98" w:rsidP="00AE204B">
      <w:pPr>
        <w:pBdr>
          <w:top w:val="nil"/>
          <w:left w:val="nil"/>
          <w:bottom w:val="nil"/>
          <w:right w:val="nil"/>
          <w:between w:val="nil"/>
        </w:pBdr>
        <w:spacing w:before="0"/>
        <w:ind w:left="360" w:hanging="360"/>
        <w:rPr>
          <w:color w:val="000000"/>
        </w:rPr>
      </w:pPr>
      <w:r w:rsidRPr="001B39C1">
        <w:rPr>
          <w:color w:val="000000"/>
        </w:rPr>
        <w:t xml:space="preserve">Kumar, </w:t>
      </w:r>
      <w:proofErr w:type="spellStart"/>
      <w:r w:rsidRPr="001B39C1">
        <w:rPr>
          <w:color w:val="000000"/>
        </w:rPr>
        <w:t>Muneendra</w:t>
      </w:r>
      <w:proofErr w:type="spellEnd"/>
      <w:r w:rsidRPr="001B39C1">
        <w:rPr>
          <w:color w:val="000000"/>
        </w:rPr>
        <w:t>. "World geodetic system 1984: A modern and accurate global reference frame." Marine Geodesy 12, no. 2 (1988): 117-126.</w:t>
      </w:r>
    </w:p>
    <w:p w14:paraId="735601B1" w14:textId="77777777" w:rsidR="00492A98" w:rsidRDefault="00492A98" w:rsidP="00AE204B">
      <w:pPr>
        <w:pBdr>
          <w:top w:val="nil"/>
          <w:left w:val="nil"/>
          <w:bottom w:val="nil"/>
          <w:right w:val="nil"/>
          <w:between w:val="nil"/>
        </w:pBdr>
        <w:spacing w:before="0"/>
        <w:ind w:left="360" w:hanging="360"/>
        <w:rPr>
          <w:color w:val="000000"/>
        </w:rPr>
      </w:pPr>
      <w:r w:rsidRPr="00DF32CA">
        <w:rPr>
          <w:color w:val="000000"/>
        </w:rPr>
        <w:t>Kumar, M. U. N. E. E. N. D. R. A. "Coordinate Frames."</w:t>
      </w:r>
      <w:r>
        <w:rPr>
          <w:color w:val="000000"/>
        </w:rPr>
        <w:t>, Sections II and III,</w:t>
      </w:r>
      <w:r w:rsidRPr="00DF32CA">
        <w:rPr>
          <w:color w:val="000000"/>
        </w:rPr>
        <w:t xml:space="preserve"> AGARDOGRAPH AGARD AG (1995): 7-7.</w:t>
      </w:r>
    </w:p>
    <w:p w14:paraId="458BC814" w14:textId="77777777" w:rsidR="00492A98" w:rsidRDefault="00492A98" w:rsidP="00AE204B">
      <w:pPr>
        <w:pBdr>
          <w:top w:val="nil"/>
          <w:left w:val="nil"/>
          <w:bottom w:val="nil"/>
          <w:right w:val="nil"/>
          <w:between w:val="nil"/>
        </w:pBdr>
        <w:spacing w:before="0"/>
        <w:ind w:left="360" w:hanging="360"/>
        <w:rPr>
          <w:color w:val="000000"/>
        </w:rPr>
      </w:pPr>
      <w:proofErr w:type="spellStart"/>
      <w:r w:rsidRPr="00392F1D">
        <w:rPr>
          <w:color w:val="000000"/>
        </w:rPr>
        <w:t>Lehtinen</w:t>
      </w:r>
      <w:proofErr w:type="spellEnd"/>
      <w:r w:rsidRPr="00392F1D">
        <w:rPr>
          <w:color w:val="000000"/>
        </w:rPr>
        <w:t xml:space="preserve">, </w:t>
      </w:r>
      <w:proofErr w:type="spellStart"/>
      <w:r w:rsidRPr="00392F1D">
        <w:rPr>
          <w:color w:val="000000"/>
        </w:rPr>
        <w:t>Mikko</w:t>
      </w:r>
      <w:proofErr w:type="spellEnd"/>
      <w:r w:rsidRPr="00392F1D">
        <w:rPr>
          <w:color w:val="000000"/>
        </w:rPr>
        <w:t xml:space="preserve">, Ari </w:t>
      </w:r>
      <w:proofErr w:type="spellStart"/>
      <w:r w:rsidRPr="00392F1D">
        <w:rPr>
          <w:color w:val="000000"/>
        </w:rPr>
        <w:t>Happonen</w:t>
      </w:r>
      <w:proofErr w:type="spellEnd"/>
      <w:r w:rsidRPr="00392F1D">
        <w:rPr>
          <w:color w:val="000000"/>
        </w:rPr>
        <w:t xml:space="preserve">, and </w:t>
      </w:r>
      <w:proofErr w:type="spellStart"/>
      <w:r w:rsidRPr="00392F1D">
        <w:rPr>
          <w:color w:val="000000"/>
        </w:rPr>
        <w:t>Jouni</w:t>
      </w:r>
      <w:proofErr w:type="spellEnd"/>
      <w:r w:rsidRPr="00392F1D">
        <w:rPr>
          <w:color w:val="000000"/>
        </w:rPr>
        <w:t xml:space="preserve"> </w:t>
      </w:r>
      <w:proofErr w:type="spellStart"/>
      <w:r w:rsidRPr="00392F1D">
        <w:rPr>
          <w:color w:val="000000"/>
        </w:rPr>
        <w:t>Ikonen</w:t>
      </w:r>
      <w:proofErr w:type="spellEnd"/>
      <w:r w:rsidRPr="00392F1D">
        <w:rPr>
          <w:color w:val="000000"/>
        </w:rPr>
        <w:t>. "Accuracy and time to first fix using consumer-grade GPS receivers." In </w:t>
      </w:r>
      <w:r w:rsidRPr="00392F1D">
        <w:rPr>
          <w:i/>
          <w:iCs/>
          <w:color w:val="000000"/>
        </w:rPr>
        <w:t>2008 16th International Conference on Software, Telecommunications and Computer Networks</w:t>
      </w:r>
      <w:r w:rsidRPr="00392F1D">
        <w:rPr>
          <w:color w:val="000000"/>
        </w:rPr>
        <w:t>, pp. 334-340. IEEE, 2008.</w:t>
      </w:r>
    </w:p>
    <w:p w14:paraId="1E878CF2" w14:textId="77777777" w:rsidR="00492A98" w:rsidRDefault="00492A98" w:rsidP="00AE204B">
      <w:pPr>
        <w:pBdr>
          <w:top w:val="nil"/>
          <w:left w:val="nil"/>
          <w:bottom w:val="nil"/>
          <w:right w:val="nil"/>
          <w:between w:val="nil"/>
        </w:pBdr>
        <w:spacing w:before="0"/>
        <w:ind w:left="360" w:hanging="360"/>
        <w:rPr>
          <w:color w:val="000000"/>
        </w:rPr>
      </w:pPr>
      <w:proofErr w:type="spellStart"/>
      <w:r w:rsidRPr="000669D0">
        <w:rPr>
          <w:color w:val="000000"/>
        </w:rPr>
        <w:t>Laundal</w:t>
      </w:r>
      <w:proofErr w:type="spellEnd"/>
      <w:r w:rsidRPr="000669D0">
        <w:rPr>
          <w:color w:val="000000"/>
        </w:rPr>
        <w:t>, Karl Magnus, and Arthur D. Richmond. "Magnetic coordinate systems." Space Science Reviews 206, no. 1-4 (2017): 27-59.</w:t>
      </w:r>
    </w:p>
    <w:p w14:paraId="5136E60C" w14:textId="77777777" w:rsidR="00492A98" w:rsidRDefault="00492A98" w:rsidP="00AE204B">
      <w:pPr>
        <w:pBdr>
          <w:top w:val="nil"/>
          <w:left w:val="nil"/>
          <w:bottom w:val="nil"/>
          <w:right w:val="nil"/>
          <w:between w:val="nil"/>
        </w:pBdr>
        <w:spacing w:before="0"/>
        <w:ind w:left="360" w:hanging="360"/>
        <w:rPr>
          <w:color w:val="000000"/>
        </w:rPr>
      </w:pPr>
      <w:proofErr w:type="spellStart"/>
      <w:r w:rsidRPr="003564FF">
        <w:rPr>
          <w:color w:val="000000"/>
        </w:rPr>
        <w:t>Lohmar</w:t>
      </w:r>
      <w:proofErr w:type="spellEnd"/>
      <w:r w:rsidRPr="003564FF">
        <w:rPr>
          <w:color w:val="000000"/>
        </w:rPr>
        <w:t>, Franz Josef. "World Geodetic System 1984—Geodetic Reference System of GPS Orbits." In GPS-Techniques Applied to Geodesy and Surveying, pp. 476-486. Springer, Berlin, Heidelberg, 1988.</w:t>
      </w:r>
    </w:p>
    <w:p w14:paraId="422434CC" w14:textId="77777777" w:rsidR="00492A98" w:rsidRDefault="00492A98" w:rsidP="00AE204B">
      <w:pPr>
        <w:pBdr>
          <w:top w:val="nil"/>
          <w:left w:val="nil"/>
          <w:bottom w:val="nil"/>
          <w:right w:val="nil"/>
          <w:between w:val="nil"/>
        </w:pBdr>
        <w:spacing w:before="0"/>
        <w:ind w:left="360" w:hanging="360"/>
        <w:rPr>
          <w:color w:val="000000"/>
        </w:rPr>
      </w:pPr>
      <w:proofErr w:type="spellStart"/>
      <w:r w:rsidRPr="00FB25FD">
        <w:rPr>
          <w:color w:val="000000"/>
        </w:rPr>
        <w:t>Malys</w:t>
      </w:r>
      <w:proofErr w:type="spellEnd"/>
      <w:r w:rsidRPr="00FB25FD">
        <w:rPr>
          <w:color w:val="000000"/>
        </w:rPr>
        <w:t xml:space="preserve">, Stephen, John H. Seago, Nikolaos K. </w:t>
      </w:r>
      <w:proofErr w:type="spellStart"/>
      <w:r w:rsidRPr="00FB25FD">
        <w:rPr>
          <w:color w:val="000000"/>
        </w:rPr>
        <w:t>Pavlis</w:t>
      </w:r>
      <w:proofErr w:type="spellEnd"/>
      <w:r w:rsidRPr="00FB25FD">
        <w:rPr>
          <w:color w:val="000000"/>
        </w:rPr>
        <w:t xml:space="preserve">, P. Kenneth </w:t>
      </w:r>
      <w:proofErr w:type="spellStart"/>
      <w:r w:rsidRPr="00FB25FD">
        <w:rPr>
          <w:color w:val="000000"/>
        </w:rPr>
        <w:t>Seidelmann</w:t>
      </w:r>
      <w:proofErr w:type="spellEnd"/>
      <w:r w:rsidRPr="00FB25FD">
        <w:rPr>
          <w:color w:val="000000"/>
        </w:rPr>
        <w:t>, and George H. Kaplan. "Why the Greenwich meridian moved." Journal of Geodesy 89, no. 12 (2015): 1263-1272.</w:t>
      </w:r>
    </w:p>
    <w:p w14:paraId="020A592B" w14:textId="77777777" w:rsidR="00492A98" w:rsidRDefault="00492A98" w:rsidP="00AE204B">
      <w:pPr>
        <w:pBdr>
          <w:top w:val="nil"/>
          <w:left w:val="nil"/>
          <w:bottom w:val="nil"/>
          <w:right w:val="nil"/>
          <w:between w:val="nil"/>
        </w:pBdr>
        <w:spacing w:before="0"/>
        <w:ind w:left="360" w:hanging="360"/>
        <w:rPr>
          <w:color w:val="000000"/>
        </w:rPr>
      </w:pPr>
      <w:r w:rsidRPr="00392F1D">
        <w:rPr>
          <w:color w:val="000000"/>
        </w:rPr>
        <w:t xml:space="preserve">Mannucci, A. J., B. T. </w:t>
      </w:r>
      <w:proofErr w:type="spellStart"/>
      <w:r w:rsidRPr="00392F1D">
        <w:rPr>
          <w:color w:val="000000"/>
        </w:rPr>
        <w:t>Tsurutani</w:t>
      </w:r>
      <w:proofErr w:type="spellEnd"/>
      <w:r w:rsidRPr="00392F1D">
        <w:rPr>
          <w:color w:val="000000"/>
        </w:rPr>
        <w:t xml:space="preserve">, O. </w:t>
      </w:r>
      <w:proofErr w:type="spellStart"/>
      <w:r w:rsidRPr="00392F1D">
        <w:rPr>
          <w:color w:val="000000"/>
        </w:rPr>
        <w:t>Verkhoglyadova</w:t>
      </w:r>
      <w:proofErr w:type="spellEnd"/>
      <w:r w:rsidRPr="00392F1D">
        <w:rPr>
          <w:color w:val="000000"/>
        </w:rPr>
        <w:t xml:space="preserve">, A. </w:t>
      </w:r>
      <w:proofErr w:type="spellStart"/>
      <w:r w:rsidRPr="00392F1D">
        <w:rPr>
          <w:color w:val="000000"/>
        </w:rPr>
        <w:t>Komjathy</w:t>
      </w:r>
      <w:proofErr w:type="spellEnd"/>
      <w:r w:rsidRPr="00392F1D">
        <w:rPr>
          <w:color w:val="000000"/>
        </w:rPr>
        <w:t>, and X. Pi. "Use of radio occultation to probe the high-latitude ionosphere." Atmospheric Measurement Techniques 8, no. 7 (2015): 2789-2800.</w:t>
      </w:r>
    </w:p>
    <w:p w14:paraId="620B7F0A" w14:textId="77777777" w:rsidR="00492A98" w:rsidRDefault="00492A98" w:rsidP="00AE204B">
      <w:pPr>
        <w:spacing w:before="0"/>
        <w:ind w:left="360" w:hanging="360"/>
        <w:rPr>
          <w:color w:val="000000"/>
        </w:rPr>
      </w:pPr>
      <w:r>
        <w:rPr>
          <w:color w:val="000000"/>
        </w:rPr>
        <w:t xml:space="preserve">NGA, </w:t>
      </w:r>
      <w:r w:rsidRPr="000053D1">
        <w:rPr>
          <w:color w:val="000000"/>
        </w:rPr>
        <w:t>National Geospatial-Intelligence Agency (</w:t>
      </w:r>
      <w:r>
        <w:rPr>
          <w:color w:val="000000"/>
        </w:rPr>
        <w:t>NGA</w:t>
      </w:r>
      <w:r w:rsidRPr="000053D1">
        <w:rPr>
          <w:color w:val="000000"/>
        </w:rPr>
        <w:t xml:space="preserve">) Standardization Document Department </w:t>
      </w:r>
      <w:proofErr w:type="gramStart"/>
      <w:r w:rsidRPr="000053D1">
        <w:rPr>
          <w:color w:val="000000"/>
        </w:rPr>
        <w:t>Of</w:t>
      </w:r>
      <w:proofErr w:type="gramEnd"/>
      <w:r w:rsidRPr="000053D1">
        <w:rPr>
          <w:color w:val="000000"/>
        </w:rPr>
        <w:t xml:space="preserve"> Defense World Geodetic System 1984</w:t>
      </w:r>
      <w:r>
        <w:rPr>
          <w:color w:val="000000"/>
        </w:rPr>
        <w:t xml:space="preserve">, </w:t>
      </w:r>
      <w:r>
        <w:t>NGA.STND.0036_1.0.0_WGS84, 2014.</w:t>
      </w:r>
    </w:p>
    <w:p w14:paraId="6E159A38" w14:textId="77777777" w:rsidR="00492A98" w:rsidRDefault="00492A98" w:rsidP="00AE204B">
      <w:pPr>
        <w:spacing w:before="0"/>
        <w:ind w:left="360" w:hanging="360"/>
      </w:pPr>
      <w:r>
        <w:rPr>
          <w:color w:val="000000"/>
        </w:rPr>
        <w:t xml:space="preserve">Novatel </w:t>
      </w:r>
      <w:r w:rsidRPr="004C424A">
        <w:rPr>
          <w:color w:val="000000"/>
        </w:rPr>
        <w:t>OEM6® Family</w:t>
      </w:r>
      <w:r>
        <w:rPr>
          <w:color w:val="000000"/>
        </w:rPr>
        <w:t xml:space="preserve"> </w:t>
      </w:r>
      <w:r w:rsidRPr="004C424A">
        <w:rPr>
          <w:color w:val="000000"/>
        </w:rPr>
        <w:t>Firmware Reference Manual</w:t>
      </w:r>
      <w:r>
        <w:rPr>
          <w:color w:val="000000"/>
        </w:rPr>
        <w:t xml:space="preserve">, 2000, link last accessed July 28, 2021: </w:t>
      </w:r>
      <w:hyperlink r:id="rId22">
        <w:r>
          <w:rPr>
            <w:rStyle w:val="InternetLink"/>
            <w:rFonts w:ascii="Calibri" w:eastAsia="Calibri" w:hAnsi="Calibri"/>
            <w:sz w:val="22"/>
            <w:szCs w:val="22"/>
          </w:rPr>
          <w:t>https://hexagondownloads.blob.core.windows.net/public/Novatel/assets/Documents/Manuals/om-20000129/om-20000129.pdf</w:t>
        </w:r>
      </w:hyperlink>
    </w:p>
    <w:p w14:paraId="4DCA434A" w14:textId="77777777" w:rsidR="00492A98" w:rsidRDefault="00492A98" w:rsidP="00AE204B">
      <w:pPr>
        <w:pBdr>
          <w:top w:val="nil"/>
          <w:left w:val="nil"/>
          <w:bottom w:val="nil"/>
          <w:right w:val="nil"/>
          <w:between w:val="nil"/>
        </w:pBdr>
        <w:spacing w:before="0"/>
        <w:ind w:left="360" w:hanging="360"/>
        <w:rPr>
          <w:color w:val="000000"/>
        </w:rPr>
      </w:pPr>
      <w:r w:rsidRPr="00782131">
        <w:rPr>
          <w:color w:val="000000"/>
        </w:rPr>
        <w:t>Rickman, Steven L. "Introduction t</w:t>
      </w:r>
      <w:r>
        <w:rPr>
          <w:color w:val="000000"/>
        </w:rPr>
        <w:t>o On-orbit thermal environments,</w:t>
      </w:r>
      <w:r w:rsidRPr="00782131">
        <w:rPr>
          <w:color w:val="000000"/>
        </w:rPr>
        <w:t xml:space="preserve">" </w:t>
      </w:r>
      <w:r>
        <w:rPr>
          <w:color w:val="000000"/>
        </w:rPr>
        <w:t>in</w:t>
      </w:r>
      <w:r w:rsidRPr="00782131">
        <w:rPr>
          <w:color w:val="000000"/>
        </w:rPr>
        <w:t xml:space="preserve"> Therm</w:t>
      </w:r>
      <w:r>
        <w:rPr>
          <w:color w:val="000000"/>
        </w:rPr>
        <w:t>al and Fluids Analysis Workshop,</w:t>
      </w:r>
      <w:r w:rsidRPr="00782131">
        <w:rPr>
          <w:color w:val="000000"/>
        </w:rPr>
        <w:t xml:space="preserve"> 2014.</w:t>
      </w:r>
    </w:p>
    <w:p w14:paraId="63844BEA" w14:textId="77777777" w:rsidR="00492A98" w:rsidRPr="00392F1D" w:rsidRDefault="00492A98" w:rsidP="00AE204B">
      <w:pPr>
        <w:pBdr>
          <w:top w:val="nil"/>
          <w:left w:val="nil"/>
          <w:bottom w:val="nil"/>
          <w:right w:val="nil"/>
          <w:between w:val="nil"/>
        </w:pBdr>
        <w:spacing w:before="0"/>
        <w:ind w:left="360" w:hanging="360"/>
        <w:rPr>
          <w:color w:val="000000"/>
        </w:rPr>
      </w:pPr>
      <w:r w:rsidRPr="004E7EC2">
        <w:rPr>
          <w:color w:val="000000"/>
        </w:rPr>
        <w:t xml:space="preserve">Sullivan, John P., Matthew Robert Carver, and Benjamin Norman. Contents of GPS Data Files. No. LA-UR-16-29314. Los Alamos National </w:t>
      </w:r>
      <w:proofErr w:type="gramStart"/>
      <w:r w:rsidRPr="004E7EC2">
        <w:rPr>
          <w:color w:val="000000"/>
        </w:rPr>
        <w:t>Lab.(</w:t>
      </w:r>
      <w:proofErr w:type="gramEnd"/>
      <w:r w:rsidRPr="004E7EC2">
        <w:rPr>
          <w:color w:val="000000"/>
        </w:rPr>
        <w:t>LANL), Los Alamos, NM (United States), 2016.</w:t>
      </w:r>
    </w:p>
    <w:p w14:paraId="65614EA2" w14:textId="77777777" w:rsidR="00492A98" w:rsidRDefault="00492A98" w:rsidP="00AE204B">
      <w:pPr>
        <w:pBdr>
          <w:top w:val="nil"/>
          <w:left w:val="nil"/>
          <w:bottom w:val="nil"/>
          <w:right w:val="nil"/>
          <w:between w:val="nil"/>
        </w:pBdr>
        <w:spacing w:before="0"/>
        <w:ind w:left="360" w:hanging="360"/>
        <w:rPr>
          <w:color w:val="000000"/>
        </w:rPr>
      </w:pPr>
      <w:proofErr w:type="spellStart"/>
      <w:r w:rsidRPr="006A3F3E">
        <w:rPr>
          <w:color w:val="000000"/>
        </w:rPr>
        <w:t>Vallado</w:t>
      </w:r>
      <w:proofErr w:type="spellEnd"/>
      <w:r w:rsidRPr="006A3F3E">
        <w:rPr>
          <w:color w:val="000000"/>
        </w:rPr>
        <w:t>, David, and Paul Crawford. "SGP4 orbit determination." In AIAA/AAS Astrodynamics Specialist Conference and Exhibit, p. 6770. 2008.</w:t>
      </w:r>
    </w:p>
    <w:p w14:paraId="5CFA9D75" w14:textId="77777777" w:rsidR="00531406" w:rsidRPr="00531406" w:rsidRDefault="00531406" w:rsidP="00531406"/>
    <w:sectPr w:rsidR="00531406" w:rsidRPr="00531406" w:rsidSect="00B67BA7">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C099" w14:textId="77777777" w:rsidR="00500A11" w:rsidRDefault="00500A11">
      <w:r>
        <w:separator/>
      </w:r>
    </w:p>
  </w:endnote>
  <w:endnote w:type="continuationSeparator" w:id="0">
    <w:p w14:paraId="09374F76" w14:textId="77777777" w:rsidR="00500A11" w:rsidRDefault="0050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0EC5" w14:textId="5884EA87" w:rsidR="00770D7F" w:rsidRDefault="00492A98" w:rsidP="00D41DB2">
    <w:pPr>
      <w:pStyle w:val="Footer"/>
    </w:pPr>
    <w:r>
      <w:t>Habash Krause et al.</w:t>
    </w:r>
    <w:r w:rsidR="00770D7F">
      <w:tab/>
    </w:r>
    <w:r w:rsidR="00770D7F">
      <w:rPr>
        <w:rStyle w:val="PageNumber"/>
      </w:rPr>
      <w:fldChar w:fldCharType="begin"/>
    </w:r>
    <w:r w:rsidR="00770D7F">
      <w:rPr>
        <w:rStyle w:val="PageNumber"/>
      </w:rPr>
      <w:instrText xml:space="preserve"> PAGE </w:instrText>
    </w:r>
    <w:r w:rsidR="00770D7F">
      <w:rPr>
        <w:rStyle w:val="PageNumber"/>
      </w:rPr>
      <w:fldChar w:fldCharType="separate"/>
    </w:r>
    <w:r w:rsidR="00404645">
      <w:rPr>
        <w:rStyle w:val="PageNumber"/>
        <w:noProof/>
      </w:rPr>
      <w:t>2</w:t>
    </w:r>
    <w:r w:rsidR="00770D7F">
      <w:rPr>
        <w:rStyle w:val="PageNumber"/>
      </w:rPr>
      <w:fldChar w:fldCharType="end"/>
    </w:r>
    <w:r w:rsidR="00404645">
      <w:rPr>
        <w:rStyle w:val="PageNumber"/>
      </w:rPr>
      <w:tab/>
    </w:r>
    <w:r w:rsidR="00D41DB2">
      <w:rPr>
        <w:rStyle w:val="PageNumber"/>
      </w:rPr>
      <w:t>36</w:t>
    </w:r>
    <w:r w:rsidR="00D41DB2" w:rsidRPr="00D41DB2">
      <w:rPr>
        <w:rStyle w:val="PageNumber"/>
        <w:vertAlign w:val="superscript"/>
      </w:rPr>
      <w:t>th</w:t>
    </w:r>
    <w:r w:rsidR="00D41DB2">
      <w:rPr>
        <w:rStyle w:val="PageNumber"/>
      </w:rP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94E13" w14:textId="77777777" w:rsidR="00500A11" w:rsidRDefault="00500A11">
      <w:r>
        <w:separator/>
      </w:r>
    </w:p>
  </w:footnote>
  <w:footnote w:type="continuationSeparator" w:id="0">
    <w:p w14:paraId="1F4B412F" w14:textId="77777777" w:rsidR="00500A11" w:rsidRDefault="00500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39D8"/>
    <w:multiLevelType w:val="multilevel"/>
    <w:tmpl w:val="EAEA9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A4077E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50B31D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E2"/>
    <w:rsid w:val="00005E3E"/>
    <w:rsid w:val="00042BCB"/>
    <w:rsid w:val="0005267D"/>
    <w:rsid w:val="000576CF"/>
    <w:rsid w:val="000614B2"/>
    <w:rsid w:val="00086CC5"/>
    <w:rsid w:val="000A3671"/>
    <w:rsid w:val="000A6570"/>
    <w:rsid w:val="000B0FA3"/>
    <w:rsid w:val="000C035A"/>
    <w:rsid w:val="000C29C8"/>
    <w:rsid w:val="000C64AD"/>
    <w:rsid w:val="000D3A84"/>
    <w:rsid w:val="000D6308"/>
    <w:rsid w:val="000F1078"/>
    <w:rsid w:val="00101EA5"/>
    <w:rsid w:val="0010330E"/>
    <w:rsid w:val="00107313"/>
    <w:rsid w:val="001346D1"/>
    <w:rsid w:val="001422C0"/>
    <w:rsid w:val="0015663D"/>
    <w:rsid w:val="00160F5B"/>
    <w:rsid w:val="00172163"/>
    <w:rsid w:val="00185B1D"/>
    <w:rsid w:val="0019025B"/>
    <w:rsid w:val="001B2B68"/>
    <w:rsid w:val="001D51B5"/>
    <w:rsid w:val="001E312B"/>
    <w:rsid w:val="001F051B"/>
    <w:rsid w:val="001F0CCD"/>
    <w:rsid w:val="002009C0"/>
    <w:rsid w:val="00203BEE"/>
    <w:rsid w:val="00203C6E"/>
    <w:rsid w:val="002058E5"/>
    <w:rsid w:val="00230FC0"/>
    <w:rsid w:val="002518CB"/>
    <w:rsid w:val="0025575D"/>
    <w:rsid w:val="00260B74"/>
    <w:rsid w:val="0027106F"/>
    <w:rsid w:val="00271491"/>
    <w:rsid w:val="002733B7"/>
    <w:rsid w:val="002766B0"/>
    <w:rsid w:val="002847A8"/>
    <w:rsid w:val="00290DFB"/>
    <w:rsid w:val="002B7EDF"/>
    <w:rsid w:val="002F5898"/>
    <w:rsid w:val="00303626"/>
    <w:rsid w:val="003148BD"/>
    <w:rsid w:val="00350305"/>
    <w:rsid w:val="00366977"/>
    <w:rsid w:val="00394D27"/>
    <w:rsid w:val="0039534C"/>
    <w:rsid w:val="00396DA3"/>
    <w:rsid w:val="003A6D09"/>
    <w:rsid w:val="003D7BD9"/>
    <w:rsid w:val="003F6AC4"/>
    <w:rsid w:val="0040377D"/>
    <w:rsid w:val="00404645"/>
    <w:rsid w:val="004207A0"/>
    <w:rsid w:val="0042225F"/>
    <w:rsid w:val="00442E8A"/>
    <w:rsid w:val="0045455A"/>
    <w:rsid w:val="0047121B"/>
    <w:rsid w:val="00485AAC"/>
    <w:rsid w:val="00492A98"/>
    <w:rsid w:val="004A0134"/>
    <w:rsid w:val="004A04D1"/>
    <w:rsid w:val="004A21C0"/>
    <w:rsid w:val="004C6D17"/>
    <w:rsid w:val="004E684C"/>
    <w:rsid w:val="004E7FED"/>
    <w:rsid w:val="004F4C97"/>
    <w:rsid w:val="00500A11"/>
    <w:rsid w:val="00525740"/>
    <w:rsid w:val="00531406"/>
    <w:rsid w:val="00542D08"/>
    <w:rsid w:val="00544BD2"/>
    <w:rsid w:val="00577097"/>
    <w:rsid w:val="0058092E"/>
    <w:rsid w:val="00583607"/>
    <w:rsid w:val="00586913"/>
    <w:rsid w:val="005A2917"/>
    <w:rsid w:val="005B2562"/>
    <w:rsid w:val="005C4B62"/>
    <w:rsid w:val="005D798B"/>
    <w:rsid w:val="005F0688"/>
    <w:rsid w:val="005F59E2"/>
    <w:rsid w:val="00611EED"/>
    <w:rsid w:val="006133E0"/>
    <w:rsid w:val="00621B7F"/>
    <w:rsid w:val="0062375B"/>
    <w:rsid w:val="00644121"/>
    <w:rsid w:val="006509E1"/>
    <w:rsid w:val="00656678"/>
    <w:rsid w:val="00666221"/>
    <w:rsid w:val="0067480A"/>
    <w:rsid w:val="006A5FD8"/>
    <w:rsid w:val="006A7214"/>
    <w:rsid w:val="006C4A58"/>
    <w:rsid w:val="006C4AA8"/>
    <w:rsid w:val="006D169C"/>
    <w:rsid w:val="006D62F1"/>
    <w:rsid w:val="006F0BFA"/>
    <w:rsid w:val="006F6BCD"/>
    <w:rsid w:val="007144C4"/>
    <w:rsid w:val="00716C81"/>
    <w:rsid w:val="007271BD"/>
    <w:rsid w:val="00744FA9"/>
    <w:rsid w:val="00747428"/>
    <w:rsid w:val="00770D7F"/>
    <w:rsid w:val="00785846"/>
    <w:rsid w:val="00787CE8"/>
    <w:rsid w:val="0079413C"/>
    <w:rsid w:val="00796148"/>
    <w:rsid w:val="007C043A"/>
    <w:rsid w:val="007C2C9F"/>
    <w:rsid w:val="007D363F"/>
    <w:rsid w:val="008115A7"/>
    <w:rsid w:val="0081228E"/>
    <w:rsid w:val="00814C91"/>
    <w:rsid w:val="00823AA1"/>
    <w:rsid w:val="0082611C"/>
    <w:rsid w:val="00841646"/>
    <w:rsid w:val="00844D6B"/>
    <w:rsid w:val="00845164"/>
    <w:rsid w:val="00852EB4"/>
    <w:rsid w:val="008612C0"/>
    <w:rsid w:val="008621F5"/>
    <w:rsid w:val="00865DD0"/>
    <w:rsid w:val="0089202B"/>
    <w:rsid w:val="008967D6"/>
    <w:rsid w:val="008B538F"/>
    <w:rsid w:val="008C7E88"/>
    <w:rsid w:val="00911324"/>
    <w:rsid w:val="00914F81"/>
    <w:rsid w:val="00964BFC"/>
    <w:rsid w:val="00965304"/>
    <w:rsid w:val="0097569F"/>
    <w:rsid w:val="0098475E"/>
    <w:rsid w:val="009B4D24"/>
    <w:rsid w:val="009B65B2"/>
    <w:rsid w:val="009C21ED"/>
    <w:rsid w:val="009E1FE1"/>
    <w:rsid w:val="009E59A9"/>
    <w:rsid w:val="009F0441"/>
    <w:rsid w:val="00A053C9"/>
    <w:rsid w:val="00A06EA2"/>
    <w:rsid w:val="00A11CA1"/>
    <w:rsid w:val="00A31B6A"/>
    <w:rsid w:val="00A31ECD"/>
    <w:rsid w:val="00A359B4"/>
    <w:rsid w:val="00A43F7E"/>
    <w:rsid w:val="00A620DE"/>
    <w:rsid w:val="00A66286"/>
    <w:rsid w:val="00A720D9"/>
    <w:rsid w:val="00A91790"/>
    <w:rsid w:val="00A95305"/>
    <w:rsid w:val="00A965FE"/>
    <w:rsid w:val="00A96BEF"/>
    <w:rsid w:val="00AB3986"/>
    <w:rsid w:val="00AB3F34"/>
    <w:rsid w:val="00AD5FE0"/>
    <w:rsid w:val="00AE204B"/>
    <w:rsid w:val="00AF38BB"/>
    <w:rsid w:val="00AF717F"/>
    <w:rsid w:val="00B0145D"/>
    <w:rsid w:val="00B177EC"/>
    <w:rsid w:val="00B27E72"/>
    <w:rsid w:val="00B43856"/>
    <w:rsid w:val="00B543D6"/>
    <w:rsid w:val="00B62666"/>
    <w:rsid w:val="00B62DBF"/>
    <w:rsid w:val="00B67BA7"/>
    <w:rsid w:val="00B83208"/>
    <w:rsid w:val="00BA11BA"/>
    <w:rsid w:val="00BC52EA"/>
    <w:rsid w:val="00BD1E68"/>
    <w:rsid w:val="00BD35DC"/>
    <w:rsid w:val="00BE6C9F"/>
    <w:rsid w:val="00BF19DA"/>
    <w:rsid w:val="00C02FF3"/>
    <w:rsid w:val="00C26114"/>
    <w:rsid w:val="00C27B44"/>
    <w:rsid w:val="00C43921"/>
    <w:rsid w:val="00C4473D"/>
    <w:rsid w:val="00C55E5F"/>
    <w:rsid w:val="00C618F0"/>
    <w:rsid w:val="00C6414E"/>
    <w:rsid w:val="00C67F14"/>
    <w:rsid w:val="00C70969"/>
    <w:rsid w:val="00C72A59"/>
    <w:rsid w:val="00C80638"/>
    <w:rsid w:val="00C94FD2"/>
    <w:rsid w:val="00C967A2"/>
    <w:rsid w:val="00CA149D"/>
    <w:rsid w:val="00CA30B8"/>
    <w:rsid w:val="00CA5347"/>
    <w:rsid w:val="00CB1AD2"/>
    <w:rsid w:val="00CD5234"/>
    <w:rsid w:val="00CE3825"/>
    <w:rsid w:val="00D02C4F"/>
    <w:rsid w:val="00D34F57"/>
    <w:rsid w:val="00D41DB2"/>
    <w:rsid w:val="00D429C3"/>
    <w:rsid w:val="00D476CF"/>
    <w:rsid w:val="00D51A55"/>
    <w:rsid w:val="00D679D3"/>
    <w:rsid w:val="00D80AFE"/>
    <w:rsid w:val="00D81A87"/>
    <w:rsid w:val="00D964B9"/>
    <w:rsid w:val="00DA0BC2"/>
    <w:rsid w:val="00DC2692"/>
    <w:rsid w:val="00DC5593"/>
    <w:rsid w:val="00DE22D2"/>
    <w:rsid w:val="00DE51DF"/>
    <w:rsid w:val="00DF280C"/>
    <w:rsid w:val="00DF29B1"/>
    <w:rsid w:val="00DF446C"/>
    <w:rsid w:val="00DF6CA7"/>
    <w:rsid w:val="00E1452C"/>
    <w:rsid w:val="00E5039A"/>
    <w:rsid w:val="00E50E1F"/>
    <w:rsid w:val="00E51686"/>
    <w:rsid w:val="00E6056D"/>
    <w:rsid w:val="00E61B6C"/>
    <w:rsid w:val="00E861A7"/>
    <w:rsid w:val="00E96697"/>
    <w:rsid w:val="00E96C82"/>
    <w:rsid w:val="00EA4BD4"/>
    <w:rsid w:val="00EA573E"/>
    <w:rsid w:val="00ED3000"/>
    <w:rsid w:val="00ED6021"/>
    <w:rsid w:val="00ED6C95"/>
    <w:rsid w:val="00EF3F83"/>
    <w:rsid w:val="00F025B5"/>
    <w:rsid w:val="00F03140"/>
    <w:rsid w:val="00F10062"/>
    <w:rsid w:val="00F1009C"/>
    <w:rsid w:val="00F238CC"/>
    <w:rsid w:val="00F25CF6"/>
    <w:rsid w:val="00F30BEE"/>
    <w:rsid w:val="00F32E4F"/>
    <w:rsid w:val="00F42EFA"/>
    <w:rsid w:val="00F617E0"/>
    <w:rsid w:val="00F628AF"/>
    <w:rsid w:val="00F81285"/>
    <w:rsid w:val="00F917C8"/>
    <w:rsid w:val="00F9741E"/>
    <w:rsid w:val="00FB696F"/>
    <w:rsid w:val="00FB7EEA"/>
    <w:rsid w:val="00FD3B19"/>
    <w:rsid w:val="00FD60AC"/>
    <w:rsid w:val="00FE19C0"/>
    <w:rsid w:val="00FF48A7"/>
    <w:rsid w:val="00FF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F807A"/>
  <w15:chartTrackingRefBased/>
  <w15:docId w15:val="{794A5AF1-BDB4-4B34-85F2-7F28A25A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2D2"/>
    <w:pPr>
      <w:spacing w:before="100" w:after="200"/>
      <w:jc w:val="both"/>
    </w:pPr>
    <w:rPr>
      <w:szCs w:val="24"/>
    </w:rPr>
  </w:style>
  <w:style w:type="paragraph" w:styleId="Heading1">
    <w:name w:val="heading 1"/>
    <w:basedOn w:val="Normal"/>
    <w:next w:val="Normal"/>
    <w:qFormat/>
    <w:rsid w:val="00F03140"/>
    <w:pPr>
      <w:keepNext/>
      <w:spacing w:after="100"/>
      <w:contextualSpacing/>
      <w:outlineLvl w:val="0"/>
    </w:pPr>
    <w:rPr>
      <w:rFonts w:cs="Arial"/>
      <w:b/>
      <w:bCs/>
      <w:caps/>
      <w:kern w:val="32"/>
      <w:szCs w:val="32"/>
    </w:rPr>
  </w:style>
  <w:style w:type="paragraph" w:styleId="Heading2">
    <w:name w:val="heading 2"/>
    <w:basedOn w:val="Normal"/>
    <w:next w:val="Normal"/>
    <w:qFormat/>
    <w:rsid w:val="006509E1"/>
    <w:pPr>
      <w:keepNext/>
      <w:spacing w:before="200" w:after="0"/>
      <w:outlineLvl w:val="1"/>
    </w:pPr>
    <w:rPr>
      <w:rFonts w:cs="Arial"/>
      <w:b/>
      <w:bCs/>
      <w:i/>
      <w:iCs/>
      <w:szCs w:val="28"/>
    </w:rPr>
  </w:style>
  <w:style w:type="paragraph" w:styleId="Heading3">
    <w:name w:val="heading 3"/>
    <w:basedOn w:val="Normal"/>
    <w:next w:val="Normal"/>
    <w:qFormat/>
    <w:rsid w:val="002733B7"/>
    <w:pPr>
      <w:keepNext/>
      <w:spacing w:before="240" w:after="60"/>
      <w:outlineLvl w:val="2"/>
    </w:pPr>
    <w:rPr>
      <w:rFonts w:ascii="Arial" w:hAnsi="Arial" w:cs="Arial"/>
      <w:b/>
      <w:bCs/>
      <w:sz w:val="26"/>
      <w:szCs w:val="26"/>
    </w:rPr>
  </w:style>
  <w:style w:type="paragraph" w:styleId="Heading4">
    <w:name w:val="heading 4"/>
    <w:basedOn w:val="Normal"/>
    <w:next w:val="Normal"/>
    <w:qFormat/>
    <w:rsid w:val="002733B7"/>
    <w:pPr>
      <w:keepNext/>
      <w:spacing w:before="240" w:after="60"/>
      <w:outlineLvl w:val="3"/>
    </w:pPr>
    <w:rPr>
      <w:b/>
      <w:bCs/>
      <w:sz w:val="28"/>
      <w:szCs w:val="28"/>
    </w:rPr>
  </w:style>
  <w:style w:type="paragraph" w:styleId="Heading5">
    <w:name w:val="heading 5"/>
    <w:basedOn w:val="Normal"/>
    <w:next w:val="Normal"/>
    <w:qFormat/>
    <w:rsid w:val="002733B7"/>
    <w:pPr>
      <w:spacing w:before="240" w:after="60"/>
      <w:outlineLvl w:val="4"/>
    </w:pPr>
    <w:rPr>
      <w:b/>
      <w:bCs/>
      <w:i/>
      <w:iCs/>
      <w:sz w:val="26"/>
      <w:szCs w:val="26"/>
    </w:rPr>
  </w:style>
  <w:style w:type="paragraph" w:styleId="Heading6">
    <w:name w:val="heading 6"/>
    <w:basedOn w:val="Normal"/>
    <w:next w:val="Normal"/>
    <w:qFormat/>
    <w:rsid w:val="002733B7"/>
    <w:pPr>
      <w:spacing w:before="240" w:after="60"/>
      <w:outlineLvl w:val="5"/>
    </w:pPr>
    <w:rPr>
      <w:b/>
      <w:bCs/>
      <w:sz w:val="22"/>
      <w:szCs w:val="22"/>
    </w:rPr>
  </w:style>
  <w:style w:type="paragraph" w:styleId="Heading7">
    <w:name w:val="heading 7"/>
    <w:basedOn w:val="Normal"/>
    <w:next w:val="Normal"/>
    <w:qFormat/>
    <w:rsid w:val="002733B7"/>
    <w:pPr>
      <w:spacing w:before="240" w:after="60"/>
      <w:outlineLvl w:val="6"/>
    </w:pPr>
  </w:style>
  <w:style w:type="paragraph" w:styleId="Heading8">
    <w:name w:val="heading 8"/>
    <w:basedOn w:val="Normal"/>
    <w:next w:val="Normal"/>
    <w:qFormat/>
    <w:rsid w:val="002733B7"/>
    <w:pPr>
      <w:spacing w:before="240" w:after="60"/>
      <w:outlineLvl w:val="7"/>
    </w:pPr>
    <w:rPr>
      <w:i/>
      <w:iCs/>
    </w:rPr>
  </w:style>
  <w:style w:type="paragraph" w:styleId="Heading9">
    <w:name w:val="heading 9"/>
    <w:basedOn w:val="Normal"/>
    <w:next w:val="Normal"/>
    <w:qFormat/>
    <w:rsid w:val="00273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733B7"/>
    <w:pPr>
      <w:numPr>
        <w:numId w:val="1"/>
      </w:numPr>
    </w:pPr>
  </w:style>
  <w:style w:type="numbering" w:styleId="1ai">
    <w:name w:val="Outline List 1"/>
    <w:basedOn w:val="NoList"/>
    <w:semiHidden/>
    <w:rsid w:val="002733B7"/>
    <w:pPr>
      <w:numPr>
        <w:numId w:val="2"/>
      </w:numPr>
    </w:pPr>
  </w:style>
  <w:style w:type="numbering" w:styleId="ArticleSection">
    <w:name w:val="Outline List 3"/>
    <w:basedOn w:val="NoList"/>
    <w:semiHidden/>
    <w:rsid w:val="002733B7"/>
    <w:pPr>
      <w:numPr>
        <w:numId w:val="3"/>
      </w:numPr>
    </w:pPr>
  </w:style>
  <w:style w:type="paragraph" w:styleId="BlockText">
    <w:name w:val="Block Text"/>
    <w:basedOn w:val="Normal"/>
    <w:semiHidden/>
    <w:rsid w:val="002733B7"/>
    <w:pPr>
      <w:spacing w:after="120"/>
      <w:ind w:left="1440" w:right="1440"/>
    </w:pPr>
  </w:style>
  <w:style w:type="paragraph" w:styleId="BodyText">
    <w:name w:val="Body Text"/>
    <w:basedOn w:val="Normal"/>
    <w:semiHidden/>
    <w:rsid w:val="002733B7"/>
    <w:pPr>
      <w:spacing w:after="120"/>
    </w:pPr>
  </w:style>
  <w:style w:type="paragraph" w:styleId="BodyText2">
    <w:name w:val="Body Text 2"/>
    <w:basedOn w:val="Normal"/>
    <w:semiHidden/>
    <w:rsid w:val="002733B7"/>
    <w:pPr>
      <w:spacing w:after="120" w:line="480" w:lineRule="auto"/>
    </w:pPr>
  </w:style>
  <w:style w:type="paragraph" w:styleId="BodyText3">
    <w:name w:val="Body Text 3"/>
    <w:basedOn w:val="Normal"/>
    <w:semiHidden/>
    <w:rsid w:val="002733B7"/>
    <w:pPr>
      <w:spacing w:after="120"/>
    </w:pPr>
    <w:rPr>
      <w:sz w:val="16"/>
      <w:szCs w:val="16"/>
    </w:rPr>
  </w:style>
  <w:style w:type="paragraph" w:styleId="BodyTextFirstIndent">
    <w:name w:val="Body Text First Indent"/>
    <w:basedOn w:val="BodyText"/>
    <w:semiHidden/>
    <w:rsid w:val="002733B7"/>
    <w:pPr>
      <w:ind w:firstLine="210"/>
    </w:pPr>
  </w:style>
  <w:style w:type="paragraph" w:styleId="BodyTextIndent">
    <w:name w:val="Body Text Indent"/>
    <w:basedOn w:val="Normal"/>
    <w:semiHidden/>
    <w:rsid w:val="002733B7"/>
    <w:pPr>
      <w:spacing w:after="120"/>
      <w:ind w:left="360"/>
    </w:pPr>
  </w:style>
  <w:style w:type="paragraph" w:styleId="BodyTextFirstIndent2">
    <w:name w:val="Body Text First Indent 2"/>
    <w:basedOn w:val="BodyTextIndent"/>
    <w:semiHidden/>
    <w:rsid w:val="002733B7"/>
    <w:pPr>
      <w:ind w:firstLine="210"/>
    </w:pPr>
  </w:style>
  <w:style w:type="paragraph" w:styleId="BodyTextIndent2">
    <w:name w:val="Body Text Indent 2"/>
    <w:basedOn w:val="Normal"/>
    <w:semiHidden/>
    <w:rsid w:val="002733B7"/>
    <w:pPr>
      <w:spacing w:after="120" w:line="480" w:lineRule="auto"/>
      <w:ind w:left="360"/>
    </w:pPr>
  </w:style>
  <w:style w:type="paragraph" w:styleId="BodyTextIndent3">
    <w:name w:val="Body Text Indent 3"/>
    <w:basedOn w:val="Normal"/>
    <w:semiHidden/>
    <w:rsid w:val="002733B7"/>
    <w:pPr>
      <w:spacing w:after="120"/>
      <w:ind w:left="360"/>
    </w:pPr>
    <w:rPr>
      <w:sz w:val="16"/>
      <w:szCs w:val="16"/>
    </w:rPr>
  </w:style>
  <w:style w:type="paragraph" w:styleId="Closing">
    <w:name w:val="Closing"/>
    <w:basedOn w:val="Normal"/>
    <w:semiHidden/>
    <w:rsid w:val="002733B7"/>
    <w:pPr>
      <w:ind w:left="4320"/>
    </w:pPr>
  </w:style>
  <w:style w:type="paragraph" w:styleId="Date">
    <w:name w:val="Date"/>
    <w:basedOn w:val="Normal"/>
    <w:next w:val="Normal"/>
    <w:semiHidden/>
    <w:rsid w:val="002733B7"/>
  </w:style>
  <w:style w:type="paragraph" w:styleId="E-mailSignature">
    <w:name w:val="E-mail Signature"/>
    <w:basedOn w:val="Normal"/>
    <w:semiHidden/>
    <w:rsid w:val="002733B7"/>
  </w:style>
  <w:style w:type="character" w:styleId="Emphasis">
    <w:name w:val="Emphasis"/>
    <w:qFormat/>
    <w:rsid w:val="002733B7"/>
    <w:rPr>
      <w:i/>
      <w:iCs/>
    </w:rPr>
  </w:style>
  <w:style w:type="paragraph" w:styleId="EnvelopeAddress">
    <w:name w:val="envelope address"/>
    <w:basedOn w:val="Normal"/>
    <w:semiHidden/>
    <w:rsid w:val="00273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733B7"/>
    <w:rPr>
      <w:rFonts w:ascii="Arial" w:hAnsi="Arial" w:cs="Arial"/>
      <w:szCs w:val="20"/>
    </w:rPr>
  </w:style>
  <w:style w:type="character" w:styleId="FollowedHyperlink">
    <w:name w:val="FollowedHyperlink"/>
    <w:semiHidden/>
    <w:rsid w:val="002733B7"/>
    <w:rPr>
      <w:color w:val="800080"/>
      <w:u w:val="single"/>
    </w:rPr>
  </w:style>
  <w:style w:type="paragraph" w:styleId="Footer">
    <w:name w:val="footer"/>
    <w:basedOn w:val="Normal"/>
    <w:rsid w:val="00B62666"/>
    <w:pPr>
      <w:pBdr>
        <w:top w:val="single" w:sz="4" w:space="1" w:color="auto"/>
      </w:pBdr>
      <w:tabs>
        <w:tab w:val="center" w:pos="4680"/>
        <w:tab w:val="right" w:pos="9360"/>
      </w:tabs>
      <w:spacing w:before="0" w:after="0"/>
    </w:pPr>
  </w:style>
  <w:style w:type="paragraph" w:styleId="Header">
    <w:name w:val="header"/>
    <w:basedOn w:val="Normal"/>
    <w:rsid w:val="002733B7"/>
    <w:pPr>
      <w:tabs>
        <w:tab w:val="center" w:pos="4320"/>
        <w:tab w:val="right" w:pos="8640"/>
      </w:tabs>
    </w:pPr>
  </w:style>
  <w:style w:type="character" w:styleId="HTMLAcronym">
    <w:name w:val="HTML Acronym"/>
    <w:basedOn w:val="DefaultParagraphFont"/>
    <w:semiHidden/>
    <w:rsid w:val="002733B7"/>
  </w:style>
  <w:style w:type="paragraph" w:styleId="HTMLAddress">
    <w:name w:val="HTML Address"/>
    <w:basedOn w:val="Normal"/>
    <w:semiHidden/>
    <w:rsid w:val="002733B7"/>
    <w:rPr>
      <w:i/>
      <w:iCs/>
    </w:rPr>
  </w:style>
  <w:style w:type="character" w:styleId="HTMLCite">
    <w:name w:val="HTML Cite"/>
    <w:semiHidden/>
    <w:rsid w:val="002733B7"/>
    <w:rPr>
      <w:i/>
      <w:iCs/>
    </w:rPr>
  </w:style>
  <w:style w:type="character" w:styleId="HTMLCode">
    <w:name w:val="HTML Code"/>
    <w:semiHidden/>
    <w:rsid w:val="002733B7"/>
    <w:rPr>
      <w:rFonts w:ascii="Courier New" w:hAnsi="Courier New" w:cs="Courier New"/>
      <w:sz w:val="20"/>
      <w:szCs w:val="20"/>
    </w:rPr>
  </w:style>
  <w:style w:type="character" w:styleId="HTMLDefinition">
    <w:name w:val="HTML Definition"/>
    <w:semiHidden/>
    <w:rsid w:val="002733B7"/>
    <w:rPr>
      <w:i/>
      <w:iCs/>
    </w:rPr>
  </w:style>
  <w:style w:type="character" w:styleId="HTMLKeyboard">
    <w:name w:val="HTML Keyboard"/>
    <w:semiHidden/>
    <w:rsid w:val="002733B7"/>
    <w:rPr>
      <w:rFonts w:ascii="Courier New" w:hAnsi="Courier New" w:cs="Courier New"/>
      <w:sz w:val="20"/>
      <w:szCs w:val="20"/>
    </w:rPr>
  </w:style>
  <w:style w:type="paragraph" w:styleId="HTMLPreformatted">
    <w:name w:val="HTML Preformatted"/>
    <w:basedOn w:val="Normal"/>
    <w:semiHidden/>
    <w:rsid w:val="002733B7"/>
    <w:rPr>
      <w:rFonts w:ascii="Courier New" w:hAnsi="Courier New" w:cs="Courier New"/>
      <w:szCs w:val="20"/>
    </w:rPr>
  </w:style>
  <w:style w:type="character" w:styleId="HTMLSample">
    <w:name w:val="HTML Sample"/>
    <w:semiHidden/>
    <w:rsid w:val="002733B7"/>
    <w:rPr>
      <w:rFonts w:ascii="Courier New" w:hAnsi="Courier New" w:cs="Courier New"/>
    </w:rPr>
  </w:style>
  <w:style w:type="character" w:styleId="HTMLTypewriter">
    <w:name w:val="HTML Typewriter"/>
    <w:semiHidden/>
    <w:rsid w:val="002733B7"/>
    <w:rPr>
      <w:rFonts w:ascii="Courier New" w:hAnsi="Courier New" w:cs="Courier New"/>
      <w:sz w:val="20"/>
      <w:szCs w:val="20"/>
    </w:rPr>
  </w:style>
  <w:style w:type="character" w:styleId="HTMLVariable">
    <w:name w:val="HTML Variable"/>
    <w:semiHidden/>
    <w:rsid w:val="002733B7"/>
    <w:rPr>
      <w:i/>
      <w:iCs/>
    </w:rPr>
  </w:style>
  <w:style w:type="character" w:styleId="Hyperlink">
    <w:name w:val="Hyperlink"/>
    <w:semiHidden/>
    <w:rsid w:val="002733B7"/>
    <w:rPr>
      <w:color w:val="0000FF"/>
      <w:u w:val="single"/>
    </w:rPr>
  </w:style>
  <w:style w:type="character" w:styleId="LineNumber">
    <w:name w:val="line number"/>
    <w:basedOn w:val="DefaultParagraphFont"/>
    <w:semiHidden/>
    <w:rsid w:val="002733B7"/>
  </w:style>
  <w:style w:type="paragraph" w:styleId="List">
    <w:name w:val="List"/>
    <w:basedOn w:val="Normal"/>
    <w:semiHidden/>
    <w:rsid w:val="002733B7"/>
    <w:pPr>
      <w:ind w:left="360" w:hanging="360"/>
    </w:pPr>
  </w:style>
  <w:style w:type="paragraph" w:styleId="List2">
    <w:name w:val="List 2"/>
    <w:basedOn w:val="Normal"/>
    <w:semiHidden/>
    <w:rsid w:val="002733B7"/>
    <w:pPr>
      <w:ind w:left="720" w:hanging="360"/>
    </w:pPr>
  </w:style>
  <w:style w:type="paragraph" w:styleId="List3">
    <w:name w:val="List 3"/>
    <w:basedOn w:val="Normal"/>
    <w:semiHidden/>
    <w:rsid w:val="002733B7"/>
    <w:pPr>
      <w:ind w:left="1080" w:hanging="360"/>
    </w:pPr>
  </w:style>
  <w:style w:type="paragraph" w:styleId="List4">
    <w:name w:val="List 4"/>
    <w:basedOn w:val="Normal"/>
    <w:semiHidden/>
    <w:rsid w:val="002733B7"/>
    <w:pPr>
      <w:ind w:left="1440" w:hanging="360"/>
    </w:pPr>
  </w:style>
  <w:style w:type="paragraph" w:styleId="List5">
    <w:name w:val="List 5"/>
    <w:basedOn w:val="Normal"/>
    <w:semiHidden/>
    <w:rsid w:val="002733B7"/>
    <w:pPr>
      <w:ind w:left="1800" w:hanging="360"/>
    </w:pPr>
  </w:style>
  <w:style w:type="paragraph" w:styleId="ListBullet">
    <w:name w:val="List Bullet"/>
    <w:basedOn w:val="Normal"/>
    <w:semiHidden/>
    <w:rsid w:val="002733B7"/>
    <w:pPr>
      <w:numPr>
        <w:numId w:val="4"/>
      </w:numPr>
    </w:pPr>
  </w:style>
  <w:style w:type="paragraph" w:styleId="ListBullet2">
    <w:name w:val="List Bullet 2"/>
    <w:basedOn w:val="Normal"/>
    <w:semiHidden/>
    <w:rsid w:val="002733B7"/>
    <w:pPr>
      <w:numPr>
        <w:numId w:val="5"/>
      </w:numPr>
    </w:pPr>
  </w:style>
  <w:style w:type="paragraph" w:styleId="ListBullet3">
    <w:name w:val="List Bullet 3"/>
    <w:basedOn w:val="Normal"/>
    <w:semiHidden/>
    <w:rsid w:val="002733B7"/>
    <w:pPr>
      <w:numPr>
        <w:numId w:val="6"/>
      </w:numPr>
    </w:pPr>
  </w:style>
  <w:style w:type="paragraph" w:styleId="ListBullet4">
    <w:name w:val="List Bullet 4"/>
    <w:basedOn w:val="Normal"/>
    <w:semiHidden/>
    <w:rsid w:val="002733B7"/>
    <w:pPr>
      <w:numPr>
        <w:numId w:val="7"/>
      </w:numPr>
    </w:pPr>
  </w:style>
  <w:style w:type="paragraph" w:styleId="ListBullet5">
    <w:name w:val="List Bullet 5"/>
    <w:basedOn w:val="Normal"/>
    <w:semiHidden/>
    <w:rsid w:val="002733B7"/>
    <w:pPr>
      <w:numPr>
        <w:numId w:val="8"/>
      </w:numPr>
    </w:pPr>
  </w:style>
  <w:style w:type="paragraph" w:styleId="ListContinue">
    <w:name w:val="List Continue"/>
    <w:basedOn w:val="Normal"/>
    <w:semiHidden/>
    <w:rsid w:val="002733B7"/>
    <w:pPr>
      <w:spacing w:after="120"/>
      <w:ind w:left="360"/>
    </w:pPr>
  </w:style>
  <w:style w:type="paragraph" w:styleId="ListContinue2">
    <w:name w:val="List Continue 2"/>
    <w:basedOn w:val="Normal"/>
    <w:semiHidden/>
    <w:rsid w:val="002733B7"/>
    <w:pPr>
      <w:spacing w:after="120"/>
      <w:ind w:left="720"/>
    </w:pPr>
  </w:style>
  <w:style w:type="paragraph" w:styleId="ListContinue3">
    <w:name w:val="List Continue 3"/>
    <w:basedOn w:val="Normal"/>
    <w:semiHidden/>
    <w:rsid w:val="002733B7"/>
    <w:pPr>
      <w:spacing w:after="120"/>
      <w:ind w:left="1080"/>
    </w:pPr>
  </w:style>
  <w:style w:type="paragraph" w:styleId="ListContinue4">
    <w:name w:val="List Continue 4"/>
    <w:basedOn w:val="Normal"/>
    <w:semiHidden/>
    <w:rsid w:val="002733B7"/>
    <w:pPr>
      <w:spacing w:after="120"/>
      <w:ind w:left="1440"/>
    </w:pPr>
  </w:style>
  <w:style w:type="paragraph" w:styleId="ListContinue5">
    <w:name w:val="List Continue 5"/>
    <w:basedOn w:val="Normal"/>
    <w:semiHidden/>
    <w:rsid w:val="002733B7"/>
    <w:pPr>
      <w:spacing w:after="120"/>
      <w:ind w:left="1800"/>
    </w:pPr>
  </w:style>
  <w:style w:type="paragraph" w:styleId="ListNumber">
    <w:name w:val="List Number"/>
    <w:basedOn w:val="Normal"/>
    <w:semiHidden/>
    <w:rsid w:val="002733B7"/>
    <w:pPr>
      <w:numPr>
        <w:numId w:val="9"/>
      </w:numPr>
    </w:pPr>
  </w:style>
  <w:style w:type="paragraph" w:styleId="ListNumber2">
    <w:name w:val="List Number 2"/>
    <w:basedOn w:val="Normal"/>
    <w:semiHidden/>
    <w:rsid w:val="002733B7"/>
    <w:pPr>
      <w:numPr>
        <w:numId w:val="10"/>
      </w:numPr>
    </w:pPr>
  </w:style>
  <w:style w:type="paragraph" w:styleId="ListNumber3">
    <w:name w:val="List Number 3"/>
    <w:basedOn w:val="Normal"/>
    <w:semiHidden/>
    <w:rsid w:val="002733B7"/>
    <w:pPr>
      <w:numPr>
        <w:numId w:val="11"/>
      </w:numPr>
    </w:pPr>
  </w:style>
  <w:style w:type="paragraph" w:styleId="ListNumber4">
    <w:name w:val="List Number 4"/>
    <w:basedOn w:val="Normal"/>
    <w:semiHidden/>
    <w:rsid w:val="002733B7"/>
    <w:pPr>
      <w:numPr>
        <w:numId w:val="12"/>
      </w:numPr>
    </w:pPr>
  </w:style>
  <w:style w:type="paragraph" w:styleId="ListNumber5">
    <w:name w:val="List Number 5"/>
    <w:basedOn w:val="Normal"/>
    <w:semiHidden/>
    <w:rsid w:val="002733B7"/>
    <w:pPr>
      <w:numPr>
        <w:numId w:val="13"/>
      </w:numPr>
    </w:pPr>
  </w:style>
  <w:style w:type="paragraph" w:styleId="MessageHeader">
    <w:name w:val="Message Header"/>
    <w:basedOn w:val="Normal"/>
    <w:semiHidden/>
    <w:rsid w:val="002733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733B7"/>
  </w:style>
  <w:style w:type="paragraph" w:styleId="NormalIndent">
    <w:name w:val="Normal Indent"/>
    <w:basedOn w:val="Normal"/>
    <w:semiHidden/>
    <w:rsid w:val="002733B7"/>
    <w:pPr>
      <w:ind w:left="720"/>
    </w:pPr>
  </w:style>
  <w:style w:type="paragraph" w:styleId="NoteHeading">
    <w:name w:val="Note Heading"/>
    <w:basedOn w:val="Normal"/>
    <w:next w:val="Normal"/>
    <w:semiHidden/>
    <w:rsid w:val="002733B7"/>
  </w:style>
  <w:style w:type="character" w:styleId="PageNumber">
    <w:name w:val="page number"/>
    <w:basedOn w:val="DefaultParagraphFont"/>
    <w:semiHidden/>
    <w:rsid w:val="002733B7"/>
  </w:style>
  <w:style w:type="paragraph" w:styleId="PlainText">
    <w:name w:val="Plain Text"/>
    <w:basedOn w:val="Normal"/>
    <w:semiHidden/>
    <w:rsid w:val="002733B7"/>
    <w:rPr>
      <w:rFonts w:ascii="Courier New" w:hAnsi="Courier New" w:cs="Courier New"/>
      <w:szCs w:val="20"/>
    </w:rPr>
  </w:style>
  <w:style w:type="paragraph" w:styleId="Salutation">
    <w:name w:val="Salutation"/>
    <w:basedOn w:val="Normal"/>
    <w:next w:val="Normal"/>
    <w:semiHidden/>
    <w:rsid w:val="002733B7"/>
  </w:style>
  <w:style w:type="paragraph" w:styleId="Signature">
    <w:name w:val="Signature"/>
    <w:basedOn w:val="Normal"/>
    <w:semiHidden/>
    <w:rsid w:val="002733B7"/>
    <w:pPr>
      <w:ind w:left="4320"/>
    </w:pPr>
  </w:style>
  <w:style w:type="character" w:styleId="Strong">
    <w:name w:val="Strong"/>
    <w:qFormat/>
    <w:rsid w:val="002733B7"/>
    <w:rPr>
      <w:b/>
      <w:bCs/>
    </w:rPr>
  </w:style>
  <w:style w:type="paragraph" w:styleId="Subtitle">
    <w:name w:val="Subtitle"/>
    <w:basedOn w:val="Normal"/>
    <w:qFormat/>
    <w:rsid w:val="002733B7"/>
    <w:pPr>
      <w:spacing w:after="60"/>
      <w:jc w:val="center"/>
      <w:outlineLvl w:val="1"/>
    </w:pPr>
    <w:rPr>
      <w:rFonts w:ascii="Arial" w:hAnsi="Arial" w:cs="Arial"/>
    </w:rPr>
  </w:style>
  <w:style w:type="table" w:styleId="Table3Deffects1">
    <w:name w:val="Table 3D effects 1"/>
    <w:basedOn w:val="TableNormal"/>
    <w:semiHidden/>
    <w:rsid w:val="00273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3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3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33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33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33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33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33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33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33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33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33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33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33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33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33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33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33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33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33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33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33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33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33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33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33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33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33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33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33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33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33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33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33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33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33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33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iPriority w:val="35"/>
    <w:qFormat/>
    <w:rsid w:val="006509E1"/>
    <w:pPr>
      <w:tabs>
        <w:tab w:val="left" w:pos="907"/>
      </w:tabs>
      <w:spacing w:after="100"/>
      <w:jc w:val="center"/>
    </w:pPr>
    <w:rPr>
      <w:b/>
      <w:bCs/>
      <w:szCs w:val="20"/>
    </w:rPr>
  </w:style>
  <w:style w:type="paragraph" w:styleId="Title">
    <w:name w:val="Title"/>
    <w:basedOn w:val="Normal"/>
    <w:qFormat/>
    <w:rsid w:val="00F03140"/>
    <w:pPr>
      <w:spacing w:before="240" w:after="0"/>
      <w:contextualSpacing/>
      <w:jc w:val="center"/>
      <w:outlineLvl w:val="0"/>
    </w:pPr>
    <w:rPr>
      <w:rFonts w:cs="Arial"/>
      <w:b/>
      <w:bCs/>
      <w:kern w:val="28"/>
      <w:sz w:val="24"/>
      <w:szCs w:val="32"/>
    </w:rPr>
  </w:style>
  <w:style w:type="paragraph" w:customStyle="1" w:styleId="Authors">
    <w:name w:val="Authors"/>
    <w:basedOn w:val="Normal"/>
    <w:rsid w:val="00A96BEF"/>
    <w:pPr>
      <w:spacing w:before="0" w:after="0"/>
      <w:jc w:val="center"/>
    </w:pPr>
  </w:style>
  <w:style w:type="paragraph" w:customStyle="1" w:styleId="PaperNumber">
    <w:name w:val="Paper Number"/>
    <w:basedOn w:val="Normal"/>
    <w:rsid w:val="00A96BEF"/>
    <w:pPr>
      <w:spacing w:before="0" w:after="280"/>
      <w:jc w:val="right"/>
    </w:pPr>
    <w:rPr>
      <w:b/>
      <w:sz w:val="28"/>
    </w:rPr>
  </w:style>
  <w:style w:type="paragraph" w:customStyle="1" w:styleId="References">
    <w:name w:val="References"/>
    <w:basedOn w:val="Normal"/>
    <w:rsid w:val="00005E3E"/>
    <w:pPr>
      <w:numPr>
        <w:numId w:val="14"/>
      </w:numPr>
      <w:spacing w:after="0"/>
      <w:ind w:hanging="504"/>
    </w:pPr>
  </w:style>
  <w:style w:type="paragraph" w:customStyle="1" w:styleId="Equation">
    <w:name w:val="Equation"/>
    <w:basedOn w:val="Header"/>
    <w:next w:val="Normal"/>
    <w:rsid w:val="00B83208"/>
    <w:pPr>
      <w:tabs>
        <w:tab w:val="clear" w:pos="8640"/>
        <w:tab w:val="right" w:pos="4320"/>
      </w:tabs>
    </w:pPr>
  </w:style>
  <w:style w:type="paragraph" w:customStyle="1" w:styleId="TableText">
    <w:name w:val="Table Text"/>
    <w:basedOn w:val="Normal"/>
    <w:rsid w:val="00531406"/>
    <w:pPr>
      <w:spacing w:before="40" w:after="40"/>
      <w:jc w:val="left"/>
    </w:pPr>
    <w:rPr>
      <w:sz w:val="16"/>
    </w:rPr>
  </w:style>
  <w:style w:type="paragraph" w:customStyle="1" w:styleId="AbstractTitle">
    <w:name w:val="Abstract Title"/>
    <w:basedOn w:val="Heading1"/>
    <w:next w:val="Normal"/>
    <w:rsid w:val="002058E5"/>
    <w:pPr>
      <w:spacing w:before="120" w:after="0"/>
      <w:contextualSpacing w:val="0"/>
      <w:jc w:val="center"/>
    </w:pPr>
  </w:style>
  <w:style w:type="paragraph" w:styleId="BalloonText">
    <w:name w:val="Balloon Text"/>
    <w:basedOn w:val="Normal"/>
    <w:link w:val="BalloonTextChar"/>
    <w:rsid w:val="00D02C4F"/>
    <w:pPr>
      <w:spacing w:before="0" w:after="0"/>
    </w:pPr>
    <w:rPr>
      <w:rFonts w:ascii="Tahoma" w:hAnsi="Tahoma" w:cs="Tahoma"/>
      <w:sz w:val="16"/>
      <w:szCs w:val="16"/>
    </w:rPr>
  </w:style>
  <w:style w:type="character" w:customStyle="1" w:styleId="BalloonTextChar">
    <w:name w:val="Balloon Text Char"/>
    <w:link w:val="BalloonText"/>
    <w:rsid w:val="00D02C4F"/>
    <w:rPr>
      <w:rFonts w:ascii="Tahoma" w:hAnsi="Tahoma" w:cs="Tahoma"/>
      <w:sz w:val="16"/>
      <w:szCs w:val="16"/>
    </w:rPr>
  </w:style>
  <w:style w:type="table" w:customStyle="1" w:styleId="TableGrid10">
    <w:name w:val="Table Grid1"/>
    <w:basedOn w:val="TableNormal"/>
    <w:next w:val="TableGrid"/>
    <w:uiPriority w:val="39"/>
    <w:rsid w:val="000C035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uiPriority w:val="99"/>
    <w:unhideWhenUsed/>
    <w:rsid w:val="00492A98"/>
    <w:rPr>
      <w:color w:val="0000FF"/>
      <w:u w:val="single"/>
    </w:rPr>
  </w:style>
  <w:style w:type="character" w:styleId="UnresolvedMention">
    <w:name w:val="Unresolved Mention"/>
    <w:basedOn w:val="DefaultParagraphFont"/>
    <w:uiPriority w:val="99"/>
    <w:semiHidden/>
    <w:unhideWhenUsed/>
    <w:rsid w:val="00AE2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246876">
      <w:bodyDiv w:val="1"/>
      <w:marLeft w:val="0"/>
      <w:marRight w:val="0"/>
      <w:marTop w:val="0"/>
      <w:marBottom w:val="0"/>
      <w:divBdr>
        <w:top w:val="none" w:sz="0" w:space="0" w:color="auto"/>
        <w:left w:val="none" w:sz="0" w:space="0" w:color="auto"/>
        <w:bottom w:val="none" w:sz="0" w:space="0" w:color="auto"/>
        <w:right w:val="none" w:sz="0" w:space="0" w:color="auto"/>
      </w:divBdr>
    </w:div>
    <w:div w:id="201707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hexagondownloads.blob.core.windows.net/public/Novatel/assets/Documents/Manuals/om-20000129/om-200001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A_Small%20Satellite\2012\Technical%20Program\Technical%20Sessions\Author%20Kit\SSC1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83281-8085-48CE-8F85-449D65A6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SSC12 Template</Template>
  <TotalTime>4</TotalTime>
  <Pages>12</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Number]</vt:lpstr>
    </vt:vector>
  </TitlesOfParts>
  <Company>Space Dynamics Laboratory</Company>
  <LinksUpToDate>false</LinksUpToDate>
  <CharactersWithSpaces>27649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Sonya Warner</dc:creator>
  <cp:keywords/>
  <dc:description/>
  <cp:lastModifiedBy>Krause, Linda H. (MSFC-ST13)</cp:lastModifiedBy>
  <cp:revision>4</cp:revision>
  <cp:lastPrinted>2022-07-12T14:06:00Z</cp:lastPrinted>
  <dcterms:created xsi:type="dcterms:W3CDTF">2022-07-12T15:33:00Z</dcterms:created>
  <dcterms:modified xsi:type="dcterms:W3CDTF">2022-07-12T15:45:00Z</dcterms:modified>
</cp:coreProperties>
</file>