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82"/>
        <w:tblW w:w="9936" w:type="dxa"/>
        <w:tblLook w:val="04A0" w:firstRow="1" w:lastRow="0" w:firstColumn="1" w:lastColumn="0" w:noHBand="0" w:noVBand="1"/>
      </w:tblPr>
      <w:tblGrid>
        <w:gridCol w:w="1368"/>
        <w:gridCol w:w="1224"/>
        <w:gridCol w:w="1224"/>
        <w:gridCol w:w="1224"/>
        <w:gridCol w:w="1224"/>
        <w:gridCol w:w="1224"/>
        <w:gridCol w:w="1224"/>
        <w:gridCol w:w="1224"/>
      </w:tblGrid>
      <w:tr w:rsidR="00F52E19" w:rsidRPr="00DA131B" w14:paraId="74577412" w14:textId="77777777" w:rsidTr="0063301C">
        <w:trPr>
          <w:trHeight w:val="173"/>
        </w:trPr>
        <w:tc>
          <w:tcPr>
            <w:tcW w:w="1368" w:type="dxa"/>
            <w:tcBorders>
              <w:top w:val="single" w:sz="12" w:space="0" w:color="auto"/>
              <w:left w:val="nil"/>
              <w:bottom w:val="single" w:sz="8" w:space="0" w:color="auto"/>
              <w:right w:val="nil"/>
            </w:tcBorders>
            <w:shd w:val="clear" w:color="auto" w:fill="auto"/>
            <w:vAlign w:val="center"/>
            <w:hideMark/>
          </w:tcPr>
          <w:p w14:paraId="0C985F03" w14:textId="77777777" w:rsidR="00F52E19" w:rsidRPr="00DA131B" w:rsidRDefault="00F52E19" w:rsidP="0063301C">
            <w:pPr>
              <w:spacing w:after="0" w:line="240" w:lineRule="auto"/>
              <w:rPr>
                <w:rFonts w:eastAsia="Times New Roman" w:cstheme="minorHAnsi"/>
                <w:b/>
                <w:bCs/>
                <w:sz w:val="16"/>
                <w:szCs w:val="16"/>
              </w:rPr>
            </w:pPr>
            <w:r w:rsidRPr="00DA131B">
              <w:rPr>
                <w:rFonts w:eastAsia="Times New Roman" w:cstheme="minorHAnsi"/>
                <w:b/>
                <w:bCs/>
                <w:sz w:val="16"/>
                <w:szCs w:val="16"/>
              </w:rPr>
              <w:t>Decoder</w:t>
            </w:r>
          </w:p>
        </w:tc>
        <w:tc>
          <w:tcPr>
            <w:tcW w:w="1224" w:type="dxa"/>
            <w:tcBorders>
              <w:top w:val="single" w:sz="12" w:space="0" w:color="auto"/>
              <w:left w:val="nil"/>
              <w:bottom w:val="single" w:sz="8" w:space="0" w:color="auto"/>
              <w:right w:val="nil"/>
            </w:tcBorders>
            <w:shd w:val="clear" w:color="auto" w:fill="auto"/>
            <w:vAlign w:val="center"/>
            <w:hideMark/>
          </w:tcPr>
          <w:p w14:paraId="4C81B481"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eastAsia="Times New Roman" w:cstheme="minorHAnsi"/>
                <w:b/>
                <w:bCs/>
                <w:sz w:val="16"/>
                <w:szCs w:val="16"/>
              </w:rPr>
              <w:t>Super-1</w:t>
            </w:r>
          </w:p>
        </w:tc>
        <w:tc>
          <w:tcPr>
            <w:tcW w:w="1224" w:type="dxa"/>
            <w:tcBorders>
              <w:top w:val="single" w:sz="12" w:space="0" w:color="auto"/>
              <w:left w:val="nil"/>
              <w:bottom w:val="single" w:sz="8" w:space="0" w:color="auto"/>
              <w:right w:val="nil"/>
            </w:tcBorders>
            <w:shd w:val="clear" w:color="auto" w:fill="auto"/>
            <w:vAlign w:val="center"/>
            <w:hideMark/>
          </w:tcPr>
          <w:p w14:paraId="26F69E78"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eastAsia="Times New Roman" w:cstheme="minorHAnsi"/>
                <w:b/>
                <w:bCs/>
                <w:sz w:val="16"/>
                <w:szCs w:val="16"/>
              </w:rPr>
              <w:t>Super-2</w:t>
            </w:r>
          </w:p>
        </w:tc>
        <w:tc>
          <w:tcPr>
            <w:tcW w:w="1224" w:type="dxa"/>
            <w:tcBorders>
              <w:top w:val="single" w:sz="12" w:space="0" w:color="auto"/>
              <w:left w:val="nil"/>
              <w:bottom w:val="single" w:sz="8" w:space="0" w:color="auto"/>
              <w:right w:val="nil"/>
            </w:tcBorders>
            <w:vAlign w:val="center"/>
          </w:tcPr>
          <w:p w14:paraId="5E2A20C2"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eastAsia="Times New Roman" w:cstheme="minorHAnsi"/>
                <w:b/>
                <w:bCs/>
                <w:sz w:val="16"/>
                <w:szCs w:val="16"/>
              </w:rPr>
              <w:t>Super-3</w:t>
            </w:r>
          </w:p>
        </w:tc>
        <w:tc>
          <w:tcPr>
            <w:tcW w:w="1224" w:type="dxa"/>
            <w:tcBorders>
              <w:top w:val="single" w:sz="12" w:space="0" w:color="auto"/>
              <w:left w:val="nil"/>
              <w:bottom w:val="single" w:sz="8" w:space="0" w:color="auto"/>
              <w:right w:val="nil"/>
            </w:tcBorders>
          </w:tcPr>
          <w:p w14:paraId="1137910A"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eastAsia="Times New Roman" w:cstheme="minorHAnsi"/>
                <w:b/>
                <w:bCs/>
                <w:sz w:val="16"/>
                <w:szCs w:val="16"/>
              </w:rPr>
              <w:t>Super-4</w:t>
            </w:r>
          </w:p>
        </w:tc>
        <w:tc>
          <w:tcPr>
            <w:tcW w:w="1224" w:type="dxa"/>
            <w:tcBorders>
              <w:top w:val="single" w:sz="12" w:space="0" w:color="auto"/>
              <w:left w:val="nil"/>
              <w:bottom w:val="single" w:sz="8" w:space="0" w:color="auto"/>
              <w:right w:val="nil"/>
            </w:tcBorders>
            <w:vAlign w:val="center"/>
          </w:tcPr>
          <w:p w14:paraId="1BC3E8F4"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eastAsia="Times New Roman" w:cstheme="minorHAnsi"/>
                <w:b/>
                <w:bCs/>
                <w:sz w:val="16"/>
                <w:szCs w:val="16"/>
              </w:rPr>
              <w:t>EBC-1</w:t>
            </w:r>
          </w:p>
        </w:tc>
        <w:tc>
          <w:tcPr>
            <w:tcW w:w="1224" w:type="dxa"/>
            <w:tcBorders>
              <w:top w:val="single" w:sz="12" w:space="0" w:color="auto"/>
              <w:left w:val="nil"/>
              <w:bottom w:val="single" w:sz="8" w:space="0" w:color="auto"/>
              <w:right w:val="nil"/>
            </w:tcBorders>
            <w:vAlign w:val="center"/>
          </w:tcPr>
          <w:p w14:paraId="45CC9495"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eastAsia="Times New Roman" w:cstheme="minorHAnsi"/>
                <w:b/>
                <w:bCs/>
                <w:sz w:val="16"/>
                <w:szCs w:val="16"/>
              </w:rPr>
              <w:t>EBC-2</w:t>
            </w:r>
          </w:p>
        </w:tc>
        <w:tc>
          <w:tcPr>
            <w:tcW w:w="1224" w:type="dxa"/>
            <w:tcBorders>
              <w:top w:val="single" w:sz="12" w:space="0" w:color="auto"/>
              <w:left w:val="nil"/>
              <w:bottom w:val="single" w:sz="8" w:space="0" w:color="auto"/>
              <w:right w:val="nil"/>
            </w:tcBorders>
            <w:vAlign w:val="center"/>
          </w:tcPr>
          <w:p w14:paraId="546CFDF5"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eastAsia="Times New Roman" w:cstheme="minorHAnsi"/>
                <w:b/>
                <w:bCs/>
                <w:sz w:val="16"/>
                <w:szCs w:val="16"/>
              </w:rPr>
              <w:t>EBC-3</w:t>
            </w:r>
          </w:p>
        </w:tc>
      </w:tr>
      <w:tr w:rsidR="00F52E19" w:rsidRPr="00DA131B" w14:paraId="19EC6DB7" w14:textId="77777777" w:rsidTr="0063301C">
        <w:trPr>
          <w:trHeight w:val="173"/>
        </w:trPr>
        <w:tc>
          <w:tcPr>
            <w:tcW w:w="1368" w:type="dxa"/>
            <w:tcBorders>
              <w:top w:val="nil"/>
              <w:left w:val="nil"/>
              <w:bottom w:val="nil"/>
              <w:right w:val="nil"/>
            </w:tcBorders>
            <w:shd w:val="clear" w:color="auto" w:fill="auto"/>
            <w:noWrap/>
            <w:vAlign w:val="bottom"/>
            <w:hideMark/>
          </w:tcPr>
          <w:p w14:paraId="5A0CCF19" w14:textId="4BE207B5" w:rsidR="00F52E19" w:rsidRPr="00DA131B" w:rsidRDefault="00F52E19" w:rsidP="0063301C">
            <w:pPr>
              <w:spacing w:after="0" w:line="240" w:lineRule="auto"/>
              <w:rPr>
                <w:rFonts w:eastAsia="Times New Roman" w:cstheme="minorHAnsi"/>
                <w:sz w:val="16"/>
                <w:szCs w:val="16"/>
              </w:rPr>
            </w:pPr>
            <w:r w:rsidRPr="00DA131B">
              <w:rPr>
                <w:rFonts w:eastAsia="Times New Roman" w:cstheme="minorHAnsi"/>
                <w:sz w:val="16"/>
                <w:szCs w:val="16"/>
              </w:rPr>
              <w:t>DeepLabV3+</w:t>
            </w:r>
            <w:r w:rsidRPr="00DA131B">
              <w:rPr>
                <w:rFonts w:cstheme="minorHAnsi"/>
                <w:sz w:val="16"/>
                <w:szCs w:val="16"/>
              </w:rPr>
              <w:fldChar w:fldCharType="begin" w:fldLock="1"/>
            </w:r>
            <w:r>
              <w:rPr>
                <w:rFonts w:cstheme="minorHAnsi"/>
                <w:sz w:val="16"/>
                <w:szCs w:val="16"/>
              </w:rPr>
              <w:instrText>ADDIN CSL_CITATION {"citationItems":[{"id":"ITEM-1","itemData":{"abstract":"In this work, we revisit atrous convolution, a powerful tool to explicitly adjust filter's field-of-view as well as control the resolution of feature responses computed by Deep Convolutional Neural Networks, in the application of semantic image segmentation. To handle the problem of segmenting objects at multiple scales, we design modules which employ atrous convolution in cascade or in parallel to capture multi-scale context by adopting multiple atrous rates. Furthermore, we propose to augment our previously proposed Atrous Spatial Pyramid Pooling module, which probes convolutional features at multiple scales, with image-level features encoding global context and further boost performance. We also elaborate on implementation details and share our experience on training our system. The proposed `DeepLabv3' system significantly improves over our previous DeepLab versions without DenseCRF post-processing and attains comparable performance with other state-of-art models on the PASCAL VOC 2012 semantic image segmentation benchmark.","author":[{"dropping-particle":"","family":"Chen","given":"Liang-Chieh","non-dropping-particle":"","parse-names":false,"suffix":""},{"dropping-particle":"","family":"Papandreou","given":"George","non-dropping-particle":"","parse-names":false,"suffix":""},{"dropping-particle":"","family":"Schroff","given":"Florian","non-dropping-particle":"","parse-names":false,"suffix":""},{"dropping-particle":"","family":"Adam","given":"Hartwig","non-dropping-particle":"","parse-names":false,"suffix":""}],"container-title":"arXiv preprint arXiv:1706.05587","id":"ITEM-1","issued":{"date-parts":[["2017"]]},"title":"Rethinking Atrous Convolution for Semantic Image Segmentation","type":"article-journal"},"uris":["http://www.mendeley.com/documents/?uuid=8941b800-e6e2-480b-91da-44da0823ecab"]}],"mendeley":{"formattedCitation":"&lt;sup&gt;20&lt;/sup&gt;","plainTextFormattedCitation":"20","previouslyFormattedCitation":"&lt;sup&gt;26&lt;/sup&gt;"},"properties":{"noteIndex":0},"schema":"https://github.com/citation-style-language/schema/raw/master/csl-citation.json"}</w:instrText>
            </w:r>
            <w:r w:rsidRPr="00DA131B">
              <w:rPr>
                <w:rFonts w:cstheme="minorHAnsi"/>
                <w:sz w:val="16"/>
                <w:szCs w:val="16"/>
              </w:rPr>
              <w:fldChar w:fldCharType="separate"/>
            </w:r>
            <w:r w:rsidRPr="000454AA">
              <w:rPr>
                <w:rFonts w:cstheme="minorHAnsi"/>
                <w:noProof/>
                <w:sz w:val="16"/>
                <w:szCs w:val="16"/>
                <w:vertAlign w:val="superscript"/>
              </w:rPr>
              <w:t>20</w:t>
            </w:r>
            <w:r w:rsidRPr="00DA131B">
              <w:rPr>
                <w:rFonts w:cstheme="minorHAnsi"/>
                <w:sz w:val="16"/>
                <w:szCs w:val="16"/>
              </w:rPr>
              <w:fldChar w:fldCharType="end"/>
            </w:r>
          </w:p>
        </w:tc>
        <w:tc>
          <w:tcPr>
            <w:tcW w:w="1224" w:type="dxa"/>
            <w:tcBorders>
              <w:top w:val="nil"/>
              <w:left w:val="nil"/>
              <w:bottom w:val="nil"/>
              <w:right w:val="nil"/>
            </w:tcBorders>
            <w:shd w:val="clear" w:color="auto" w:fill="auto"/>
            <w:noWrap/>
            <w:hideMark/>
          </w:tcPr>
          <w:p w14:paraId="3871D5F6"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shd w:val="clear" w:color="auto" w:fill="auto"/>
            <w:noWrap/>
            <w:hideMark/>
          </w:tcPr>
          <w:p w14:paraId="022A1D15"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24AA5286"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352C9262"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09F890D2"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86.9% ± 15.3%</w:t>
            </w:r>
          </w:p>
        </w:tc>
        <w:tc>
          <w:tcPr>
            <w:tcW w:w="1224" w:type="dxa"/>
            <w:tcBorders>
              <w:top w:val="nil"/>
              <w:left w:val="nil"/>
              <w:bottom w:val="nil"/>
              <w:right w:val="nil"/>
            </w:tcBorders>
          </w:tcPr>
          <w:p w14:paraId="1FD88C40"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76.0% ± 22.4%</w:t>
            </w:r>
          </w:p>
        </w:tc>
        <w:tc>
          <w:tcPr>
            <w:tcW w:w="1224" w:type="dxa"/>
            <w:tcBorders>
              <w:top w:val="nil"/>
              <w:left w:val="nil"/>
              <w:bottom w:val="nil"/>
              <w:right w:val="nil"/>
            </w:tcBorders>
          </w:tcPr>
          <w:p w14:paraId="5189436C"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r>
      <w:tr w:rsidR="00F52E19" w:rsidRPr="00DA131B" w14:paraId="21D60C0D" w14:textId="77777777" w:rsidTr="0063301C">
        <w:trPr>
          <w:trHeight w:val="173"/>
        </w:trPr>
        <w:tc>
          <w:tcPr>
            <w:tcW w:w="1368" w:type="dxa"/>
            <w:tcBorders>
              <w:top w:val="nil"/>
              <w:left w:val="nil"/>
              <w:bottom w:val="nil"/>
              <w:right w:val="nil"/>
            </w:tcBorders>
            <w:shd w:val="clear" w:color="auto" w:fill="auto"/>
            <w:noWrap/>
            <w:vAlign w:val="bottom"/>
            <w:hideMark/>
          </w:tcPr>
          <w:p w14:paraId="1E39B30A" w14:textId="394E972D" w:rsidR="00F52E19" w:rsidRPr="00DA131B" w:rsidRDefault="00F52E19" w:rsidP="0063301C">
            <w:pPr>
              <w:spacing w:after="0" w:line="240" w:lineRule="auto"/>
              <w:rPr>
                <w:rFonts w:eastAsia="Times New Roman" w:cstheme="minorHAnsi"/>
                <w:sz w:val="16"/>
                <w:szCs w:val="16"/>
              </w:rPr>
            </w:pPr>
            <w:r w:rsidRPr="00DA131B">
              <w:rPr>
                <w:rFonts w:eastAsia="Times New Roman" w:cstheme="minorHAnsi"/>
                <w:sz w:val="16"/>
                <w:szCs w:val="16"/>
              </w:rPr>
              <w:t>FPN</w:t>
            </w:r>
            <w:r w:rsidRPr="00DA131B">
              <w:rPr>
                <w:rFonts w:cstheme="minorHAnsi"/>
                <w:sz w:val="16"/>
                <w:szCs w:val="16"/>
              </w:rPr>
              <w:fldChar w:fldCharType="begin" w:fldLock="1"/>
            </w:r>
            <w:r>
              <w:rPr>
                <w:rFonts w:cstheme="minorHAnsi"/>
                <w:sz w:val="16"/>
                <w:szCs w:val="16"/>
              </w:rPr>
              <w:instrText>ADDIN CSL_CITATION {"citationItems":[{"id":"ITEM-1","itemData":{"author":[{"dropping-particle":"","family":"Kirillov","given":"Alexander","non-dropping-particle":"","parse-names":false,"suffix":""},{"dropping-particle":"","family":"He","given":"Kaiming","non-dropping-particle":"","parse-names":false,"suffix":""},{"dropping-particle":"","family":"Girshick","given":"Ross","non-dropping-particle":"","parse-names":false,"suffix":""},{"dropping-particle":"","family":"Dollár","given":"Piotr","non-dropping-particle":"","parse-names":false,"suffix":""}],"id":"ITEM-1","issued":{"date-parts":[["2017"]]},"title":"A unified architecture for instance and semantic segmentation","type":"article"},"uris":["http://www.mendeley.com/documents/?uuid=e575caba-2575-4d9e-91ae-b4563d3ce74e"]}],"mendeley":{"formattedCitation":"&lt;sup&gt;21&lt;/sup&gt;","plainTextFormattedCitation":"21","previouslyFormattedCitation":"&lt;sup&gt;27&lt;/sup&gt;"},"properties":{"noteIndex":0},"schema":"https://github.com/citation-style-language/schema/raw/master/csl-citation.json"}</w:instrText>
            </w:r>
            <w:r w:rsidRPr="00DA131B">
              <w:rPr>
                <w:rFonts w:cstheme="minorHAnsi"/>
                <w:sz w:val="16"/>
                <w:szCs w:val="16"/>
              </w:rPr>
              <w:fldChar w:fldCharType="separate"/>
            </w:r>
            <w:r w:rsidRPr="000454AA">
              <w:rPr>
                <w:rFonts w:cstheme="minorHAnsi"/>
                <w:noProof/>
                <w:sz w:val="16"/>
                <w:szCs w:val="16"/>
                <w:vertAlign w:val="superscript"/>
              </w:rPr>
              <w:t>21</w:t>
            </w:r>
            <w:r w:rsidRPr="00DA131B">
              <w:rPr>
                <w:rFonts w:cstheme="minorHAnsi"/>
                <w:sz w:val="16"/>
                <w:szCs w:val="16"/>
              </w:rPr>
              <w:fldChar w:fldCharType="end"/>
            </w:r>
          </w:p>
        </w:tc>
        <w:tc>
          <w:tcPr>
            <w:tcW w:w="1224" w:type="dxa"/>
            <w:tcBorders>
              <w:top w:val="nil"/>
              <w:left w:val="nil"/>
              <w:bottom w:val="nil"/>
              <w:right w:val="nil"/>
            </w:tcBorders>
            <w:shd w:val="clear" w:color="auto" w:fill="auto"/>
            <w:noWrap/>
            <w:hideMark/>
          </w:tcPr>
          <w:p w14:paraId="26964AE5"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shd w:val="clear" w:color="auto" w:fill="auto"/>
            <w:noWrap/>
            <w:hideMark/>
          </w:tcPr>
          <w:p w14:paraId="6EC3F8DF"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6F2F805D"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0C5C6BA5"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509A5628"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75.6% ± 34.9%</w:t>
            </w:r>
          </w:p>
        </w:tc>
        <w:tc>
          <w:tcPr>
            <w:tcW w:w="1224" w:type="dxa"/>
            <w:tcBorders>
              <w:top w:val="nil"/>
              <w:left w:val="nil"/>
              <w:bottom w:val="nil"/>
              <w:right w:val="nil"/>
            </w:tcBorders>
          </w:tcPr>
          <w:p w14:paraId="4BE825BB"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23FC51AC"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r>
      <w:tr w:rsidR="00F52E19" w:rsidRPr="00DA131B" w14:paraId="75C48A1E" w14:textId="77777777" w:rsidTr="0063301C">
        <w:trPr>
          <w:trHeight w:val="173"/>
        </w:trPr>
        <w:tc>
          <w:tcPr>
            <w:tcW w:w="1368" w:type="dxa"/>
            <w:tcBorders>
              <w:top w:val="nil"/>
              <w:left w:val="nil"/>
              <w:bottom w:val="nil"/>
              <w:right w:val="nil"/>
            </w:tcBorders>
            <w:shd w:val="clear" w:color="auto" w:fill="auto"/>
            <w:noWrap/>
            <w:vAlign w:val="bottom"/>
            <w:hideMark/>
          </w:tcPr>
          <w:p w14:paraId="2B991D06" w14:textId="170A6CD2" w:rsidR="00F52E19" w:rsidRPr="00DA131B" w:rsidRDefault="00F52E19" w:rsidP="0063301C">
            <w:pPr>
              <w:spacing w:after="0" w:line="240" w:lineRule="auto"/>
              <w:rPr>
                <w:rFonts w:eastAsia="Times New Roman" w:cstheme="minorHAnsi"/>
                <w:sz w:val="16"/>
                <w:szCs w:val="16"/>
              </w:rPr>
            </w:pPr>
            <w:r w:rsidRPr="00DA131B">
              <w:rPr>
                <w:rFonts w:eastAsia="Times New Roman" w:cstheme="minorHAnsi"/>
                <w:sz w:val="16"/>
                <w:szCs w:val="16"/>
              </w:rPr>
              <w:t>LinkNet</w:t>
            </w:r>
            <w:r w:rsidRPr="00DA131B">
              <w:rPr>
                <w:rFonts w:cstheme="minorHAnsi"/>
                <w:sz w:val="16"/>
                <w:szCs w:val="16"/>
              </w:rPr>
              <w:fldChar w:fldCharType="begin" w:fldLock="1"/>
            </w:r>
            <w:r>
              <w:rPr>
                <w:rFonts w:cstheme="minorHAnsi"/>
                <w:sz w:val="16"/>
                <w:szCs w:val="16"/>
              </w:rPr>
              <w:instrText>ADDIN CSL_CITATION {"citationItems":[{"id":"ITEM-1","itemData":{"ISBN":"1538604620","author":[{"dropping-particle":"","family":"Chaurasia","given":"Abhishek","non-dropping-particle":"","parse-names":false,"suffix":""},{"dropping-particle":"","family":"Culurciello","given":"Eugenio","non-dropping-particle":"","parse-names":false,"suffix":""}],"container-title":"2017 IEEE Visual Communications and Image Processing (VCIP)","id":"ITEM-1","issued":{"date-parts":[["2017"]]},"page":"1-4","publisher":"IEEE","title":"Linknet: Exploiting encoder representations for efficient semantic segmentation","type":"paper-conference"},"uris":["http://www.mendeley.com/documents/?uuid=4cc348d1-74e5-4946-869a-f75ea18d923a"]}],"mendeley":{"formattedCitation":"&lt;sup&gt;22&lt;/sup&gt;","plainTextFormattedCitation":"22","previouslyFormattedCitation":"&lt;sup&gt;28&lt;/sup&gt;"},"properties":{"noteIndex":0},"schema":"https://github.com/citation-style-language/schema/raw/master/csl-citation.json"}</w:instrText>
            </w:r>
            <w:r w:rsidRPr="00DA131B">
              <w:rPr>
                <w:rFonts w:cstheme="minorHAnsi"/>
                <w:sz w:val="16"/>
                <w:szCs w:val="16"/>
              </w:rPr>
              <w:fldChar w:fldCharType="separate"/>
            </w:r>
            <w:r w:rsidRPr="000454AA">
              <w:rPr>
                <w:rFonts w:cstheme="minorHAnsi"/>
                <w:noProof/>
                <w:sz w:val="16"/>
                <w:szCs w:val="16"/>
                <w:vertAlign w:val="superscript"/>
              </w:rPr>
              <w:t>22</w:t>
            </w:r>
            <w:r w:rsidRPr="00DA131B">
              <w:rPr>
                <w:rFonts w:cstheme="minorHAnsi"/>
                <w:sz w:val="16"/>
                <w:szCs w:val="16"/>
              </w:rPr>
              <w:fldChar w:fldCharType="end"/>
            </w:r>
          </w:p>
        </w:tc>
        <w:tc>
          <w:tcPr>
            <w:tcW w:w="1224" w:type="dxa"/>
            <w:tcBorders>
              <w:top w:val="nil"/>
              <w:left w:val="nil"/>
              <w:bottom w:val="nil"/>
              <w:right w:val="nil"/>
            </w:tcBorders>
            <w:shd w:val="clear" w:color="auto" w:fill="auto"/>
            <w:noWrap/>
          </w:tcPr>
          <w:p w14:paraId="2BFB41E7"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84.9% ± 20.1%</w:t>
            </w:r>
          </w:p>
        </w:tc>
        <w:tc>
          <w:tcPr>
            <w:tcW w:w="1224" w:type="dxa"/>
            <w:tcBorders>
              <w:top w:val="nil"/>
              <w:left w:val="nil"/>
              <w:bottom w:val="nil"/>
              <w:right w:val="nil"/>
            </w:tcBorders>
            <w:shd w:val="clear" w:color="auto" w:fill="auto"/>
            <w:noWrap/>
          </w:tcPr>
          <w:p w14:paraId="611C02C6"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59.3% ± 15.5%</w:t>
            </w:r>
          </w:p>
        </w:tc>
        <w:tc>
          <w:tcPr>
            <w:tcW w:w="1224" w:type="dxa"/>
            <w:tcBorders>
              <w:top w:val="nil"/>
              <w:left w:val="nil"/>
              <w:bottom w:val="nil"/>
              <w:right w:val="nil"/>
            </w:tcBorders>
          </w:tcPr>
          <w:p w14:paraId="0AA34731"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53.1% ± 11.9%</w:t>
            </w:r>
          </w:p>
        </w:tc>
        <w:tc>
          <w:tcPr>
            <w:tcW w:w="1224" w:type="dxa"/>
            <w:tcBorders>
              <w:top w:val="nil"/>
              <w:left w:val="nil"/>
              <w:bottom w:val="nil"/>
              <w:right w:val="nil"/>
            </w:tcBorders>
          </w:tcPr>
          <w:p w14:paraId="34EECD70"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42.1% ± 12.8%</w:t>
            </w:r>
          </w:p>
        </w:tc>
        <w:tc>
          <w:tcPr>
            <w:tcW w:w="1224" w:type="dxa"/>
            <w:tcBorders>
              <w:top w:val="nil"/>
              <w:left w:val="nil"/>
              <w:bottom w:val="nil"/>
              <w:right w:val="nil"/>
            </w:tcBorders>
          </w:tcPr>
          <w:p w14:paraId="484C02BA" w14:textId="77777777" w:rsidR="00F52E19" w:rsidRPr="00DA131B" w:rsidRDefault="00F52E19" w:rsidP="0063301C">
            <w:pPr>
              <w:spacing w:after="0" w:line="240" w:lineRule="auto"/>
              <w:jc w:val="right"/>
              <w:rPr>
                <w:rFonts w:cstheme="minorHAnsi"/>
                <w:sz w:val="16"/>
                <w:szCs w:val="16"/>
              </w:rPr>
            </w:pPr>
            <w:r w:rsidRPr="00DA131B">
              <w:rPr>
                <w:rFonts w:cstheme="minorHAnsi"/>
                <w:sz w:val="16"/>
                <w:szCs w:val="16"/>
              </w:rPr>
              <w:t>81.6% ± 25.8%</w:t>
            </w:r>
          </w:p>
        </w:tc>
        <w:tc>
          <w:tcPr>
            <w:tcW w:w="1224" w:type="dxa"/>
            <w:tcBorders>
              <w:top w:val="nil"/>
              <w:left w:val="nil"/>
              <w:bottom w:val="nil"/>
              <w:right w:val="nil"/>
            </w:tcBorders>
          </w:tcPr>
          <w:p w14:paraId="27116686" w14:textId="77777777" w:rsidR="00F52E19" w:rsidRPr="00DA131B" w:rsidRDefault="00F52E19" w:rsidP="0063301C">
            <w:pPr>
              <w:spacing w:after="0" w:line="240" w:lineRule="auto"/>
              <w:jc w:val="right"/>
              <w:rPr>
                <w:rFonts w:cstheme="minorHAnsi"/>
                <w:sz w:val="16"/>
                <w:szCs w:val="16"/>
              </w:rPr>
            </w:pPr>
            <w:r w:rsidRPr="00DA131B">
              <w:rPr>
                <w:rFonts w:cstheme="minorHAnsi"/>
                <w:sz w:val="16"/>
                <w:szCs w:val="16"/>
              </w:rPr>
              <w:t>65.8% ± 26.2%</w:t>
            </w:r>
          </w:p>
        </w:tc>
        <w:tc>
          <w:tcPr>
            <w:tcW w:w="1224" w:type="dxa"/>
            <w:tcBorders>
              <w:top w:val="nil"/>
              <w:left w:val="nil"/>
              <w:bottom w:val="nil"/>
              <w:right w:val="nil"/>
            </w:tcBorders>
          </w:tcPr>
          <w:p w14:paraId="6196EB0F" w14:textId="77777777" w:rsidR="00F52E19" w:rsidRPr="00DA131B" w:rsidRDefault="00F52E19" w:rsidP="0063301C">
            <w:pPr>
              <w:spacing w:after="0" w:line="240" w:lineRule="auto"/>
              <w:jc w:val="right"/>
              <w:rPr>
                <w:rFonts w:cstheme="minorHAnsi"/>
                <w:sz w:val="16"/>
                <w:szCs w:val="16"/>
              </w:rPr>
            </w:pPr>
            <w:r w:rsidRPr="00DA131B">
              <w:rPr>
                <w:rFonts w:eastAsia="Times New Roman" w:cstheme="minorHAnsi"/>
                <w:sz w:val="16"/>
                <w:szCs w:val="16"/>
              </w:rPr>
              <w:t>-</w:t>
            </w:r>
          </w:p>
        </w:tc>
      </w:tr>
      <w:tr w:rsidR="00F52E19" w:rsidRPr="00DA131B" w14:paraId="097F1A09" w14:textId="77777777" w:rsidTr="0063301C">
        <w:trPr>
          <w:trHeight w:val="173"/>
        </w:trPr>
        <w:tc>
          <w:tcPr>
            <w:tcW w:w="1368" w:type="dxa"/>
            <w:tcBorders>
              <w:top w:val="nil"/>
              <w:left w:val="nil"/>
              <w:bottom w:val="nil"/>
              <w:right w:val="nil"/>
            </w:tcBorders>
            <w:shd w:val="clear" w:color="auto" w:fill="auto"/>
            <w:noWrap/>
            <w:vAlign w:val="bottom"/>
            <w:hideMark/>
          </w:tcPr>
          <w:p w14:paraId="0FF3A1C7" w14:textId="05FD751B" w:rsidR="00F52E19" w:rsidRPr="00DA131B" w:rsidRDefault="00F52E19" w:rsidP="0063301C">
            <w:pPr>
              <w:spacing w:after="0" w:line="240" w:lineRule="auto"/>
              <w:rPr>
                <w:rFonts w:eastAsia="Times New Roman" w:cstheme="minorHAnsi"/>
                <w:sz w:val="16"/>
                <w:szCs w:val="16"/>
              </w:rPr>
            </w:pPr>
            <w:r w:rsidRPr="00DA131B">
              <w:rPr>
                <w:rFonts w:eastAsia="Times New Roman" w:cstheme="minorHAnsi"/>
                <w:sz w:val="16"/>
                <w:szCs w:val="16"/>
              </w:rPr>
              <w:t>PAN</w:t>
            </w:r>
            <w:r w:rsidRPr="00DA131B">
              <w:rPr>
                <w:rFonts w:cstheme="minorHAnsi"/>
                <w:sz w:val="16"/>
                <w:szCs w:val="16"/>
              </w:rPr>
              <w:fldChar w:fldCharType="begin" w:fldLock="1"/>
            </w:r>
            <w:r>
              <w:rPr>
                <w:rFonts w:cstheme="minorHAnsi"/>
                <w:sz w:val="16"/>
                <w:szCs w:val="16"/>
              </w:rPr>
              <w:instrText>ADDIN CSL_CITATION {"citationItems":[{"id":"ITEM-1","itemData":{"author":[{"dropping-particle":"","family":"Li","given":"Hanchao","non-dropping-particle":"","parse-names":false,"suffix":""},{"dropping-particle":"","family":"Xiong","given":"Pengfei","non-dropping-particle":"","parse-names":false,"suffix":""},{"dropping-particle":"","family":"An","given":"Jie","non-dropping-particle":"","parse-names":false,"suffix":""},{"dropping-particle":"","family":"Wang","given":"Lingxue","non-dropping-particle":"","parse-names":false,"suffix":""}],"container-title":"arXiv preprint arXiv:1805.10180","id":"ITEM-1","issued":{"date-parts":[["2018"]]},"title":"Pyramid attention network for semantic segmentation","type":"article-journal"},"uris":["http://www.mendeley.com/documents/?uuid=a1b963c8-0442-48fa-8a96-055226f6d713"]}],"mendeley":{"formattedCitation":"&lt;sup&gt;23&lt;/sup&gt;","plainTextFormattedCitation":"23","previouslyFormattedCitation":"&lt;sup&gt;29&lt;/sup&gt;"},"properties":{"noteIndex":0},"schema":"https://github.com/citation-style-language/schema/raw/master/csl-citation.json"}</w:instrText>
            </w:r>
            <w:r w:rsidRPr="00DA131B">
              <w:rPr>
                <w:rFonts w:cstheme="minorHAnsi"/>
                <w:sz w:val="16"/>
                <w:szCs w:val="16"/>
              </w:rPr>
              <w:fldChar w:fldCharType="separate"/>
            </w:r>
            <w:r w:rsidRPr="000454AA">
              <w:rPr>
                <w:rFonts w:cstheme="minorHAnsi"/>
                <w:noProof/>
                <w:sz w:val="16"/>
                <w:szCs w:val="16"/>
                <w:vertAlign w:val="superscript"/>
              </w:rPr>
              <w:t>23</w:t>
            </w:r>
            <w:r w:rsidRPr="00DA131B">
              <w:rPr>
                <w:rFonts w:cstheme="minorHAnsi"/>
                <w:sz w:val="16"/>
                <w:szCs w:val="16"/>
              </w:rPr>
              <w:fldChar w:fldCharType="end"/>
            </w:r>
          </w:p>
        </w:tc>
        <w:tc>
          <w:tcPr>
            <w:tcW w:w="1224" w:type="dxa"/>
            <w:tcBorders>
              <w:top w:val="nil"/>
              <w:left w:val="nil"/>
              <w:bottom w:val="nil"/>
              <w:right w:val="nil"/>
            </w:tcBorders>
            <w:shd w:val="clear" w:color="auto" w:fill="auto"/>
            <w:noWrap/>
            <w:hideMark/>
          </w:tcPr>
          <w:p w14:paraId="109212F5"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shd w:val="clear" w:color="auto" w:fill="auto"/>
            <w:noWrap/>
            <w:hideMark/>
          </w:tcPr>
          <w:p w14:paraId="4EEDF54E"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19E882EF"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07F3DD40"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317B8C3C"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85.9% ± 17.9%</w:t>
            </w:r>
          </w:p>
        </w:tc>
        <w:tc>
          <w:tcPr>
            <w:tcW w:w="1224" w:type="dxa"/>
            <w:tcBorders>
              <w:top w:val="nil"/>
              <w:left w:val="nil"/>
              <w:bottom w:val="nil"/>
              <w:right w:val="nil"/>
            </w:tcBorders>
          </w:tcPr>
          <w:p w14:paraId="6BBFA52C"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32307ED9"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r>
      <w:tr w:rsidR="00F52E19" w:rsidRPr="00DA131B" w14:paraId="4686B14E" w14:textId="77777777" w:rsidTr="0063301C">
        <w:trPr>
          <w:trHeight w:val="173"/>
        </w:trPr>
        <w:tc>
          <w:tcPr>
            <w:tcW w:w="1368" w:type="dxa"/>
            <w:tcBorders>
              <w:top w:val="nil"/>
              <w:left w:val="nil"/>
              <w:bottom w:val="nil"/>
              <w:right w:val="nil"/>
            </w:tcBorders>
            <w:shd w:val="clear" w:color="auto" w:fill="auto"/>
            <w:noWrap/>
            <w:vAlign w:val="bottom"/>
            <w:hideMark/>
          </w:tcPr>
          <w:p w14:paraId="6C167E85" w14:textId="678244DA" w:rsidR="00F52E19" w:rsidRPr="00DA131B" w:rsidRDefault="00F52E19" w:rsidP="0063301C">
            <w:pPr>
              <w:spacing w:after="0" w:line="240" w:lineRule="auto"/>
              <w:rPr>
                <w:rFonts w:eastAsia="Times New Roman" w:cstheme="minorHAnsi"/>
                <w:sz w:val="16"/>
                <w:szCs w:val="16"/>
              </w:rPr>
            </w:pPr>
            <w:r w:rsidRPr="00DA131B">
              <w:rPr>
                <w:rFonts w:eastAsia="Times New Roman" w:cstheme="minorHAnsi"/>
                <w:sz w:val="16"/>
                <w:szCs w:val="16"/>
              </w:rPr>
              <w:t>PSPNet</w:t>
            </w:r>
            <w:r w:rsidRPr="00DA131B">
              <w:rPr>
                <w:rFonts w:cstheme="minorHAnsi"/>
                <w:sz w:val="16"/>
                <w:szCs w:val="16"/>
              </w:rPr>
              <w:fldChar w:fldCharType="begin" w:fldLock="1"/>
            </w:r>
            <w:r>
              <w:rPr>
                <w:rFonts w:cstheme="minorHAnsi"/>
                <w:sz w:val="16"/>
                <w:szCs w:val="16"/>
              </w:rPr>
              <w:instrText>ADDIN CSL_CITATION {"citationItems":[{"id":"ITEM-1","itemData":{"author":[{"dropping-particle":"","family":"Zhao","given":"Hengshuang","non-dropping-particle":"","parse-names":false,"suffix":""},{"dropping-particle":"","family":"Shi","given":"Jianping","non-dropping-particle":"","parse-names":false,"suffix":""},{"dropping-particle":"","family":"Qi","given":"Xiaojuan","non-dropping-particle":"","parse-names":false,"suffix":""},{"dropping-particle":"","family":"Wang","given":"Xiaogang","non-dropping-particle":"","parse-names":false,"suffix":""},{"dropping-particle":"","family":"Jia","given":"Jiaya","non-dropping-particle":"","parse-names":false,"suffix":""}],"container-title":"Proceedings of the IEEE conference on computer vision and pattern recognition","id":"ITEM-1","issued":{"date-parts":[["2017"]]},"page":"2881-2890","title":"Pyramid scene parsing network","type":"paper-conference"},"uris":["http://www.mendeley.com/documents/?uuid=326e773d-6f08-4bee-9c85-b2079a57b7af"]}],"mendeley":{"formattedCitation":"&lt;sup&gt;24&lt;/sup&gt;","plainTextFormattedCitation":"24","previouslyFormattedCitation":"&lt;sup&gt;30&lt;/sup&gt;"},"properties":{"noteIndex":0},"schema":"https://github.com/citation-style-language/schema/raw/master/csl-citation.json"}</w:instrText>
            </w:r>
            <w:r w:rsidRPr="00DA131B">
              <w:rPr>
                <w:rFonts w:cstheme="minorHAnsi"/>
                <w:sz w:val="16"/>
                <w:szCs w:val="16"/>
              </w:rPr>
              <w:fldChar w:fldCharType="separate"/>
            </w:r>
            <w:r w:rsidRPr="000454AA">
              <w:rPr>
                <w:rFonts w:cstheme="minorHAnsi"/>
                <w:noProof/>
                <w:sz w:val="16"/>
                <w:szCs w:val="16"/>
                <w:vertAlign w:val="superscript"/>
              </w:rPr>
              <w:t>24</w:t>
            </w:r>
            <w:r w:rsidRPr="00DA131B">
              <w:rPr>
                <w:rFonts w:cstheme="minorHAnsi"/>
                <w:sz w:val="16"/>
                <w:szCs w:val="16"/>
              </w:rPr>
              <w:fldChar w:fldCharType="end"/>
            </w:r>
          </w:p>
        </w:tc>
        <w:tc>
          <w:tcPr>
            <w:tcW w:w="1224" w:type="dxa"/>
            <w:tcBorders>
              <w:top w:val="nil"/>
              <w:left w:val="nil"/>
              <w:bottom w:val="nil"/>
              <w:right w:val="nil"/>
            </w:tcBorders>
            <w:shd w:val="clear" w:color="auto" w:fill="auto"/>
            <w:noWrap/>
            <w:hideMark/>
          </w:tcPr>
          <w:p w14:paraId="36009773"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shd w:val="clear" w:color="auto" w:fill="auto"/>
            <w:noWrap/>
            <w:hideMark/>
          </w:tcPr>
          <w:p w14:paraId="4FBED63E"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672DDC97"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6574856A"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422F1750"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72.4% ± 28.5%</w:t>
            </w:r>
          </w:p>
        </w:tc>
        <w:tc>
          <w:tcPr>
            <w:tcW w:w="1224" w:type="dxa"/>
            <w:tcBorders>
              <w:top w:val="nil"/>
              <w:left w:val="nil"/>
              <w:bottom w:val="nil"/>
              <w:right w:val="nil"/>
            </w:tcBorders>
          </w:tcPr>
          <w:p w14:paraId="239E2FCE"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c>
          <w:tcPr>
            <w:tcW w:w="1224" w:type="dxa"/>
            <w:tcBorders>
              <w:top w:val="nil"/>
              <w:left w:val="nil"/>
              <w:bottom w:val="nil"/>
              <w:right w:val="nil"/>
            </w:tcBorders>
          </w:tcPr>
          <w:p w14:paraId="069CC037" w14:textId="77777777" w:rsidR="00F52E19" w:rsidRPr="00DA131B" w:rsidRDefault="00F52E19" w:rsidP="0063301C">
            <w:pPr>
              <w:spacing w:after="0" w:line="240" w:lineRule="auto"/>
              <w:jc w:val="right"/>
              <w:rPr>
                <w:rFonts w:eastAsia="Times New Roman" w:cstheme="minorHAnsi"/>
                <w:sz w:val="16"/>
                <w:szCs w:val="16"/>
              </w:rPr>
            </w:pPr>
            <w:r w:rsidRPr="00DA131B">
              <w:rPr>
                <w:rFonts w:eastAsia="Times New Roman" w:cstheme="minorHAnsi"/>
                <w:sz w:val="16"/>
                <w:szCs w:val="16"/>
              </w:rPr>
              <w:t>-</w:t>
            </w:r>
          </w:p>
        </w:tc>
      </w:tr>
      <w:tr w:rsidR="00F52E19" w:rsidRPr="00DA131B" w14:paraId="251C5FAB" w14:textId="77777777" w:rsidTr="0063301C">
        <w:trPr>
          <w:trHeight w:val="173"/>
        </w:trPr>
        <w:tc>
          <w:tcPr>
            <w:tcW w:w="1368" w:type="dxa"/>
            <w:tcBorders>
              <w:top w:val="nil"/>
              <w:left w:val="nil"/>
              <w:right w:val="nil"/>
            </w:tcBorders>
            <w:shd w:val="clear" w:color="auto" w:fill="auto"/>
            <w:noWrap/>
            <w:vAlign w:val="bottom"/>
            <w:hideMark/>
          </w:tcPr>
          <w:p w14:paraId="384CE76F" w14:textId="0B985A4E" w:rsidR="00F52E19" w:rsidRPr="00DA131B" w:rsidRDefault="00F52E19" w:rsidP="0063301C">
            <w:pPr>
              <w:spacing w:after="0" w:line="240" w:lineRule="auto"/>
              <w:rPr>
                <w:rFonts w:eastAsia="Times New Roman" w:cstheme="minorHAnsi"/>
                <w:sz w:val="16"/>
                <w:szCs w:val="16"/>
              </w:rPr>
            </w:pPr>
            <w:r w:rsidRPr="00DA131B">
              <w:rPr>
                <w:rFonts w:eastAsia="Times New Roman" w:cstheme="minorHAnsi"/>
                <w:sz w:val="16"/>
                <w:szCs w:val="16"/>
              </w:rPr>
              <w:t>Unet</w:t>
            </w:r>
            <w:r w:rsidRPr="00DA131B">
              <w:rPr>
                <w:rFonts w:cstheme="minorHAnsi"/>
                <w:sz w:val="16"/>
                <w:szCs w:val="16"/>
              </w:rPr>
              <w:fldChar w:fldCharType="begin" w:fldLock="1"/>
            </w:r>
            <w:r>
              <w:rPr>
                <w:rFonts w:cstheme="minorHAnsi"/>
                <w:sz w:val="16"/>
                <w:szCs w:val="16"/>
              </w:rPr>
              <w:instrText>ADDIN CSL_CITATION {"citationItems":[{"id":"ITEM-1","itemData":{"DOI":"10.1007/978-3-319-24574-4_28","ISBN":"9783319245737","ISSN":"16113349","abstract":"There is large consent that successful training of deep networks requires many thousand annotated training samples. In this paper, we present a network and training strategy that relies on the strong use of data augmentation to use the available annotated samples more efficiently. The architecture consists of a contracting path to capture context and a symmetric expanding path that enables precise localization. We show that such a network can be trained end-to-end from very few images and outperforms the prior best method (a sliding-window convolutional network) on the ISBI challenge for segmentation of neuronal structures in electron microscopic stacks. Using the same network trained on transmitted light microscopy images (phase contrast and DIC) we won the ISBI cell tracking challenge 2015 in these categories by a large margin. Moreover, the network is fast. Segmentation of a 512x512 image takes less than a second on a recent GPU. The full implementation (based on Caffe) and the trained networks are available at http://lmb.informatik.uni-freiburg.de/people/ronneber/u-net.","author":[{"dropping-particle":"","family":"Ronneberger","given":"Olaf","non-dropping-particle":"","parse-names":false,"suffix":""},{"dropping-particle":"","family":"Fischer","given":"Philipp","non-dropping-particle":"","parse-names":false,"suffix":""},{"dropping-particle":"","family":"Brox","given":"Thomas","non-dropping-particle":"","parse-names":false,"suffix":""}],"container-title":"International Conference on Medical image computing and computer-assisted intervention","id":"ITEM-1","issued":{"date-parts":[["2015"]]},"page":"234-241","publisher":"Springer","title":"U-net: Convolutional networks for biomedical image segmentation","type":"paper-conference","volume":"9351"},"uris":["http://www.mendeley.com/documents/?uuid=1feb140f-f91f-44e5-84c3-76cba8217378"]}],"mendeley":{"formattedCitation":"&lt;sup&gt;25&lt;/sup&gt;","plainTextFormattedCitation":"25","previouslyFormattedCitation":"&lt;sup&gt;31&lt;/sup&gt;"},"properties":{"noteIndex":0},"schema":"https://github.com/citation-style-language/schema/raw/master/csl-citation.json"}</w:instrText>
            </w:r>
            <w:r w:rsidRPr="00DA131B">
              <w:rPr>
                <w:rFonts w:cstheme="minorHAnsi"/>
                <w:sz w:val="16"/>
                <w:szCs w:val="16"/>
              </w:rPr>
              <w:fldChar w:fldCharType="separate"/>
            </w:r>
            <w:r w:rsidRPr="000454AA">
              <w:rPr>
                <w:rFonts w:cstheme="minorHAnsi"/>
                <w:noProof/>
                <w:sz w:val="16"/>
                <w:szCs w:val="16"/>
                <w:vertAlign w:val="superscript"/>
              </w:rPr>
              <w:t>25</w:t>
            </w:r>
            <w:r w:rsidRPr="00DA131B">
              <w:rPr>
                <w:rFonts w:cstheme="minorHAnsi"/>
                <w:sz w:val="16"/>
                <w:szCs w:val="16"/>
              </w:rPr>
              <w:fldChar w:fldCharType="end"/>
            </w:r>
          </w:p>
        </w:tc>
        <w:tc>
          <w:tcPr>
            <w:tcW w:w="1224" w:type="dxa"/>
            <w:tcBorders>
              <w:top w:val="nil"/>
              <w:left w:val="nil"/>
              <w:right w:val="nil"/>
            </w:tcBorders>
            <w:shd w:val="clear" w:color="auto" w:fill="auto"/>
            <w:noWrap/>
            <w:hideMark/>
          </w:tcPr>
          <w:p w14:paraId="79576EF4"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88.0% ± 15.1%</w:t>
            </w:r>
          </w:p>
        </w:tc>
        <w:tc>
          <w:tcPr>
            <w:tcW w:w="1224" w:type="dxa"/>
            <w:tcBorders>
              <w:top w:val="nil"/>
              <w:left w:val="nil"/>
              <w:right w:val="nil"/>
            </w:tcBorders>
            <w:shd w:val="clear" w:color="auto" w:fill="auto"/>
            <w:noWrap/>
            <w:hideMark/>
          </w:tcPr>
          <w:p w14:paraId="2A487A7B"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cstheme="minorHAnsi"/>
                <w:b/>
                <w:bCs/>
                <w:sz w:val="16"/>
                <w:szCs w:val="16"/>
              </w:rPr>
              <w:t>67.0% ± 17.7%</w:t>
            </w:r>
          </w:p>
        </w:tc>
        <w:tc>
          <w:tcPr>
            <w:tcW w:w="1224" w:type="dxa"/>
            <w:tcBorders>
              <w:top w:val="nil"/>
              <w:left w:val="nil"/>
              <w:right w:val="nil"/>
            </w:tcBorders>
          </w:tcPr>
          <w:p w14:paraId="398F93A1"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cstheme="minorHAnsi"/>
                <w:b/>
                <w:bCs/>
                <w:sz w:val="16"/>
                <w:szCs w:val="16"/>
              </w:rPr>
              <w:t>62.3% ± 12.3%</w:t>
            </w:r>
          </w:p>
        </w:tc>
        <w:tc>
          <w:tcPr>
            <w:tcW w:w="1224" w:type="dxa"/>
            <w:tcBorders>
              <w:top w:val="nil"/>
              <w:left w:val="nil"/>
              <w:right w:val="nil"/>
            </w:tcBorders>
          </w:tcPr>
          <w:p w14:paraId="541F6440"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cstheme="minorHAnsi"/>
                <w:sz w:val="16"/>
                <w:szCs w:val="16"/>
              </w:rPr>
              <w:t>48.4% ± 14.9%</w:t>
            </w:r>
          </w:p>
        </w:tc>
        <w:tc>
          <w:tcPr>
            <w:tcW w:w="1224" w:type="dxa"/>
            <w:tcBorders>
              <w:top w:val="nil"/>
              <w:left w:val="nil"/>
              <w:right w:val="nil"/>
            </w:tcBorders>
          </w:tcPr>
          <w:p w14:paraId="5355C025" w14:textId="77777777" w:rsidR="00F52E19" w:rsidRPr="00DA131B" w:rsidRDefault="00F52E19" w:rsidP="0063301C">
            <w:pPr>
              <w:spacing w:after="0" w:line="240" w:lineRule="auto"/>
              <w:jc w:val="right"/>
              <w:rPr>
                <w:rFonts w:cstheme="minorHAnsi"/>
                <w:sz w:val="16"/>
                <w:szCs w:val="16"/>
              </w:rPr>
            </w:pPr>
            <w:r w:rsidRPr="00DA131B">
              <w:rPr>
                <w:rFonts w:cstheme="minorHAnsi"/>
                <w:sz w:val="16"/>
                <w:szCs w:val="16"/>
              </w:rPr>
              <w:t>89.9% ± 13.1%</w:t>
            </w:r>
          </w:p>
        </w:tc>
        <w:tc>
          <w:tcPr>
            <w:tcW w:w="1224" w:type="dxa"/>
            <w:tcBorders>
              <w:top w:val="nil"/>
              <w:left w:val="nil"/>
              <w:right w:val="nil"/>
            </w:tcBorders>
          </w:tcPr>
          <w:p w14:paraId="1BB91D91" w14:textId="77777777" w:rsidR="00F52E19" w:rsidRPr="00DA131B" w:rsidRDefault="00F52E19" w:rsidP="0063301C">
            <w:pPr>
              <w:spacing w:after="0" w:line="240" w:lineRule="auto"/>
              <w:jc w:val="right"/>
              <w:rPr>
                <w:rFonts w:cstheme="minorHAnsi"/>
                <w:sz w:val="16"/>
                <w:szCs w:val="16"/>
              </w:rPr>
            </w:pPr>
            <w:r w:rsidRPr="00DA131B">
              <w:rPr>
                <w:rFonts w:cstheme="minorHAnsi"/>
                <w:b/>
                <w:bCs/>
                <w:sz w:val="16"/>
                <w:szCs w:val="16"/>
              </w:rPr>
              <w:t>76.7% ± 22.1%</w:t>
            </w:r>
          </w:p>
        </w:tc>
        <w:tc>
          <w:tcPr>
            <w:tcW w:w="1224" w:type="dxa"/>
            <w:tcBorders>
              <w:top w:val="nil"/>
              <w:left w:val="nil"/>
              <w:right w:val="nil"/>
            </w:tcBorders>
          </w:tcPr>
          <w:p w14:paraId="27AFFA27" w14:textId="77777777" w:rsidR="00F52E19" w:rsidRPr="00DA131B" w:rsidRDefault="00F52E19" w:rsidP="0063301C">
            <w:pPr>
              <w:spacing w:after="0" w:line="240" w:lineRule="auto"/>
              <w:jc w:val="right"/>
              <w:rPr>
                <w:rFonts w:cstheme="minorHAnsi"/>
                <w:sz w:val="16"/>
                <w:szCs w:val="16"/>
              </w:rPr>
            </w:pPr>
            <w:r w:rsidRPr="00DA131B">
              <w:rPr>
                <w:rFonts w:cstheme="minorHAnsi"/>
                <w:b/>
                <w:bCs/>
                <w:sz w:val="16"/>
                <w:szCs w:val="16"/>
              </w:rPr>
              <w:t>40.3% ± 8.4%</w:t>
            </w:r>
          </w:p>
        </w:tc>
      </w:tr>
      <w:tr w:rsidR="00F52E19" w:rsidRPr="00DA131B" w14:paraId="78DC25AF" w14:textId="77777777" w:rsidTr="0063301C">
        <w:trPr>
          <w:trHeight w:val="173"/>
        </w:trPr>
        <w:tc>
          <w:tcPr>
            <w:tcW w:w="1368" w:type="dxa"/>
            <w:tcBorders>
              <w:top w:val="nil"/>
              <w:left w:val="nil"/>
              <w:bottom w:val="single" w:sz="12" w:space="0" w:color="auto"/>
              <w:right w:val="nil"/>
            </w:tcBorders>
            <w:shd w:val="clear" w:color="auto" w:fill="auto"/>
            <w:noWrap/>
            <w:vAlign w:val="bottom"/>
            <w:hideMark/>
          </w:tcPr>
          <w:p w14:paraId="4C8EF11F" w14:textId="6ECD2685" w:rsidR="00F52E19" w:rsidRPr="00DA131B" w:rsidRDefault="00F52E19" w:rsidP="0063301C">
            <w:pPr>
              <w:spacing w:after="0" w:line="240" w:lineRule="auto"/>
              <w:rPr>
                <w:rFonts w:eastAsia="Times New Roman" w:cstheme="minorHAnsi"/>
                <w:sz w:val="16"/>
                <w:szCs w:val="16"/>
              </w:rPr>
            </w:pPr>
            <w:proofErr w:type="spellStart"/>
            <w:r w:rsidRPr="00DA131B">
              <w:rPr>
                <w:rFonts w:eastAsia="Times New Roman" w:cstheme="minorHAnsi"/>
                <w:sz w:val="16"/>
                <w:szCs w:val="16"/>
              </w:rPr>
              <w:t>Unet</w:t>
            </w:r>
            <w:proofErr w:type="spellEnd"/>
            <w:r w:rsidRPr="00DA131B">
              <w:rPr>
                <w:rFonts w:eastAsia="Times New Roman" w:cstheme="minorHAnsi"/>
                <w:sz w:val="16"/>
                <w:szCs w:val="16"/>
              </w:rPr>
              <w:t>++</w:t>
            </w:r>
            <w:r w:rsidRPr="00DA131B">
              <w:rPr>
                <w:rFonts w:cstheme="minorHAnsi"/>
                <w:sz w:val="16"/>
                <w:szCs w:val="16"/>
              </w:rPr>
              <w:fldChar w:fldCharType="begin" w:fldLock="1"/>
            </w:r>
            <w:r>
              <w:rPr>
                <w:rFonts w:cstheme="minorHAnsi"/>
                <w:sz w:val="16"/>
                <w:szCs w:val="16"/>
              </w:rPr>
              <w:instrText>ADDIN CSL_CITATION {"citationItems":[{"id":"ITEM-1","itemData":{"ISSN":"0278-0062","author":[{"dropping-particle":"","family":"Zhou","given":"Zongwei","non-dropping-particle":"","parse-names":false,"suffix":""},{"dropping-particle":"","family":"Siddiquee","given":"Md Mahfuzur Rahman","non-dropping-particle":"","parse-names":false,"suffix":""},{"dropping-particle":"","family":"Tajbakhsh","given":"Nima","non-dropping-particle":"","parse-names":false,"suffix":""},{"dropping-particle":"","family":"Liang","given":"Jianming","non-dropping-particle":"","parse-names":false,"suffix":""}],"container-title":"IEEE transactions on medical imaging","id":"ITEM-1","issue":"6","issued":{"date-parts":[["2019"]]},"page":"1856-1867","publisher":"IEEE","title":"Unet++: Redesigning skip connections to exploit multiscale features in image segmentation","type":"article-journal","volume":"39"},"uris":["http://www.mendeley.com/documents/?uuid=74f679bb-008f-4466-9fda-1f73692b87b1"]}],"mendeley":{"formattedCitation":"&lt;sup&gt;26&lt;/sup&gt;","plainTextFormattedCitation":"26","previouslyFormattedCitation":"&lt;sup&gt;32&lt;/sup&gt;"},"properties":{"noteIndex":0},"schema":"https://github.com/citation-style-language/schema/raw/master/csl-citation.json"}</w:instrText>
            </w:r>
            <w:r w:rsidRPr="00DA131B">
              <w:rPr>
                <w:rFonts w:cstheme="minorHAnsi"/>
                <w:sz w:val="16"/>
                <w:szCs w:val="16"/>
              </w:rPr>
              <w:fldChar w:fldCharType="separate"/>
            </w:r>
            <w:r w:rsidRPr="000454AA">
              <w:rPr>
                <w:rFonts w:cstheme="minorHAnsi"/>
                <w:noProof/>
                <w:sz w:val="16"/>
                <w:szCs w:val="16"/>
                <w:vertAlign w:val="superscript"/>
              </w:rPr>
              <w:t>26</w:t>
            </w:r>
            <w:r w:rsidRPr="00DA131B">
              <w:rPr>
                <w:rFonts w:cstheme="minorHAnsi"/>
                <w:sz w:val="16"/>
                <w:szCs w:val="16"/>
              </w:rPr>
              <w:fldChar w:fldCharType="end"/>
            </w:r>
          </w:p>
        </w:tc>
        <w:tc>
          <w:tcPr>
            <w:tcW w:w="1224" w:type="dxa"/>
            <w:tcBorders>
              <w:top w:val="nil"/>
              <w:left w:val="nil"/>
              <w:bottom w:val="single" w:sz="12" w:space="0" w:color="auto"/>
              <w:right w:val="nil"/>
            </w:tcBorders>
            <w:shd w:val="clear" w:color="auto" w:fill="auto"/>
            <w:noWrap/>
            <w:hideMark/>
          </w:tcPr>
          <w:p w14:paraId="22C50F7A"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cstheme="minorHAnsi"/>
                <w:b/>
                <w:bCs/>
                <w:sz w:val="16"/>
                <w:szCs w:val="16"/>
              </w:rPr>
              <w:t>89.9% ± 16.3%</w:t>
            </w:r>
          </w:p>
        </w:tc>
        <w:tc>
          <w:tcPr>
            <w:tcW w:w="1224" w:type="dxa"/>
            <w:tcBorders>
              <w:top w:val="nil"/>
              <w:left w:val="nil"/>
              <w:bottom w:val="single" w:sz="12" w:space="0" w:color="auto"/>
              <w:right w:val="nil"/>
            </w:tcBorders>
            <w:shd w:val="clear" w:color="auto" w:fill="auto"/>
            <w:noWrap/>
            <w:hideMark/>
          </w:tcPr>
          <w:p w14:paraId="7CEF6D4B"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66.6% ± 17.8%</w:t>
            </w:r>
          </w:p>
        </w:tc>
        <w:tc>
          <w:tcPr>
            <w:tcW w:w="1224" w:type="dxa"/>
            <w:tcBorders>
              <w:top w:val="nil"/>
              <w:left w:val="nil"/>
              <w:bottom w:val="single" w:sz="12" w:space="0" w:color="auto"/>
              <w:right w:val="nil"/>
            </w:tcBorders>
          </w:tcPr>
          <w:p w14:paraId="0840DC5F" w14:textId="77777777" w:rsidR="00F52E19" w:rsidRPr="00DA131B" w:rsidRDefault="00F52E19" w:rsidP="0063301C">
            <w:pPr>
              <w:spacing w:after="0" w:line="240" w:lineRule="auto"/>
              <w:jc w:val="right"/>
              <w:rPr>
                <w:rFonts w:eastAsia="Times New Roman" w:cstheme="minorHAnsi"/>
                <w:sz w:val="16"/>
                <w:szCs w:val="16"/>
              </w:rPr>
            </w:pPr>
            <w:r w:rsidRPr="00DA131B">
              <w:rPr>
                <w:rFonts w:cstheme="minorHAnsi"/>
                <w:sz w:val="16"/>
                <w:szCs w:val="16"/>
              </w:rPr>
              <w:t>62.1% ± 11.9%</w:t>
            </w:r>
          </w:p>
        </w:tc>
        <w:tc>
          <w:tcPr>
            <w:tcW w:w="1224" w:type="dxa"/>
            <w:tcBorders>
              <w:top w:val="nil"/>
              <w:left w:val="nil"/>
              <w:bottom w:val="single" w:sz="12" w:space="0" w:color="auto"/>
              <w:right w:val="nil"/>
            </w:tcBorders>
          </w:tcPr>
          <w:p w14:paraId="3B52E162" w14:textId="77777777" w:rsidR="00F52E19" w:rsidRPr="00DA131B" w:rsidRDefault="00F52E19" w:rsidP="0063301C">
            <w:pPr>
              <w:spacing w:after="0" w:line="240" w:lineRule="auto"/>
              <w:jc w:val="right"/>
              <w:rPr>
                <w:rFonts w:eastAsia="Times New Roman" w:cstheme="minorHAnsi"/>
                <w:b/>
                <w:bCs/>
                <w:sz w:val="16"/>
                <w:szCs w:val="16"/>
              </w:rPr>
            </w:pPr>
            <w:r w:rsidRPr="00DA131B">
              <w:rPr>
                <w:rFonts w:cstheme="minorHAnsi"/>
                <w:b/>
                <w:bCs/>
                <w:sz w:val="16"/>
                <w:szCs w:val="16"/>
              </w:rPr>
              <w:t>49.3% ± 14.9%</w:t>
            </w:r>
          </w:p>
        </w:tc>
        <w:tc>
          <w:tcPr>
            <w:tcW w:w="1224" w:type="dxa"/>
            <w:tcBorders>
              <w:top w:val="nil"/>
              <w:left w:val="nil"/>
              <w:bottom w:val="single" w:sz="12" w:space="0" w:color="auto"/>
              <w:right w:val="nil"/>
            </w:tcBorders>
          </w:tcPr>
          <w:p w14:paraId="759D4145" w14:textId="77777777" w:rsidR="00F52E19" w:rsidRPr="00DA131B" w:rsidRDefault="00F52E19" w:rsidP="0063301C">
            <w:pPr>
              <w:spacing w:after="0" w:line="240" w:lineRule="auto"/>
              <w:jc w:val="right"/>
              <w:rPr>
                <w:rFonts w:cstheme="minorHAnsi"/>
                <w:b/>
                <w:bCs/>
                <w:sz w:val="16"/>
                <w:szCs w:val="16"/>
              </w:rPr>
            </w:pPr>
            <w:r w:rsidRPr="00DA131B">
              <w:rPr>
                <w:rFonts w:cstheme="minorHAnsi"/>
                <w:b/>
                <w:bCs/>
                <w:sz w:val="16"/>
                <w:szCs w:val="16"/>
              </w:rPr>
              <w:t>90.3% ± 15.2%</w:t>
            </w:r>
          </w:p>
        </w:tc>
        <w:tc>
          <w:tcPr>
            <w:tcW w:w="1224" w:type="dxa"/>
            <w:tcBorders>
              <w:top w:val="nil"/>
              <w:left w:val="nil"/>
              <w:bottom w:val="single" w:sz="12" w:space="0" w:color="auto"/>
              <w:right w:val="nil"/>
            </w:tcBorders>
          </w:tcPr>
          <w:p w14:paraId="2CDDD7A6" w14:textId="77777777" w:rsidR="00F52E19" w:rsidRPr="00DA131B" w:rsidRDefault="00F52E19" w:rsidP="0063301C">
            <w:pPr>
              <w:spacing w:after="0" w:line="240" w:lineRule="auto"/>
              <w:jc w:val="right"/>
              <w:rPr>
                <w:rFonts w:cstheme="minorHAnsi"/>
                <w:b/>
                <w:bCs/>
                <w:sz w:val="16"/>
                <w:szCs w:val="16"/>
              </w:rPr>
            </w:pPr>
            <w:r w:rsidRPr="00DA131B">
              <w:rPr>
                <w:rFonts w:cstheme="minorHAnsi"/>
                <w:sz w:val="16"/>
                <w:szCs w:val="16"/>
              </w:rPr>
              <w:t>76.5% ± 25.5%</w:t>
            </w:r>
          </w:p>
        </w:tc>
        <w:tc>
          <w:tcPr>
            <w:tcW w:w="1224" w:type="dxa"/>
            <w:tcBorders>
              <w:top w:val="nil"/>
              <w:left w:val="nil"/>
              <w:bottom w:val="single" w:sz="12" w:space="0" w:color="auto"/>
              <w:right w:val="nil"/>
            </w:tcBorders>
          </w:tcPr>
          <w:p w14:paraId="55A6BE37" w14:textId="77777777" w:rsidR="00F52E19" w:rsidRPr="00DA131B" w:rsidRDefault="00F52E19" w:rsidP="0063301C">
            <w:pPr>
              <w:spacing w:after="0" w:line="240" w:lineRule="auto"/>
              <w:jc w:val="right"/>
              <w:rPr>
                <w:rFonts w:cstheme="minorHAnsi"/>
                <w:b/>
                <w:bCs/>
                <w:sz w:val="16"/>
                <w:szCs w:val="16"/>
              </w:rPr>
            </w:pPr>
            <w:r w:rsidRPr="00DA131B">
              <w:rPr>
                <w:rFonts w:cstheme="minorHAnsi"/>
                <w:sz w:val="16"/>
                <w:szCs w:val="16"/>
              </w:rPr>
              <w:t>40.0% ± 8.9%</w:t>
            </w:r>
          </w:p>
        </w:tc>
      </w:tr>
    </w:tbl>
    <w:p w14:paraId="16736E9C" w14:textId="77777777" w:rsidR="00F814FE" w:rsidRDefault="00F814FE" w:rsidP="00F52E19"/>
    <w:sectPr w:rsidR="00F8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B7"/>
    <w:rsid w:val="00662B1F"/>
    <w:rsid w:val="00663FB7"/>
    <w:rsid w:val="00830D1B"/>
    <w:rsid w:val="00A12585"/>
    <w:rsid w:val="00F52E19"/>
    <w:rsid w:val="00F8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392E"/>
  <w15:chartTrackingRefBased/>
  <w15:docId w15:val="{225E1CB7-C75C-4B1B-BA07-AAA91070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1563</Words>
  <Characters>8914</Characters>
  <Application>Microsoft Office Word</Application>
  <DocSecurity>0</DocSecurity>
  <Lines>74</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Stuckner, Joshua (GRC-LMS0)</dc:creator>
  <cp:keywords/>
  <dc:description/>
  <cp:lastModifiedBy>Stuckner, Joshua (GRC-LMS0)</cp:lastModifiedBy>
  <cp:revision>3</cp:revision>
  <dcterms:created xsi:type="dcterms:W3CDTF">2022-08-11T20:39:00Z</dcterms:created>
  <dcterms:modified xsi:type="dcterms:W3CDTF">2022-08-17T20:24:00Z</dcterms:modified>
</cp:coreProperties>
</file>