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15CB4" w14:textId="2C49EBCC" w:rsidR="2FA20DD9" w:rsidRDefault="2FA20DD9" w:rsidP="2FA20DD9">
      <w:pPr>
        <w:tabs>
          <w:tab w:val="left" w:pos="7329"/>
        </w:tabs>
        <w:spacing w:after="0" w:line="240" w:lineRule="auto"/>
        <w:jc w:val="right"/>
        <w:rPr>
          <w:rFonts w:eastAsia="Garamond" w:cs="Garamond"/>
          <w:color w:val="000000" w:themeColor="text1"/>
          <w:sz w:val="40"/>
          <w:szCs w:val="40"/>
        </w:rPr>
      </w:pPr>
      <w:r w:rsidRPr="2FA20DD9">
        <w:rPr>
          <w:rFonts w:eastAsia="Garamond" w:cs="Garamond"/>
          <w:color w:val="000000" w:themeColor="text1"/>
          <w:sz w:val="40"/>
          <w:szCs w:val="40"/>
        </w:rPr>
        <w:t>Chesapeake Bay Water Resources</w:t>
      </w:r>
    </w:p>
    <w:p w14:paraId="1B5FCB5F" w14:textId="4E8D0CEC" w:rsidR="2FA20DD9" w:rsidRDefault="2FA20DD9" w:rsidP="2FA20DD9">
      <w:pPr>
        <w:spacing w:after="0" w:line="240" w:lineRule="auto"/>
        <w:jc w:val="right"/>
        <w:rPr>
          <w:rFonts w:eastAsia="Garamond" w:cs="Garamond"/>
          <w:color w:val="000000" w:themeColor="text1"/>
          <w:sz w:val="28"/>
          <w:szCs w:val="28"/>
        </w:rPr>
      </w:pPr>
      <w:r w:rsidRPr="2FA20DD9">
        <w:rPr>
          <w:rFonts w:eastAsia="Garamond" w:cs="Garamond"/>
          <w:color w:val="000000" w:themeColor="text1"/>
          <w:sz w:val="28"/>
          <w:szCs w:val="28"/>
        </w:rPr>
        <w:t xml:space="preserve">Characterization of Sediment Dynamics for Enhanced Water Quality Monitoring in </w:t>
      </w:r>
      <w:bookmarkStart w:id="0" w:name="_Int_mBchGHyk"/>
      <w:r w:rsidRPr="2FA20DD9">
        <w:rPr>
          <w:rFonts w:eastAsia="Garamond" w:cs="Garamond"/>
          <w:color w:val="000000" w:themeColor="text1"/>
          <w:sz w:val="28"/>
          <w:szCs w:val="28"/>
        </w:rPr>
        <w:t>the Chesapeake</w:t>
      </w:r>
      <w:bookmarkEnd w:id="0"/>
      <w:r w:rsidRPr="2FA20DD9">
        <w:rPr>
          <w:rFonts w:eastAsia="Garamond" w:cs="Garamond"/>
          <w:color w:val="000000" w:themeColor="text1"/>
          <w:sz w:val="28"/>
          <w:szCs w:val="28"/>
        </w:rPr>
        <w:t xml:space="preserve"> Bay</w:t>
      </w:r>
    </w:p>
    <w:p w14:paraId="4065B1E7" w14:textId="122EC847" w:rsidR="2FA20DD9" w:rsidRDefault="2FA20DD9" w:rsidP="2FA20DD9">
      <w:pPr>
        <w:spacing w:after="0" w:line="240" w:lineRule="auto"/>
        <w:rPr>
          <w:rFonts w:eastAsia="Garamond" w:cs="Garamond"/>
          <w:color w:val="000000" w:themeColor="text1"/>
          <w:sz w:val="32"/>
          <w:szCs w:val="32"/>
        </w:rPr>
      </w:pPr>
    </w:p>
    <w:p w14:paraId="15F54DE6" w14:textId="4F846FB9" w:rsidR="2FA20DD9" w:rsidRDefault="2FA20DD9" w:rsidP="2FA20DD9">
      <w:pPr>
        <w:spacing w:after="0" w:line="240" w:lineRule="auto"/>
        <w:rPr>
          <w:rFonts w:eastAsia="Garamond" w:cs="Garamond"/>
          <w:color w:val="000000" w:themeColor="text1"/>
          <w:sz w:val="32"/>
          <w:szCs w:val="32"/>
        </w:rPr>
      </w:pPr>
    </w:p>
    <w:p w14:paraId="708B3B08" w14:textId="471E40B6" w:rsidR="2FA20DD9" w:rsidRDefault="2FA20DD9" w:rsidP="2FA20DD9">
      <w:pPr>
        <w:spacing w:after="0" w:line="240" w:lineRule="auto"/>
        <w:rPr>
          <w:rFonts w:eastAsia="Garamond" w:cs="Garamond"/>
          <w:color w:val="000000" w:themeColor="text1"/>
          <w:sz w:val="32"/>
          <w:szCs w:val="32"/>
        </w:rPr>
      </w:pPr>
    </w:p>
    <w:p w14:paraId="753B7B46" w14:textId="2B25ACA6" w:rsidR="2FA20DD9" w:rsidRDefault="2FA20DD9" w:rsidP="2FA20DD9">
      <w:pPr>
        <w:spacing w:after="0" w:line="240" w:lineRule="auto"/>
        <w:jc w:val="center"/>
        <w:rPr>
          <w:rFonts w:eastAsia="Garamond" w:cs="Garamond"/>
          <w:color w:val="000000" w:themeColor="text1"/>
          <w:sz w:val="32"/>
          <w:szCs w:val="32"/>
        </w:rPr>
      </w:pPr>
    </w:p>
    <w:p w14:paraId="72CF9162" w14:textId="05941658" w:rsidR="2FA20DD9" w:rsidRDefault="2FA20DD9" w:rsidP="2FA20DD9">
      <w:pPr>
        <w:spacing w:after="0" w:line="240" w:lineRule="auto"/>
        <w:jc w:val="center"/>
        <w:rPr>
          <w:rFonts w:eastAsia="Garamond" w:cs="Garamond"/>
          <w:color w:val="000000" w:themeColor="text1"/>
          <w:sz w:val="32"/>
          <w:szCs w:val="32"/>
        </w:rPr>
      </w:pPr>
    </w:p>
    <w:p w14:paraId="21B0270B" w14:textId="10F76D6F" w:rsidR="2FA20DD9" w:rsidRDefault="2FA20DD9" w:rsidP="2FA20DD9">
      <w:pPr>
        <w:spacing w:after="0" w:line="240" w:lineRule="auto"/>
        <w:jc w:val="center"/>
        <w:rPr>
          <w:rFonts w:eastAsia="Garamond" w:cs="Garamond"/>
          <w:color w:val="000000" w:themeColor="text1"/>
          <w:sz w:val="32"/>
          <w:szCs w:val="32"/>
        </w:rPr>
      </w:pPr>
      <w:r>
        <w:rPr>
          <w:noProof/>
        </w:rPr>
        <w:drawing>
          <wp:inline distT="0" distB="0" distL="0" distR="0" wp14:anchorId="1C92B514" wp14:editId="630A3A12">
            <wp:extent cx="971550" cy="190500"/>
            <wp:effectExtent l="0" t="0" r="0" b="0"/>
            <wp:docPr id="519333751" name="Picture 51933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971550" cy="190500"/>
                    </a:xfrm>
                    <a:prstGeom prst="rect">
                      <a:avLst/>
                    </a:prstGeom>
                  </pic:spPr>
                </pic:pic>
              </a:graphicData>
            </a:graphic>
          </wp:inline>
        </w:drawing>
      </w:r>
      <w:r w:rsidRPr="2FA20DD9">
        <w:rPr>
          <w:rFonts w:eastAsia="Garamond" w:cs="Garamond"/>
          <w:b/>
          <w:bCs/>
          <w:color w:val="000000" w:themeColor="text1"/>
          <w:sz w:val="32"/>
          <w:szCs w:val="32"/>
        </w:rPr>
        <w:t>Technical Report</w:t>
      </w:r>
    </w:p>
    <w:p w14:paraId="0AA463A0" w14:textId="1DE55856" w:rsidR="2FA20DD9" w:rsidRDefault="544E4BB6" w:rsidP="13CB051E">
      <w:pPr>
        <w:spacing w:after="0" w:line="240" w:lineRule="auto"/>
        <w:jc w:val="center"/>
        <w:rPr>
          <w:rFonts w:eastAsia="Garamond" w:cs="Garamond"/>
          <w:color w:val="000000" w:themeColor="text1"/>
          <w:sz w:val="28"/>
          <w:szCs w:val="28"/>
        </w:rPr>
      </w:pPr>
      <w:r w:rsidRPr="13CB051E">
        <w:rPr>
          <w:rFonts w:eastAsia="Garamond" w:cs="Garamond"/>
          <w:color w:val="000000" w:themeColor="text1"/>
          <w:sz w:val="28"/>
          <w:szCs w:val="28"/>
        </w:rPr>
        <w:t>Final Draft – August 11</w:t>
      </w:r>
      <w:r w:rsidRPr="13CB051E">
        <w:rPr>
          <w:rFonts w:eastAsia="Garamond" w:cs="Garamond"/>
          <w:color w:val="000000" w:themeColor="text1"/>
          <w:sz w:val="28"/>
          <w:szCs w:val="28"/>
          <w:vertAlign w:val="superscript"/>
        </w:rPr>
        <w:t>th</w:t>
      </w:r>
      <w:r w:rsidRPr="13CB051E">
        <w:rPr>
          <w:rFonts w:eastAsia="Garamond" w:cs="Garamond"/>
          <w:color w:val="000000" w:themeColor="text1"/>
          <w:sz w:val="28"/>
          <w:szCs w:val="28"/>
        </w:rPr>
        <w:t>, 2022</w:t>
      </w:r>
    </w:p>
    <w:p w14:paraId="7F6602D2" w14:textId="4BD78830" w:rsidR="2FA20DD9" w:rsidRDefault="2FA20DD9" w:rsidP="2FA20DD9">
      <w:pPr>
        <w:spacing w:after="0" w:line="240" w:lineRule="auto"/>
        <w:jc w:val="center"/>
        <w:rPr>
          <w:rFonts w:eastAsia="Garamond" w:cs="Garamond"/>
          <w:color w:val="000000" w:themeColor="text1"/>
          <w:sz w:val="20"/>
          <w:szCs w:val="20"/>
        </w:rPr>
      </w:pPr>
    </w:p>
    <w:p w14:paraId="5619ADF2" w14:textId="5EC71F98" w:rsidR="2FA20DD9" w:rsidRDefault="2FA20DD9" w:rsidP="2FA20DD9">
      <w:pPr>
        <w:spacing w:after="0" w:line="240" w:lineRule="auto"/>
        <w:jc w:val="center"/>
        <w:rPr>
          <w:rFonts w:eastAsia="Garamond" w:cs="Garamond"/>
          <w:color w:val="000000" w:themeColor="text1"/>
          <w:sz w:val="20"/>
          <w:szCs w:val="20"/>
        </w:rPr>
      </w:pPr>
      <w:r w:rsidRPr="2FA20DD9">
        <w:rPr>
          <w:rFonts w:eastAsia="Garamond" w:cs="Garamond"/>
          <w:color w:val="000000" w:themeColor="text1"/>
          <w:sz w:val="20"/>
          <w:szCs w:val="20"/>
        </w:rPr>
        <w:t>Katherine Hahn (Project Lead)</w:t>
      </w:r>
    </w:p>
    <w:p w14:paraId="634875D0" w14:textId="0D2CFECF" w:rsidR="2FA20DD9" w:rsidRDefault="2FA20DD9" w:rsidP="2FA20DD9">
      <w:pPr>
        <w:spacing w:after="0" w:line="240" w:lineRule="auto"/>
        <w:jc w:val="center"/>
        <w:rPr>
          <w:rFonts w:eastAsia="Garamond" w:cs="Garamond"/>
          <w:color w:val="000000" w:themeColor="text1"/>
          <w:sz w:val="20"/>
          <w:szCs w:val="20"/>
        </w:rPr>
      </w:pPr>
      <w:r w:rsidRPr="2FA20DD9">
        <w:rPr>
          <w:rFonts w:eastAsia="Garamond" w:cs="Garamond"/>
          <w:color w:val="000000" w:themeColor="text1"/>
          <w:sz w:val="20"/>
          <w:szCs w:val="20"/>
        </w:rPr>
        <w:t>Abigail Sgan</w:t>
      </w:r>
    </w:p>
    <w:p w14:paraId="4B66A874" w14:textId="7D51E5BA" w:rsidR="2FA20DD9" w:rsidRDefault="2FA20DD9" w:rsidP="2FA20DD9">
      <w:pPr>
        <w:spacing w:after="0" w:line="240" w:lineRule="auto"/>
        <w:jc w:val="center"/>
        <w:rPr>
          <w:rFonts w:eastAsia="Garamond" w:cs="Garamond"/>
          <w:color w:val="000000" w:themeColor="text1"/>
          <w:sz w:val="20"/>
          <w:szCs w:val="20"/>
        </w:rPr>
      </w:pPr>
      <w:r w:rsidRPr="2FA20DD9">
        <w:rPr>
          <w:rFonts w:eastAsia="Garamond" w:cs="Garamond"/>
          <w:color w:val="000000" w:themeColor="text1"/>
          <w:sz w:val="20"/>
          <w:szCs w:val="20"/>
        </w:rPr>
        <w:t>Julia Atayi</w:t>
      </w:r>
    </w:p>
    <w:p w14:paraId="37D70354" w14:textId="5F7B076B" w:rsidR="2FA20DD9" w:rsidRDefault="2FA20DD9" w:rsidP="2FA20DD9">
      <w:pPr>
        <w:spacing w:after="0" w:line="240" w:lineRule="auto"/>
        <w:jc w:val="center"/>
        <w:rPr>
          <w:rFonts w:eastAsia="Garamond" w:cs="Garamond"/>
          <w:color w:val="000000" w:themeColor="text1"/>
          <w:sz w:val="20"/>
          <w:szCs w:val="20"/>
        </w:rPr>
      </w:pPr>
      <w:r w:rsidRPr="2FA20DD9">
        <w:rPr>
          <w:rFonts w:eastAsia="Garamond" w:cs="Garamond"/>
          <w:color w:val="000000" w:themeColor="text1"/>
          <w:sz w:val="20"/>
          <w:szCs w:val="20"/>
        </w:rPr>
        <w:t>Julia Portmann</w:t>
      </w:r>
    </w:p>
    <w:p w14:paraId="33FFD175" w14:textId="157B6F9F" w:rsidR="2FA20DD9" w:rsidRDefault="2FA20DD9" w:rsidP="2FA20DD9">
      <w:pPr>
        <w:spacing w:after="0" w:line="240" w:lineRule="auto"/>
        <w:jc w:val="center"/>
        <w:rPr>
          <w:rFonts w:eastAsia="Garamond" w:cs="Garamond"/>
          <w:color w:val="000000" w:themeColor="text1"/>
          <w:sz w:val="20"/>
          <w:szCs w:val="20"/>
        </w:rPr>
      </w:pPr>
    </w:p>
    <w:p w14:paraId="5F0D0D39" w14:textId="4FA916FA" w:rsidR="2FA20DD9" w:rsidRDefault="2FA20DD9" w:rsidP="2FA20DD9">
      <w:pPr>
        <w:spacing w:after="0" w:line="240" w:lineRule="auto"/>
        <w:jc w:val="center"/>
        <w:rPr>
          <w:rFonts w:eastAsia="Garamond" w:cs="Garamond"/>
          <w:color w:val="000000" w:themeColor="text1"/>
          <w:sz w:val="20"/>
          <w:szCs w:val="20"/>
        </w:rPr>
      </w:pPr>
      <w:r w:rsidRPr="2FA20DD9">
        <w:rPr>
          <w:rFonts w:eastAsia="Garamond" w:cs="Garamond"/>
          <w:b/>
          <w:bCs/>
          <w:i/>
          <w:iCs/>
          <w:color w:val="000000" w:themeColor="text1"/>
          <w:sz w:val="20"/>
          <w:szCs w:val="20"/>
        </w:rPr>
        <w:t>Advisors:</w:t>
      </w:r>
    </w:p>
    <w:p w14:paraId="2B6635B3" w14:textId="78B29C49" w:rsidR="2FA20DD9" w:rsidRDefault="2FA20DD9" w:rsidP="2FA20DD9">
      <w:pPr>
        <w:spacing w:after="0" w:line="240" w:lineRule="auto"/>
        <w:jc w:val="center"/>
        <w:rPr>
          <w:rFonts w:eastAsia="Garamond" w:cs="Garamond"/>
          <w:color w:val="000000" w:themeColor="text1"/>
          <w:sz w:val="20"/>
          <w:szCs w:val="20"/>
        </w:rPr>
      </w:pPr>
      <w:r w:rsidRPr="2FA20DD9">
        <w:rPr>
          <w:rFonts w:eastAsia="Garamond" w:cs="Garamond"/>
          <w:color w:val="000000" w:themeColor="text1"/>
          <w:sz w:val="20"/>
          <w:szCs w:val="20"/>
        </w:rPr>
        <w:t xml:space="preserve">Dr. Venkataraman Lakshmi, University of Virginia (Science Advisor) </w:t>
      </w:r>
    </w:p>
    <w:p w14:paraId="78F730A3" w14:textId="249BF15B" w:rsidR="2FA20DD9" w:rsidRDefault="2FA20DD9" w:rsidP="2FA20DD9">
      <w:pPr>
        <w:spacing w:after="0" w:line="240" w:lineRule="auto"/>
        <w:jc w:val="center"/>
        <w:rPr>
          <w:rFonts w:eastAsia="Garamond" w:cs="Garamond"/>
          <w:color w:val="000000" w:themeColor="text1"/>
          <w:sz w:val="20"/>
          <w:szCs w:val="20"/>
        </w:rPr>
      </w:pPr>
      <w:r w:rsidRPr="2FA20DD9">
        <w:rPr>
          <w:rFonts w:eastAsia="Garamond" w:cs="Garamond"/>
          <w:color w:val="000000" w:themeColor="text1"/>
          <w:sz w:val="20"/>
          <w:szCs w:val="20"/>
        </w:rPr>
        <w:t>Dr. Kent Ross, NASA Langley Research Center (Science Advisor)</w:t>
      </w:r>
    </w:p>
    <w:p w14:paraId="04C5C4AE" w14:textId="109855D9" w:rsidR="2FA20DD9" w:rsidRDefault="2FA20DD9" w:rsidP="2FA20DD9">
      <w:pPr>
        <w:spacing w:after="0" w:line="240" w:lineRule="auto"/>
        <w:jc w:val="left"/>
        <w:rPr>
          <w:rFonts w:eastAsia="Garamond" w:cs="Garamond"/>
          <w:sz w:val="20"/>
          <w:szCs w:val="20"/>
        </w:rPr>
      </w:pPr>
    </w:p>
    <w:p w14:paraId="2558426B" w14:textId="77777777" w:rsidR="0064280B" w:rsidRPr="0066138C" w:rsidRDefault="0064280B" w:rsidP="31CE712C">
      <w:pPr>
        <w:spacing w:after="0" w:line="240" w:lineRule="auto"/>
        <w:jc w:val="left"/>
        <w:rPr>
          <w:rFonts w:eastAsia="Garamond" w:cs="Garamond"/>
          <w:sz w:val="20"/>
          <w:szCs w:val="20"/>
        </w:rPr>
      </w:pPr>
      <w:r w:rsidRPr="31CE712C">
        <w:rPr>
          <w:rFonts w:eastAsia="Garamond" w:cs="Garamond"/>
          <w:b/>
          <w:bCs/>
          <w:sz w:val="20"/>
          <w:szCs w:val="20"/>
        </w:rPr>
        <w:br w:type="page"/>
      </w:r>
    </w:p>
    <w:p w14:paraId="45F8C63B" w14:textId="67DCFB4D" w:rsidR="006E2A1C" w:rsidRPr="0066138C" w:rsidRDefault="28805D0C" w:rsidP="31CE712C">
      <w:pPr>
        <w:pStyle w:val="Heading1"/>
        <w:spacing w:before="0" w:line="240" w:lineRule="auto"/>
        <w:jc w:val="left"/>
        <w:rPr>
          <w:rFonts w:ascii="Garamond" w:eastAsia="Garamond" w:hAnsi="Garamond" w:cs="Garamond"/>
        </w:rPr>
      </w:pPr>
      <w:r w:rsidRPr="13CB051E">
        <w:rPr>
          <w:rFonts w:ascii="Garamond" w:eastAsia="Garamond" w:hAnsi="Garamond" w:cs="Garamond"/>
        </w:rPr>
        <w:lastRenderedPageBreak/>
        <w:t>1</w:t>
      </w:r>
      <w:r w:rsidR="31B23619" w:rsidRPr="13CB051E">
        <w:rPr>
          <w:rFonts w:ascii="Garamond" w:eastAsia="Garamond" w:hAnsi="Garamond" w:cs="Garamond"/>
        </w:rPr>
        <w:t xml:space="preserve">. </w:t>
      </w:r>
      <w:r w:rsidR="3C035DB4" w:rsidRPr="13CB051E">
        <w:rPr>
          <w:rFonts w:ascii="Garamond" w:eastAsia="Garamond" w:hAnsi="Garamond" w:cs="Garamond"/>
        </w:rPr>
        <w:t>Abstract</w:t>
      </w:r>
    </w:p>
    <w:p w14:paraId="24BEEB49" w14:textId="266D2C46" w:rsidR="13CB051E" w:rsidRDefault="0788D8C7" w:rsidP="20596ED7">
      <w:pPr>
        <w:spacing w:line="240" w:lineRule="auto"/>
        <w:jc w:val="left"/>
      </w:pPr>
      <w:r w:rsidRPr="20596ED7">
        <w:rPr>
          <w:rFonts w:eastAsia="Garamond" w:cs="Garamond"/>
          <w:color w:val="000000" w:themeColor="text1"/>
        </w:rPr>
        <w:t xml:space="preserve">An increase in total suspended sediment (TSS) concentrations and turbidity have contributed to poor water quality in the Chesapeake Bay since the 1970s. Although turbidity and TSS have been moderately improving over the past few decades, poor water quality is detrimental to the Chesapeake Bay’s ecosystems and the surrounding watersheds. The Summer 2022 Chesapeake Bay Water Resources project observed sediment dynamics and turbidity in the York River watershed using remote sensing tools, models, and Earth observations including NASA and United States Geological Survey’s (USGS) Landsat satellite series, NASA DEVELOP’s Optical Reef Coastal Area Assessment Tool 2.0 (ORCAA), and Soil and Water Assessment Tool (SWAT). The collaborators on this project were the Chesapeake Bay National Estuarine Research Reserve (CBNERR), Group on Earth Observations (GEO) AquaWatch, the Committee on Earth Observation Satellites Coastal Observations, Applications, Services and Tools (CEOS COAST), and the Virginia Department of Environmental Quality (VA DEQ). The team concluded that the upstream sections of the York River watershed increased in TSS from 2009–2019. </w:t>
      </w:r>
      <w:r w:rsidRPr="20596ED7">
        <w:rPr>
          <w:rFonts w:eastAsia="Garamond" w:cs="Garamond"/>
        </w:rPr>
        <w:t>However, the seasonal TSS patterns often correlated with higher precipitation levels, although not necessarily major storm events. This may be due to factors like wind and waves contributing to the sedimentation trends observed. Although projects have been conducted to improve water quality, additional efforts like planting riparian buffers along areas with high TSS are needed to reduce the intensity of runoff. The team’s results will allow the end user, the VA DEQ, to inform their policymaking regarding future Bay conservation efforts.</w:t>
      </w:r>
    </w:p>
    <w:p w14:paraId="350BBE67" w14:textId="60F7FBFC" w:rsidR="00770650" w:rsidRPr="0066138C" w:rsidRDefault="51901BF8" w:rsidP="31CE712C">
      <w:pPr>
        <w:spacing w:after="0" w:line="240" w:lineRule="auto"/>
        <w:jc w:val="left"/>
        <w:rPr>
          <w:rFonts w:eastAsia="Garamond" w:cs="Garamond"/>
          <w:b/>
          <w:bCs/>
        </w:rPr>
      </w:pPr>
      <w:r w:rsidRPr="31CE712C">
        <w:rPr>
          <w:rFonts w:eastAsia="Garamond" w:cs="Garamond"/>
          <w:b/>
          <w:bCs/>
        </w:rPr>
        <w:t>Key</w:t>
      </w:r>
      <w:r w:rsidR="32E6C94B" w:rsidRPr="31CE712C">
        <w:rPr>
          <w:rFonts w:eastAsia="Garamond" w:cs="Garamond"/>
          <w:b/>
          <w:bCs/>
        </w:rPr>
        <w:t xml:space="preserve"> Terms</w:t>
      </w:r>
    </w:p>
    <w:p w14:paraId="1A77A678" w14:textId="7904C691" w:rsidR="778DBBE7" w:rsidRDefault="4852093B" w:rsidP="31CE712C">
      <w:pPr>
        <w:spacing w:after="0" w:line="240" w:lineRule="auto"/>
        <w:jc w:val="left"/>
        <w:rPr>
          <w:rFonts w:eastAsia="Garamond" w:cs="Garamond"/>
          <w:color w:val="000000" w:themeColor="text1"/>
        </w:rPr>
      </w:pPr>
      <w:r w:rsidRPr="31CE712C">
        <w:rPr>
          <w:rFonts w:eastAsia="Garamond" w:cs="Garamond"/>
          <w:color w:val="000000" w:themeColor="text1"/>
        </w:rPr>
        <w:t>Chesapeake Bay, erosion, remote sensing, suspended sediment, SWAT, turbidity, water quality</w:t>
      </w:r>
    </w:p>
    <w:p w14:paraId="12AB3859" w14:textId="77777777" w:rsidR="0066138C" w:rsidRPr="0066138C" w:rsidRDefault="0066138C" w:rsidP="31CE712C">
      <w:pPr>
        <w:spacing w:after="0" w:line="240" w:lineRule="auto"/>
        <w:jc w:val="left"/>
        <w:rPr>
          <w:rFonts w:eastAsia="Garamond" w:cs="Garamond"/>
        </w:rPr>
      </w:pPr>
      <w:bookmarkStart w:id="1" w:name="_Toc334198720"/>
    </w:p>
    <w:p w14:paraId="2FB6D409" w14:textId="7D2B3A05" w:rsidR="00FB5846" w:rsidRPr="0066138C" w:rsidRDefault="22C57A95" w:rsidP="31CE712C">
      <w:pPr>
        <w:pStyle w:val="Heading1"/>
        <w:spacing w:before="0" w:line="240" w:lineRule="auto"/>
        <w:jc w:val="left"/>
        <w:rPr>
          <w:rFonts w:ascii="Garamond" w:eastAsia="Garamond" w:hAnsi="Garamond" w:cs="Garamond"/>
        </w:rPr>
      </w:pPr>
      <w:r w:rsidRPr="31CE712C">
        <w:rPr>
          <w:rFonts w:ascii="Garamond" w:eastAsia="Garamond" w:hAnsi="Garamond" w:cs="Garamond"/>
        </w:rPr>
        <w:t>2</w:t>
      </w:r>
      <w:r w:rsidR="5DE27F54" w:rsidRPr="31CE712C">
        <w:rPr>
          <w:rFonts w:ascii="Garamond" w:eastAsia="Garamond" w:hAnsi="Garamond" w:cs="Garamond"/>
        </w:rPr>
        <w:t xml:space="preserve">. </w:t>
      </w:r>
      <w:r w:rsidR="2C8A0A40" w:rsidRPr="31CE712C">
        <w:rPr>
          <w:rFonts w:ascii="Garamond" w:eastAsia="Garamond" w:hAnsi="Garamond" w:cs="Garamond"/>
        </w:rPr>
        <w:t>Introduction</w:t>
      </w:r>
      <w:bookmarkEnd w:id="1"/>
    </w:p>
    <w:p w14:paraId="53F72CE1" w14:textId="15A29AA4" w:rsidR="00C15E9C" w:rsidRPr="0066138C" w:rsidRDefault="020BCABA" w:rsidP="31CE712C">
      <w:pPr>
        <w:spacing w:after="0" w:line="240" w:lineRule="auto"/>
        <w:jc w:val="left"/>
        <w:rPr>
          <w:rFonts w:eastAsia="Garamond" w:cs="Garamond"/>
          <w:b/>
          <w:bCs/>
          <w:i/>
          <w:iCs/>
        </w:rPr>
      </w:pPr>
      <w:bookmarkStart w:id="2" w:name="_Toc334198721"/>
      <w:r w:rsidRPr="31CE712C">
        <w:rPr>
          <w:rFonts w:eastAsia="Garamond" w:cs="Garamond"/>
          <w:b/>
          <w:bCs/>
          <w:i/>
          <w:iCs/>
        </w:rPr>
        <w:t xml:space="preserve">2.1 </w:t>
      </w:r>
      <w:r w:rsidR="22C57A95" w:rsidRPr="31CE712C">
        <w:rPr>
          <w:rFonts w:eastAsia="Garamond" w:cs="Garamond"/>
          <w:b/>
          <w:bCs/>
          <w:i/>
          <w:iCs/>
        </w:rPr>
        <w:t xml:space="preserve">Background Information </w:t>
      </w:r>
    </w:p>
    <w:p w14:paraId="6E652D75" w14:textId="376C9820" w:rsidR="4A71E26E" w:rsidRDefault="4E898D6F" w:rsidP="31CE712C">
      <w:pPr>
        <w:spacing w:after="0" w:line="240" w:lineRule="auto"/>
        <w:jc w:val="left"/>
        <w:rPr>
          <w:rFonts w:eastAsia="Garamond" w:cs="Garamond"/>
        </w:rPr>
      </w:pPr>
      <w:r w:rsidRPr="20596ED7">
        <w:rPr>
          <w:rFonts w:eastAsia="Garamond" w:cs="Garamond"/>
          <w:color w:val="000000" w:themeColor="text1"/>
        </w:rPr>
        <w:t xml:space="preserve">The Chesapeake Bay faces numerous issues such as poor water quality and invasive species, as well as sea level rise and increasing temperatures resulting from climate change. The Bay is the largest estuary in the United States, the third largest in the world, and one of the most vulnerable regions in the nation experiencing environmental shifts from warming temperatures to rising sea levels </w:t>
      </w:r>
      <w:r w:rsidRPr="20596ED7">
        <w:rPr>
          <w:rFonts w:eastAsia="Garamond" w:cs="Garamond"/>
        </w:rPr>
        <w:t>(Chesapeake Bay Program, 2022)</w:t>
      </w:r>
      <w:r w:rsidRPr="20596ED7">
        <w:rPr>
          <w:rFonts w:eastAsia="Garamond" w:cs="Garamond"/>
          <w:color w:val="000000" w:themeColor="text1"/>
        </w:rPr>
        <w:t>. The surrounding watershed supports 18 million people and 3,600 plant and animal species, several of which are threatened or endangered (Morimoto et al., 2003;</w:t>
      </w:r>
      <w:r w:rsidR="2512960A" w:rsidRPr="20596ED7">
        <w:rPr>
          <w:rFonts w:eastAsia="Garamond" w:cs="Garamond"/>
          <w:color w:val="000000" w:themeColor="text1"/>
        </w:rPr>
        <w:t xml:space="preserve"> </w:t>
      </w:r>
      <w:r w:rsidRPr="20596ED7">
        <w:rPr>
          <w:rFonts w:eastAsia="Garamond" w:cs="Garamond"/>
          <w:color w:val="000000" w:themeColor="text1"/>
        </w:rPr>
        <w:t>Phillips &amp; McGee, 2016;</w:t>
      </w:r>
      <w:r w:rsidR="2512960A" w:rsidRPr="20596ED7">
        <w:rPr>
          <w:rFonts w:eastAsia="Garamond" w:cs="Garamond"/>
          <w:color w:val="000000" w:themeColor="text1"/>
        </w:rPr>
        <w:t xml:space="preserve"> </w:t>
      </w:r>
      <w:r w:rsidRPr="20596ED7">
        <w:rPr>
          <w:rFonts w:eastAsia="Garamond" w:cs="Garamond"/>
          <w:color w:val="000000" w:themeColor="text1"/>
        </w:rPr>
        <w:t xml:space="preserve">US Fish and Wildlife Service, 2022). Primarily due to fishing and recreation industries, along with the ecosystem services it provides, the Bay has been valued at approximately $100 billion annually (Phillips &amp; McGee, 2016). Despite its immense ecological and economic value, </w:t>
      </w:r>
      <w:bookmarkStart w:id="3" w:name="_Int_ryVycFb7"/>
      <w:r w:rsidRPr="20596ED7">
        <w:rPr>
          <w:rFonts w:eastAsia="Garamond" w:cs="Garamond"/>
          <w:color w:val="000000" w:themeColor="text1"/>
        </w:rPr>
        <w:t>the Chesapeake</w:t>
      </w:r>
      <w:bookmarkEnd w:id="3"/>
      <w:r w:rsidRPr="20596ED7">
        <w:rPr>
          <w:rFonts w:eastAsia="Garamond" w:cs="Garamond"/>
          <w:color w:val="000000" w:themeColor="text1"/>
        </w:rPr>
        <w:t xml:space="preserve"> Bay is impaired based on indicators of increased pollution, decreased fisheries health, and diminished aquatic habitat (Chesapeake Bay Foundation, 2020).</w:t>
      </w:r>
    </w:p>
    <w:p w14:paraId="54051DD0" w14:textId="2AD4ADF9" w:rsidR="4A71E26E" w:rsidRDefault="4A71E26E" w:rsidP="31CE712C">
      <w:pPr>
        <w:spacing w:after="0" w:line="240" w:lineRule="auto"/>
        <w:jc w:val="left"/>
        <w:rPr>
          <w:rFonts w:eastAsia="Garamond" w:cs="Garamond"/>
          <w:color w:val="000000" w:themeColor="text1"/>
        </w:rPr>
      </w:pPr>
    </w:p>
    <w:p w14:paraId="61C79646" w14:textId="5C14C4F6" w:rsidR="4A71E26E" w:rsidRDefault="474C2E60" w:rsidP="6A7FCD73">
      <w:pPr>
        <w:spacing w:after="0" w:line="240" w:lineRule="auto"/>
        <w:jc w:val="left"/>
        <w:rPr>
          <w:rFonts w:eastAsia="Garamond" w:cs="Garamond"/>
        </w:rPr>
      </w:pPr>
      <w:r w:rsidRPr="6A7FCD73">
        <w:rPr>
          <w:rFonts w:eastAsia="Garamond" w:cs="Garamond"/>
        </w:rPr>
        <w:t>Although the Chesapeake Bay faces several different stressors (e.g., excess nutrients), water clarity is a major issue</w:t>
      </w:r>
      <w:r w:rsidR="17B5C6EF" w:rsidRPr="6A7FCD73">
        <w:rPr>
          <w:rFonts w:eastAsia="Garamond" w:cs="Garamond"/>
        </w:rPr>
        <w:t xml:space="preserve"> (Clune et al., 2021)</w:t>
      </w:r>
      <w:r w:rsidRPr="6A7FCD73">
        <w:rPr>
          <w:rFonts w:eastAsia="Garamond" w:cs="Garamond"/>
        </w:rPr>
        <w:t>. Water clarity can be quantified in multiple ways, two of which are sediment concentrations and turbidity. Sediments are deposited into waterways from agricultural non-point source pollution (e.g., runoff), as well as tidal and nearshore erosion (Reay, 2009). Higher turbidity levels affect the health of underwater vegetation, particularly aquatic grasses (Heck &amp; Orth, 1980; Moore et al., 1996;</w:t>
      </w:r>
      <w:r w:rsidR="351FE456" w:rsidRPr="6A7FCD73">
        <w:rPr>
          <w:rFonts w:eastAsia="Garamond" w:cs="Garamond"/>
        </w:rPr>
        <w:t xml:space="preserve"> </w:t>
      </w:r>
      <w:r w:rsidRPr="6A7FCD73">
        <w:rPr>
          <w:rFonts w:eastAsia="Garamond" w:cs="Garamond"/>
        </w:rPr>
        <w:t xml:space="preserve">Orth &amp; Heck, 1980). These grasses support the health of the Bay by producing oxygen, filtering sediment, and providing habitat for native species. However, as turbidity decreases the amount of light available for photosynthesis, aquatic grasses are weakened and the benefits they provide to the health of the Bay are diminished. The York River watershed, a major sub-watershed of the Chesapeake Bay, spans 6,992 square kilometers and was recently declared a Habitat Focus Area by the National Oceanic and Atmospheric Administration (NOAA) to improve habitat conservation through efforts with local communities and partners (NOAA CBO, 2022). The York River also serves as a critical habitat area for Atlantic sturgeon, a historically important, but now endangered, fisheries species which is threatened by high turbidity levels (Johnson, 2018). Although </w:t>
      </w:r>
      <w:r w:rsidRPr="6A7FCD73">
        <w:rPr>
          <w:rFonts w:eastAsia="Garamond" w:cs="Garamond"/>
          <w:i/>
          <w:iCs/>
        </w:rPr>
        <w:t>in situ</w:t>
      </w:r>
      <w:r w:rsidRPr="6A7FCD73">
        <w:rPr>
          <w:rFonts w:eastAsia="Garamond" w:cs="Garamond"/>
        </w:rPr>
        <w:t xml:space="preserve"> water quality monitoring is an effective and accurate method, turbidity can also be assessed remotely. Using various satellite imagery sources and modelling techniques in conjunction with one another allows for a more accurate assessment (Elhag et al., 2016).</w:t>
      </w:r>
    </w:p>
    <w:p w14:paraId="024EE143" w14:textId="0DE023A5" w:rsidR="4FC12ADF" w:rsidRDefault="4FC12ADF" w:rsidP="31CE712C">
      <w:pPr>
        <w:spacing w:after="0" w:line="257" w:lineRule="auto"/>
        <w:jc w:val="left"/>
        <w:rPr>
          <w:rFonts w:eastAsia="Garamond" w:cs="Garamond"/>
        </w:rPr>
      </w:pPr>
    </w:p>
    <w:p w14:paraId="05741BEB" w14:textId="4E7E3211" w:rsidR="0BDFCB0B" w:rsidRDefault="13CB051E" w:rsidP="2FA20DD9">
      <w:pPr>
        <w:keepNext/>
        <w:spacing w:after="0" w:line="257" w:lineRule="auto"/>
        <w:jc w:val="left"/>
      </w:pPr>
      <w:r>
        <w:rPr>
          <w:noProof/>
        </w:rPr>
        <w:lastRenderedPageBreak/>
        <w:drawing>
          <wp:inline distT="0" distB="0" distL="0" distR="0" wp14:anchorId="5081B5AC" wp14:editId="5AB55D24">
            <wp:extent cx="4048125" cy="2867422"/>
            <wp:effectExtent l="0" t="0" r="0" b="0"/>
            <wp:docPr id="1957882555" name="Picture 195788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48125" cy="2867422"/>
                    </a:xfrm>
                    <a:prstGeom prst="rect">
                      <a:avLst/>
                    </a:prstGeom>
                  </pic:spPr>
                </pic:pic>
              </a:graphicData>
            </a:graphic>
          </wp:inline>
        </w:drawing>
      </w:r>
      <w:r w:rsidR="35463563">
        <w:t xml:space="preserve">     </w:t>
      </w:r>
    </w:p>
    <w:p w14:paraId="106B1834" w14:textId="5D861018" w:rsidR="0F11C30F" w:rsidRDefault="1DD479AC" w:rsidP="31CE712C">
      <w:pPr>
        <w:pStyle w:val="Caption"/>
        <w:jc w:val="left"/>
        <w:rPr>
          <w:rFonts w:eastAsia="Garamond" w:cs="Garamond"/>
        </w:rPr>
      </w:pPr>
      <w:bookmarkStart w:id="4" w:name="_Ref109557755"/>
      <w:r w:rsidRPr="13CB051E">
        <w:rPr>
          <w:i w:val="0"/>
          <w:iCs w:val="0"/>
          <w:color w:val="000000" w:themeColor="text1"/>
          <w:sz w:val="22"/>
          <w:szCs w:val="22"/>
        </w:rPr>
        <w:t>Figure 1</w:t>
      </w:r>
      <w:bookmarkEnd w:id="4"/>
      <w:r w:rsidRPr="13CB051E">
        <w:rPr>
          <w:i w:val="0"/>
          <w:iCs w:val="0"/>
          <w:color w:val="000000" w:themeColor="text1"/>
          <w:sz w:val="22"/>
          <w:szCs w:val="22"/>
        </w:rPr>
        <w:t xml:space="preserve">. </w:t>
      </w:r>
      <w:bookmarkStart w:id="5" w:name="_Ref109557765"/>
      <w:r w:rsidR="703E7F4B" w:rsidRPr="13CB051E">
        <w:rPr>
          <w:rFonts w:eastAsia="Garamond" w:cs="Garamond"/>
          <w:i w:val="0"/>
          <w:iCs w:val="0"/>
          <w:color w:val="000000" w:themeColor="text1"/>
          <w:sz w:val="22"/>
          <w:szCs w:val="22"/>
        </w:rPr>
        <w:t>The study area outlined in blue (York River basin) and the section of the Chesapeake Bay watershed in Virginia outlined in purple.</w:t>
      </w:r>
      <w:bookmarkEnd w:id="5"/>
    </w:p>
    <w:p w14:paraId="072FD006" w14:textId="5635149E" w:rsidR="6DCDA074" w:rsidRDefault="2512960A" w:rsidP="6A7FCD73">
      <w:pPr>
        <w:spacing w:after="0" w:line="257" w:lineRule="auto"/>
        <w:jc w:val="left"/>
        <w:rPr>
          <w:rFonts w:eastAsia="Garamond" w:cs="Garamond"/>
        </w:rPr>
      </w:pPr>
      <w:r w:rsidRPr="6A7FCD73">
        <w:rPr>
          <w:rFonts w:eastAsia="Garamond" w:cs="Garamond"/>
        </w:rPr>
        <w:t>The two models used in this resear</w:t>
      </w:r>
      <w:r w:rsidRPr="6A7FCD73">
        <w:rPr>
          <w:rFonts w:eastAsia="Garamond" w:cs="Garamond"/>
          <w:color w:val="000000" w:themeColor="text1"/>
        </w:rPr>
        <w:t xml:space="preserve">ch </w:t>
      </w:r>
      <w:r w:rsidRPr="6A7FCD73">
        <w:rPr>
          <w:rFonts w:eastAsia="Garamond" w:cs="Garamond"/>
        </w:rPr>
        <w:t>are Texas A&amp;M University’s Soil and Water Assessment Tool (SWAT) and NASA DEVELOP's Optical Reef and Coastal Area Assessment</w:t>
      </w:r>
      <w:r w:rsidRPr="6A7FCD73">
        <w:rPr>
          <w:rFonts w:eastAsia="Garamond" w:cs="Garamond"/>
          <w:color w:val="0078D4"/>
        </w:rPr>
        <w:t xml:space="preserve"> </w:t>
      </w:r>
      <w:r w:rsidRPr="6A7FCD73">
        <w:rPr>
          <w:rFonts w:eastAsia="Garamond" w:cs="Garamond"/>
        </w:rPr>
        <w:t xml:space="preserve">(ORCAA) Tool. The SWAT is a semi-distributed hydrological watershed model that has been used worldwide for simulating the impact of land use change on streamflow, </w:t>
      </w:r>
      <w:proofErr w:type="gramStart"/>
      <w:r w:rsidRPr="6A7FCD73">
        <w:rPr>
          <w:rFonts w:eastAsia="Garamond" w:cs="Garamond"/>
        </w:rPr>
        <w:t>sediment</w:t>
      </w:r>
      <w:proofErr w:type="gramEnd"/>
      <w:r w:rsidRPr="6A7FCD73">
        <w:rPr>
          <w:rFonts w:eastAsia="Garamond" w:cs="Garamond"/>
        </w:rPr>
        <w:t xml:space="preserve"> and nutrient transport (Johnson et al., 2015; Pohlert et al., 2005; Storm et al., 2003; Yevenes &amp; Mannaerts, 2011). The ORCAA</w:t>
      </w:r>
      <w:r w:rsidR="28178C31" w:rsidRPr="6A7FCD73">
        <w:rPr>
          <w:rFonts w:eastAsia="Garamond" w:cs="Garamond"/>
        </w:rPr>
        <w:t xml:space="preserve"> tool was originally developed in 2019 for the NASA DEVELOP Belize and Honduras Water Resources projects to map water quality changes in coastal regions (Lin et al., 2019; Pippin et al., 2019). The ORCAA tool was adapted in this study to model turbidity in the York River Basin. Landsat 5 Thematic Mapper (TM),</w:t>
      </w:r>
      <w:r w:rsidR="73D89040" w:rsidRPr="6A7FCD73">
        <w:rPr>
          <w:rFonts w:eastAsia="Garamond" w:cs="Garamond"/>
        </w:rPr>
        <w:t xml:space="preserve"> </w:t>
      </w:r>
      <w:r w:rsidR="28178C31" w:rsidRPr="6A7FCD73">
        <w:rPr>
          <w:rFonts w:eastAsia="Garamond" w:cs="Garamond"/>
        </w:rPr>
        <w:t>Landsat 7 Enhanced Thematic Mapper Plus (ETM+), and</w:t>
      </w:r>
      <w:r w:rsidR="73D89040" w:rsidRPr="6A7FCD73">
        <w:rPr>
          <w:rFonts w:eastAsia="Garamond" w:cs="Garamond"/>
        </w:rPr>
        <w:t xml:space="preserve"> </w:t>
      </w:r>
      <w:r w:rsidR="28178C31" w:rsidRPr="6A7FCD73">
        <w:rPr>
          <w:rFonts w:eastAsia="Garamond" w:cs="Garamond"/>
        </w:rPr>
        <w:t>L</w:t>
      </w:r>
      <w:r w:rsidR="68AC2993" w:rsidRPr="6A7FCD73">
        <w:rPr>
          <w:rFonts w:eastAsia="Garamond" w:cs="Garamond"/>
        </w:rPr>
        <w:t>andsat</w:t>
      </w:r>
      <w:r w:rsidR="28178C31" w:rsidRPr="6A7FCD73">
        <w:rPr>
          <w:rFonts w:eastAsia="Garamond" w:cs="Garamond"/>
        </w:rPr>
        <w:t xml:space="preserve"> 8 Operational Land Imager (OLI) satellites were used to collect turbidity imagery because they provided the satellite images for our study time frame in the ORCAA tool. The team also used GPM IMERG data, or precipitation data processed by the IMERG (Integrated Multi-Satellite Retrievals) algorithm for the Global Mean Precipitation (GPM) Core satellite, which collects worldwide mean precipitation data, to create monthly precipitation models. </w:t>
      </w:r>
      <w:r w:rsidR="4E898D6F" w:rsidRPr="16C5A4C4">
        <w:rPr>
          <w:rFonts w:eastAsia="Garamond" w:cs="Garamond"/>
        </w:rPr>
        <w:t>Although recent reports show a trend of slightly improving water quality in the Chesapeake Bay, turbidity and decreased light availability remain major issues (Chesapeake Bay Foundation, 2020).</w:t>
      </w:r>
      <w:r w:rsidRPr="16C5A4C4">
        <w:rPr>
          <w:rFonts w:eastAsia="Garamond" w:cs="Garamond"/>
        </w:rPr>
        <w:t xml:space="preserve"> </w:t>
      </w:r>
      <w:r w:rsidR="4E898D6F" w:rsidRPr="16C5A4C4">
        <w:rPr>
          <w:rFonts w:eastAsia="Garamond" w:cs="Garamond"/>
          <w:color w:val="000000" w:themeColor="text1"/>
        </w:rPr>
        <w:t>T</w:t>
      </w:r>
      <w:r w:rsidR="4E898D6F" w:rsidRPr="16C5A4C4">
        <w:rPr>
          <w:rFonts w:eastAsia="Garamond" w:cs="Garamond"/>
        </w:rPr>
        <w:t xml:space="preserve">his study also used Earth observation (EO) datasets from NASA, the European Space Agency (ESA), and was supplemented with </w:t>
      </w:r>
      <w:r w:rsidR="4E898D6F" w:rsidRPr="6A7FCD73">
        <w:rPr>
          <w:rFonts w:eastAsia="Garamond" w:cs="Garamond"/>
          <w:i/>
          <w:iCs/>
        </w:rPr>
        <w:t xml:space="preserve">in situ </w:t>
      </w:r>
      <w:r w:rsidR="4E898D6F" w:rsidRPr="16C5A4C4">
        <w:rPr>
          <w:rFonts w:eastAsia="Garamond" w:cs="Garamond"/>
        </w:rPr>
        <w:t xml:space="preserve">data from the United States Geological Survey (USGS) and Power Data Access. </w:t>
      </w:r>
    </w:p>
    <w:bookmarkEnd w:id="2"/>
    <w:p w14:paraId="0836417A" w14:textId="65BB9E8B" w:rsidR="13CB051E" w:rsidRDefault="13CB051E" w:rsidP="13CB051E">
      <w:pPr>
        <w:spacing w:after="0" w:line="257" w:lineRule="auto"/>
        <w:jc w:val="left"/>
        <w:rPr>
          <w:rFonts w:eastAsia="Garamond" w:cs="Garamond"/>
        </w:rPr>
      </w:pPr>
    </w:p>
    <w:p w14:paraId="7C9D709B" w14:textId="51B5FEB8" w:rsidR="00C15E9C" w:rsidRPr="0066138C" w:rsidRDefault="37E41DF8" w:rsidP="31CE712C">
      <w:pPr>
        <w:spacing w:after="0" w:line="240" w:lineRule="auto"/>
        <w:jc w:val="left"/>
        <w:rPr>
          <w:rFonts w:eastAsia="Garamond" w:cs="Garamond"/>
          <w:b/>
          <w:bCs/>
          <w:i/>
          <w:iCs/>
        </w:rPr>
      </w:pPr>
      <w:r w:rsidRPr="2FA20DD9">
        <w:rPr>
          <w:rFonts w:eastAsia="Garamond" w:cs="Garamond"/>
          <w:b/>
          <w:bCs/>
          <w:i/>
          <w:iCs/>
        </w:rPr>
        <w:t xml:space="preserve">2.2 </w:t>
      </w:r>
      <w:r w:rsidR="622AEDC6" w:rsidRPr="2FA20DD9">
        <w:rPr>
          <w:rFonts w:eastAsia="Garamond" w:cs="Garamond"/>
          <w:b/>
          <w:bCs/>
          <w:i/>
          <w:iCs/>
        </w:rPr>
        <w:t xml:space="preserve">Project </w:t>
      </w:r>
      <w:r w:rsidR="01EBA743" w:rsidRPr="2FA20DD9">
        <w:rPr>
          <w:rFonts w:eastAsia="Garamond" w:cs="Garamond"/>
          <w:b/>
          <w:bCs/>
          <w:i/>
          <w:iCs/>
        </w:rPr>
        <w:t xml:space="preserve">Partners &amp; Objectives </w:t>
      </w:r>
    </w:p>
    <w:p w14:paraId="4D79C819" w14:textId="4C35D0E1" w:rsidR="6DCDA074" w:rsidRDefault="189429CC" w:rsidP="13CB051E">
      <w:pPr>
        <w:spacing w:after="0" w:line="240" w:lineRule="auto"/>
        <w:jc w:val="left"/>
        <w:rPr>
          <w:rFonts w:eastAsia="Garamond" w:cs="Garamond"/>
          <w:color w:val="000000" w:themeColor="text1"/>
        </w:rPr>
      </w:pPr>
      <w:r w:rsidRPr="6A7FCD73">
        <w:rPr>
          <w:rFonts w:eastAsia="Garamond" w:cs="Garamond"/>
        </w:rPr>
        <w:t>T</w:t>
      </w:r>
      <w:r w:rsidRPr="6A7FCD73">
        <w:rPr>
          <w:rFonts w:eastAsia="Garamond" w:cs="Garamond"/>
          <w:color w:val="000000" w:themeColor="text1"/>
        </w:rPr>
        <w:t xml:space="preserve">his study examined sediment dynamics in the York River </w:t>
      </w:r>
      <w:r w:rsidR="1CBFF379" w:rsidRPr="6A7FCD73">
        <w:rPr>
          <w:rFonts w:eastAsia="Garamond" w:cs="Garamond"/>
          <w:color w:val="000000" w:themeColor="text1"/>
        </w:rPr>
        <w:t>B</w:t>
      </w:r>
      <w:r w:rsidRPr="6A7FCD73">
        <w:rPr>
          <w:rFonts w:eastAsia="Garamond" w:cs="Garamond"/>
          <w:color w:val="000000" w:themeColor="text1"/>
        </w:rPr>
        <w:t>asin from 2009 to 2019 to enhance water quality monitoring of the Chesapeake Bay (Figure 1).</w:t>
      </w:r>
      <w:r w:rsidR="6470D35F" w:rsidRPr="6A7FCD73">
        <w:rPr>
          <w:rFonts w:eastAsia="Garamond" w:cs="Garamond"/>
        </w:rPr>
        <w:t xml:space="preserve"> </w:t>
      </w:r>
      <w:r w:rsidR="15B634C5" w:rsidRPr="6A7FCD73">
        <w:rPr>
          <w:rFonts w:eastAsia="Garamond" w:cs="Garamond"/>
        </w:rPr>
        <w:t xml:space="preserve">The Virginia Department of Environmental Quality (VA DEQ), a state governmental organization, is the end user for the project. One goal of the VA DEQ is to monitor water quality throughout the state, particularly in the Chesapeake Bay region </w:t>
      </w:r>
      <w:r w:rsidR="15B634C5" w:rsidRPr="6A7FCD73">
        <w:rPr>
          <w:rFonts w:eastAsia="Garamond" w:cs="Garamond"/>
          <w:color w:val="000000" w:themeColor="text1"/>
        </w:rPr>
        <w:t xml:space="preserve">as part of the Virginia Water Quality Monitoring, Information and Restoration Act. The EO analyses produced in this study will supplement the VA DEQ’s </w:t>
      </w:r>
      <w:r w:rsidR="15B634C5" w:rsidRPr="6A7FCD73">
        <w:rPr>
          <w:rFonts w:eastAsia="Garamond" w:cs="Garamond"/>
          <w:i/>
          <w:iCs/>
          <w:color w:val="000000" w:themeColor="text1"/>
        </w:rPr>
        <w:t>in situ</w:t>
      </w:r>
      <w:r w:rsidR="15B634C5" w:rsidRPr="6A7FCD73">
        <w:rPr>
          <w:rFonts w:eastAsia="Garamond" w:cs="Garamond"/>
          <w:color w:val="000000" w:themeColor="text1"/>
        </w:rPr>
        <w:t xml:space="preserve"> data collection and inform management plans for improving water quality in the Chesapeake Bay. The end user may also use the methodologies produced from this study to incorporate modeling using SWAT and ORCAA into their water quality management strategies. </w:t>
      </w:r>
    </w:p>
    <w:p w14:paraId="3DE59612" w14:textId="0C100CC6" w:rsidR="6A7FCD73" w:rsidRDefault="6A7FCD73" w:rsidP="6A7FCD73">
      <w:pPr>
        <w:spacing w:after="0" w:line="240" w:lineRule="auto"/>
        <w:jc w:val="left"/>
        <w:rPr>
          <w:rFonts w:eastAsia="Garamond" w:cs="Garamond"/>
          <w:color w:val="000000" w:themeColor="text1"/>
        </w:rPr>
      </w:pPr>
    </w:p>
    <w:p w14:paraId="39F10EEE" w14:textId="43DF3159" w:rsidR="4A71E26E" w:rsidRDefault="05FA9C13" w:rsidP="31CE712C">
      <w:pPr>
        <w:spacing w:after="0" w:line="240" w:lineRule="auto"/>
        <w:jc w:val="left"/>
        <w:rPr>
          <w:rFonts w:eastAsia="Garamond" w:cs="Garamond"/>
          <w:color w:val="000000" w:themeColor="text1"/>
        </w:rPr>
      </w:pPr>
      <w:r w:rsidRPr="20596ED7">
        <w:rPr>
          <w:rFonts w:eastAsia="Garamond" w:cs="Garamond"/>
          <w:color w:val="000000" w:themeColor="text1"/>
        </w:rPr>
        <w:lastRenderedPageBreak/>
        <w:t>The collaborators on this project were as follows: the</w:t>
      </w:r>
      <w:r w:rsidR="17B5C6EF" w:rsidRPr="20596ED7">
        <w:rPr>
          <w:rFonts w:eastAsia="Garamond" w:cs="Garamond"/>
        </w:rPr>
        <w:t xml:space="preserve"> Chesapeake Bay National Estuarine Research Reserve</w:t>
      </w:r>
      <w:r w:rsidRPr="20596ED7">
        <w:rPr>
          <w:rFonts w:eastAsia="Garamond" w:cs="Garamond"/>
          <w:color w:val="000000" w:themeColor="text1"/>
        </w:rPr>
        <w:t xml:space="preserve"> (CBNERR), which has collected water quality data including turbidity in the study area since ~2005; Group on Earth Observations (GEO) AquaWatch, an initiative that uses Earth observations to collect water quality data and support aquatic management decisions; and t</w:t>
      </w:r>
      <w:r w:rsidR="1392FC87" w:rsidRPr="20596ED7">
        <w:rPr>
          <w:rFonts w:eastAsia="Garamond" w:cs="Garamond"/>
          <w:color w:val="000000" w:themeColor="text1"/>
        </w:rPr>
        <w:t>he Committee on Earth Observation Satellites Coastal Observations, Applications, Services and Tools (CEOS COAST)</w:t>
      </w:r>
      <w:r w:rsidRPr="20596ED7">
        <w:rPr>
          <w:rFonts w:eastAsia="Garamond" w:cs="Garamond"/>
          <w:color w:val="000000" w:themeColor="text1"/>
        </w:rPr>
        <w:t xml:space="preserve">, a group that uses satellite observations to assess coastal regions, engage partners, and inform coastal management. </w:t>
      </w:r>
      <w:r w:rsidR="17B5C6EF" w:rsidRPr="20596ED7">
        <w:rPr>
          <w:rFonts w:eastAsia="Garamond" w:cs="Garamond"/>
          <w:color w:val="000000" w:themeColor="text1"/>
        </w:rPr>
        <w:t>This project aims to analyze suspended sediment concentrations in the Chesapeake Bay, assess turbidity using the ORCAA tool, and identify changes in water quality from 2009 to 2019.</w:t>
      </w:r>
    </w:p>
    <w:p w14:paraId="1E6FDF6A" w14:textId="38332118" w:rsidR="0066138C" w:rsidRPr="00A17E8D" w:rsidRDefault="0066138C" w:rsidP="31CE712C">
      <w:pPr>
        <w:spacing w:after="0" w:line="240" w:lineRule="auto"/>
        <w:jc w:val="left"/>
        <w:rPr>
          <w:rFonts w:eastAsia="Garamond" w:cs="Garamond"/>
          <w:color w:val="000000" w:themeColor="text1"/>
        </w:rPr>
      </w:pPr>
    </w:p>
    <w:p w14:paraId="4EAB8422" w14:textId="6BE2ABEB" w:rsidR="00E41324" w:rsidRPr="0066138C" w:rsidRDefault="43CD3CDA" w:rsidP="31CE712C">
      <w:pPr>
        <w:pStyle w:val="Heading1"/>
        <w:spacing w:before="0" w:line="240" w:lineRule="auto"/>
        <w:jc w:val="left"/>
        <w:rPr>
          <w:rFonts w:ascii="Garamond" w:eastAsia="Garamond" w:hAnsi="Garamond" w:cs="Garamond"/>
        </w:rPr>
      </w:pPr>
      <w:bookmarkStart w:id="6" w:name="_Toc334198726"/>
      <w:r w:rsidRPr="31CE712C">
        <w:rPr>
          <w:rFonts w:ascii="Garamond" w:eastAsia="Garamond" w:hAnsi="Garamond" w:cs="Garamond"/>
        </w:rPr>
        <w:t>3</w:t>
      </w:r>
      <w:r w:rsidR="5DE27F54" w:rsidRPr="31CE712C">
        <w:rPr>
          <w:rFonts w:ascii="Garamond" w:eastAsia="Garamond" w:hAnsi="Garamond" w:cs="Garamond"/>
        </w:rPr>
        <w:t xml:space="preserve">. </w:t>
      </w:r>
      <w:r w:rsidR="35B5AD74" w:rsidRPr="31CE712C">
        <w:rPr>
          <w:rFonts w:ascii="Garamond" w:eastAsia="Garamond" w:hAnsi="Garamond" w:cs="Garamond"/>
        </w:rPr>
        <w:t>Methodology</w:t>
      </w:r>
      <w:bookmarkEnd w:id="6"/>
    </w:p>
    <w:p w14:paraId="6B9E638C" w14:textId="1F4C20B0" w:rsidR="00A43059" w:rsidRPr="0066138C" w:rsidRDefault="43CD3CDA" w:rsidP="31CE712C">
      <w:pPr>
        <w:spacing w:after="0" w:line="240" w:lineRule="auto"/>
        <w:jc w:val="left"/>
        <w:rPr>
          <w:rFonts w:eastAsia="Garamond" w:cs="Garamond"/>
          <w:b/>
          <w:bCs/>
          <w:i/>
          <w:iCs/>
        </w:rPr>
      </w:pPr>
      <w:r w:rsidRPr="31CE712C">
        <w:rPr>
          <w:rFonts w:eastAsia="Garamond" w:cs="Garamond"/>
          <w:b/>
          <w:bCs/>
          <w:i/>
          <w:iCs/>
        </w:rPr>
        <w:t xml:space="preserve">3.1 Data Acquisition </w:t>
      </w:r>
    </w:p>
    <w:p w14:paraId="4F6D2D81" w14:textId="57A2F032" w:rsidR="06D2A0E4" w:rsidRDefault="2BD2EF34" w:rsidP="13CB051E">
      <w:pPr>
        <w:spacing w:after="0" w:line="240" w:lineRule="auto"/>
        <w:jc w:val="left"/>
        <w:rPr>
          <w:rFonts w:eastAsia="Garamond" w:cs="Garamond"/>
        </w:rPr>
      </w:pPr>
      <w:r w:rsidRPr="6A7FCD73">
        <w:rPr>
          <w:rFonts w:eastAsia="Garamond" w:cs="Garamond"/>
        </w:rPr>
        <w:t>The Google Earth Engine</w:t>
      </w:r>
      <w:r w:rsidR="17E8454A" w:rsidRPr="6A7FCD73">
        <w:rPr>
          <w:rFonts w:eastAsia="Garamond" w:cs="Garamond"/>
        </w:rPr>
        <w:t xml:space="preserve"> (GEE)</w:t>
      </w:r>
      <w:r w:rsidRPr="6A7FCD73">
        <w:rPr>
          <w:rFonts w:eastAsia="Garamond" w:cs="Garamond"/>
        </w:rPr>
        <w:t xml:space="preserve"> JavaScript API was used to utilize NASA’s Optical Reef and Coastal Area Assessment (ORCAA) tool. The ORCAA tool was developed by the Belize and Honduras Water Resources NASA DEVELOP team in 2019 and updated to version 2.0 in spring 2022 (Lin et al., 2019; Pippin et al., 2019; Tentoglou et al., 2022). The ORCAA code utilized Sentinel-2 MSI Level 1-C and Landsat 8 OLI Surface Reflectance Collection 1 Tier 2 imagery </w:t>
      </w:r>
      <w:r w:rsidR="55F5A8AD" w:rsidRPr="6A7FCD73">
        <w:rPr>
          <w:rFonts w:eastAsia="Garamond" w:cs="Garamond"/>
        </w:rPr>
        <w:t>which were used</w:t>
      </w:r>
      <w:r w:rsidRPr="6A7FCD73">
        <w:rPr>
          <w:rFonts w:eastAsia="Garamond" w:cs="Garamond"/>
        </w:rPr>
        <w:t xml:space="preserve"> to calculate the </w:t>
      </w:r>
      <w:r w:rsidR="061087E2" w:rsidRPr="6A7FCD73">
        <w:rPr>
          <w:rFonts w:eastAsia="Garamond" w:cs="Garamond"/>
        </w:rPr>
        <w:t>N</w:t>
      </w:r>
      <w:r w:rsidRPr="6A7FCD73">
        <w:rPr>
          <w:rFonts w:eastAsia="Garamond" w:cs="Garamond"/>
        </w:rPr>
        <w:t xml:space="preserve">ormalized </w:t>
      </w:r>
      <w:r w:rsidR="674B216A" w:rsidRPr="6A7FCD73">
        <w:rPr>
          <w:rFonts w:eastAsia="Garamond" w:cs="Garamond"/>
        </w:rPr>
        <w:t>D</w:t>
      </w:r>
      <w:r w:rsidRPr="6A7FCD73">
        <w:rPr>
          <w:rFonts w:eastAsia="Garamond" w:cs="Garamond"/>
        </w:rPr>
        <w:t xml:space="preserve">ifference </w:t>
      </w:r>
      <w:r w:rsidR="2FBB6F8A" w:rsidRPr="6A7FCD73">
        <w:rPr>
          <w:rFonts w:eastAsia="Garamond" w:cs="Garamond"/>
        </w:rPr>
        <w:t>T</w:t>
      </w:r>
      <w:r w:rsidRPr="6A7FCD73">
        <w:rPr>
          <w:rFonts w:eastAsia="Garamond" w:cs="Garamond"/>
        </w:rPr>
        <w:t xml:space="preserve">urbidity </w:t>
      </w:r>
      <w:r w:rsidR="06EE131E" w:rsidRPr="6A7FCD73">
        <w:rPr>
          <w:rFonts w:eastAsia="Garamond" w:cs="Garamond"/>
        </w:rPr>
        <w:t>I</w:t>
      </w:r>
      <w:r w:rsidRPr="6A7FCD73">
        <w:rPr>
          <w:rFonts w:eastAsia="Garamond" w:cs="Garamond"/>
        </w:rPr>
        <w:t xml:space="preserve">ndex (NDTI). </w:t>
      </w:r>
    </w:p>
    <w:p w14:paraId="49CC889A" w14:textId="7131A0DE" w:rsidR="1EFBA3C3" w:rsidRDefault="1EFBA3C3" w:rsidP="31CE712C">
      <w:pPr>
        <w:spacing w:after="0" w:line="240" w:lineRule="auto"/>
        <w:jc w:val="left"/>
        <w:rPr>
          <w:rFonts w:eastAsia="Garamond" w:cs="Garamond"/>
        </w:rPr>
      </w:pPr>
    </w:p>
    <w:p w14:paraId="53B9D75C" w14:textId="4D64E430" w:rsidR="00FD359F" w:rsidRDefault="4E4E41EF" w:rsidP="13CB051E">
      <w:pPr>
        <w:spacing w:after="0" w:line="240" w:lineRule="auto"/>
        <w:jc w:val="left"/>
        <w:rPr>
          <w:rFonts w:cs="XckbxxAdvTT3713a231"/>
        </w:rPr>
      </w:pPr>
      <w:r w:rsidRPr="13CB051E">
        <w:rPr>
          <w:rFonts w:eastAsia="Garamond" w:cs="Garamond"/>
        </w:rPr>
        <w:t xml:space="preserve">For the SWAT model, both spatial and temporal datasets were used. The land cover, soil, digital elevation model (DEM), streamflow (discharge), </w:t>
      </w:r>
      <w:r w:rsidR="051992E5" w:rsidRPr="13CB051E">
        <w:rPr>
          <w:rFonts w:eastAsia="Garamond" w:cs="Garamond"/>
        </w:rPr>
        <w:t>water quality parameters, and</w:t>
      </w:r>
      <w:r w:rsidRPr="13CB051E">
        <w:rPr>
          <w:rFonts w:eastAsia="Garamond" w:cs="Garamond"/>
        </w:rPr>
        <w:t xml:space="preserve"> climat</w:t>
      </w:r>
      <w:r w:rsidR="051992E5" w:rsidRPr="13CB051E">
        <w:rPr>
          <w:rFonts w:eastAsia="Garamond" w:cs="Garamond"/>
        </w:rPr>
        <w:t>ic variables described in Table 1</w:t>
      </w:r>
      <w:r w:rsidRPr="13CB051E">
        <w:rPr>
          <w:rFonts w:eastAsia="Garamond" w:cs="Garamond"/>
        </w:rPr>
        <w:t xml:space="preserve">. </w:t>
      </w:r>
      <w:r w:rsidR="6DCCB2D7" w:rsidRPr="2FA20DD9" w:rsidDel="5ECF4213">
        <w:rPr>
          <w:rFonts w:eastAsia="Garamond" w:cs="Garamond"/>
        </w:rPr>
        <w:t>The</w:t>
      </w:r>
      <w:r w:rsidR="6DCCB2D7" w:rsidRPr="0029244E">
        <w:rPr>
          <w:rFonts w:eastAsia="Garamond" w:cs="Garamond"/>
        </w:rPr>
        <w:t xml:space="preserve"> Hydrological Response Units (HRUs) are the fundamental computational units</w:t>
      </w:r>
      <w:r w:rsidR="6DCCB2D7" w:rsidRPr="13CB051E">
        <w:rPr>
          <w:rFonts w:eastAsia="Garamond" w:cs="Garamond"/>
        </w:rPr>
        <w:t xml:space="preserve"> of the SWAT model which are not georeferenced and were created by setting the land use area, slope class and soil area at 10% threshold respectively</w:t>
      </w:r>
      <w:r w:rsidR="5C506AAF" w:rsidRPr="13CB051E">
        <w:rPr>
          <w:rFonts w:eastAsia="Garamond" w:cs="Garamond"/>
        </w:rPr>
        <w:t xml:space="preserve"> </w:t>
      </w:r>
      <w:r w:rsidR="6DCCB2D7" w:rsidRPr="13CB051E">
        <w:rPr>
          <w:rFonts w:eastAsia="Garamond" w:cs="Garamond"/>
        </w:rPr>
        <w:t>(Meng et al., 2010</w:t>
      </w:r>
      <w:r w:rsidR="6DCCB2D7" w:rsidRPr="2FA20DD9" w:rsidDel="5ECF4213">
        <w:rPr>
          <w:rFonts w:eastAsia="Garamond" w:cs="Garamond"/>
        </w:rPr>
        <w:t xml:space="preserve">). </w:t>
      </w:r>
      <w:r w:rsidR="26E4BD0C">
        <w:rPr>
          <w:rFonts w:eastAsia="Garamond" w:cs="Garamond"/>
        </w:rPr>
        <w:t xml:space="preserve">Table 2 </w:t>
      </w:r>
      <w:r w:rsidR="6DCCB2D7" w:rsidRPr="0029244E">
        <w:rPr>
          <w:rFonts w:eastAsia="Garamond" w:cs="Garamond"/>
        </w:rPr>
        <w:t xml:space="preserve">shows </w:t>
      </w:r>
      <w:r w:rsidR="6DCCB2D7">
        <w:rPr>
          <w:rFonts w:eastAsia="Garamond" w:cs="Garamond"/>
        </w:rPr>
        <w:t>the</w:t>
      </w:r>
      <w:r w:rsidR="6DCCB2D7" w:rsidRPr="0029244E">
        <w:rPr>
          <w:rFonts w:eastAsia="Garamond" w:cs="Garamond"/>
        </w:rPr>
        <w:t xml:space="preserve"> various </w:t>
      </w:r>
      <w:r w:rsidR="6DCCB2D7" w:rsidRPr="2FA20DD9" w:rsidDel="5ECF4213">
        <w:rPr>
          <w:rFonts w:eastAsia="Garamond" w:cs="Garamond"/>
        </w:rPr>
        <w:t>l</w:t>
      </w:r>
      <w:r w:rsidR="6DCCB2D7">
        <w:rPr>
          <w:rFonts w:eastAsia="Garamond" w:cs="Garamond"/>
        </w:rPr>
        <w:t>and cover</w:t>
      </w:r>
      <w:r w:rsidR="6DCCB2D7" w:rsidRPr="0029244E">
        <w:rPr>
          <w:rFonts w:eastAsia="Garamond" w:cs="Garamond"/>
        </w:rPr>
        <w:t xml:space="preserve"> classes identified within the study area</w:t>
      </w:r>
      <w:r w:rsidR="6DCCB2D7">
        <w:rPr>
          <w:rFonts w:eastAsia="Garamond" w:cs="Garamond"/>
        </w:rPr>
        <w:t xml:space="preserve">. The subbasins were further divided into </w:t>
      </w:r>
      <w:r w:rsidR="6DCCB2D7" w:rsidRPr="0029244E">
        <w:rPr>
          <w:rFonts w:eastAsia="Garamond" w:cs="Garamond"/>
        </w:rPr>
        <w:t xml:space="preserve">the </w:t>
      </w:r>
      <w:r w:rsidR="6DCCB2D7">
        <w:rPr>
          <w:rFonts w:eastAsia="Garamond" w:cs="Garamond"/>
        </w:rPr>
        <w:t xml:space="preserve">HRUs based on similar landcover, slope, and soil properties. In all, 15 subbasins </w:t>
      </w:r>
      <w:r w:rsidR="7B2A5FB4">
        <w:rPr>
          <w:rFonts w:eastAsia="Garamond" w:cs="Garamond"/>
        </w:rPr>
        <w:t>(Figure 2</w:t>
      </w:r>
      <w:r w:rsidR="7B2A5FB4" w:rsidRPr="0029244E">
        <w:rPr>
          <w:rFonts w:eastAsia="Garamond" w:cs="Garamond"/>
        </w:rPr>
        <w:t>)</w:t>
      </w:r>
      <w:r w:rsidR="6DCCB2D7" w:rsidRPr="0029244E">
        <w:rPr>
          <w:rFonts w:eastAsia="Garamond" w:cs="Garamond"/>
        </w:rPr>
        <w:t xml:space="preserve"> and</w:t>
      </w:r>
      <w:r w:rsidR="6DCCB2D7">
        <w:rPr>
          <w:rFonts w:eastAsia="Garamond" w:cs="Garamond"/>
        </w:rPr>
        <w:t xml:space="preserve"> 239 HRUs were generated by the model</w:t>
      </w:r>
      <w:r w:rsidR="7B2A5FB4" w:rsidRPr="13CB051E">
        <w:rPr>
          <w:rFonts w:eastAsia="Garamond" w:cs="Garamond"/>
        </w:rPr>
        <w:t>.</w:t>
      </w:r>
      <w:r w:rsidR="53B49D56" w:rsidRPr="13CB051E">
        <w:rPr>
          <w:rFonts w:eastAsia="Garamond" w:cs="Garamond"/>
        </w:rPr>
        <w:t xml:space="preserve"> </w:t>
      </w:r>
      <w:r w:rsidR="0F322198" w:rsidRPr="6A7FCD73">
        <w:rPr>
          <w:rFonts w:cs="XckbxxAdvTT3713a231"/>
        </w:rPr>
        <w:t xml:space="preserve">Daily discharge </w:t>
      </w:r>
      <w:r w:rsidR="37DAF732" w:rsidRPr="6A7FCD73">
        <w:rPr>
          <w:rFonts w:cs="XckbxxAdvTT3713a231"/>
        </w:rPr>
        <w:t>data were</w:t>
      </w:r>
      <w:r w:rsidR="0F322198" w:rsidRPr="6A7FCD73">
        <w:rPr>
          <w:rFonts w:cs="XckbxxAdvTT3713a231"/>
        </w:rPr>
        <w:t xml:space="preserve"> obtained from the downstream</w:t>
      </w:r>
      <w:r w:rsidR="471084AA" w:rsidRPr="6A7FCD73">
        <w:rPr>
          <w:rFonts w:cs="XckbxxAdvTT3713a231"/>
        </w:rPr>
        <w:t xml:space="preserve"> portion</w:t>
      </w:r>
      <w:r w:rsidR="0F322198" w:rsidRPr="6A7FCD73">
        <w:rPr>
          <w:rFonts w:cs="XckbxxAdvTT3713a231"/>
        </w:rPr>
        <w:t xml:space="preserve"> of the York River watershed at the Pamunkey gauge station (Table 1). These</w:t>
      </w:r>
      <w:r w:rsidR="18734012" w:rsidRPr="6A7FCD73">
        <w:rPr>
          <w:rFonts w:cs="XckbxxAdvTT3713a231"/>
        </w:rPr>
        <w:t xml:space="preserve"> data</w:t>
      </w:r>
      <w:r w:rsidR="0F322198" w:rsidRPr="6A7FCD73">
        <w:rPr>
          <w:rFonts w:cs="XckbxxAdvTT3713a231"/>
        </w:rPr>
        <w:t xml:space="preserve"> were used to calibrate and validate the discharge of the SWAT model. These datasets were obtained from USGS National Water Information System. </w:t>
      </w:r>
    </w:p>
    <w:p w14:paraId="6D358D18" w14:textId="049B3567" w:rsidR="1EFBA3C3" w:rsidRDefault="1EFBA3C3" w:rsidP="31CE712C">
      <w:pPr>
        <w:spacing w:after="0" w:line="240" w:lineRule="auto"/>
        <w:jc w:val="left"/>
        <w:rPr>
          <w:rFonts w:cs="XckbxxAdvTT3713a231"/>
        </w:rPr>
      </w:pPr>
    </w:p>
    <w:p w14:paraId="53CD74D4" w14:textId="71A9C7BD" w:rsidR="1EFBA3C3" w:rsidRDefault="5C87DE1C" w:rsidP="31CE712C">
      <w:pPr>
        <w:spacing w:after="0" w:line="240" w:lineRule="auto"/>
        <w:jc w:val="left"/>
        <w:rPr>
          <w:rFonts w:cs="XckbxxAdvTT3713a231"/>
        </w:rPr>
      </w:pPr>
      <w:r w:rsidRPr="73D89040">
        <w:rPr>
          <w:rFonts w:cs="XckbxxAdvTT3713a231"/>
        </w:rPr>
        <w:t>The sediment yield generated by the model was calibrated and validated using the ob</w:t>
      </w:r>
      <w:r w:rsidR="52331EC2" w:rsidRPr="73D89040">
        <w:rPr>
          <w:rFonts w:cs="XckbxxAdvTT3713a231"/>
        </w:rPr>
        <w:t>served total suspended sediment (TSS) in absence of the observed sediment yield. This was used based on studies by Galloway et al., (2005) which stated that TSS is directly proportional to suspended sediment concentration.</w:t>
      </w:r>
      <w:r w:rsidR="24F6B1DA" w:rsidRPr="73D89040">
        <w:rPr>
          <w:rFonts w:cs="XckbxxAdvTT3713a231"/>
        </w:rPr>
        <w:t xml:space="preserve"> The TSS dataset from 2009 to 2019 of the Pamunkey gauge station was obtained from the USGS database. </w:t>
      </w:r>
      <w:r w:rsidR="2DF59370" w:rsidRPr="73D89040">
        <w:rPr>
          <w:rFonts w:cs="XckbxxAdvTT3713a231"/>
        </w:rPr>
        <w:t>Mean monthly precipitation data from January 2009 to December 2019 were collected from Google Earth Engine using the GPM IMERG dataset (Huffman et al., 2019).</w:t>
      </w:r>
    </w:p>
    <w:p w14:paraId="02191B45" w14:textId="3E87CEAA" w:rsidR="2FA20DD9" w:rsidRDefault="13CB051E" w:rsidP="2FA20DD9">
      <w:pPr>
        <w:spacing w:after="0" w:line="240" w:lineRule="auto"/>
        <w:jc w:val="left"/>
        <w:rPr>
          <w:rFonts w:cs="XckbxxAdvTT3713a231"/>
        </w:rPr>
      </w:pPr>
      <w:r w:rsidRPr="13CB051E">
        <w:rPr>
          <w:rFonts w:cs="XckbxxAdvTT3713a231"/>
        </w:rPr>
        <w:t xml:space="preserve"> </w:t>
      </w:r>
    </w:p>
    <w:p w14:paraId="4532F96F" w14:textId="73C12BC1" w:rsidR="2FA20DD9" w:rsidRDefault="087D00B5" w:rsidP="6A7FCD73">
      <w:pPr>
        <w:pStyle w:val="Caption"/>
        <w:keepNext/>
        <w:spacing w:after="0"/>
        <w:jc w:val="left"/>
        <w:rPr>
          <w:i w:val="0"/>
          <w:iCs w:val="0"/>
          <w:color w:val="000000" w:themeColor="text1"/>
          <w:sz w:val="22"/>
          <w:szCs w:val="22"/>
        </w:rPr>
      </w:pPr>
      <w:r w:rsidRPr="6A7FCD73">
        <w:rPr>
          <w:i w:val="0"/>
          <w:iCs w:val="0"/>
          <w:color w:val="000000" w:themeColor="text1"/>
          <w:sz w:val="22"/>
          <w:szCs w:val="22"/>
        </w:rPr>
        <w:t xml:space="preserve">Table 1. </w:t>
      </w:r>
    </w:p>
    <w:p w14:paraId="29BFD7EE" w14:textId="1EA6F646" w:rsidR="2FA20DD9" w:rsidRDefault="087D00B5" w:rsidP="6A7FCD73">
      <w:pPr>
        <w:pStyle w:val="Caption"/>
        <w:keepNext/>
        <w:spacing w:after="0"/>
        <w:jc w:val="left"/>
        <w:rPr>
          <w:color w:val="000000" w:themeColor="text1"/>
          <w:sz w:val="22"/>
          <w:szCs w:val="22"/>
        </w:rPr>
      </w:pPr>
      <w:r w:rsidRPr="6A7FCD73">
        <w:rPr>
          <w:color w:val="000000" w:themeColor="text1"/>
          <w:sz w:val="22"/>
          <w:szCs w:val="22"/>
        </w:rPr>
        <w:t>Data types utilized in the study, their purpose, resolution, time frame, and source.</w:t>
      </w:r>
    </w:p>
    <w:tbl>
      <w:tblPr>
        <w:tblStyle w:val="TableGrid"/>
        <w:tblW w:w="0" w:type="auto"/>
        <w:tblInd w:w="0" w:type="dxa"/>
        <w:tblLayout w:type="fixed"/>
        <w:tblLook w:val="06A0" w:firstRow="1" w:lastRow="0" w:firstColumn="1" w:lastColumn="0" w:noHBand="1" w:noVBand="1"/>
      </w:tblPr>
      <w:tblGrid>
        <w:gridCol w:w="2340"/>
        <w:gridCol w:w="1935"/>
        <w:gridCol w:w="2745"/>
        <w:gridCol w:w="2340"/>
      </w:tblGrid>
      <w:tr w:rsidR="2FA20DD9" w14:paraId="1C060484" w14:textId="77777777" w:rsidTr="6A7FCD73">
        <w:tc>
          <w:tcPr>
            <w:tcW w:w="2340" w:type="dxa"/>
            <w:shd w:val="clear" w:color="auto" w:fill="1E8BCD"/>
          </w:tcPr>
          <w:p w14:paraId="46861A76" w14:textId="52174F06" w:rsidR="2FA20DD9" w:rsidRDefault="6470D35F" w:rsidP="20596ED7">
            <w:pPr>
              <w:jc w:val="left"/>
              <w:rPr>
                <w:rFonts w:cs="XckbxxAdvTT3713a231"/>
                <w:b/>
                <w:bCs/>
                <w:color w:val="FFFFFF" w:themeColor="background1"/>
              </w:rPr>
            </w:pPr>
            <w:r w:rsidRPr="20596ED7">
              <w:rPr>
                <w:rFonts w:cs="XckbxxAdvTT3713a231"/>
                <w:b/>
                <w:bCs/>
                <w:color w:val="FFFFFF" w:themeColor="background1"/>
              </w:rPr>
              <w:t>Data Type</w:t>
            </w:r>
          </w:p>
        </w:tc>
        <w:tc>
          <w:tcPr>
            <w:tcW w:w="1935" w:type="dxa"/>
            <w:shd w:val="clear" w:color="auto" w:fill="1E8BCD"/>
          </w:tcPr>
          <w:p w14:paraId="10DFD7CA" w14:textId="7E6714AB" w:rsidR="2FA20DD9" w:rsidRDefault="6470D35F" w:rsidP="20596ED7">
            <w:pPr>
              <w:jc w:val="left"/>
              <w:rPr>
                <w:rFonts w:cs="XckbxxAdvTT3713a231"/>
                <w:b/>
                <w:bCs/>
                <w:color w:val="FFFFFF" w:themeColor="background1"/>
              </w:rPr>
            </w:pPr>
            <w:r w:rsidRPr="20596ED7">
              <w:rPr>
                <w:rFonts w:cs="XckbxxAdvTT3713a231"/>
                <w:b/>
                <w:bCs/>
                <w:color w:val="FFFFFF" w:themeColor="background1"/>
              </w:rPr>
              <w:t>Purpose</w:t>
            </w:r>
          </w:p>
        </w:tc>
        <w:tc>
          <w:tcPr>
            <w:tcW w:w="2745" w:type="dxa"/>
            <w:shd w:val="clear" w:color="auto" w:fill="1E8BCD"/>
          </w:tcPr>
          <w:p w14:paraId="5FF5A868" w14:textId="4A03DA05" w:rsidR="2FA20DD9" w:rsidRDefault="6470D35F" w:rsidP="20596ED7">
            <w:pPr>
              <w:jc w:val="left"/>
              <w:rPr>
                <w:rFonts w:cs="XckbxxAdvTT3713a231"/>
                <w:b/>
                <w:bCs/>
                <w:color w:val="FFFFFF" w:themeColor="background1"/>
              </w:rPr>
            </w:pPr>
            <w:r w:rsidRPr="6A7FCD73">
              <w:rPr>
                <w:rFonts w:cs="XckbxxAdvTT3713a231"/>
                <w:b/>
                <w:bCs/>
                <w:color w:val="FFFFFF" w:themeColor="background1"/>
              </w:rPr>
              <w:t>Resolution/Time</w:t>
            </w:r>
            <w:r w:rsidR="500B6CED" w:rsidRPr="6A7FCD73">
              <w:rPr>
                <w:rFonts w:cs="XckbxxAdvTT3713a231"/>
                <w:b/>
                <w:bCs/>
                <w:color w:val="FFFFFF" w:themeColor="background1"/>
              </w:rPr>
              <w:t xml:space="preserve"> </w:t>
            </w:r>
            <w:r w:rsidRPr="6A7FCD73">
              <w:rPr>
                <w:rFonts w:cs="XckbxxAdvTT3713a231"/>
                <w:b/>
                <w:bCs/>
                <w:color w:val="FFFFFF" w:themeColor="background1"/>
              </w:rPr>
              <w:t>Frame</w:t>
            </w:r>
          </w:p>
        </w:tc>
        <w:tc>
          <w:tcPr>
            <w:tcW w:w="2340" w:type="dxa"/>
            <w:shd w:val="clear" w:color="auto" w:fill="1E8BCD"/>
          </w:tcPr>
          <w:p w14:paraId="66773220" w14:textId="285D7347" w:rsidR="2FA20DD9" w:rsidRDefault="6470D35F" w:rsidP="20596ED7">
            <w:pPr>
              <w:jc w:val="left"/>
              <w:rPr>
                <w:rFonts w:cs="XckbxxAdvTT3713a231"/>
                <w:b/>
                <w:bCs/>
                <w:color w:val="FFFFFF" w:themeColor="background1"/>
              </w:rPr>
            </w:pPr>
            <w:r w:rsidRPr="20596ED7">
              <w:rPr>
                <w:rFonts w:cs="XckbxxAdvTT3713a231"/>
                <w:b/>
                <w:bCs/>
                <w:color w:val="FFFFFF" w:themeColor="background1"/>
              </w:rPr>
              <w:t>Data Source</w:t>
            </w:r>
          </w:p>
        </w:tc>
      </w:tr>
      <w:tr w:rsidR="2FA20DD9" w14:paraId="7F2D9B2D" w14:textId="77777777" w:rsidTr="6A7FCD73">
        <w:tc>
          <w:tcPr>
            <w:tcW w:w="2340" w:type="dxa"/>
          </w:tcPr>
          <w:p w14:paraId="47BDD9D4" w14:textId="1D941115" w:rsidR="2FA20DD9" w:rsidRDefault="544E4BB6" w:rsidP="13CB051E">
            <w:pPr>
              <w:spacing w:after="200" w:line="276" w:lineRule="auto"/>
              <w:jc w:val="left"/>
              <w:rPr>
                <w:rFonts w:cs="XckbxxAdvTT3713a231"/>
              </w:rPr>
            </w:pPr>
            <w:r w:rsidRPr="13CB051E">
              <w:rPr>
                <w:rFonts w:cs="XckbxxAdvTT3713a231"/>
              </w:rPr>
              <w:t>Surface reflectance</w:t>
            </w:r>
          </w:p>
        </w:tc>
        <w:tc>
          <w:tcPr>
            <w:tcW w:w="1935" w:type="dxa"/>
          </w:tcPr>
          <w:p w14:paraId="4A5642F9" w14:textId="6AFA2B1D" w:rsidR="2FA20DD9" w:rsidRDefault="544E4BB6" w:rsidP="2FA20DD9">
            <w:pPr>
              <w:jc w:val="left"/>
              <w:rPr>
                <w:rFonts w:cs="XckbxxAdvTT3713a231"/>
              </w:rPr>
            </w:pPr>
            <w:r w:rsidRPr="13CB051E">
              <w:rPr>
                <w:rFonts w:cs="XckbxxAdvTT3713a231"/>
              </w:rPr>
              <w:t>ORCAA input</w:t>
            </w:r>
          </w:p>
        </w:tc>
        <w:tc>
          <w:tcPr>
            <w:tcW w:w="2745" w:type="dxa"/>
          </w:tcPr>
          <w:p w14:paraId="3DCA6383" w14:textId="0BD133AA" w:rsidR="2FA20DD9" w:rsidRDefault="544E4BB6" w:rsidP="2FA20DD9">
            <w:pPr>
              <w:jc w:val="left"/>
              <w:rPr>
                <w:rFonts w:cs="XckbxxAdvTT3713a231"/>
              </w:rPr>
            </w:pPr>
            <w:r w:rsidRPr="13CB051E">
              <w:rPr>
                <w:rFonts w:cs="XckbxxAdvTT3713a231"/>
              </w:rPr>
              <w:t>30 m / 2009</w:t>
            </w:r>
            <w:r w:rsidR="0F322198" w:rsidRPr="13CB051E">
              <w:rPr>
                <w:rFonts w:cs="XckbxxAdvTT3713a231"/>
              </w:rPr>
              <w:t>–2019</w:t>
            </w:r>
          </w:p>
        </w:tc>
        <w:tc>
          <w:tcPr>
            <w:tcW w:w="2340" w:type="dxa"/>
          </w:tcPr>
          <w:p w14:paraId="791E8394" w14:textId="788AF9BC" w:rsidR="2FA20DD9" w:rsidRDefault="544E4BB6" w:rsidP="2FA20DD9">
            <w:pPr>
              <w:jc w:val="left"/>
              <w:rPr>
                <w:rFonts w:cs="XckbxxAdvTT3713a231"/>
              </w:rPr>
            </w:pPr>
            <w:r w:rsidRPr="13CB051E">
              <w:rPr>
                <w:rFonts w:cs="XckbxxAdvTT3713a231"/>
              </w:rPr>
              <w:t>Sentinel-2 MSI, Landsat 5 TM, Landsat 7 ETM+, Landsat 8 OLI</w:t>
            </w:r>
          </w:p>
        </w:tc>
      </w:tr>
      <w:tr w:rsidR="2FA20DD9" w14:paraId="60DD4666" w14:textId="77777777" w:rsidTr="6A7FCD73">
        <w:tc>
          <w:tcPr>
            <w:tcW w:w="2340" w:type="dxa"/>
          </w:tcPr>
          <w:p w14:paraId="07CFD49F" w14:textId="7DCC834E" w:rsidR="2FA20DD9" w:rsidRDefault="544E4BB6" w:rsidP="2FA20DD9">
            <w:pPr>
              <w:jc w:val="left"/>
              <w:rPr>
                <w:rFonts w:cs="XckbxxAdvTT3713a231"/>
              </w:rPr>
            </w:pPr>
            <w:r w:rsidRPr="13CB051E">
              <w:rPr>
                <w:rFonts w:cs="XckbxxAdvTT3713a231"/>
              </w:rPr>
              <w:t>Digital elevation model</w:t>
            </w:r>
          </w:p>
        </w:tc>
        <w:tc>
          <w:tcPr>
            <w:tcW w:w="1935" w:type="dxa"/>
          </w:tcPr>
          <w:p w14:paraId="69D3B1AD" w14:textId="405C240E" w:rsidR="2FA20DD9" w:rsidRDefault="544E4BB6" w:rsidP="2FA20DD9">
            <w:pPr>
              <w:jc w:val="left"/>
              <w:rPr>
                <w:rFonts w:cs="XckbxxAdvTT3713a231"/>
              </w:rPr>
            </w:pPr>
            <w:r w:rsidRPr="13CB051E">
              <w:rPr>
                <w:rFonts w:cs="XckbxxAdvTT3713a231"/>
              </w:rPr>
              <w:t>SWAT input</w:t>
            </w:r>
          </w:p>
        </w:tc>
        <w:tc>
          <w:tcPr>
            <w:tcW w:w="2745" w:type="dxa"/>
          </w:tcPr>
          <w:p w14:paraId="1408F315" w14:textId="4E08FD18" w:rsidR="2FA20DD9" w:rsidRDefault="544E4BB6" w:rsidP="2FA20DD9">
            <w:pPr>
              <w:jc w:val="left"/>
              <w:rPr>
                <w:rFonts w:cs="XckbxxAdvTT3713a231"/>
              </w:rPr>
            </w:pPr>
            <w:r w:rsidRPr="13CB051E">
              <w:rPr>
                <w:rFonts w:cs="XckbxxAdvTT3713a231"/>
              </w:rPr>
              <w:t>90 m / 2009</w:t>
            </w:r>
            <w:r w:rsidR="0F322198" w:rsidRPr="13CB051E">
              <w:rPr>
                <w:rFonts w:cs="XckbxxAdvTT3713a231"/>
              </w:rPr>
              <w:t>–</w:t>
            </w:r>
            <w:r w:rsidRPr="13CB051E">
              <w:rPr>
                <w:rFonts w:cs="XckbxxAdvTT3713a231"/>
              </w:rPr>
              <w:t>2019</w:t>
            </w:r>
          </w:p>
        </w:tc>
        <w:tc>
          <w:tcPr>
            <w:tcW w:w="2340" w:type="dxa"/>
          </w:tcPr>
          <w:p w14:paraId="51E62716" w14:textId="237A2277" w:rsidR="215EC1A4" w:rsidRDefault="09F21775" w:rsidP="2FA20DD9">
            <w:pPr>
              <w:jc w:val="left"/>
              <w:rPr>
                <w:rFonts w:eastAsia="Garamond" w:cs="Garamond"/>
              </w:rPr>
            </w:pPr>
            <w:r w:rsidRPr="13CB051E">
              <w:rPr>
                <w:rFonts w:eastAsia="Garamond" w:cs="Garamond"/>
              </w:rPr>
              <w:t>Shuttle Radar Topography Mission</w:t>
            </w:r>
            <w:r w:rsidR="544E4BB6" w:rsidRPr="13CB051E">
              <w:rPr>
                <w:rFonts w:cs="XckbxxAdvTT3713a231"/>
              </w:rPr>
              <w:t xml:space="preserve"> (SRTM)</w:t>
            </w:r>
          </w:p>
        </w:tc>
      </w:tr>
      <w:tr w:rsidR="2FA20DD9" w14:paraId="03594693" w14:textId="77777777" w:rsidTr="6A7FCD73">
        <w:tc>
          <w:tcPr>
            <w:tcW w:w="2340" w:type="dxa"/>
          </w:tcPr>
          <w:p w14:paraId="67F74E12" w14:textId="024B13E6" w:rsidR="2FA20DD9" w:rsidRDefault="544E4BB6" w:rsidP="2FA20DD9">
            <w:pPr>
              <w:jc w:val="left"/>
              <w:rPr>
                <w:rFonts w:cs="XckbxxAdvTT3713a231"/>
              </w:rPr>
            </w:pPr>
            <w:r w:rsidRPr="13CB051E">
              <w:rPr>
                <w:rFonts w:cs="XckbxxAdvTT3713a231"/>
              </w:rPr>
              <w:t>Land cover</w:t>
            </w:r>
          </w:p>
        </w:tc>
        <w:tc>
          <w:tcPr>
            <w:tcW w:w="1935" w:type="dxa"/>
          </w:tcPr>
          <w:p w14:paraId="4178C550" w14:textId="3E19A56E" w:rsidR="2FA20DD9" w:rsidRDefault="544E4BB6" w:rsidP="2FA20DD9">
            <w:pPr>
              <w:jc w:val="left"/>
              <w:rPr>
                <w:rFonts w:cs="XckbxxAdvTT3713a231"/>
              </w:rPr>
            </w:pPr>
            <w:r w:rsidRPr="13CB051E">
              <w:rPr>
                <w:rFonts w:cs="XckbxxAdvTT3713a231"/>
              </w:rPr>
              <w:t>SWAT input</w:t>
            </w:r>
          </w:p>
        </w:tc>
        <w:tc>
          <w:tcPr>
            <w:tcW w:w="2745" w:type="dxa"/>
          </w:tcPr>
          <w:p w14:paraId="7604FFA3" w14:textId="52918125" w:rsidR="2FA20DD9" w:rsidRDefault="544E4BB6" w:rsidP="2FA20DD9">
            <w:pPr>
              <w:jc w:val="left"/>
              <w:rPr>
                <w:rFonts w:cs="XckbxxAdvTT3713a231"/>
              </w:rPr>
            </w:pPr>
            <w:r w:rsidRPr="13CB051E">
              <w:rPr>
                <w:rFonts w:cs="XckbxxAdvTT3713a231"/>
              </w:rPr>
              <w:t>30 m / 2019</w:t>
            </w:r>
          </w:p>
        </w:tc>
        <w:tc>
          <w:tcPr>
            <w:tcW w:w="2340" w:type="dxa"/>
          </w:tcPr>
          <w:p w14:paraId="0266D88F" w14:textId="1D628E3F" w:rsidR="2FA20DD9" w:rsidRDefault="544E4BB6" w:rsidP="2FA20DD9">
            <w:pPr>
              <w:jc w:val="left"/>
              <w:rPr>
                <w:rFonts w:cs="XckbxxAdvTT3713a231"/>
              </w:rPr>
            </w:pPr>
            <w:r w:rsidRPr="73D89040">
              <w:rPr>
                <w:rFonts w:cs="XckbxxAdvTT3713a231"/>
              </w:rPr>
              <w:t>National Land Cover Database Multi-Resolution Land Characteristics</w:t>
            </w:r>
          </w:p>
        </w:tc>
      </w:tr>
      <w:tr w:rsidR="2FA20DD9" w14:paraId="7536DBA9" w14:textId="77777777" w:rsidTr="6A7FCD73">
        <w:tc>
          <w:tcPr>
            <w:tcW w:w="2340" w:type="dxa"/>
          </w:tcPr>
          <w:p w14:paraId="3CE3E629" w14:textId="760EA41E" w:rsidR="2FA20DD9" w:rsidRDefault="544E4BB6" w:rsidP="2FA20DD9">
            <w:pPr>
              <w:jc w:val="left"/>
              <w:rPr>
                <w:rFonts w:cs="XckbxxAdvTT3713a231"/>
              </w:rPr>
            </w:pPr>
            <w:r w:rsidRPr="13CB051E">
              <w:rPr>
                <w:rFonts w:cs="XckbxxAdvTT3713a231"/>
              </w:rPr>
              <w:lastRenderedPageBreak/>
              <w:t>Soil type</w:t>
            </w:r>
          </w:p>
        </w:tc>
        <w:tc>
          <w:tcPr>
            <w:tcW w:w="1935" w:type="dxa"/>
          </w:tcPr>
          <w:p w14:paraId="685A276D" w14:textId="6A089954" w:rsidR="2FA20DD9" w:rsidRDefault="544E4BB6" w:rsidP="2FA20DD9">
            <w:pPr>
              <w:jc w:val="left"/>
              <w:rPr>
                <w:rFonts w:cs="XckbxxAdvTT3713a231"/>
              </w:rPr>
            </w:pPr>
            <w:r w:rsidRPr="13CB051E">
              <w:rPr>
                <w:rFonts w:cs="XckbxxAdvTT3713a231"/>
              </w:rPr>
              <w:t>SWAT input</w:t>
            </w:r>
          </w:p>
        </w:tc>
        <w:tc>
          <w:tcPr>
            <w:tcW w:w="2745" w:type="dxa"/>
          </w:tcPr>
          <w:p w14:paraId="6B1A3839" w14:textId="1EE2C65E" w:rsidR="2FA20DD9" w:rsidRDefault="544E4BB6" w:rsidP="2FA20DD9">
            <w:pPr>
              <w:jc w:val="left"/>
              <w:rPr>
                <w:rFonts w:cs="XckbxxAdvTT3713a231"/>
              </w:rPr>
            </w:pPr>
            <w:r w:rsidRPr="13CB051E">
              <w:rPr>
                <w:rFonts w:cs="XckbxxAdvTT3713a231"/>
              </w:rPr>
              <w:t>1:5,000,000 scale / NA</w:t>
            </w:r>
          </w:p>
        </w:tc>
        <w:tc>
          <w:tcPr>
            <w:tcW w:w="2340" w:type="dxa"/>
          </w:tcPr>
          <w:p w14:paraId="0FD272B3" w14:textId="3292E9C5" w:rsidR="1616FAE4" w:rsidRDefault="21D199CE" w:rsidP="2FA20DD9">
            <w:pPr>
              <w:jc w:val="left"/>
            </w:pPr>
            <w:r w:rsidRPr="13CB051E">
              <w:rPr>
                <w:rFonts w:eastAsia="Garamond" w:cs="Garamond"/>
              </w:rPr>
              <w:t>FAO Digital Soil Map of the World (</w:t>
            </w:r>
            <w:r w:rsidR="544E4BB6" w:rsidRPr="13CB051E">
              <w:rPr>
                <w:rFonts w:cs="XckbxxAdvTT3713a231"/>
              </w:rPr>
              <w:t>DSMW) (FAO, 2007)</w:t>
            </w:r>
          </w:p>
        </w:tc>
      </w:tr>
      <w:tr w:rsidR="2FA20DD9" w14:paraId="4A068C60" w14:textId="77777777" w:rsidTr="6A7FCD73">
        <w:tc>
          <w:tcPr>
            <w:tcW w:w="2340" w:type="dxa"/>
          </w:tcPr>
          <w:p w14:paraId="0F2E5635" w14:textId="0B525FD9" w:rsidR="2FA20DD9" w:rsidRDefault="544E4BB6" w:rsidP="2FA20DD9">
            <w:pPr>
              <w:jc w:val="left"/>
              <w:rPr>
                <w:rFonts w:cs="XckbxxAdvTT3713a231"/>
              </w:rPr>
            </w:pPr>
            <w:r w:rsidRPr="13CB051E">
              <w:rPr>
                <w:rFonts w:cs="XckbxxAdvTT3713a231"/>
              </w:rPr>
              <w:t>Daily precipitation and temperature</w:t>
            </w:r>
          </w:p>
        </w:tc>
        <w:tc>
          <w:tcPr>
            <w:tcW w:w="1935" w:type="dxa"/>
          </w:tcPr>
          <w:p w14:paraId="00861E4C" w14:textId="79C97F5D" w:rsidR="2FA20DD9" w:rsidRDefault="544E4BB6" w:rsidP="2FA20DD9">
            <w:pPr>
              <w:jc w:val="left"/>
              <w:rPr>
                <w:rFonts w:cs="XckbxxAdvTT3713a231"/>
              </w:rPr>
            </w:pPr>
            <w:r w:rsidRPr="13CB051E">
              <w:rPr>
                <w:rFonts w:cs="XckbxxAdvTT3713a231"/>
              </w:rPr>
              <w:t>SWAT input</w:t>
            </w:r>
          </w:p>
        </w:tc>
        <w:tc>
          <w:tcPr>
            <w:tcW w:w="2745" w:type="dxa"/>
          </w:tcPr>
          <w:p w14:paraId="4EAD3836" w14:textId="60D0BBED" w:rsidR="2FA20DD9" w:rsidRDefault="544E4BB6" w:rsidP="2FA20DD9">
            <w:pPr>
              <w:jc w:val="left"/>
              <w:rPr>
                <w:rFonts w:cs="XckbxxAdvTT3713a231"/>
              </w:rPr>
            </w:pPr>
            <w:r w:rsidRPr="13CB051E">
              <w:rPr>
                <w:rFonts w:cs="XckbxxAdvTT3713a231"/>
              </w:rPr>
              <w:t>2 m / 2009</w:t>
            </w:r>
            <w:r w:rsidR="0F322198" w:rsidRPr="13CB051E">
              <w:rPr>
                <w:rFonts w:cs="XckbxxAdvTT3713a231"/>
              </w:rPr>
              <w:t>–2019</w:t>
            </w:r>
          </w:p>
        </w:tc>
        <w:tc>
          <w:tcPr>
            <w:tcW w:w="2340" w:type="dxa"/>
          </w:tcPr>
          <w:p w14:paraId="77554696" w14:textId="5F7D948F" w:rsidR="2FA20DD9" w:rsidRDefault="544E4BB6" w:rsidP="2FA20DD9">
            <w:pPr>
              <w:jc w:val="left"/>
              <w:rPr>
                <w:rFonts w:cs="XckbxxAdvTT3713a231"/>
              </w:rPr>
            </w:pPr>
            <w:r w:rsidRPr="13CB051E">
              <w:rPr>
                <w:rFonts w:cs="XckbxxAdvTT3713a231"/>
              </w:rPr>
              <w:t>NASA POWER</w:t>
            </w:r>
          </w:p>
        </w:tc>
      </w:tr>
      <w:tr w:rsidR="2FA20DD9" w14:paraId="791943D7" w14:textId="77777777" w:rsidTr="6A7FCD73">
        <w:tc>
          <w:tcPr>
            <w:tcW w:w="2340" w:type="dxa"/>
          </w:tcPr>
          <w:p w14:paraId="2AA34B71" w14:textId="68F379BD" w:rsidR="2FA20DD9" w:rsidRDefault="544E4BB6" w:rsidP="2FA20DD9">
            <w:pPr>
              <w:jc w:val="left"/>
              <w:rPr>
                <w:rFonts w:cs="XckbxxAdvTT3713a231"/>
              </w:rPr>
            </w:pPr>
            <w:r w:rsidRPr="13CB051E">
              <w:rPr>
                <w:rFonts w:cs="XckbxxAdvTT3713a231"/>
              </w:rPr>
              <w:t>Daily discharge</w:t>
            </w:r>
          </w:p>
        </w:tc>
        <w:tc>
          <w:tcPr>
            <w:tcW w:w="1935" w:type="dxa"/>
          </w:tcPr>
          <w:p w14:paraId="72EA925D" w14:textId="721B1FD8" w:rsidR="2FA20DD9" w:rsidRDefault="544E4BB6" w:rsidP="2FA20DD9">
            <w:pPr>
              <w:jc w:val="left"/>
              <w:rPr>
                <w:rFonts w:cs="XckbxxAdvTT3713a231"/>
              </w:rPr>
            </w:pPr>
            <w:r w:rsidRPr="13CB051E">
              <w:rPr>
                <w:rFonts w:cs="XckbxxAdvTT3713a231"/>
              </w:rPr>
              <w:t>SWAT calibration/validation?</w:t>
            </w:r>
          </w:p>
        </w:tc>
        <w:tc>
          <w:tcPr>
            <w:tcW w:w="2745" w:type="dxa"/>
          </w:tcPr>
          <w:p w14:paraId="59100681" w14:textId="7E43A3B2" w:rsidR="2FA20DD9" w:rsidRDefault="544E4BB6" w:rsidP="2FA20DD9">
            <w:pPr>
              <w:jc w:val="left"/>
              <w:rPr>
                <w:rFonts w:cs="XckbxxAdvTT3713a231"/>
              </w:rPr>
            </w:pPr>
            <w:r w:rsidRPr="6A7FCD73">
              <w:rPr>
                <w:rFonts w:cs="XckbxxAdvTT3713a231"/>
              </w:rPr>
              <w:t>N</w:t>
            </w:r>
            <w:r w:rsidR="28CF001C" w:rsidRPr="6A7FCD73">
              <w:rPr>
                <w:rFonts w:cs="XckbxxAdvTT3713a231"/>
              </w:rPr>
              <w:t>/</w:t>
            </w:r>
            <w:r w:rsidRPr="6A7FCD73">
              <w:rPr>
                <w:rFonts w:cs="XckbxxAdvTT3713a231"/>
              </w:rPr>
              <w:t>A / 2009</w:t>
            </w:r>
            <w:r w:rsidR="0F322198" w:rsidRPr="6A7FCD73">
              <w:rPr>
                <w:rFonts w:cs="XckbxxAdvTT3713a231"/>
              </w:rPr>
              <w:t>–2020</w:t>
            </w:r>
          </w:p>
        </w:tc>
        <w:tc>
          <w:tcPr>
            <w:tcW w:w="2340" w:type="dxa"/>
          </w:tcPr>
          <w:p w14:paraId="61107A28" w14:textId="71A94E23" w:rsidR="4C1C15D8" w:rsidRDefault="0F322198" w:rsidP="2FA20DD9">
            <w:pPr>
              <w:jc w:val="left"/>
              <w:rPr>
                <w:rFonts w:cs="XckbxxAdvTT3713a231"/>
              </w:rPr>
            </w:pPr>
            <w:r w:rsidRPr="13CB051E">
              <w:rPr>
                <w:rFonts w:cs="XckbxxAdvTT3713a231"/>
              </w:rPr>
              <w:t>USGS National Water Information System</w:t>
            </w:r>
          </w:p>
        </w:tc>
      </w:tr>
      <w:tr w:rsidR="2FA20DD9" w14:paraId="568AF31C" w14:textId="77777777" w:rsidTr="6A7FCD73">
        <w:tc>
          <w:tcPr>
            <w:tcW w:w="2340" w:type="dxa"/>
          </w:tcPr>
          <w:p w14:paraId="51FB0808" w14:textId="1813E4E3" w:rsidR="2FA20DD9" w:rsidRDefault="544E4BB6" w:rsidP="2FA20DD9">
            <w:pPr>
              <w:jc w:val="left"/>
              <w:rPr>
                <w:rFonts w:cs="XckbxxAdvTT3713a231"/>
              </w:rPr>
            </w:pPr>
            <w:r w:rsidRPr="13CB051E">
              <w:rPr>
                <w:rFonts w:cs="XckbxxAdvTT3713a231"/>
              </w:rPr>
              <w:t>Mean monthly precipitation</w:t>
            </w:r>
          </w:p>
        </w:tc>
        <w:tc>
          <w:tcPr>
            <w:tcW w:w="1935" w:type="dxa"/>
          </w:tcPr>
          <w:p w14:paraId="64B65296" w14:textId="2194481A" w:rsidR="2FA20DD9" w:rsidRDefault="544E4BB6" w:rsidP="2FA20DD9">
            <w:pPr>
              <w:jc w:val="left"/>
              <w:rPr>
                <w:rFonts w:cs="XckbxxAdvTT3713a231"/>
              </w:rPr>
            </w:pPr>
            <w:r w:rsidRPr="13CB051E">
              <w:rPr>
                <w:rFonts w:cs="XckbxxAdvTT3713a231"/>
              </w:rPr>
              <w:t>Correlate with turbidity/TSS</w:t>
            </w:r>
          </w:p>
        </w:tc>
        <w:tc>
          <w:tcPr>
            <w:tcW w:w="2745" w:type="dxa"/>
          </w:tcPr>
          <w:p w14:paraId="06EBB64B" w14:textId="22831394" w:rsidR="2FA20DD9" w:rsidRDefault="544E4BB6" w:rsidP="2FA20DD9">
            <w:pPr>
              <w:jc w:val="left"/>
              <w:rPr>
                <w:rFonts w:cs="XckbxxAdvTT3713a231"/>
              </w:rPr>
            </w:pPr>
            <w:r w:rsidRPr="13CB051E">
              <w:rPr>
                <w:rFonts w:cs="XckbxxAdvTT3713a231"/>
              </w:rPr>
              <w:t>900 m / 2009</w:t>
            </w:r>
            <w:r w:rsidR="0F322198" w:rsidRPr="13CB051E">
              <w:rPr>
                <w:rFonts w:cs="XckbxxAdvTT3713a231"/>
              </w:rPr>
              <w:t>–2019</w:t>
            </w:r>
          </w:p>
        </w:tc>
        <w:tc>
          <w:tcPr>
            <w:tcW w:w="2340" w:type="dxa"/>
          </w:tcPr>
          <w:p w14:paraId="10F31077" w14:textId="2C7DC989" w:rsidR="2FA20DD9" w:rsidRDefault="544E4BB6" w:rsidP="2FA20DD9">
            <w:pPr>
              <w:jc w:val="left"/>
              <w:rPr>
                <w:rFonts w:cs="XckbxxAdvTT3713a231"/>
              </w:rPr>
            </w:pPr>
            <w:r w:rsidRPr="13CB051E">
              <w:rPr>
                <w:rFonts w:cs="XckbxxAdvTT3713a231"/>
              </w:rPr>
              <w:t>GPM IMERG</w:t>
            </w:r>
          </w:p>
        </w:tc>
      </w:tr>
    </w:tbl>
    <w:p w14:paraId="1BEA37FC" w14:textId="6FDFA6E1" w:rsidR="2FA20DD9" w:rsidRDefault="2FA20DD9"/>
    <w:p w14:paraId="643FC73E" w14:textId="77777777" w:rsidR="00FD359F" w:rsidRDefault="00FD359F" w:rsidP="2FA20DD9">
      <w:pPr>
        <w:keepNext/>
        <w:autoSpaceDE w:val="0"/>
        <w:autoSpaceDN w:val="0"/>
        <w:adjustRightInd w:val="0"/>
        <w:spacing w:after="0" w:line="240" w:lineRule="auto"/>
        <w:jc w:val="center"/>
      </w:pPr>
      <w:r>
        <w:rPr>
          <w:noProof/>
        </w:rPr>
        <w:drawing>
          <wp:inline distT="0" distB="0" distL="0" distR="0" wp14:anchorId="09A4A5CA" wp14:editId="6F13F220">
            <wp:extent cx="3291773" cy="3291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111" b="19124"/>
                    <a:stretch/>
                  </pic:blipFill>
                  <pic:spPr bwMode="auto">
                    <a:xfrm>
                      <a:off x="0" y="0"/>
                      <a:ext cx="3291773"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111DFA41" w14:textId="6EC24C2B" w:rsidR="00FD359F" w:rsidRPr="002F3C01" w:rsidRDefault="215EC1A4" w:rsidP="73D89040">
      <w:pPr>
        <w:pStyle w:val="Caption"/>
        <w:jc w:val="left"/>
        <w:rPr>
          <w:i w:val="0"/>
          <w:iCs w:val="0"/>
          <w:color w:val="000000" w:themeColor="text1"/>
          <w:sz w:val="22"/>
          <w:szCs w:val="22"/>
        </w:rPr>
      </w:pPr>
      <w:bookmarkStart w:id="7" w:name="_Ref109557832"/>
      <w:r w:rsidRPr="73D89040">
        <w:rPr>
          <w:i w:val="0"/>
          <w:iCs w:val="0"/>
          <w:color w:val="000000" w:themeColor="text1"/>
          <w:sz w:val="22"/>
          <w:szCs w:val="22"/>
        </w:rPr>
        <w:t>Figure 2.</w:t>
      </w:r>
      <w:bookmarkEnd w:id="7"/>
      <w:r w:rsidRPr="73D89040">
        <w:rPr>
          <w:i w:val="0"/>
          <w:iCs w:val="0"/>
          <w:color w:val="000000" w:themeColor="text1"/>
          <w:sz w:val="22"/>
          <w:szCs w:val="22"/>
        </w:rPr>
        <w:t xml:space="preserve"> Subbasins generated from the SWAT Model</w:t>
      </w:r>
      <w:r w:rsidR="3BF5CBFC" w:rsidRPr="73D89040">
        <w:rPr>
          <w:i w:val="0"/>
          <w:iCs w:val="0"/>
          <w:color w:val="000000" w:themeColor="text1"/>
          <w:sz w:val="22"/>
          <w:szCs w:val="22"/>
        </w:rPr>
        <w:t xml:space="preserve"> and the gauge station, which was located near the outlet of the Pamunkey River.</w:t>
      </w:r>
    </w:p>
    <w:p w14:paraId="39C420A3" w14:textId="35355199" w:rsidR="004A5DA8" w:rsidRPr="004A5DA8" w:rsidRDefault="087D00B5" w:rsidP="6A7FCD73">
      <w:pPr>
        <w:pStyle w:val="Caption"/>
        <w:keepNext/>
        <w:spacing w:after="0"/>
        <w:jc w:val="left"/>
        <w:rPr>
          <w:i w:val="0"/>
          <w:iCs w:val="0"/>
          <w:color w:val="000000" w:themeColor="text1"/>
          <w:sz w:val="22"/>
          <w:szCs w:val="22"/>
        </w:rPr>
      </w:pPr>
      <w:bookmarkStart w:id="8" w:name="_Ref109558151"/>
      <w:r w:rsidRPr="6A7FCD73">
        <w:rPr>
          <w:i w:val="0"/>
          <w:iCs w:val="0"/>
          <w:color w:val="000000" w:themeColor="text1"/>
          <w:sz w:val="22"/>
          <w:szCs w:val="22"/>
        </w:rPr>
        <w:t>Table 2.</w:t>
      </w:r>
      <w:bookmarkEnd w:id="8"/>
      <w:r w:rsidRPr="6A7FCD73">
        <w:rPr>
          <w:i w:val="0"/>
          <w:iCs w:val="0"/>
          <w:color w:val="000000" w:themeColor="text1"/>
          <w:sz w:val="22"/>
          <w:szCs w:val="22"/>
        </w:rPr>
        <w:t xml:space="preserve"> </w:t>
      </w:r>
    </w:p>
    <w:p w14:paraId="09E8F4F1" w14:textId="50556071" w:rsidR="004A5DA8" w:rsidRPr="004A5DA8" w:rsidRDefault="087D00B5" w:rsidP="6A7FCD73">
      <w:pPr>
        <w:pStyle w:val="Caption"/>
        <w:keepNext/>
        <w:spacing w:after="0"/>
        <w:jc w:val="left"/>
        <w:rPr>
          <w:i w:val="0"/>
          <w:iCs w:val="0"/>
          <w:color w:val="000000" w:themeColor="text1"/>
          <w:sz w:val="22"/>
          <w:szCs w:val="22"/>
        </w:rPr>
      </w:pPr>
      <w:r w:rsidRPr="6A7FCD73">
        <w:rPr>
          <w:color w:val="000000" w:themeColor="text1"/>
          <w:sz w:val="22"/>
          <w:szCs w:val="22"/>
        </w:rPr>
        <w:t>Land cover types in the York River watershed</w:t>
      </w:r>
      <w:r w:rsidRPr="6A7FCD73">
        <w:rPr>
          <w:i w:val="0"/>
          <w:iCs w:val="0"/>
          <w:color w:val="000000" w:themeColor="text1"/>
          <w:sz w:val="22"/>
          <w:szCs w:val="22"/>
        </w:rPr>
        <w:t>.</w:t>
      </w:r>
    </w:p>
    <w:tbl>
      <w:tblPr>
        <w:tblW w:w="0" w:type="auto"/>
        <w:tblLayout w:type="fixed"/>
        <w:tblLook w:val="04A0" w:firstRow="1" w:lastRow="0" w:firstColumn="1" w:lastColumn="0" w:noHBand="0" w:noVBand="1"/>
      </w:tblPr>
      <w:tblGrid>
        <w:gridCol w:w="1170"/>
        <w:gridCol w:w="2430"/>
        <w:gridCol w:w="5715"/>
      </w:tblGrid>
      <w:tr w:rsidR="004A5DA8" w14:paraId="09AB3640" w14:textId="77777777" w:rsidTr="20596ED7">
        <w:tc>
          <w:tcPr>
            <w:tcW w:w="1170" w:type="dxa"/>
            <w:tcBorders>
              <w:top w:val="single" w:sz="6" w:space="0" w:color="auto"/>
              <w:left w:val="single" w:sz="6" w:space="0" w:color="auto"/>
              <w:bottom w:val="single" w:sz="6" w:space="0" w:color="auto"/>
              <w:right w:val="single" w:sz="6" w:space="0" w:color="auto"/>
            </w:tcBorders>
            <w:shd w:val="clear" w:color="auto" w:fill="1E8BCD"/>
            <w:vAlign w:val="center"/>
          </w:tcPr>
          <w:p w14:paraId="00451479" w14:textId="77777777" w:rsidR="004A5DA8" w:rsidRDefault="004A5DA8" w:rsidP="004F7DF2">
            <w:pPr>
              <w:spacing w:after="0"/>
              <w:jc w:val="center"/>
              <w:rPr>
                <w:rFonts w:eastAsia="Garamond" w:cs="Garamond"/>
                <w:color w:val="FFFFFF" w:themeColor="background1"/>
              </w:rPr>
            </w:pPr>
            <w:r w:rsidRPr="7B890663">
              <w:rPr>
                <w:rFonts w:eastAsia="Garamond" w:cs="Garamond"/>
                <w:b/>
                <w:bCs/>
                <w:color w:val="FFFFFF" w:themeColor="background1"/>
              </w:rPr>
              <w:t>Value</w:t>
            </w:r>
          </w:p>
        </w:tc>
        <w:tc>
          <w:tcPr>
            <w:tcW w:w="2430" w:type="dxa"/>
            <w:tcBorders>
              <w:top w:val="single" w:sz="6" w:space="0" w:color="auto"/>
              <w:left w:val="single" w:sz="6" w:space="0" w:color="auto"/>
              <w:bottom w:val="single" w:sz="6" w:space="0" w:color="auto"/>
              <w:right w:val="single" w:sz="6" w:space="0" w:color="auto"/>
            </w:tcBorders>
            <w:shd w:val="clear" w:color="auto" w:fill="1E8BCD"/>
            <w:vAlign w:val="center"/>
          </w:tcPr>
          <w:p w14:paraId="752F0A85" w14:textId="77777777" w:rsidR="004A5DA8" w:rsidRDefault="004A5DA8" w:rsidP="004F7DF2">
            <w:pPr>
              <w:spacing w:after="0"/>
              <w:jc w:val="center"/>
              <w:rPr>
                <w:rFonts w:eastAsia="Garamond" w:cs="Garamond"/>
                <w:color w:val="FFFFFF" w:themeColor="background1"/>
              </w:rPr>
            </w:pPr>
            <w:r w:rsidRPr="7B890663">
              <w:rPr>
                <w:rFonts w:eastAsia="Garamond" w:cs="Garamond"/>
                <w:b/>
                <w:bCs/>
                <w:color w:val="FFFFFF" w:themeColor="background1"/>
              </w:rPr>
              <w:t>Land Cover Type</w:t>
            </w:r>
          </w:p>
        </w:tc>
        <w:tc>
          <w:tcPr>
            <w:tcW w:w="5715" w:type="dxa"/>
            <w:tcBorders>
              <w:top w:val="single" w:sz="6" w:space="0" w:color="auto"/>
              <w:left w:val="single" w:sz="6" w:space="0" w:color="auto"/>
              <w:bottom w:val="single" w:sz="6" w:space="0" w:color="auto"/>
              <w:right w:val="single" w:sz="6" w:space="0" w:color="auto"/>
            </w:tcBorders>
            <w:shd w:val="clear" w:color="auto" w:fill="1E8BCD"/>
            <w:vAlign w:val="center"/>
          </w:tcPr>
          <w:p w14:paraId="28B382BC" w14:textId="77777777" w:rsidR="004A5DA8" w:rsidRDefault="004A5DA8" w:rsidP="004F7DF2">
            <w:pPr>
              <w:spacing w:after="0"/>
              <w:jc w:val="center"/>
              <w:rPr>
                <w:rFonts w:eastAsia="Garamond" w:cs="Garamond"/>
                <w:color w:val="FFFFFF" w:themeColor="background1"/>
              </w:rPr>
            </w:pPr>
            <w:r w:rsidRPr="7B890663">
              <w:rPr>
                <w:rFonts w:eastAsia="Garamond" w:cs="Garamond"/>
                <w:b/>
                <w:bCs/>
                <w:color w:val="FFFFFF" w:themeColor="background1"/>
              </w:rPr>
              <w:t>Description</w:t>
            </w:r>
          </w:p>
        </w:tc>
      </w:tr>
      <w:tr w:rsidR="004A5DA8" w14:paraId="5EE2B390" w14:textId="77777777" w:rsidTr="20596ED7">
        <w:tc>
          <w:tcPr>
            <w:tcW w:w="1170" w:type="dxa"/>
            <w:tcBorders>
              <w:top w:val="single" w:sz="6" w:space="0" w:color="auto"/>
              <w:left w:val="single" w:sz="6" w:space="0" w:color="auto"/>
              <w:bottom w:val="single" w:sz="6" w:space="0" w:color="auto"/>
              <w:right w:val="single" w:sz="6" w:space="0" w:color="auto"/>
            </w:tcBorders>
          </w:tcPr>
          <w:p w14:paraId="084CE176" w14:textId="77777777" w:rsidR="004A5DA8" w:rsidRDefault="004A5DA8" w:rsidP="004F7DF2">
            <w:pPr>
              <w:spacing w:after="0"/>
              <w:rPr>
                <w:rFonts w:eastAsia="Garamond" w:cs="Garamond"/>
                <w:b/>
                <w:bCs/>
              </w:rPr>
            </w:pPr>
            <w:r w:rsidRPr="7B890663">
              <w:rPr>
                <w:rFonts w:eastAsia="Garamond" w:cs="Garamond"/>
                <w:b/>
                <w:bCs/>
              </w:rPr>
              <w:t>11</w:t>
            </w:r>
          </w:p>
        </w:tc>
        <w:tc>
          <w:tcPr>
            <w:tcW w:w="2430" w:type="dxa"/>
            <w:tcBorders>
              <w:top w:val="single" w:sz="6" w:space="0" w:color="auto"/>
              <w:left w:val="single" w:sz="6" w:space="0" w:color="auto"/>
              <w:bottom w:val="single" w:sz="6" w:space="0" w:color="auto"/>
              <w:right w:val="single" w:sz="6" w:space="0" w:color="auto"/>
            </w:tcBorders>
          </w:tcPr>
          <w:p w14:paraId="087225CA" w14:textId="77777777" w:rsidR="004A5DA8" w:rsidRDefault="004A5DA8" w:rsidP="004F7DF2">
            <w:pPr>
              <w:spacing w:after="0"/>
              <w:rPr>
                <w:rFonts w:eastAsia="Garamond" w:cs="Garamond"/>
              </w:rPr>
            </w:pPr>
            <w:r w:rsidRPr="7B890663">
              <w:rPr>
                <w:rFonts w:eastAsia="Garamond" w:cs="Garamond"/>
              </w:rPr>
              <w:t>Open Water</w:t>
            </w:r>
          </w:p>
        </w:tc>
        <w:tc>
          <w:tcPr>
            <w:tcW w:w="5715" w:type="dxa"/>
            <w:tcBorders>
              <w:top w:val="single" w:sz="6" w:space="0" w:color="auto"/>
              <w:left w:val="single" w:sz="6" w:space="0" w:color="auto"/>
              <w:bottom w:val="single" w:sz="6" w:space="0" w:color="auto"/>
              <w:right w:val="single" w:sz="6" w:space="0" w:color="auto"/>
            </w:tcBorders>
          </w:tcPr>
          <w:p w14:paraId="1E207985" w14:textId="77777777" w:rsidR="004A5DA8" w:rsidRDefault="1D2308C1" w:rsidP="31CE712C">
            <w:pPr>
              <w:spacing w:after="0"/>
              <w:jc w:val="left"/>
              <w:rPr>
                <w:rFonts w:eastAsia="Garamond" w:cs="Garamond"/>
              </w:rPr>
            </w:pPr>
            <w:r w:rsidRPr="13CB051E">
              <w:rPr>
                <w:rFonts w:eastAsia="Garamond" w:cs="Garamond"/>
              </w:rPr>
              <w:t>Open water, usually &lt;25% cover by vegetation or soil</w:t>
            </w:r>
          </w:p>
        </w:tc>
      </w:tr>
      <w:tr w:rsidR="004A5DA8" w14:paraId="7A20251F" w14:textId="77777777" w:rsidTr="20596ED7">
        <w:tc>
          <w:tcPr>
            <w:tcW w:w="1170" w:type="dxa"/>
            <w:tcBorders>
              <w:top w:val="single" w:sz="6" w:space="0" w:color="auto"/>
              <w:left w:val="single" w:sz="6" w:space="0" w:color="auto"/>
              <w:bottom w:val="single" w:sz="6" w:space="0" w:color="auto"/>
              <w:right w:val="single" w:sz="6" w:space="0" w:color="auto"/>
            </w:tcBorders>
          </w:tcPr>
          <w:p w14:paraId="3A0F89C2" w14:textId="77777777" w:rsidR="004A5DA8" w:rsidRDefault="004A5DA8" w:rsidP="004F7DF2">
            <w:pPr>
              <w:spacing w:after="0"/>
              <w:rPr>
                <w:rFonts w:eastAsia="Garamond" w:cs="Garamond"/>
              </w:rPr>
            </w:pPr>
            <w:r w:rsidRPr="7B890663">
              <w:rPr>
                <w:rFonts w:eastAsia="Garamond" w:cs="Garamond"/>
                <w:b/>
                <w:bCs/>
              </w:rPr>
              <w:t>21</w:t>
            </w:r>
          </w:p>
        </w:tc>
        <w:tc>
          <w:tcPr>
            <w:tcW w:w="2430" w:type="dxa"/>
            <w:tcBorders>
              <w:top w:val="single" w:sz="6" w:space="0" w:color="auto"/>
              <w:left w:val="single" w:sz="6" w:space="0" w:color="auto"/>
              <w:bottom w:val="single" w:sz="6" w:space="0" w:color="auto"/>
              <w:right w:val="single" w:sz="6" w:space="0" w:color="auto"/>
            </w:tcBorders>
          </w:tcPr>
          <w:p w14:paraId="0124A748" w14:textId="77777777" w:rsidR="004A5DA8" w:rsidRDefault="004A5DA8" w:rsidP="004F7DF2">
            <w:pPr>
              <w:spacing w:after="0"/>
              <w:rPr>
                <w:rFonts w:eastAsia="Garamond" w:cs="Garamond"/>
              </w:rPr>
            </w:pPr>
            <w:r w:rsidRPr="7B890663">
              <w:rPr>
                <w:rFonts w:eastAsia="Garamond" w:cs="Garamond"/>
              </w:rPr>
              <w:t>Developed, Open Space</w:t>
            </w:r>
          </w:p>
        </w:tc>
        <w:tc>
          <w:tcPr>
            <w:tcW w:w="5715" w:type="dxa"/>
            <w:tcBorders>
              <w:top w:val="single" w:sz="6" w:space="0" w:color="auto"/>
              <w:left w:val="single" w:sz="6" w:space="0" w:color="auto"/>
              <w:bottom w:val="single" w:sz="6" w:space="0" w:color="auto"/>
              <w:right w:val="single" w:sz="6" w:space="0" w:color="auto"/>
            </w:tcBorders>
          </w:tcPr>
          <w:p w14:paraId="7632136D" w14:textId="77777777" w:rsidR="004A5DA8" w:rsidRDefault="2054A1B7" w:rsidP="31CE712C">
            <w:pPr>
              <w:spacing w:after="0"/>
              <w:jc w:val="left"/>
              <w:rPr>
                <w:rFonts w:eastAsia="Garamond" w:cs="Garamond"/>
              </w:rPr>
            </w:pPr>
            <w:r w:rsidRPr="31CE712C">
              <w:rPr>
                <w:rFonts w:eastAsia="Garamond" w:cs="Garamond"/>
              </w:rPr>
              <w:t>Often single-family residential areas with lawns, or parks and golf courses. &lt;20% impervious surface cover.</w:t>
            </w:r>
          </w:p>
        </w:tc>
      </w:tr>
      <w:tr w:rsidR="004A5DA8" w14:paraId="442D8DC7" w14:textId="77777777" w:rsidTr="20596ED7">
        <w:tc>
          <w:tcPr>
            <w:tcW w:w="1170" w:type="dxa"/>
            <w:tcBorders>
              <w:top w:val="single" w:sz="6" w:space="0" w:color="auto"/>
              <w:left w:val="single" w:sz="6" w:space="0" w:color="auto"/>
              <w:bottom w:val="single" w:sz="6" w:space="0" w:color="auto"/>
              <w:right w:val="single" w:sz="6" w:space="0" w:color="auto"/>
            </w:tcBorders>
          </w:tcPr>
          <w:p w14:paraId="3E3D0AA0" w14:textId="77777777" w:rsidR="004A5DA8" w:rsidRDefault="004A5DA8" w:rsidP="004F7DF2">
            <w:pPr>
              <w:spacing w:after="0"/>
              <w:rPr>
                <w:rFonts w:eastAsia="Garamond" w:cs="Garamond"/>
                <w:b/>
                <w:bCs/>
              </w:rPr>
            </w:pPr>
            <w:r w:rsidRPr="7B890663">
              <w:rPr>
                <w:rFonts w:eastAsia="Garamond" w:cs="Garamond"/>
                <w:b/>
                <w:bCs/>
              </w:rPr>
              <w:t>22</w:t>
            </w:r>
          </w:p>
        </w:tc>
        <w:tc>
          <w:tcPr>
            <w:tcW w:w="2430" w:type="dxa"/>
            <w:tcBorders>
              <w:top w:val="single" w:sz="6" w:space="0" w:color="auto"/>
              <w:left w:val="single" w:sz="6" w:space="0" w:color="auto"/>
              <w:bottom w:val="single" w:sz="6" w:space="0" w:color="auto"/>
              <w:right w:val="single" w:sz="6" w:space="0" w:color="auto"/>
            </w:tcBorders>
          </w:tcPr>
          <w:p w14:paraId="46CD7969" w14:textId="77777777" w:rsidR="004A5DA8" w:rsidRDefault="2054A1B7" w:rsidP="31CE712C">
            <w:pPr>
              <w:spacing w:after="0"/>
              <w:jc w:val="left"/>
              <w:rPr>
                <w:rFonts w:eastAsia="Garamond" w:cs="Garamond"/>
              </w:rPr>
            </w:pPr>
            <w:r w:rsidRPr="31CE712C">
              <w:rPr>
                <w:rFonts w:eastAsia="Garamond" w:cs="Garamond"/>
              </w:rPr>
              <w:t>Developed, Low Intensity</w:t>
            </w:r>
          </w:p>
        </w:tc>
        <w:tc>
          <w:tcPr>
            <w:tcW w:w="5715" w:type="dxa"/>
            <w:tcBorders>
              <w:top w:val="single" w:sz="6" w:space="0" w:color="auto"/>
              <w:left w:val="single" w:sz="6" w:space="0" w:color="auto"/>
              <w:bottom w:val="single" w:sz="6" w:space="0" w:color="auto"/>
              <w:right w:val="single" w:sz="6" w:space="0" w:color="auto"/>
            </w:tcBorders>
          </w:tcPr>
          <w:p w14:paraId="53B79074" w14:textId="77777777" w:rsidR="004A5DA8" w:rsidRDefault="2054A1B7" w:rsidP="31CE712C">
            <w:pPr>
              <w:spacing w:after="0"/>
              <w:jc w:val="left"/>
              <w:rPr>
                <w:rFonts w:eastAsia="Garamond" w:cs="Garamond"/>
              </w:rPr>
            </w:pPr>
            <w:r w:rsidRPr="31CE712C">
              <w:rPr>
                <w:rFonts w:eastAsia="Garamond" w:cs="Garamond"/>
              </w:rPr>
              <w:t>Mixed buildings and vegetation, 20-49% impervious surface cover.</w:t>
            </w:r>
          </w:p>
        </w:tc>
      </w:tr>
      <w:tr w:rsidR="004A5DA8" w14:paraId="40C9C479" w14:textId="77777777" w:rsidTr="20596ED7">
        <w:tc>
          <w:tcPr>
            <w:tcW w:w="1170" w:type="dxa"/>
            <w:tcBorders>
              <w:top w:val="single" w:sz="6" w:space="0" w:color="auto"/>
              <w:left w:val="single" w:sz="6" w:space="0" w:color="auto"/>
              <w:bottom w:val="single" w:sz="6" w:space="0" w:color="auto"/>
              <w:right w:val="single" w:sz="6" w:space="0" w:color="auto"/>
            </w:tcBorders>
          </w:tcPr>
          <w:p w14:paraId="22A4EAC1" w14:textId="77777777" w:rsidR="004A5DA8" w:rsidRDefault="004A5DA8" w:rsidP="004F7DF2">
            <w:pPr>
              <w:spacing w:after="0"/>
              <w:rPr>
                <w:rFonts w:eastAsia="Garamond" w:cs="Garamond"/>
                <w:b/>
                <w:bCs/>
              </w:rPr>
            </w:pPr>
            <w:r w:rsidRPr="7B890663">
              <w:rPr>
                <w:rFonts w:eastAsia="Garamond" w:cs="Garamond"/>
                <w:b/>
                <w:bCs/>
              </w:rPr>
              <w:t>23</w:t>
            </w:r>
          </w:p>
        </w:tc>
        <w:tc>
          <w:tcPr>
            <w:tcW w:w="2430" w:type="dxa"/>
            <w:tcBorders>
              <w:top w:val="single" w:sz="6" w:space="0" w:color="auto"/>
              <w:left w:val="single" w:sz="6" w:space="0" w:color="auto"/>
              <w:bottom w:val="single" w:sz="6" w:space="0" w:color="auto"/>
              <w:right w:val="single" w:sz="6" w:space="0" w:color="auto"/>
            </w:tcBorders>
          </w:tcPr>
          <w:p w14:paraId="2BCEB153" w14:textId="77777777" w:rsidR="004A5DA8" w:rsidRDefault="2054A1B7" w:rsidP="31CE712C">
            <w:pPr>
              <w:spacing w:after="0"/>
              <w:jc w:val="left"/>
              <w:rPr>
                <w:rFonts w:eastAsia="Garamond" w:cs="Garamond"/>
              </w:rPr>
            </w:pPr>
            <w:r w:rsidRPr="31CE712C">
              <w:rPr>
                <w:rFonts w:eastAsia="Garamond" w:cs="Garamond"/>
              </w:rPr>
              <w:t>Developed, Medium Intensity</w:t>
            </w:r>
          </w:p>
        </w:tc>
        <w:tc>
          <w:tcPr>
            <w:tcW w:w="5715" w:type="dxa"/>
            <w:tcBorders>
              <w:top w:val="single" w:sz="6" w:space="0" w:color="auto"/>
              <w:left w:val="single" w:sz="6" w:space="0" w:color="auto"/>
              <w:bottom w:val="single" w:sz="6" w:space="0" w:color="auto"/>
              <w:right w:val="single" w:sz="6" w:space="0" w:color="auto"/>
            </w:tcBorders>
          </w:tcPr>
          <w:p w14:paraId="3375945F" w14:textId="77777777" w:rsidR="004A5DA8" w:rsidRDefault="2054A1B7" w:rsidP="31CE712C">
            <w:pPr>
              <w:spacing w:after="0"/>
              <w:jc w:val="left"/>
              <w:rPr>
                <w:rFonts w:eastAsia="Garamond" w:cs="Garamond"/>
              </w:rPr>
            </w:pPr>
            <w:r w:rsidRPr="31CE712C">
              <w:rPr>
                <w:rFonts w:eastAsia="Garamond" w:cs="Garamond"/>
              </w:rPr>
              <w:t xml:space="preserve">Mixed buildings and vegetation, 50-79% impervious surface cover. </w:t>
            </w:r>
          </w:p>
        </w:tc>
      </w:tr>
      <w:tr w:rsidR="004A5DA8" w14:paraId="14C4206E" w14:textId="77777777" w:rsidTr="20596ED7">
        <w:tc>
          <w:tcPr>
            <w:tcW w:w="1170" w:type="dxa"/>
            <w:tcBorders>
              <w:top w:val="single" w:sz="6" w:space="0" w:color="auto"/>
              <w:left w:val="single" w:sz="6" w:space="0" w:color="auto"/>
              <w:bottom w:val="single" w:sz="6" w:space="0" w:color="auto"/>
              <w:right w:val="single" w:sz="6" w:space="0" w:color="auto"/>
            </w:tcBorders>
          </w:tcPr>
          <w:p w14:paraId="17832622" w14:textId="77777777" w:rsidR="004A5DA8" w:rsidRDefault="2054A1B7" w:rsidP="31CE712C">
            <w:pPr>
              <w:spacing w:after="0"/>
              <w:jc w:val="left"/>
              <w:rPr>
                <w:rFonts w:eastAsia="Garamond" w:cs="Garamond"/>
                <w:b/>
                <w:bCs/>
              </w:rPr>
            </w:pPr>
            <w:r w:rsidRPr="31CE712C">
              <w:rPr>
                <w:rFonts w:eastAsia="Garamond" w:cs="Garamond"/>
                <w:b/>
                <w:bCs/>
              </w:rPr>
              <w:t>24</w:t>
            </w:r>
          </w:p>
        </w:tc>
        <w:tc>
          <w:tcPr>
            <w:tcW w:w="2430" w:type="dxa"/>
            <w:tcBorders>
              <w:top w:val="single" w:sz="6" w:space="0" w:color="auto"/>
              <w:left w:val="single" w:sz="6" w:space="0" w:color="auto"/>
              <w:bottom w:val="single" w:sz="6" w:space="0" w:color="auto"/>
              <w:right w:val="single" w:sz="6" w:space="0" w:color="auto"/>
            </w:tcBorders>
          </w:tcPr>
          <w:p w14:paraId="1D5AA777" w14:textId="77777777" w:rsidR="004A5DA8" w:rsidRDefault="2054A1B7" w:rsidP="31CE712C">
            <w:pPr>
              <w:spacing w:after="0"/>
              <w:jc w:val="left"/>
              <w:rPr>
                <w:rFonts w:eastAsia="Garamond" w:cs="Garamond"/>
              </w:rPr>
            </w:pPr>
            <w:r w:rsidRPr="31CE712C">
              <w:rPr>
                <w:rFonts w:eastAsia="Garamond" w:cs="Garamond"/>
              </w:rPr>
              <w:t>Developed, High Intensity</w:t>
            </w:r>
          </w:p>
        </w:tc>
        <w:tc>
          <w:tcPr>
            <w:tcW w:w="5715" w:type="dxa"/>
            <w:tcBorders>
              <w:top w:val="single" w:sz="6" w:space="0" w:color="auto"/>
              <w:left w:val="single" w:sz="6" w:space="0" w:color="auto"/>
              <w:bottom w:val="single" w:sz="6" w:space="0" w:color="auto"/>
              <w:right w:val="single" w:sz="6" w:space="0" w:color="auto"/>
            </w:tcBorders>
          </w:tcPr>
          <w:p w14:paraId="39D75427" w14:textId="77777777" w:rsidR="004A5DA8" w:rsidRDefault="2054A1B7" w:rsidP="31CE712C">
            <w:pPr>
              <w:spacing w:after="0"/>
              <w:jc w:val="left"/>
              <w:rPr>
                <w:rFonts w:eastAsia="Garamond" w:cs="Garamond"/>
              </w:rPr>
            </w:pPr>
            <w:r w:rsidRPr="31CE712C">
              <w:rPr>
                <w:rFonts w:eastAsia="Garamond" w:cs="Garamond"/>
              </w:rPr>
              <w:t>Primarily buildings such as apartments or commercial buildings, 80-100% impervious surface cover.</w:t>
            </w:r>
          </w:p>
        </w:tc>
      </w:tr>
      <w:tr w:rsidR="004A5DA8" w14:paraId="028CEA10" w14:textId="77777777" w:rsidTr="20596ED7">
        <w:tc>
          <w:tcPr>
            <w:tcW w:w="1170" w:type="dxa"/>
            <w:tcBorders>
              <w:top w:val="single" w:sz="6" w:space="0" w:color="auto"/>
              <w:left w:val="single" w:sz="6" w:space="0" w:color="auto"/>
              <w:bottom w:val="single" w:sz="6" w:space="0" w:color="auto"/>
              <w:right w:val="single" w:sz="6" w:space="0" w:color="auto"/>
            </w:tcBorders>
          </w:tcPr>
          <w:p w14:paraId="431CE1A5" w14:textId="77777777" w:rsidR="004A5DA8" w:rsidRDefault="004A5DA8" w:rsidP="004F7DF2">
            <w:pPr>
              <w:spacing w:after="0"/>
              <w:rPr>
                <w:rFonts w:eastAsia="Garamond" w:cs="Garamond"/>
                <w:b/>
                <w:bCs/>
              </w:rPr>
            </w:pPr>
            <w:r w:rsidRPr="7B890663">
              <w:rPr>
                <w:rFonts w:eastAsia="Garamond" w:cs="Garamond"/>
                <w:b/>
                <w:bCs/>
              </w:rPr>
              <w:t>31</w:t>
            </w:r>
          </w:p>
        </w:tc>
        <w:tc>
          <w:tcPr>
            <w:tcW w:w="2430" w:type="dxa"/>
            <w:tcBorders>
              <w:top w:val="single" w:sz="6" w:space="0" w:color="auto"/>
              <w:left w:val="single" w:sz="6" w:space="0" w:color="auto"/>
              <w:bottom w:val="single" w:sz="6" w:space="0" w:color="auto"/>
              <w:right w:val="single" w:sz="6" w:space="0" w:color="auto"/>
            </w:tcBorders>
          </w:tcPr>
          <w:p w14:paraId="46094DEF" w14:textId="77777777" w:rsidR="004A5DA8" w:rsidRDefault="2054A1B7" w:rsidP="31CE712C">
            <w:pPr>
              <w:spacing w:after="0"/>
              <w:jc w:val="left"/>
              <w:rPr>
                <w:rFonts w:eastAsia="Garamond" w:cs="Garamond"/>
              </w:rPr>
            </w:pPr>
            <w:r w:rsidRPr="31CE712C">
              <w:rPr>
                <w:rFonts w:eastAsia="Garamond" w:cs="Garamond"/>
              </w:rPr>
              <w:t>Barren Land (Rock/Sand/Clay)</w:t>
            </w:r>
          </w:p>
        </w:tc>
        <w:tc>
          <w:tcPr>
            <w:tcW w:w="5715" w:type="dxa"/>
            <w:tcBorders>
              <w:top w:val="single" w:sz="6" w:space="0" w:color="auto"/>
              <w:left w:val="single" w:sz="6" w:space="0" w:color="auto"/>
              <w:bottom w:val="single" w:sz="6" w:space="0" w:color="auto"/>
              <w:right w:val="single" w:sz="6" w:space="0" w:color="auto"/>
            </w:tcBorders>
          </w:tcPr>
          <w:p w14:paraId="6DFF9F3D" w14:textId="77777777" w:rsidR="004A5DA8" w:rsidRDefault="2054A1B7" w:rsidP="31CE712C">
            <w:pPr>
              <w:spacing w:after="0"/>
              <w:jc w:val="left"/>
              <w:rPr>
                <w:rFonts w:eastAsia="Garamond" w:cs="Garamond"/>
              </w:rPr>
            </w:pPr>
            <w:r w:rsidRPr="31CE712C">
              <w:rPr>
                <w:rFonts w:eastAsia="Garamond" w:cs="Garamond"/>
              </w:rPr>
              <w:t>Usually less than 15% vegetation cover, open areas of earthen material (e.g., gravel pits, strip mines)</w:t>
            </w:r>
          </w:p>
        </w:tc>
      </w:tr>
      <w:tr w:rsidR="004A5DA8" w14:paraId="2DF38E47" w14:textId="77777777" w:rsidTr="20596ED7">
        <w:tc>
          <w:tcPr>
            <w:tcW w:w="1170" w:type="dxa"/>
            <w:tcBorders>
              <w:top w:val="single" w:sz="6" w:space="0" w:color="auto"/>
              <w:left w:val="single" w:sz="6" w:space="0" w:color="auto"/>
              <w:bottom w:val="single" w:sz="6" w:space="0" w:color="auto"/>
              <w:right w:val="single" w:sz="6" w:space="0" w:color="auto"/>
            </w:tcBorders>
          </w:tcPr>
          <w:p w14:paraId="72FC27E0" w14:textId="77777777" w:rsidR="004A5DA8" w:rsidRDefault="004A5DA8" w:rsidP="004F7DF2">
            <w:pPr>
              <w:spacing w:after="0"/>
              <w:rPr>
                <w:rFonts w:eastAsia="Garamond" w:cs="Garamond"/>
                <w:b/>
                <w:bCs/>
              </w:rPr>
            </w:pPr>
            <w:r w:rsidRPr="7B890663">
              <w:rPr>
                <w:rFonts w:eastAsia="Garamond" w:cs="Garamond"/>
                <w:b/>
                <w:bCs/>
              </w:rPr>
              <w:lastRenderedPageBreak/>
              <w:t>41</w:t>
            </w:r>
          </w:p>
        </w:tc>
        <w:tc>
          <w:tcPr>
            <w:tcW w:w="2430" w:type="dxa"/>
            <w:tcBorders>
              <w:top w:val="single" w:sz="6" w:space="0" w:color="auto"/>
              <w:left w:val="single" w:sz="6" w:space="0" w:color="auto"/>
              <w:bottom w:val="single" w:sz="6" w:space="0" w:color="auto"/>
              <w:right w:val="single" w:sz="6" w:space="0" w:color="auto"/>
            </w:tcBorders>
          </w:tcPr>
          <w:p w14:paraId="4E92A1D4" w14:textId="77777777" w:rsidR="004A5DA8" w:rsidRDefault="2054A1B7" w:rsidP="31CE712C">
            <w:pPr>
              <w:spacing w:after="0"/>
              <w:jc w:val="left"/>
              <w:rPr>
                <w:rFonts w:eastAsia="Garamond" w:cs="Garamond"/>
              </w:rPr>
            </w:pPr>
            <w:r w:rsidRPr="31CE712C">
              <w:rPr>
                <w:rFonts w:eastAsia="Garamond" w:cs="Garamond"/>
              </w:rPr>
              <w:t>Deciduous Forest</w:t>
            </w:r>
          </w:p>
        </w:tc>
        <w:tc>
          <w:tcPr>
            <w:tcW w:w="5715" w:type="dxa"/>
            <w:tcBorders>
              <w:top w:val="single" w:sz="6" w:space="0" w:color="auto"/>
              <w:left w:val="single" w:sz="6" w:space="0" w:color="auto"/>
              <w:bottom w:val="single" w:sz="6" w:space="0" w:color="auto"/>
              <w:right w:val="single" w:sz="6" w:space="0" w:color="auto"/>
            </w:tcBorders>
          </w:tcPr>
          <w:p w14:paraId="6A5730AF" w14:textId="77777777" w:rsidR="004A5DA8" w:rsidRDefault="2054A1B7" w:rsidP="31CE712C">
            <w:pPr>
              <w:spacing w:after="0"/>
              <w:jc w:val="left"/>
              <w:rPr>
                <w:rFonts w:eastAsia="Garamond" w:cs="Garamond"/>
              </w:rPr>
            </w:pPr>
            <w:r w:rsidRPr="31CE712C">
              <w:rPr>
                <w:rFonts w:eastAsia="Garamond" w:cs="Garamond"/>
              </w:rPr>
              <w:t>Greater than 20% vegetation cover, trees are at least 5 m tall, majority (&gt;75%) lose leaves seasonally</w:t>
            </w:r>
          </w:p>
        </w:tc>
      </w:tr>
      <w:tr w:rsidR="004A5DA8" w14:paraId="7161FA7B" w14:textId="77777777" w:rsidTr="20596ED7">
        <w:tc>
          <w:tcPr>
            <w:tcW w:w="1170" w:type="dxa"/>
            <w:tcBorders>
              <w:top w:val="single" w:sz="6" w:space="0" w:color="auto"/>
              <w:left w:val="single" w:sz="6" w:space="0" w:color="auto"/>
              <w:bottom w:val="single" w:sz="6" w:space="0" w:color="auto"/>
              <w:right w:val="single" w:sz="6" w:space="0" w:color="auto"/>
            </w:tcBorders>
          </w:tcPr>
          <w:p w14:paraId="73A6186D" w14:textId="77777777" w:rsidR="004A5DA8" w:rsidRDefault="004A5DA8" w:rsidP="004F7DF2">
            <w:pPr>
              <w:spacing w:after="0"/>
              <w:rPr>
                <w:rFonts w:eastAsia="Garamond" w:cs="Garamond"/>
                <w:b/>
                <w:bCs/>
              </w:rPr>
            </w:pPr>
            <w:r w:rsidRPr="7B890663">
              <w:rPr>
                <w:rFonts w:eastAsia="Garamond" w:cs="Garamond"/>
                <w:b/>
                <w:bCs/>
              </w:rPr>
              <w:t>42</w:t>
            </w:r>
          </w:p>
        </w:tc>
        <w:tc>
          <w:tcPr>
            <w:tcW w:w="2430" w:type="dxa"/>
            <w:tcBorders>
              <w:top w:val="single" w:sz="6" w:space="0" w:color="auto"/>
              <w:left w:val="single" w:sz="6" w:space="0" w:color="auto"/>
              <w:bottom w:val="single" w:sz="6" w:space="0" w:color="auto"/>
              <w:right w:val="single" w:sz="6" w:space="0" w:color="auto"/>
            </w:tcBorders>
          </w:tcPr>
          <w:p w14:paraId="4603F73F" w14:textId="77777777" w:rsidR="004A5DA8" w:rsidRDefault="2054A1B7" w:rsidP="31CE712C">
            <w:pPr>
              <w:spacing w:after="0"/>
              <w:jc w:val="left"/>
              <w:rPr>
                <w:rFonts w:eastAsia="Garamond" w:cs="Garamond"/>
              </w:rPr>
            </w:pPr>
            <w:r w:rsidRPr="31CE712C">
              <w:rPr>
                <w:rFonts w:eastAsia="Garamond" w:cs="Garamond"/>
              </w:rPr>
              <w:t>Evergreen Forest</w:t>
            </w:r>
          </w:p>
        </w:tc>
        <w:tc>
          <w:tcPr>
            <w:tcW w:w="5715" w:type="dxa"/>
            <w:tcBorders>
              <w:top w:val="single" w:sz="6" w:space="0" w:color="auto"/>
              <w:left w:val="single" w:sz="6" w:space="0" w:color="auto"/>
              <w:bottom w:val="single" w:sz="6" w:space="0" w:color="auto"/>
              <w:right w:val="single" w:sz="6" w:space="0" w:color="auto"/>
            </w:tcBorders>
          </w:tcPr>
          <w:p w14:paraId="21310A39" w14:textId="77777777" w:rsidR="004A5DA8" w:rsidRDefault="2054A1B7" w:rsidP="31CE712C">
            <w:pPr>
              <w:spacing w:after="0"/>
              <w:jc w:val="left"/>
              <w:rPr>
                <w:rFonts w:eastAsia="Garamond" w:cs="Garamond"/>
              </w:rPr>
            </w:pPr>
            <w:r w:rsidRPr="31CE712C">
              <w:rPr>
                <w:rFonts w:eastAsia="Garamond" w:cs="Garamond"/>
              </w:rPr>
              <w:t>Greater than 20% vegetation cover, trees are at least 5 m tall, majority (&gt;75%) have leaves year-round.</w:t>
            </w:r>
          </w:p>
        </w:tc>
      </w:tr>
      <w:tr w:rsidR="004A5DA8" w14:paraId="1C9CF27B" w14:textId="77777777" w:rsidTr="20596ED7">
        <w:tc>
          <w:tcPr>
            <w:tcW w:w="1170" w:type="dxa"/>
            <w:tcBorders>
              <w:top w:val="single" w:sz="6" w:space="0" w:color="auto"/>
              <w:left w:val="single" w:sz="6" w:space="0" w:color="auto"/>
              <w:bottom w:val="single" w:sz="6" w:space="0" w:color="auto"/>
              <w:right w:val="single" w:sz="6" w:space="0" w:color="auto"/>
            </w:tcBorders>
          </w:tcPr>
          <w:p w14:paraId="56D32F5A" w14:textId="77777777" w:rsidR="004A5DA8" w:rsidRDefault="004A5DA8" w:rsidP="004F7DF2">
            <w:pPr>
              <w:spacing w:after="0"/>
              <w:rPr>
                <w:rFonts w:eastAsia="Garamond" w:cs="Garamond"/>
                <w:b/>
                <w:bCs/>
              </w:rPr>
            </w:pPr>
            <w:r w:rsidRPr="7B890663">
              <w:rPr>
                <w:rFonts w:eastAsia="Garamond" w:cs="Garamond"/>
                <w:b/>
                <w:bCs/>
              </w:rPr>
              <w:t>43</w:t>
            </w:r>
          </w:p>
        </w:tc>
        <w:tc>
          <w:tcPr>
            <w:tcW w:w="2430" w:type="dxa"/>
            <w:tcBorders>
              <w:top w:val="single" w:sz="6" w:space="0" w:color="auto"/>
              <w:left w:val="single" w:sz="6" w:space="0" w:color="auto"/>
              <w:bottom w:val="single" w:sz="6" w:space="0" w:color="auto"/>
              <w:right w:val="single" w:sz="6" w:space="0" w:color="auto"/>
            </w:tcBorders>
          </w:tcPr>
          <w:p w14:paraId="7ECC7478" w14:textId="77777777" w:rsidR="004A5DA8" w:rsidRDefault="2054A1B7" w:rsidP="31CE712C">
            <w:pPr>
              <w:spacing w:after="0"/>
              <w:jc w:val="left"/>
              <w:rPr>
                <w:rFonts w:eastAsia="Garamond" w:cs="Garamond"/>
              </w:rPr>
            </w:pPr>
            <w:r w:rsidRPr="31CE712C">
              <w:rPr>
                <w:rFonts w:eastAsia="Garamond" w:cs="Garamond"/>
              </w:rPr>
              <w:t>Mixed Forest</w:t>
            </w:r>
          </w:p>
        </w:tc>
        <w:tc>
          <w:tcPr>
            <w:tcW w:w="5715" w:type="dxa"/>
            <w:tcBorders>
              <w:top w:val="single" w:sz="6" w:space="0" w:color="auto"/>
              <w:left w:val="single" w:sz="6" w:space="0" w:color="auto"/>
              <w:bottom w:val="single" w:sz="6" w:space="0" w:color="auto"/>
              <w:right w:val="single" w:sz="6" w:space="0" w:color="auto"/>
            </w:tcBorders>
          </w:tcPr>
          <w:p w14:paraId="049D2B90" w14:textId="77777777" w:rsidR="004A5DA8" w:rsidRDefault="2054A1B7" w:rsidP="31CE712C">
            <w:pPr>
              <w:spacing w:after="0"/>
              <w:jc w:val="left"/>
              <w:rPr>
                <w:rFonts w:eastAsia="Garamond" w:cs="Garamond"/>
              </w:rPr>
            </w:pPr>
            <w:r w:rsidRPr="31CE712C">
              <w:rPr>
                <w:rFonts w:eastAsia="Garamond" w:cs="Garamond"/>
              </w:rPr>
              <w:t>Greater than 20% vegetation cover, trees are at least 5 m tall, mixture of deciduous and evergreen species (neither &gt;75%).</w:t>
            </w:r>
          </w:p>
        </w:tc>
      </w:tr>
      <w:tr w:rsidR="004A5DA8" w14:paraId="558B3D2D" w14:textId="77777777" w:rsidTr="20596ED7">
        <w:tc>
          <w:tcPr>
            <w:tcW w:w="1170" w:type="dxa"/>
            <w:tcBorders>
              <w:top w:val="single" w:sz="6" w:space="0" w:color="auto"/>
              <w:left w:val="single" w:sz="6" w:space="0" w:color="auto"/>
              <w:bottom w:val="single" w:sz="6" w:space="0" w:color="auto"/>
              <w:right w:val="single" w:sz="6" w:space="0" w:color="auto"/>
            </w:tcBorders>
          </w:tcPr>
          <w:p w14:paraId="4C0F10E1" w14:textId="77777777" w:rsidR="004A5DA8" w:rsidRDefault="004A5DA8" w:rsidP="004F7DF2">
            <w:pPr>
              <w:spacing w:after="0"/>
              <w:rPr>
                <w:rFonts w:eastAsia="Garamond" w:cs="Garamond"/>
                <w:b/>
                <w:bCs/>
              </w:rPr>
            </w:pPr>
            <w:r w:rsidRPr="7B890663">
              <w:rPr>
                <w:rFonts w:eastAsia="Garamond" w:cs="Garamond"/>
                <w:b/>
                <w:bCs/>
              </w:rPr>
              <w:t>52</w:t>
            </w:r>
          </w:p>
        </w:tc>
        <w:tc>
          <w:tcPr>
            <w:tcW w:w="2430" w:type="dxa"/>
            <w:tcBorders>
              <w:top w:val="single" w:sz="6" w:space="0" w:color="auto"/>
              <w:left w:val="single" w:sz="6" w:space="0" w:color="auto"/>
              <w:bottom w:val="single" w:sz="6" w:space="0" w:color="auto"/>
              <w:right w:val="single" w:sz="6" w:space="0" w:color="auto"/>
            </w:tcBorders>
          </w:tcPr>
          <w:p w14:paraId="79076A6A" w14:textId="77777777" w:rsidR="004A5DA8" w:rsidRDefault="2054A1B7" w:rsidP="31CE712C">
            <w:pPr>
              <w:spacing w:after="0"/>
              <w:jc w:val="left"/>
              <w:rPr>
                <w:rFonts w:eastAsia="Garamond" w:cs="Garamond"/>
              </w:rPr>
            </w:pPr>
            <w:r w:rsidRPr="31CE712C">
              <w:rPr>
                <w:rFonts w:eastAsia="Garamond" w:cs="Garamond"/>
              </w:rPr>
              <w:t>Shrub/Scrub</w:t>
            </w:r>
          </w:p>
        </w:tc>
        <w:tc>
          <w:tcPr>
            <w:tcW w:w="5715" w:type="dxa"/>
            <w:tcBorders>
              <w:top w:val="single" w:sz="6" w:space="0" w:color="auto"/>
              <w:left w:val="single" w:sz="6" w:space="0" w:color="auto"/>
              <w:bottom w:val="single" w:sz="6" w:space="0" w:color="auto"/>
              <w:right w:val="single" w:sz="6" w:space="0" w:color="auto"/>
            </w:tcBorders>
          </w:tcPr>
          <w:p w14:paraId="2C8A6D2E" w14:textId="77777777" w:rsidR="004A5DA8" w:rsidRDefault="2054A1B7" w:rsidP="31CE712C">
            <w:pPr>
              <w:spacing w:after="0"/>
              <w:jc w:val="left"/>
              <w:rPr>
                <w:rFonts w:eastAsia="Garamond" w:cs="Garamond"/>
              </w:rPr>
            </w:pPr>
            <w:r w:rsidRPr="31CE712C">
              <w:rPr>
                <w:rFonts w:eastAsia="Garamond" w:cs="Garamond"/>
              </w:rPr>
              <w:t>Vegetation less than 5 m tall, greater than 20% vegetation cover, includes shrubs, young and stunted trees.</w:t>
            </w:r>
          </w:p>
        </w:tc>
      </w:tr>
      <w:tr w:rsidR="004A5DA8" w14:paraId="5A4861EC" w14:textId="77777777" w:rsidTr="20596ED7">
        <w:tc>
          <w:tcPr>
            <w:tcW w:w="1170" w:type="dxa"/>
            <w:tcBorders>
              <w:top w:val="single" w:sz="6" w:space="0" w:color="auto"/>
              <w:left w:val="single" w:sz="6" w:space="0" w:color="auto"/>
              <w:bottom w:val="single" w:sz="6" w:space="0" w:color="auto"/>
              <w:right w:val="single" w:sz="6" w:space="0" w:color="auto"/>
            </w:tcBorders>
          </w:tcPr>
          <w:p w14:paraId="59B6BB6A" w14:textId="77777777" w:rsidR="004A5DA8" w:rsidRDefault="004A5DA8" w:rsidP="004F7DF2">
            <w:pPr>
              <w:spacing w:after="0"/>
              <w:rPr>
                <w:rFonts w:eastAsia="Garamond" w:cs="Garamond"/>
                <w:b/>
                <w:bCs/>
              </w:rPr>
            </w:pPr>
            <w:r w:rsidRPr="7B890663">
              <w:rPr>
                <w:rFonts w:eastAsia="Garamond" w:cs="Garamond"/>
                <w:b/>
                <w:bCs/>
              </w:rPr>
              <w:t>71</w:t>
            </w:r>
          </w:p>
        </w:tc>
        <w:tc>
          <w:tcPr>
            <w:tcW w:w="2430" w:type="dxa"/>
            <w:tcBorders>
              <w:top w:val="single" w:sz="6" w:space="0" w:color="auto"/>
              <w:left w:val="single" w:sz="6" w:space="0" w:color="auto"/>
              <w:bottom w:val="single" w:sz="6" w:space="0" w:color="auto"/>
              <w:right w:val="single" w:sz="6" w:space="0" w:color="auto"/>
            </w:tcBorders>
          </w:tcPr>
          <w:p w14:paraId="5240CA11" w14:textId="77777777" w:rsidR="004A5DA8" w:rsidRDefault="2054A1B7" w:rsidP="31CE712C">
            <w:pPr>
              <w:spacing w:after="0"/>
              <w:jc w:val="left"/>
              <w:rPr>
                <w:rFonts w:eastAsia="Garamond" w:cs="Garamond"/>
              </w:rPr>
            </w:pPr>
            <w:r w:rsidRPr="31CE712C">
              <w:rPr>
                <w:rFonts w:eastAsia="Garamond" w:cs="Garamond"/>
              </w:rPr>
              <w:t>Grassland/Herbaceous</w:t>
            </w:r>
          </w:p>
        </w:tc>
        <w:tc>
          <w:tcPr>
            <w:tcW w:w="5715" w:type="dxa"/>
            <w:tcBorders>
              <w:top w:val="single" w:sz="6" w:space="0" w:color="auto"/>
              <w:left w:val="single" w:sz="6" w:space="0" w:color="auto"/>
              <w:bottom w:val="single" w:sz="6" w:space="0" w:color="auto"/>
              <w:right w:val="single" w:sz="6" w:space="0" w:color="auto"/>
            </w:tcBorders>
          </w:tcPr>
          <w:p w14:paraId="1A94D1FC" w14:textId="77777777" w:rsidR="004A5DA8" w:rsidRDefault="2054A1B7" w:rsidP="31CE712C">
            <w:pPr>
              <w:spacing w:after="0"/>
              <w:jc w:val="left"/>
              <w:rPr>
                <w:rFonts w:eastAsia="Garamond" w:cs="Garamond"/>
              </w:rPr>
            </w:pPr>
            <w:r w:rsidRPr="31CE712C">
              <w:rPr>
                <w:rFonts w:eastAsia="Garamond" w:cs="Garamond"/>
              </w:rPr>
              <w:t>Greater than 80% of vegetation cover is grasses or herbaceous species, not tilled, but can be used for grazing.</w:t>
            </w:r>
          </w:p>
        </w:tc>
      </w:tr>
      <w:tr w:rsidR="004A5DA8" w14:paraId="4FD4D344" w14:textId="77777777" w:rsidTr="20596ED7">
        <w:tc>
          <w:tcPr>
            <w:tcW w:w="1170" w:type="dxa"/>
            <w:tcBorders>
              <w:top w:val="single" w:sz="6" w:space="0" w:color="auto"/>
              <w:left w:val="single" w:sz="6" w:space="0" w:color="auto"/>
              <w:bottom w:val="single" w:sz="6" w:space="0" w:color="auto"/>
              <w:right w:val="single" w:sz="6" w:space="0" w:color="auto"/>
            </w:tcBorders>
          </w:tcPr>
          <w:p w14:paraId="25E18F79" w14:textId="77777777" w:rsidR="004A5DA8" w:rsidRDefault="004A5DA8" w:rsidP="004F7DF2">
            <w:pPr>
              <w:spacing w:after="0"/>
              <w:rPr>
                <w:rFonts w:eastAsia="Garamond" w:cs="Garamond"/>
                <w:b/>
                <w:bCs/>
              </w:rPr>
            </w:pPr>
            <w:r w:rsidRPr="7B890663">
              <w:rPr>
                <w:rFonts w:eastAsia="Garamond" w:cs="Garamond"/>
                <w:b/>
                <w:bCs/>
              </w:rPr>
              <w:t>81</w:t>
            </w:r>
          </w:p>
        </w:tc>
        <w:tc>
          <w:tcPr>
            <w:tcW w:w="2430" w:type="dxa"/>
            <w:tcBorders>
              <w:top w:val="single" w:sz="6" w:space="0" w:color="auto"/>
              <w:left w:val="single" w:sz="6" w:space="0" w:color="auto"/>
              <w:bottom w:val="single" w:sz="6" w:space="0" w:color="auto"/>
              <w:right w:val="single" w:sz="6" w:space="0" w:color="auto"/>
            </w:tcBorders>
          </w:tcPr>
          <w:p w14:paraId="5949EEA5" w14:textId="77777777" w:rsidR="004A5DA8" w:rsidRDefault="2054A1B7" w:rsidP="31CE712C">
            <w:pPr>
              <w:spacing w:after="0"/>
              <w:jc w:val="left"/>
              <w:rPr>
                <w:rFonts w:eastAsia="Garamond" w:cs="Garamond"/>
              </w:rPr>
            </w:pPr>
            <w:r w:rsidRPr="31CE712C">
              <w:rPr>
                <w:rFonts w:eastAsia="Garamond" w:cs="Garamond"/>
              </w:rPr>
              <w:t>Pasture/Hay</w:t>
            </w:r>
          </w:p>
        </w:tc>
        <w:tc>
          <w:tcPr>
            <w:tcW w:w="5715" w:type="dxa"/>
            <w:tcBorders>
              <w:top w:val="single" w:sz="6" w:space="0" w:color="auto"/>
              <w:left w:val="single" w:sz="6" w:space="0" w:color="auto"/>
              <w:bottom w:val="single" w:sz="6" w:space="0" w:color="auto"/>
              <w:right w:val="single" w:sz="6" w:space="0" w:color="auto"/>
            </w:tcBorders>
          </w:tcPr>
          <w:p w14:paraId="04551A0B" w14:textId="77777777" w:rsidR="004A5DA8" w:rsidRDefault="2054A1B7" w:rsidP="31CE712C">
            <w:pPr>
              <w:spacing w:after="0"/>
              <w:jc w:val="left"/>
              <w:rPr>
                <w:rFonts w:eastAsia="Garamond" w:cs="Garamond"/>
              </w:rPr>
            </w:pPr>
            <w:r w:rsidRPr="31CE712C">
              <w:rPr>
                <w:rFonts w:eastAsia="Garamond" w:cs="Garamond"/>
              </w:rPr>
              <w:t>Mixture of grasses and/or legumes accounting for at least 20% of vegetation cover, used for livestock grazing or producing perennial seed/hay crops.</w:t>
            </w:r>
          </w:p>
        </w:tc>
      </w:tr>
      <w:tr w:rsidR="004A5DA8" w14:paraId="1FE399DC" w14:textId="77777777" w:rsidTr="20596ED7">
        <w:tc>
          <w:tcPr>
            <w:tcW w:w="1170" w:type="dxa"/>
            <w:tcBorders>
              <w:top w:val="single" w:sz="6" w:space="0" w:color="auto"/>
              <w:left w:val="single" w:sz="6" w:space="0" w:color="auto"/>
              <w:bottom w:val="single" w:sz="6" w:space="0" w:color="auto"/>
              <w:right w:val="single" w:sz="6" w:space="0" w:color="auto"/>
            </w:tcBorders>
          </w:tcPr>
          <w:p w14:paraId="32B9A52E" w14:textId="77777777" w:rsidR="004A5DA8" w:rsidRDefault="004A5DA8" w:rsidP="004F7DF2">
            <w:pPr>
              <w:spacing w:after="0"/>
              <w:rPr>
                <w:rFonts w:eastAsia="Garamond" w:cs="Garamond"/>
                <w:b/>
                <w:bCs/>
              </w:rPr>
            </w:pPr>
            <w:r w:rsidRPr="7B890663">
              <w:rPr>
                <w:rFonts w:eastAsia="Garamond" w:cs="Garamond"/>
                <w:b/>
                <w:bCs/>
              </w:rPr>
              <w:t>82</w:t>
            </w:r>
          </w:p>
        </w:tc>
        <w:tc>
          <w:tcPr>
            <w:tcW w:w="2430" w:type="dxa"/>
            <w:tcBorders>
              <w:top w:val="single" w:sz="6" w:space="0" w:color="auto"/>
              <w:left w:val="single" w:sz="6" w:space="0" w:color="auto"/>
              <w:bottom w:val="single" w:sz="6" w:space="0" w:color="auto"/>
              <w:right w:val="single" w:sz="6" w:space="0" w:color="auto"/>
            </w:tcBorders>
          </w:tcPr>
          <w:p w14:paraId="1702A882" w14:textId="77777777" w:rsidR="004A5DA8" w:rsidRDefault="2054A1B7" w:rsidP="31CE712C">
            <w:pPr>
              <w:spacing w:after="0"/>
              <w:jc w:val="left"/>
              <w:rPr>
                <w:rFonts w:eastAsia="Garamond" w:cs="Garamond"/>
              </w:rPr>
            </w:pPr>
            <w:r w:rsidRPr="31CE712C">
              <w:rPr>
                <w:rFonts w:eastAsia="Garamond" w:cs="Garamond"/>
              </w:rPr>
              <w:t>Cultivated Crops</w:t>
            </w:r>
          </w:p>
        </w:tc>
        <w:tc>
          <w:tcPr>
            <w:tcW w:w="5715" w:type="dxa"/>
            <w:tcBorders>
              <w:top w:val="single" w:sz="6" w:space="0" w:color="auto"/>
              <w:left w:val="single" w:sz="6" w:space="0" w:color="auto"/>
              <w:bottom w:val="single" w:sz="6" w:space="0" w:color="auto"/>
              <w:right w:val="single" w:sz="6" w:space="0" w:color="auto"/>
            </w:tcBorders>
          </w:tcPr>
          <w:p w14:paraId="5C07520D" w14:textId="77777777" w:rsidR="004A5DA8" w:rsidRDefault="2054A1B7" w:rsidP="31CE712C">
            <w:pPr>
              <w:spacing w:after="0"/>
              <w:jc w:val="left"/>
              <w:rPr>
                <w:rFonts w:eastAsia="Garamond" w:cs="Garamond"/>
              </w:rPr>
            </w:pPr>
            <w:r w:rsidRPr="31CE712C">
              <w:rPr>
                <w:rFonts w:eastAsia="Garamond" w:cs="Garamond"/>
              </w:rPr>
              <w:t>Annual crops including corn, soybeans, vegetables, perennial woody crops including orchards and vineyards, all actively tilled land, at least 20% of total vegetation.</w:t>
            </w:r>
          </w:p>
        </w:tc>
      </w:tr>
      <w:tr w:rsidR="004A5DA8" w14:paraId="785E0E70" w14:textId="77777777" w:rsidTr="20596ED7">
        <w:tc>
          <w:tcPr>
            <w:tcW w:w="1170" w:type="dxa"/>
            <w:tcBorders>
              <w:top w:val="single" w:sz="6" w:space="0" w:color="auto"/>
              <w:left w:val="single" w:sz="6" w:space="0" w:color="auto"/>
              <w:bottom w:val="single" w:sz="6" w:space="0" w:color="auto"/>
              <w:right w:val="single" w:sz="6" w:space="0" w:color="auto"/>
            </w:tcBorders>
          </w:tcPr>
          <w:p w14:paraId="79925E4A" w14:textId="77777777" w:rsidR="004A5DA8" w:rsidRDefault="004A5DA8" w:rsidP="004F7DF2">
            <w:pPr>
              <w:spacing w:after="0"/>
              <w:rPr>
                <w:rFonts w:eastAsia="Garamond" w:cs="Garamond"/>
                <w:b/>
                <w:bCs/>
              </w:rPr>
            </w:pPr>
            <w:r w:rsidRPr="7B890663">
              <w:rPr>
                <w:rFonts w:eastAsia="Garamond" w:cs="Garamond"/>
                <w:b/>
                <w:bCs/>
              </w:rPr>
              <w:t>90</w:t>
            </w:r>
          </w:p>
        </w:tc>
        <w:tc>
          <w:tcPr>
            <w:tcW w:w="2430" w:type="dxa"/>
            <w:tcBorders>
              <w:top w:val="single" w:sz="6" w:space="0" w:color="auto"/>
              <w:left w:val="single" w:sz="6" w:space="0" w:color="auto"/>
              <w:bottom w:val="single" w:sz="6" w:space="0" w:color="auto"/>
              <w:right w:val="single" w:sz="6" w:space="0" w:color="auto"/>
            </w:tcBorders>
          </w:tcPr>
          <w:p w14:paraId="7F38471F" w14:textId="77777777" w:rsidR="004A5DA8" w:rsidRDefault="2054A1B7" w:rsidP="31CE712C">
            <w:pPr>
              <w:spacing w:after="0"/>
              <w:jc w:val="left"/>
              <w:rPr>
                <w:rFonts w:eastAsia="Garamond" w:cs="Garamond"/>
              </w:rPr>
            </w:pPr>
            <w:r w:rsidRPr="31CE712C">
              <w:rPr>
                <w:rFonts w:eastAsia="Garamond" w:cs="Garamond"/>
              </w:rPr>
              <w:t>Woody Wetlands</w:t>
            </w:r>
          </w:p>
        </w:tc>
        <w:tc>
          <w:tcPr>
            <w:tcW w:w="5715" w:type="dxa"/>
            <w:tcBorders>
              <w:top w:val="single" w:sz="6" w:space="0" w:color="auto"/>
              <w:left w:val="single" w:sz="6" w:space="0" w:color="auto"/>
              <w:bottom w:val="single" w:sz="6" w:space="0" w:color="auto"/>
              <w:right w:val="single" w:sz="6" w:space="0" w:color="auto"/>
            </w:tcBorders>
          </w:tcPr>
          <w:p w14:paraId="2D0D7569" w14:textId="77777777" w:rsidR="004A5DA8" w:rsidRDefault="2054A1B7" w:rsidP="31CE712C">
            <w:pPr>
              <w:spacing w:after="0"/>
              <w:jc w:val="left"/>
              <w:rPr>
                <w:rFonts w:eastAsia="Garamond" w:cs="Garamond"/>
              </w:rPr>
            </w:pPr>
            <w:r w:rsidRPr="31CE712C">
              <w:rPr>
                <w:rFonts w:eastAsia="Garamond" w:cs="Garamond"/>
              </w:rPr>
              <w:t>Soil is regularly saturated with water, trees/shrubs account for at least 20% of vegetation cover.</w:t>
            </w:r>
          </w:p>
        </w:tc>
      </w:tr>
      <w:tr w:rsidR="004A5DA8" w14:paraId="4A448E5E" w14:textId="77777777" w:rsidTr="20596ED7">
        <w:tc>
          <w:tcPr>
            <w:tcW w:w="1170" w:type="dxa"/>
            <w:tcBorders>
              <w:top w:val="single" w:sz="6" w:space="0" w:color="auto"/>
              <w:left w:val="single" w:sz="6" w:space="0" w:color="auto"/>
              <w:bottom w:val="single" w:sz="6" w:space="0" w:color="auto"/>
              <w:right w:val="single" w:sz="6" w:space="0" w:color="auto"/>
            </w:tcBorders>
          </w:tcPr>
          <w:p w14:paraId="4B5CE1F6" w14:textId="77777777" w:rsidR="004A5DA8" w:rsidRDefault="004A5DA8" w:rsidP="004F7DF2">
            <w:pPr>
              <w:spacing w:after="0"/>
              <w:rPr>
                <w:rFonts w:eastAsia="Garamond" w:cs="Garamond"/>
                <w:b/>
                <w:bCs/>
              </w:rPr>
            </w:pPr>
            <w:r w:rsidRPr="7B890663">
              <w:rPr>
                <w:rFonts w:eastAsia="Garamond" w:cs="Garamond"/>
                <w:b/>
                <w:bCs/>
              </w:rPr>
              <w:t>95</w:t>
            </w:r>
          </w:p>
        </w:tc>
        <w:tc>
          <w:tcPr>
            <w:tcW w:w="2430" w:type="dxa"/>
            <w:tcBorders>
              <w:top w:val="single" w:sz="6" w:space="0" w:color="auto"/>
              <w:left w:val="single" w:sz="6" w:space="0" w:color="auto"/>
              <w:bottom w:val="single" w:sz="6" w:space="0" w:color="auto"/>
              <w:right w:val="single" w:sz="6" w:space="0" w:color="auto"/>
            </w:tcBorders>
          </w:tcPr>
          <w:p w14:paraId="45557D33" w14:textId="77777777" w:rsidR="004A5DA8" w:rsidRDefault="2054A1B7" w:rsidP="31CE712C">
            <w:pPr>
              <w:spacing w:after="0"/>
              <w:jc w:val="left"/>
              <w:rPr>
                <w:rFonts w:eastAsia="Garamond" w:cs="Garamond"/>
              </w:rPr>
            </w:pPr>
            <w:r w:rsidRPr="31CE712C">
              <w:rPr>
                <w:rFonts w:eastAsia="Garamond" w:cs="Garamond"/>
              </w:rPr>
              <w:t>Emergent Herbaceous Wetlands</w:t>
            </w:r>
          </w:p>
        </w:tc>
        <w:tc>
          <w:tcPr>
            <w:tcW w:w="5715" w:type="dxa"/>
            <w:tcBorders>
              <w:top w:val="single" w:sz="6" w:space="0" w:color="auto"/>
              <w:left w:val="single" w:sz="6" w:space="0" w:color="auto"/>
              <w:bottom w:val="single" w:sz="6" w:space="0" w:color="auto"/>
              <w:right w:val="single" w:sz="6" w:space="0" w:color="auto"/>
            </w:tcBorders>
          </w:tcPr>
          <w:p w14:paraId="7BB0D767" w14:textId="77777777" w:rsidR="004A5DA8" w:rsidRDefault="2054A1B7" w:rsidP="31CE712C">
            <w:pPr>
              <w:spacing w:after="0"/>
              <w:jc w:val="left"/>
              <w:rPr>
                <w:rFonts w:eastAsia="Garamond" w:cs="Garamond"/>
              </w:rPr>
            </w:pPr>
            <w:r w:rsidRPr="31CE712C">
              <w:rPr>
                <w:rFonts w:eastAsia="Garamond" w:cs="Garamond"/>
              </w:rPr>
              <w:t>Soil is regularly saturated with water, greater than 80% of vegetation cover is comprised of perennial herbaceous vegetation.</w:t>
            </w:r>
          </w:p>
        </w:tc>
      </w:tr>
    </w:tbl>
    <w:p w14:paraId="7E6F3030" w14:textId="00956012" w:rsidR="00A43059" w:rsidRPr="0066138C" w:rsidRDefault="00A43059" w:rsidP="13CB051E">
      <w:pPr>
        <w:spacing w:after="0" w:line="240" w:lineRule="auto"/>
        <w:jc w:val="left"/>
        <w:rPr>
          <w:rFonts w:eastAsia="Garamond" w:cs="Garamond"/>
          <w:color w:val="FF0000"/>
        </w:rPr>
      </w:pPr>
    </w:p>
    <w:p w14:paraId="76007EF6" w14:textId="0D5278D8" w:rsidR="00A43059" w:rsidRPr="0066138C" w:rsidRDefault="43CD3CDA" w:rsidP="31CE712C">
      <w:pPr>
        <w:spacing w:after="0" w:line="240" w:lineRule="auto"/>
        <w:jc w:val="left"/>
        <w:rPr>
          <w:rFonts w:eastAsia="Garamond" w:cs="Garamond"/>
          <w:b/>
          <w:bCs/>
          <w:i/>
          <w:iCs/>
        </w:rPr>
      </w:pPr>
      <w:r w:rsidRPr="31CE712C">
        <w:rPr>
          <w:rFonts w:eastAsia="Garamond" w:cs="Garamond"/>
          <w:b/>
          <w:bCs/>
          <w:i/>
          <w:iCs/>
        </w:rPr>
        <w:t>3.2 Data Processing</w:t>
      </w:r>
    </w:p>
    <w:p w14:paraId="60AC60FB" w14:textId="78E8DF39" w:rsidR="00BD1A87" w:rsidRDefault="0C9B7F4E" w:rsidP="13CB051E">
      <w:pPr>
        <w:spacing w:after="0" w:line="240" w:lineRule="auto"/>
        <w:jc w:val="left"/>
        <w:rPr>
          <w:rFonts w:eastAsia="Garamond" w:cs="Garamond"/>
        </w:rPr>
      </w:pPr>
      <w:r>
        <w:rPr>
          <w:rFonts w:eastAsia="Garamond" w:cs="Garamond"/>
        </w:rPr>
        <w:t>The datasets obtained were clipped to the York River watershed for further analysis in the SWAT model.</w:t>
      </w:r>
      <w:r w:rsidR="48A4BB76" w:rsidRPr="5FB1B1B7">
        <w:rPr>
          <w:rFonts w:eastAsia="Garamond" w:cs="Garamond"/>
        </w:rPr>
        <w:t xml:space="preserve"> The spatial datasets included in the SWAT model include slope, soil type, and land cover (Figure 3). Calibration and validation data were downloaded and subset to only stations within the watershed.</w:t>
      </w:r>
    </w:p>
    <w:p w14:paraId="5E74F1B6" w14:textId="7131A0DE" w:rsidR="00BD1A87" w:rsidRDefault="00BD1A87" w:rsidP="13CB051E">
      <w:pPr>
        <w:spacing w:after="0" w:line="240" w:lineRule="auto"/>
        <w:jc w:val="left"/>
        <w:rPr>
          <w:rFonts w:eastAsia="Garamond" w:cs="Garamond"/>
        </w:rPr>
      </w:pPr>
    </w:p>
    <w:p w14:paraId="32B1CAEE" w14:textId="0FF7969E" w:rsidR="00BD1A87" w:rsidRDefault="1F52DE71" w:rsidP="13CB051E">
      <w:pPr>
        <w:spacing w:after="0" w:line="240" w:lineRule="auto"/>
        <w:jc w:val="left"/>
      </w:pPr>
      <w:r>
        <w:rPr>
          <w:noProof/>
        </w:rPr>
        <w:drawing>
          <wp:inline distT="0" distB="0" distL="0" distR="0" wp14:anchorId="5CDCF8C1" wp14:editId="6A56219B">
            <wp:extent cx="5931068" cy="2607174"/>
            <wp:effectExtent l="0" t="0" r="0" b="0"/>
            <wp:docPr id="309653029" name="Picture 30965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b="7457"/>
                    <a:stretch>
                      <a:fillRect/>
                    </a:stretch>
                  </pic:blipFill>
                  <pic:spPr>
                    <a:xfrm>
                      <a:off x="0" y="0"/>
                      <a:ext cx="5931068" cy="2607174"/>
                    </a:xfrm>
                    <a:prstGeom prst="rect">
                      <a:avLst/>
                    </a:prstGeom>
                  </pic:spPr>
                </pic:pic>
              </a:graphicData>
            </a:graphic>
          </wp:inline>
        </w:drawing>
      </w:r>
    </w:p>
    <w:p w14:paraId="5B25EE7B" w14:textId="30F2CD2E" w:rsidR="00BD1A87" w:rsidRPr="00923856" w:rsidDel="00AC1ECA" w:rsidRDefault="69FEBE00" w:rsidP="6A7FCD73">
      <w:pPr>
        <w:spacing w:after="0" w:line="240" w:lineRule="auto"/>
        <w:jc w:val="left"/>
        <w:rPr>
          <w:rFonts w:eastAsia="Garamond" w:cs="Garamond"/>
        </w:rPr>
      </w:pPr>
      <w:bookmarkStart w:id="9" w:name="_Ref109557866"/>
      <w:r w:rsidRPr="6A7FCD73">
        <w:rPr>
          <w:color w:val="000000" w:themeColor="text1"/>
        </w:rPr>
        <w:t>Figure 3</w:t>
      </w:r>
      <w:bookmarkEnd w:id="9"/>
      <w:r w:rsidRPr="6A7FCD73">
        <w:rPr>
          <w:color w:val="000000" w:themeColor="text1"/>
        </w:rPr>
        <w:t xml:space="preserve">. </w:t>
      </w:r>
      <w:r w:rsidR="557FB343" w:rsidRPr="6A7FCD73">
        <w:rPr>
          <w:rFonts w:eastAsia="Garamond" w:cs="Garamond"/>
          <w:color w:val="000000" w:themeColor="text1"/>
        </w:rPr>
        <w:t xml:space="preserve">Spatial datasets used in SWAT model </w:t>
      </w:r>
      <w:r w:rsidR="0EB0521F" w:rsidRPr="6A7FCD73">
        <w:rPr>
          <w:rFonts w:eastAsia="Garamond" w:cs="Garamond"/>
          <w:color w:val="000000" w:themeColor="text1"/>
        </w:rPr>
        <w:t>s</w:t>
      </w:r>
      <w:r w:rsidR="557FB343" w:rsidRPr="6A7FCD73">
        <w:rPr>
          <w:rFonts w:eastAsia="Garamond" w:cs="Garamond"/>
          <w:color w:val="000000" w:themeColor="text1"/>
        </w:rPr>
        <w:t>etup</w:t>
      </w:r>
      <w:r w:rsidR="79FF3347" w:rsidRPr="6A7FCD73">
        <w:rPr>
          <w:rFonts w:eastAsia="Garamond" w:cs="Garamond"/>
        </w:rPr>
        <w:t xml:space="preserve"> </w:t>
      </w:r>
    </w:p>
    <w:p w14:paraId="27568425" w14:textId="704235EE" w:rsidR="00BD1A87" w:rsidRPr="00923856" w:rsidDel="00AC1ECA" w:rsidRDefault="00BD1A87" w:rsidP="6A7FCD73">
      <w:pPr>
        <w:spacing w:after="0" w:line="240" w:lineRule="auto"/>
        <w:jc w:val="left"/>
        <w:rPr>
          <w:rFonts w:eastAsia="Garamond" w:cs="Garamond"/>
        </w:rPr>
      </w:pPr>
    </w:p>
    <w:p w14:paraId="18DBDDB8" w14:textId="45483599" w:rsidR="00BD1A87" w:rsidRPr="00923856" w:rsidDel="00AC1ECA" w:rsidRDefault="79FF3347" w:rsidP="6A7FCD73">
      <w:pPr>
        <w:spacing w:after="0" w:line="240" w:lineRule="auto"/>
        <w:jc w:val="left"/>
        <w:rPr>
          <w:rFonts w:eastAsia="Garamond" w:cs="Garamond"/>
        </w:rPr>
      </w:pPr>
      <w:r w:rsidRPr="6A7FCD73">
        <w:rPr>
          <w:rFonts w:eastAsia="Garamond" w:cs="Garamond"/>
        </w:rPr>
        <w:t xml:space="preserve">We also analyzed turbidity levels in the York River using the ORCAA tool. To do this, we uploaded our study area parameters to the ORCAA tool in GEE. We then applied Landsat 5 TM, Landsat 7 ETM+, and Landsat 8 OLI imagery to the map. These were clipped to the study area and images were mosaicked together. NDTI </w:t>
      </w:r>
      <w:r w:rsidRPr="6A7FCD73">
        <w:rPr>
          <w:rFonts w:eastAsia="Garamond" w:cs="Garamond"/>
        </w:rPr>
        <w:lastRenderedPageBreak/>
        <w:t xml:space="preserve">was calculated using </w:t>
      </w:r>
      <w:r w:rsidR="410C3CAA" w:rsidRPr="6A7FCD73">
        <w:rPr>
          <w:rFonts w:eastAsia="Garamond" w:cs="Garamond"/>
        </w:rPr>
        <w:t xml:space="preserve">a ratio of the red and green bands </w:t>
      </w:r>
      <w:r w:rsidRPr="6A7FCD73">
        <w:rPr>
          <w:rFonts w:eastAsia="Garamond" w:cs="Garamond"/>
        </w:rPr>
        <w:t>and the layer was added onto the satellite imagery</w:t>
      </w:r>
      <w:r w:rsidR="6655F546" w:rsidRPr="6A7FCD73">
        <w:rPr>
          <w:rFonts w:eastAsia="Garamond" w:cs="Garamond"/>
        </w:rPr>
        <w:t xml:space="preserve"> (Equation 1)</w:t>
      </w:r>
      <w:r w:rsidRPr="6A7FCD73">
        <w:rPr>
          <w:rFonts w:eastAsia="Garamond" w:cs="Garamond"/>
        </w:rPr>
        <w:t>.</w:t>
      </w:r>
      <w:r w:rsidR="296F5D80" w:rsidRPr="6A7FCD73">
        <w:rPr>
          <w:rFonts w:eastAsia="Garamond" w:cs="Garamond"/>
        </w:rPr>
        <w:t xml:space="preserve"> </w:t>
      </w:r>
    </w:p>
    <w:p w14:paraId="27A99D4B" w14:textId="4A3B7261" w:rsidR="00BD1A87" w:rsidRPr="00923856" w:rsidDel="00AC1ECA" w:rsidRDefault="00BD1A87" w:rsidP="6A7FCD73">
      <w:pPr>
        <w:spacing w:after="0" w:line="240" w:lineRule="auto"/>
        <w:jc w:val="left"/>
        <w:rPr>
          <w:rFonts w:eastAsia="Garamond" w:cs="Garamond"/>
        </w:rPr>
      </w:pPr>
    </w:p>
    <w:p w14:paraId="4FAE8A80" w14:textId="7A489D41" w:rsidR="00BD1A87" w:rsidRPr="00923856" w:rsidDel="00AC1ECA" w:rsidRDefault="29F16DB2" w:rsidP="6A7FCD73">
      <w:pPr>
        <w:spacing w:after="0" w:line="240" w:lineRule="auto"/>
        <w:jc w:val="center"/>
        <w:rPr>
          <w:rFonts w:eastAsia="Garamond" w:cs="Garamond"/>
        </w:rPr>
      </w:pPr>
      <m:oMath>
        <m:r>
          <w:rPr>
            <w:rFonts w:ascii="Cambria Math" w:hAnsi="Cambria Math"/>
          </w:rPr>
          <m:t>NDTI = </m:t>
        </m:r>
        <m:f>
          <m:fPr>
            <m:ctrlPr>
              <w:rPr>
                <w:rFonts w:ascii="Cambria Math" w:hAnsi="Cambria Math"/>
              </w:rPr>
            </m:ctrlPr>
          </m:fPr>
          <m:num>
            <m:r>
              <w:rPr>
                <w:rFonts w:ascii="Cambria Math" w:hAnsi="Cambria Math"/>
              </w:rPr>
              <m:t>Red - Green</m:t>
            </m:r>
          </m:num>
          <m:den>
            <m:r>
              <w:rPr>
                <w:rFonts w:ascii="Cambria Math" w:hAnsi="Cambria Math"/>
              </w:rPr>
              <m:t>Red + Green</m:t>
            </m:r>
          </m:den>
        </m:f>
      </m:oMath>
      <w:r w:rsidR="53379B92" w:rsidRPr="6A7FCD73">
        <w:rPr>
          <w:rFonts w:eastAsia="Garamond" w:cs="Garamond"/>
        </w:rPr>
        <w:t xml:space="preserve"> </w:t>
      </w:r>
      <w:r>
        <w:tab/>
      </w:r>
      <w:r w:rsidR="53379B92" w:rsidRPr="6A7FCD73">
        <w:rPr>
          <w:rFonts w:eastAsia="Garamond" w:cs="Garamond"/>
        </w:rPr>
        <w:t>(1)</w:t>
      </w:r>
    </w:p>
    <w:p w14:paraId="12EF4A90" w14:textId="1067DDB0" w:rsidR="00BD1A87" w:rsidRPr="00923856" w:rsidDel="00AC1ECA" w:rsidRDefault="00BD1A87" w:rsidP="6A7FCD73"/>
    <w:p w14:paraId="538A5F1D" w14:textId="20BE9355" w:rsidR="00A43059" w:rsidRPr="0066138C" w:rsidRDefault="43CD3CDA" w:rsidP="31CE712C">
      <w:pPr>
        <w:spacing w:after="0" w:line="240" w:lineRule="auto"/>
        <w:jc w:val="left"/>
        <w:rPr>
          <w:rFonts w:eastAsia="Garamond" w:cs="Garamond"/>
          <w:b/>
          <w:bCs/>
          <w:i/>
          <w:iCs/>
        </w:rPr>
      </w:pPr>
      <w:r w:rsidRPr="31CE712C">
        <w:rPr>
          <w:rFonts w:eastAsia="Garamond" w:cs="Garamond"/>
          <w:b/>
          <w:bCs/>
          <w:i/>
          <w:iCs/>
        </w:rPr>
        <w:t>3.3 Data Analysis</w:t>
      </w:r>
    </w:p>
    <w:p w14:paraId="6130C21E" w14:textId="3E12476E" w:rsidR="1959C74C" w:rsidRDefault="1959C74C" w:rsidP="13CB051E">
      <w:pPr>
        <w:spacing w:after="0" w:line="240" w:lineRule="auto"/>
        <w:jc w:val="left"/>
        <w:rPr>
          <w:rFonts w:eastAsia="Garamond" w:cs="Garamond"/>
        </w:rPr>
      </w:pPr>
      <w:r w:rsidRPr="13CB051E">
        <w:rPr>
          <w:rFonts w:eastAsia="Garamond" w:cs="Garamond"/>
        </w:rPr>
        <w:t xml:space="preserve">For the SWAT model, we took into consideration the type of land use and how it affects sediment flows. For example, we considered how areas of primarily agricultural land use deposited a significant amount of sediment compared to areas of urban land use (citation). Assessing NLCD data first was important to our further data analysis in that it allowed us to better analyze our SWAT projections upon </w:t>
      </w:r>
      <w:r w:rsidR="40AFE61D" w:rsidRPr="13CB051E">
        <w:rPr>
          <w:rFonts w:eastAsia="Garamond" w:cs="Garamond"/>
          <w:color w:val="341A51"/>
        </w:rPr>
        <w:t>inputting the data into SWAT.</w:t>
      </w:r>
      <w:r w:rsidRPr="13CB051E">
        <w:rPr>
          <w:rFonts w:eastAsia="Garamond" w:cs="Garamond"/>
        </w:rPr>
        <w:t xml:space="preserve"> </w:t>
      </w:r>
    </w:p>
    <w:p w14:paraId="113E89FF" w14:textId="77777777" w:rsidR="00021B74" w:rsidRDefault="00021B74" w:rsidP="31CE712C">
      <w:pPr>
        <w:spacing w:after="0" w:line="240" w:lineRule="auto"/>
        <w:jc w:val="left"/>
        <w:rPr>
          <w:rFonts w:eastAsia="Garamond" w:cs="Garamond"/>
          <w:color w:val="000000" w:themeColor="text1"/>
        </w:rPr>
      </w:pPr>
    </w:p>
    <w:p w14:paraId="6B70FCB2" w14:textId="79BC1D3D" w:rsidR="00021B74" w:rsidRPr="00021B74" w:rsidRDefault="45D12C2B" w:rsidP="31CE712C">
      <w:pPr>
        <w:autoSpaceDE w:val="0"/>
        <w:autoSpaceDN w:val="0"/>
        <w:adjustRightInd w:val="0"/>
        <w:spacing w:after="0" w:line="240" w:lineRule="auto"/>
        <w:jc w:val="left"/>
        <w:rPr>
          <w:rFonts w:cs="AdvTTa351d857.B"/>
          <w:b/>
          <w:bCs/>
          <w:color w:val="131413"/>
        </w:rPr>
      </w:pPr>
      <w:r w:rsidRPr="31CE712C">
        <w:rPr>
          <w:rFonts w:cs="AdvTTa351d857.B"/>
          <w:b/>
          <w:bCs/>
          <w:color w:val="131413"/>
        </w:rPr>
        <w:t>3.3.1 SWAT Model Calibration and Validation</w:t>
      </w:r>
    </w:p>
    <w:p w14:paraId="689B2C34" w14:textId="3ABBEC60" w:rsidR="00021B74" w:rsidRDefault="34ABB180" w:rsidP="31CE712C">
      <w:pPr>
        <w:autoSpaceDE w:val="0"/>
        <w:autoSpaceDN w:val="0"/>
        <w:adjustRightInd w:val="0"/>
        <w:spacing w:after="0" w:line="240" w:lineRule="auto"/>
        <w:jc w:val="left"/>
        <w:rPr>
          <w:rFonts w:cs="AdvTTa351d857.B"/>
          <w:color w:val="131413"/>
        </w:rPr>
      </w:pPr>
      <w:r w:rsidRPr="13CB051E">
        <w:rPr>
          <w:rFonts w:cs="AdvTTa351d857.B"/>
          <w:color w:val="131413"/>
        </w:rPr>
        <w:t>In this study, the calibration and validation of the SWAT model were carried out by comparing the output of the SWAT model with the observed data at the same conditions using SWAT-Calibration and Uncertainty Program (CUP) version 5.2.1.1. SWAT-CUP is a stand-alone calibration program developed by Abbaspour et al. (2007). The Sequential Uncertainty Fitting version 2 (SUFI-2) calibration algorithm embedded in SWAT-CUP was used in this analysis for calibrating the daily streamflow and TSS datasets. The SUFI-2 archives and optimizes model results with 95% uncertainty range which accounts for uncertainty as well as the sensitivity of model parameters (HAWQS, 2020). Sensitivity analysis and calibration of the model were carried out by running the SWAT-CUP model 50 times to achieve the final outputs, due to processing constraints. Observed data from the Pamunkey gauge station were used in calibrating the SWAT model as this was the closest gauge to the outlet of the York River watershed</w:t>
      </w:r>
      <w:r w:rsidR="1DC4E846" w:rsidRPr="13CB051E">
        <w:rPr>
          <w:rFonts w:cs="AdvTTa351d857.B"/>
          <w:color w:val="131413"/>
        </w:rPr>
        <w:t>.</w:t>
      </w:r>
    </w:p>
    <w:p w14:paraId="2245DB3A" w14:textId="60204CE4" w:rsidR="2FA20DD9" w:rsidRDefault="2FA20DD9" w:rsidP="2FA20DD9">
      <w:pPr>
        <w:spacing w:after="0" w:line="240" w:lineRule="auto"/>
        <w:jc w:val="left"/>
        <w:rPr>
          <w:rFonts w:cs="AdvTT3713a231"/>
          <w:color w:val="131413"/>
        </w:rPr>
      </w:pPr>
    </w:p>
    <w:p w14:paraId="23FBA454" w14:textId="5667F052" w:rsidR="00021B74" w:rsidRDefault="5B74AFB1" w:rsidP="31CE712C">
      <w:pPr>
        <w:autoSpaceDE w:val="0"/>
        <w:autoSpaceDN w:val="0"/>
        <w:adjustRightInd w:val="0"/>
        <w:spacing w:after="0" w:line="240" w:lineRule="auto"/>
        <w:jc w:val="left"/>
        <w:rPr>
          <w:rFonts w:cs="AdvTT3713a231"/>
          <w:color w:val="131413"/>
        </w:rPr>
      </w:pPr>
      <w:r w:rsidRPr="6A7FCD73">
        <w:rPr>
          <w:rFonts w:cs="AdvTT3713a231"/>
          <w:color w:val="131413"/>
        </w:rPr>
        <w:t xml:space="preserve">For discharge, calibration and validation of the model were performed using an 11-year period of observed data obtained from the Pamunkey gauge station (Figure B1). Two years of data (January 01, </w:t>
      </w:r>
      <w:proofErr w:type="gramStart"/>
      <w:r w:rsidRPr="6A7FCD73">
        <w:rPr>
          <w:rFonts w:cs="AdvTT3713a231"/>
          <w:color w:val="131413"/>
        </w:rPr>
        <w:t>2009</w:t>
      </w:r>
      <w:proofErr w:type="gramEnd"/>
      <w:r w:rsidRPr="6A7FCD73">
        <w:rPr>
          <w:rFonts w:cs="AdvTT3713a231"/>
          <w:color w:val="131413"/>
        </w:rPr>
        <w:t xml:space="preserve"> to December 31, 2010) were used as the warm-up period for the model, while January 1, 2011 to December 31, 2014, and January </w:t>
      </w:r>
      <w:r w:rsidR="2E4B29C5" w:rsidRPr="6A7FCD73">
        <w:rPr>
          <w:rFonts w:cs="AdvTT3713a231"/>
          <w:color w:val="131413"/>
        </w:rPr>
        <w:t>1</w:t>
      </w:r>
      <w:r w:rsidRPr="6A7FCD73">
        <w:rPr>
          <w:rFonts w:cs="AdvTT3713a231"/>
          <w:color w:val="131413"/>
        </w:rPr>
        <w:t>, 2015 to December 31, 2019 were used for calibration and validation, respectively. For TSS calibration, the USGS discharge data were used from January 2011–December 2014 while data were used from January 2015–September 2018 in validation.</w:t>
      </w:r>
    </w:p>
    <w:p w14:paraId="4D0BC17D" w14:textId="4EDACA94" w:rsidR="2FA20DD9" w:rsidRDefault="2FA20DD9" w:rsidP="2FA20DD9">
      <w:pPr>
        <w:spacing w:after="0" w:line="240" w:lineRule="auto"/>
        <w:jc w:val="left"/>
        <w:rPr>
          <w:rFonts w:cs="AdvTTa351d857.B"/>
          <w:color w:val="131413"/>
        </w:rPr>
      </w:pPr>
    </w:p>
    <w:p w14:paraId="07DBF167" w14:textId="54D09BCD" w:rsidR="00021B74" w:rsidRDefault="34ABB180" w:rsidP="31CE712C">
      <w:pPr>
        <w:autoSpaceDE w:val="0"/>
        <w:autoSpaceDN w:val="0"/>
        <w:adjustRightInd w:val="0"/>
        <w:spacing w:after="0" w:line="240" w:lineRule="auto"/>
        <w:jc w:val="left"/>
        <w:rPr>
          <w:rFonts w:cs="AdvTTa351d857.B"/>
          <w:color w:val="131413"/>
        </w:rPr>
      </w:pPr>
      <w:r w:rsidRPr="6A7FCD73">
        <w:rPr>
          <w:rFonts w:cs="AdvTTa351d857.B"/>
          <w:color w:val="131413"/>
        </w:rPr>
        <w:t>Selection of the most important SWAT-CUP parameter is required to enhance the efficiency of the calibration. In this study, thirteen parameters were selected for discharge calibration and seven for sediment calibration. These parameters were selected based on the relative significance of each parameter and their sensitivity to the model.</w:t>
      </w:r>
      <w:r w:rsidRPr="6A7FCD73">
        <w:rPr>
          <w:rFonts w:cs="AdvTTa351d857.B"/>
          <w:color w:val="FF0000"/>
        </w:rPr>
        <w:t xml:space="preserve"> </w:t>
      </w:r>
      <w:r w:rsidRPr="6A7FCD73">
        <w:rPr>
          <w:rFonts w:cs="AdvTTa351d857.B"/>
        </w:rPr>
        <w:t>The significance of the parameters was measured based on two indicators, the t-stat and the p-value</w:t>
      </w:r>
      <w:r w:rsidR="4BD3B8E5" w:rsidRPr="6A7FCD73">
        <w:rPr>
          <w:rFonts w:cs="AdvTTa351d857.B"/>
        </w:rPr>
        <w:t>,</w:t>
      </w:r>
      <w:r w:rsidRPr="6A7FCD73">
        <w:rPr>
          <w:rFonts w:cs="AdvTTa351d857.B"/>
        </w:rPr>
        <w:t xml:space="preserve"> during the sensitivity analysis process as recommended by</w:t>
      </w:r>
      <w:r w:rsidR="1DC4E846" w:rsidRPr="6A7FCD73">
        <w:rPr>
          <w:rFonts w:cs="AdvTTa351d857.B"/>
        </w:rPr>
        <w:t xml:space="preserve"> Abbaspour et al., 2015</w:t>
      </w:r>
      <w:r w:rsidR="139CACBE" w:rsidRPr="6A7FCD73">
        <w:rPr>
          <w:rFonts w:cs="AdvTTa351d857.B"/>
        </w:rPr>
        <w:t xml:space="preserve">. </w:t>
      </w:r>
      <w:r w:rsidRPr="6A7FCD73">
        <w:rPr>
          <w:rFonts w:cs="AdvTTa351d857.B"/>
          <w:color w:val="131413"/>
        </w:rPr>
        <w:t>The parameters used for the discharge are: base flow alpha factor (ALPHA_BF), Soil Conservation Service-Curve Number (SCS-CN2), groundwater delay (days) (GW_DELAY), surface runoff lag time (SURLAG),</w:t>
      </w:r>
      <w:r>
        <w:t xml:space="preserve"> t</w:t>
      </w:r>
      <w:r w:rsidRPr="6A7FCD73">
        <w:rPr>
          <w:rFonts w:cs="AdvTTa351d857.B"/>
          <w:color w:val="131413"/>
        </w:rPr>
        <w:t>hreshold depth of water (GWQMN), Manning’s ‘n’ value for main channel (CH_N2), available water capacity of the soil (SOL_AWC), surface runoff lag time (SURLAG),</w:t>
      </w:r>
      <w:r>
        <w:t xml:space="preserve"> e</w:t>
      </w:r>
      <w:r w:rsidRPr="6A7FCD73">
        <w:rPr>
          <w:rFonts w:cs="AdvTTa351d857.B"/>
          <w:color w:val="131413"/>
        </w:rPr>
        <w:t>ffective hydraulic conductivity in the main channel alluvium (CH_K2), soil evaporation compensation factor (ESCO), groundwater coefficient to occur (mm) (GW_REVAP), maximum canopy storage (CANMX), and plant uptake compensation factor (EPCO). The parameters used for the sediment calibration are: channel erodibility factor (CH_COV1), channel cover factor (CH_COV2), sediment concentration in runoff (SED_CON), Universal Soil Loss Equation soil erodibility factor (USLE_K), sediment concentration in lateral flow and groundwater flow (LAT_SED),</w:t>
      </w:r>
      <w:r>
        <w:t xml:space="preserve"> </w:t>
      </w:r>
      <w:r w:rsidRPr="6A7FCD73">
        <w:rPr>
          <w:rFonts w:cs="AdvTTa351d857.B"/>
          <w:color w:val="131413"/>
        </w:rPr>
        <w:t xml:space="preserve">linear re-entrainment parameter for channel sediment routing (SPCON), and exponential re-entrainment parameter (SPEXP). </w:t>
      </w:r>
    </w:p>
    <w:p w14:paraId="3A7F6F5D" w14:textId="3E42DEFE" w:rsidR="2FA20DD9" w:rsidRDefault="2FA20DD9" w:rsidP="2FA20DD9">
      <w:pPr>
        <w:spacing w:after="0" w:line="240" w:lineRule="auto"/>
        <w:jc w:val="left"/>
        <w:rPr>
          <w:rFonts w:cs="AdvTTa351d857.B"/>
        </w:rPr>
      </w:pPr>
    </w:p>
    <w:p w14:paraId="31FDDDDA" w14:textId="74B579E1" w:rsidR="0097790F" w:rsidRDefault="34ABB180" w:rsidP="2FA20DD9">
      <w:pPr>
        <w:spacing w:after="0" w:line="240" w:lineRule="auto"/>
        <w:jc w:val="left"/>
        <w:rPr>
          <w:rFonts w:cs="AdvTTa351d857.B"/>
          <w:noProof/>
          <w:color w:val="131413"/>
        </w:rPr>
      </w:pPr>
      <w:r w:rsidRPr="6A7FCD73">
        <w:rPr>
          <w:rFonts w:cs="AdvTTa351d857.B"/>
        </w:rPr>
        <w:t>Moreover, uncertainties of the parameters associated with the model were evaluated using P-</w:t>
      </w:r>
      <w:r w:rsidRPr="6A7FCD73">
        <w:rPr>
          <w:rFonts w:cs="AdvTTa351d857.B"/>
          <w:i/>
          <w:iCs/>
        </w:rPr>
        <w:t>factor</w:t>
      </w:r>
      <w:r w:rsidRPr="6A7FCD73">
        <w:rPr>
          <w:rFonts w:cs="AdvTTa351d857.B"/>
        </w:rPr>
        <w:t xml:space="preserve"> and R-</w:t>
      </w:r>
      <w:r w:rsidRPr="6A7FCD73">
        <w:rPr>
          <w:rFonts w:cs="AdvTTa351d857.B"/>
          <w:i/>
          <w:iCs/>
        </w:rPr>
        <w:t>factor</w:t>
      </w:r>
      <w:r w:rsidRPr="6A7FCD73">
        <w:rPr>
          <w:rFonts w:cs="AdvTTa351d857.B"/>
        </w:rPr>
        <w:t>. The P-</w:t>
      </w:r>
      <w:r w:rsidRPr="6A7FCD73">
        <w:rPr>
          <w:rFonts w:cs="AdvTTa351d857.B"/>
          <w:i/>
          <w:iCs/>
        </w:rPr>
        <w:t>factor</w:t>
      </w:r>
      <w:r w:rsidRPr="6A7FCD73">
        <w:rPr>
          <w:rFonts w:cs="AdvTTa351d857.B"/>
        </w:rPr>
        <w:t xml:space="preserve"> is the degree to which all uncertainties accounted for in the model are quantified. This </w:t>
      </w:r>
      <w:r w:rsidRPr="6A7FCD73">
        <w:rPr>
          <w:rFonts w:cs="AdvTTa351d857.B"/>
        </w:rPr>
        <w:lastRenderedPageBreak/>
        <w:t>represents the percentage of measured data bracketed by 95% prediction uncertainty (95PPU) in</w:t>
      </w:r>
      <w:r w:rsidR="139CACBE" w:rsidRPr="6A7FCD73">
        <w:rPr>
          <w:rFonts w:cs="AdvTTa351d857.B"/>
        </w:rPr>
        <w:t xml:space="preserve"> </w:t>
      </w:r>
      <w:r w:rsidR="139CACBE" w:rsidRPr="6A7FCD73">
        <w:rPr>
          <w:rFonts w:eastAsia="Garamond" w:cs="Garamond"/>
        </w:rPr>
        <w:t xml:space="preserve">Meng et al., 2010. </w:t>
      </w:r>
      <w:r w:rsidRPr="6A7FCD73">
        <w:rPr>
          <w:rFonts w:cs="AdvTTa351d857.B"/>
        </w:rPr>
        <w:t>The P-</w:t>
      </w:r>
      <w:r w:rsidRPr="6A7FCD73">
        <w:rPr>
          <w:rFonts w:cs="AdvTTa351d857.B"/>
          <w:i/>
          <w:iCs/>
        </w:rPr>
        <w:t>factor</w:t>
      </w:r>
      <w:r w:rsidRPr="6A7FCD73">
        <w:rPr>
          <w:rFonts w:cs="AdvTTa351d857.B"/>
        </w:rPr>
        <w:t xml:space="preserve"> varies from 0.0 to 1.0</w:t>
      </w:r>
      <w:r w:rsidR="01D8D3DA" w:rsidRPr="6A7FCD73">
        <w:rPr>
          <w:rFonts w:cs="AdvTTa351d857.B"/>
        </w:rPr>
        <w:t>;</w:t>
      </w:r>
      <w:r w:rsidRPr="6A7FCD73">
        <w:rPr>
          <w:rFonts w:cs="AdvTTa351d857.B"/>
        </w:rPr>
        <w:t xml:space="preserve"> </w:t>
      </w:r>
      <w:r w:rsidR="4DC2859F" w:rsidRPr="6A7FCD73">
        <w:rPr>
          <w:rFonts w:cs="AdvTTa351d857.B"/>
        </w:rPr>
        <w:t xml:space="preserve">a </w:t>
      </w:r>
      <w:r w:rsidRPr="6A7FCD73">
        <w:rPr>
          <w:rFonts w:cs="AdvTTa351d857.B"/>
        </w:rPr>
        <w:t xml:space="preserve">value </w:t>
      </w:r>
      <w:r w:rsidR="48995126" w:rsidRPr="6A7FCD73">
        <w:rPr>
          <w:rFonts w:cs="AdvTTa351d857.B"/>
        </w:rPr>
        <w:t xml:space="preserve">closer </w:t>
      </w:r>
      <w:r w:rsidRPr="6A7FCD73">
        <w:rPr>
          <w:rFonts w:cs="AdvTTa351d857.B"/>
        </w:rPr>
        <w:t>to 1.0 indicates very high performance and efficiency of the model. The R-</w:t>
      </w:r>
      <w:r w:rsidRPr="6A7FCD73">
        <w:rPr>
          <w:rFonts w:cs="AdvTTa351d857.B"/>
          <w:i/>
          <w:iCs/>
        </w:rPr>
        <w:t xml:space="preserve">factor </w:t>
      </w:r>
      <w:r w:rsidRPr="6A7FCD73">
        <w:rPr>
          <w:rFonts w:cs="AdvTTa351d857.B"/>
        </w:rPr>
        <w:t xml:space="preserve">on other hand is the ratio of the average width of the 95PPU which varies from 0 to infinity. Studies show that values approaching zero represent a smaller 95PPU band thickness and it indicates the better performance of the model </w:t>
      </w:r>
      <w:r w:rsidR="139CACBE" w:rsidRPr="6A7FCD73">
        <w:rPr>
          <w:rFonts w:cs="AdvTTa351d857.B"/>
          <w:noProof/>
          <w:color w:val="131413"/>
        </w:rPr>
        <w:t>(Abbaspour et al., 2007</w:t>
      </w:r>
      <w:r w:rsidR="139CACBE" w:rsidRPr="6A7FCD73">
        <w:rPr>
          <w:rFonts w:cs="AdvTTa351d857.B"/>
        </w:rPr>
        <w:t>; Yang et al., 2008).</w:t>
      </w:r>
      <w:r w:rsidRPr="6A7FCD73">
        <w:rPr>
          <w:rFonts w:cs="AdvTTa351d857.B"/>
        </w:rPr>
        <w:t xml:space="preserve"> Furthermore, performance of the model and the observed values were evaluated using statistical</w:t>
      </w:r>
      <w:r w:rsidRPr="6A7FCD73">
        <w:rPr>
          <w:rFonts w:cs="AdvTTa351d857.B"/>
          <w:color w:val="131413"/>
        </w:rPr>
        <w:t xml:space="preserve"> indices embedded in SWAT-CUP (Ndulue et al., 2015). These indices include the coefficient of determination (R</w:t>
      </w:r>
      <w:r w:rsidRPr="6A7FCD73">
        <w:rPr>
          <w:rFonts w:cs="AdvTTa351d857.B"/>
          <w:color w:val="131413"/>
          <w:vertAlign w:val="superscript"/>
        </w:rPr>
        <w:t>2</w:t>
      </w:r>
      <w:r w:rsidRPr="6A7FCD73">
        <w:rPr>
          <w:rFonts w:cs="AdvTTa351d857.B"/>
          <w:color w:val="131413"/>
        </w:rPr>
        <w:t>), percentage bias (PBIAS), and Nash-Sutcliffe Efficiency (NSE</w:t>
      </w:r>
      <w:r w:rsidR="651A3723" w:rsidRPr="6A7FCD73">
        <w:rPr>
          <w:rFonts w:cs="AdvTTa351d857.B"/>
          <w:color w:val="131413"/>
        </w:rPr>
        <w:t xml:space="preserve">; </w:t>
      </w:r>
      <w:r w:rsidR="2D369569" w:rsidRPr="6A7FCD73">
        <w:rPr>
          <w:rFonts w:cs="AdvTTa351d857.B"/>
          <w:color w:val="131413"/>
        </w:rPr>
        <w:t>Costa et al., 2015; Ghoraba, 2015).</w:t>
      </w:r>
    </w:p>
    <w:p w14:paraId="61322A2F" w14:textId="31702ACF" w:rsidR="00E41324" w:rsidRPr="0066138C" w:rsidRDefault="00E41324" w:rsidP="13CB051E">
      <w:pPr>
        <w:spacing w:after="0" w:line="240" w:lineRule="auto"/>
        <w:jc w:val="left"/>
        <w:rPr>
          <w:rFonts w:eastAsia="Garamond" w:cs="Garamond"/>
        </w:rPr>
      </w:pPr>
    </w:p>
    <w:p w14:paraId="0A0D7637" w14:textId="78A545DB" w:rsidR="00E41324" w:rsidRPr="0066138C" w:rsidRDefault="13CB051E" w:rsidP="13CB051E">
      <w:pPr>
        <w:spacing w:after="0" w:line="240" w:lineRule="auto"/>
        <w:jc w:val="left"/>
        <w:rPr>
          <w:rFonts w:eastAsia="Garamond" w:cs="Garamond"/>
          <w:b/>
          <w:bCs/>
        </w:rPr>
      </w:pPr>
      <w:r w:rsidRPr="13CB051E">
        <w:rPr>
          <w:rFonts w:eastAsia="Garamond" w:cs="Garamond"/>
          <w:b/>
          <w:bCs/>
        </w:rPr>
        <w:t>3.3.2 ORCAA Tool Data Analysis</w:t>
      </w:r>
    </w:p>
    <w:p w14:paraId="6047B5B7" w14:textId="2D3B1DA7" w:rsidR="00E41324" w:rsidRPr="0066138C" w:rsidRDefault="13CB051E" w:rsidP="13CB051E">
      <w:pPr>
        <w:spacing w:after="0" w:line="240" w:lineRule="auto"/>
        <w:jc w:val="left"/>
        <w:rPr>
          <w:rFonts w:eastAsia="Garamond" w:cs="Garamond"/>
        </w:rPr>
      </w:pPr>
      <w:r w:rsidRPr="6A7FCD73">
        <w:rPr>
          <w:rFonts w:eastAsia="Garamond" w:cs="Garamond"/>
        </w:rPr>
        <w:t xml:space="preserve">NASA DEVELOP’s ORCAA 2.0 tool was used in this study to remotely view turbidity levels in the York River from 2009 to 2019 using imagery from NASA and USGS’s Landsat satellite series (Landsat 5 TM, Landsat 7 ETM+, and Landsat 8 OLI). The turbidity data </w:t>
      </w:r>
      <w:r w:rsidR="516CA723" w:rsidRPr="6A7FCD73">
        <w:rPr>
          <w:rFonts w:eastAsia="Garamond" w:cs="Garamond"/>
        </w:rPr>
        <w:t xml:space="preserve">were </w:t>
      </w:r>
      <w:r w:rsidRPr="6A7FCD73">
        <w:rPr>
          <w:rFonts w:eastAsia="Garamond" w:cs="Garamond"/>
        </w:rPr>
        <w:t>calculated through GEE, using data from its archives. When the tool was run via the user interface, median monthly imagery for the chosen month (e.g., July 2019) was applied to the chosen study area (Figure 4). Turbidity levels were then analyzed using NDTI.</w:t>
      </w:r>
      <w:r w:rsidR="27EBC3BF" w:rsidRPr="6A7FCD73">
        <w:rPr>
          <w:rFonts w:eastAsia="Garamond" w:cs="Garamond"/>
        </w:rPr>
        <w:t xml:space="preserve"> </w:t>
      </w:r>
      <w:r w:rsidRPr="6A7FCD73">
        <w:rPr>
          <w:rFonts w:eastAsia="Garamond" w:cs="Garamond"/>
        </w:rPr>
        <w:t xml:space="preserve">The team created models using precipitation data collected by NASA’s GPM IMERG satellite (Figure 4). These models presented monthly mean precipitation levels for the York River watershed, thus allowing a connection between precipitation and turbidity levels calculated through ORCAA to be observed. </w:t>
      </w:r>
    </w:p>
    <w:p w14:paraId="7952D348" w14:textId="3CBD4B36" w:rsidR="00E41324" w:rsidRPr="0066138C" w:rsidRDefault="13CB051E" w:rsidP="13CB051E">
      <w:pPr>
        <w:spacing w:after="0" w:line="240" w:lineRule="auto"/>
        <w:jc w:val="left"/>
      </w:pPr>
      <w:r>
        <w:rPr>
          <w:noProof/>
        </w:rPr>
        <w:drawing>
          <wp:inline distT="0" distB="0" distL="0" distR="0" wp14:anchorId="0E35466E" wp14:editId="18D1548C">
            <wp:extent cx="5820936" cy="2486025"/>
            <wp:effectExtent l="0" t="0" r="0" b="0"/>
            <wp:docPr id="1521173141" name="Picture 152117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20936" cy="2486025"/>
                    </a:xfrm>
                    <a:prstGeom prst="rect">
                      <a:avLst/>
                    </a:prstGeom>
                  </pic:spPr>
                </pic:pic>
              </a:graphicData>
            </a:graphic>
          </wp:inline>
        </w:drawing>
      </w:r>
    </w:p>
    <w:p w14:paraId="7D6041A9" w14:textId="72B38E8C" w:rsidR="00E41324" w:rsidRPr="0066138C" w:rsidRDefault="00E41324" w:rsidP="13CB051E">
      <w:pPr>
        <w:spacing w:after="0" w:line="240" w:lineRule="auto"/>
        <w:jc w:val="left"/>
      </w:pPr>
    </w:p>
    <w:p w14:paraId="4F30C693" w14:textId="074AC1C2" w:rsidR="00E41324" w:rsidRPr="0066138C" w:rsidRDefault="1F52DE71" w:rsidP="13CB051E">
      <w:pPr>
        <w:spacing w:after="0" w:line="240" w:lineRule="auto"/>
        <w:jc w:val="left"/>
        <w:rPr>
          <w:rFonts w:eastAsia="Garamond" w:cs="Garamond"/>
        </w:rPr>
      </w:pPr>
      <w:r>
        <w:t>Figure 4. July 2019</w:t>
      </w:r>
      <w:r w:rsidR="4FCA4FF2" w:rsidRPr="6A7FCD73">
        <w:rPr>
          <w:rFonts w:eastAsia="Garamond" w:cs="Garamond"/>
        </w:rPr>
        <w:t xml:space="preserve"> median NDTI turbidity levels and July 2019 mean precipitation levels. ORCAA </w:t>
      </w:r>
      <w:r w:rsidR="7AF53BB1" w:rsidRPr="6A7FCD73">
        <w:rPr>
          <w:rFonts w:eastAsia="Garamond" w:cs="Garamond"/>
        </w:rPr>
        <w:t>i</w:t>
      </w:r>
      <w:r w:rsidR="4FCA4FF2" w:rsidRPr="6A7FCD73">
        <w:rPr>
          <w:rFonts w:eastAsia="Garamond" w:cs="Garamond"/>
        </w:rPr>
        <w:t xml:space="preserve">magery </w:t>
      </w:r>
      <w:r w:rsidR="279D181B" w:rsidRPr="6A7FCD73">
        <w:rPr>
          <w:rFonts w:eastAsia="Garamond" w:cs="Garamond"/>
        </w:rPr>
        <w:t xml:space="preserve">was </w:t>
      </w:r>
      <w:r w:rsidR="4FCA4FF2" w:rsidRPr="6A7FCD73">
        <w:rPr>
          <w:rFonts w:eastAsia="Garamond" w:cs="Garamond"/>
        </w:rPr>
        <w:t xml:space="preserve">derived from Landsat 8 OLI. Precipitation data </w:t>
      </w:r>
      <w:r w:rsidR="2D3AA13D" w:rsidRPr="6A7FCD73">
        <w:rPr>
          <w:rFonts w:eastAsia="Garamond" w:cs="Garamond"/>
        </w:rPr>
        <w:t xml:space="preserve">were </w:t>
      </w:r>
      <w:r w:rsidR="4FCA4FF2" w:rsidRPr="6A7FCD73">
        <w:rPr>
          <w:rFonts w:eastAsia="Garamond" w:cs="Garamond"/>
        </w:rPr>
        <w:t xml:space="preserve">derived from GPM IMERG. </w:t>
      </w:r>
    </w:p>
    <w:p w14:paraId="6EEB0F71" w14:textId="58599424" w:rsidR="00E41324" w:rsidRPr="0066138C" w:rsidRDefault="00E41324" w:rsidP="13CB051E">
      <w:pPr>
        <w:pStyle w:val="Heading1"/>
        <w:spacing w:before="0" w:line="240" w:lineRule="auto"/>
        <w:jc w:val="left"/>
        <w:rPr>
          <w:rFonts w:ascii="Garamond" w:eastAsia="Garamond" w:hAnsi="Garamond" w:cs="Garamond"/>
        </w:rPr>
      </w:pPr>
    </w:p>
    <w:p w14:paraId="1F53876F" w14:textId="2E893EE4" w:rsidR="00E41324" w:rsidRPr="0066138C" w:rsidRDefault="6E516623" w:rsidP="31CE712C">
      <w:pPr>
        <w:pStyle w:val="Heading1"/>
        <w:spacing w:before="0" w:line="240" w:lineRule="auto"/>
        <w:jc w:val="left"/>
        <w:rPr>
          <w:rFonts w:ascii="Garamond" w:eastAsia="Garamond" w:hAnsi="Garamond" w:cs="Garamond"/>
        </w:rPr>
      </w:pPr>
      <w:bookmarkStart w:id="10" w:name="_Toc334198730"/>
      <w:r w:rsidRPr="13CB051E">
        <w:rPr>
          <w:rFonts w:ascii="Garamond" w:eastAsia="Garamond" w:hAnsi="Garamond" w:cs="Garamond"/>
        </w:rPr>
        <w:t>4</w:t>
      </w:r>
      <w:r w:rsidR="31B23619" w:rsidRPr="13CB051E">
        <w:rPr>
          <w:rFonts w:ascii="Garamond" w:eastAsia="Garamond" w:hAnsi="Garamond" w:cs="Garamond"/>
        </w:rPr>
        <w:t xml:space="preserve">. </w:t>
      </w:r>
      <w:r w:rsidR="39C46E85" w:rsidRPr="13CB051E">
        <w:rPr>
          <w:rFonts w:ascii="Garamond" w:eastAsia="Garamond" w:hAnsi="Garamond" w:cs="Garamond"/>
        </w:rPr>
        <w:t>Results</w:t>
      </w:r>
      <w:bookmarkEnd w:id="10"/>
      <w:r w:rsidR="32207B43" w:rsidRPr="13CB051E">
        <w:rPr>
          <w:rFonts w:ascii="Garamond" w:eastAsia="Garamond" w:hAnsi="Garamond" w:cs="Garamond"/>
        </w:rPr>
        <w:t xml:space="preserve"> &amp; Discussion</w:t>
      </w:r>
    </w:p>
    <w:p w14:paraId="2D2F1279" w14:textId="4ACCFD90" w:rsidR="00B463CC" w:rsidRPr="00B463CC" w:rsidRDefault="6E516623" w:rsidP="13CB051E">
      <w:pPr>
        <w:autoSpaceDE w:val="0"/>
        <w:autoSpaceDN w:val="0"/>
        <w:adjustRightInd w:val="0"/>
        <w:spacing w:after="0" w:line="240" w:lineRule="auto"/>
        <w:jc w:val="left"/>
        <w:rPr>
          <w:rFonts w:cs="AdvTT3713a231"/>
          <w:b/>
          <w:bCs/>
          <w:color w:val="131413"/>
        </w:rPr>
      </w:pPr>
      <w:r w:rsidRPr="13CB051E">
        <w:rPr>
          <w:rFonts w:eastAsia="Garamond" w:cs="Garamond"/>
          <w:b/>
          <w:bCs/>
          <w:i/>
          <w:iCs/>
        </w:rPr>
        <w:t>4.1 Analysis of Results</w:t>
      </w:r>
    </w:p>
    <w:p w14:paraId="314ACBFD" w14:textId="7131A0DE" w:rsidR="00B463CC" w:rsidRPr="00B463CC" w:rsidRDefault="1DD479AC" w:rsidP="31CE712C">
      <w:pPr>
        <w:autoSpaceDE w:val="0"/>
        <w:autoSpaceDN w:val="0"/>
        <w:adjustRightInd w:val="0"/>
        <w:spacing w:after="0" w:line="240" w:lineRule="auto"/>
        <w:jc w:val="left"/>
        <w:rPr>
          <w:rFonts w:cs="AdvTT3713a231"/>
          <w:b/>
          <w:bCs/>
          <w:color w:val="131413"/>
        </w:rPr>
      </w:pPr>
      <w:r w:rsidRPr="0A2D7124">
        <w:rPr>
          <w:rFonts w:cs="AdvTT3713a231"/>
          <w:b/>
          <w:bCs/>
          <w:color w:val="131413"/>
        </w:rPr>
        <w:t>4.1.1 Calibration and Validation of Discharge and Total Suspended Sediments</w:t>
      </w:r>
    </w:p>
    <w:p w14:paraId="628A1486" w14:textId="7D0FCF93" w:rsidR="00B463CC" w:rsidRDefault="5C77BD3E" w:rsidP="13CB051E">
      <w:pPr>
        <w:autoSpaceDE w:val="0"/>
        <w:autoSpaceDN w:val="0"/>
        <w:adjustRightInd w:val="0"/>
        <w:spacing w:after="0" w:line="240" w:lineRule="auto"/>
        <w:jc w:val="left"/>
        <w:rPr>
          <w:rFonts w:cs="AdvTT3713a231"/>
          <w:color w:val="131413"/>
        </w:rPr>
      </w:pPr>
      <w:r w:rsidRPr="31CE712C">
        <w:rPr>
          <w:rFonts w:cs="AdvTT3713a231"/>
          <w:color w:val="131413"/>
        </w:rPr>
        <w:t xml:space="preserve">Appendix A </w:t>
      </w:r>
      <w:r w:rsidR="6E50CAD7" w:rsidRPr="31CE712C">
        <w:rPr>
          <w:rFonts w:cs="AdvTT3713a231"/>
          <w:color w:val="131413"/>
        </w:rPr>
        <w:t>shows the graphical representation of the observed and simulated discharge used in the calibration and validation periods. From the summary statistics obtained from SUFI-2 in Table 3,</w:t>
      </w:r>
      <w:r w:rsidR="76104B46" w:rsidRPr="31CE712C">
        <w:rPr>
          <w:rFonts w:cs="AdvTT3713a231"/>
          <w:color w:val="131413"/>
        </w:rPr>
        <w:t xml:space="preserve"> the </w:t>
      </w:r>
      <w:r w:rsidR="6E50CAD7" w:rsidRPr="31CE712C">
        <w:rPr>
          <w:rFonts w:cs="AdvTT3713a231"/>
          <w:color w:val="131413"/>
        </w:rPr>
        <w:t>R</w:t>
      </w:r>
      <w:r w:rsidR="6E50CAD7" w:rsidRPr="31CE712C">
        <w:rPr>
          <w:rFonts w:cs="AdvTT3713a231"/>
          <w:color w:val="131413"/>
          <w:vertAlign w:val="superscript"/>
        </w:rPr>
        <w:t>2</w:t>
      </w:r>
      <w:r w:rsidR="6E50CAD7" w:rsidRPr="31CE712C">
        <w:rPr>
          <w:rFonts w:cs="AdvTT3713a231"/>
          <w:color w:val="131413"/>
        </w:rPr>
        <w:t xml:space="preserve"> recorded for both the calibrated and validated discharge and TSS were more than 0.80. The observed and simulated discharge showed good correlation (Figure A1). The PBIAS were within the range of ±10% whereas NSE values were more than 0.75. This shows that the performance of the SWAT model was good as stated by Moriasi et al. (2007)</w:t>
      </w:r>
      <w:r w:rsidR="1139E7A6" w:rsidRPr="31CE712C">
        <w:rPr>
          <w:rFonts w:cs="AdvTT3713a231"/>
          <w:color w:val="131413"/>
        </w:rPr>
        <w:t>.</w:t>
      </w:r>
      <w:r w:rsidR="6E50CAD7" w:rsidRPr="31CE712C">
        <w:rPr>
          <w:rFonts w:cs="AdvTT3713a231"/>
          <w:color w:val="131413"/>
        </w:rPr>
        <w:t xml:space="preserve"> However, the negative values of PBIAS show overestimation of the model. </w:t>
      </w:r>
    </w:p>
    <w:p w14:paraId="25471192" w14:textId="7131A0DE" w:rsidR="13CB051E" w:rsidRDefault="13CB051E" w:rsidP="13CB051E">
      <w:pPr>
        <w:spacing w:after="0" w:line="240" w:lineRule="auto"/>
        <w:jc w:val="left"/>
        <w:rPr>
          <w:rFonts w:cs="AdvTT3713a231"/>
          <w:color w:val="131413"/>
        </w:rPr>
      </w:pPr>
    </w:p>
    <w:p w14:paraId="295D2AB5" w14:textId="7131A0DE" w:rsidR="00B463CC" w:rsidRPr="00A052C4" w:rsidRDefault="34F65F5C" w:rsidP="0A2D7124">
      <w:pPr>
        <w:pStyle w:val="Caption"/>
        <w:keepNext/>
        <w:spacing w:after="0"/>
        <w:jc w:val="left"/>
        <w:rPr>
          <w:i w:val="0"/>
          <w:iCs w:val="0"/>
          <w:color w:val="auto"/>
          <w:sz w:val="22"/>
          <w:szCs w:val="22"/>
        </w:rPr>
      </w:pPr>
      <w:bookmarkStart w:id="11" w:name="_Ref109558067"/>
      <w:bookmarkStart w:id="12" w:name="_Ref109558055"/>
      <w:r w:rsidRPr="0A2D7124">
        <w:rPr>
          <w:i w:val="0"/>
          <w:iCs w:val="0"/>
          <w:color w:val="auto"/>
          <w:sz w:val="22"/>
          <w:szCs w:val="22"/>
        </w:rPr>
        <w:t>Table 3</w:t>
      </w:r>
      <w:bookmarkEnd w:id="11"/>
      <w:r w:rsidRPr="0A2D7124">
        <w:rPr>
          <w:i w:val="0"/>
          <w:iCs w:val="0"/>
          <w:color w:val="auto"/>
          <w:sz w:val="22"/>
          <w:szCs w:val="22"/>
        </w:rPr>
        <w:t>. Summary statistics of the calibration and validation performance of the SWAT model.</w:t>
      </w:r>
      <w:bookmarkEnd w:id="12"/>
    </w:p>
    <w:tbl>
      <w:tblPr>
        <w:tblStyle w:val="TableGrid"/>
        <w:tblW w:w="0" w:type="auto"/>
        <w:tblInd w:w="0" w:type="dxa"/>
        <w:tblLook w:val="04A0" w:firstRow="1" w:lastRow="0" w:firstColumn="1" w:lastColumn="0" w:noHBand="0" w:noVBand="1"/>
      </w:tblPr>
      <w:tblGrid>
        <w:gridCol w:w="1614"/>
        <w:gridCol w:w="1824"/>
        <w:gridCol w:w="1737"/>
        <w:gridCol w:w="1491"/>
        <w:gridCol w:w="1288"/>
        <w:gridCol w:w="1288"/>
      </w:tblGrid>
      <w:tr w:rsidR="00B463CC" w:rsidRPr="00A052C4" w14:paraId="7E5FB80E" w14:textId="77777777" w:rsidTr="20596ED7">
        <w:tc>
          <w:tcPr>
            <w:tcW w:w="9242" w:type="dxa"/>
            <w:gridSpan w:val="6"/>
            <w:shd w:val="clear" w:color="auto" w:fill="1E8BCD"/>
            <w:vAlign w:val="center"/>
          </w:tcPr>
          <w:p w14:paraId="763C3239" w14:textId="77777777" w:rsidR="00B463CC" w:rsidRPr="00A052C4" w:rsidRDefault="56287816" w:rsidP="20596ED7">
            <w:pPr>
              <w:autoSpaceDE w:val="0"/>
              <w:autoSpaceDN w:val="0"/>
              <w:adjustRightInd w:val="0"/>
              <w:jc w:val="center"/>
              <w:rPr>
                <w:rFonts w:cs="AdvTT3713a231"/>
                <w:b/>
                <w:bCs/>
                <w:color w:val="FFFFFF" w:themeColor="background1"/>
              </w:rPr>
            </w:pPr>
            <w:r w:rsidRPr="20596ED7">
              <w:rPr>
                <w:rFonts w:cs="AdvTT3713a231"/>
                <w:b/>
                <w:bCs/>
                <w:color w:val="FFFFFF" w:themeColor="background1"/>
              </w:rPr>
              <w:t>Statistical Indices</w:t>
            </w:r>
          </w:p>
        </w:tc>
      </w:tr>
      <w:tr w:rsidR="00B463CC" w:rsidRPr="00A052C4" w14:paraId="1A2B4D5A" w14:textId="77777777" w:rsidTr="20596ED7">
        <w:tc>
          <w:tcPr>
            <w:tcW w:w="9242" w:type="dxa"/>
            <w:gridSpan w:val="6"/>
            <w:vAlign w:val="center"/>
          </w:tcPr>
          <w:p w14:paraId="59EF327B" w14:textId="77777777" w:rsidR="121AB3DC" w:rsidRDefault="56287816" w:rsidP="20596ED7">
            <w:pPr>
              <w:rPr>
                <w:rFonts w:cs="AdvTT3713a231"/>
                <w:b/>
                <w:bCs/>
                <w:color w:val="131413"/>
              </w:rPr>
            </w:pPr>
            <w:r w:rsidRPr="20596ED7">
              <w:rPr>
                <w:rFonts w:cs="AdvTT3713a231"/>
                <w:b/>
                <w:bCs/>
                <w:color w:val="131413"/>
              </w:rPr>
              <w:t>Flow Discharge</w:t>
            </w:r>
          </w:p>
        </w:tc>
      </w:tr>
      <w:tr w:rsidR="00B463CC" w:rsidRPr="00A052C4" w14:paraId="6E3A040F" w14:textId="77777777" w:rsidTr="20596ED7">
        <w:tc>
          <w:tcPr>
            <w:tcW w:w="1614" w:type="dxa"/>
            <w:vAlign w:val="center"/>
          </w:tcPr>
          <w:p w14:paraId="0A43438D" w14:textId="77777777" w:rsidR="00B463CC" w:rsidRPr="00A052C4" w:rsidRDefault="121AB3DC" w:rsidP="2FA20DD9">
            <w:pPr>
              <w:autoSpaceDE w:val="0"/>
              <w:autoSpaceDN w:val="0"/>
              <w:adjustRightInd w:val="0"/>
              <w:jc w:val="center"/>
              <w:rPr>
                <w:rFonts w:cs="AdvTT3713a231"/>
                <w:color w:val="131413"/>
              </w:rPr>
            </w:pPr>
            <w:r w:rsidRPr="2FA20DD9">
              <w:rPr>
                <w:rFonts w:cs="AdvTT3713a231"/>
                <w:color w:val="131413"/>
              </w:rPr>
              <w:lastRenderedPageBreak/>
              <w:t>Method</w:t>
            </w:r>
          </w:p>
        </w:tc>
        <w:tc>
          <w:tcPr>
            <w:tcW w:w="1824" w:type="dxa"/>
          </w:tcPr>
          <w:p w14:paraId="51832122" w14:textId="77777777" w:rsidR="00B463CC" w:rsidRPr="00A052C4" w:rsidRDefault="121AB3DC" w:rsidP="2FA20DD9">
            <w:pPr>
              <w:autoSpaceDE w:val="0"/>
              <w:autoSpaceDN w:val="0"/>
              <w:adjustRightInd w:val="0"/>
              <w:rPr>
                <w:rFonts w:cs="AdvTT3713a231"/>
                <w:color w:val="131413"/>
              </w:rPr>
            </w:pPr>
            <w:r w:rsidRPr="2FA20DD9">
              <w:rPr>
                <w:rFonts w:cs="AdvTT3713a231"/>
                <w:color w:val="131413"/>
              </w:rPr>
              <w:t>R</w:t>
            </w:r>
            <w:r w:rsidRPr="2FA20DD9">
              <w:rPr>
                <w:rFonts w:cs="AdvTT3713a231"/>
                <w:color w:val="131413"/>
                <w:vertAlign w:val="superscript"/>
              </w:rPr>
              <w:t>2</w:t>
            </w:r>
          </w:p>
        </w:tc>
        <w:tc>
          <w:tcPr>
            <w:tcW w:w="1737" w:type="dxa"/>
          </w:tcPr>
          <w:p w14:paraId="2E9AF5EF" w14:textId="77777777" w:rsidR="00B463CC" w:rsidRPr="00A052C4" w:rsidRDefault="121AB3DC" w:rsidP="2FA20DD9">
            <w:pPr>
              <w:autoSpaceDE w:val="0"/>
              <w:autoSpaceDN w:val="0"/>
              <w:adjustRightInd w:val="0"/>
              <w:rPr>
                <w:rFonts w:cs="AdvTT3713a231"/>
                <w:color w:val="131413"/>
              </w:rPr>
            </w:pPr>
            <w:r w:rsidRPr="2FA20DD9">
              <w:rPr>
                <w:rFonts w:cs="AdvTT3713a231"/>
                <w:color w:val="131413"/>
              </w:rPr>
              <w:t>PBIAS</w:t>
            </w:r>
          </w:p>
        </w:tc>
        <w:tc>
          <w:tcPr>
            <w:tcW w:w="1491" w:type="dxa"/>
          </w:tcPr>
          <w:p w14:paraId="09D9B0D6" w14:textId="77777777" w:rsidR="00B463CC" w:rsidRPr="00A052C4" w:rsidRDefault="121AB3DC" w:rsidP="2FA20DD9">
            <w:pPr>
              <w:autoSpaceDE w:val="0"/>
              <w:autoSpaceDN w:val="0"/>
              <w:adjustRightInd w:val="0"/>
              <w:rPr>
                <w:rFonts w:cs="AdvTT3713a231"/>
                <w:color w:val="131413"/>
              </w:rPr>
            </w:pPr>
            <w:r w:rsidRPr="2FA20DD9">
              <w:rPr>
                <w:rFonts w:cs="AdvTT3713a231"/>
                <w:color w:val="131413"/>
              </w:rPr>
              <w:t>NSE</w:t>
            </w:r>
          </w:p>
        </w:tc>
        <w:tc>
          <w:tcPr>
            <w:tcW w:w="1288" w:type="dxa"/>
          </w:tcPr>
          <w:p w14:paraId="7F61C181" w14:textId="77777777" w:rsidR="00B463CC" w:rsidRPr="00A052C4" w:rsidRDefault="121AB3DC" w:rsidP="2FA20DD9">
            <w:pPr>
              <w:autoSpaceDE w:val="0"/>
              <w:autoSpaceDN w:val="0"/>
              <w:adjustRightInd w:val="0"/>
              <w:rPr>
                <w:rFonts w:cs="AdvTT3713a231"/>
                <w:color w:val="131413"/>
              </w:rPr>
            </w:pPr>
            <w:r w:rsidRPr="2FA20DD9">
              <w:rPr>
                <w:rFonts w:cs="AdvTT3713a231"/>
                <w:color w:val="131413"/>
              </w:rPr>
              <w:t>P-</w:t>
            </w:r>
            <w:r w:rsidRPr="2FA20DD9">
              <w:rPr>
                <w:rFonts w:cs="AdvTT3713a231"/>
                <w:i/>
                <w:iCs/>
                <w:color w:val="131413"/>
              </w:rPr>
              <w:t>factor</w:t>
            </w:r>
          </w:p>
        </w:tc>
        <w:tc>
          <w:tcPr>
            <w:tcW w:w="1288" w:type="dxa"/>
          </w:tcPr>
          <w:p w14:paraId="644961CE" w14:textId="77777777" w:rsidR="00B463CC" w:rsidRPr="00A052C4" w:rsidRDefault="121AB3DC" w:rsidP="2FA20DD9">
            <w:pPr>
              <w:autoSpaceDE w:val="0"/>
              <w:autoSpaceDN w:val="0"/>
              <w:adjustRightInd w:val="0"/>
              <w:rPr>
                <w:rFonts w:cs="AdvTT3713a231"/>
                <w:color w:val="131413"/>
              </w:rPr>
            </w:pPr>
            <w:r w:rsidRPr="2FA20DD9">
              <w:rPr>
                <w:rFonts w:cs="AdvTT3713a231"/>
                <w:color w:val="131413"/>
              </w:rPr>
              <w:t>R-</w:t>
            </w:r>
            <w:r w:rsidRPr="2FA20DD9">
              <w:rPr>
                <w:rFonts w:cs="AdvTT3713a231"/>
                <w:i/>
                <w:iCs/>
                <w:color w:val="131413"/>
              </w:rPr>
              <w:t>factor</w:t>
            </w:r>
          </w:p>
        </w:tc>
      </w:tr>
      <w:tr w:rsidR="00B463CC" w:rsidRPr="00A052C4" w14:paraId="2F8FEEA6" w14:textId="77777777" w:rsidTr="20596ED7">
        <w:tc>
          <w:tcPr>
            <w:tcW w:w="1614" w:type="dxa"/>
            <w:vAlign w:val="center"/>
          </w:tcPr>
          <w:p w14:paraId="42BAA6B0" w14:textId="77777777" w:rsidR="00B463CC" w:rsidRPr="00A052C4" w:rsidRDefault="121AB3DC" w:rsidP="2FA20DD9">
            <w:pPr>
              <w:autoSpaceDE w:val="0"/>
              <w:autoSpaceDN w:val="0"/>
              <w:adjustRightInd w:val="0"/>
              <w:jc w:val="center"/>
              <w:rPr>
                <w:rFonts w:cs="AdvTT3713a231"/>
                <w:color w:val="131413"/>
              </w:rPr>
            </w:pPr>
            <w:r w:rsidRPr="2FA20DD9">
              <w:rPr>
                <w:rFonts w:cs="AdvTT3713a231"/>
                <w:color w:val="131413"/>
              </w:rPr>
              <w:t>Calibration</w:t>
            </w:r>
          </w:p>
        </w:tc>
        <w:tc>
          <w:tcPr>
            <w:tcW w:w="1824" w:type="dxa"/>
          </w:tcPr>
          <w:p w14:paraId="0D9995DE" w14:textId="77777777" w:rsidR="00B463CC" w:rsidRPr="00A052C4" w:rsidRDefault="121AB3DC" w:rsidP="2FA20DD9">
            <w:pPr>
              <w:autoSpaceDE w:val="0"/>
              <w:autoSpaceDN w:val="0"/>
              <w:adjustRightInd w:val="0"/>
              <w:rPr>
                <w:rFonts w:cs="AdvTT3713a231"/>
                <w:color w:val="131413"/>
              </w:rPr>
            </w:pPr>
            <w:r w:rsidRPr="2FA20DD9">
              <w:rPr>
                <w:rFonts w:cs="AdvTT3713a231"/>
                <w:color w:val="131413"/>
              </w:rPr>
              <w:t>0.885</w:t>
            </w:r>
          </w:p>
        </w:tc>
        <w:tc>
          <w:tcPr>
            <w:tcW w:w="1737" w:type="dxa"/>
          </w:tcPr>
          <w:p w14:paraId="581716A7" w14:textId="77777777" w:rsidR="00B463CC" w:rsidRPr="00A052C4" w:rsidRDefault="121AB3DC" w:rsidP="2FA20DD9">
            <w:pPr>
              <w:autoSpaceDE w:val="0"/>
              <w:autoSpaceDN w:val="0"/>
              <w:adjustRightInd w:val="0"/>
              <w:rPr>
                <w:rFonts w:cs="AdvTT3713a231"/>
                <w:color w:val="131413"/>
              </w:rPr>
            </w:pPr>
            <w:r w:rsidRPr="2FA20DD9">
              <w:rPr>
                <w:rFonts w:cs="AdvTT3713a231"/>
                <w:color w:val="131413"/>
              </w:rPr>
              <w:t>-0.251</w:t>
            </w:r>
          </w:p>
        </w:tc>
        <w:tc>
          <w:tcPr>
            <w:tcW w:w="1491" w:type="dxa"/>
          </w:tcPr>
          <w:p w14:paraId="08CCD691" w14:textId="77777777" w:rsidR="00B463CC" w:rsidRPr="00A052C4" w:rsidRDefault="121AB3DC" w:rsidP="2FA20DD9">
            <w:pPr>
              <w:autoSpaceDE w:val="0"/>
              <w:autoSpaceDN w:val="0"/>
              <w:adjustRightInd w:val="0"/>
              <w:rPr>
                <w:rFonts w:cs="AdvTT3713a231"/>
                <w:color w:val="131413"/>
              </w:rPr>
            </w:pPr>
            <w:r w:rsidRPr="2FA20DD9">
              <w:rPr>
                <w:rFonts w:cs="AdvTT3713a231"/>
                <w:color w:val="131413"/>
              </w:rPr>
              <w:t>0.803</w:t>
            </w:r>
          </w:p>
        </w:tc>
        <w:tc>
          <w:tcPr>
            <w:tcW w:w="1288" w:type="dxa"/>
          </w:tcPr>
          <w:p w14:paraId="3550409C" w14:textId="2C7CAA7A" w:rsidR="00B463CC" w:rsidRPr="00A052C4" w:rsidRDefault="175FF674" w:rsidP="2FA20DD9">
            <w:pPr>
              <w:autoSpaceDE w:val="0"/>
              <w:autoSpaceDN w:val="0"/>
              <w:adjustRightInd w:val="0"/>
              <w:rPr>
                <w:rFonts w:cs="AdvTT3713a231"/>
                <w:color w:val="131413"/>
              </w:rPr>
            </w:pPr>
            <w:r w:rsidRPr="54EDA8BF">
              <w:rPr>
                <w:rFonts w:cs="AdvTT3713a231"/>
                <w:color w:val="131413"/>
              </w:rPr>
              <w:t>0.640</w:t>
            </w:r>
          </w:p>
        </w:tc>
        <w:tc>
          <w:tcPr>
            <w:tcW w:w="1288" w:type="dxa"/>
          </w:tcPr>
          <w:p w14:paraId="62CB6288" w14:textId="77777777" w:rsidR="00B463CC" w:rsidRPr="00A052C4" w:rsidRDefault="121AB3DC" w:rsidP="2FA20DD9">
            <w:pPr>
              <w:autoSpaceDE w:val="0"/>
              <w:autoSpaceDN w:val="0"/>
              <w:adjustRightInd w:val="0"/>
              <w:rPr>
                <w:rFonts w:cs="AdvTT3713a231"/>
                <w:color w:val="131413"/>
              </w:rPr>
            </w:pPr>
            <w:r w:rsidRPr="2FA20DD9">
              <w:rPr>
                <w:rFonts w:cs="AdvTT3713a231"/>
                <w:color w:val="131413"/>
              </w:rPr>
              <w:t>0.763</w:t>
            </w:r>
          </w:p>
        </w:tc>
      </w:tr>
      <w:tr w:rsidR="00B463CC" w:rsidRPr="00A052C4" w14:paraId="3FCD1982" w14:textId="77777777" w:rsidTr="20596ED7">
        <w:tc>
          <w:tcPr>
            <w:tcW w:w="1614" w:type="dxa"/>
            <w:vAlign w:val="center"/>
          </w:tcPr>
          <w:p w14:paraId="3FC317B8" w14:textId="77777777" w:rsidR="00B463CC" w:rsidRPr="00A052C4" w:rsidRDefault="121AB3DC" w:rsidP="2FA20DD9">
            <w:pPr>
              <w:autoSpaceDE w:val="0"/>
              <w:autoSpaceDN w:val="0"/>
              <w:adjustRightInd w:val="0"/>
              <w:jc w:val="center"/>
              <w:rPr>
                <w:rFonts w:cs="AdvTT3713a231"/>
                <w:color w:val="131413"/>
              </w:rPr>
            </w:pPr>
            <w:r w:rsidRPr="2FA20DD9">
              <w:rPr>
                <w:rFonts w:cs="AdvTT3713a231"/>
                <w:color w:val="131413"/>
              </w:rPr>
              <w:t>Validation</w:t>
            </w:r>
          </w:p>
        </w:tc>
        <w:tc>
          <w:tcPr>
            <w:tcW w:w="1824" w:type="dxa"/>
          </w:tcPr>
          <w:p w14:paraId="3A71B746" w14:textId="77777777" w:rsidR="00B463CC" w:rsidRPr="00A052C4" w:rsidRDefault="121AB3DC" w:rsidP="2FA20DD9">
            <w:pPr>
              <w:autoSpaceDE w:val="0"/>
              <w:autoSpaceDN w:val="0"/>
              <w:adjustRightInd w:val="0"/>
              <w:rPr>
                <w:rFonts w:cs="AdvTT3713a231"/>
                <w:color w:val="131413"/>
              </w:rPr>
            </w:pPr>
            <w:r w:rsidRPr="2FA20DD9">
              <w:rPr>
                <w:rFonts w:cs="AdvTT3713a231"/>
                <w:color w:val="131413"/>
              </w:rPr>
              <w:t>0.911</w:t>
            </w:r>
          </w:p>
        </w:tc>
        <w:tc>
          <w:tcPr>
            <w:tcW w:w="1737" w:type="dxa"/>
          </w:tcPr>
          <w:p w14:paraId="3790D292" w14:textId="77777777" w:rsidR="00B463CC" w:rsidRPr="00A052C4" w:rsidRDefault="121AB3DC" w:rsidP="2FA20DD9">
            <w:pPr>
              <w:autoSpaceDE w:val="0"/>
              <w:autoSpaceDN w:val="0"/>
              <w:adjustRightInd w:val="0"/>
              <w:rPr>
                <w:rFonts w:cs="AdvTT3713a231"/>
                <w:color w:val="131413"/>
              </w:rPr>
            </w:pPr>
            <w:r w:rsidRPr="2FA20DD9">
              <w:rPr>
                <w:rFonts w:cs="AdvTT3713a231"/>
                <w:color w:val="131413"/>
              </w:rPr>
              <w:t>-0.190</w:t>
            </w:r>
          </w:p>
        </w:tc>
        <w:tc>
          <w:tcPr>
            <w:tcW w:w="1491" w:type="dxa"/>
          </w:tcPr>
          <w:p w14:paraId="49EAF238" w14:textId="77777777" w:rsidR="00B463CC" w:rsidRPr="00A052C4" w:rsidRDefault="121AB3DC" w:rsidP="2FA20DD9">
            <w:pPr>
              <w:autoSpaceDE w:val="0"/>
              <w:autoSpaceDN w:val="0"/>
              <w:adjustRightInd w:val="0"/>
              <w:rPr>
                <w:rFonts w:cs="AdvTT3713a231"/>
                <w:color w:val="131413"/>
              </w:rPr>
            </w:pPr>
            <w:r w:rsidRPr="2FA20DD9">
              <w:rPr>
                <w:rFonts w:cs="AdvTT3713a231"/>
                <w:color w:val="131413"/>
              </w:rPr>
              <w:t>0.854</w:t>
            </w:r>
          </w:p>
        </w:tc>
        <w:tc>
          <w:tcPr>
            <w:tcW w:w="1288" w:type="dxa"/>
          </w:tcPr>
          <w:p w14:paraId="555B3D9C" w14:textId="55DE039E" w:rsidR="00B463CC" w:rsidRPr="00A052C4" w:rsidRDefault="175FF674" w:rsidP="2FA20DD9">
            <w:pPr>
              <w:autoSpaceDE w:val="0"/>
              <w:autoSpaceDN w:val="0"/>
              <w:adjustRightInd w:val="0"/>
              <w:rPr>
                <w:rFonts w:cs="AdvTT3713a231"/>
                <w:color w:val="131413"/>
              </w:rPr>
            </w:pPr>
            <w:r w:rsidRPr="54EDA8BF">
              <w:rPr>
                <w:rFonts w:cs="AdvTT3713a231"/>
                <w:color w:val="131413"/>
              </w:rPr>
              <w:t>0.590</w:t>
            </w:r>
          </w:p>
        </w:tc>
        <w:tc>
          <w:tcPr>
            <w:tcW w:w="1288" w:type="dxa"/>
          </w:tcPr>
          <w:p w14:paraId="28577FC3" w14:textId="77777777" w:rsidR="00B463CC" w:rsidRPr="00A052C4" w:rsidRDefault="121AB3DC" w:rsidP="2FA20DD9">
            <w:pPr>
              <w:autoSpaceDE w:val="0"/>
              <w:autoSpaceDN w:val="0"/>
              <w:adjustRightInd w:val="0"/>
              <w:rPr>
                <w:rFonts w:cs="AdvTT3713a231"/>
                <w:color w:val="131413"/>
              </w:rPr>
            </w:pPr>
            <w:r w:rsidRPr="2FA20DD9">
              <w:rPr>
                <w:rFonts w:cs="AdvTT3713a231"/>
                <w:color w:val="131413"/>
              </w:rPr>
              <w:t>0.742</w:t>
            </w:r>
          </w:p>
        </w:tc>
      </w:tr>
      <w:tr w:rsidR="00B463CC" w:rsidRPr="00A052C4" w14:paraId="69FBA199" w14:textId="77777777" w:rsidTr="20596ED7">
        <w:tc>
          <w:tcPr>
            <w:tcW w:w="9242" w:type="dxa"/>
            <w:gridSpan w:val="6"/>
          </w:tcPr>
          <w:p w14:paraId="3A585683" w14:textId="77777777" w:rsidR="00B463CC" w:rsidRPr="00A052C4" w:rsidRDefault="56287816" w:rsidP="20596ED7">
            <w:pPr>
              <w:autoSpaceDE w:val="0"/>
              <w:autoSpaceDN w:val="0"/>
              <w:adjustRightInd w:val="0"/>
              <w:rPr>
                <w:rFonts w:cs="AdvTT3713a231"/>
                <w:b/>
                <w:bCs/>
                <w:color w:val="131413"/>
              </w:rPr>
            </w:pPr>
            <w:r w:rsidRPr="20596ED7">
              <w:rPr>
                <w:rFonts w:cs="AdvTT3713a231"/>
                <w:b/>
                <w:bCs/>
                <w:color w:val="131413"/>
              </w:rPr>
              <w:t>Total Suspended Sediments</w:t>
            </w:r>
          </w:p>
        </w:tc>
      </w:tr>
      <w:tr w:rsidR="00B463CC" w:rsidRPr="00A052C4" w14:paraId="34843309" w14:textId="77777777" w:rsidTr="20596ED7">
        <w:tc>
          <w:tcPr>
            <w:tcW w:w="1614" w:type="dxa"/>
          </w:tcPr>
          <w:p w14:paraId="75736BC1" w14:textId="77777777" w:rsidR="00B463CC" w:rsidRPr="00A052C4" w:rsidRDefault="121AB3DC" w:rsidP="2FA20DD9">
            <w:pPr>
              <w:autoSpaceDE w:val="0"/>
              <w:autoSpaceDN w:val="0"/>
              <w:adjustRightInd w:val="0"/>
              <w:rPr>
                <w:rFonts w:cs="AdvTT3713a231"/>
                <w:color w:val="131413"/>
              </w:rPr>
            </w:pPr>
            <w:r w:rsidRPr="2FA20DD9">
              <w:rPr>
                <w:rFonts w:cs="AdvTT3713a231"/>
                <w:color w:val="131413"/>
              </w:rPr>
              <w:t xml:space="preserve">Calibration </w:t>
            </w:r>
          </w:p>
        </w:tc>
        <w:tc>
          <w:tcPr>
            <w:tcW w:w="1824" w:type="dxa"/>
          </w:tcPr>
          <w:p w14:paraId="67F9D102" w14:textId="77777777" w:rsidR="00B463CC" w:rsidRPr="00A052C4" w:rsidRDefault="121AB3DC" w:rsidP="2FA20DD9">
            <w:pPr>
              <w:autoSpaceDE w:val="0"/>
              <w:autoSpaceDN w:val="0"/>
              <w:adjustRightInd w:val="0"/>
              <w:rPr>
                <w:rFonts w:cs="AdvTT3713a231"/>
                <w:color w:val="131413"/>
              </w:rPr>
            </w:pPr>
            <w:r w:rsidRPr="2FA20DD9">
              <w:rPr>
                <w:rFonts w:cs="AdvTT3713a231"/>
                <w:color w:val="131413"/>
              </w:rPr>
              <w:t>0.856</w:t>
            </w:r>
          </w:p>
        </w:tc>
        <w:tc>
          <w:tcPr>
            <w:tcW w:w="1737" w:type="dxa"/>
          </w:tcPr>
          <w:p w14:paraId="75D42A57" w14:textId="77777777" w:rsidR="00B463CC" w:rsidRPr="00A052C4" w:rsidRDefault="121AB3DC" w:rsidP="2FA20DD9">
            <w:pPr>
              <w:autoSpaceDE w:val="0"/>
              <w:autoSpaceDN w:val="0"/>
              <w:adjustRightInd w:val="0"/>
              <w:rPr>
                <w:rFonts w:cs="AdvTT3713a231"/>
                <w:color w:val="131413"/>
              </w:rPr>
            </w:pPr>
            <w:r w:rsidRPr="2FA20DD9">
              <w:rPr>
                <w:rFonts w:cs="AdvTT3713a231"/>
                <w:color w:val="131413"/>
              </w:rPr>
              <w:t>-0.320</w:t>
            </w:r>
          </w:p>
        </w:tc>
        <w:tc>
          <w:tcPr>
            <w:tcW w:w="1491" w:type="dxa"/>
          </w:tcPr>
          <w:p w14:paraId="67694C08" w14:textId="77777777" w:rsidR="00B463CC" w:rsidRPr="00A052C4" w:rsidRDefault="121AB3DC" w:rsidP="2FA20DD9">
            <w:pPr>
              <w:autoSpaceDE w:val="0"/>
              <w:autoSpaceDN w:val="0"/>
              <w:adjustRightInd w:val="0"/>
              <w:rPr>
                <w:rFonts w:cs="AdvTT3713a231"/>
                <w:color w:val="131413"/>
              </w:rPr>
            </w:pPr>
            <w:r w:rsidRPr="2FA20DD9">
              <w:rPr>
                <w:rFonts w:cs="AdvTT3713a231"/>
                <w:color w:val="131413"/>
              </w:rPr>
              <w:t>0.763</w:t>
            </w:r>
          </w:p>
        </w:tc>
        <w:tc>
          <w:tcPr>
            <w:tcW w:w="1288" w:type="dxa"/>
          </w:tcPr>
          <w:p w14:paraId="4D96B5A2" w14:textId="32B024C4" w:rsidR="00B463CC" w:rsidRPr="00A052C4" w:rsidRDefault="175FF674" w:rsidP="2FA20DD9">
            <w:pPr>
              <w:autoSpaceDE w:val="0"/>
              <w:autoSpaceDN w:val="0"/>
              <w:adjustRightInd w:val="0"/>
              <w:rPr>
                <w:rFonts w:cs="AdvTT3713a231"/>
                <w:color w:val="131413"/>
              </w:rPr>
            </w:pPr>
            <w:r w:rsidRPr="54EDA8BF">
              <w:rPr>
                <w:rFonts w:cs="AdvTT3713a231"/>
                <w:color w:val="131413"/>
              </w:rPr>
              <w:t>0.660</w:t>
            </w:r>
          </w:p>
        </w:tc>
        <w:tc>
          <w:tcPr>
            <w:tcW w:w="1288" w:type="dxa"/>
          </w:tcPr>
          <w:p w14:paraId="29C2E2D1" w14:textId="77777777" w:rsidR="00B463CC" w:rsidRPr="00A052C4" w:rsidRDefault="121AB3DC" w:rsidP="2FA20DD9">
            <w:pPr>
              <w:autoSpaceDE w:val="0"/>
              <w:autoSpaceDN w:val="0"/>
              <w:adjustRightInd w:val="0"/>
              <w:rPr>
                <w:rFonts w:cs="AdvTT3713a231"/>
                <w:color w:val="131413"/>
              </w:rPr>
            </w:pPr>
            <w:r w:rsidRPr="2FA20DD9">
              <w:rPr>
                <w:rFonts w:cs="AdvTT3713a231"/>
                <w:color w:val="131413"/>
              </w:rPr>
              <w:t>0.682</w:t>
            </w:r>
          </w:p>
        </w:tc>
      </w:tr>
      <w:tr w:rsidR="00B463CC" w:rsidRPr="00A052C4" w14:paraId="730283B5" w14:textId="77777777" w:rsidTr="20596ED7">
        <w:tc>
          <w:tcPr>
            <w:tcW w:w="1614" w:type="dxa"/>
          </w:tcPr>
          <w:p w14:paraId="4EA6A235" w14:textId="77777777" w:rsidR="00B463CC" w:rsidRPr="00A052C4" w:rsidRDefault="121AB3DC" w:rsidP="2FA20DD9">
            <w:pPr>
              <w:autoSpaceDE w:val="0"/>
              <w:autoSpaceDN w:val="0"/>
              <w:adjustRightInd w:val="0"/>
              <w:rPr>
                <w:rFonts w:cs="AdvTT3713a231"/>
                <w:color w:val="131413"/>
              </w:rPr>
            </w:pPr>
            <w:r w:rsidRPr="2FA20DD9">
              <w:rPr>
                <w:rFonts w:cs="AdvTT3713a231"/>
                <w:color w:val="131413"/>
              </w:rPr>
              <w:t>Validation</w:t>
            </w:r>
          </w:p>
        </w:tc>
        <w:tc>
          <w:tcPr>
            <w:tcW w:w="1824" w:type="dxa"/>
          </w:tcPr>
          <w:p w14:paraId="69A99F19" w14:textId="77777777" w:rsidR="00B463CC" w:rsidRPr="00A052C4" w:rsidRDefault="121AB3DC" w:rsidP="2FA20DD9">
            <w:pPr>
              <w:autoSpaceDE w:val="0"/>
              <w:autoSpaceDN w:val="0"/>
              <w:adjustRightInd w:val="0"/>
              <w:rPr>
                <w:rFonts w:cs="AdvTT3713a231"/>
                <w:color w:val="131413"/>
              </w:rPr>
            </w:pPr>
            <w:r w:rsidRPr="2FA20DD9">
              <w:rPr>
                <w:rFonts w:cs="AdvTT3713a231"/>
                <w:color w:val="131413"/>
              </w:rPr>
              <w:t>0.928</w:t>
            </w:r>
          </w:p>
        </w:tc>
        <w:tc>
          <w:tcPr>
            <w:tcW w:w="1737" w:type="dxa"/>
          </w:tcPr>
          <w:p w14:paraId="2B4965BD" w14:textId="77777777" w:rsidR="00B463CC" w:rsidRPr="00A052C4" w:rsidRDefault="121AB3DC" w:rsidP="2FA20DD9">
            <w:pPr>
              <w:autoSpaceDE w:val="0"/>
              <w:autoSpaceDN w:val="0"/>
              <w:adjustRightInd w:val="0"/>
              <w:rPr>
                <w:rFonts w:cs="AdvTT3713a231"/>
                <w:color w:val="131413"/>
              </w:rPr>
            </w:pPr>
            <w:r w:rsidRPr="2FA20DD9">
              <w:rPr>
                <w:rFonts w:cs="AdvTT3713a231"/>
                <w:color w:val="131413"/>
              </w:rPr>
              <w:t>-0.401</w:t>
            </w:r>
          </w:p>
        </w:tc>
        <w:tc>
          <w:tcPr>
            <w:tcW w:w="1491" w:type="dxa"/>
          </w:tcPr>
          <w:p w14:paraId="39D0CD77" w14:textId="77777777" w:rsidR="00B463CC" w:rsidRPr="00A052C4" w:rsidRDefault="121AB3DC" w:rsidP="2FA20DD9">
            <w:pPr>
              <w:autoSpaceDE w:val="0"/>
              <w:autoSpaceDN w:val="0"/>
              <w:adjustRightInd w:val="0"/>
              <w:rPr>
                <w:rFonts w:cs="AdvTT3713a231"/>
                <w:color w:val="131413"/>
              </w:rPr>
            </w:pPr>
            <w:r w:rsidRPr="2FA20DD9">
              <w:rPr>
                <w:rFonts w:cs="AdvTT3713a231"/>
                <w:color w:val="131413"/>
              </w:rPr>
              <w:t>0.715</w:t>
            </w:r>
          </w:p>
        </w:tc>
        <w:tc>
          <w:tcPr>
            <w:tcW w:w="1288" w:type="dxa"/>
          </w:tcPr>
          <w:p w14:paraId="1A6724DA" w14:textId="139C58B4" w:rsidR="00B463CC" w:rsidRPr="00A052C4" w:rsidRDefault="175FF674" w:rsidP="2FA20DD9">
            <w:pPr>
              <w:autoSpaceDE w:val="0"/>
              <w:autoSpaceDN w:val="0"/>
              <w:adjustRightInd w:val="0"/>
              <w:rPr>
                <w:rFonts w:cs="AdvTT3713a231"/>
                <w:color w:val="131413"/>
              </w:rPr>
            </w:pPr>
            <w:r w:rsidRPr="54EDA8BF">
              <w:rPr>
                <w:rFonts w:cs="AdvTT3713a231"/>
                <w:color w:val="131413"/>
              </w:rPr>
              <w:t>0.620</w:t>
            </w:r>
          </w:p>
        </w:tc>
        <w:tc>
          <w:tcPr>
            <w:tcW w:w="1288" w:type="dxa"/>
          </w:tcPr>
          <w:p w14:paraId="01FD71C7" w14:textId="77777777" w:rsidR="00B463CC" w:rsidRPr="00A052C4" w:rsidRDefault="121AB3DC" w:rsidP="2FA20DD9">
            <w:pPr>
              <w:autoSpaceDE w:val="0"/>
              <w:autoSpaceDN w:val="0"/>
              <w:adjustRightInd w:val="0"/>
              <w:rPr>
                <w:rFonts w:cs="AdvTT3713a231"/>
                <w:color w:val="131413"/>
              </w:rPr>
            </w:pPr>
            <w:r w:rsidRPr="2FA20DD9">
              <w:rPr>
                <w:rFonts w:cs="AdvTT3713a231"/>
                <w:color w:val="131413"/>
              </w:rPr>
              <w:t>0.630</w:t>
            </w:r>
          </w:p>
        </w:tc>
      </w:tr>
    </w:tbl>
    <w:p w14:paraId="42839B3C" w14:textId="77777777" w:rsidR="00B463CC" w:rsidRPr="00613B17" w:rsidRDefault="00B463CC" w:rsidP="31CE712C">
      <w:pPr>
        <w:autoSpaceDE w:val="0"/>
        <w:autoSpaceDN w:val="0"/>
        <w:adjustRightInd w:val="0"/>
        <w:spacing w:after="0" w:line="240" w:lineRule="auto"/>
        <w:jc w:val="left"/>
        <w:rPr>
          <w:rFonts w:cs="AdvTT3713a231"/>
          <w:color w:val="131413"/>
        </w:rPr>
      </w:pPr>
    </w:p>
    <w:p w14:paraId="0A43D4B9" w14:textId="3456F25B" w:rsidR="00B463CC" w:rsidRPr="00984427" w:rsidRDefault="00D284EC" w:rsidP="54EDA8BF">
      <w:pPr>
        <w:keepNext/>
        <w:autoSpaceDE w:val="0"/>
        <w:autoSpaceDN w:val="0"/>
        <w:adjustRightInd w:val="0"/>
        <w:spacing w:after="0" w:line="240" w:lineRule="auto"/>
        <w:jc w:val="left"/>
        <w:rPr>
          <w:rFonts w:cs="AdvTT3713a231"/>
          <w:color w:val="131413"/>
        </w:rPr>
      </w:pPr>
      <w:r w:rsidRPr="31CE712C">
        <w:rPr>
          <w:rFonts w:cs="AdvTT3713a231"/>
          <w:color w:val="131413"/>
        </w:rPr>
        <w:t xml:space="preserve">Appendix C </w:t>
      </w:r>
      <w:r w:rsidR="28BF511D" w:rsidRPr="31CE712C">
        <w:rPr>
          <w:rFonts w:cs="AdvTT3713a231"/>
          <w:color w:val="131413"/>
        </w:rPr>
        <w:t>shows</w:t>
      </w:r>
      <w:r w:rsidRPr="31CE712C">
        <w:rPr>
          <w:rFonts w:cs="AdvTT3713a231"/>
          <w:color w:val="131413"/>
        </w:rPr>
        <w:t xml:space="preserve"> a clear consistency between the observed and simulated TSS values (Figure C1).</w:t>
      </w:r>
      <w:r w:rsidR="39A5C844" w:rsidRPr="31CE712C">
        <w:rPr>
          <w:rFonts w:cs="AdvTT3713a231"/>
          <w:color w:val="131413"/>
        </w:rPr>
        <w:t xml:space="preserve"> </w:t>
      </w:r>
      <w:r w:rsidRPr="31CE712C">
        <w:rPr>
          <w:rFonts w:cs="AdvTT3713a231"/>
          <w:color w:val="131413"/>
        </w:rPr>
        <w:t xml:space="preserve">Table 3 as shown above indicates the statistical indices between the observed and simulated TSS. Though the monthly simulated and observed TSS were similar, from the graph it shows that the observed TSS was overestimated (Figure D1). This difference may be due to few observed suspended sediments data having the same values recorded. </w:t>
      </w:r>
    </w:p>
    <w:p w14:paraId="6744794C" w14:textId="0F67F02E" w:rsidR="00B463CC" w:rsidRDefault="00B463CC" w:rsidP="31CE712C">
      <w:pPr>
        <w:autoSpaceDE w:val="0"/>
        <w:autoSpaceDN w:val="0"/>
        <w:adjustRightInd w:val="0"/>
        <w:spacing w:after="0" w:line="240" w:lineRule="auto"/>
        <w:jc w:val="left"/>
      </w:pPr>
    </w:p>
    <w:p w14:paraId="465DB921" w14:textId="066271BE" w:rsidR="00B463CC" w:rsidRPr="004F7DF5" w:rsidRDefault="46E793C0" w:rsidP="54EDA8BF">
      <w:pPr>
        <w:keepNext/>
        <w:spacing w:after="0" w:line="240" w:lineRule="auto"/>
        <w:jc w:val="left"/>
        <w:rPr>
          <w:b/>
          <w:bCs/>
        </w:rPr>
      </w:pPr>
      <w:r w:rsidRPr="13CB051E">
        <w:rPr>
          <w:rFonts w:cs="AdvTT3713a231"/>
          <w:b/>
          <w:bCs/>
          <w:color w:val="131413"/>
        </w:rPr>
        <w:t xml:space="preserve">4.1.2 </w:t>
      </w:r>
      <w:r w:rsidR="6E50CAD7" w:rsidRPr="13CB051E">
        <w:rPr>
          <w:b/>
          <w:bCs/>
        </w:rPr>
        <w:t>Characterizing TSS</w:t>
      </w:r>
    </w:p>
    <w:p w14:paraId="1493F4FE" w14:textId="7E3D02F3" w:rsidR="00B463CC" w:rsidRDefault="6E50CAD7" w:rsidP="6A7FCD73">
      <w:pPr>
        <w:spacing w:after="0" w:line="240" w:lineRule="auto"/>
        <w:jc w:val="left"/>
      </w:pPr>
      <w:r>
        <w:t xml:space="preserve">The TSS were grouped and classified based on each subbasin of the York River watershed. The upstream subbasins of the watershed recorded high TSS yields from 2009–2019. These are attributed to several factors such as the steeper slope and the agricultural land cover in the area. As vegetation covers are displaced for other land use, the soil gets compacted resulting in </w:t>
      </w:r>
      <w:r w:rsidR="6FD0CA9C">
        <w:t xml:space="preserve">an </w:t>
      </w:r>
      <w:r>
        <w:t>increase runoff instead of infiltration which leads to sediments and other nutrients being carried into nearby rivers bodies (Van Oost et al., 2000). Other studies also predict an increase in sediment loads based on intensification of soil erosion as a result of an upward trend of average precipitation (Barrera Crespo et al., 2019;</w:t>
      </w:r>
      <w:r w:rsidR="35463563">
        <w:t xml:space="preserve"> </w:t>
      </w:r>
      <w:r>
        <w:t>Darby et al., 2015; Giardino et al., 2018).</w:t>
      </w:r>
      <w:r w:rsidR="7154F4FC">
        <w:t xml:space="preserve"> </w:t>
      </w:r>
      <w:r>
        <w:t xml:space="preserve">This may however vary from catchments depending on the type of vegetation cover found there. </w:t>
      </w:r>
    </w:p>
    <w:p w14:paraId="20F2D512" w14:textId="27FBC8F0" w:rsidR="13CB051E" w:rsidRDefault="13CB051E" w:rsidP="13CB051E">
      <w:pPr>
        <w:spacing w:after="0"/>
        <w:jc w:val="left"/>
      </w:pPr>
    </w:p>
    <w:p w14:paraId="6681CB05" w14:textId="011E0B73" w:rsidR="13CB051E" w:rsidRDefault="13CB051E" w:rsidP="6A7FCD73">
      <w:pPr>
        <w:spacing w:after="0" w:line="240" w:lineRule="auto"/>
        <w:jc w:val="left"/>
      </w:pPr>
      <w:r>
        <w:t>Across the time period, TSS yields were highest in spring months (March through May), and lower in fall and winter (Figure 6). Across the study period, spikes in TSS yields occurred more frequently in the later years of the model (Figure 7). Some of these spikes correlated with high precipitation caused by hurricanes and tropical storms, but not all (Figure 7).</w:t>
      </w:r>
    </w:p>
    <w:p w14:paraId="0B2A6B20" w14:textId="77777777" w:rsidR="00B463CC" w:rsidRDefault="00B463CC" w:rsidP="31CE712C">
      <w:pPr>
        <w:keepNext/>
        <w:jc w:val="left"/>
      </w:pPr>
      <w:r>
        <w:rPr>
          <w:noProof/>
        </w:rPr>
        <w:lastRenderedPageBreak/>
        <w:drawing>
          <wp:inline distT="0" distB="0" distL="0" distR="0" wp14:anchorId="79ABC847" wp14:editId="59A46482">
            <wp:extent cx="5179304" cy="36208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1175"/>
                    <a:stretch/>
                  </pic:blipFill>
                  <pic:spPr bwMode="auto">
                    <a:xfrm>
                      <a:off x="0" y="0"/>
                      <a:ext cx="5179304" cy="3620808"/>
                    </a:xfrm>
                    <a:prstGeom prst="rect">
                      <a:avLst/>
                    </a:prstGeom>
                    <a:noFill/>
                    <a:ln>
                      <a:noFill/>
                    </a:ln>
                    <a:extLst>
                      <a:ext uri="{53640926-AAD7-44D8-BBD7-CCE9431645EC}">
                        <a14:shadowObscured xmlns:a14="http://schemas.microsoft.com/office/drawing/2010/main"/>
                      </a:ext>
                    </a:extLst>
                  </pic:spPr>
                </pic:pic>
              </a:graphicData>
            </a:graphic>
          </wp:inline>
        </w:drawing>
      </w:r>
    </w:p>
    <w:p w14:paraId="33C5C8E7" w14:textId="10D0ADD4" w:rsidR="54EDA8BF" w:rsidRDefault="7E78E222" w:rsidP="13CB051E">
      <w:pPr>
        <w:pStyle w:val="Caption"/>
        <w:jc w:val="left"/>
        <w:rPr>
          <w:i w:val="0"/>
          <w:iCs w:val="0"/>
          <w:color w:val="000000" w:themeColor="text1"/>
          <w:sz w:val="22"/>
          <w:szCs w:val="22"/>
        </w:rPr>
      </w:pPr>
      <w:r w:rsidRPr="13CB051E">
        <w:rPr>
          <w:i w:val="0"/>
          <w:iCs w:val="0"/>
          <w:color w:val="000000" w:themeColor="text1"/>
          <w:sz w:val="22"/>
          <w:szCs w:val="22"/>
        </w:rPr>
        <w:t>Figure 5. Characterized TSS of the York River</w:t>
      </w:r>
    </w:p>
    <w:p w14:paraId="138ABC04" w14:textId="75EDF2BD" w:rsidR="13CB051E" w:rsidRDefault="13CB051E" w:rsidP="13CB051E">
      <w:r>
        <w:rPr>
          <w:noProof/>
        </w:rPr>
        <w:drawing>
          <wp:inline distT="0" distB="0" distL="0" distR="0" wp14:anchorId="5CD1D4EB" wp14:editId="4580A8F4">
            <wp:extent cx="4572000" cy="2286000"/>
            <wp:effectExtent l="0" t="0" r="0" b="0"/>
            <wp:docPr id="315116938" name="Picture 315116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47B68E8D" w14:textId="6341A4C7" w:rsidR="13CB051E" w:rsidRDefault="13CB051E" w:rsidP="13CB051E">
      <w:r>
        <w:t>Figure 6. Distribution of TSS yields across the 2009 to 2019 study period, separated by month.</w:t>
      </w:r>
    </w:p>
    <w:p w14:paraId="557F3CF7" w14:textId="62ED0C54" w:rsidR="54EDA8BF" w:rsidRDefault="54EDA8BF">
      <w:r>
        <w:br w:type="page"/>
      </w:r>
    </w:p>
    <w:p w14:paraId="0D5A66F0" w14:textId="2AA0AEE3" w:rsidR="54EDA8BF" w:rsidRDefault="7E78E222" w:rsidP="13CB051E">
      <w:pPr>
        <w:rPr>
          <w:rFonts w:eastAsia="Garamond" w:cs="Garamond"/>
        </w:rPr>
      </w:pPr>
      <w:r w:rsidRPr="13CB051E">
        <w:rPr>
          <w:rFonts w:ascii="Times New Roman" w:eastAsia="Times New Roman" w:hAnsi="Times New Roman" w:cs="Times New Roman"/>
          <w:color w:val="000000" w:themeColor="text1"/>
        </w:rPr>
        <w:lastRenderedPageBreak/>
        <w:t xml:space="preserve"> </w:t>
      </w:r>
      <w:r w:rsidRPr="13CB051E">
        <w:t xml:space="preserve"> </w:t>
      </w:r>
      <w:r w:rsidRPr="13CB051E">
        <w:rPr>
          <w:rFonts w:ascii="Times New Roman" w:eastAsia="Times New Roman" w:hAnsi="Times New Roman" w:cs="Times New Roman"/>
          <w:color w:val="000000" w:themeColor="text1"/>
        </w:rPr>
        <w:t xml:space="preserve"> </w:t>
      </w:r>
      <w:r w:rsidRPr="13CB051E">
        <w:rPr>
          <w:rFonts w:eastAsia="Garamond" w:cs="Garamond"/>
        </w:rPr>
        <w:t xml:space="preserve"> </w:t>
      </w:r>
      <w:r w:rsidRPr="13CB051E">
        <w:rPr>
          <w:rFonts w:ascii="Times New Roman" w:eastAsia="Times New Roman" w:hAnsi="Times New Roman" w:cs="Times New Roman"/>
          <w:color w:val="000000" w:themeColor="text1"/>
        </w:rPr>
        <w:t xml:space="preserve"> </w:t>
      </w:r>
      <w:r w:rsidRPr="13CB051E">
        <w:rPr>
          <w:rFonts w:eastAsia="Garamond" w:cs="Garamond"/>
        </w:rPr>
        <w:t xml:space="preserve"> </w:t>
      </w:r>
      <w:r w:rsidR="13CB051E">
        <w:rPr>
          <w:noProof/>
        </w:rPr>
        <w:drawing>
          <wp:inline distT="0" distB="0" distL="0" distR="0" wp14:anchorId="0747F022" wp14:editId="27B0CDC0">
            <wp:extent cx="6181726" cy="2060575"/>
            <wp:effectExtent l="0" t="0" r="0" b="0"/>
            <wp:docPr id="1415388318" name="Picture 141538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81726" cy="2060575"/>
                    </a:xfrm>
                    <a:prstGeom prst="rect">
                      <a:avLst/>
                    </a:prstGeom>
                  </pic:spPr>
                </pic:pic>
              </a:graphicData>
            </a:graphic>
          </wp:inline>
        </w:drawing>
      </w:r>
      <w:r w:rsidR="13CB051E" w:rsidRPr="13CB051E">
        <w:rPr>
          <w:rFonts w:eastAsia="Garamond" w:cs="Garamond"/>
        </w:rPr>
        <w:t>Figure 7. Monthly TSS and precipitation values from 2009 to 2019. Stars represent hurricanes and tropical storms during the study period.</w:t>
      </w:r>
    </w:p>
    <w:p w14:paraId="34559A51" w14:textId="4FABD618" w:rsidR="003C1630" w:rsidRPr="003C1630" w:rsidDel="00AC1ECA" w:rsidRDefault="7E78E222" w:rsidP="13CB051E">
      <w:pPr>
        <w:spacing w:after="0" w:line="240" w:lineRule="auto"/>
        <w:jc w:val="left"/>
        <w:rPr>
          <w:rFonts w:eastAsia="Garamond" w:cs="Garamond"/>
          <w:b/>
          <w:bCs/>
        </w:rPr>
      </w:pPr>
      <w:bookmarkStart w:id="13" w:name="_Toc334198734"/>
      <w:r w:rsidRPr="13CB051E">
        <w:rPr>
          <w:rFonts w:eastAsia="Garamond" w:cs="Garamond"/>
          <w:b/>
          <w:bCs/>
        </w:rPr>
        <w:t xml:space="preserve">4.1.3 ORCAA Analysis </w:t>
      </w:r>
    </w:p>
    <w:p w14:paraId="714AB808" w14:textId="61F5F88A" w:rsidR="13CB051E" w:rsidRDefault="1F52DE71" w:rsidP="13CB051E">
      <w:pPr>
        <w:spacing w:after="0" w:line="240" w:lineRule="auto"/>
        <w:jc w:val="left"/>
        <w:rPr>
          <w:rFonts w:eastAsia="Garamond" w:cs="Garamond"/>
        </w:rPr>
      </w:pPr>
      <w:r w:rsidRPr="6A7FCD73">
        <w:rPr>
          <w:rFonts w:eastAsia="Garamond" w:cs="Garamond"/>
        </w:rPr>
        <w:t xml:space="preserve">The ORCAA imagery collected for this analysis represents median monthly imagery from selected months in 2009 and 2019 (Figure 8) while GPM IMERG precipitation models show monthly mean precipitation levels (Figure E1). From the collected ORCAA imagery, the team concluded that turbidity did not necessarily worsen solely based on the passage of time from 2009 to 2019. Seasonal turbidity changes often resulted from differing precipitation, wind, and wave conditions. Solely based on the imagery collected, there was a correlation between precipitation and turbidity in which higher precipitation levels corresponded with increased turbidity levels. The notable exception occurred during October 2019, which had very high precipitation levels, due to multiple heavy precipitation events occurring in the area during that time (Figure E1). Hurricane Dorian made landfall on the East coast in September 2019, contributing to this heavier precipitation and possibly leading to the decrease in turbidity shown through ORCAA as compared to October 2009 (NOAA, 2019; Figure 8). Some literature suggests, however, that major storm and precipitation events can resuspend sediments and increase turbidity levels in tidal areas (Walker, 2001). Although wind and waves were not analyzed through the ORCAA tool in this study, these factors are major causes of sediment resuspension and can have a profound impact on turbidity levels in addition to precipitation (Carlin et al., 2016). </w:t>
      </w:r>
    </w:p>
    <w:p w14:paraId="6280BA6C" w14:textId="46CBC6C1" w:rsidR="54EDA8BF" w:rsidRDefault="54EDA8BF" w:rsidP="54EDA8BF">
      <w:pPr>
        <w:spacing w:after="0" w:line="240" w:lineRule="auto"/>
        <w:jc w:val="left"/>
        <w:rPr>
          <w:rFonts w:eastAsia="Garamond" w:cs="Garamond"/>
        </w:rPr>
      </w:pPr>
    </w:p>
    <w:p w14:paraId="15ADC607" w14:textId="28CF7791" w:rsidR="54EDA8BF" w:rsidRDefault="0788D8C7" w:rsidP="54EDA8BF">
      <w:pPr>
        <w:spacing w:after="0" w:line="240" w:lineRule="auto"/>
        <w:jc w:val="left"/>
        <w:rPr>
          <w:rFonts w:eastAsia="Garamond" w:cs="Garamond"/>
        </w:rPr>
      </w:pPr>
      <w:r>
        <w:rPr>
          <w:noProof/>
        </w:rPr>
        <w:lastRenderedPageBreak/>
        <w:drawing>
          <wp:inline distT="0" distB="0" distL="0" distR="0" wp14:anchorId="0EB6346A" wp14:editId="2EB1686F">
            <wp:extent cx="5972175" cy="2724805"/>
            <wp:effectExtent l="0" t="0" r="0" b="0"/>
            <wp:docPr id="1185762410" name="Picture 118576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2175" cy="2724805"/>
                    </a:xfrm>
                    <a:prstGeom prst="rect">
                      <a:avLst/>
                    </a:prstGeom>
                  </pic:spPr>
                </pic:pic>
              </a:graphicData>
            </a:graphic>
          </wp:inline>
        </w:drawing>
      </w:r>
      <w:r w:rsidR="1D356617" w:rsidRPr="20596ED7">
        <w:rPr>
          <w:rFonts w:eastAsia="Garamond" w:cs="Garamond"/>
        </w:rPr>
        <w:t>Figure 8. York River NDTI turbidity levels for October 2009 and October 2019. Images derived from Landsat 5 TM, Landsat 7 ETM+, and Landsat 8 OLI.</w:t>
      </w:r>
    </w:p>
    <w:p w14:paraId="33306C01" w14:textId="7842B9DE" w:rsidR="20596ED7" w:rsidRDefault="20596ED7" w:rsidP="20596ED7">
      <w:pPr>
        <w:spacing w:after="0" w:line="240" w:lineRule="auto"/>
        <w:jc w:val="left"/>
        <w:rPr>
          <w:rFonts w:eastAsia="Garamond" w:cs="Garamond"/>
        </w:rPr>
      </w:pPr>
    </w:p>
    <w:p w14:paraId="4EB6DFAB" w14:textId="2BE50897" w:rsidR="00621AB9" w:rsidRPr="0066138C" w:rsidRDefault="07AF9989" w:rsidP="6A7FCD73">
      <w:pPr>
        <w:pStyle w:val="NoSpacing"/>
        <w:rPr>
          <w:rFonts w:ascii="Garamond" w:eastAsia="Garamond" w:hAnsi="Garamond" w:cs="Garamond"/>
          <w:b/>
          <w:bCs/>
          <w:i/>
          <w:iCs/>
        </w:rPr>
      </w:pPr>
      <w:r w:rsidRPr="6A7FCD73">
        <w:rPr>
          <w:rFonts w:ascii="Garamond" w:eastAsia="Garamond" w:hAnsi="Garamond" w:cs="Garamond"/>
          <w:b/>
          <w:bCs/>
          <w:i/>
          <w:iCs/>
        </w:rPr>
        <w:t>4.2 Future Work</w:t>
      </w:r>
    </w:p>
    <w:bookmarkEnd w:id="13"/>
    <w:p w14:paraId="2E861ABB" w14:textId="3505A18E" w:rsidR="0056152E" w:rsidRPr="00040AE0" w:rsidRDefault="4291BCC5" w:rsidP="13CB051E">
      <w:pPr>
        <w:pStyle w:val="NoSpacing"/>
        <w:rPr>
          <w:rFonts w:ascii="Garamond" w:eastAsia="Garamond" w:hAnsi="Garamond" w:cs="Garamond"/>
        </w:rPr>
      </w:pPr>
      <w:r w:rsidRPr="20596ED7">
        <w:rPr>
          <w:rFonts w:ascii="Garamond" w:eastAsia="Garamond" w:hAnsi="Garamond" w:cs="Garamond"/>
        </w:rPr>
        <w:t xml:space="preserve">Future work on the project would include analyzing other aspects of water quality data such as chlorophyll-a and colored dissolved organic matter (CDOM) through a longer study period. This would aid our partners as they can utilize their </w:t>
      </w:r>
      <w:bookmarkStart w:id="14" w:name="_Int_k4azTUF4"/>
      <w:r w:rsidRPr="20596ED7">
        <w:rPr>
          <w:rFonts w:ascii="Garamond" w:eastAsia="Garamond" w:hAnsi="Garamond" w:cs="Garamond"/>
          <w:i/>
          <w:iCs/>
        </w:rPr>
        <w:t>in situ</w:t>
      </w:r>
      <w:bookmarkEnd w:id="14"/>
      <w:r w:rsidRPr="20596ED7">
        <w:rPr>
          <w:rFonts w:ascii="Garamond" w:eastAsia="Garamond" w:hAnsi="Garamond" w:cs="Garamond"/>
        </w:rPr>
        <w:t xml:space="preserve"> data alongside the new data and pinpoint the major contributing factors of poor water quality in </w:t>
      </w:r>
      <w:bookmarkStart w:id="15" w:name="_Int_1ob4Kdxd"/>
      <w:r w:rsidRPr="20596ED7">
        <w:rPr>
          <w:rFonts w:ascii="Garamond" w:eastAsia="Garamond" w:hAnsi="Garamond" w:cs="Garamond"/>
        </w:rPr>
        <w:t>the Chesapeake</w:t>
      </w:r>
      <w:bookmarkEnd w:id="15"/>
      <w:r w:rsidRPr="20596ED7">
        <w:rPr>
          <w:rFonts w:ascii="Garamond" w:eastAsia="Garamond" w:hAnsi="Garamond" w:cs="Garamond"/>
        </w:rPr>
        <w:t xml:space="preserve"> Bay. Examining the major causes of water quality decrease over decades of historical data could allow for a projection of water quality trends for the next 10 to 20 years. The time period could also be narrowed, to examine specific sediment trends around major storm events. Broadly, partners in the Chesapeake Bay watershed should continue to implement restoration practices such as planting riparian buffers around streams that have high sediment yields.</w:t>
      </w:r>
    </w:p>
    <w:p w14:paraId="62B50C2C" w14:textId="0D79A8AF" w:rsidR="13CB051E" w:rsidRDefault="13CB051E" w:rsidP="13CB051E">
      <w:pPr>
        <w:pStyle w:val="NoSpacing"/>
        <w:rPr>
          <w:rFonts w:ascii="Garamond" w:eastAsia="Garamond" w:hAnsi="Garamond" w:cs="Garamond"/>
        </w:rPr>
      </w:pPr>
      <w:bookmarkStart w:id="16" w:name="_Toc334198735"/>
    </w:p>
    <w:p w14:paraId="4DF9A0CD" w14:textId="0BC3F93F" w:rsidR="0F11C30F" w:rsidRDefault="6E516623" w:rsidP="13CB051E">
      <w:pPr>
        <w:pStyle w:val="Heading1"/>
        <w:spacing w:before="0" w:line="240" w:lineRule="auto"/>
        <w:jc w:val="left"/>
        <w:rPr>
          <w:rFonts w:ascii="Garamond" w:eastAsia="Garamond" w:hAnsi="Garamond" w:cs="Garamond"/>
        </w:rPr>
      </w:pPr>
      <w:r w:rsidRPr="13CB051E">
        <w:rPr>
          <w:rFonts w:ascii="Garamond" w:eastAsia="Garamond" w:hAnsi="Garamond" w:cs="Garamond"/>
        </w:rPr>
        <w:t>5</w:t>
      </w:r>
      <w:r w:rsidR="31B23619" w:rsidRPr="13CB051E">
        <w:rPr>
          <w:rFonts w:ascii="Garamond" w:eastAsia="Garamond" w:hAnsi="Garamond" w:cs="Garamond"/>
        </w:rPr>
        <w:t xml:space="preserve">. </w:t>
      </w:r>
      <w:r w:rsidR="39C46E85" w:rsidRPr="13CB051E">
        <w:rPr>
          <w:rFonts w:ascii="Garamond" w:eastAsia="Garamond" w:hAnsi="Garamond" w:cs="Garamond"/>
        </w:rPr>
        <w:t>Conclusions</w:t>
      </w:r>
      <w:bookmarkEnd w:id="16"/>
    </w:p>
    <w:p w14:paraId="2538850D" w14:textId="2761BE13" w:rsidR="0F11C30F" w:rsidRDefault="703E7F4B" w:rsidP="13CB051E">
      <w:pPr>
        <w:spacing w:after="0" w:line="240" w:lineRule="auto"/>
        <w:jc w:val="left"/>
        <w:rPr>
          <w:rFonts w:eastAsia="Garamond" w:cs="Garamond"/>
        </w:rPr>
      </w:pPr>
      <w:r w:rsidRPr="13CB051E">
        <w:rPr>
          <w:rFonts w:eastAsia="Garamond" w:cs="Garamond"/>
        </w:rPr>
        <w:t>Overall, sediment levels in the York River watershed were found to generally increase during the study period. Within the watershed, the TSS yields were typically higher in the headwaters, where the slopes were steeper and forest cover was lower. There did not appear to be a strong correlation between precipitation and TSS across the study period, including following major tropical storms and hurricanes. Turbidity was highly variable between 2009 and 2019. Some seasons showed an increase in turbidity, while others showed a decrease. Generally, there was a correlation between precipitation and turbidity; months of greater mean precipitation usually also had greater turbidity, with only a few exceptions. These exceptions may have been driven by other factors that influence turbidity such as wind and waves.</w:t>
      </w:r>
    </w:p>
    <w:p w14:paraId="380E2F70" w14:textId="25ABAFF0" w:rsidR="0F11C30F" w:rsidRDefault="0F11C30F" w:rsidP="13CB051E">
      <w:pPr>
        <w:spacing w:after="0" w:line="240" w:lineRule="auto"/>
        <w:jc w:val="left"/>
        <w:rPr>
          <w:rFonts w:eastAsia="Garamond" w:cs="Garamond"/>
        </w:rPr>
      </w:pPr>
    </w:p>
    <w:p w14:paraId="121EEE1A" w14:textId="7FE210F7" w:rsidR="0F11C30F" w:rsidRDefault="703E7F4B" w:rsidP="31CE712C">
      <w:pPr>
        <w:spacing w:after="0" w:line="240" w:lineRule="auto"/>
        <w:jc w:val="left"/>
        <w:rPr>
          <w:rFonts w:eastAsia="Garamond" w:cs="Garamond"/>
        </w:rPr>
      </w:pPr>
      <w:r w:rsidRPr="13CB051E">
        <w:rPr>
          <w:rFonts w:eastAsia="Garamond" w:cs="Garamond"/>
        </w:rPr>
        <w:t xml:space="preserve">The Virginia Department of Environmental Quality will benefit from the provided analyses through understanding the land use dynamics in the Chesapeake Bay watershed and how it impacts the local ecosystem health. The results that were produced highlight areas within the York River watershed that are susceptible to sediment runoff and turbidity, which will help focus management efforts by collaborators. Future restoration or rehabilitation efforts could be implemented using all end products and data provided, such as planting riparian buffer zones around sections of the stream with increased runoff. The project partners and collaborators will also have a better understanding of the capacities of Earth observations and the effectiveness of using </w:t>
      </w:r>
      <w:r w:rsidRPr="13CB051E">
        <w:rPr>
          <w:rFonts w:eastAsia="Garamond" w:cs="Garamond"/>
          <w:i/>
          <w:iCs/>
        </w:rPr>
        <w:t>in situ</w:t>
      </w:r>
      <w:r w:rsidRPr="13CB051E">
        <w:rPr>
          <w:rFonts w:eastAsia="Garamond" w:cs="Garamond"/>
        </w:rPr>
        <w:t xml:space="preserve"> data in tandem with satellite data. Reducing the TSS and turbidity of the York River, and in turn, the Chesapeake Bay, will contribute to pollution reduction goals and increased value.</w:t>
      </w:r>
    </w:p>
    <w:p w14:paraId="7EF42CEC" w14:textId="77777777" w:rsidR="0056152E" w:rsidRPr="00040AE0" w:rsidRDefault="0056152E" w:rsidP="31CE712C">
      <w:pPr>
        <w:pStyle w:val="Heading1"/>
        <w:spacing w:before="0" w:line="240" w:lineRule="auto"/>
        <w:jc w:val="left"/>
        <w:rPr>
          <w:rFonts w:ascii="Garamond" w:eastAsia="Garamond" w:hAnsi="Garamond" w:cs="Garamond"/>
          <w:sz w:val="22"/>
          <w:szCs w:val="22"/>
        </w:rPr>
      </w:pPr>
      <w:bookmarkStart w:id="17" w:name="_Toc334198736"/>
    </w:p>
    <w:p w14:paraId="2BF53931" w14:textId="52012B06" w:rsidR="00E41324" w:rsidRPr="0066138C" w:rsidRDefault="07AF9989" w:rsidP="31CE712C">
      <w:pPr>
        <w:pStyle w:val="Heading1"/>
        <w:spacing w:before="0" w:line="240" w:lineRule="auto"/>
        <w:jc w:val="left"/>
        <w:rPr>
          <w:rFonts w:ascii="Garamond" w:eastAsia="Garamond" w:hAnsi="Garamond" w:cs="Garamond"/>
        </w:rPr>
      </w:pPr>
      <w:r w:rsidRPr="31CE712C">
        <w:rPr>
          <w:rFonts w:ascii="Garamond" w:eastAsia="Garamond" w:hAnsi="Garamond" w:cs="Garamond"/>
        </w:rPr>
        <w:t>6</w:t>
      </w:r>
      <w:r w:rsidR="5DE27F54" w:rsidRPr="31CE712C">
        <w:rPr>
          <w:rFonts w:ascii="Garamond" w:eastAsia="Garamond" w:hAnsi="Garamond" w:cs="Garamond"/>
        </w:rPr>
        <w:t xml:space="preserve">. </w:t>
      </w:r>
      <w:r w:rsidR="35B5AD74" w:rsidRPr="31CE712C">
        <w:rPr>
          <w:rFonts w:ascii="Garamond" w:eastAsia="Garamond" w:hAnsi="Garamond" w:cs="Garamond"/>
        </w:rPr>
        <w:t>Acknowledgments</w:t>
      </w:r>
      <w:bookmarkEnd w:id="17"/>
    </w:p>
    <w:p w14:paraId="50C3FEFD" w14:textId="73ECCFD3" w:rsidR="4A71E26E" w:rsidRDefault="7A381FBB" w:rsidP="13CB051E">
      <w:pPr>
        <w:spacing w:after="0" w:line="240" w:lineRule="auto"/>
        <w:jc w:val="left"/>
        <w:rPr>
          <w:rFonts w:eastAsia="Garamond" w:cs="Garamond"/>
          <w:color w:val="FF0000"/>
        </w:rPr>
      </w:pPr>
      <w:r w:rsidRPr="065E7792">
        <w:rPr>
          <w:rFonts w:eastAsia="Garamond" w:cs="Garamond"/>
        </w:rPr>
        <w:t>We would like to thank Caroline Williams, the NASA DEVELOP Pop-Up Projects Fellow, Dr. Venkat</w:t>
      </w:r>
      <w:r w:rsidR="5E0F9DDF" w:rsidRPr="065E7792">
        <w:rPr>
          <w:rFonts w:eastAsia="Garamond" w:cs="Garamond"/>
        </w:rPr>
        <w:t>araman Lakshmi of the University of Virginia, and</w:t>
      </w:r>
      <w:r w:rsidR="5C506AAF" w:rsidRPr="065E7792">
        <w:rPr>
          <w:rFonts w:eastAsia="Garamond" w:cs="Garamond"/>
        </w:rPr>
        <w:t xml:space="preserve"> </w:t>
      </w:r>
      <w:r w:rsidRPr="065E7792">
        <w:rPr>
          <w:rFonts w:eastAsia="Garamond" w:cs="Garamond"/>
        </w:rPr>
        <w:t>Dr. Kenton Ross of NASA Langley Research Center</w:t>
      </w:r>
      <w:r w:rsidR="5E0F9DDF" w:rsidRPr="065E7792">
        <w:rPr>
          <w:rFonts w:eastAsia="Garamond" w:cs="Garamond"/>
        </w:rPr>
        <w:t xml:space="preserve">, the science advisors for this project, for their guidance. We also acknowledge our partners Amanda Shaver of VA DEQ, Carl Friedrichs of CBNERR, Steve Greb of GEO AquaWatch, and Merrie Beth Neely of CEOS COAST. We sincerely thank Prakrut Kansara and Duc Tran of the University of Virginia for their knowledge and assistance with the SWAT model. </w:t>
      </w:r>
    </w:p>
    <w:p w14:paraId="598A6CC6" w14:textId="1DFE279B" w:rsidR="00171796" w:rsidRPr="0066138C" w:rsidRDefault="00171796" w:rsidP="31CE712C">
      <w:pPr>
        <w:spacing w:after="0" w:line="240" w:lineRule="auto"/>
        <w:jc w:val="left"/>
        <w:rPr>
          <w:rFonts w:eastAsia="Garamond" w:cs="Garamond"/>
          <w:color w:val="FF0000"/>
        </w:rPr>
      </w:pPr>
    </w:p>
    <w:p w14:paraId="2E7BC272" w14:textId="02B08059" w:rsidR="00171796" w:rsidRPr="0066138C" w:rsidRDefault="7419E11D" w:rsidP="31CE712C">
      <w:pPr>
        <w:spacing w:after="0" w:line="240" w:lineRule="auto"/>
        <w:jc w:val="left"/>
        <w:rPr>
          <w:rFonts w:eastAsia="Garamond" w:cs="Garamond"/>
        </w:rPr>
      </w:pPr>
      <w:r w:rsidRPr="6A7FCD73">
        <w:rPr>
          <w:rFonts w:eastAsia="Garamond" w:cs="Garamond"/>
        </w:rPr>
        <w:t>This material contains modified Copernicus Sentinel data (2009 to 2019)</w:t>
      </w:r>
      <w:r w:rsidR="5165F932" w:rsidRPr="6A7FCD73">
        <w:rPr>
          <w:rFonts w:eastAsia="Garamond" w:cs="Garamond"/>
        </w:rPr>
        <w:t>,</w:t>
      </w:r>
      <w:r w:rsidRPr="6A7FCD73">
        <w:rPr>
          <w:rFonts w:eastAsia="Garamond" w:cs="Garamond"/>
        </w:rPr>
        <w:t xml:space="preserve"> processed by ESA. </w:t>
      </w:r>
    </w:p>
    <w:p w14:paraId="7841BA5D" w14:textId="2C17AC00" w:rsidR="00171796" w:rsidRPr="0066138C" w:rsidRDefault="00171796" w:rsidP="31CE712C">
      <w:pPr>
        <w:spacing w:after="0" w:line="240" w:lineRule="auto"/>
        <w:jc w:val="left"/>
        <w:rPr>
          <w:rFonts w:eastAsia="Garamond" w:cs="Garamond"/>
          <w:color w:val="000000" w:themeColor="text1"/>
        </w:rPr>
      </w:pPr>
    </w:p>
    <w:p w14:paraId="33DBD467" w14:textId="664323DC" w:rsidR="000057A6" w:rsidRPr="0066138C" w:rsidRDefault="265BB63A" w:rsidP="31CE712C">
      <w:pPr>
        <w:spacing w:after="0" w:line="240" w:lineRule="auto"/>
        <w:jc w:val="left"/>
        <w:rPr>
          <w:rFonts w:eastAsia="Garamond" w:cs="Garamond"/>
        </w:rPr>
      </w:pPr>
      <w:r w:rsidRPr="31CE712C">
        <w:rPr>
          <w:rFonts w:eastAsia="Garamond" w:cs="Garamond"/>
        </w:rPr>
        <w:t>A</w:t>
      </w:r>
      <w:r w:rsidR="4BCAFFA1" w:rsidRPr="31CE712C">
        <w:rPr>
          <w:rFonts w:eastAsia="Garamond" w:cs="Garamond"/>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31CE712C">
      <w:pPr>
        <w:spacing w:after="0" w:line="240" w:lineRule="auto"/>
        <w:jc w:val="left"/>
        <w:rPr>
          <w:rFonts w:eastAsia="Garamond" w:cs="Garamond"/>
        </w:rPr>
      </w:pPr>
    </w:p>
    <w:p w14:paraId="615F18E0" w14:textId="2F975599" w:rsidR="006D30E1" w:rsidRDefault="0C1AD7F7" w:rsidP="31CE712C">
      <w:pPr>
        <w:spacing w:after="0" w:line="240" w:lineRule="auto"/>
        <w:jc w:val="left"/>
        <w:rPr>
          <w:rFonts w:eastAsia="Garamond" w:cs="Garamond"/>
        </w:rPr>
      </w:pPr>
      <w:r w:rsidRPr="31CE712C">
        <w:rPr>
          <w:rFonts w:eastAsia="Garamond" w:cs="Garamond"/>
        </w:rPr>
        <w:t xml:space="preserve">This material is based upon work supported by NASA </w:t>
      </w:r>
      <w:r w:rsidR="1BFE35F6" w:rsidRPr="31CE712C">
        <w:rPr>
          <w:rFonts w:eastAsia="Garamond" w:cs="Garamond"/>
        </w:rPr>
        <w:t>through</w:t>
      </w:r>
      <w:r w:rsidR="0E904C70" w:rsidRPr="31CE712C">
        <w:rPr>
          <w:rFonts w:eastAsia="Garamond" w:cs="Garamond"/>
        </w:rPr>
        <w:t xml:space="preserve"> contract NNL16AA05C</w:t>
      </w:r>
      <w:r w:rsidRPr="31CE712C">
        <w:rPr>
          <w:rFonts w:eastAsia="Garamond" w:cs="Garamond"/>
        </w:rPr>
        <w:t>.</w:t>
      </w:r>
      <w:bookmarkStart w:id="18" w:name="_Toc334198737"/>
    </w:p>
    <w:p w14:paraId="5BBBA366" w14:textId="77777777" w:rsidR="00441CE7" w:rsidRDefault="00441CE7" w:rsidP="31CE712C">
      <w:pPr>
        <w:spacing w:after="0" w:line="240" w:lineRule="auto"/>
        <w:jc w:val="left"/>
        <w:rPr>
          <w:rFonts w:eastAsia="Garamond" w:cs="Garamond"/>
        </w:rPr>
      </w:pPr>
    </w:p>
    <w:p w14:paraId="538C0C1D" w14:textId="670FA82C" w:rsidR="00E41324" w:rsidRPr="0066138C" w:rsidRDefault="6E516623" w:rsidP="13CB051E">
      <w:pPr>
        <w:spacing w:line="240" w:lineRule="auto"/>
        <w:jc w:val="left"/>
        <w:rPr>
          <w:rFonts w:eastAsia="Garamond" w:cs="Garamond"/>
        </w:rPr>
      </w:pPr>
      <w:r w:rsidRPr="13CB051E">
        <w:rPr>
          <w:rStyle w:val="Heading1Char"/>
          <w:rFonts w:ascii="Garamond" w:eastAsia="Garamond" w:hAnsi="Garamond" w:cs="Garamond"/>
        </w:rPr>
        <w:t>7</w:t>
      </w:r>
      <w:r w:rsidR="31B23619" w:rsidRPr="13CB051E">
        <w:rPr>
          <w:rStyle w:val="Heading1Char"/>
          <w:rFonts w:ascii="Garamond" w:eastAsia="Garamond" w:hAnsi="Garamond" w:cs="Garamond"/>
        </w:rPr>
        <w:t xml:space="preserve">. </w:t>
      </w:r>
      <w:r w:rsidR="647D45BA" w:rsidRPr="13CB051E">
        <w:rPr>
          <w:rStyle w:val="Heading1Char"/>
          <w:rFonts w:ascii="Garamond" w:eastAsia="Garamond" w:hAnsi="Garamond" w:cs="Garamond"/>
        </w:rPr>
        <w:t>Glossary</w:t>
      </w:r>
    </w:p>
    <w:p w14:paraId="71E94276" w14:textId="2168049C" w:rsidR="00E41324" w:rsidRPr="0066138C" w:rsidRDefault="03A8F3B1" w:rsidP="13CB051E">
      <w:pPr>
        <w:spacing w:line="240" w:lineRule="auto"/>
        <w:jc w:val="left"/>
        <w:rPr>
          <w:rFonts w:eastAsia="Garamond" w:cs="Garamond"/>
        </w:rPr>
      </w:pPr>
      <w:r w:rsidRPr="13CB051E">
        <w:rPr>
          <w:rFonts w:eastAsia="Garamond" w:cs="Garamond"/>
          <w:b/>
          <w:bCs/>
        </w:rPr>
        <w:t>EO</w:t>
      </w:r>
      <w:r w:rsidRPr="13CB051E">
        <w:rPr>
          <w:rFonts w:eastAsia="Garamond" w:cs="Garamond"/>
        </w:rPr>
        <w:t xml:space="preserve"> – Earth Observations. Satellites and sensors that collect information about the Earth’s physical, chemical, and biological systems over space and </w:t>
      </w:r>
      <w:r w:rsidR="6332CEF6" w:rsidRPr="13CB051E">
        <w:rPr>
          <w:rFonts w:eastAsia="Garamond" w:cs="Garamond"/>
        </w:rPr>
        <w:t>time.</w:t>
      </w:r>
    </w:p>
    <w:p w14:paraId="2C19407A" w14:textId="6ED13EF8" w:rsidR="13CB051E" w:rsidRDefault="13CB051E" w:rsidP="73D89040">
      <w:pPr>
        <w:spacing w:line="240" w:lineRule="auto"/>
        <w:jc w:val="left"/>
        <w:rPr>
          <w:rFonts w:ascii="Arial" w:eastAsia="Arial" w:hAnsi="Arial" w:cs="Arial"/>
          <w:color w:val="BDC1C6"/>
          <w:sz w:val="24"/>
          <w:szCs w:val="24"/>
        </w:rPr>
      </w:pPr>
      <w:r w:rsidRPr="73D89040">
        <w:rPr>
          <w:rFonts w:eastAsia="Garamond" w:cs="Garamond"/>
          <w:b/>
          <w:bCs/>
          <w:color w:val="000000" w:themeColor="text1"/>
        </w:rPr>
        <w:t xml:space="preserve">GEE </w:t>
      </w:r>
      <w:r w:rsidRPr="00E2379B">
        <w:rPr>
          <w:rFonts w:eastAsia="Garamond" w:cs="Garamond"/>
          <w:b/>
          <w:bCs/>
          <w:color w:val="000000" w:themeColor="text1"/>
        </w:rPr>
        <w:t>–</w:t>
      </w:r>
      <w:r w:rsidRPr="73D89040">
        <w:rPr>
          <w:rFonts w:eastAsia="Garamond" w:cs="Garamond"/>
          <w:b/>
          <w:bCs/>
          <w:color w:val="000000" w:themeColor="text1"/>
        </w:rPr>
        <w:t xml:space="preserve"> </w:t>
      </w:r>
      <w:r w:rsidRPr="73D89040">
        <w:rPr>
          <w:rFonts w:eastAsia="Garamond" w:cs="Garamond"/>
          <w:color w:val="000000" w:themeColor="text1"/>
        </w:rPr>
        <w:t>Google Earth Engine. A global geospatial code-editing platform that allows users to access Earth observation technology and view satellite images of the Earth.</w:t>
      </w:r>
    </w:p>
    <w:p w14:paraId="6F4D2081" w14:textId="54CD6F1A" w:rsidR="2FA20DD9" w:rsidRDefault="6B5F48EB" w:rsidP="13CB051E">
      <w:pPr>
        <w:spacing w:line="240" w:lineRule="auto"/>
        <w:jc w:val="left"/>
        <w:rPr>
          <w:rFonts w:eastAsia="Garamond" w:cs="Garamond"/>
          <w:color w:val="000000" w:themeColor="text1"/>
        </w:rPr>
      </w:pPr>
      <w:r w:rsidRPr="065E7792">
        <w:rPr>
          <w:rFonts w:eastAsia="Garamond" w:cs="Garamond"/>
          <w:b/>
          <w:bCs/>
          <w:color w:val="000000" w:themeColor="text1"/>
        </w:rPr>
        <w:t xml:space="preserve">GPM IMERG </w:t>
      </w:r>
      <w:r w:rsidRPr="065E7792">
        <w:rPr>
          <w:rFonts w:eastAsia="Garamond" w:cs="Garamond"/>
          <w:color w:val="000000" w:themeColor="text1"/>
        </w:rPr>
        <w:t xml:space="preserve">– Global Precipitation Measurement Integrated Multi-Satellite Retrievals. Global precipitation data processed by the IMERG algorithm, which analyzes information from NASA’s Global Precipitation Measurement Core (GPM Core) satellite to provide estimations of precipitation levels across the surface of the Earth. </w:t>
      </w:r>
    </w:p>
    <w:p w14:paraId="5971A875" w14:textId="1BEE55AA" w:rsidR="13CB051E" w:rsidRDefault="13CB051E" w:rsidP="13CB051E">
      <w:pPr>
        <w:spacing w:line="240" w:lineRule="auto"/>
        <w:jc w:val="left"/>
        <w:rPr>
          <w:rFonts w:eastAsia="Garamond" w:cs="Garamond"/>
          <w:color w:val="000000" w:themeColor="text1"/>
        </w:rPr>
      </w:pPr>
      <w:r w:rsidRPr="73D89040">
        <w:rPr>
          <w:rFonts w:eastAsia="Garamond" w:cs="Garamond"/>
          <w:b/>
          <w:bCs/>
          <w:color w:val="000000" w:themeColor="text1"/>
        </w:rPr>
        <w:t xml:space="preserve">Landsat 7 ETM+ </w:t>
      </w:r>
      <w:r w:rsidR="426CC15D" w:rsidRPr="73D89040">
        <w:rPr>
          <w:rFonts w:eastAsia="Garamond" w:cs="Garamond"/>
          <w:color w:val="000000" w:themeColor="text1"/>
        </w:rPr>
        <w:t>–</w:t>
      </w:r>
      <w:r w:rsidRPr="73D89040">
        <w:rPr>
          <w:rFonts w:eastAsia="Garamond" w:cs="Garamond"/>
          <w:b/>
          <w:bCs/>
          <w:color w:val="000000" w:themeColor="text1"/>
        </w:rPr>
        <w:t xml:space="preserve"> </w:t>
      </w:r>
      <w:r w:rsidRPr="73D89040">
        <w:rPr>
          <w:rFonts w:eastAsia="Garamond" w:cs="Garamond"/>
          <w:color w:val="000000" w:themeColor="text1"/>
        </w:rPr>
        <w:t xml:space="preserve">Landsat 7 Enhanced Thematic Mapper Plus. Satellite that collects Earth observation imagery with 8 spectral bands. </w:t>
      </w:r>
    </w:p>
    <w:p w14:paraId="140175F5" w14:textId="33AC3910" w:rsidR="00E41324" w:rsidRPr="0066138C" w:rsidRDefault="426CC15D" w:rsidP="31CE712C">
      <w:pPr>
        <w:spacing w:line="240" w:lineRule="auto"/>
        <w:jc w:val="left"/>
        <w:rPr>
          <w:rFonts w:eastAsia="Garamond" w:cs="Garamond"/>
          <w:color w:val="000000" w:themeColor="text1"/>
        </w:rPr>
      </w:pPr>
      <w:r w:rsidRPr="73D89040">
        <w:rPr>
          <w:rFonts w:eastAsia="Garamond" w:cs="Garamond"/>
          <w:b/>
          <w:bCs/>
          <w:color w:val="000000" w:themeColor="text1"/>
        </w:rPr>
        <w:t>Landsat 8 OLI</w:t>
      </w:r>
      <w:r w:rsidRPr="73D89040">
        <w:rPr>
          <w:rFonts w:eastAsia="Garamond" w:cs="Garamond"/>
          <w:color w:val="000000" w:themeColor="text1"/>
        </w:rPr>
        <w:t xml:space="preserve"> – Landsat 8 Operational Land Imager. Satellite that collects Earth observation imagery with 9 spectral bands.</w:t>
      </w:r>
    </w:p>
    <w:p w14:paraId="48590FB3" w14:textId="151CFD4C" w:rsidR="13CB051E" w:rsidRDefault="13CB051E" w:rsidP="13CB051E">
      <w:pPr>
        <w:spacing w:line="240" w:lineRule="auto"/>
        <w:jc w:val="left"/>
        <w:rPr>
          <w:rFonts w:eastAsia="Garamond" w:cs="Garamond"/>
          <w:color w:val="000000" w:themeColor="text1"/>
        </w:rPr>
      </w:pPr>
      <w:r w:rsidRPr="73D89040">
        <w:rPr>
          <w:rFonts w:eastAsia="Garamond" w:cs="Garamond"/>
          <w:b/>
          <w:bCs/>
          <w:color w:val="000000" w:themeColor="text1"/>
        </w:rPr>
        <w:t xml:space="preserve">Landsat 5 TM </w:t>
      </w:r>
      <w:r w:rsidRPr="73D89040">
        <w:rPr>
          <w:rFonts w:eastAsia="Garamond" w:cs="Garamond"/>
          <w:color w:val="000000" w:themeColor="text1"/>
        </w:rPr>
        <w:t>– Landsat 5 Thematic Mapper. Satellite that collects Earth observation imagery with 7 spectral bands</w:t>
      </w:r>
    </w:p>
    <w:p w14:paraId="06F3F1F7" w14:textId="5B104F3D" w:rsidR="00E41324" w:rsidRPr="0066138C" w:rsidRDefault="4D7082A4" w:rsidP="31CE712C">
      <w:pPr>
        <w:spacing w:line="240" w:lineRule="auto"/>
        <w:jc w:val="left"/>
        <w:rPr>
          <w:rFonts w:eastAsia="Garamond" w:cs="Garamond"/>
          <w:color w:val="000000" w:themeColor="text1"/>
        </w:rPr>
      </w:pPr>
      <w:r w:rsidRPr="20596ED7">
        <w:rPr>
          <w:rFonts w:eastAsia="Garamond" w:cs="Garamond"/>
          <w:b/>
          <w:bCs/>
          <w:color w:val="000000" w:themeColor="text1"/>
        </w:rPr>
        <w:t>MODIS</w:t>
      </w:r>
      <w:r w:rsidRPr="20596ED7">
        <w:rPr>
          <w:rFonts w:eastAsia="Garamond" w:cs="Garamond"/>
          <w:color w:val="000000" w:themeColor="text1"/>
        </w:rPr>
        <w:t xml:space="preserve"> – Moderate Resolution Imaging Spectroradiometer. A satellite instrument attached to NASA’s. Terra and Aqua satellites that uses 36 spectral bands to collect Earth observation images. </w:t>
      </w:r>
    </w:p>
    <w:p w14:paraId="4FC44166" w14:textId="53B36C16" w:rsidR="00E41324" w:rsidRPr="0066138C" w:rsidRDefault="13C29E20" w:rsidP="31CE712C">
      <w:pPr>
        <w:spacing w:line="240" w:lineRule="auto"/>
        <w:jc w:val="left"/>
        <w:rPr>
          <w:rFonts w:eastAsia="Garamond" w:cs="Garamond"/>
          <w:color w:val="000000" w:themeColor="text1"/>
        </w:rPr>
      </w:pPr>
      <w:r w:rsidRPr="31CE712C">
        <w:rPr>
          <w:rFonts w:eastAsia="Garamond" w:cs="Garamond"/>
          <w:b/>
          <w:bCs/>
          <w:color w:val="000000" w:themeColor="text1"/>
        </w:rPr>
        <w:t xml:space="preserve">MRLC </w:t>
      </w:r>
      <w:r w:rsidRPr="31CE712C">
        <w:rPr>
          <w:rFonts w:eastAsia="Garamond" w:cs="Garamond"/>
          <w:color w:val="000000" w:themeColor="text1"/>
        </w:rPr>
        <w:t>– Multi-Resolution Land Characteristics Consortium. The source for downloading land cover data.</w:t>
      </w:r>
    </w:p>
    <w:p w14:paraId="080D10E0" w14:textId="2779A10E" w:rsidR="00E41324" w:rsidRPr="0066138C" w:rsidRDefault="5E93B11A" w:rsidP="31CE712C">
      <w:pPr>
        <w:spacing w:line="240" w:lineRule="auto"/>
        <w:jc w:val="left"/>
        <w:rPr>
          <w:rFonts w:eastAsia="Garamond" w:cs="Garamond"/>
          <w:color w:val="000000" w:themeColor="text1"/>
        </w:rPr>
      </w:pPr>
      <w:r w:rsidRPr="13CB051E">
        <w:rPr>
          <w:rFonts w:eastAsia="Garamond" w:cs="Garamond"/>
          <w:b/>
          <w:bCs/>
          <w:color w:val="000000" w:themeColor="text1"/>
        </w:rPr>
        <w:t>NASS</w:t>
      </w:r>
      <w:r w:rsidRPr="13CB051E">
        <w:rPr>
          <w:rFonts w:eastAsia="Garamond" w:cs="Garamond"/>
          <w:color w:val="000000" w:themeColor="text1"/>
        </w:rPr>
        <w:t xml:space="preserve"> – U.S. Department of Agriculture National Agriculture Statistics Service. </w:t>
      </w:r>
    </w:p>
    <w:p w14:paraId="2EE85204" w14:textId="42EFA957" w:rsidR="13CB051E" w:rsidRDefault="13CB051E" w:rsidP="13CB051E">
      <w:pPr>
        <w:spacing w:line="240" w:lineRule="auto"/>
        <w:jc w:val="left"/>
        <w:rPr>
          <w:rFonts w:eastAsia="Garamond" w:cs="Garamond"/>
          <w:color w:val="000000" w:themeColor="text1"/>
        </w:rPr>
      </w:pPr>
      <w:r w:rsidRPr="73D89040">
        <w:rPr>
          <w:rFonts w:eastAsia="Garamond" w:cs="Garamond"/>
          <w:b/>
          <w:bCs/>
          <w:color w:val="000000" w:themeColor="text1"/>
        </w:rPr>
        <w:t xml:space="preserve">NDTI </w:t>
      </w:r>
      <w:r w:rsidRPr="00E2379B">
        <w:rPr>
          <w:rFonts w:eastAsia="Garamond" w:cs="Garamond"/>
          <w:b/>
          <w:bCs/>
          <w:color w:val="000000" w:themeColor="text1"/>
        </w:rPr>
        <w:t>–</w:t>
      </w:r>
      <w:r w:rsidRPr="73D89040">
        <w:rPr>
          <w:rFonts w:eastAsia="Garamond" w:cs="Garamond"/>
          <w:b/>
          <w:bCs/>
          <w:color w:val="000000" w:themeColor="text1"/>
        </w:rPr>
        <w:t xml:space="preserve"> </w:t>
      </w:r>
      <w:r w:rsidRPr="73D89040">
        <w:rPr>
          <w:rFonts w:eastAsia="Garamond" w:cs="Garamond"/>
          <w:color w:val="000000" w:themeColor="text1"/>
        </w:rPr>
        <w:t>Normalized Difference Turbidity Index. Index used as a proxy for turbidity in the water.</w:t>
      </w:r>
    </w:p>
    <w:p w14:paraId="628C18A2" w14:textId="15D780BB" w:rsidR="00E41324" w:rsidRPr="0066138C" w:rsidRDefault="13C29E20" w:rsidP="31CE712C">
      <w:pPr>
        <w:spacing w:line="240" w:lineRule="auto"/>
        <w:jc w:val="left"/>
        <w:rPr>
          <w:rFonts w:eastAsia="Garamond" w:cs="Garamond"/>
          <w:color w:val="000000" w:themeColor="text1"/>
        </w:rPr>
      </w:pPr>
      <w:r w:rsidRPr="73D89040">
        <w:rPr>
          <w:rFonts w:eastAsia="Garamond" w:cs="Garamond"/>
          <w:b/>
          <w:bCs/>
          <w:color w:val="000000" w:themeColor="text1"/>
        </w:rPr>
        <w:t>NLCD LCD</w:t>
      </w:r>
      <w:r w:rsidRPr="73D89040">
        <w:rPr>
          <w:rFonts w:eastAsia="Garamond" w:cs="Garamond"/>
          <w:color w:val="000000" w:themeColor="text1"/>
        </w:rPr>
        <w:t xml:space="preserve"> – National Land Cover Database Land Cover Data. Land cover database at 30 m resolution.</w:t>
      </w:r>
    </w:p>
    <w:p w14:paraId="18F23D30" w14:textId="74F99A28" w:rsidR="00E41324" w:rsidRPr="0066138C" w:rsidRDefault="13C29E20" w:rsidP="31CE712C">
      <w:pPr>
        <w:spacing w:line="240" w:lineRule="auto"/>
        <w:jc w:val="left"/>
        <w:rPr>
          <w:rFonts w:eastAsia="Garamond" w:cs="Garamond"/>
          <w:color w:val="000000" w:themeColor="text1"/>
        </w:rPr>
      </w:pPr>
      <w:r w:rsidRPr="31CE712C">
        <w:rPr>
          <w:rFonts w:eastAsia="Garamond" w:cs="Garamond"/>
          <w:b/>
          <w:bCs/>
          <w:color w:val="000000" w:themeColor="text1"/>
        </w:rPr>
        <w:t>ORCAA</w:t>
      </w:r>
      <w:r w:rsidRPr="31CE712C">
        <w:rPr>
          <w:rFonts w:eastAsia="Garamond" w:cs="Garamond"/>
          <w:color w:val="000000" w:themeColor="text1"/>
        </w:rPr>
        <w:t xml:space="preserve"> - Optical Reef Coastal Area Assessment Tool. Provides visual imagery of various water qualities including turbidity, chlorophyll-a levels, and water surface temperatures.</w:t>
      </w:r>
    </w:p>
    <w:p w14:paraId="02806BF9" w14:textId="10277D98" w:rsidR="00E41324" w:rsidRPr="0066138C" w:rsidRDefault="13C29E20" w:rsidP="31CE712C">
      <w:pPr>
        <w:spacing w:line="240" w:lineRule="auto"/>
        <w:jc w:val="left"/>
        <w:rPr>
          <w:rFonts w:eastAsia="Garamond" w:cs="Garamond"/>
          <w:color w:val="000000" w:themeColor="text1"/>
        </w:rPr>
      </w:pPr>
      <w:r w:rsidRPr="31CE712C">
        <w:rPr>
          <w:rFonts w:eastAsia="Garamond" w:cs="Garamond"/>
          <w:b/>
          <w:bCs/>
          <w:color w:val="000000" w:themeColor="text1"/>
        </w:rPr>
        <w:t>SWAT</w:t>
      </w:r>
      <w:r w:rsidRPr="31CE712C">
        <w:rPr>
          <w:rFonts w:eastAsia="Garamond" w:cs="Garamond"/>
          <w:color w:val="000000" w:themeColor="text1"/>
        </w:rPr>
        <w:t xml:space="preserve"> – Soil and Water Assessment Tool. A mapping tool used to model various hydrological variables such as watershed surface water dynamics, soil erosion, and land use.  </w:t>
      </w:r>
    </w:p>
    <w:p w14:paraId="23B0EF0E" w14:textId="41BD9169" w:rsidR="00E41324" w:rsidRPr="0066138C" w:rsidRDefault="13C29E20" w:rsidP="31CE712C">
      <w:pPr>
        <w:spacing w:line="240" w:lineRule="auto"/>
        <w:jc w:val="left"/>
        <w:rPr>
          <w:rFonts w:eastAsia="Garamond" w:cs="Garamond"/>
          <w:color w:val="000000" w:themeColor="text1"/>
        </w:rPr>
      </w:pPr>
      <w:r w:rsidRPr="31CE712C">
        <w:rPr>
          <w:rFonts w:eastAsia="Garamond" w:cs="Garamond"/>
          <w:b/>
          <w:bCs/>
          <w:color w:val="000000" w:themeColor="text1"/>
        </w:rPr>
        <w:lastRenderedPageBreak/>
        <w:t>TSS</w:t>
      </w:r>
      <w:r w:rsidRPr="31CE712C">
        <w:rPr>
          <w:rFonts w:eastAsia="Garamond" w:cs="Garamond"/>
          <w:color w:val="000000" w:themeColor="text1"/>
        </w:rPr>
        <w:t xml:space="preserve"> – Total Suspended Sediment. The total concentration of suspended sediments in water. </w:t>
      </w:r>
    </w:p>
    <w:p w14:paraId="5D61D44D" w14:textId="5649F70F" w:rsidR="00E41324" w:rsidRPr="0066138C" w:rsidRDefault="13C29E20" w:rsidP="31CE712C">
      <w:pPr>
        <w:spacing w:line="240" w:lineRule="auto"/>
        <w:jc w:val="left"/>
        <w:rPr>
          <w:rFonts w:eastAsia="Garamond" w:cs="Garamond"/>
          <w:color w:val="000000" w:themeColor="text1"/>
        </w:rPr>
      </w:pPr>
      <w:r w:rsidRPr="31CE712C">
        <w:rPr>
          <w:rFonts w:eastAsia="Garamond" w:cs="Garamond"/>
          <w:b/>
          <w:bCs/>
          <w:color w:val="000000" w:themeColor="text1"/>
        </w:rPr>
        <w:t>Turbidity</w:t>
      </w:r>
      <w:r w:rsidRPr="31CE712C">
        <w:rPr>
          <w:rFonts w:eastAsia="Garamond" w:cs="Garamond"/>
          <w:color w:val="000000" w:themeColor="text1"/>
        </w:rPr>
        <w:t xml:space="preserve"> – A measure of the clarity of water in terms of suspended sediment concentrations. </w:t>
      </w:r>
    </w:p>
    <w:p w14:paraId="323796D1" w14:textId="6B844C2A" w:rsidR="5E93B11A" w:rsidRDefault="5E93B11A" w:rsidP="13CB051E">
      <w:pPr>
        <w:spacing w:line="240" w:lineRule="auto"/>
        <w:jc w:val="left"/>
        <w:rPr>
          <w:rFonts w:eastAsia="Garamond" w:cs="Garamond"/>
          <w:color w:val="000000" w:themeColor="text1"/>
        </w:rPr>
      </w:pPr>
      <w:r w:rsidRPr="13CB051E">
        <w:rPr>
          <w:rFonts w:eastAsia="Garamond" w:cs="Garamond"/>
          <w:b/>
          <w:bCs/>
          <w:color w:val="000000" w:themeColor="text1"/>
        </w:rPr>
        <w:t>VIMS</w:t>
      </w:r>
      <w:r w:rsidRPr="13CB051E">
        <w:rPr>
          <w:rFonts w:eastAsia="Garamond" w:cs="Garamond"/>
          <w:color w:val="000000" w:themeColor="text1"/>
        </w:rPr>
        <w:t xml:space="preserve"> – Virginia Institute of Marine Science. A source that provided </w:t>
      </w:r>
      <w:r w:rsidRPr="13CB051E">
        <w:rPr>
          <w:rFonts w:eastAsia="Garamond" w:cs="Garamond"/>
          <w:i/>
          <w:iCs/>
          <w:color w:val="000000" w:themeColor="text1"/>
        </w:rPr>
        <w:t>in situ</w:t>
      </w:r>
      <w:r w:rsidRPr="13CB051E">
        <w:rPr>
          <w:rFonts w:eastAsia="Garamond" w:cs="Garamond"/>
          <w:color w:val="000000" w:themeColor="text1"/>
        </w:rPr>
        <w:t xml:space="preserve"> turbidity data for this project. </w:t>
      </w:r>
    </w:p>
    <w:p w14:paraId="105C3693" w14:textId="0FB4BE4C" w:rsidR="13CB051E" w:rsidRDefault="13CB051E" w:rsidP="13CB051E">
      <w:pPr>
        <w:pStyle w:val="Heading1"/>
        <w:spacing w:before="0" w:line="240" w:lineRule="auto"/>
        <w:jc w:val="left"/>
        <w:rPr>
          <w:rFonts w:ascii="Garamond" w:eastAsia="Garamond" w:hAnsi="Garamond" w:cs="Garamond"/>
        </w:rPr>
      </w:pPr>
    </w:p>
    <w:p w14:paraId="6A686CFC" w14:textId="2D000B79" w:rsidR="00E41324" w:rsidRDefault="23BA68D1" w:rsidP="31CE712C">
      <w:pPr>
        <w:pStyle w:val="Heading1"/>
        <w:spacing w:before="0" w:line="240" w:lineRule="auto"/>
        <w:jc w:val="left"/>
        <w:rPr>
          <w:rFonts w:ascii="Garamond" w:eastAsia="Garamond" w:hAnsi="Garamond" w:cs="Garamond"/>
        </w:rPr>
      </w:pPr>
      <w:r w:rsidRPr="13CB051E">
        <w:rPr>
          <w:rFonts w:ascii="Garamond" w:eastAsia="Garamond" w:hAnsi="Garamond" w:cs="Garamond"/>
        </w:rPr>
        <w:t xml:space="preserve">8. </w:t>
      </w:r>
      <w:r w:rsidR="685D132D" w:rsidRPr="13CB051E">
        <w:rPr>
          <w:rFonts w:ascii="Garamond" w:eastAsia="Garamond" w:hAnsi="Garamond" w:cs="Garamond"/>
        </w:rPr>
        <w:t>References</w:t>
      </w:r>
      <w:bookmarkEnd w:id="18"/>
    </w:p>
    <w:p w14:paraId="07804C19" w14:textId="106BE173" w:rsidR="00B8528C" w:rsidRPr="009C42FC" w:rsidRDefault="1E4D0C0F" w:rsidP="065E7792">
      <w:pPr>
        <w:pStyle w:val="paragraph"/>
        <w:spacing w:before="0" w:beforeAutospacing="0" w:after="240" w:afterAutospacing="0" w:line="276" w:lineRule="auto"/>
        <w:ind w:left="720" w:hanging="720"/>
        <w:textAlignment w:val="baseline"/>
        <w:rPr>
          <w:rStyle w:val="normaltextrun"/>
          <w:rFonts w:ascii="Garamond" w:hAnsi="Garamond" w:cs="Segoe UI"/>
          <w:sz w:val="22"/>
          <w:szCs w:val="22"/>
        </w:rPr>
      </w:pPr>
      <w:r w:rsidRPr="065E7792">
        <w:rPr>
          <w:rStyle w:val="normaltextrun"/>
          <w:rFonts w:ascii="Garamond" w:hAnsi="Garamond" w:cs="Segoe UI"/>
          <w:sz w:val="22"/>
          <w:szCs w:val="22"/>
        </w:rPr>
        <w:t xml:space="preserve">Abbaspour, K. C., Yang, J., Maximov, I., Siber, R., Bogner, K., Mieleitner, J., &amp; Srinivasan, R. (2007). Modelling hydrology and water quality in the pre-alpine/alpine Thur watershed using SWAT. </w:t>
      </w:r>
      <w:r w:rsidRPr="065E7792">
        <w:rPr>
          <w:rStyle w:val="normaltextrun"/>
          <w:rFonts w:ascii="Garamond" w:hAnsi="Garamond" w:cs="Segoe UI"/>
          <w:i/>
          <w:iCs/>
          <w:sz w:val="22"/>
          <w:szCs w:val="22"/>
        </w:rPr>
        <w:t>Journal of Hydrology</w:t>
      </w:r>
      <w:r w:rsidRPr="065E7792">
        <w:rPr>
          <w:rStyle w:val="normaltextrun"/>
          <w:rFonts w:ascii="Garamond" w:hAnsi="Garamond" w:cs="Segoe UI"/>
          <w:sz w:val="22"/>
          <w:szCs w:val="22"/>
        </w:rPr>
        <w:t xml:space="preserve">, </w:t>
      </w:r>
      <w:r w:rsidRPr="065E7792">
        <w:rPr>
          <w:rStyle w:val="normaltextrun"/>
          <w:rFonts w:ascii="Garamond" w:hAnsi="Garamond" w:cs="Segoe UI"/>
          <w:i/>
          <w:iCs/>
          <w:sz w:val="22"/>
          <w:szCs w:val="22"/>
        </w:rPr>
        <w:t>333</w:t>
      </w:r>
      <w:r w:rsidRPr="065E7792">
        <w:rPr>
          <w:rStyle w:val="normaltextrun"/>
          <w:rFonts w:ascii="Garamond" w:hAnsi="Garamond" w:cs="Segoe UI"/>
          <w:sz w:val="22"/>
          <w:szCs w:val="22"/>
        </w:rPr>
        <w:t>(2–4), 413</w:t>
      </w:r>
      <w:r w:rsidR="4DCCFA2E" w:rsidRPr="065E7792">
        <w:rPr>
          <w:rStyle w:val="normaltextrun"/>
          <w:rFonts w:ascii="Garamond" w:hAnsi="Garamond" w:cs="Segoe UI"/>
          <w:sz w:val="22"/>
          <w:szCs w:val="22"/>
        </w:rPr>
        <w:t>–</w:t>
      </w:r>
      <w:r w:rsidRPr="065E7792">
        <w:rPr>
          <w:rStyle w:val="normaltextrun"/>
          <w:rFonts w:ascii="Garamond" w:hAnsi="Garamond" w:cs="Segoe UI"/>
          <w:sz w:val="22"/>
          <w:szCs w:val="22"/>
        </w:rPr>
        <w:t>430.</w:t>
      </w:r>
      <w:r w:rsidRPr="065E7792">
        <w:rPr>
          <w:rStyle w:val="eop"/>
          <w:rFonts w:ascii="Garamond" w:hAnsi="Garamond" w:cs="Segoe UI"/>
          <w:sz w:val="22"/>
          <w:szCs w:val="22"/>
        </w:rPr>
        <w:t xml:space="preserve">  </w:t>
      </w:r>
      <w:r w:rsidR="6B5F48EB" w:rsidRPr="065E7792">
        <w:rPr>
          <w:rStyle w:val="eop"/>
          <w:rFonts w:ascii="Garamond" w:hAnsi="Garamond" w:cs="Segoe UI"/>
          <w:sz w:val="22"/>
          <w:szCs w:val="22"/>
        </w:rPr>
        <w:t>https://doi.org/10.1016/j.jhydrol.2006.09.014.</w:t>
      </w:r>
    </w:p>
    <w:p w14:paraId="3CF5FD50" w14:textId="6696A07B" w:rsidR="00B8528C" w:rsidRPr="009C42FC" w:rsidRDefault="1E4D0C0F" w:rsidP="2FA20DD9">
      <w:pPr>
        <w:pStyle w:val="paragraph"/>
        <w:spacing w:before="0" w:beforeAutospacing="0" w:after="240" w:afterAutospacing="0" w:line="276" w:lineRule="auto"/>
        <w:ind w:left="720" w:hanging="720"/>
        <w:textAlignment w:val="baseline"/>
        <w:rPr>
          <w:rFonts w:ascii="Segoe UI" w:hAnsi="Segoe UI" w:cs="Segoe UI"/>
          <w:sz w:val="18"/>
          <w:szCs w:val="18"/>
        </w:rPr>
      </w:pPr>
      <w:r w:rsidRPr="065E7792">
        <w:rPr>
          <w:rStyle w:val="normaltextrun"/>
          <w:rFonts w:ascii="Garamond" w:hAnsi="Garamond" w:cs="Segoe UI"/>
          <w:sz w:val="22"/>
          <w:szCs w:val="22"/>
        </w:rPr>
        <w:t xml:space="preserve">Abbaspour, K. C., Rouholahnejad, E., Vaghefi, S., Srinivasan, R., Yang, H., &amp; Kløve, B. (2015). A continental-scale hydrology and water quality model for Europe: Calibration and uncertainty of a high-resolution large-scale SWAT model. </w:t>
      </w:r>
      <w:r w:rsidRPr="065E7792">
        <w:rPr>
          <w:rStyle w:val="normaltextrun"/>
          <w:rFonts w:ascii="Garamond" w:hAnsi="Garamond" w:cs="Segoe UI"/>
          <w:i/>
          <w:iCs/>
          <w:sz w:val="22"/>
          <w:szCs w:val="22"/>
        </w:rPr>
        <w:t>Journal of Hydrology</w:t>
      </w:r>
      <w:r w:rsidRPr="065E7792">
        <w:rPr>
          <w:rStyle w:val="normaltextrun"/>
          <w:rFonts w:ascii="Garamond" w:hAnsi="Garamond" w:cs="Segoe UI"/>
          <w:sz w:val="22"/>
          <w:szCs w:val="22"/>
        </w:rPr>
        <w:t xml:space="preserve">, </w:t>
      </w:r>
      <w:r w:rsidRPr="065E7792">
        <w:rPr>
          <w:rStyle w:val="normaltextrun"/>
          <w:rFonts w:ascii="Garamond" w:hAnsi="Garamond" w:cs="Segoe UI"/>
          <w:i/>
          <w:iCs/>
          <w:sz w:val="22"/>
          <w:szCs w:val="22"/>
        </w:rPr>
        <w:t>524</w:t>
      </w:r>
      <w:r w:rsidRPr="065E7792">
        <w:rPr>
          <w:rStyle w:val="normaltextrun"/>
          <w:rFonts w:ascii="Garamond" w:hAnsi="Garamond" w:cs="Segoe UI"/>
          <w:sz w:val="22"/>
          <w:szCs w:val="22"/>
        </w:rPr>
        <w:t>, 733</w:t>
      </w:r>
      <w:r w:rsidR="4DCCFA2E" w:rsidRPr="065E7792">
        <w:rPr>
          <w:rStyle w:val="normaltextrun"/>
          <w:rFonts w:ascii="Garamond" w:hAnsi="Garamond" w:cs="Segoe UI"/>
          <w:sz w:val="22"/>
          <w:szCs w:val="22"/>
        </w:rPr>
        <w:t>–</w:t>
      </w:r>
      <w:r w:rsidRPr="065E7792">
        <w:rPr>
          <w:rStyle w:val="normaltextrun"/>
          <w:rFonts w:ascii="Garamond" w:hAnsi="Garamond" w:cs="Segoe UI"/>
          <w:sz w:val="22"/>
          <w:szCs w:val="22"/>
        </w:rPr>
        <w:t>752.</w:t>
      </w:r>
      <w:r w:rsidRPr="065E7792">
        <w:rPr>
          <w:rStyle w:val="eop"/>
          <w:rFonts w:ascii="Garamond" w:hAnsi="Garamond" w:cs="Segoe UI"/>
          <w:sz w:val="22"/>
          <w:szCs w:val="22"/>
        </w:rPr>
        <w:t xml:space="preserve">  </w:t>
      </w:r>
      <w:r w:rsidR="6B5F48EB" w:rsidRPr="065E7792">
        <w:rPr>
          <w:rStyle w:val="eop"/>
          <w:rFonts w:ascii="Garamond" w:hAnsi="Garamond" w:cs="Segoe UI"/>
          <w:sz w:val="22"/>
          <w:szCs w:val="22"/>
        </w:rPr>
        <w:t>https://doi.org/10.1016/j.jhydrol.2015.03.027.</w:t>
      </w:r>
    </w:p>
    <w:p w14:paraId="38F439BA" w14:textId="11145003" w:rsidR="2FA20DD9" w:rsidRDefault="6B5F48EB" w:rsidP="2FA20DD9">
      <w:pPr>
        <w:pStyle w:val="paragraph"/>
        <w:spacing w:before="0" w:beforeAutospacing="0" w:after="240" w:afterAutospacing="0" w:line="276" w:lineRule="auto"/>
        <w:ind w:left="720" w:hanging="720"/>
        <w:rPr>
          <w:rStyle w:val="normaltextrun"/>
          <w:rFonts w:ascii="Garamond" w:hAnsi="Garamond" w:cs="Segoe UI"/>
          <w:sz w:val="22"/>
          <w:szCs w:val="22"/>
        </w:rPr>
      </w:pPr>
      <w:r w:rsidRPr="065E7792">
        <w:rPr>
          <w:rStyle w:val="normaltextrun"/>
          <w:rFonts w:ascii="Garamond" w:hAnsi="Garamond" w:cs="Segoe UI"/>
          <w:sz w:val="22"/>
          <w:szCs w:val="22"/>
        </w:rPr>
        <w:t xml:space="preserve">Barrera Crespo, P. D., Mosselman, E., Giardino, A., Becker, A., Ottevanger, W., Nabi, M., &amp; Arias-Hidalgo, M. (2019). Sediment budget analysis of the Guayas River using a process-based model. </w:t>
      </w:r>
      <w:r w:rsidRPr="065E7792">
        <w:rPr>
          <w:rStyle w:val="normaltextrun"/>
          <w:rFonts w:ascii="Garamond" w:hAnsi="Garamond" w:cs="Segoe UI"/>
          <w:i/>
          <w:iCs/>
          <w:sz w:val="22"/>
          <w:szCs w:val="22"/>
        </w:rPr>
        <w:t>Hydrology and Earth System Sciences,</w:t>
      </w:r>
      <w:r w:rsidRPr="065E7792">
        <w:rPr>
          <w:rStyle w:val="normaltextrun"/>
          <w:rFonts w:ascii="Garamond" w:hAnsi="Garamond" w:cs="Segoe UI"/>
          <w:sz w:val="22"/>
          <w:szCs w:val="22"/>
        </w:rPr>
        <w:t xml:space="preserve"> </w:t>
      </w:r>
      <w:r w:rsidRPr="065E7792">
        <w:rPr>
          <w:rStyle w:val="normaltextrun"/>
          <w:rFonts w:ascii="Garamond" w:hAnsi="Garamond" w:cs="Segoe UI"/>
          <w:i/>
          <w:iCs/>
          <w:sz w:val="22"/>
          <w:szCs w:val="22"/>
        </w:rPr>
        <w:t>23</w:t>
      </w:r>
      <w:r w:rsidRPr="065E7792">
        <w:rPr>
          <w:rStyle w:val="normaltextrun"/>
          <w:rFonts w:ascii="Garamond" w:hAnsi="Garamond" w:cs="Segoe UI"/>
          <w:sz w:val="22"/>
          <w:szCs w:val="22"/>
        </w:rPr>
        <w:t>(6), 2763</w:t>
      </w:r>
      <w:r w:rsidR="4DCCFA2E" w:rsidRPr="065E7792">
        <w:rPr>
          <w:rStyle w:val="normaltextrun"/>
          <w:rFonts w:ascii="Garamond" w:hAnsi="Garamond" w:cs="Segoe UI"/>
          <w:sz w:val="22"/>
          <w:szCs w:val="22"/>
        </w:rPr>
        <w:t>–</w:t>
      </w:r>
      <w:r w:rsidRPr="065E7792">
        <w:rPr>
          <w:rStyle w:val="normaltextrun"/>
          <w:rFonts w:ascii="Garamond" w:hAnsi="Garamond" w:cs="Segoe UI"/>
          <w:sz w:val="22"/>
          <w:szCs w:val="22"/>
        </w:rPr>
        <w:t>2778. https://doi.org/10.5194/hess-23-2763-2019.</w:t>
      </w:r>
    </w:p>
    <w:p w14:paraId="7F5D0F4C" w14:textId="2CA9FF2A" w:rsidR="13CB051E" w:rsidRDefault="13CB051E" w:rsidP="13CB051E">
      <w:pPr>
        <w:ind w:left="720" w:hanging="720"/>
        <w:jc w:val="left"/>
        <w:rPr>
          <w:rFonts w:eastAsia="Garamond" w:cs="Garamond"/>
          <w:color w:val="000000" w:themeColor="text1"/>
        </w:rPr>
      </w:pPr>
      <w:r w:rsidRPr="13CB051E">
        <w:rPr>
          <w:rFonts w:eastAsia="Garamond" w:cs="Garamond"/>
          <w:color w:val="000000" w:themeColor="text1"/>
        </w:rPr>
        <w:t xml:space="preserve">Carlin, J. A., Lee, G., Dellapenna, T. M., &amp; Laverty, P. (2016). Sediment resuspension by wind, waves, and currents during meteorological frontal passages in a micro-tidal lagoon. </w:t>
      </w:r>
      <w:r w:rsidRPr="13CB051E">
        <w:rPr>
          <w:rFonts w:eastAsia="Garamond" w:cs="Garamond"/>
          <w:i/>
          <w:iCs/>
          <w:color w:val="000000" w:themeColor="text1"/>
        </w:rPr>
        <w:t>Estuarine, Coastal and Shelf Science, 172</w:t>
      </w:r>
      <w:r w:rsidRPr="13CB051E">
        <w:rPr>
          <w:rFonts w:eastAsia="Garamond" w:cs="Garamond"/>
          <w:color w:val="000000" w:themeColor="text1"/>
        </w:rPr>
        <w:t>, 24-33. https://doi.org/10.1016/j.ecss.2016.01.029.</w:t>
      </w:r>
    </w:p>
    <w:p w14:paraId="53E65254" w14:textId="1548616F" w:rsidR="001F4014" w:rsidRPr="009C42FC" w:rsidRDefault="5364EAFD" w:rsidP="13CB051E">
      <w:pPr>
        <w:pStyle w:val="paragraph"/>
        <w:spacing w:before="0" w:beforeAutospacing="0" w:after="240" w:afterAutospacing="0" w:line="276" w:lineRule="auto"/>
        <w:ind w:left="720" w:hanging="720"/>
        <w:textAlignment w:val="baseline"/>
        <w:rPr>
          <w:rFonts w:ascii="Garamond" w:eastAsiaTheme="majorEastAsia" w:hAnsi="Garamond" w:cs="Segoe UI"/>
        </w:rPr>
      </w:pPr>
      <w:r w:rsidRPr="13CB051E">
        <w:rPr>
          <w:rStyle w:val="normaltextrun"/>
          <w:rFonts w:ascii="Garamond" w:hAnsi="Garamond" w:cs="Segoe UI"/>
          <w:sz w:val="22"/>
          <w:szCs w:val="22"/>
        </w:rPr>
        <w:t xml:space="preserve">Chesapeake Bay Program (CBP). (2022). </w:t>
      </w:r>
      <w:r w:rsidRPr="13CB051E">
        <w:rPr>
          <w:rStyle w:val="normaltextrun"/>
          <w:rFonts w:ascii="Garamond" w:hAnsi="Garamond" w:cs="Segoe UI"/>
          <w:i/>
          <w:iCs/>
          <w:sz w:val="22"/>
          <w:szCs w:val="22"/>
        </w:rPr>
        <w:t xml:space="preserve">Chesapeake Bay Program; Science. Restoration. Partnership. </w:t>
      </w:r>
      <w:r w:rsidRPr="13CB051E">
        <w:rPr>
          <w:rStyle w:val="normaltextrun"/>
          <w:rFonts w:ascii="Garamond" w:hAnsi="Garamond" w:cs="Segoe UI"/>
          <w:sz w:val="22"/>
          <w:szCs w:val="22"/>
        </w:rPr>
        <w:t>https://www.chesapeakebay.net/issues/climate_change#:~:text=The%20Chesapeake%20Bay%20is%20one,further%20shifts%20in%20environmental %20conditions.</w:t>
      </w:r>
    </w:p>
    <w:p w14:paraId="45F12FDD" w14:textId="701250E0" w:rsidR="001F4014" w:rsidRPr="009C42FC" w:rsidDel="000B0D5A" w:rsidRDefault="001F4014" w:rsidP="009C42FC">
      <w:pPr>
        <w:pStyle w:val="paragraph"/>
        <w:spacing w:before="0" w:beforeAutospacing="0" w:after="240" w:afterAutospacing="0" w:line="276" w:lineRule="auto"/>
        <w:ind w:left="720" w:hanging="720"/>
        <w:textAlignment w:val="baseline"/>
        <w:rPr>
          <w:rFonts w:ascii="Segoe UI" w:hAnsi="Segoe UI" w:cs="Segoe UI"/>
          <w:sz w:val="18"/>
          <w:szCs w:val="18"/>
        </w:rPr>
      </w:pPr>
      <w:r w:rsidRPr="009C42FC" w:rsidDel="000B0D5A">
        <w:rPr>
          <w:rStyle w:val="normaltextrun"/>
          <w:rFonts w:ascii="Garamond" w:hAnsi="Garamond" w:cs="Segoe UI"/>
          <w:sz w:val="22"/>
          <w:szCs w:val="22"/>
        </w:rPr>
        <w:t xml:space="preserve">Chesapeake Bay Foundation. (2020). </w:t>
      </w:r>
      <w:r w:rsidRPr="009C42FC" w:rsidDel="000B0D5A">
        <w:rPr>
          <w:rStyle w:val="normaltextrun"/>
          <w:rFonts w:ascii="Garamond" w:hAnsi="Garamond" w:cs="Segoe UI"/>
          <w:i/>
          <w:iCs/>
          <w:sz w:val="22"/>
          <w:szCs w:val="22"/>
        </w:rPr>
        <w:t>State of the Bay</w:t>
      </w:r>
      <w:r w:rsidRPr="009C42FC" w:rsidDel="000B0D5A">
        <w:rPr>
          <w:rStyle w:val="normaltextrun"/>
          <w:rFonts w:ascii="Garamond" w:hAnsi="Garamond" w:cs="Segoe UI"/>
          <w:sz w:val="22"/>
          <w:szCs w:val="22"/>
        </w:rPr>
        <w:t>. https://www.cbf.org/document-library/cbf-reports/2020-state-of-the-bay-report.pdf.</w:t>
      </w:r>
      <w:r w:rsidRPr="009C42FC" w:rsidDel="000B0D5A">
        <w:rPr>
          <w:rStyle w:val="eop"/>
          <w:rFonts w:ascii="Garamond" w:eastAsiaTheme="majorEastAsia" w:hAnsi="Garamond" w:cs="Segoe UI"/>
          <w:sz w:val="22"/>
          <w:szCs w:val="22"/>
        </w:rPr>
        <w:t> </w:t>
      </w:r>
    </w:p>
    <w:p w14:paraId="5AB3A4A1" w14:textId="2A04A13B" w:rsidR="001F4014" w:rsidRPr="009C42FC" w:rsidRDefault="169125A2" w:rsidP="2FA20DD9">
      <w:pPr>
        <w:pStyle w:val="paragraph"/>
        <w:spacing w:before="0" w:beforeAutospacing="0" w:after="240" w:afterAutospacing="0" w:line="276" w:lineRule="auto"/>
        <w:ind w:left="720" w:hanging="720"/>
        <w:textAlignment w:val="baseline"/>
        <w:rPr>
          <w:rFonts w:ascii="Segoe UI" w:hAnsi="Segoe UI" w:cs="Segoe UI"/>
          <w:sz w:val="18"/>
          <w:szCs w:val="18"/>
        </w:rPr>
      </w:pPr>
      <w:r w:rsidRPr="2FA20DD9">
        <w:rPr>
          <w:rStyle w:val="normaltextrun"/>
          <w:rFonts w:ascii="Garamond" w:hAnsi="Garamond" w:cs="Segoe UI"/>
          <w:sz w:val="22"/>
          <w:szCs w:val="22"/>
        </w:rPr>
        <w:t>Clune, J. W. &amp; Capel, P. D., eds. (2021). Nitrogen in the Chesapeake Bay watershed—A century of change, 1950–2050 (ver. 1.1, December 2021): U.S. Geological Survey Circular 1486, 168 p., https://doi.org/10.3133/cir1486. </w:t>
      </w:r>
      <w:r w:rsidRPr="2FA20DD9">
        <w:rPr>
          <w:rStyle w:val="eop"/>
          <w:rFonts w:ascii="Garamond" w:eastAsiaTheme="majorEastAsia" w:hAnsi="Garamond" w:cs="Segoe UI"/>
          <w:sz w:val="22"/>
          <w:szCs w:val="22"/>
        </w:rPr>
        <w:t> </w:t>
      </w:r>
    </w:p>
    <w:p w14:paraId="74E5AA64" w14:textId="7443504E" w:rsidR="005B78BD" w:rsidRPr="009C42FC" w:rsidRDefault="060B48FC" w:rsidP="2FA20DD9">
      <w:pPr>
        <w:pStyle w:val="paragraph"/>
        <w:spacing w:before="0" w:beforeAutospacing="0" w:after="240" w:afterAutospacing="0" w:line="276" w:lineRule="auto"/>
        <w:ind w:left="720" w:hanging="720"/>
        <w:textAlignment w:val="baseline"/>
        <w:rPr>
          <w:rStyle w:val="normaltextrun"/>
          <w:rFonts w:ascii="Garamond" w:hAnsi="Garamond" w:cs="Segoe UI"/>
          <w:sz w:val="22"/>
          <w:szCs w:val="22"/>
        </w:rPr>
      </w:pPr>
      <w:r w:rsidRPr="065E7792">
        <w:rPr>
          <w:rStyle w:val="normaltextrun"/>
          <w:rFonts w:ascii="Garamond" w:hAnsi="Garamond" w:cs="Segoe UI"/>
          <w:sz w:val="22"/>
          <w:szCs w:val="22"/>
        </w:rPr>
        <w:t xml:space="preserve">Costa, D., Avelino, R., Sára, S., Thomazini, L., Aurélio, M., &amp; Caiado, C. (2015). Application of the SWAT Hydrologic Model to a Tropical Watershed at Brazil. </w:t>
      </w:r>
      <w:r w:rsidRPr="065E7792">
        <w:rPr>
          <w:rStyle w:val="normaltextrun"/>
          <w:rFonts w:ascii="Garamond" w:hAnsi="Garamond" w:cs="Segoe UI"/>
          <w:i/>
          <w:iCs/>
          <w:sz w:val="22"/>
          <w:szCs w:val="22"/>
        </w:rPr>
        <w:t>Catena</w:t>
      </w:r>
      <w:r w:rsidRPr="065E7792">
        <w:rPr>
          <w:rStyle w:val="normaltextrun"/>
          <w:rFonts w:ascii="Garamond" w:hAnsi="Garamond" w:cs="Segoe UI"/>
          <w:sz w:val="22"/>
          <w:szCs w:val="22"/>
        </w:rPr>
        <w:t xml:space="preserve">, </w:t>
      </w:r>
      <w:r w:rsidRPr="065E7792">
        <w:rPr>
          <w:rStyle w:val="normaltextrun"/>
          <w:rFonts w:ascii="Garamond" w:hAnsi="Garamond" w:cs="Segoe UI"/>
          <w:i/>
          <w:iCs/>
          <w:sz w:val="22"/>
          <w:szCs w:val="22"/>
        </w:rPr>
        <w:t>125</w:t>
      </w:r>
      <w:r w:rsidRPr="065E7792">
        <w:rPr>
          <w:rStyle w:val="normaltextrun"/>
          <w:rFonts w:ascii="Garamond" w:hAnsi="Garamond" w:cs="Segoe UI"/>
          <w:sz w:val="22"/>
          <w:szCs w:val="22"/>
        </w:rPr>
        <w:t>, 206</w:t>
      </w:r>
      <w:r w:rsidR="4DCCFA2E" w:rsidRPr="065E7792">
        <w:rPr>
          <w:rStyle w:val="normaltextrun"/>
          <w:rFonts w:ascii="Garamond" w:hAnsi="Garamond" w:cs="Segoe UI"/>
          <w:sz w:val="22"/>
          <w:szCs w:val="22"/>
        </w:rPr>
        <w:t>–</w:t>
      </w:r>
      <w:r w:rsidRPr="065E7792">
        <w:rPr>
          <w:rStyle w:val="normaltextrun"/>
          <w:rFonts w:ascii="Garamond" w:hAnsi="Garamond" w:cs="Segoe UI"/>
          <w:sz w:val="22"/>
          <w:szCs w:val="22"/>
        </w:rPr>
        <w:t>213. https://doi.org/10.1016/j.catena.2014.10.032.</w:t>
      </w:r>
    </w:p>
    <w:p w14:paraId="168D8AB2" w14:textId="2134A028" w:rsidR="0090063B" w:rsidRPr="009C42FC" w:rsidRDefault="4DCCFA2E" w:rsidP="2FA20DD9">
      <w:pPr>
        <w:pStyle w:val="paragraph"/>
        <w:spacing w:before="0" w:beforeAutospacing="0" w:after="240" w:afterAutospacing="0" w:line="276" w:lineRule="auto"/>
        <w:ind w:left="720" w:hanging="720"/>
        <w:textAlignment w:val="baseline"/>
        <w:rPr>
          <w:rStyle w:val="normaltextrun"/>
          <w:rFonts w:ascii="Garamond" w:hAnsi="Garamond" w:cs="Segoe UI"/>
          <w:sz w:val="22"/>
          <w:szCs w:val="22"/>
        </w:rPr>
      </w:pPr>
      <w:r w:rsidRPr="065E7792">
        <w:rPr>
          <w:rStyle w:val="normaltextrun"/>
          <w:rFonts w:ascii="Garamond" w:hAnsi="Garamond" w:cs="Segoe UI"/>
          <w:sz w:val="22"/>
          <w:szCs w:val="22"/>
        </w:rPr>
        <w:t xml:space="preserve">Darby, S., Dunn, F., Nicholls, R., Rahman, M., &amp; Riddy, L. (2015). A first look at the influence of anthropogenic climate change on the future delivery of fluvial sediment to the Ganges–Brahmaputra–Meghna delta. </w:t>
      </w:r>
      <w:r w:rsidRPr="065E7792">
        <w:rPr>
          <w:rStyle w:val="normaltextrun"/>
          <w:rFonts w:ascii="Garamond" w:hAnsi="Garamond" w:cs="Segoe UI"/>
          <w:i/>
          <w:iCs/>
          <w:sz w:val="22"/>
          <w:szCs w:val="22"/>
        </w:rPr>
        <w:t>Environmental Science: Processes &amp; Impacts,</w:t>
      </w:r>
      <w:r w:rsidRPr="065E7792">
        <w:rPr>
          <w:rStyle w:val="normaltextrun"/>
          <w:rFonts w:ascii="Garamond" w:hAnsi="Garamond" w:cs="Segoe UI"/>
          <w:sz w:val="22"/>
          <w:szCs w:val="22"/>
        </w:rPr>
        <w:t xml:space="preserve"> </w:t>
      </w:r>
      <w:r w:rsidRPr="065E7792">
        <w:rPr>
          <w:rStyle w:val="normaltextrun"/>
          <w:rFonts w:ascii="Garamond" w:hAnsi="Garamond" w:cs="Segoe UI"/>
          <w:i/>
          <w:iCs/>
          <w:sz w:val="22"/>
          <w:szCs w:val="22"/>
        </w:rPr>
        <w:t>17</w:t>
      </w:r>
      <w:r w:rsidRPr="065E7792">
        <w:rPr>
          <w:rStyle w:val="normaltextrun"/>
          <w:rFonts w:ascii="Garamond" w:hAnsi="Garamond" w:cs="Segoe UI"/>
          <w:sz w:val="22"/>
          <w:szCs w:val="22"/>
        </w:rPr>
        <w:t xml:space="preserve">(9), 1587–1600. https://doi.org/10.1039/C5EM00252D. </w:t>
      </w:r>
    </w:p>
    <w:p w14:paraId="38BF9AFE" w14:textId="5D807A72" w:rsidR="001F4014" w:rsidRPr="009C42FC" w:rsidRDefault="7C7883F2" w:rsidP="2FA20DD9">
      <w:pPr>
        <w:pStyle w:val="paragraph"/>
        <w:spacing w:before="0" w:beforeAutospacing="0" w:after="240" w:afterAutospacing="0" w:line="276" w:lineRule="auto"/>
        <w:ind w:left="720" w:hanging="720"/>
        <w:textAlignment w:val="baseline"/>
        <w:rPr>
          <w:rFonts w:ascii="Segoe UI" w:hAnsi="Segoe UI" w:cs="Segoe UI"/>
          <w:sz w:val="18"/>
          <w:szCs w:val="18"/>
        </w:rPr>
      </w:pPr>
      <w:r w:rsidRPr="065E7792">
        <w:rPr>
          <w:rStyle w:val="normaltextrun"/>
          <w:rFonts w:ascii="Garamond" w:hAnsi="Garamond" w:cs="Segoe UI"/>
          <w:sz w:val="22"/>
          <w:szCs w:val="22"/>
        </w:rPr>
        <w:t xml:space="preserve">Elhag, M., Gitas, I., Othman, A., Bahrawi, J., &amp; Gikas, P. (2019). Assessment of water quality parameters using temporal remote sensing spectral reflectance in arid environments, Saudi Arabia. </w:t>
      </w:r>
      <w:r w:rsidRPr="065E7792">
        <w:rPr>
          <w:rStyle w:val="normaltextrun"/>
          <w:rFonts w:ascii="Garamond" w:hAnsi="Garamond" w:cs="Segoe UI"/>
          <w:i/>
          <w:iCs/>
          <w:sz w:val="22"/>
          <w:szCs w:val="22"/>
        </w:rPr>
        <w:t>Water</w:t>
      </w:r>
      <w:r w:rsidRPr="065E7792">
        <w:rPr>
          <w:rStyle w:val="normaltextrun"/>
          <w:rFonts w:ascii="Garamond" w:hAnsi="Garamond" w:cs="Segoe UI"/>
          <w:sz w:val="22"/>
          <w:szCs w:val="22"/>
        </w:rPr>
        <w:t xml:space="preserve">, </w:t>
      </w:r>
      <w:r w:rsidRPr="065E7792">
        <w:rPr>
          <w:rStyle w:val="normaltextrun"/>
          <w:rFonts w:ascii="Garamond" w:hAnsi="Garamond" w:cs="Segoe UI"/>
          <w:i/>
          <w:iCs/>
          <w:sz w:val="22"/>
          <w:szCs w:val="22"/>
        </w:rPr>
        <w:t>11</w:t>
      </w:r>
      <w:r w:rsidRPr="065E7792">
        <w:rPr>
          <w:rStyle w:val="normaltextrun"/>
          <w:rFonts w:ascii="Garamond" w:hAnsi="Garamond" w:cs="Segoe UI"/>
          <w:sz w:val="22"/>
          <w:szCs w:val="22"/>
        </w:rPr>
        <w:t>(56). https://doi.org/10.3390/w11030556. </w:t>
      </w:r>
      <w:r w:rsidRPr="065E7792">
        <w:rPr>
          <w:rStyle w:val="eop"/>
          <w:rFonts w:ascii="Garamond" w:eastAsiaTheme="majorEastAsia" w:hAnsi="Garamond" w:cs="Segoe UI"/>
          <w:sz w:val="22"/>
          <w:szCs w:val="22"/>
        </w:rPr>
        <w:t> </w:t>
      </w:r>
    </w:p>
    <w:p w14:paraId="29A9C855" w14:textId="1BE2BACB" w:rsidR="001F4014" w:rsidRPr="009C42FC" w:rsidRDefault="48B0BAF4" w:rsidP="065E7792">
      <w:pPr>
        <w:pStyle w:val="paragraph"/>
        <w:spacing w:before="0" w:beforeAutospacing="0" w:after="240" w:afterAutospacing="0" w:line="276" w:lineRule="auto"/>
        <w:ind w:left="720" w:hanging="720"/>
        <w:textAlignment w:val="baseline"/>
        <w:rPr>
          <w:rFonts w:ascii="Segoe UI" w:hAnsi="Segoe UI" w:cs="Segoe UI"/>
          <w:sz w:val="18"/>
          <w:szCs w:val="18"/>
        </w:rPr>
      </w:pPr>
      <w:r w:rsidRPr="6A7FCD73">
        <w:rPr>
          <w:rStyle w:val="normaltextrun"/>
          <w:rFonts w:ascii="Garamond" w:hAnsi="Garamond" w:cs="Segoe UI"/>
          <w:sz w:val="22"/>
          <w:szCs w:val="22"/>
        </w:rPr>
        <w:lastRenderedPageBreak/>
        <w:t>Food and Agriculture Organization of the United Nations</w:t>
      </w:r>
      <w:r w:rsidR="0F9C15BA" w:rsidRPr="6A7FCD73">
        <w:rPr>
          <w:rStyle w:val="normaltextrun"/>
          <w:rFonts w:ascii="Garamond" w:hAnsi="Garamond" w:cs="Segoe UI"/>
          <w:sz w:val="22"/>
          <w:szCs w:val="22"/>
        </w:rPr>
        <w:t xml:space="preserve"> (FAO)</w:t>
      </w:r>
      <w:r w:rsidRPr="6A7FCD73">
        <w:rPr>
          <w:rStyle w:val="normaltextrun"/>
          <w:rFonts w:ascii="Garamond" w:hAnsi="Garamond" w:cs="Segoe UI"/>
          <w:sz w:val="22"/>
          <w:szCs w:val="22"/>
        </w:rPr>
        <w:t>. (2007). Digital Soil Map of the World (3.6) [Digital map]. FAO Map Catalog. https://data.apps.fao.org/map/catalog/srv/eng/catalog.search?id=14116#/metadata/446ed430-8383-11db-b9b2-000d939bc5d8.</w:t>
      </w:r>
      <w:r w:rsidRPr="6A7FCD73">
        <w:rPr>
          <w:rStyle w:val="eop"/>
          <w:rFonts w:ascii="Garamond" w:eastAsiaTheme="majorEastAsia" w:hAnsi="Garamond" w:cs="Segoe UI"/>
          <w:sz w:val="22"/>
          <w:szCs w:val="22"/>
        </w:rPr>
        <w:t> </w:t>
      </w:r>
    </w:p>
    <w:p w14:paraId="6BE05B38" w14:textId="31932EC9" w:rsidR="0090063B" w:rsidRPr="009C42FC" w:rsidRDefault="799E774B" w:rsidP="2FA20DD9">
      <w:pPr>
        <w:pStyle w:val="paragraph"/>
        <w:spacing w:after="240" w:afterAutospacing="0" w:line="276" w:lineRule="auto"/>
        <w:ind w:left="720" w:hanging="720"/>
        <w:textAlignment w:val="baseline"/>
        <w:rPr>
          <w:rStyle w:val="normaltextrun"/>
          <w:rFonts w:ascii="Garamond" w:hAnsi="Garamond" w:cs="Segoe UI"/>
          <w:sz w:val="22"/>
          <w:szCs w:val="22"/>
        </w:rPr>
      </w:pPr>
      <w:r w:rsidRPr="2FA20DD9">
        <w:rPr>
          <w:rStyle w:val="normaltextrun"/>
          <w:rFonts w:ascii="Garamond" w:hAnsi="Garamond" w:cs="Segoe UI"/>
          <w:sz w:val="22"/>
          <w:szCs w:val="22"/>
        </w:rPr>
        <w:t xml:space="preserve">Galloway, J. M., Evans, D. A., &amp; Green, W. R. (2005). Comparability of suspended-sediment concentration and total suspended-solids data for two sites on the L’Anguille River, Arkansas, 2001 to 2003. </w:t>
      </w:r>
      <w:r w:rsidR="2FA20DD9" w:rsidRPr="2FA20DD9">
        <w:rPr>
          <w:rStyle w:val="normaltextrun"/>
          <w:rFonts w:ascii="Garamond" w:hAnsi="Garamond" w:cs="Segoe UI"/>
          <w:sz w:val="22"/>
          <w:szCs w:val="22"/>
        </w:rPr>
        <w:t>U.S. Geological Survey Scientific Investigations Report</w:t>
      </w:r>
      <w:r w:rsidRPr="2FA20DD9">
        <w:rPr>
          <w:rStyle w:val="normaltextrun"/>
          <w:rFonts w:ascii="Garamond" w:hAnsi="Garamond" w:cs="Segoe UI"/>
          <w:sz w:val="22"/>
          <w:szCs w:val="22"/>
        </w:rPr>
        <w:t xml:space="preserve"> 2005-5193. </w:t>
      </w:r>
    </w:p>
    <w:p w14:paraId="5A9CAD9A" w14:textId="0FE30895" w:rsidR="0090063B" w:rsidRPr="009C42FC" w:rsidRDefault="4DCCFA2E" w:rsidP="2FA20DD9">
      <w:pPr>
        <w:pStyle w:val="paragraph"/>
        <w:spacing w:after="240" w:afterAutospacing="0" w:line="276" w:lineRule="auto"/>
        <w:ind w:left="720" w:hanging="720"/>
        <w:textAlignment w:val="baseline"/>
        <w:rPr>
          <w:rStyle w:val="normaltextrun"/>
          <w:rFonts w:ascii="Garamond" w:hAnsi="Garamond" w:cs="Segoe UI"/>
          <w:sz w:val="22"/>
          <w:szCs w:val="22"/>
        </w:rPr>
      </w:pPr>
      <w:r w:rsidRPr="065E7792">
        <w:rPr>
          <w:rStyle w:val="normaltextrun"/>
          <w:rFonts w:ascii="Garamond" w:hAnsi="Garamond" w:cs="Segoe UI"/>
          <w:sz w:val="22"/>
          <w:szCs w:val="22"/>
        </w:rPr>
        <w:t xml:space="preserve">Ghoraba, S. M. (2015). Hydrological Modeling of the Simly Dam Watershed (Pakistan) Using GIS and SWAT Model. </w:t>
      </w:r>
      <w:r w:rsidRPr="065E7792">
        <w:rPr>
          <w:rStyle w:val="normaltextrun"/>
          <w:rFonts w:ascii="Garamond" w:hAnsi="Garamond" w:cs="Segoe UI"/>
          <w:i/>
          <w:iCs/>
          <w:sz w:val="22"/>
          <w:szCs w:val="22"/>
        </w:rPr>
        <w:t>Alexandria Engineering Journal,</w:t>
      </w:r>
      <w:r w:rsidRPr="065E7792">
        <w:rPr>
          <w:rStyle w:val="normaltextrun"/>
          <w:rFonts w:ascii="Garamond" w:hAnsi="Garamond" w:cs="Segoe UI"/>
          <w:sz w:val="22"/>
          <w:szCs w:val="22"/>
        </w:rPr>
        <w:t xml:space="preserve"> </w:t>
      </w:r>
      <w:r w:rsidRPr="065E7792">
        <w:rPr>
          <w:rStyle w:val="normaltextrun"/>
          <w:rFonts w:ascii="Garamond" w:hAnsi="Garamond" w:cs="Segoe UI"/>
          <w:i/>
          <w:iCs/>
          <w:sz w:val="22"/>
          <w:szCs w:val="22"/>
        </w:rPr>
        <w:t>54</w:t>
      </w:r>
      <w:r w:rsidRPr="065E7792">
        <w:rPr>
          <w:rStyle w:val="normaltextrun"/>
          <w:rFonts w:ascii="Garamond" w:hAnsi="Garamond" w:cs="Segoe UI"/>
          <w:sz w:val="22"/>
          <w:szCs w:val="22"/>
        </w:rPr>
        <w:t xml:space="preserve">, 583–594. https://doi.org/10.1016/j.aej.2015.05.018. </w:t>
      </w:r>
    </w:p>
    <w:p w14:paraId="31E06AA6" w14:textId="4D080695" w:rsidR="0090063B" w:rsidRPr="009C42FC" w:rsidRDefault="38E4354B" w:rsidP="2FA20DD9">
      <w:pPr>
        <w:pStyle w:val="paragraph"/>
        <w:spacing w:after="240" w:afterAutospacing="0" w:line="276" w:lineRule="auto"/>
        <w:ind w:left="720" w:hanging="720"/>
        <w:textAlignment w:val="baseline"/>
        <w:rPr>
          <w:rStyle w:val="normaltextrun"/>
          <w:rFonts w:ascii="Garamond" w:hAnsi="Garamond" w:cs="Segoe UI"/>
          <w:sz w:val="22"/>
          <w:szCs w:val="22"/>
        </w:rPr>
      </w:pPr>
      <w:r w:rsidRPr="6A7FCD73">
        <w:rPr>
          <w:rStyle w:val="normaltextrun"/>
          <w:rFonts w:ascii="Garamond" w:hAnsi="Garamond" w:cs="Segoe UI"/>
          <w:sz w:val="22"/>
          <w:szCs w:val="22"/>
        </w:rPr>
        <w:t xml:space="preserve">Giardino, A., Schrijvershof, R., Nederhoff, C., De Vroeg, H., Brière, C., Tonnon, P., Caires, S., Walstra, D., Sosa, J., Van Verseveld, W., &amp; Schellekens, J. (2018). A quantitative assessment of human interventions and climate change on the West African sediment budget. Ocean </w:t>
      </w:r>
      <w:r w:rsidR="04B6FD64" w:rsidRPr="6A7FCD73">
        <w:rPr>
          <w:rStyle w:val="normaltextrun"/>
          <w:rFonts w:ascii="Garamond" w:hAnsi="Garamond" w:cs="Segoe UI"/>
          <w:sz w:val="22"/>
          <w:szCs w:val="22"/>
        </w:rPr>
        <w:t xml:space="preserve">&amp; </w:t>
      </w:r>
      <w:r w:rsidRPr="6A7FCD73">
        <w:rPr>
          <w:rStyle w:val="normaltextrun"/>
          <w:rFonts w:ascii="Garamond" w:hAnsi="Garamond" w:cs="Segoe UI"/>
          <w:sz w:val="22"/>
          <w:szCs w:val="22"/>
        </w:rPr>
        <w:t>Coast</w:t>
      </w:r>
      <w:r w:rsidR="7AA9346A" w:rsidRPr="6A7FCD73">
        <w:rPr>
          <w:rStyle w:val="normaltextrun"/>
          <w:rFonts w:ascii="Garamond" w:hAnsi="Garamond" w:cs="Segoe UI"/>
          <w:sz w:val="22"/>
          <w:szCs w:val="22"/>
        </w:rPr>
        <w:t>al</w:t>
      </w:r>
      <w:r w:rsidRPr="6A7FCD73">
        <w:rPr>
          <w:rStyle w:val="normaltextrun"/>
          <w:rFonts w:ascii="Garamond" w:hAnsi="Garamond" w:cs="Segoe UI"/>
          <w:sz w:val="22"/>
          <w:szCs w:val="22"/>
        </w:rPr>
        <w:t xml:space="preserve"> Manage</w:t>
      </w:r>
      <w:r w:rsidR="2CD065C6" w:rsidRPr="6A7FCD73">
        <w:rPr>
          <w:rStyle w:val="normaltextrun"/>
          <w:rFonts w:ascii="Garamond" w:hAnsi="Garamond" w:cs="Segoe UI"/>
          <w:sz w:val="22"/>
          <w:szCs w:val="22"/>
        </w:rPr>
        <w:t>ment</w:t>
      </w:r>
      <w:r w:rsidRPr="6A7FCD73">
        <w:rPr>
          <w:rStyle w:val="normaltextrun"/>
          <w:rFonts w:ascii="Garamond" w:hAnsi="Garamond" w:cs="Segoe UI"/>
          <w:sz w:val="22"/>
          <w:szCs w:val="22"/>
        </w:rPr>
        <w:t xml:space="preserve">, </w:t>
      </w:r>
      <w:r w:rsidRPr="6A7FCD73">
        <w:rPr>
          <w:rStyle w:val="normaltextrun"/>
          <w:rFonts w:ascii="Garamond" w:hAnsi="Garamond" w:cs="Segoe UI"/>
          <w:i/>
          <w:iCs/>
          <w:sz w:val="22"/>
          <w:szCs w:val="22"/>
        </w:rPr>
        <w:t>156</w:t>
      </w:r>
      <w:r w:rsidRPr="6A7FCD73">
        <w:rPr>
          <w:rStyle w:val="normaltextrun"/>
          <w:rFonts w:ascii="Garamond" w:hAnsi="Garamond" w:cs="Segoe UI"/>
          <w:sz w:val="22"/>
          <w:szCs w:val="22"/>
        </w:rPr>
        <w:t>, 249–265. https://doi.org/10.1016/j.ocecoaman.2017.11.008</w:t>
      </w:r>
    </w:p>
    <w:p w14:paraId="33BEB176" w14:textId="3A248CB9" w:rsidR="2FA20DD9" w:rsidRDefault="4644A351" w:rsidP="065E7792">
      <w:pPr>
        <w:pStyle w:val="paragraph"/>
        <w:spacing w:before="0" w:beforeAutospacing="0" w:after="240" w:afterAutospacing="0" w:line="276" w:lineRule="auto"/>
        <w:ind w:left="720" w:hanging="720"/>
        <w:rPr>
          <w:rFonts w:ascii="Garamond" w:eastAsia="Garamond" w:hAnsi="Garamond" w:cs="Garamond"/>
          <w:sz w:val="22"/>
          <w:szCs w:val="22"/>
        </w:rPr>
      </w:pPr>
      <w:r w:rsidRPr="065E7792">
        <w:rPr>
          <w:rFonts w:ascii="Garamond" w:eastAsia="Garamond" w:hAnsi="Garamond" w:cs="Garamond"/>
          <w:sz w:val="22"/>
          <w:szCs w:val="22"/>
        </w:rPr>
        <w:t>HAWQS. (2020). HAWQS System and Data to model the lower 48 conterminous U.S using the SWAT model, Texas Data Repository Dataverse, V1. https://doi.org/10.18738/T8/XN3TE0.</w:t>
      </w:r>
    </w:p>
    <w:p w14:paraId="71773859" w14:textId="2C1AEE8A" w:rsidR="001F4014" w:rsidRPr="009C42FC" w:rsidDel="000B0D5A" w:rsidRDefault="553B3ACF" w:rsidP="2FA20DD9">
      <w:pPr>
        <w:pStyle w:val="paragraph"/>
        <w:spacing w:before="0" w:beforeAutospacing="0" w:after="240" w:afterAutospacing="0" w:line="276" w:lineRule="auto"/>
        <w:ind w:left="720" w:hanging="720"/>
        <w:textAlignment w:val="baseline"/>
        <w:rPr>
          <w:rFonts w:ascii="Segoe UI" w:hAnsi="Segoe UI" w:cs="Segoe UI"/>
          <w:sz w:val="18"/>
          <w:szCs w:val="18"/>
        </w:rPr>
      </w:pPr>
      <w:r w:rsidRPr="065E7792" w:rsidDel="000B0D5A">
        <w:rPr>
          <w:rStyle w:val="normaltextrun"/>
          <w:rFonts w:ascii="Garamond" w:hAnsi="Garamond" w:cs="Segoe UI"/>
          <w:sz w:val="22"/>
          <w:szCs w:val="22"/>
        </w:rPr>
        <w:t xml:space="preserve">Heck, K. L., &amp; Orth, R. J. (1980). Structural components of eelgrass (Zostera marina) meadows in the lower Chesapeake Bay—Decapod Crustacea. </w:t>
      </w:r>
      <w:r w:rsidRPr="065E7792" w:rsidDel="000B0D5A">
        <w:rPr>
          <w:rStyle w:val="normaltextrun"/>
          <w:rFonts w:ascii="Garamond" w:hAnsi="Garamond" w:cs="Segoe UI"/>
          <w:i/>
          <w:iCs/>
          <w:sz w:val="22"/>
          <w:szCs w:val="22"/>
        </w:rPr>
        <w:t>Estuaries</w:t>
      </w:r>
      <w:r w:rsidRPr="065E7792" w:rsidDel="000B0D5A">
        <w:rPr>
          <w:rStyle w:val="normaltextrun"/>
          <w:rFonts w:ascii="Garamond" w:hAnsi="Garamond" w:cs="Segoe UI"/>
          <w:sz w:val="22"/>
          <w:szCs w:val="22"/>
        </w:rPr>
        <w:t xml:space="preserve">, </w:t>
      </w:r>
      <w:r w:rsidRPr="065E7792" w:rsidDel="000B0D5A">
        <w:rPr>
          <w:rStyle w:val="normaltextrun"/>
          <w:rFonts w:ascii="Garamond" w:hAnsi="Garamond" w:cs="Segoe UI"/>
          <w:i/>
          <w:iCs/>
          <w:sz w:val="22"/>
          <w:szCs w:val="22"/>
        </w:rPr>
        <w:t>3</w:t>
      </w:r>
      <w:r w:rsidRPr="065E7792" w:rsidDel="000B0D5A">
        <w:rPr>
          <w:rStyle w:val="normaltextrun"/>
          <w:rFonts w:ascii="Garamond" w:hAnsi="Garamond" w:cs="Segoe UI"/>
          <w:sz w:val="22"/>
          <w:szCs w:val="22"/>
        </w:rPr>
        <w:t>(4), 289–295.</w:t>
      </w:r>
      <w:r w:rsidRPr="065E7792" w:rsidDel="000B0D5A">
        <w:rPr>
          <w:rStyle w:val="eop"/>
          <w:rFonts w:ascii="Garamond" w:eastAsiaTheme="majorEastAsia" w:hAnsi="Garamond" w:cs="Segoe UI"/>
          <w:sz w:val="22"/>
          <w:szCs w:val="22"/>
        </w:rPr>
        <w:t> </w:t>
      </w:r>
      <w:r w:rsidR="6B5F48EB" w:rsidRPr="065E7792" w:rsidDel="000B0D5A">
        <w:rPr>
          <w:rStyle w:val="eop"/>
          <w:rFonts w:ascii="Garamond" w:eastAsiaTheme="majorEastAsia" w:hAnsi="Garamond" w:cs="Segoe UI"/>
          <w:sz w:val="22"/>
          <w:szCs w:val="22"/>
        </w:rPr>
        <w:t>https://doi.org/10.2307/1352084.</w:t>
      </w:r>
    </w:p>
    <w:p w14:paraId="6F010975" w14:textId="0E127B4F" w:rsidR="13CB051E" w:rsidDel="000B0D5A" w:rsidRDefault="5C506AAF" w:rsidP="13CB051E">
      <w:pPr>
        <w:pStyle w:val="paragraph"/>
        <w:spacing w:before="0" w:beforeAutospacing="0" w:after="240" w:afterAutospacing="0" w:line="276" w:lineRule="auto"/>
        <w:ind w:left="720" w:hanging="720"/>
        <w:rPr>
          <w:rStyle w:val="normaltextrun"/>
          <w:rFonts w:ascii="Garamond" w:hAnsi="Garamond" w:cs="Segoe UI"/>
          <w:sz w:val="22"/>
          <w:szCs w:val="22"/>
        </w:rPr>
      </w:pPr>
      <w:r w:rsidRPr="065E7792" w:rsidDel="000B0D5A">
        <w:rPr>
          <w:rStyle w:val="normaltextrun"/>
          <w:rFonts w:ascii="Garamond" w:hAnsi="Garamond" w:cs="Segoe UI"/>
          <w:sz w:val="22"/>
          <w:szCs w:val="22"/>
        </w:rPr>
        <w:t xml:space="preserve">Huffman, G. J., Stocker, E. F., Bolvin, D. T., Nelkin, E. J., &amp; Tan, J. (2019). GPM IMERG Final Precipitation L3 1 month </w:t>
      </w:r>
      <w:proofErr w:type="gramStart"/>
      <w:r w:rsidRPr="065E7792" w:rsidDel="000B0D5A">
        <w:rPr>
          <w:rStyle w:val="normaltextrun"/>
          <w:rFonts w:ascii="Garamond" w:hAnsi="Garamond" w:cs="Segoe UI"/>
          <w:sz w:val="22"/>
          <w:szCs w:val="22"/>
        </w:rPr>
        <w:t>0.1 degree</w:t>
      </w:r>
      <w:proofErr w:type="gramEnd"/>
      <w:r w:rsidRPr="065E7792" w:rsidDel="000B0D5A">
        <w:rPr>
          <w:rStyle w:val="normaltextrun"/>
          <w:rFonts w:ascii="Garamond" w:hAnsi="Garamond" w:cs="Segoe UI"/>
          <w:sz w:val="22"/>
          <w:szCs w:val="22"/>
        </w:rPr>
        <w:t xml:space="preserve"> x 0.1 degree V06, Greenbelt, MD, Goddard Earth Sciences Data and Information Services Center (GES DISC). Accessed: [20 </w:t>
      </w:r>
      <w:proofErr w:type="gramStart"/>
      <w:r w:rsidRPr="065E7792" w:rsidDel="000B0D5A">
        <w:rPr>
          <w:rStyle w:val="normaltextrun"/>
          <w:rFonts w:ascii="Garamond" w:hAnsi="Garamond" w:cs="Segoe UI"/>
          <w:sz w:val="22"/>
          <w:szCs w:val="22"/>
        </w:rPr>
        <w:t>July,</w:t>
      </w:r>
      <w:proofErr w:type="gramEnd"/>
      <w:r w:rsidRPr="065E7792" w:rsidDel="000B0D5A">
        <w:rPr>
          <w:rStyle w:val="normaltextrun"/>
          <w:rFonts w:ascii="Garamond" w:hAnsi="Garamond" w:cs="Segoe UI"/>
          <w:sz w:val="22"/>
          <w:szCs w:val="22"/>
        </w:rPr>
        <w:t xml:space="preserve"> 2022]. https://doi.org/10.5067/GPM/IMERG/3B-MONTH/06.</w:t>
      </w:r>
    </w:p>
    <w:p w14:paraId="05B99583" w14:textId="260FAA06" w:rsidR="001F4014" w:rsidRPr="009C42FC" w:rsidRDefault="553B3ACF" w:rsidP="065E7792">
      <w:pPr>
        <w:pStyle w:val="paragraph"/>
        <w:spacing w:before="0" w:beforeAutospacing="0" w:after="240" w:afterAutospacing="0" w:line="276" w:lineRule="auto"/>
        <w:ind w:left="720" w:hanging="720"/>
        <w:textAlignment w:val="baseline"/>
        <w:rPr>
          <w:rFonts w:ascii="Garamond" w:eastAsiaTheme="majorEastAsia" w:hAnsi="Garamond" w:cs="Segoe UI"/>
          <w:color w:val="000000" w:themeColor="text1"/>
          <w:sz w:val="22"/>
          <w:szCs w:val="22"/>
        </w:rPr>
      </w:pPr>
      <w:r w:rsidRPr="065E7792">
        <w:rPr>
          <w:rStyle w:val="normaltextrun"/>
          <w:rFonts w:ascii="Garamond" w:hAnsi="Garamond" w:cs="Segoe UI"/>
          <w:sz w:val="22"/>
          <w:szCs w:val="22"/>
        </w:rPr>
        <w:t>Johnson, T., Butch</w:t>
      </w:r>
      <w:r w:rsidRPr="065E7792">
        <w:rPr>
          <w:rStyle w:val="normaltextrun"/>
          <w:rFonts w:ascii="Garamond" w:hAnsi="Garamond" w:cs="Segoe UI"/>
          <w:color w:val="000000" w:themeColor="text1"/>
          <w:sz w:val="22"/>
          <w:szCs w:val="22"/>
        </w:rPr>
        <w:t>er, J., Deb, D., Faizullabhoy, M., Hummel, P., Kittle, J., McGinnis, S., Mearns, L. O., Nover, D., Parker, A., Sarkar, S., Srinivasan, R., Tuppad, P., Warren, M., Weaver, C., &amp; Witt, J. (2015). Modeling streamflow and water quality sensitivity to climate change and urban development in 20 U.S. watersheds.</w:t>
      </w:r>
      <w:r w:rsidRPr="065E7792">
        <w:rPr>
          <w:rStyle w:val="normaltextrun"/>
          <w:rFonts w:ascii="Garamond" w:hAnsi="Garamond" w:cs="Segoe UI"/>
          <w:i/>
          <w:iCs/>
          <w:color w:val="000000" w:themeColor="text1"/>
          <w:sz w:val="22"/>
          <w:szCs w:val="22"/>
        </w:rPr>
        <w:t xml:space="preserve"> Journal of the American Water Resources Association</w:t>
      </w:r>
      <w:r w:rsidRPr="065E7792">
        <w:rPr>
          <w:rStyle w:val="normaltextrun"/>
          <w:rFonts w:ascii="Garamond" w:hAnsi="Garamond" w:cs="Segoe UI"/>
          <w:color w:val="000000" w:themeColor="text1"/>
          <w:sz w:val="22"/>
          <w:szCs w:val="22"/>
        </w:rPr>
        <w:t xml:space="preserve">, </w:t>
      </w:r>
      <w:r w:rsidRPr="065E7792">
        <w:rPr>
          <w:rStyle w:val="normaltextrun"/>
          <w:rFonts w:ascii="Garamond" w:hAnsi="Garamond" w:cs="Segoe UI"/>
          <w:i/>
          <w:iCs/>
          <w:color w:val="000000" w:themeColor="text1"/>
          <w:sz w:val="22"/>
          <w:szCs w:val="22"/>
        </w:rPr>
        <w:t>51</w:t>
      </w:r>
      <w:r w:rsidRPr="065E7792">
        <w:rPr>
          <w:rStyle w:val="normaltextrun"/>
          <w:rFonts w:ascii="Garamond" w:hAnsi="Garamond" w:cs="Segoe UI"/>
          <w:color w:val="000000" w:themeColor="text1"/>
          <w:sz w:val="22"/>
          <w:szCs w:val="22"/>
        </w:rPr>
        <w:t xml:space="preserve">(5), 1321–1341. </w:t>
      </w:r>
      <w:r w:rsidRPr="065E7792">
        <w:rPr>
          <w:rFonts w:ascii="Garamond" w:hAnsi="Garamond" w:cs="Segoe UI"/>
          <w:color w:val="000000" w:themeColor="text1"/>
          <w:sz w:val="22"/>
          <w:szCs w:val="22"/>
        </w:rPr>
        <w:t>https://doi.org/10.1111/1752-1688.12308.</w:t>
      </w:r>
    </w:p>
    <w:p w14:paraId="3BA97AB6" w14:textId="6AAC68A3" w:rsidR="001F4014" w:rsidRPr="009C42FC" w:rsidRDefault="553B3ACF" w:rsidP="2FA20DD9">
      <w:pPr>
        <w:pStyle w:val="paragraph"/>
        <w:spacing w:before="0" w:beforeAutospacing="0" w:after="240" w:afterAutospacing="0" w:line="276" w:lineRule="auto"/>
        <w:ind w:left="720" w:hanging="720"/>
        <w:textAlignment w:val="baseline"/>
        <w:rPr>
          <w:rFonts w:ascii="Segoe UI" w:hAnsi="Segoe UI" w:cs="Segoe UI"/>
          <w:sz w:val="18"/>
          <w:szCs w:val="18"/>
        </w:rPr>
      </w:pPr>
      <w:r w:rsidRPr="065E7792">
        <w:rPr>
          <w:rStyle w:val="normaltextrun"/>
          <w:rFonts w:ascii="Garamond" w:hAnsi="Garamond" w:cs="Segoe UI"/>
          <w:sz w:val="22"/>
          <w:szCs w:val="22"/>
        </w:rPr>
        <w:t xml:space="preserve">Johnson, A. (2018). The effects of turbidity and suspended sediments on ESA-listed species from projects occurring in the greater Atlantic Region. </w:t>
      </w:r>
      <w:r w:rsidRPr="065E7792">
        <w:rPr>
          <w:rStyle w:val="normaltextrun"/>
          <w:rFonts w:ascii="Garamond" w:hAnsi="Garamond" w:cs="Segoe UI"/>
          <w:i/>
          <w:iCs/>
          <w:sz w:val="22"/>
          <w:szCs w:val="22"/>
        </w:rPr>
        <w:t>Greater Atlantic Region Policy Series 18</w:t>
      </w:r>
      <w:r w:rsidRPr="065E7792">
        <w:rPr>
          <w:rStyle w:val="normaltextrun"/>
          <w:rFonts w:ascii="Garamond" w:hAnsi="Garamond" w:cs="Segoe UI"/>
          <w:sz w:val="22"/>
          <w:szCs w:val="22"/>
        </w:rPr>
        <w:t>(2)</w:t>
      </w:r>
      <w:r w:rsidRPr="065E7792">
        <w:rPr>
          <w:rStyle w:val="normaltextrun"/>
          <w:rFonts w:ascii="Garamond" w:hAnsi="Garamond" w:cs="Segoe UI"/>
          <w:i/>
          <w:iCs/>
          <w:sz w:val="22"/>
          <w:szCs w:val="22"/>
        </w:rPr>
        <w:t>.</w:t>
      </w:r>
      <w:r w:rsidRPr="065E7792">
        <w:rPr>
          <w:rStyle w:val="normaltextrun"/>
          <w:rFonts w:ascii="Garamond" w:hAnsi="Garamond" w:cs="Segoe UI"/>
          <w:sz w:val="22"/>
          <w:szCs w:val="22"/>
        </w:rPr>
        <w:t xml:space="preserve"> </w:t>
      </w:r>
      <w:r w:rsidRPr="065E7792">
        <w:rPr>
          <w:rStyle w:val="normaltextrun"/>
          <w:rFonts w:ascii="Garamond" w:hAnsi="Garamond" w:cs="Segoe UI"/>
          <w:i/>
          <w:iCs/>
          <w:sz w:val="22"/>
          <w:szCs w:val="22"/>
        </w:rPr>
        <w:t>NOAA Fisheries Greater Atlantic Regional Fisheries Office.</w:t>
      </w:r>
      <w:r w:rsidRPr="065E7792">
        <w:rPr>
          <w:rStyle w:val="normaltextrun"/>
          <w:rFonts w:ascii="Garamond" w:hAnsi="Garamond" w:cs="Segoe UI"/>
          <w:sz w:val="22"/>
          <w:szCs w:val="22"/>
        </w:rPr>
        <w:t xml:space="preserve"> www.greateratlantic.fisheries.noaa.gov/policyseries/. 106p.</w:t>
      </w:r>
      <w:r w:rsidRPr="065E7792">
        <w:rPr>
          <w:rStyle w:val="eop"/>
          <w:rFonts w:ascii="Garamond" w:eastAsiaTheme="majorEastAsia" w:hAnsi="Garamond" w:cs="Segoe UI"/>
          <w:sz w:val="22"/>
          <w:szCs w:val="22"/>
        </w:rPr>
        <w:t> </w:t>
      </w:r>
    </w:p>
    <w:p w14:paraId="68B1A524" w14:textId="02C1B23F" w:rsidR="001F4014" w:rsidRPr="009C42FC" w:rsidRDefault="13CB051E" w:rsidP="13CB051E">
      <w:pPr>
        <w:pStyle w:val="paragraph"/>
        <w:spacing w:before="0" w:beforeAutospacing="0" w:after="240" w:afterAutospacing="0" w:line="276" w:lineRule="auto"/>
        <w:ind w:left="720" w:hanging="720"/>
        <w:textAlignment w:val="baseline"/>
        <w:rPr>
          <w:rStyle w:val="normaltextrun"/>
          <w:rFonts w:ascii="Garamond" w:hAnsi="Garamond" w:cs="Segoe UI"/>
          <w:sz w:val="22"/>
          <w:szCs w:val="22"/>
        </w:rPr>
      </w:pPr>
      <w:r w:rsidRPr="13CB051E">
        <w:rPr>
          <w:rStyle w:val="normaltextrun"/>
          <w:rFonts w:ascii="Garamond" w:hAnsi="Garamond" w:cs="Segoe UI"/>
          <w:sz w:val="22"/>
          <w:szCs w:val="22"/>
        </w:rPr>
        <w:t xml:space="preserve">Lin, A., Devine, C., Skoglund, S., &amp; Higgins, A. (2019). A Google Earth Engine Dashboard for Assessing Coastal Water Quality in Belize's Coral Reefs to Identify Sustainable Development Goals for Achieving Sustainable Use of Natural Resources [Unpublished Manuscript]. NASA DEVELOP National Program. </w:t>
      </w:r>
    </w:p>
    <w:p w14:paraId="5031559C" w14:textId="0753E285" w:rsidR="001F4014" w:rsidRPr="009C42FC" w:rsidRDefault="13CB051E" w:rsidP="13CB051E">
      <w:pPr>
        <w:pStyle w:val="paragraph"/>
        <w:spacing w:before="0" w:beforeAutospacing="0" w:after="240" w:afterAutospacing="0" w:line="276" w:lineRule="auto"/>
        <w:ind w:left="720" w:hanging="720"/>
        <w:textAlignment w:val="baseline"/>
        <w:rPr>
          <w:rStyle w:val="normaltextrun"/>
          <w:rFonts w:ascii="Garamond" w:hAnsi="Garamond" w:cs="Segoe UI"/>
          <w:sz w:val="22"/>
          <w:szCs w:val="22"/>
        </w:rPr>
      </w:pPr>
      <w:r w:rsidRPr="6A7FCD73">
        <w:rPr>
          <w:rStyle w:val="normaltextrun"/>
          <w:rFonts w:ascii="Garamond" w:hAnsi="Garamond" w:cs="Segoe UI"/>
          <w:sz w:val="22"/>
          <w:szCs w:val="22"/>
        </w:rPr>
        <w:t xml:space="preserve">Meng, H., Sexton, A. M., Maddox, M. C., Sood, A., Brown, C. W., Ferraro, R. R., &amp; Murtugudde, R. (2010). Modeling Rappahannock River basin using SWAT-pilot for Chesapeake Bay watershed. </w:t>
      </w:r>
      <w:r w:rsidRPr="6A7FCD73">
        <w:rPr>
          <w:rStyle w:val="normaltextrun"/>
          <w:rFonts w:ascii="Garamond" w:hAnsi="Garamond" w:cs="Segoe UI"/>
          <w:i/>
          <w:iCs/>
          <w:sz w:val="22"/>
          <w:szCs w:val="22"/>
        </w:rPr>
        <w:t>Applied Engineering in Agriculture</w:t>
      </w:r>
      <w:r w:rsidRPr="6A7FCD73">
        <w:rPr>
          <w:rStyle w:val="normaltextrun"/>
          <w:rFonts w:ascii="Garamond" w:hAnsi="Garamond" w:cs="Segoe UI"/>
          <w:sz w:val="22"/>
          <w:szCs w:val="22"/>
        </w:rPr>
        <w:t xml:space="preserve">, </w:t>
      </w:r>
      <w:r w:rsidRPr="6A7FCD73">
        <w:rPr>
          <w:rStyle w:val="normaltextrun"/>
          <w:rFonts w:ascii="Garamond" w:hAnsi="Garamond" w:cs="Segoe UI"/>
          <w:i/>
          <w:iCs/>
          <w:sz w:val="22"/>
          <w:szCs w:val="22"/>
        </w:rPr>
        <w:t>26</w:t>
      </w:r>
      <w:r w:rsidRPr="6A7FCD73">
        <w:rPr>
          <w:rStyle w:val="normaltextrun"/>
          <w:rFonts w:ascii="Garamond" w:hAnsi="Garamond" w:cs="Segoe UI"/>
          <w:sz w:val="22"/>
          <w:szCs w:val="22"/>
        </w:rPr>
        <w:t>(5), 795-805.</w:t>
      </w:r>
      <w:r w:rsidR="0BA61E18" w:rsidRPr="6A7FCD73">
        <w:rPr>
          <w:rStyle w:val="normaltextrun"/>
          <w:rFonts w:ascii="Garamond" w:hAnsi="Garamond" w:cs="Segoe UI"/>
          <w:sz w:val="22"/>
          <w:szCs w:val="22"/>
        </w:rPr>
        <w:t xml:space="preserve"> http://dx.doi.org/10.13031/2013.34948</w:t>
      </w:r>
    </w:p>
    <w:p w14:paraId="6FD573D4" w14:textId="5D41A2D8" w:rsidR="001F4014" w:rsidRPr="009C42FC" w:rsidRDefault="490A6043" w:rsidP="6A7FCD73">
      <w:pPr>
        <w:pStyle w:val="paragraph"/>
        <w:spacing w:before="0" w:beforeAutospacing="0" w:after="240" w:afterAutospacing="0" w:line="276" w:lineRule="auto"/>
        <w:ind w:left="720" w:hanging="720"/>
        <w:textAlignment w:val="baseline"/>
        <w:rPr>
          <w:rStyle w:val="normaltextrun"/>
          <w:rFonts w:ascii="Garamond" w:hAnsi="Garamond" w:cs="Segoe UI"/>
          <w:sz w:val="22"/>
          <w:szCs w:val="22"/>
        </w:rPr>
      </w:pPr>
      <w:r w:rsidRPr="6A7FCD73">
        <w:rPr>
          <w:rStyle w:val="normaltextrun"/>
          <w:rFonts w:ascii="Garamond" w:hAnsi="Garamond" w:cs="Segoe UI"/>
          <w:sz w:val="22"/>
          <w:szCs w:val="22"/>
        </w:rPr>
        <w:lastRenderedPageBreak/>
        <w:t xml:space="preserve">Moore, K., Neckles, H., &amp; Orth, R. (1996). Zostera marina (eelgrass) growth and survival along a gradient of nutrients and turbidity in the lower Chesapeake Bay. </w:t>
      </w:r>
      <w:r w:rsidRPr="6A7FCD73">
        <w:rPr>
          <w:rStyle w:val="normaltextrun"/>
          <w:rFonts w:ascii="Garamond" w:hAnsi="Garamond" w:cs="Segoe UI"/>
          <w:i/>
          <w:iCs/>
          <w:sz w:val="22"/>
          <w:szCs w:val="22"/>
        </w:rPr>
        <w:t>Marine Ecology Progress Series, 142</w:t>
      </w:r>
      <w:r w:rsidRPr="6A7FCD73">
        <w:rPr>
          <w:rStyle w:val="normaltextrun"/>
          <w:rFonts w:ascii="Garamond" w:hAnsi="Garamond" w:cs="Segoe UI"/>
          <w:sz w:val="22"/>
          <w:szCs w:val="22"/>
        </w:rPr>
        <w:t>, 247</w:t>
      </w:r>
      <w:r w:rsidR="4DCCFA2E" w:rsidRPr="6A7FCD73">
        <w:rPr>
          <w:rStyle w:val="normaltextrun"/>
          <w:rFonts w:ascii="Garamond" w:hAnsi="Garamond" w:cs="Segoe UI"/>
          <w:sz w:val="22"/>
          <w:szCs w:val="22"/>
        </w:rPr>
        <w:t>–</w:t>
      </w:r>
      <w:r w:rsidRPr="6A7FCD73">
        <w:rPr>
          <w:rStyle w:val="normaltextrun"/>
          <w:rFonts w:ascii="Garamond" w:hAnsi="Garamond" w:cs="Segoe UI"/>
          <w:sz w:val="22"/>
          <w:szCs w:val="22"/>
        </w:rPr>
        <w:t>259. https://doi.org/10.3354/meps142247</w:t>
      </w:r>
    </w:p>
    <w:p w14:paraId="10E4993E" w14:textId="79C3373B" w:rsidR="00F07A8D" w:rsidRPr="009C42FC" w:rsidRDefault="1FDC46F7" w:rsidP="2FA20DD9">
      <w:pPr>
        <w:pStyle w:val="paragraph"/>
        <w:spacing w:before="0" w:beforeAutospacing="0" w:after="240" w:afterAutospacing="0" w:line="276" w:lineRule="auto"/>
        <w:ind w:left="720" w:hanging="720"/>
        <w:textAlignment w:val="baseline"/>
        <w:rPr>
          <w:rStyle w:val="normaltextrun"/>
          <w:rFonts w:ascii="Garamond" w:hAnsi="Garamond" w:cs="Segoe UI"/>
          <w:sz w:val="22"/>
          <w:szCs w:val="22"/>
        </w:rPr>
      </w:pPr>
      <w:r w:rsidRPr="6A7FCD73">
        <w:rPr>
          <w:rStyle w:val="normaltextrun"/>
          <w:rFonts w:ascii="Garamond" w:hAnsi="Garamond" w:cs="Segoe UI"/>
          <w:sz w:val="22"/>
          <w:szCs w:val="22"/>
        </w:rPr>
        <w:t xml:space="preserve">Moriasi, D. N., Arnold, J. G., Van Liew, M. W., Bingner, R. L., Harmel, R. D., &amp; Veith, T. L. (2007). Model evaluation guidelines for systematic quantification of accuracy in watershed simulations. </w:t>
      </w:r>
      <w:r w:rsidRPr="6A7FCD73">
        <w:rPr>
          <w:rStyle w:val="normaltextrun"/>
          <w:rFonts w:ascii="Garamond" w:hAnsi="Garamond" w:cs="Segoe UI"/>
          <w:i/>
          <w:iCs/>
          <w:sz w:val="22"/>
          <w:szCs w:val="22"/>
        </w:rPr>
        <w:t>Transactions of the ASABE,</w:t>
      </w:r>
      <w:r w:rsidRPr="6A7FCD73">
        <w:rPr>
          <w:rStyle w:val="normaltextrun"/>
          <w:rFonts w:ascii="Garamond" w:hAnsi="Garamond" w:cs="Segoe UI"/>
          <w:sz w:val="22"/>
          <w:szCs w:val="22"/>
        </w:rPr>
        <w:t xml:space="preserve"> </w:t>
      </w:r>
      <w:r w:rsidRPr="6A7FCD73">
        <w:rPr>
          <w:rStyle w:val="normaltextrun"/>
          <w:rFonts w:ascii="Garamond" w:hAnsi="Garamond" w:cs="Segoe UI"/>
          <w:i/>
          <w:iCs/>
          <w:sz w:val="22"/>
          <w:szCs w:val="22"/>
        </w:rPr>
        <w:t>50</w:t>
      </w:r>
      <w:r w:rsidRPr="6A7FCD73">
        <w:rPr>
          <w:rStyle w:val="normaltextrun"/>
          <w:rFonts w:ascii="Garamond" w:hAnsi="Garamond" w:cs="Segoe UI"/>
          <w:sz w:val="22"/>
          <w:szCs w:val="22"/>
        </w:rPr>
        <w:t>(3), 885–900. https://</w:t>
      </w:r>
      <w:r w:rsidR="6B5F48EB" w:rsidRPr="6A7FCD73">
        <w:rPr>
          <w:rStyle w:val="normaltextrun"/>
          <w:rFonts w:ascii="Garamond" w:hAnsi="Garamond" w:cs="Segoe UI"/>
          <w:sz w:val="22"/>
          <w:szCs w:val="22"/>
        </w:rPr>
        <w:t>doi</w:t>
      </w:r>
      <w:r w:rsidR="1188825A" w:rsidRPr="6A7FCD73">
        <w:rPr>
          <w:rStyle w:val="normaltextrun"/>
          <w:rFonts w:ascii="Garamond" w:hAnsi="Garamond" w:cs="Segoe UI"/>
          <w:sz w:val="22"/>
          <w:szCs w:val="22"/>
        </w:rPr>
        <w:t>.org/</w:t>
      </w:r>
      <w:r w:rsidR="6B5F48EB" w:rsidRPr="6A7FCD73">
        <w:rPr>
          <w:rStyle w:val="normaltextrun"/>
          <w:rFonts w:ascii="Garamond" w:hAnsi="Garamond" w:cs="Segoe UI"/>
          <w:sz w:val="22"/>
          <w:szCs w:val="22"/>
        </w:rPr>
        <w:t>10.13031/2013.23153</w:t>
      </w:r>
    </w:p>
    <w:p w14:paraId="6AC97271" w14:textId="257AB484" w:rsidR="001F4014" w:rsidRPr="009C42FC" w:rsidRDefault="1BA03D05" w:rsidP="2FA20DD9">
      <w:pPr>
        <w:pStyle w:val="paragraph"/>
        <w:spacing w:before="0" w:beforeAutospacing="0" w:after="240" w:afterAutospacing="0" w:line="276" w:lineRule="auto"/>
        <w:ind w:left="720" w:hanging="720"/>
        <w:textAlignment w:val="baseline"/>
        <w:rPr>
          <w:rFonts w:ascii="Segoe UI" w:hAnsi="Segoe UI" w:cs="Segoe UI"/>
          <w:sz w:val="18"/>
          <w:szCs w:val="18"/>
        </w:rPr>
      </w:pPr>
      <w:r w:rsidRPr="13CB051E">
        <w:rPr>
          <w:rStyle w:val="normaltextrun"/>
          <w:rFonts w:ascii="Garamond" w:hAnsi="Garamond" w:cs="Segoe UI"/>
          <w:sz w:val="22"/>
          <w:szCs w:val="22"/>
        </w:rPr>
        <w:t xml:space="preserve">Morimoto J., Voinov, H., Wilson, M. A., &amp; Costanza, R. (2003). Estimating watershed biodiversity: An empirical study of the Chesapeake Bay in Maryland, USA. </w:t>
      </w:r>
      <w:r w:rsidRPr="13CB051E">
        <w:rPr>
          <w:rStyle w:val="normaltextrun"/>
          <w:rFonts w:ascii="Garamond" w:hAnsi="Garamond" w:cs="Segoe UI"/>
          <w:i/>
          <w:iCs/>
          <w:sz w:val="22"/>
          <w:szCs w:val="22"/>
        </w:rPr>
        <w:t>Journal of Geographic Information and Decision Analysis,</w:t>
      </w:r>
      <w:r w:rsidRPr="13CB051E">
        <w:rPr>
          <w:rStyle w:val="normaltextrun"/>
          <w:rFonts w:ascii="Garamond" w:hAnsi="Garamond" w:cs="Segoe UI"/>
          <w:sz w:val="22"/>
          <w:szCs w:val="22"/>
        </w:rPr>
        <w:t xml:space="preserve"> </w:t>
      </w:r>
      <w:r w:rsidRPr="13CB051E">
        <w:rPr>
          <w:rStyle w:val="normaltextrun"/>
          <w:rFonts w:ascii="Garamond" w:hAnsi="Garamond" w:cs="Segoe UI"/>
          <w:i/>
          <w:iCs/>
          <w:sz w:val="22"/>
          <w:szCs w:val="22"/>
        </w:rPr>
        <w:t>7</w:t>
      </w:r>
      <w:r w:rsidRPr="13CB051E">
        <w:rPr>
          <w:rStyle w:val="normaltextrun"/>
          <w:rFonts w:ascii="Garamond" w:hAnsi="Garamond" w:cs="Segoe UI"/>
          <w:sz w:val="22"/>
          <w:szCs w:val="22"/>
        </w:rPr>
        <w:t>(2), 150–162</w:t>
      </w:r>
      <w:r w:rsidRPr="13CB051E">
        <w:rPr>
          <w:rStyle w:val="eop"/>
          <w:rFonts w:ascii="Garamond" w:eastAsiaTheme="majorEastAsia" w:hAnsi="Garamond" w:cs="Segoe UI"/>
          <w:sz w:val="22"/>
          <w:szCs w:val="22"/>
        </w:rPr>
        <w:t xml:space="preserve">. </w:t>
      </w:r>
    </w:p>
    <w:p w14:paraId="01C59267" w14:textId="77777777" w:rsidR="001F4014" w:rsidRPr="009C42FC" w:rsidRDefault="5364EAFD" w:rsidP="13CB051E">
      <w:pPr>
        <w:pStyle w:val="paragraph"/>
        <w:spacing w:before="0" w:beforeAutospacing="0" w:after="240" w:afterAutospacing="0" w:line="276" w:lineRule="auto"/>
        <w:ind w:left="720" w:hanging="720"/>
        <w:textAlignment w:val="baseline"/>
        <w:rPr>
          <w:rFonts w:ascii="Segoe UI" w:hAnsi="Segoe UI" w:cs="Segoe UI"/>
          <w:color w:val="000000" w:themeColor="text1"/>
          <w:sz w:val="18"/>
          <w:szCs w:val="18"/>
        </w:rPr>
      </w:pPr>
      <w:r w:rsidRPr="13CB051E">
        <w:rPr>
          <w:rStyle w:val="normaltextrun"/>
          <w:rFonts w:ascii="Garamond" w:hAnsi="Garamond" w:cs="Segoe UI"/>
          <w:sz w:val="22"/>
          <w:szCs w:val="22"/>
        </w:rPr>
        <w:t xml:space="preserve">National Oceanic and Atmospheric Administration Chesapeake Bay Office (NOAA CBO). (2022, May 03). </w:t>
      </w:r>
      <w:r w:rsidRPr="13CB051E">
        <w:rPr>
          <w:rStyle w:val="normaltextrun"/>
          <w:rFonts w:ascii="Garamond" w:hAnsi="Garamond" w:cs="Segoe UI"/>
          <w:i/>
          <w:iCs/>
          <w:sz w:val="22"/>
          <w:szCs w:val="22"/>
        </w:rPr>
        <w:t xml:space="preserve">Virginia’s Middle Peninsula Is the Newest NOAA Habitat Focus Area. </w:t>
      </w:r>
      <w:r w:rsidRPr="13CB051E">
        <w:rPr>
          <w:rStyle w:val="normaltextrun"/>
          <w:rFonts w:ascii="Garamond" w:hAnsi="Garamond" w:cs="Segoe UI"/>
          <w:sz w:val="22"/>
          <w:szCs w:val="22"/>
        </w:rPr>
        <w:t>NOAA Fisheries. https://www.fisheries.noaa.gov/feature-story/virginias-middle-peninsula-newest-noaa-habitat-focus-area</w:t>
      </w:r>
      <w:r w:rsidRPr="13CB051E">
        <w:rPr>
          <w:rStyle w:val="eop"/>
          <w:rFonts w:ascii="Garamond" w:eastAsiaTheme="majorEastAsia" w:hAnsi="Garamond" w:cs="Segoe UI"/>
          <w:sz w:val="22"/>
          <w:szCs w:val="22"/>
        </w:rPr>
        <w:t> </w:t>
      </w:r>
    </w:p>
    <w:p w14:paraId="1E628159" w14:textId="27F664CA" w:rsidR="13CB051E" w:rsidRDefault="13CB051E" w:rsidP="6A7FCD73">
      <w:pPr>
        <w:pStyle w:val="paragraph"/>
        <w:spacing w:before="0" w:beforeAutospacing="0" w:after="240" w:afterAutospacing="0" w:line="276" w:lineRule="auto"/>
        <w:ind w:left="720" w:hanging="720"/>
        <w:rPr>
          <w:rStyle w:val="normaltextrun"/>
          <w:rFonts w:ascii="Garamond" w:hAnsi="Garamond" w:cs="Segoe UI"/>
          <w:color w:val="000000" w:themeColor="text1"/>
          <w:sz w:val="22"/>
          <w:szCs w:val="22"/>
        </w:rPr>
      </w:pPr>
      <w:r w:rsidRPr="6A7FCD73">
        <w:rPr>
          <w:rStyle w:val="normaltextrun"/>
          <w:rFonts w:ascii="Garamond" w:hAnsi="Garamond" w:cs="Segoe UI"/>
          <w:color w:val="000000" w:themeColor="text1"/>
          <w:sz w:val="22"/>
          <w:szCs w:val="22"/>
        </w:rPr>
        <w:t xml:space="preserve">National Weather Service (NWS). (2019, September 6). </w:t>
      </w:r>
      <w:r w:rsidRPr="6A7FCD73">
        <w:rPr>
          <w:rStyle w:val="normaltextrun"/>
          <w:rFonts w:ascii="Garamond" w:hAnsi="Garamond" w:cs="Segoe UI"/>
          <w:i/>
          <w:iCs/>
          <w:color w:val="000000" w:themeColor="text1"/>
          <w:sz w:val="22"/>
          <w:szCs w:val="22"/>
        </w:rPr>
        <w:t>Hurricane Dorian – September 6, 2019</w:t>
      </w:r>
      <w:r w:rsidRPr="6A7FCD73">
        <w:rPr>
          <w:rStyle w:val="normaltextrun"/>
          <w:rFonts w:ascii="Garamond" w:hAnsi="Garamond" w:cs="Segoe UI"/>
          <w:color w:val="000000" w:themeColor="text1"/>
          <w:sz w:val="22"/>
          <w:szCs w:val="22"/>
        </w:rPr>
        <w:t>. https://www.weather.gov/mhx/Dorian2019</w:t>
      </w:r>
    </w:p>
    <w:p w14:paraId="519EF111" w14:textId="4B144B3D" w:rsidR="00F07A8D" w:rsidRPr="009C42FC" w:rsidRDefault="1FDC46F7" w:rsidP="2FA20DD9">
      <w:pPr>
        <w:pStyle w:val="paragraph"/>
        <w:spacing w:before="0" w:beforeAutospacing="0" w:after="240" w:afterAutospacing="0" w:line="276" w:lineRule="auto"/>
        <w:ind w:left="720" w:hanging="720"/>
        <w:textAlignment w:val="baseline"/>
        <w:rPr>
          <w:rStyle w:val="normaltextrun"/>
          <w:rFonts w:ascii="Garamond" w:hAnsi="Garamond" w:cs="Segoe UI"/>
          <w:sz w:val="22"/>
          <w:szCs w:val="22"/>
        </w:rPr>
      </w:pPr>
      <w:r w:rsidRPr="6A7FCD73">
        <w:rPr>
          <w:rStyle w:val="normaltextrun"/>
          <w:rFonts w:ascii="Garamond" w:hAnsi="Garamond" w:cs="Segoe UI"/>
          <w:color w:val="000000" w:themeColor="text1"/>
          <w:sz w:val="22"/>
          <w:szCs w:val="22"/>
        </w:rPr>
        <w:t xml:space="preserve">Ndulue, E. L., Mbajiorgu, C. C., Ugwu, S. N., Ogwo, V., </w:t>
      </w:r>
      <w:r w:rsidR="70AC8B10" w:rsidRPr="6A7FCD73">
        <w:rPr>
          <w:rStyle w:val="normaltextrun"/>
          <w:rFonts w:ascii="Garamond" w:hAnsi="Garamond" w:cs="Segoe UI"/>
          <w:color w:val="000000" w:themeColor="text1"/>
          <w:sz w:val="22"/>
          <w:szCs w:val="22"/>
        </w:rPr>
        <w:t>&amp;</w:t>
      </w:r>
      <w:r w:rsidRPr="6A7FCD73">
        <w:rPr>
          <w:rStyle w:val="normaltextrun"/>
          <w:rFonts w:ascii="Garamond" w:hAnsi="Garamond" w:cs="Segoe UI"/>
          <w:color w:val="000000" w:themeColor="text1"/>
          <w:sz w:val="22"/>
          <w:szCs w:val="22"/>
        </w:rPr>
        <w:t xml:space="preserve"> Ogbu,</w:t>
      </w:r>
      <w:r w:rsidRPr="6A7FCD73">
        <w:rPr>
          <w:rStyle w:val="normaltextrun"/>
          <w:rFonts w:ascii="Garamond" w:hAnsi="Garamond" w:cs="Segoe UI"/>
          <w:sz w:val="22"/>
          <w:szCs w:val="22"/>
        </w:rPr>
        <w:t xml:space="preserve"> K. N. (2015). Assessment of Land Use/Cover Impacts on Runoff and Sediment Yield Using Hydrologic Models: A Review. </w:t>
      </w:r>
      <w:r w:rsidRPr="6A7FCD73">
        <w:rPr>
          <w:rStyle w:val="normaltextrun"/>
          <w:rFonts w:ascii="Garamond" w:hAnsi="Garamond" w:cs="Segoe UI"/>
          <w:i/>
          <w:iCs/>
          <w:sz w:val="22"/>
          <w:szCs w:val="22"/>
        </w:rPr>
        <w:t>Journal of Ecology and the Natural Environment</w:t>
      </w:r>
      <w:r w:rsidRPr="6A7FCD73">
        <w:rPr>
          <w:rStyle w:val="normaltextrun"/>
          <w:rFonts w:ascii="Garamond" w:hAnsi="Garamond" w:cs="Segoe UI"/>
          <w:sz w:val="22"/>
          <w:szCs w:val="22"/>
        </w:rPr>
        <w:t xml:space="preserve">, </w:t>
      </w:r>
      <w:r w:rsidRPr="6A7FCD73">
        <w:rPr>
          <w:rStyle w:val="normaltextrun"/>
          <w:rFonts w:ascii="Garamond" w:hAnsi="Garamond" w:cs="Segoe UI"/>
          <w:i/>
          <w:iCs/>
          <w:sz w:val="22"/>
          <w:szCs w:val="22"/>
        </w:rPr>
        <w:t>7</w:t>
      </w:r>
      <w:r w:rsidRPr="6A7FCD73">
        <w:rPr>
          <w:rStyle w:val="normaltextrun"/>
          <w:rFonts w:ascii="Garamond" w:hAnsi="Garamond" w:cs="Segoe UI"/>
          <w:sz w:val="22"/>
          <w:szCs w:val="22"/>
        </w:rPr>
        <w:t>, 46–55. https://doi.org/10.5897/JENE2014.0482</w:t>
      </w:r>
    </w:p>
    <w:p w14:paraId="138E3CB5" w14:textId="7C49FB9E" w:rsidR="001F4014" w:rsidRPr="009C42FC" w:rsidRDefault="48B0BAF4" w:rsidP="065E7792">
      <w:pPr>
        <w:pStyle w:val="paragraph"/>
        <w:spacing w:before="0" w:beforeAutospacing="0" w:after="240" w:afterAutospacing="0" w:line="276" w:lineRule="auto"/>
        <w:ind w:left="720" w:hanging="720"/>
        <w:textAlignment w:val="baseline"/>
        <w:rPr>
          <w:rFonts w:ascii="Segoe UI" w:hAnsi="Segoe UI" w:cs="Segoe UI"/>
          <w:sz w:val="18"/>
          <w:szCs w:val="18"/>
        </w:rPr>
      </w:pPr>
      <w:r w:rsidRPr="6A7FCD73">
        <w:rPr>
          <w:rStyle w:val="normaltextrun"/>
          <w:rFonts w:ascii="Garamond" w:hAnsi="Garamond" w:cs="Segoe UI"/>
          <w:sz w:val="22"/>
          <w:szCs w:val="22"/>
        </w:rPr>
        <w:t xml:space="preserve">Orth, R. J. &amp; Heck, K. L. (1980). Structural components of eelgrass (Zostera marina) meadows in the lower Chesapeake Bay—Fishes. </w:t>
      </w:r>
      <w:r w:rsidRPr="6A7FCD73">
        <w:rPr>
          <w:rStyle w:val="normaltextrun"/>
          <w:rFonts w:ascii="Garamond" w:hAnsi="Garamond" w:cs="Segoe UI"/>
          <w:i/>
          <w:iCs/>
          <w:sz w:val="22"/>
          <w:szCs w:val="22"/>
        </w:rPr>
        <w:t>Estuaries</w:t>
      </w:r>
      <w:r w:rsidRPr="6A7FCD73">
        <w:rPr>
          <w:rStyle w:val="normaltextrun"/>
          <w:rFonts w:ascii="Garamond" w:hAnsi="Garamond" w:cs="Segoe UI"/>
          <w:sz w:val="22"/>
          <w:szCs w:val="22"/>
        </w:rPr>
        <w:t xml:space="preserve">, </w:t>
      </w:r>
      <w:r w:rsidRPr="6A7FCD73">
        <w:rPr>
          <w:rStyle w:val="normaltextrun"/>
          <w:rFonts w:ascii="Garamond" w:hAnsi="Garamond" w:cs="Segoe UI"/>
          <w:i/>
          <w:iCs/>
          <w:sz w:val="22"/>
          <w:szCs w:val="22"/>
        </w:rPr>
        <w:t>3</w:t>
      </w:r>
      <w:r w:rsidRPr="6A7FCD73">
        <w:rPr>
          <w:rStyle w:val="normaltextrun"/>
          <w:rFonts w:ascii="Garamond" w:hAnsi="Garamond" w:cs="Segoe UI"/>
          <w:sz w:val="22"/>
          <w:szCs w:val="22"/>
        </w:rPr>
        <w:t>(4), 278–288. https://doi.org/10.2307/1352083</w:t>
      </w:r>
      <w:r w:rsidRPr="6A7FCD73">
        <w:rPr>
          <w:rStyle w:val="eop"/>
          <w:rFonts w:ascii="Garamond" w:eastAsiaTheme="majorEastAsia" w:hAnsi="Garamond" w:cs="Segoe UI"/>
          <w:sz w:val="22"/>
          <w:szCs w:val="22"/>
        </w:rPr>
        <w:t> </w:t>
      </w:r>
    </w:p>
    <w:p w14:paraId="483F791D" w14:textId="34C0B690" w:rsidR="001F4014" w:rsidRPr="009C42FC" w:rsidRDefault="5C506AAF" w:rsidP="13CB051E">
      <w:pPr>
        <w:pStyle w:val="paragraph"/>
        <w:spacing w:before="0" w:beforeAutospacing="0" w:after="240" w:afterAutospacing="0" w:line="276" w:lineRule="auto"/>
        <w:ind w:left="720" w:hanging="720"/>
        <w:textAlignment w:val="baseline"/>
        <w:rPr>
          <w:rStyle w:val="normaltextrun"/>
          <w:rFonts w:ascii="Garamond" w:hAnsi="Garamond" w:cs="Segoe UI"/>
          <w:sz w:val="22"/>
          <w:szCs w:val="22"/>
        </w:rPr>
      </w:pPr>
      <w:r w:rsidRPr="6A7FCD73">
        <w:rPr>
          <w:rStyle w:val="normaltextrun"/>
          <w:rFonts w:ascii="Garamond" w:hAnsi="Garamond" w:cs="Segoe UI"/>
          <w:sz w:val="22"/>
          <w:szCs w:val="22"/>
        </w:rPr>
        <w:t xml:space="preserve">Phillips, S. &amp; McGee, B. (2016). Ecosystem service benefits of a cleaner Chesapeake Bay. </w:t>
      </w:r>
      <w:r w:rsidRPr="6A7FCD73">
        <w:rPr>
          <w:rStyle w:val="normaltextrun"/>
          <w:rFonts w:ascii="Garamond" w:hAnsi="Garamond" w:cs="Segoe UI"/>
          <w:i/>
          <w:iCs/>
          <w:sz w:val="22"/>
          <w:szCs w:val="22"/>
        </w:rPr>
        <w:t>Coastal Management, 44</w:t>
      </w:r>
      <w:r w:rsidRPr="6A7FCD73">
        <w:rPr>
          <w:rStyle w:val="normaltextrun"/>
          <w:rFonts w:ascii="Garamond" w:hAnsi="Garamond" w:cs="Segoe UI"/>
          <w:sz w:val="22"/>
          <w:szCs w:val="22"/>
        </w:rPr>
        <w:t>:241–258. http://dx.doi.org/10.1080/08920753.2016.1160205</w:t>
      </w:r>
    </w:p>
    <w:p w14:paraId="52BBA394" w14:textId="5ADCF3A3" w:rsidR="001F4014" w:rsidRPr="009C42FC" w:rsidRDefault="5364EAFD" w:rsidP="13CB051E">
      <w:pPr>
        <w:pStyle w:val="paragraph"/>
        <w:spacing w:before="0" w:beforeAutospacing="0" w:after="240" w:afterAutospacing="0" w:line="276" w:lineRule="auto"/>
        <w:ind w:left="720" w:hanging="720"/>
        <w:textAlignment w:val="baseline"/>
        <w:rPr>
          <w:rFonts w:ascii="Segoe UI" w:hAnsi="Segoe UI" w:cs="Segoe UI"/>
          <w:sz w:val="18"/>
          <w:szCs w:val="18"/>
        </w:rPr>
      </w:pPr>
      <w:r w:rsidRPr="13CB051E">
        <w:rPr>
          <w:rStyle w:val="normaltextrun"/>
          <w:rFonts w:ascii="Garamond" w:hAnsi="Garamond" w:cs="Segoe UI"/>
          <w:sz w:val="22"/>
          <w:szCs w:val="22"/>
        </w:rPr>
        <w:t>Pippin, H., Valenti, V., Olarte, A., &amp; Pilot, R. (2019). Developing a Google Earth Engine dashboard for assessing coastal water quality in the Belize and Honduras barrier reefs to identify adequate waste control and inform coastal resource monitoring and management [Unpublished Manuscript]. NASA DEVELOP National Program.</w:t>
      </w:r>
      <w:r w:rsidRPr="13CB051E">
        <w:rPr>
          <w:rStyle w:val="eop"/>
          <w:rFonts w:ascii="Garamond" w:eastAsiaTheme="majorEastAsia" w:hAnsi="Garamond" w:cs="Segoe UI"/>
          <w:sz w:val="22"/>
          <w:szCs w:val="22"/>
        </w:rPr>
        <w:t> </w:t>
      </w:r>
    </w:p>
    <w:p w14:paraId="037F3B9D" w14:textId="0323105A" w:rsidR="001F4014" w:rsidRPr="009C42FC" w:rsidRDefault="7C7883F2" w:rsidP="6A7FCD73">
      <w:pPr>
        <w:pStyle w:val="paragraph"/>
        <w:spacing w:before="0" w:beforeAutospacing="0" w:after="240" w:afterAutospacing="0" w:line="276" w:lineRule="auto"/>
        <w:ind w:left="720" w:hanging="720"/>
        <w:textAlignment w:val="baseline"/>
        <w:rPr>
          <w:rStyle w:val="eop"/>
          <w:rFonts w:ascii="Garamond" w:eastAsiaTheme="majorEastAsia" w:hAnsi="Garamond" w:cs="Segoe UI"/>
          <w:sz w:val="22"/>
          <w:szCs w:val="22"/>
        </w:rPr>
      </w:pPr>
      <w:r w:rsidRPr="6A7FCD73">
        <w:rPr>
          <w:rStyle w:val="normaltextrun"/>
          <w:rFonts w:ascii="Garamond" w:hAnsi="Garamond" w:cs="Segoe UI"/>
          <w:sz w:val="22"/>
          <w:szCs w:val="22"/>
        </w:rPr>
        <w:t>Pohlert, T., Huisman, J. A., Breuer, L., &amp;</w:t>
      </w:r>
      <w:r w:rsidR="37EDADC1" w:rsidRPr="6A7FCD73">
        <w:rPr>
          <w:rStyle w:val="normaltextrun"/>
          <w:rFonts w:ascii="Garamond" w:hAnsi="Garamond" w:cs="Segoe UI"/>
          <w:sz w:val="22"/>
          <w:szCs w:val="22"/>
        </w:rPr>
        <w:t xml:space="preserve"> </w:t>
      </w:r>
      <w:r w:rsidRPr="6A7FCD73">
        <w:rPr>
          <w:rStyle w:val="normaltextrun"/>
          <w:rFonts w:ascii="Garamond" w:hAnsi="Garamond" w:cs="Segoe UI"/>
          <w:sz w:val="22"/>
          <w:szCs w:val="22"/>
        </w:rPr>
        <w:t xml:space="preserve">Frede, H. G. (2005). Modeling of river Dill, Germany. </w:t>
      </w:r>
      <w:r w:rsidRPr="6A7FCD73">
        <w:rPr>
          <w:rStyle w:val="normaltextrun"/>
          <w:rFonts w:ascii="Garamond" w:hAnsi="Garamond" w:cs="Segoe UI"/>
          <w:i/>
          <w:iCs/>
          <w:sz w:val="22"/>
          <w:szCs w:val="22"/>
        </w:rPr>
        <w:t>Advances in Geosciences</w:t>
      </w:r>
      <w:r w:rsidRPr="6A7FCD73">
        <w:rPr>
          <w:rStyle w:val="normaltextrun"/>
          <w:rFonts w:ascii="Garamond" w:hAnsi="Garamond" w:cs="Segoe UI"/>
          <w:sz w:val="22"/>
          <w:szCs w:val="22"/>
        </w:rPr>
        <w:t xml:space="preserve">, </w:t>
      </w:r>
      <w:r w:rsidRPr="6A7FCD73">
        <w:rPr>
          <w:rStyle w:val="normaltextrun"/>
          <w:rFonts w:ascii="Garamond" w:hAnsi="Garamond" w:cs="Segoe UI"/>
          <w:i/>
          <w:iCs/>
          <w:sz w:val="22"/>
          <w:szCs w:val="22"/>
        </w:rPr>
        <w:t>5</w:t>
      </w:r>
      <w:r w:rsidRPr="6A7FCD73">
        <w:rPr>
          <w:rStyle w:val="normaltextrun"/>
          <w:rFonts w:ascii="Garamond" w:hAnsi="Garamond" w:cs="Segoe UI"/>
          <w:sz w:val="22"/>
          <w:szCs w:val="22"/>
        </w:rPr>
        <w:t>, 7–12.</w:t>
      </w:r>
      <w:r w:rsidRPr="6A7FCD73">
        <w:rPr>
          <w:rStyle w:val="eop"/>
          <w:rFonts w:ascii="Garamond" w:eastAsiaTheme="majorEastAsia" w:hAnsi="Garamond" w:cs="Segoe UI"/>
          <w:sz w:val="22"/>
          <w:szCs w:val="22"/>
        </w:rPr>
        <w:t>  https://doi.org/</w:t>
      </w:r>
      <w:r w:rsidR="4644A351" w:rsidRPr="6A7FCD73">
        <w:rPr>
          <w:rStyle w:val="eop"/>
          <w:rFonts w:ascii="Garamond" w:eastAsiaTheme="majorEastAsia" w:hAnsi="Garamond" w:cs="Segoe UI"/>
          <w:sz w:val="22"/>
          <w:szCs w:val="22"/>
        </w:rPr>
        <w:t>10.5194/adgeo-5-7-2005</w:t>
      </w:r>
    </w:p>
    <w:p w14:paraId="079997F3" w14:textId="6B1AEEBE" w:rsidR="001F4014" w:rsidRPr="009C42FC" w:rsidRDefault="48B0BAF4" w:rsidP="6A7FCD73">
      <w:pPr>
        <w:pStyle w:val="paragraph"/>
        <w:spacing w:before="0" w:beforeAutospacing="0" w:after="240" w:afterAutospacing="0" w:line="276" w:lineRule="auto"/>
        <w:ind w:left="720" w:hanging="720"/>
        <w:textAlignment w:val="baseline"/>
        <w:rPr>
          <w:rStyle w:val="eop"/>
          <w:rFonts w:ascii="Garamond" w:eastAsiaTheme="majorEastAsia" w:hAnsi="Garamond" w:cs="Segoe UI"/>
          <w:sz w:val="22"/>
          <w:szCs w:val="22"/>
        </w:rPr>
      </w:pPr>
      <w:r w:rsidRPr="6A7FCD73">
        <w:rPr>
          <w:rStyle w:val="normaltextrun"/>
          <w:rFonts w:ascii="Garamond" w:hAnsi="Garamond" w:cs="Segoe UI"/>
          <w:sz w:val="22"/>
          <w:szCs w:val="22"/>
        </w:rPr>
        <w:t xml:space="preserve">Reay, W. G. (2009). Water quality within the York River Estuary. </w:t>
      </w:r>
      <w:r w:rsidRPr="6A7FCD73">
        <w:rPr>
          <w:rStyle w:val="normaltextrun"/>
          <w:rFonts w:ascii="Garamond" w:hAnsi="Garamond" w:cs="Segoe UI"/>
          <w:i/>
          <w:iCs/>
          <w:sz w:val="22"/>
          <w:szCs w:val="22"/>
        </w:rPr>
        <w:t>Journal of Coastal Research</w:t>
      </w:r>
      <w:r w:rsidRPr="6A7FCD73">
        <w:rPr>
          <w:rStyle w:val="normaltextrun"/>
          <w:rFonts w:ascii="Garamond" w:hAnsi="Garamond" w:cs="Segoe UI"/>
          <w:sz w:val="22"/>
          <w:szCs w:val="22"/>
        </w:rPr>
        <w:t>. Article 10057, 23–39. https://doi.org/10.2112/1551-5036-57.sp1.23</w:t>
      </w:r>
    </w:p>
    <w:p w14:paraId="2A670485" w14:textId="5E67370F" w:rsidR="001F4014" w:rsidRPr="009C42FC" w:rsidRDefault="48B0BAF4" w:rsidP="6A7FCD73">
      <w:pPr>
        <w:pStyle w:val="paragraph"/>
        <w:spacing w:before="0" w:beforeAutospacing="0" w:after="240" w:afterAutospacing="0" w:line="276" w:lineRule="auto"/>
        <w:ind w:left="720" w:hanging="720"/>
        <w:textAlignment w:val="baseline"/>
        <w:rPr>
          <w:rStyle w:val="eop"/>
          <w:rFonts w:ascii="Garamond" w:eastAsiaTheme="majorEastAsia" w:hAnsi="Garamond" w:cs="Segoe UI"/>
          <w:sz w:val="22"/>
          <w:szCs w:val="22"/>
        </w:rPr>
      </w:pPr>
      <w:r w:rsidRPr="6A7FCD73">
        <w:rPr>
          <w:rStyle w:val="normaltextrun"/>
          <w:rFonts w:ascii="Garamond" w:hAnsi="Garamond" w:cs="Segoe UI"/>
          <w:sz w:val="22"/>
          <w:szCs w:val="22"/>
        </w:rPr>
        <w:t xml:space="preserve">Storm, D. E., White, M. J., &amp; Stoodley, S. (2003). </w:t>
      </w:r>
      <w:r w:rsidRPr="6A7FCD73">
        <w:rPr>
          <w:rStyle w:val="normaltextrun"/>
          <w:rFonts w:ascii="Garamond" w:hAnsi="Garamond" w:cs="Segoe UI"/>
          <w:i/>
          <w:iCs/>
          <w:sz w:val="22"/>
          <w:szCs w:val="22"/>
        </w:rPr>
        <w:t>Modeling non-point source component for the Fort Cobb TMDL</w:t>
      </w:r>
      <w:r w:rsidRPr="6A7FCD73">
        <w:rPr>
          <w:rStyle w:val="normaltextrun"/>
          <w:rFonts w:ascii="Garamond" w:hAnsi="Garamond" w:cs="Segoe UI"/>
          <w:sz w:val="22"/>
          <w:szCs w:val="22"/>
        </w:rPr>
        <w:t>. Oklahoma Department of Environmental Quality. https://digitalprairie.ok.gov/digital/collection/stgovpub/id/133/</w:t>
      </w:r>
    </w:p>
    <w:p w14:paraId="4D25217B" w14:textId="77777777" w:rsidR="001F4014" w:rsidRPr="009C42FC" w:rsidRDefault="001F4014" w:rsidP="009C42FC">
      <w:pPr>
        <w:pStyle w:val="paragraph"/>
        <w:spacing w:before="0" w:beforeAutospacing="0" w:after="240" w:afterAutospacing="0" w:line="276" w:lineRule="auto"/>
        <w:ind w:left="720" w:hanging="720"/>
        <w:textAlignment w:val="baseline"/>
        <w:rPr>
          <w:rFonts w:ascii="Segoe UI" w:hAnsi="Segoe UI" w:cs="Segoe UI"/>
          <w:sz w:val="18"/>
          <w:szCs w:val="18"/>
        </w:rPr>
      </w:pPr>
      <w:r w:rsidRPr="009C42FC">
        <w:rPr>
          <w:rStyle w:val="normaltextrun"/>
          <w:rFonts w:ascii="Garamond" w:hAnsi="Garamond" w:cs="Segoe UI"/>
          <w:sz w:val="22"/>
          <w:szCs w:val="22"/>
        </w:rPr>
        <w:lastRenderedPageBreak/>
        <w:t>Tentoglou, T., Carrasco, D., Fernald, E., &amp; Weingram, A. (2022). Updating and expanding the Optical Reef and Coastal Area Assessment (ORCAA) tool [Unpublished Manuscript]. NASA DEVELOP National Program.</w:t>
      </w:r>
      <w:r w:rsidRPr="009C42FC">
        <w:rPr>
          <w:rStyle w:val="eop"/>
          <w:rFonts w:ascii="Garamond" w:eastAsiaTheme="majorEastAsia" w:hAnsi="Garamond" w:cs="Segoe UI"/>
          <w:sz w:val="22"/>
          <w:szCs w:val="22"/>
        </w:rPr>
        <w:t> </w:t>
      </w:r>
    </w:p>
    <w:p w14:paraId="04250F82" w14:textId="1BBC1B76" w:rsidR="13CB051E" w:rsidRDefault="5C506AAF" w:rsidP="6A7FCD73">
      <w:pPr>
        <w:pStyle w:val="paragraph"/>
        <w:spacing w:before="0" w:beforeAutospacing="0" w:after="240" w:afterAutospacing="0" w:line="276" w:lineRule="auto"/>
        <w:ind w:left="720" w:hanging="720"/>
        <w:rPr>
          <w:rStyle w:val="normaltextrun"/>
          <w:rFonts w:ascii="Garamond" w:hAnsi="Garamond" w:cs="Segoe UI"/>
          <w:sz w:val="22"/>
          <w:szCs w:val="22"/>
        </w:rPr>
      </w:pPr>
      <w:r w:rsidRPr="6A7FCD73">
        <w:rPr>
          <w:rStyle w:val="normaltextrun"/>
          <w:rFonts w:ascii="Garamond" w:hAnsi="Garamond" w:cs="Segoe UI"/>
          <w:sz w:val="22"/>
          <w:szCs w:val="22"/>
        </w:rPr>
        <w:t xml:space="preserve">United States Geological Survey (USGS). </w:t>
      </w:r>
      <w:r w:rsidRPr="6A7FCD73">
        <w:rPr>
          <w:rStyle w:val="normaltextrun"/>
          <w:rFonts w:ascii="Garamond" w:hAnsi="Garamond" w:cs="Segoe UI"/>
          <w:i/>
          <w:iCs/>
          <w:sz w:val="22"/>
          <w:szCs w:val="22"/>
        </w:rPr>
        <w:t>Landsat 5</w:t>
      </w:r>
      <w:r w:rsidRPr="6A7FCD73">
        <w:rPr>
          <w:rStyle w:val="normaltextrun"/>
          <w:rFonts w:ascii="Garamond" w:hAnsi="Garamond" w:cs="Segoe UI"/>
          <w:sz w:val="22"/>
          <w:szCs w:val="22"/>
        </w:rPr>
        <w:t xml:space="preserve">. </w:t>
      </w:r>
      <w:r w:rsidR="6890F2F5" w:rsidRPr="6A7FCD73">
        <w:rPr>
          <w:rStyle w:val="normaltextrun"/>
          <w:rFonts w:ascii="Garamond" w:hAnsi="Garamond" w:cs="Segoe UI"/>
          <w:sz w:val="22"/>
          <w:szCs w:val="22"/>
        </w:rPr>
        <w:t xml:space="preserve">https://www.usgs.gov/landsat-missions/landsat-5 </w:t>
      </w:r>
    </w:p>
    <w:p w14:paraId="2B6D25A8" w14:textId="4E2A3D91" w:rsidR="13CB051E" w:rsidRDefault="13CB051E" w:rsidP="6A7FCD73">
      <w:pPr>
        <w:pStyle w:val="paragraph"/>
        <w:spacing w:before="0" w:beforeAutospacing="0" w:after="240" w:afterAutospacing="0" w:line="276" w:lineRule="auto"/>
        <w:ind w:left="720" w:hanging="720"/>
        <w:rPr>
          <w:rStyle w:val="normaltextrun"/>
          <w:rFonts w:ascii="Garamond" w:hAnsi="Garamond" w:cs="Segoe UI"/>
          <w:sz w:val="22"/>
          <w:szCs w:val="22"/>
        </w:rPr>
      </w:pPr>
      <w:r w:rsidRPr="6A7FCD73">
        <w:rPr>
          <w:rStyle w:val="normaltextrun"/>
          <w:rFonts w:ascii="Garamond" w:hAnsi="Garamond" w:cs="Segoe UI"/>
          <w:sz w:val="22"/>
          <w:szCs w:val="22"/>
        </w:rPr>
        <w:t xml:space="preserve">United States Geological Survey (USGS). (2018, July 18). </w:t>
      </w:r>
      <w:r w:rsidRPr="6A7FCD73">
        <w:rPr>
          <w:rStyle w:val="normaltextrun"/>
          <w:rFonts w:ascii="Garamond" w:hAnsi="Garamond" w:cs="Segoe UI"/>
          <w:i/>
          <w:iCs/>
          <w:sz w:val="22"/>
          <w:szCs w:val="22"/>
        </w:rPr>
        <w:t>USGS EROS Archive – Landsat Archives- Landsat 7 Enhanced Thematic Mapper Plus (ETM+) Level-1 Data Products</w:t>
      </w:r>
      <w:r w:rsidRPr="6A7FCD73">
        <w:rPr>
          <w:rStyle w:val="normaltextrun"/>
          <w:rFonts w:ascii="Garamond" w:hAnsi="Garamond" w:cs="Segoe UI"/>
          <w:sz w:val="22"/>
          <w:szCs w:val="22"/>
        </w:rPr>
        <w:t>. https://www.usgs.gov/centers/eros/science/usgs-eros-archive-landsat-archives-landsat-7-enhanced-thematic-mapper-plus-etm</w:t>
      </w:r>
    </w:p>
    <w:p w14:paraId="4DBF2032" w14:textId="47CF554A" w:rsidR="001F4014" w:rsidRPr="009C42FC" w:rsidRDefault="5364EAFD" w:rsidP="6A7FCD73">
      <w:pPr>
        <w:pStyle w:val="paragraph"/>
        <w:spacing w:before="0" w:beforeAutospacing="0" w:after="240" w:afterAutospacing="0" w:line="276" w:lineRule="auto"/>
        <w:ind w:left="720" w:hanging="720"/>
        <w:textAlignment w:val="baseline"/>
        <w:rPr>
          <w:rStyle w:val="normaltextrun"/>
          <w:rFonts w:ascii="Garamond" w:hAnsi="Garamond" w:cs="Segoe UI"/>
          <w:sz w:val="22"/>
          <w:szCs w:val="22"/>
        </w:rPr>
      </w:pPr>
      <w:r w:rsidRPr="6A7FCD73">
        <w:rPr>
          <w:rStyle w:val="normaltextrun"/>
          <w:rFonts w:ascii="Garamond" w:hAnsi="Garamond" w:cs="Segoe UI"/>
          <w:sz w:val="22"/>
          <w:szCs w:val="22"/>
        </w:rPr>
        <w:t xml:space="preserve">U.S. Fish and Wildlife Service (2022). </w:t>
      </w:r>
      <w:r w:rsidRPr="6A7FCD73">
        <w:rPr>
          <w:rStyle w:val="normaltextrun"/>
          <w:rFonts w:ascii="Garamond" w:hAnsi="Garamond" w:cs="Segoe UI"/>
          <w:i/>
          <w:iCs/>
          <w:sz w:val="22"/>
          <w:szCs w:val="22"/>
        </w:rPr>
        <w:t xml:space="preserve">Featured species. Chesapeake Bay Field Office. </w:t>
      </w:r>
      <w:r w:rsidRPr="6A7FCD73">
        <w:rPr>
          <w:rStyle w:val="normaltextrun"/>
          <w:rFonts w:ascii="Garamond" w:hAnsi="Garamond" w:cs="Segoe UI"/>
          <w:sz w:val="22"/>
          <w:szCs w:val="22"/>
        </w:rPr>
        <w:t>https://www.fws.gov/office/chesapeake-bay-ecological-services/species</w:t>
      </w:r>
    </w:p>
    <w:p w14:paraId="04F4BD8D" w14:textId="6FEE5441" w:rsidR="00FC67CA" w:rsidRPr="009C42FC" w:rsidRDefault="7130BD32" w:rsidP="2FA20DD9">
      <w:pPr>
        <w:pStyle w:val="paragraph"/>
        <w:spacing w:after="240" w:afterAutospacing="0" w:line="276" w:lineRule="auto"/>
        <w:ind w:left="720" w:hanging="720"/>
        <w:textAlignment w:val="baseline"/>
        <w:rPr>
          <w:rStyle w:val="normaltextrun"/>
          <w:rFonts w:ascii="Garamond" w:hAnsi="Garamond" w:cs="Segoe UI"/>
          <w:sz w:val="22"/>
          <w:szCs w:val="22"/>
        </w:rPr>
      </w:pPr>
      <w:r w:rsidRPr="6A7FCD73">
        <w:rPr>
          <w:rStyle w:val="normaltextrun"/>
          <w:rFonts w:ascii="Garamond" w:hAnsi="Garamond" w:cs="Segoe UI"/>
          <w:sz w:val="22"/>
          <w:szCs w:val="22"/>
        </w:rPr>
        <w:t xml:space="preserve">Van Oost, K. Govers, G. &amp; Desmet, P. (2000). Evaluating the Effects of Changes in Landscape Structure on Soil Erosion by Water and Tillage. </w:t>
      </w:r>
      <w:r w:rsidRPr="6A7FCD73">
        <w:rPr>
          <w:rStyle w:val="normaltextrun"/>
          <w:rFonts w:ascii="Garamond" w:hAnsi="Garamond" w:cs="Segoe UI"/>
          <w:i/>
          <w:iCs/>
          <w:sz w:val="22"/>
          <w:szCs w:val="22"/>
        </w:rPr>
        <w:t>Landscape Ecology</w:t>
      </w:r>
      <w:r w:rsidRPr="6A7FCD73">
        <w:rPr>
          <w:rStyle w:val="normaltextrun"/>
          <w:rFonts w:ascii="Garamond" w:hAnsi="Garamond" w:cs="Segoe UI"/>
          <w:sz w:val="22"/>
          <w:szCs w:val="22"/>
        </w:rPr>
        <w:t xml:space="preserve">, </w:t>
      </w:r>
      <w:r w:rsidRPr="6A7FCD73">
        <w:rPr>
          <w:rStyle w:val="normaltextrun"/>
          <w:rFonts w:ascii="Garamond" w:hAnsi="Garamond" w:cs="Segoe UI"/>
          <w:i/>
          <w:iCs/>
          <w:sz w:val="22"/>
          <w:szCs w:val="22"/>
        </w:rPr>
        <w:t>15</w:t>
      </w:r>
      <w:r w:rsidRPr="6A7FCD73">
        <w:rPr>
          <w:rStyle w:val="normaltextrun"/>
          <w:rFonts w:ascii="Garamond" w:hAnsi="Garamond" w:cs="Segoe UI"/>
          <w:sz w:val="22"/>
          <w:szCs w:val="22"/>
        </w:rPr>
        <w:t xml:space="preserve">(6), 577–589. </w:t>
      </w:r>
      <w:r w:rsidR="6B5F48EB" w:rsidRPr="6A7FCD73">
        <w:rPr>
          <w:rStyle w:val="normaltextrun"/>
          <w:rFonts w:ascii="Garamond" w:hAnsi="Garamond" w:cs="Segoe UI"/>
          <w:sz w:val="22"/>
          <w:szCs w:val="22"/>
        </w:rPr>
        <w:t>https://doi.org/10.1023/A:1008198215674</w:t>
      </w:r>
    </w:p>
    <w:p w14:paraId="1370F945" w14:textId="13F893D8" w:rsidR="0C76936B" w:rsidRDefault="246E5BC8" w:rsidP="6A7FCD73">
      <w:pPr>
        <w:pStyle w:val="paragraph"/>
        <w:spacing w:before="0" w:beforeAutospacing="0" w:after="240" w:afterAutospacing="0" w:line="276" w:lineRule="auto"/>
        <w:ind w:left="720" w:hanging="720"/>
        <w:rPr>
          <w:rStyle w:val="normaltextrun"/>
          <w:rFonts w:ascii="Garamond" w:hAnsi="Garamond" w:cs="Segoe UI"/>
          <w:sz w:val="22"/>
          <w:szCs w:val="22"/>
        </w:rPr>
      </w:pPr>
      <w:r w:rsidRPr="6A7FCD73">
        <w:rPr>
          <w:rStyle w:val="normaltextrun"/>
          <w:rFonts w:ascii="Garamond" w:hAnsi="Garamond" w:cs="Segoe UI"/>
          <w:sz w:val="22"/>
          <w:szCs w:val="22"/>
        </w:rPr>
        <w:t xml:space="preserve">Walker, N. D. (2001). Tropical Storm and Hurricane Wind Effects on Water Level, Salinity, and Sediment Transport in the River-Influenced Atchafalaya-Vermillion Bay System, Louisiana, USA. </w:t>
      </w:r>
      <w:r w:rsidRPr="6A7FCD73">
        <w:rPr>
          <w:rStyle w:val="normaltextrun"/>
          <w:rFonts w:ascii="Garamond" w:hAnsi="Garamond" w:cs="Segoe UI"/>
          <w:i/>
          <w:iCs/>
          <w:sz w:val="22"/>
          <w:szCs w:val="22"/>
        </w:rPr>
        <w:t>Estuaries</w:t>
      </w:r>
      <w:r w:rsidRPr="6A7FCD73">
        <w:rPr>
          <w:rStyle w:val="normaltextrun"/>
          <w:rFonts w:ascii="Garamond" w:hAnsi="Garamond" w:cs="Segoe UI"/>
          <w:sz w:val="22"/>
          <w:szCs w:val="22"/>
        </w:rPr>
        <w:t xml:space="preserve">, </w:t>
      </w:r>
      <w:r w:rsidRPr="6A7FCD73">
        <w:rPr>
          <w:rStyle w:val="normaltextrun"/>
          <w:rFonts w:ascii="Garamond" w:hAnsi="Garamond" w:cs="Segoe UI"/>
          <w:i/>
          <w:iCs/>
          <w:sz w:val="22"/>
          <w:szCs w:val="22"/>
        </w:rPr>
        <w:t>24</w:t>
      </w:r>
      <w:r w:rsidRPr="6A7FCD73">
        <w:rPr>
          <w:rStyle w:val="normaltextrun"/>
          <w:rFonts w:ascii="Garamond" w:hAnsi="Garamond" w:cs="Segoe UI"/>
          <w:sz w:val="22"/>
          <w:szCs w:val="22"/>
        </w:rPr>
        <w:t>(4), 498-508. https://doi.org/10.2307/1353252</w:t>
      </w:r>
    </w:p>
    <w:p w14:paraId="78BE1DE5" w14:textId="1048F689" w:rsidR="62575B24" w:rsidRPr="009C42FC" w:rsidRDefault="5B9C13AE" w:rsidP="6A7FCD73">
      <w:pPr>
        <w:pStyle w:val="paragraph"/>
        <w:spacing w:before="0" w:beforeAutospacing="0" w:after="240" w:afterAutospacing="0" w:line="276" w:lineRule="auto"/>
        <w:ind w:left="720" w:hanging="720"/>
        <w:rPr>
          <w:rStyle w:val="normaltextrun"/>
          <w:rFonts w:ascii="Garamond" w:hAnsi="Garamond" w:cs="Segoe UI"/>
          <w:sz w:val="22"/>
          <w:szCs w:val="22"/>
        </w:rPr>
      </w:pPr>
      <w:r w:rsidRPr="0C76936B">
        <w:rPr>
          <w:rStyle w:val="normaltextrun"/>
          <w:rFonts w:ascii="Garamond" w:hAnsi="Garamond" w:cs="Segoe UI"/>
          <w:sz w:val="22"/>
          <w:szCs w:val="22"/>
        </w:rPr>
        <w:t xml:space="preserve">Yang, J., Reichert, P., Abbaspour, K. C., Xia, J., Yang, H. (2008). Comparing uncertainty analysis techniques for a SWAT application to the Chaohe Basin in China. </w:t>
      </w:r>
      <w:r w:rsidRPr="6A7FCD73">
        <w:rPr>
          <w:rStyle w:val="normaltextrun"/>
          <w:rFonts w:ascii="Garamond" w:hAnsi="Garamond" w:cs="Segoe UI"/>
          <w:i/>
          <w:iCs/>
          <w:sz w:val="22"/>
          <w:szCs w:val="22"/>
        </w:rPr>
        <w:t>Journal of Hydrology,</w:t>
      </w:r>
      <w:r w:rsidRPr="0C76936B">
        <w:rPr>
          <w:rStyle w:val="normaltextrun"/>
          <w:rFonts w:ascii="Garamond" w:hAnsi="Garamond" w:cs="Segoe UI"/>
          <w:sz w:val="22"/>
          <w:szCs w:val="22"/>
        </w:rPr>
        <w:t xml:space="preserve"> </w:t>
      </w:r>
      <w:r w:rsidRPr="6A7FCD73">
        <w:rPr>
          <w:rStyle w:val="normaltextrun"/>
          <w:rFonts w:ascii="Garamond" w:hAnsi="Garamond" w:cs="Segoe UI"/>
          <w:i/>
          <w:iCs/>
          <w:sz w:val="22"/>
          <w:szCs w:val="22"/>
        </w:rPr>
        <w:t>358</w:t>
      </w:r>
      <w:r w:rsidRPr="0C76936B">
        <w:rPr>
          <w:rStyle w:val="normaltextrun"/>
          <w:rFonts w:ascii="Garamond" w:hAnsi="Garamond" w:cs="Segoe UI"/>
          <w:sz w:val="22"/>
          <w:szCs w:val="22"/>
        </w:rPr>
        <w:t>, 1–23. https://doi.org/10.1016/j.jhydrol.2008.05.012</w:t>
      </w:r>
    </w:p>
    <w:p w14:paraId="475DB48C" w14:textId="4A49E4D0" w:rsidR="62575B24" w:rsidRPr="009C42FC" w:rsidRDefault="48F4F6CB" w:rsidP="6A7FCD73">
      <w:pPr>
        <w:pStyle w:val="paragraph"/>
        <w:spacing w:before="0" w:beforeAutospacing="0" w:after="240" w:afterAutospacing="0" w:line="276" w:lineRule="auto"/>
        <w:ind w:left="720" w:hanging="720"/>
        <w:rPr>
          <w:rFonts w:ascii="Garamond" w:eastAsia="Garamond" w:hAnsi="Garamond" w:cs="Garamond"/>
          <w:sz w:val="22"/>
          <w:szCs w:val="22"/>
        </w:rPr>
      </w:pPr>
      <w:r w:rsidRPr="6A7FCD73">
        <w:rPr>
          <w:rFonts w:ascii="Garamond" w:eastAsia="Garamond" w:hAnsi="Garamond" w:cs="Garamond"/>
          <w:sz w:val="22"/>
          <w:szCs w:val="22"/>
        </w:rPr>
        <w:t xml:space="preserve">Yevenes, M. A. &amp; Mannaerts, C. M. (2011). Seasonal and land use impacts on the nitrate budget and export of a mesoscale catchment in Southern Portugal. </w:t>
      </w:r>
      <w:r w:rsidRPr="6A7FCD73">
        <w:rPr>
          <w:rFonts w:ascii="Garamond" w:eastAsia="Garamond" w:hAnsi="Garamond" w:cs="Garamond"/>
          <w:i/>
          <w:iCs/>
          <w:sz w:val="22"/>
          <w:szCs w:val="22"/>
        </w:rPr>
        <w:t>Agricultural Water Management</w:t>
      </w:r>
      <w:r w:rsidRPr="6A7FCD73">
        <w:rPr>
          <w:rFonts w:ascii="Garamond" w:eastAsia="Garamond" w:hAnsi="Garamond" w:cs="Garamond"/>
          <w:sz w:val="22"/>
          <w:szCs w:val="22"/>
        </w:rPr>
        <w:t xml:space="preserve">, </w:t>
      </w:r>
      <w:r w:rsidRPr="6A7FCD73">
        <w:rPr>
          <w:rFonts w:ascii="Garamond" w:eastAsia="Garamond" w:hAnsi="Garamond" w:cs="Garamond"/>
          <w:i/>
          <w:iCs/>
          <w:sz w:val="22"/>
          <w:szCs w:val="22"/>
        </w:rPr>
        <w:t>102</w:t>
      </w:r>
      <w:r w:rsidRPr="6A7FCD73">
        <w:rPr>
          <w:rFonts w:ascii="Garamond" w:eastAsia="Garamond" w:hAnsi="Garamond" w:cs="Garamond"/>
          <w:sz w:val="22"/>
          <w:szCs w:val="22"/>
        </w:rPr>
        <w:t>, 54–65. https://doi.org/10.1016/j.agwat.2011.10.006</w:t>
      </w:r>
    </w:p>
    <w:p w14:paraId="6ED5550D" w14:textId="69493C5A" w:rsidR="31CE712C" w:rsidRDefault="31CE712C" w:rsidP="13CB051E">
      <w:pPr>
        <w:spacing w:after="240" w:line="240" w:lineRule="auto"/>
        <w:ind w:left="720" w:hanging="720"/>
        <w:jc w:val="left"/>
        <w:rPr>
          <w:rFonts w:eastAsia="Garamond" w:cs="Garamond"/>
        </w:rPr>
      </w:pPr>
    </w:p>
    <w:p w14:paraId="1496705D" w14:textId="3C563682" w:rsidR="0F11C30F" w:rsidRDefault="0F11C30F" w:rsidP="31CE712C">
      <w:pPr>
        <w:pStyle w:val="Heading1"/>
        <w:spacing w:before="0" w:line="240" w:lineRule="auto"/>
        <w:jc w:val="left"/>
        <w:rPr>
          <w:rFonts w:ascii="Garamond" w:eastAsia="Garamond" w:hAnsi="Garamond" w:cs="Garamond"/>
        </w:rPr>
      </w:pPr>
    </w:p>
    <w:p w14:paraId="33A9D377" w14:textId="3D3787F8" w:rsidR="54EDA8BF" w:rsidRDefault="54EDA8BF">
      <w:r>
        <w:br w:type="page"/>
      </w:r>
    </w:p>
    <w:p w14:paraId="3FED168C" w14:textId="3FA2700E" w:rsidR="54EDA8BF" w:rsidRDefault="068C9698" w:rsidP="13CB051E">
      <w:pPr>
        <w:pStyle w:val="Heading1"/>
        <w:spacing w:before="0" w:line="240" w:lineRule="auto"/>
        <w:jc w:val="left"/>
        <w:rPr>
          <w:rFonts w:ascii="Garamond" w:eastAsia="Garamond" w:hAnsi="Garamond" w:cs="Garamond"/>
        </w:rPr>
      </w:pPr>
      <w:r w:rsidRPr="13CB051E">
        <w:rPr>
          <w:rFonts w:ascii="Garamond" w:eastAsia="Garamond" w:hAnsi="Garamond" w:cs="Garamond"/>
        </w:rPr>
        <w:lastRenderedPageBreak/>
        <w:t>9</w:t>
      </w:r>
      <w:r w:rsidR="63BB1382" w:rsidRPr="13CB051E">
        <w:rPr>
          <w:rFonts w:ascii="Garamond" w:eastAsia="Garamond" w:hAnsi="Garamond" w:cs="Garamond"/>
        </w:rPr>
        <w:t>. Appendices</w:t>
      </w:r>
    </w:p>
    <w:p w14:paraId="3C98CD59" w14:textId="3F85987B" w:rsidR="54EDA8BF" w:rsidRDefault="54EDA8BF" w:rsidP="54EDA8BF">
      <w:pPr>
        <w:spacing w:after="0" w:line="240" w:lineRule="auto"/>
        <w:jc w:val="left"/>
      </w:pPr>
      <w:r>
        <w:t>Appendix A. Discharge Calibration and Validation</w:t>
      </w:r>
    </w:p>
    <w:p w14:paraId="04D9FEB5" w14:textId="016767B7" w:rsidR="54EDA8BF" w:rsidRDefault="54EDA8BF" w:rsidP="54EDA8BF">
      <w:pPr>
        <w:spacing w:after="0" w:line="240" w:lineRule="auto"/>
        <w:jc w:val="left"/>
      </w:pPr>
      <w:r>
        <w:rPr>
          <w:noProof/>
        </w:rPr>
        <w:drawing>
          <wp:inline distT="0" distB="0" distL="0" distR="0" wp14:anchorId="563AEC25" wp14:editId="0EC37CA4">
            <wp:extent cx="4572000" cy="2600325"/>
            <wp:effectExtent l="0" t="0" r="0" b="0"/>
            <wp:docPr id="1496374291" name="Picture 1496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2600325"/>
                    </a:xfrm>
                    <a:prstGeom prst="rect">
                      <a:avLst/>
                    </a:prstGeom>
                  </pic:spPr>
                </pic:pic>
              </a:graphicData>
            </a:graphic>
          </wp:inline>
        </w:drawing>
      </w:r>
    </w:p>
    <w:p w14:paraId="7B3EECF8" w14:textId="4A8E4D2A" w:rsidR="54EDA8BF" w:rsidRDefault="54EDA8BF" w:rsidP="54EDA8BF">
      <w:pPr>
        <w:spacing w:after="0" w:line="240" w:lineRule="auto"/>
        <w:jc w:val="left"/>
      </w:pPr>
      <w:r>
        <w:rPr>
          <w:noProof/>
        </w:rPr>
        <w:drawing>
          <wp:inline distT="0" distB="0" distL="0" distR="0" wp14:anchorId="2120DDC2" wp14:editId="7E282972">
            <wp:extent cx="4572000" cy="2314575"/>
            <wp:effectExtent l="0" t="0" r="0" b="0"/>
            <wp:docPr id="822721418" name="Picture 82272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2314575"/>
                    </a:xfrm>
                    <a:prstGeom prst="rect">
                      <a:avLst/>
                    </a:prstGeom>
                  </pic:spPr>
                </pic:pic>
              </a:graphicData>
            </a:graphic>
          </wp:inline>
        </w:drawing>
      </w:r>
    </w:p>
    <w:p w14:paraId="35C8A8BB" w14:textId="5320DFAB" w:rsidR="00D284EC" w:rsidRDefault="00D284EC" w:rsidP="54EDA8BF">
      <w:pPr>
        <w:jc w:val="left"/>
      </w:pPr>
      <w:r>
        <w:t>Figure A1. Time series plots of observed and simulated daily discharge during calibration (a) and validation (b).</w:t>
      </w:r>
    </w:p>
    <w:p w14:paraId="68156009" w14:textId="42C51E43" w:rsidR="54EDA8BF" w:rsidRDefault="54EDA8BF">
      <w:r>
        <w:br w:type="page"/>
      </w:r>
    </w:p>
    <w:p w14:paraId="5195A5B5" w14:textId="0B552D16" w:rsidR="54EDA8BF" w:rsidRDefault="54EDA8BF">
      <w:r>
        <w:lastRenderedPageBreak/>
        <w:t xml:space="preserve">Appendix B. Scatter Plots of Simulated and Observed Discharge </w:t>
      </w:r>
    </w:p>
    <w:p w14:paraId="005C230F" w14:textId="18499E7B" w:rsidR="54EDA8BF" w:rsidRDefault="54EDA8BF" w:rsidP="54EDA8BF">
      <w:pPr>
        <w:spacing w:after="0" w:line="240" w:lineRule="auto"/>
        <w:jc w:val="left"/>
      </w:pPr>
      <w:r>
        <w:rPr>
          <w:noProof/>
        </w:rPr>
        <w:drawing>
          <wp:inline distT="0" distB="0" distL="0" distR="0" wp14:anchorId="7B545479" wp14:editId="38287DAE">
            <wp:extent cx="4572000" cy="2752725"/>
            <wp:effectExtent l="0" t="0" r="0" b="0"/>
            <wp:docPr id="1898138828" name="Picture 189813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51525B16" w14:textId="6DD2C0C2" w:rsidR="54EDA8BF" w:rsidRDefault="54EDA8BF" w:rsidP="54EDA8BF">
      <w:pPr>
        <w:spacing w:after="0" w:line="240" w:lineRule="auto"/>
        <w:jc w:val="left"/>
      </w:pPr>
      <w:r>
        <w:rPr>
          <w:noProof/>
        </w:rPr>
        <w:drawing>
          <wp:inline distT="0" distB="0" distL="0" distR="0" wp14:anchorId="17EE0261" wp14:editId="16ACF307">
            <wp:extent cx="4572000" cy="2752725"/>
            <wp:effectExtent l="0" t="0" r="0" b="0"/>
            <wp:docPr id="334924850" name="Picture 33492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11E6B8E1" w14:textId="08E8882C" w:rsidR="54EDA8BF" w:rsidRDefault="54EDA8BF" w:rsidP="54EDA8BF">
      <w:pPr>
        <w:spacing w:after="0" w:line="240" w:lineRule="auto"/>
        <w:jc w:val="left"/>
      </w:pPr>
      <w:r>
        <w:t>Figure B1. Scatter plots of simulated and observed discharge for calibrated (a), and validated (b)</w:t>
      </w:r>
    </w:p>
    <w:p w14:paraId="630F8BE6" w14:textId="00992896" w:rsidR="54EDA8BF" w:rsidRDefault="54EDA8BF">
      <w:r>
        <w:br w:type="page"/>
      </w:r>
    </w:p>
    <w:p w14:paraId="6EC04307" w14:textId="635A7382" w:rsidR="54EDA8BF" w:rsidRDefault="54EDA8BF" w:rsidP="54EDA8BF">
      <w:pPr>
        <w:spacing w:after="0" w:line="240" w:lineRule="auto"/>
        <w:jc w:val="left"/>
      </w:pPr>
      <w:r>
        <w:lastRenderedPageBreak/>
        <w:t>Appendix C. Total Suspended Sediment Calibration and Validation</w:t>
      </w:r>
    </w:p>
    <w:p w14:paraId="1ADDB546" w14:textId="6D2545F6" w:rsidR="54EDA8BF" w:rsidRDefault="54EDA8BF" w:rsidP="54EDA8BF">
      <w:pPr>
        <w:spacing w:after="0" w:line="240" w:lineRule="auto"/>
        <w:jc w:val="left"/>
      </w:pPr>
      <w:r>
        <w:rPr>
          <w:noProof/>
        </w:rPr>
        <w:drawing>
          <wp:inline distT="0" distB="0" distL="0" distR="0" wp14:anchorId="46D1D1E6" wp14:editId="4BDF0FEE">
            <wp:extent cx="4572000" cy="2724150"/>
            <wp:effectExtent l="0" t="0" r="0" b="0"/>
            <wp:docPr id="409006729" name="Picture 409006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2724150"/>
                    </a:xfrm>
                    <a:prstGeom prst="rect">
                      <a:avLst/>
                    </a:prstGeom>
                  </pic:spPr>
                </pic:pic>
              </a:graphicData>
            </a:graphic>
          </wp:inline>
        </w:drawing>
      </w:r>
    </w:p>
    <w:p w14:paraId="08538126" w14:textId="53EEFF35" w:rsidR="54EDA8BF" w:rsidRDefault="54EDA8BF" w:rsidP="54EDA8BF">
      <w:pPr>
        <w:spacing w:after="0" w:line="240" w:lineRule="auto"/>
        <w:jc w:val="left"/>
      </w:pPr>
      <w:r>
        <w:rPr>
          <w:noProof/>
        </w:rPr>
        <w:drawing>
          <wp:inline distT="0" distB="0" distL="0" distR="0" wp14:anchorId="340F4204" wp14:editId="40F40105">
            <wp:extent cx="4572000" cy="2562225"/>
            <wp:effectExtent l="0" t="0" r="0" b="0"/>
            <wp:docPr id="1243286424" name="Picture 124328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2562225"/>
                    </a:xfrm>
                    <a:prstGeom prst="rect">
                      <a:avLst/>
                    </a:prstGeom>
                  </pic:spPr>
                </pic:pic>
              </a:graphicData>
            </a:graphic>
          </wp:inline>
        </w:drawing>
      </w:r>
    </w:p>
    <w:p w14:paraId="67F75E3E" w14:textId="03AA63B7" w:rsidR="00D284EC" w:rsidRDefault="00D284EC" w:rsidP="54EDA8BF">
      <w:pPr>
        <w:jc w:val="left"/>
      </w:pPr>
      <w:r>
        <w:t>Figure C1. Time series plots of observed and simulated Total Suspended Sediments during calibration (a) and validation (b).</w:t>
      </w:r>
    </w:p>
    <w:p w14:paraId="7E7847B7" w14:textId="39AE5909" w:rsidR="54EDA8BF" w:rsidRDefault="54EDA8BF">
      <w:r>
        <w:br w:type="page"/>
      </w:r>
    </w:p>
    <w:p w14:paraId="36375A03" w14:textId="6CC59A6A" w:rsidR="54EDA8BF" w:rsidRDefault="54EDA8BF" w:rsidP="54EDA8BF">
      <w:r>
        <w:lastRenderedPageBreak/>
        <w:t>Appendix D. Scatter Plots of Simulated and Observed Total Suspended Sediments</w:t>
      </w:r>
    </w:p>
    <w:p w14:paraId="0F2F30B3" w14:textId="2B7CE04B" w:rsidR="54EDA8BF" w:rsidRDefault="54EDA8BF" w:rsidP="54EDA8BF">
      <w:pPr>
        <w:jc w:val="left"/>
      </w:pPr>
      <w:r>
        <w:rPr>
          <w:noProof/>
        </w:rPr>
        <w:drawing>
          <wp:inline distT="0" distB="0" distL="0" distR="0" wp14:anchorId="652A4EE3" wp14:editId="79B52DA1">
            <wp:extent cx="4572000" cy="2752725"/>
            <wp:effectExtent l="0" t="0" r="0" b="0"/>
            <wp:docPr id="1560177128" name="Picture 156017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2B07FB33" w14:textId="1980D58E" w:rsidR="54EDA8BF" w:rsidRDefault="54EDA8BF" w:rsidP="54EDA8BF">
      <w:pPr>
        <w:jc w:val="left"/>
      </w:pPr>
      <w:r>
        <w:rPr>
          <w:noProof/>
        </w:rPr>
        <w:drawing>
          <wp:inline distT="0" distB="0" distL="0" distR="0" wp14:anchorId="5C0B8756" wp14:editId="62F9BF54">
            <wp:extent cx="4572000" cy="2752725"/>
            <wp:effectExtent l="0" t="0" r="0" b="0"/>
            <wp:docPr id="940346346" name="Picture 94034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0E3BC1EA" w14:textId="2AA0AEE3" w:rsidR="54EDA8BF" w:rsidRDefault="6DB3D0F5" w:rsidP="54EDA8BF">
      <w:pPr>
        <w:jc w:val="left"/>
      </w:pPr>
      <w:r>
        <w:t>Figure D1. Scatter plots of simulated and observed TSS for calibrated (a), and validated (b)</w:t>
      </w:r>
    </w:p>
    <w:p w14:paraId="53096496" w14:textId="40C08C6D" w:rsidR="065E7792" w:rsidRDefault="065E7792">
      <w:r>
        <w:br w:type="page"/>
      </w:r>
    </w:p>
    <w:p w14:paraId="34EB585F" w14:textId="74A948D2" w:rsidR="54EDA8BF" w:rsidRDefault="1F52DE71" w:rsidP="54EDA8BF">
      <w:pPr>
        <w:spacing w:after="0" w:line="240" w:lineRule="auto"/>
        <w:jc w:val="left"/>
      </w:pPr>
      <w:r>
        <w:lastRenderedPageBreak/>
        <w:t xml:space="preserve">Appendix E. GPM IMERG York River </w:t>
      </w:r>
      <w:r w:rsidR="52669B64">
        <w:t>W</w:t>
      </w:r>
      <w:r>
        <w:t xml:space="preserve">atershed </w:t>
      </w:r>
      <w:r w:rsidR="327666A3">
        <w:t>M</w:t>
      </w:r>
      <w:r>
        <w:t xml:space="preserve">onthly </w:t>
      </w:r>
      <w:r w:rsidR="6875FC02">
        <w:t>M</w:t>
      </w:r>
      <w:r>
        <w:t xml:space="preserve">ean </w:t>
      </w:r>
      <w:r w:rsidR="39472AEF">
        <w:t>P</w:t>
      </w:r>
      <w:r>
        <w:t xml:space="preserve">recipitation </w:t>
      </w:r>
      <w:r w:rsidR="54242C52">
        <w:t>L</w:t>
      </w:r>
      <w:r>
        <w:t>evels</w:t>
      </w:r>
      <w:r>
        <w:rPr>
          <w:noProof/>
        </w:rPr>
        <w:drawing>
          <wp:inline distT="0" distB="0" distL="0" distR="0" wp14:anchorId="1AEF02FA" wp14:editId="5DBA88AD">
            <wp:extent cx="5943600" cy="2241232"/>
            <wp:effectExtent l="0" t="0" r="0" b="0"/>
            <wp:docPr id="1657853565" name="Picture 165785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241232"/>
                    </a:xfrm>
                    <a:prstGeom prst="rect">
                      <a:avLst/>
                    </a:prstGeom>
                  </pic:spPr>
                </pic:pic>
              </a:graphicData>
            </a:graphic>
          </wp:inline>
        </w:drawing>
      </w:r>
      <w:r w:rsidR="6835E700">
        <w:t>Figure E1. October 2009 and 2019 precipitation maps in the York River watershed, using GPM IMERG data.</w:t>
      </w:r>
    </w:p>
    <w:p w14:paraId="0F0739C5" w14:textId="4B6558CB" w:rsidR="54EDA8BF" w:rsidRDefault="54EDA8BF" w:rsidP="54EDA8BF">
      <w:pPr>
        <w:spacing w:after="0" w:line="240" w:lineRule="auto"/>
        <w:jc w:val="left"/>
      </w:pPr>
    </w:p>
    <w:p w14:paraId="4A005AE4" w14:textId="23C25A15" w:rsidR="54EDA8BF" w:rsidRDefault="54EDA8BF" w:rsidP="54EDA8BF">
      <w:pPr>
        <w:spacing w:after="0" w:line="240" w:lineRule="auto"/>
        <w:jc w:val="left"/>
      </w:pPr>
    </w:p>
    <w:sectPr w:rsidR="54EDA8BF" w:rsidSect="0064280B">
      <w:headerReference w:type="default" r:id="rId29"/>
      <w:footerReference w:type="default" r:id="rId30"/>
      <w:headerReference w:type="first" r:id="rId31"/>
      <w:footerReference w:type="first" r:id="rId3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145CC" w14:textId="77777777" w:rsidR="00977471" w:rsidRDefault="00977471" w:rsidP="00242822">
      <w:pPr>
        <w:spacing w:after="0" w:line="240" w:lineRule="auto"/>
      </w:pPr>
      <w:r>
        <w:separator/>
      </w:r>
    </w:p>
  </w:endnote>
  <w:endnote w:type="continuationSeparator" w:id="0">
    <w:p w14:paraId="1142193A" w14:textId="77777777" w:rsidR="00977471" w:rsidRDefault="00977471" w:rsidP="00242822">
      <w:pPr>
        <w:spacing w:after="0" w:line="240" w:lineRule="auto"/>
      </w:pPr>
      <w:r>
        <w:continuationSeparator/>
      </w:r>
    </w:p>
  </w:endnote>
  <w:endnote w:type="continuationNotice" w:id="1">
    <w:p w14:paraId="1E9E2718" w14:textId="77777777" w:rsidR="00977471" w:rsidRDefault="009774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XckbxxAdvTT3713a231">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TTa351d857.B">
    <w:altName w:val="Calibri"/>
    <w:panose1 w:val="00000000000000000000"/>
    <w:charset w:val="00"/>
    <w:family w:val="swiss"/>
    <w:notTrueType/>
    <w:pitch w:val="default"/>
    <w:sig w:usb0="00000003" w:usb1="00000000" w:usb2="00000000" w:usb3="00000000" w:csb0="00000001" w:csb1="00000000"/>
  </w:font>
  <w:font w:name="AdvTT3713a231">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color w:val="2B579A"/>
            <w:shd w:val="clear" w:color="auto" w:fill="E6E6E6"/>
          </w:rPr>
          <w:fldChar w:fldCharType="begin"/>
        </w:r>
        <w:r w:rsidR="0064280B" w:rsidRPr="0056152E">
          <w:instrText xml:space="preserve"> PAGE   \* MERGEFORMAT </w:instrText>
        </w:r>
        <w:r w:rsidRPr="0056152E">
          <w:rPr>
            <w:color w:val="2B579A"/>
            <w:shd w:val="clear" w:color="auto" w:fill="E6E6E6"/>
          </w:rPr>
          <w:fldChar w:fldCharType="separate"/>
        </w:r>
        <w:r w:rsidR="008D4B2B">
          <w:rPr>
            <w:noProof/>
          </w:rPr>
          <w:t>4</w:t>
        </w:r>
        <w:r w:rsidRPr="0056152E">
          <w:rPr>
            <w:noProof/>
            <w:color w:val="2B579A"/>
            <w:shd w:val="clear" w:color="auto" w:fill="E6E6E6"/>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925C8" w14:textId="77777777" w:rsidR="00977471" w:rsidRDefault="00977471" w:rsidP="00242822">
      <w:pPr>
        <w:spacing w:after="0" w:line="240" w:lineRule="auto"/>
      </w:pPr>
      <w:r>
        <w:separator/>
      </w:r>
    </w:p>
  </w:footnote>
  <w:footnote w:type="continuationSeparator" w:id="0">
    <w:p w14:paraId="59F1EFB4" w14:textId="77777777" w:rsidR="00977471" w:rsidRDefault="00977471" w:rsidP="00242822">
      <w:pPr>
        <w:spacing w:after="0" w:line="240" w:lineRule="auto"/>
      </w:pPr>
      <w:r>
        <w:continuationSeparator/>
      </w:r>
    </w:p>
  </w:footnote>
  <w:footnote w:type="continuationNotice" w:id="1">
    <w:p w14:paraId="6F72152A" w14:textId="77777777" w:rsidR="00977471" w:rsidRDefault="009774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b/>
        <w:sz w:val="32"/>
        <w:szCs w:val="32"/>
      </w:rPr>
    </w:pPr>
    <w:r w:rsidRPr="000B6E68">
      <w:rPr>
        <w:b/>
        <w:sz w:val="32"/>
        <w:szCs w:val="32"/>
      </w:rPr>
      <w:t>NASA DEVELOP National Program</w:t>
    </w:r>
  </w:p>
  <w:p w14:paraId="2C103C83" w14:textId="4BD7D74A" w:rsidR="000B6E68" w:rsidRPr="000B6E68" w:rsidRDefault="0077554A" w:rsidP="14BC2B8F">
    <w:pPr>
      <w:spacing w:after="0" w:line="240" w:lineRule="auto"/>
      <w:jc w:val="right"/>
      <w:rPr>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13CB051E">
      <w:rPr>
        <w:b/>
        <w:bCs/>
        <w:sz w:val="32"/>
        <w:szCs w:val="32"/>
      </w:rPr>
      <w:t>Pop-Up Projects</w:t>
    </w:r>
  </w:p>
  <w:p w14:paraId="77B49D9A" w14:textId="6E5B7F02" w:rsidR="005F6AD4" w:rsidRDefault="6B27187E" w:rsidP="6B27187E">
    <w:pPr>
      <w:pStyle w:val="Header"/>
      <w:jc w:val="right"/>
      <w:rPr>
        <w:i/>
        <w:iCs/>
        <w:sz w:val="32"/>
        <w:szCs w:val="32"/>
      </w:rPr>
    </w:pPr>
    <w:r w:rsidRPr="6B27187E">
      <w:rPr>
        <w:i/>
        <w:iCs/>
        <w:sz w:val="32"/>
        <w:szCs w:val="32"/>
      </w:rPr>
      <w:t xml:space="preserve"> Summer 2022</w:t>
    </w:r>
  </w:p>
  <w:p w14:paraId="2F683015" w14:textId="77777777" w:rsidR="00AA4C5F" w:rsidRPr="0077554A" w:rsidRDefault="00AA4C5F" w:rsidP="000D5104">
    <w:pPr>
      <w:pStyle w:val="Header"/>
      <w:jc w:val="right"/>
      <w:rPr>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f+i0evOgBKrrC3" int2:id="Vu5T6lIU">
      <int2:state int2:value="Rejected" int2:type="LegacyProofing"/>
    </int2:textHash>
    <int2:textHash int2:hashCode="Vt2eyFx6QL8VJs" int2:id="1SaSPfLK">
      <int2:state int2:value="Rejected" int2:type="LegacyProofing"/>
    </int2:textHash>
    <int2:textHash int2:hashCode="4lMaWDGVDrouTT" int2:id="OjOx3vhB">
      <int2:state int2:value="Rejected" int2:type="LegacyProofing"/>
    </int2:textHash>
    <int2:textHash int2:hashCode="6STaQqQOLx5ZFu" int2:id="o4AS7xXL">
      <int2:state int2:value="Rejected" int2:type="LegacyProofing"/>
    </int2:textHash>
    <int2:textHash int2:hashCode="BBGejBQY2QbkWA" int2:id="2Fn8wdmD">
      <int2:state int2:value="Rejected" int2:type="LegacyProofing"/>
    </int2:textHash>
    <int2:textHash int2:hashCode="wJHhY+iq0z8Swt" int2:id="cpXupkrl">
      <int2:state int2:value="Rejected" int2:type="LegacyProofing"/>
    </int2:textHash>
    <int2:textHash int2:hashCode="7pbxR3p7gRpJdA" int2:id="LNw1tu3b">
      <int2:state int2:value="Rejected" int2:type="LegacyProofing"/>
    </int2:textHash>
    <int2:textHash int2:hashCode="BcIUeK0JUqmy9r" int2:id="ACamZ3MQ">
      <int2:state int2:value="Rejected" int2:type="LegacyProofing"/>
    </int2:textHash>
    <int2:textHash int2:hashCode="R7JFf6cyYVlN2X" int2:id="ic6v0MzH">
      <int2:state int2:value="Rejected" int2:type="LegacyProofing"/>
    </int2:textHash>
    <int2:textHash int2:hashCode="vyDd7Vv6xWcR9y" int2:id="V7rmGziL">
      <int2:state int2:value="Rejected" int2:type="LegacyProofing"/>
    </int2:textHash>
    <int2:textHash int2:hashCode="acBmN2PlQRSPCk" int2:id="Ls4q8tMV">
      <int2:state int2:value="Rejected" int2:type="LegacyProofing"/>
    </int2:textHash>
    <int2:textHash int2:hashCode="y1J5norKNDvuU5" int2:id="6dF4zITZ">
      <int2:state int2:value="Rejected" int2:type="LegacyProofing"/>
    </int2:textHash>
    <int2:textHash int2:hashCode="mNPaLs/+WR+muH" int2:id="oJBFU7RW">
      <int2:state int2:value="Rejected" int2:type="LegacyProofing"/>
    </int2:textHash>
    <int2:textHash int2:hashCode="OWUOqhGpee5tdJ" int2:id="6FuJRLjG">
      <int2:state int2:value="Rejected" int2:type="LegacyProofing"/>
    </int2:textHash>
    <int2:textHash int2:hashCode="xTkWo2KQCfyW3c" int2:id="tbkaCXxh">
      <int2:state int2:value="Rejected" int2:type="LegacyProofing"/>
    </int2:textHash>
    <int2:textHash int2:hashCode="OuOCWIwYuS2C8N" int2:id="fFpC80P8">
      <int2:state int2:value="Rejected" int2:type="LegacyProofing"/>
    </int2:textHash>
    <int2:textHash int2:hashCode="jeQVuJf/DnKPnT" int2:id="yCQRkL7l">
      <int2:state int2:value="Rejected" int2:type="LegacyProofing"/>
    </int2:textHash>
    <int2:textHash int2:hashCode="Gd15pUDhbYCXUR" int2:id="OKYmP0OO">
      <int2:state int2:value="Rejected" int2:type="LegacyProofing"/>
    </int2:textHash>
    <int2:textHash int2:hashCode="bRs7OFUNs94gjZ" int2:id="NwLB0H3R">
      <int2:state int2:value="Rejected" int2:type="LegacyProofing"/>
    </int2:textHash>
    <int2:textHash int2:hashCode="c0qaWK78d6GnUl" int2:id="NLo9dZqd">
      <int2:state int2:value="Rejected" int2:type="LegacyProofing"/>
    </int2:textHash>
    <int2:textHash int2:hashCode="UG+R/kWucJ/2mP" int2:id="IOiPZQ8k">
      <int2:state int2:value="Rejected" int2:type="LegacyProofing"/>
    </int2:textHash>
    <int2:bookmark int2:bookmarkName="_Int_1ob4Kdxd" int2:invalidationBookmarkName="" int2:hashCode="lMiWJgo5PQoEkF" int2:id="j9N8Mo3Q">
      <int2:state int2:value="Rejected" int2:type="LegacyProofing"/>
    </int2:bookmark>
    <int2:bookmark int2:bookmarkName="_Int_k4azTUF4" int2:invalidationBookmarkName="" int2:hashCode="s1iRWSpXCRpJ8u" int2:id="BI6YIHS6">
      <int2:state int2:value="Rejected" int2:type="LegacyProofing"/>
    </int2:bookmark>
    <int2:bookmark int2:bookmarkName="_Int_ryVycFb7" int2:invalidationBookmarkName="" int2:hashCode="lMiWJgo5PQoEkF" int2:id="nm9M7pBb">
      <int2:state int2:value="Rejected" int2:type="LegacyProofing"/>
    </int2:bookmark>
    <int2:bookmark int2:bookmarkName="_Int_mBchGHyk" int2:invalidationBookmarkName="" int2:hashCode="lMiWJgo5PQoEkF" int2:id="40qhY98v">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3"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4"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5"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6"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7"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8"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9"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0" w15:restartNumberingAfterBreak="0">
    <w:nsid w:val="52FA6FAA"/>
    <w:multiLevelType w:val="hybridMultilevel"/>
    <w:tmpl w:val="D68E91B4"/>
    <w:lvl w:ilvl="0" w:tplc="1090BF7E">
      <w:start w:val="1"/>
      <w:numFmt w:val="bullet"/>
      <w:lvlText w:val=""/>
      <w:lvlJc w:val="left"/>
      <w:pPr>
        <w:ind w:left="720" w:hanging="360"/>
      </w:pPr>
      <w:rPr>
        <w:rFonts w:ascii="Symbol" w:hAnsi="Symbol" w:hint="default"/>
      </w:rPr>
    </w:lvl>
    <w:lvl w:ilvl="1" w:tplc="B5F0418E">
      <w:start w:val="1"/>
      <w:numFmt w:val="bullet"/>
      <w:lvlText w:val="o"/>
      <w:lvlJc w:val="left"/>
      <w:pPr>
        <w:ind w:left="1440" w:hanging="360"/>
      </w:pPr>
      <w:rPr>
        <w:rFonts w:ascii="Courier New" w:hAnsi="Courier New" w:hint="default"/>
      </w:rPr>
    </w:lvl>
    <w:lvl w:ilvl="2" w:tplc="518CDED4">
      <w:start w:val="1"/>
      <w:numFmt w:val="bullet"/>
      <w:lvlText w:val=""/>
      <w:lvlJc w:val="left"/>
      <w:pPr>
        <w:ind w:left="2160" w:hanging="360"/>
      </w:pPr>
      <w:rPr>
        <w:rFonts w:ascii="Wingdings" w:hAnsi="Wingdings" w:hint="default"/>
      </w:rPr>
    </w:lvl>
    <w:lvl w:ilvl="3" w:tplc="11766054">
      <w:start w:val="1"/>
      <w:numFmt w:val="bullet"/>
      <w:lvlText w:val=""/>
      <w:lvlJc w:val="left"/>
      <w:pPr>
        <w:ind w:left="2880" w:hanging="360"/>
      </w:pPr>
      <w:rPr>
        <w:rFonts w:ascii="Symbol" w:hAnsi="Symbol" w:hint="default"/>
      </w:rPr>
    </w:lvl>
    <w:lvl w:ilvl="4" w:tplc="FC38A05A">
      <w:start w:val="1"/>
      <w:numFmt w:val="bullet"/>
      <w:lvlText w:val="o"/>
      <w:lvlJc w:val="left"/>
      <w:pPr>
        <w:ind w:left="3600" w:hanging="360"/>
      </w:pPr>
      <w:rPr>
        <w:rFonts w:ascii="Courier New" w:hAnsi="Courier New" w:hint="default"/>
      </w:rPr>
    </w:lvl>
    <w:lvl w:ilvl="5" w:tplc="1268A2B0">
      <w:start w:val="1"/>
      <w:numFmt w:val="bullet"/>
      <w:lvlText w:val=""/>
      <w:lvlJc w:val="left"/>
      <w:pPr>
        <w:ind w:left="4320" w:hanging="360"/>
      </w:pPr>
      <w:rPr>
        <w:rFonts w:ascii="Wingdings" w:hAnsi="Wingdings" w:hint="default"/>
      </w:rPr>
    </w:lvl>
    <w:lvl w:ilvl="6" w:tplc="E9560B00">
      <w:start w:val="1"/>
      <w:numFmt w:val="bullet"/>
      <w:lvlText w:val=""/>
      <w:lvlJc w:val="left"/>
      <w:pPr>
        <w:ind w:left="5040" w:hanging="360"/>
      </w:pPr>
      <w:rPr>
        <w:rFonts w:ascii="Symbol" w:hAnsi="Symbol" w:hint="default"/>
      </w:rPr>
    </w:lvl>
    <w:lvl w:ilvl="7" w:tplc="61FC9782">
      <w:start w:val="1"/>
      <w:numFmt w:val="bullet"/>
      <w:lvlText w:val="o"/>
      <w:lvlJc w:val="left"/>
      <w:pPr>
        <w:ind w:left="5760" w:hanging="360"/>
      </w:pPr>
      <w:rPr>
        <w:rFonts w:ascii="Courier New" w:hAnsi="Courier New" w:hint="default"/>
      </w:rPr>
    </w:lvl>
    <w:lvl w:ilvl="8" w:tplc="065EA878">
      <w:start w:val="1"/>
      <w:numFmt w:val="bullet"/>
      <w:lvlText w:val=""/>
      <w:lvlJc w:val="left"/>
      <w:pPr>
        <w:ind w:left="6480" w:hanging="360"/>
      </w:pPr>
      <w:rPr>
        <w:rFonts w:ascii="Wingdings" w:hAnsi="Wingdings" w:hint="default"/>
      </w:rPr>
    </w:lvl>
  </w:abstractNum>
  <w:abstractNum w:abstractNumId="11"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2"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3" w15:restartNumberingAfterBreak="0">
    <w:nsid w:val="6F856A10"/>
    <w:multiLevelType w:val="hybridMultilevel"/>
    <w:tmpl w:val="5E0A17BE"/>
    <w:lvl w:ilvl="0" w:tplc="1CFEA790">
      <w:start w:val="1"/>
      <w:numFmt w:val="bullet"/>
      <w:lvlText w:val=""/>
      <w:lvlJc w:val="left"/>
      <w:pPr>
        <w:ind w:left="720" w:hanging="360"/>
      </w:pPr>
      <w:rPr>
        <w:rFonts w:ascii="Symbol" w:hAnsi="Symbol" w:hint="default"/>
      </w:rPr>
    </w:lvl>
    <w:lvl w:ilvl="1" w:tplc="CCAEE79E">
      <w:start w:val="1"/>
      <w:numFmt w:val="bullet"/>
      <w:lvlText w:val="o"/>
      <w:lvlJc w:val="left"/>
      <w:pPr>
        <w:ind w:left="1440" w:hanging="360"/>
      </w:pPr>
      <w:rPr>
        <w:rFonts w:ascii="Courier New" w:hAnsi="Courier New" w:hint="default"/>
      </w:rPr>
    </w:lvl>
    <w:lvl w:ilvl="2" w:tplc="201E6A2A">
      <w:start w:val="1"/>
      <w:numFmt w:val="bullet"/>
      <w:lvlText w:val=""/>
      <w:lvlJc w:val="left"/>
      <w:pPr>
        <w:ind w:left="2160" w:hanging="360"/>
      </w:pPr>
      <w:rPr>
        <w:rFonts w:ascii="Wingdings" w:hAnsi="Wingdings" w:hint="default"/>
      </w:rPr>
    </w:lvl>
    <w:lvl w:ilvl="3" w:tplc="5CA6C622">
      <w:start w:val="1"/>
      <w:numFmt w:val="bullet"/>
      <w:lvlText w:val=""/>
      <w:lvlJc w:val="left"/>
      <w:pPr>
        <w:ind w:left="2880" w:hanging="360"/>
      </w:pPr>
      <w:rPr>
        <w:rFonts w:ascii="Symbol" w:hAnsi="Symbol" w:hint="default"/>
      </w:rPr>
    </w:lvl>
    <w:lvl w:ilvl="4" w:tplc="A13C1F8C">
      <w:start w:val="1"/>
      <w:numFmt w:val="bullet"/>
      <w:lvlText w:val="o"/>
      <w:lvlJc w:val="left"/>
      <w:pPr>
        <w:ind w:left="3600" w:hanging="360"/>
      </w:pPr>
      <w:rPr>
        <w:rFonts w:ascii="Courier New" w:hAnsi="Courier New" w:hint="default"/>
      </w:rPr>
    </w:lvl>
    <w:lvl w:ilvl="5" w:tplc="802C798A">
      <w:start w:val="1"/>
      <w:numFmt w:val="bullet"/>
      <w:lvlText w:val=""/>
      <w:lvlJc w:val="left"/>
      <w:pPr>
        <w:ind w:left="4320" w:hanging="360"/>
      </w:pPr>
      <w:rPr>
        <w:rFonts w:ascii="Wingdings" w:hAnsi="Wingdings" w:hint="default"/>
      </w:rPr>
    </w:lvl>
    <w:lvl w:ilvl="6" w:tplc="283876D6">
      <w:start w:val="1"/>
      <w:numFmt w:val="bullet"/>
      <w:lvlText w:val=""/>
      <w:lvlJc w:val="left"/>
      <w:pPr>
        <w:ind w:left="5040" w:hanging="360"/>
      </w:pPr>
      <w:rPr>
        <w:rFonts w:ascii="Symbol" w:hAnsi="Symbol" w:hint="default"/>
      </w:rPr>
    </w:lvl>
    <w:lvl w:ilvl="7" w:tplc="616E4138">
      <w:start w:val="1"/>
      <w:numFmt w:val="bullet"/>
      <w:lvlText w:val="o"/>
      <w:lvlJc w:val="left"/>
      <w:pPr>
        <w:ind w:left="5760" w:hanging="360"/>
      </w:pPr>
      <w:rPr>
        <w:rFonts w:ascii="Courier New" w:hAnsi="Courier New" w:hint="default"/>
      </w:rPr>
    </w:lvl>
    <w:lvl w:ilvl="8" w:tplc="954CEF3E">
      <w:start w:val="1"/>
      <w:numFmt w:val="bullet"/>
      <w:lvlText w:val=""/>
      <w:lvlJc w:val="left"/>
      <w:pPr>
        <w:ind w:left="6480" w:hanging="360"/>
      </w:pPr>
      <w:rPr>
        <w:rFonts w:ascii="Wingdings" w:hAnsi="Wingdings" w:hint="default"/>
      </w:rPr>
    </w:lvl>
  </w:abstractNum>
  <w:abstractNum w:abstractNumId="14"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5"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1"/>
  </w:num>
  <w:num w:numId="4">
    <w:abstractNumId w:val="6"/>
  </w:num>
  <w:num w:numId="5">
    <w:abstractNumId w:val="12"/>
  </w:num>
  <w:num w:numId="6">
    <w:abstractNumId w:val="5"/>
  </w:num>
  <w:num w:numId="7">
    <w:abstractNumId w:val="0"/>
  </w:num>
  <w:num w:numId="8">
    <w:abstractNumId w:val="15"/>
  </w:num>
  <w:num w:numId="9">
    <w:abstractNumId w:val="4"/>
  </w:num>
  <w:num w:numId="10">
    <w:abstractNumId w:val="7"/>
  </w:num>
  <w:num w:numId="11">
    <w:abstractNumId w:val="9"/>
  </w:num>
  <w:num w:numId="12">
    <w:abstractNumId w:val="1"/>
  </w:num>
  <w:num w:numId="13">
    <w:abstractNumId w:val="2"/>
  </w:num>
  <w:num w:numId="14">
    <w:abstractNumId w:val="8"/>
  </w:num>
  <w:num w:numId="15">
    <w:abstractNumId w:val="14"/>
  </w:num>
  <w:num w:numId="16">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14A39"/>
    <w:rsid w:val="00014DAF"/>
    <w:rsid w:val="00021B74"/>
    <w:rsid w:val="00028BD0"/>
    <w:rsid w:val="00030B13"/>
    <w:rsid w:val="000328E4"/>
    <w:rsid w:val="00040AE0"/>
    <w:rsid w:val="000456D3"/>
    <w:rsid w:val="000501ED"/>
    <w:rsid w:val="00054474"/>
    <w:rsid w:val="00054A1A"/>
    <w:rsid w:val="00064F07"/>
    <w:rsid w:val="000767C8"/>
    <w:rsid w:val="000801F4"/>
    <w:rsid w:val="00086B7E"/>
    <w:rsid w:val="00096016"/>
    <w:rsid w:val="000B0D5A"/>
    <w:rsid w:val="000B2C4E"/>
    <w:rsid w:val="000B3F87"/>
    <w:rsid w:val="000B6E68"/>
    <w:rsid w:val="000B727B"/>
    <w:rsid w:val="000C58B8"/>
    <w:rsid w:val="000D5104"/>
    <w:rsid w:val="000D6939"/>
    <w:rsid w:val="000D79AC"/>
    <w:rsid w:val="000F1545"/>
    <w:rsid w:val="000F1EE7"/>
    <w:rsid w:val="000F2ADA"/>
    <w:rsid w:val="000F36F5"/>
    <w:rsid w:val="00101280"/>
    <w:rsid w:val="00106EEF"/>
    <w:rsid w:val="00106FD6"/>
    <w:rsid w:val="001277EC"/>
    <w:rsid w:val="00136F9A"/>
    <w:rsid w:val="0014039E"/>
    <w:rsid w:val="0014286F"/>
    <w:rsid w:val="00142AEC"/>
    <w:rsid w:val="00145FA8"/>
    <w:rsid w:val="00147BCF"/>
    <w:rsid w:val="0015019B"/>
    <w:rsid w:val="001556CC"/>
    <w:rsid w:val="00163111"/>
    <w:rsid w:val="00163EFB"/>
    <w:rsid w:val="00171796"/>
    <w:rsid w:val="00173976"/>
    <w:rsid w:val="001821EB"/>
    <w:rsid w:val="00194FE1"/>
    <w:rsid w:val="00195D23"/>
    <w:rsid w:val="001A67C2"/>
    <w:rsid w:val="001A8274"/>
    <w:rsid w:val="001B54CD"/>
    <w:rsid w:val="001E158F"/>
    <w:rsid w:val="001F1328"/>
    <w:rsid w:val="001F2623"/>
    <w:rsid w:val="001F4014"/>
    <w:rsid w:val="00205E47"/>
    <w:rsid w:val="00206AB6"/>
    <w:rsid w:val="00220831"/>
    <w:rsid w:val="0022176E"/>
    <w:rsid w:val="00221CE5"/>
    <w:rsid w:val="0022A06A"/>
    <w:rsid w:val="00234F37"/>
    <w:rsid w:val="0023574D"/>
    <w:rsid w:val="00235957"/>
    <w:rsid w:val="00242822"/>
    <w:rsid w:val="002462B3"/>
    <w:rsid w:val="002539A7"/>
    <w:rsid w:val="00265D20"/>
    <w:rsid w:val="002672C0"/>
    <w:rsid w:val="0029214C"/>
    <w:rsid w:val="0029244E"/>
    <w:rsid w:val="00293F47"/>
    <w:rsid w:val="00294368"/>
    <w:rsid w:val="002A2D97"/>
    <w:rsid w:val="002A37F8"/>
    <w:rsid w:val="002AFE25"/>
    <w:rsid w:val="002B1159"/>
    <w:rsid w:val="002B2BE4"/>
    <w:rsid w:val="002C0C9D"/>
    <w:rsid w:val="002C28E6"/>
    <w:rsid w:val="002C4C2E"/>
    <w:rsid w:val="002C6397"/>
    <w:rsid w:val="002D5DCD"/>
    <w:rsid w:val="002D5F9B"/>
    <w:rsid w:val="002D6167"/>
    <w:rsid w:val="002E2A19"/>
    <w:rsid w:val="002F0BF2"/>
    <w:rsid w:val="002F204B"/>
    <w:rsid w:val="002F3C01"/>
    <w:rsid w:val="00307D86"/>
    <w:rsid w:val="00313805"/>
    <w:rsid w:val="003338D0"/>
    <w:rsid w:val="00346D5D"/>
    <w:rsid w:val="0035532B"/>
    <w:rsid w:val="00366BA2"/>
    <w:rsid w:val="003A297C"/>
    <w:rsid w:val="003A6D33"/>
    <w:rsid w:val="003C1630"/>
    <w:rsid w:val="003C3508"/>
    <w:rsid w:val="003D3A5B"/>
    <w:rsid w:val="003E253C"/>
    <w:rsid w:val="003F318B"/>
    <w:rsid w:val="003F39BF"/>
    <w:rsid w:val="0041150E"/>
    <w:rsid w:val="0041500B"/>
    <w:rsid w:val="004178B6"/>
    <w:rsid w:val="00417A61"/>
    <w:rsid w:val="0043112E"/>
    <w:rsid w:val="00436161"/>
    <w:rsid w:val="00436E69"/>
    <w:rsid w:val="00441CE7"/>
    <w:rsid w:val="0044423A"/>
    <w:rsid w:val="004456C1"/>
    <w:rsid w:val="00451695"/>
    <w:rsid w:val="00454844"/>
    <w:rsid w:val="0047397C"/>
    <w:rsid w:val="00482519"/>
    <w:rsid w:val="00482CE3"/>
    <w:rsid w:val="00494746"/>
    <w:rsid w:val="004951A9"/>
    <w:rsid w:val="004A2010"/>
    <w:rsid w:val="004A5DA8"/>
    <w:rsid w:val="004A7E41"/>
    <w:rsid w:val="004C4352"/>
    <w:rsid w:val="004C7977"/>
    <w:rsid w:val="004D19D3"/>
    <w:rsid w:val="004D7212"/>
    <w:rsid w:val="004D75BF"/>
    <w:rsid w:val="004D75CF"/>
    <w:rsid w:val="004E726C"/>
    <w:rsid w:val="004E730A"/>
    <w:rsid w:val="004F3873"/>
    <w:rsid w:val="004F7DF2"/>
    <w:rsid w:val="004F7DF5"/>
    <w:rsid w:val="005053A0"/>
    <w:rsid w:val="00507028"/>
    <w:rsid w:val="00524715"/>
    <w:rsid w:val="00536C59"/>
    <w:rsid w:val="005418C9"/>
    <w:rsid w:val="005447A6"/>
    <w:rsid w:val="0055005F"/>
    <w:rsid w:val="00552C75"/>
    <w:rsid w:val="0056152E"/>
    <w:rsid w:val="00561C9E"/>
    <w:rsid w:val="00571F90"/>
    <w:rsid w:val="00583B86"/>
    <w:rsid w:val="005974B9"/>
    <w:rsid w:val="005A457F"/>
    <w:rsid w:val="005A5711"/>
    <w:rsid w:val="005A78B0"/>
    <w:rsid w:val="005B6AE3"/>
    <w:rsid w:val="005B78BD"/>
    <w:rsid w:val="005C6F90"/>
    <w:rsid w:val="005C723F"/>
    <w:rsid w:val="005D5E63"/>
    <w:rsid w:val="005E75E3"/>
    <w:rsid w:val="005F6188"/>
    <w:rsid w:val="005F6AD4"/>
    <w:rsid w:val="006043FF"/>
    <w:rsid w:val="00611ACB"/>
    <w:rsid w:val="00615E3A"/>
    <w:rsid w:val="00621AB9"/>
    <w:rsid w:val="00624E1E"/>
    <w:rsid w:val="00631E68"/>
    <w:rsid w:val="0063420A"/>
    <w:rsid w:val="006368EC"/>
    <w:rsid w:val="00637EE2"/>
    <w:rsid w:val="0064280B"/>
    <w:rsid w:val="006528A0"/>
    <w:rsid w:val="0065355E"/>
    <w:rsid w:val="0066075C"/>
    <w:rsid w:val="0066138C"/>
    <w:rsid w:val="0066727D"/>
    <w:rsid w:val="00675BC0"/>
    <w:rsid w:val="006822ED"/>
    <w:rsid w:val="00684FE5"/>
    <w:rsid w:val="00695331"/>
    <w:rsid w:val="006977D7"/>
    <w:rsid w:val="006A0BCE"/>
    <w:rsid w:val="006A440C"/>
    <w:rsid w:val="006A7224"/>
    <w:rsid w:val="006B23FA"/>
    <w:rsid w:val="006B6FAA"/>
    <w:rsid w:val="006C6154"/>
    <w:rsid w:val="006C7B8F"/>
    <w:rsid w:val="006D1A28"/>
    <w:rsid w:val="006D30E1"/>
    <w:rsid w:val="006D3D4B"/>
    <w:rsid w:val="006D5E8B"/>
    <w:rsid w:val="006E1497"/>
    <w:rsid w:val="006E2A1C"/>
    <w:rsid w:val="006E2B65"/>
    <w:rsid w:val="006E5D60"/>
    <w:rsid w:val="006E74BC"/>
    <w:rsid w:val="006F0FAB"/>
    <w:rsid w:val="00703C4B"/>
    <w:rsid w:val="007152DE"/>
    <w:rsid w:val="00716586"/>
    <w:rsid w:val="007205EF"/>
    <w:rsid w:val="0072613C"/>
    <w:rsid w:val="00732B10"/>
    <w:rsid w:val="00737712"/>
    <w:rsid w:val="00753B16"/>
    <w:rsid w:val="007566D3"/>
    <w:rsid w:val="00756C0F"/>
    <w:rsid w:val="00770650"/>
    <w:rsid w:val="00771691"/>
    <w:rsid w:val="00773BA6"/>
    <w:rsid w:val="0077554A"/>
    <w:rsid w:val="007775D4"/>
    <w:rsid w:val="00781908"/>
    <w:rsid w:val="00793884"/>
    <w:rsid w:val="00793FBF"/>
    <w:rsid w:val="007A20DC"/>
    <w:rsid w:val="007C0A06"/>
    <w:rsid w:val="007C12D4"/>
    <w:rsid w:val="007C1AEA"/>
    <w:rsid w:val="007D0214"/>
    <w:rsid w:val="007E184B"/>
    <w:rsid w:val="007E508C"/>
    <w:rsid w:val="007E68B5"/>
    <w:rsid w:val="007E7C44"/>
    <w:rsid w:val="007F5769"/>
    <w:rsid w:val="007F6093"/>
    <w:rsid w:val="007F7748"/>
    <w:rsid w:val="0081261B"/>
    <w:rsid w:val="0082104E"/>
    <w:rsid w:val="00824CC4"/>
    <w:rsid w:val="00832B48"/>
    <w:rsid w:val="0083391E"/>
    <w:rsid w:val="00855532"/>
    <w:rsid w:val="00855CC9"/>
    <w:rsid w:val="00865A53"/>
    <w:rsid w:val="00870E95"/>
    <w:rsid w:val="00871621"/>
    <w:rsid w:val="00872A13"/>
    <w:rsid w:val="008741CE"/>
    <w:rsid w:val="00876DBF"/>
    <w:rsid w:val="00887B07"/>
    <w:rsid w:val="008921B2"/>
    <w:rsid w:val="00893A40"/>
    <w:rsid w:val="00893AFA"/>
    <w:rsid w:val="008975BD"/>
    <w:rsid w:val="008A357F"/>
    <w:rsid w:val="008B2FF6"/>
    <w:rsid w:val="008B7071"/>
    <w:rsid w:val="008C0234"/>
    <w:rsid w:val="008C17FB"/>
    <w:rsid w:val="008C36E1"/>
    <w:rsid w:val="008C7380"/>
    <w:rsid w:val="008C783C"/>
    <w:rsid w:val="008C90C0"/>
    <w:rsid w:val="008D4B2B"/>
    <w:rsid w:val="008D5500"/>
    <w:rsid w:val="008E14C4"/>
    <w:rsid w:val="008E5453"/>
    <w:rsid w:val="0090063B"/>
    <w:rsid w:val="009009B5"/>
    <w:rsid w:val="009046BB"/>
    <w:rsid w:val="0091079C"/>
    <w:rsid w:val="0091309B"/>
    <w:rsid w:val="00916AAB"/>
    <w:rsid w:val="009228EC"/>
    <w:rsid w:val="00922F76"/>
    <w:rsid w:val="009230CB"/>
    <w:rsid w:val="00923856"/>
    <w:rsid w:val="00933965"/>
    <w:rsid w:val="00935394"/>
    <w:rsid w:val="009518A0"/>
    <w:rsid w:val="0097212D"/>
    <w:rsid w:val="00977471"/>
    <w:rsid w:val="0097790F"/>
    <w:rsid w:val="009830D6"/>
    <w:rsid w:val="00985DD4"/>
    <w:rsid w:val="009865CD"/>
    <w:rsid w:val="009906DC"/>
    <w:rsid w:val="009A19B3"/>
    <w:rsid w:val="009A20C2"/>
    <w:rsid w:val="009A20ED"/>
    <w:rsid w:val="009A4203"/>
    <w:rsid w:val="009A5F2A"/>
    <w:rsid w:val="009B0301"/>
    <w:rsid w:val="009C1329"/>
    <w:rsid w:val="009C1E43"/>
    <w:rsid w:val="009C42FC"/>
    <w:rsid w:val="009D6888"/>
    <w:rsid w:val="009E13E2"/>
    <w:rsid w:val="009F5966"/>
    <w:rsid w:val="009F5B6F"/>
    <w:rsid w:val="009F60A9"/>
    <w:rsid w:val="00A0128A"/>
    <w:rsid w:val="00A03B9D"/>
    <w:rsid w:val="00A052C4"/>
    <w:rsid w:val="00A11DB7"/>
    <w:rsid w:val="00A12C21"/>
    <w:rsid w:val="00A14294"/>
    <w:rsid w:val="00A17E8D"/>
    <w:rsid w:val="00A212CE"/>
    <w:rsid w:val="00A252F8"/>
    <w:rsid w:val="00A2773A"/>
    <w:rsid w:val="00A328B3"/>
    <w:rsid w:val="00A402E2"/>
    <w:rsid w:val="00A43059"/>
    <w:rsid w:val="00A44FFF"/>
    <w:rsid w:val="00A45D20"/>
    <w:rsid w:val="00A462A1"/>
    <w:rsid w:val="00A502CE"/>
    <w:rsid w:val="00A542DA"/>
    <w:rsid w:val="00A571A1"/>
    <w:rsid w:val="00A60645"/>
    <w:rsid w:val="00A63DBC"/>
    <w:rsid w:val="00A6BB82"/>
    <w:rsid w:val="00A715D8"/>
    <w:rsid w:val="00A75771"/>
    <w:rsid w:val="00A774D7"/>
    <w:rsid w:val="00A84352"/>
    <w:rsid w:val="00A95E7B"/>
    <w:rsid w:val="00A96390"/>
    <w:rsid w:val="00A9837B"/>
    <w:rsid w:val="00AA4C5F"/>
    <w:rsid w:val="00AB12D0"/>
    <w:rsid w:val="00AC1ECA"/>
    <w:rsid w:val="00AD5D0D"/>
    <w:rsid w:val="00AD6E52"/>
    <w:rsid w:val="00AF73E3"/>
    <w:rsid w:val="00AFB5CD"/>
    <w:rsid w:val="00B00BCB"/>
    <w:rsid w:val="00B068FE"/>
    <w:rsid w:val="00B07E78"/>
    <w:rsid w:val="00B1343D"/>
    <w:rsid w:val="00B15DC4"/>
    <w:rsid w:val="00B173A5"/>
    <w:rsid w:val="00B1778F"/>
    <w:rsid w:val="00B17AB7"/>
    <w:rsid w:val="00B2307C"/>
    <w:rsid w:val="00B24E61"/>
    <w:rsid w:val="00B265D9"/>
    <w:rsid w:val="00B2AB39"/>
    <w:rsid w:val="00B3322E"/>
    <w:rsid w:val="00B35B60"/>
    <w:rsid w:val="00B365F0"/>
    <w:rsid w:val="00B463CC"/>
    <w:rsid w:val="00B468A3"/>
    <w:rsid w:val="00B55CB4"/>
    <w:rsid w:val="00B564AC"/>
    <w:rsid w:val="00B64B52"/>
    <w:rsid w:val="00B64CCF"/>
    <w:rsid w:val="00B6CB8B"/>
    <w:rsid w:val="00B82606"/>
    <w:rsid w:val="00B8528C"/>
    <w:rsid w:val="00B8577D"/>
    <w:rsid w:val="00BA41F7"/>
    <w:rsid w:val="00BA7E76"/>
    <w:rsid w:val="00BB1B7B"/>
    <w:rsid w:val="00BB46C3"/>
    <w:rsid w:val="00BB5402"/>
    <w:rsid w:val="00BB78A4"/>
    <w:rsid w:val="00BC113C"/>
    <w:rsid w:val="00BC47BB"/>
    <w:rsid w:val="00BC5578"/>
    <w:rsid w:val="00BC7457"/>
    <w:rsid w:val="00BD1A87"/>
    <w:rsid w:val="00BD38D8"/>
    <w:rsid w:val="00BF2838"/>
    <w:rsid w:val="00C076CA"/>
    <w:rsid w:val="00C15E9C"/>
    <w:rsid w:val="00C3045C"/>
    <w:rsid w:val="00C46DF0"/>
    <w:rsid w:val="00C46ECF"/>
    <w:rsid w:val="00C500D2"/>
    <w:rsid w:val="00C50F66"/>
    <w:rsid w:val="00C53F96"/>
    <w:rsid w:val="00C56639"/>
    <w:rsid w:val="00C60F7D"/>
    <w:rsid w:val="00C76280"/>
    <w:rsid w:val="00C82473"/>
    <w:rsid w:val="00C86E0B"/>
    <w:rsid w:val="00C92320"/>
    <w:rsid w:val="00CA2EAB"/>
    <w:rsid w:val="00CA4BDB"/>
    <w:rsid w:val="00CB0C33"/>
    <w:rsid w:val="00CB1C0F"/>
    <w:rsid w:val="00CB7AFE"/>
    <w:rsid w:val="00CC3C5C"/>
    <w:rsid w:val="00CC6A0E"/>
    <w:rsid w:val="00CD092A"/>
    <w:rsid w:val="00CD51C8"/>
    <w:rsid w:val="00CE7909"/>
    <w:rsid w:val="00CE7FDD"/>
    <w:rsid w:val="00CF17F8"/>
    <w:rsid w:val="00CF6083"/>
    <w:rsid w:val="00CF711C"/>
    <w:rsid w:val="00D1374C"/>
    <w:rsid w:val="00D15940"/>
    <w:rsid w:val="00D284EC"/>
    <w:rsid w:val="00D3013B"/>
    <w:rsid w:val="00D34229"/>
    <w:rsid w:val="00D37248"/>
    <w:rsid w:val="00D41203"/>
    <w:rsid w:val="00D41395"/>
    <w:rsid w:val="00D41B46"/>
    <w:rsid w:val="00D523CD"/>
    <w:rsid w:val="00D61206"/>
    <w:rsid w:val="00D64B31"/>
    <w:rsid w:val="00D724CE"/>
    <w:rsid w:val="00D7644D"/>
    <w:rsid w:val="00D94371"/>
    <w:rsid w:val="00DA5145"/>
    <w:rsid w:val="00DA6C24"/>
    <w:rsid w:val="00DA7B77"/>
    <w:rsid w:val="00DA7F96"/>
    <w:rsid w:val="00DB15B2"/>
    <w:rsid w:val="00DB17D1"/>
    <w:rsid w:val="00DC52E2"/>
    <w:rsid w:val="00DE048E"/>
    <w:rsid w:val="00DE176A"/>
    <w:rsid w:val="00DE3A71"/>
    <w:rsid w:val="00E00E6B"/>
    <w:rsid w:val="00E02B08"/>
    <w:rsid w:val="00E03B8E"/>
    <w:rsid w:val="00E139E4"/>
    <w:rsid w:val="00E16257"/>
    <w:rsid w:val="00E2379B"/>
    <w:rsid w:val="00E40B9D"/>
    <w:rsid w:val="00E41324"/>
    <w:rsid w:val="00E43BB7"/>
    <w:rsid w:val="00E54236"/>
    <w:rsid w:val="00E578D6"/>
    <w:rsid w:val="00E6105B"/>
    <w:rsid w:val="00E64FEA"/>
    <w:rsid w:val="00E74845"/>
    <w:rsid w:val="00E75D54"/>
    <w:rsid w:val="00E785E1"/>
    <w:rsid w:val="00E83432"/>
    <w:rsid w:val="00E91B1A"/>
    <w:rsid w:val="00E91C8B"/>
    <w:rsid w:val="00E9823C"/>
    <w:rsid w:val="00EB1428"/>
    <w:rsid w:val="00EB565D"/>
    <w:rsid w:val="00ED281B"/>
    <w:rsid w:val="00ED4EBF"/>
    <w:rsid w:val="00EF3B8A"/>
    <w:rsid w:val="00EF4E37"/>
    <w:rsid w:val="00F07A8D"/>
    <w:rsid w:val="00F116A4"/>
    <w:rsid w:val="00F121FB"/>
    <w:rsid w:val="00F17B96"/>
    <w:rsid w:val="00F24FCE"/>
    <w:rsid w:val="00F27455"/>
    <w:rsid w:val="00F309D0"/>
    <w:rsid w:val="00F37B0F"/>
    <w:rsid w:val="00F425A7"/>
    <w:rsid w:val="00F46400"/>
    <w:rsid w:val="00F513BF"/>
    <w:rsid w:val="00F54C5E"/>
    <w:rsid w:val="00F608C9"/>
    <w:rsid w:val="00F80774"/>
    <w:rsid w:val="00F85D9B"/>
    <w:rsid w:val="00FA2B26"/>
    <w:rsid w:val="00FB2F9A"/>
    <w:rsid w:val="00FB5846"/>
    <w:rsid w:val="00FB5D9B"/>
    <w:rsid w:val="00FB653D"/>
    <w:rsid w:val="00FC670A"/>
    <w:rsid w:val="00FC67CA"/>
    <w:rsid w:val="00FD12A3"/>
    <w:rsid w:val="00FD2B86"/>
    <w:rsid w:val="00FD2E28"/>
    <w:rsid w:val="00FD359F"/>
    <w:rsid w:val="00FD5F1A"/>
    <w:rsid w:val="00FE08DD"/>
    <w:rsid w:val="00FE5203"/>
    <w:rsid w:val="00FE69E0"/>
    <w:rsid w:val="00FE7781"/>
    <w:rsid w:val="00FF7D1E"/>
    <w:rsid w:val="01012AA9"/>
    <w:rsid w:val="01084B52"/>
    <w:rsid w:val="010E3507"/>
    <w:rsid w:val="01102DE1"/>
    <w:rsid w:val="0117CD56"/>
    <w:rsid w:val="012CB798"/>
    <w:rsid w:val="012E9158"/>
    <w:rsid w:val="01306996"/>
    <w:rsid w:val="0130D3F7"/>
    <w:rsid w:val="0137C35A"/>
    <w:rsid w:val="0161806F"/>
    <w:rsid w:val="0167657E"/>
    <w:rsid w:val="0182774C"/>
    <w:rsid w:val="01911BEF"/>
    <w:rsid w:val="01A4239E"/>
    <w:rsid w:val="01A7BC1D"/>
    <w:rsid w:val="01AF37A8"/>
    <w:rsid w:val="01CCA437"/>
    <w:rsid w:val="01D381D9"/>
    <w:rsid w:val="01D569B7"/>
    <w:rsid w:val="01D8D3DA"/>
    <w:rsid w:val="01DB4D31"/>
    <w:rsid w:val="01EBA743"/>
    <w:rsid w:val="01F2D624"/>
    <w:rsid w:val="020220D6"/>
    <w:rsid w:val="02040C7F"/>
    <w:rsid w:val="020BCABA"/>
    <w:rsid w:val="02286121"/>
    <w:rsid w:val="02288766"/>
    <w:rsid w:val="0244CE72"/>
    <w:rsid w:val="0275C19E"/>
    <w:rsid w:val="02835642"/>
    <w:rsid w:val="0285529D"/>
    <w:rsid w:val="02A1A7DE"/>
    <w:rsid w:val="02AE1C6F"/>
    <w:rsid w:val="02AF7FEC"/>
    <w:rsid w:val="02B609F5"/>
    <w:rsid w:val="02C64474"/>
    <w:rsid w:val="02CA4F11"/>
    <w:rsid w:val="02CC0C35"/>
    <w:rsid w:val="02DC6517"/>
    <w:rsid w:val="02F092DD"/>
    <w:rsid w:val="02F619AE"/>
    <w:rsid w:val="02F88149"/>
    <w:rsid w:val="02FD50D0"/>
    <w:rsid w:val="030F2C11"/>
    <w:rsid w:val="0313CE37"/>
    <w:rsid w:val="032C8221"/>
    <w:rsid w:val="03348CDD"/>
    <w:rsid w:val="03373BB2"/>
    <w:rsid w:val="03438C7E"/>
    <w:rsid w:val="034660CE"/>
    <w:rsid w:val="0364A132"/>
    <w:rsid w:val="03674DC5"/>
    <w:rsid w:val="036769DA"/>
    <w:rsid w:val="03A8F3B1"/>
    <w:rsid w:val="03B14742"/>
    <w:rsid w:val="03C43182"/>
    <w:rsid w:val="03D2A3B3"/>
    <w:rsid w:val="03DD21C9"/>
    <w:rsid w:val="03EEC8A7"/>
    <w:rsid w:val="03F226A1"/>
    <w:rsid w:val="03F2F4FF"/>
    <w:rsid w:val="03F869A2"/>
    <w:rsid w:val="03FBAA68"/>
    <w:rsid w:val="040CB552"/>
    <w:rsid w:val="04224F90"/>
    <w:rsid w:val="042466D2"/>
    <w:rsid w:val="0426C7C0"/>
    <w:rsid w:val="042C9F0E"/>
    <w:rsid w:val="042F1E5E"/>
    <w:rsid w:val="0438B1F9"/>
    <w:rsid w:val="04444E75"/>
    <w:rsid w:val="044D366F"/>
    <w:rsid w:val="04691F1F"/>
    <w:rsid w:val="046ACB39"/>
    <w:rsid w:val="046FDD1A"/>
    <w:rsid w:val="04783578"/>
    <w:rsid w:val="0489E704"/>
    <w:rsid w:val="04AE4CAD"/>
    <w:rsid w:val="04B6FD64"/>
    <w:rsid w:val="05093D61"/>
    <w:rsid w:val="050D6240"/>
    <w:rsid w:val="051992E5"/>
    <w:rsid w:val="052638F5"/>
    <w:rsid w:val="052DA059"/>
    <w:rsid w:val="052EE4D5"/>
    <w:rsid w:val="05408EF0"/>
    <w:rsid w:val="0554B4D6"/>
    <w:rsid w:val="056B5B9B"/>
    <w:rsid w:val="056CC7BB"/>
    <w:rsid w:val="058A9908"/>
    <w:rsid w:val="05977AC9"/>
    <w:rsid w:val="05981225"/>
    <w:rsid w:val="05CF7401"/>
    <w:rsid w:val="05DBB2B0"/>
    <w:rsid w:val="05FA9C13"/>
    <w:rsid w:val="05FEBC2B"/>
    <w:rsid w:val="060B48FC"/>
    <w:rsid w:val="061087E2"/>
    <w:rsid w:val="0620C8ED"/>
    <w:rsid w:val="0629DA72"/>
    <w:rsid w:val="062C6D8F"/>
    <w:rsid w:val="062CDDF5"/>
    <w:rsid w:val="065626E4"/>
    <w:rsid w:val="065A037F"/>
    <w:rsid w:val="065E7792"/>
    <w:rsid w:val="066047B3"/>
    <w:rsid w:val="06630472"/>
    <w:rsid w:val="067B9974"/>
    <w:rsid w:val="068C9698"/>
    <w:rsid w:val="0693D768"/>
    <w:rsid w:val="06955AEF"/>
    <w:rsid w:val="0698D687"/>
    <w:rsid w:val="06CF9117"/>
    <w:rsid w:val="06D15E40"/>
    <w:rsid w:val="06D2A0E4"/>
    <w:rsid w:val="06D7A939"/>
    <w:rsid w:val="06D98024"/>
    <w:rsid w:val="06D9B3A8"/>
    <w:rsid w:val="06DEDFB0"/>
    <w:rsid w:val="06E188F3"/>
    <w:rsid w:val="06E40339"/>
    <w:rsid w:val="06E7DD7C"/>
    <w:rsid w:val="06EE131E"/>
    <w:rsid w:val="06EECCCF"/>
    <w:rsid w:val="0717EEBB"/>
    <w:rsid w:val="072E4253"/>
    <w:rsid w:val="074CD4EB"/>
    <w:rsid w:val="076A3168"/>
    <w:rsid w:val="0772A280"/>
    <w:rsid w:val="0774DA3F"/>
    <w:rsid w:val="0788D8C7"/>
    <w:rsid w:val="078C3238"/>
    <w:rsid w:val="07AF20CA"/>
    <w:rsid w:val="07AF9989"/>
    <w:rsid w:val="07BD2105"/>
    <w:rsid w:val="07CB816B"/>
    <w:rsid w:val="07D1845C"/>
    <w:rsid w:val="07FDD544"/>
    <w:rsid w:val="080D330E"/>
    <w:rsid w:val="080EFC3D"/>
    <w:rsid w:val="08154071"/>
    <w:rsid w:val="08540644"/>
    <w:rsid w:val="086090CE"/>
    <w:rsid w:val="087635DF"/>
    <w:rsid w:val="087D00B5"/>
    <w:rsid w:val="088430D8"/>
    <w:rsid w:val="089B48BF"/>
    <w:rsid w:val="08B016C8"/>
    <w:rsid w:val="08B0C5BD"/>
    <w:rsid w:val="08B38349"/>
    <w:rsid w:val="08C38375"/>
    <w:rsid w:val="08C8B089"/>
    <w:rsid w:val="08CBDAC5"/>
    <w:rsid w:val="08F49421"/>
    <w:rsid w:val="090CDE94"/>
    <w:rsid w:val="09123C1F"/>
    <w:rsid w:val="091B20A6"/>
    <w:rsid w:val="0929D2FD"/>
    <w:rsid w:val="09303E6F"/>
    <w:rsid w:val="0945FA4F"/>
    <w:rsid w:val="0947F032"/>
    <w:rsid w:val="094C470A"/>
    <w:rsid w:val="0950B783"/>
    <w:rsid w:val="0956753F"/>
    <w:rsid w:val="097047E1"/>
    <w:rsid w:val="0974F233"/>
    <w:rsid w:val="09904120"/>
    <w:rsid w:val="0997E875"/>
    <w:rsid w:val="0999A5A5"/>
    <w:rsid w:val="099C2396"/>
    <w:rsid w:val="09A8C470"/>
    <w:rsid w:val="09A90CB1"/>
    <w:rsid w:val="09B33A36"/>
    <w:rsid w:val="09BD90E4"/>
    <w:rsid w:val="09CCFBB1"/>
    <w:rsid w:val="09D45866"/>
    <w:rsid w:val="09DFAF8E"/>
    <w:rsid w:val="09F21775"/>
    <w:rsid w:val="09FC5FA3"/>
    <w:rsid w:val="0A024BCD"/>
    <w:rsid w:val="0A0D1C63"/>
    <w:rsid w:val="0A11DE07"/>
    <w:rsid w:val="0A1AD10E"/>
    <w:rsid w:val="0A2D1365"/>
    <w:rsid w:val="0A2D7124"/>
    <w:rsid w:val="0A3CAD4F"/>
    <w:rsid w:val="0A4BA6DF"/>
    <w:rsid w:val="0A551C69"/>
    <w:rsid w:val="0A67B1F1"/>
    <w:rsid w:val="0A6B8348"/>
    <w:rsid w:val="0A77614A"/>
    <w:rsid w:val="0A7ADE3B"/>
    <w:rsid w:val="0A82E748"/>
    <w:rsid w:val="0A906482"/>
    <w:rsid w:val="0A944137"/>
    <w:rsid w:val="0AB38FF9"/>
    <w:rsid w:val="0ADEB7BB"/>
    <w:rsid w:val="0AE45624"/>
    <w:rsid w:val="0B018366"/>
    <w:rsid w:val="0B030045"/>
    <w:rsid w:val="0B0C915E"/>
    <w:rsid w:val="0B0FE315"/>
    <w:rsid w:val="0B219D1B"/>
    <w:rsid w:val="0B3E2470"/>
    <w:rsid w:val="0B88A716"/>
    <w:rsid w:val="0B8BA706"/>
    <w:rsid w:val="0B8FA878"/>
    <w:rsid w:val="0BA1ECEB"/>
    <w:rsid w:val="0BA61E18"/>
    <w:rsid w:val="0BC574DA"/>
    <w:rsid w:val="0BC83906"/>
    <w:rsid w:val="0BDFCB0B"/>
    <w:rsid w:val="0BE2D4EB"/>
    <w:rsid w:val="0BE5835F"/>
    <w:rsid w:val="0BE7B78A"/>
    <w:rsid w:val="0BED93F0"/>
    <w:rsid w:val="0C126E7C"/>
    <w:rsid w:val="0C1AD7F7"/>
    <w:rsid w:val="0C1DFFBF"/>
    <w:rsid w:val="0C43C3DE"/>
    <w:rsid w:val="0C76936B"/>
    <w:rsid w:val="0C86E084"/>
    <w:rsid w:val="0C8EAF1A"/>
    <w:rsid w:val="0C98CF20"/>
    <w:rsid w:val="0C9B7F4E"/>
    <w:rsid w:val="0C9E0891"/>
    <w:rsid w:val="0CAD9384"/>
    <w:rsid w:val="0CB28B59"/>
    <w:rsid w:val="0CBE3E00"/>
    <w:rsid w:val="0CC7E1E2"/>
    <w:rsid w:val="0CF76F5D"/>
    <w:rsid w:val="0CF9D7D5"/>
    <w:rsid w:val="0D138E2F"/>
    <w:rsid w:val="0D193C3D"/>
    <w:rsid w:val="0D277767"/>
    <w:rsid w:val="0D2CC961"/>
    <w:rsid w:val="0D38049A"/>
    <w:rsid w:val="0D39F6BA"/>
    <w:rsid w:val="0D5A250C"/>
    <w:rsid w:val="0D6BBEAE"/>
    <w:rsid w:val="0D754740"/>
    <w:rsid w:val="0D809F2E"/>
    <w:rsid w:val="0DB4369A"/>
    <w:rsid w:val="0DC7275A"/>
    <w:rsid w:val="0DDC777E"/>
    <w:rsid w:val="0DDCBB1D"/>
    <w:rsid w:val="0DE450B2"/>
    <w:rsid w:val="0DF45A0D"/>
    <w:rsid w:val="0E2A7F7B"/>
    <w:rsid w:val="0E4C5FA5"/>
    <w:rsid w:val="0E51F5C3"/>
    <w:rsid w:val="0E73EFD0"/>
    <w:rsid w:val="0E755862"/>
    <w:rsid w:val="0E87C78E"/>
    <w:rsid w:val="0E904C70"/>
    <w:rsid w:val="0E9D3EE8"/>
    <w:rsid w:val="0EAEBC99"/>
    <w:rsid w:val="0EB0521F"/>
    <w:rsid w:val="0EB1E273"/>
    <w:rsid w:val="0EB8CBE3"/>
    <w:rsid w:val="0EBE478A"/>
    <w:rsid w:val="0EBFFD92"/>
    <w:rsid w:val="0EC693CD"/>
    <w:rsid w:val="0ECA602A"/>
    <w:rsid w:val="0EE90712"/>
    <w:rsid w:val="0F11C30F"/>
    <w:rsid w:val="0F1EEAF9"/>
    <w:rsid w:val="0F21123C"/>
    <w:rsid w:val="0F322198"/>
    <w:rsid w:val="0F3AE9A7"/>
    <w:rsid w:val="0F6E0515"/>
    <w:rsid w:val="0F95010D"/>
    <w:rsid w:val="0F9C15BA"/>
    <w:rsid w:val="0FA03709"/>
    <w:rsid w:val="0FAB560F"/>
    <w:rsid w:val="0FB1CA8C"/>
    <w:rsid w:val="0FB731B6"/>
    <w:rsid w:val="0FD253A5"/>
    <w:rsid w:val="0FE9F47A"/>
    <w:rsid w:val="0FEDC624"/>
    <w:rsid w:val="1000E5C5"/>
    <w:rsid w:val="10116A23"/>
    <w:rsid w:val="1014FD2B"/>
    <w:rsid w:val="1020C195"/>
    <w:rsid w:val="10265D88"/>
    <w:rsid w:val="10331005"/>
    <w:rsid w:val="10390F49"/>
    <w:rsid w:val="10550B40"/>
    <w:rsid w:val="105F1829"/>
    <w:rsid w:val="1061DEE6"/>
    <w:rsid w:val="106968E8"/>
    <w:rsid w:val="10761CFE"/>
    <w:rsid w:val="107A504A"/>
    <w:rsid w:val="108F410F"/>
    <w:rsid w:val="109AA112"/>
    <w:rsid w:val="109CA5CC"/>
    <w:rsid w:val="10A20D93"/>
    <w:rsid w:val="10AA17DE"/>
    <w:rsid w:val="10B34568"/>
    <w:rsid w:val="10EAB304"/>
    <w:rsid w:val="10F49829"/>
    <w:rsid w:val="111AE58C"/>
    <w:rsid w:val="1127B2D0"/>
    <w:rsid w:val="113818C6"/>
    <w:rsid w:val="1139E7A6"/>
    <w:rsid w:val="114F12D1"/>
    <w:rsid w:val="11582D16"/>
    <w:rsid w:val="1185C4DB"/>
    <w:rsid w:val="1188825A"/>
    <w:rsid w:val="11CB3C78"/>
    <w:rsid w:val="11D7C35E"/>
    <w:rsid w:val="11E5955A"/>
    <w:rsid w:val="11E6FF52"/>
    <w:rsid w:val="11F6175F"/>
    <w:rsid w:val="11FBE208"/>
    <w:rsid w:val="1202D610"/>
    <w:rsid w:val="1208F9F5"/>
    <w:rsid w:val="120D47B9"/>
    <w:rsid w:val="120E76D0"/>
    <w:rsid w:val="1211194A"/>
    <w:rsid w:val="1213AEA7"/>
    <w:rsid w:val="121AB3DC"/>
    <w:rsid w:val="12444EFD"/>
    <w:rsid w:val="1253257B"/>
    <w:rsid w:val="1272CF03"/>
    <w:rsid w:val="12997A0C"/>
    <w:rsid w:val="12A46A5E"/>
    <w:rsid w:val="12C44039"/>
    <w:rsid w:val="12EEB55F"/>
    <w:rsid w:val="130C3E89"/>
    <w:rsid w:val="13212969"/>
    <w:rsid w:val="1321953C"/>
    <w:rsid w:val="132A734E"/>
    <w:rsid w:val="1336ADBD"/>
    <w:rsid w:val="13507BD4"/>
    <w:rsid w:val="1357F318"/>
    <w:rsid w:val="137383A5"/>
    <w:rsid w:val="1377630A"/>
    <w:rsid w:val="137A36D4"/>
    <w:rsid w:val="138A6EE5"/>
    <w:rsid w:val="1392FC87"/>
    <w:rsid w:val="139B2C2E"/>
    <w:rsid w:val="139CACBE"/>
    <w:rsid w:val="13A88AF7"/>
    <w:rsid w:val="13A9181A"/>
    <w:rsid w:val="13C29E20"/>
    <w:rsid w:val="13CB051E"/>
    <w:rsid w:val="13EFE221"/>
    <w:rsid w:val="13F947BB"/>
    <w:rsid w:val="1409CE74"/>
    <w:rsid w:val="14198D8D"/>
    <w:rsid w:val="1433ED7E"/>
    <w:rsid w:val="1443B3EF"/>
    <w:rsid w:val="14541327"/>
    <w:rsid w:val="1461A365"/>
    <w:rsid w:val="1463546E"/>
    <w:rsid w:val="1467FE20"/>
    <w:rsid w:val="1469619D"/>
    <w:rsid w:val="147770D0"/>
    <w:rsid w:val="147FB88F"/>
    <w:rsid w:val="148446E8"/>
    <w:rsid w:val="148A85C0"/>
    <w:rsid w:val="149161B2"/>
    <w:rsid w:val="14A9C39D"/>
    <w:rsid w:val="14AB6814"/>
    <w:rsid w:val="14BC2B8F"/>
    <w:rsid w:val="14CF685C"/>
    <w:rsid w:val="14D2F3C7"/>
    <w:rsid w:val="14D456E8"/>
    <w:rsid w:val="14ED8B9C"/>
    <w:rsid w:val="14EF407F"/>
    <w:rsid w:val="14FDC8C5"/>
    <w:rsid w:val="1504E9BA"/>
    <w:rsid w:val="151F7F8D"/>
    <w:rsid w:val="1521EBD2"/>
    <w:rsid w:val="152B09BB"/>
    <w:rsid w:val="15368D68"/>
    <w:rsid w:val="153D8A5D"/>
    <w:rsid w:val="15440033"/>
    <w:rsid w:val="1551536B"/>
    <w:rsid w:val="15542D9E"/>
    <w:rsid w:val="1554E4CA"/>
    <w:rsid w:val="15571D2C"/>
    <w:rsid w:val="156D9832"/>
    <w:rsid w:val="15978094"/>
    <w:rsid w:val="159C9C26"/>
    <w:rsid w:val="15B2C8DD"/>
    <w:rsid w:val="15B634C5"/>
    <w:rsid w:val="15C67089"/>
    <w:rsid w:val="15C821E1"/>
    <w:rsid w:val="15CE5E0F"/>
    <w:rsid w:val="15F2FA0D"/>
    <w:rsid w:val="1608FBC2"/>
    <w:rsid w:val="160B54FA"/>
    <w:rsid w:val="1616FAE4"/>
    <w:rsid w:val="161D24BE"/>
    <w:rsid w:val="162EA1A7"/>
    <w:rsid w:val="165BC0E7"/>
    <w:rsid w:val="16621410"/>
    <w:rsid w:val="1662844A"/>
    <w:rsid w:val="166E25EC"/>
    <w:rsid w:val="167E3A56"/>
    <w:rsid w:val="169125A2"/>
    <w:rsid w:val="1693A1DB"/>
    <w:rsid w:val="16957DE6"/>
    <w:rsid w:val="16C5A4C4"/>
    <w:rsid w:val="16D12B02"/>
    <w:rsid w:val="16D9EC6E"/>
    <w:rsid w:val="16E02BB9"/>
    <w:rsid w:val="16FF5B4B"/>
    <w:rsid w:val="17010DD0"/>
    <w:rsid w:val="172A7D7B"/>
    <w:rsid w:val="172F1120"/>
    <w:rsid w:val="1734BFA0"/>
    <w:rsid w:val="173AA1B0"/>
    <w:rsid w:val="17457136"/>
    <w:rsid w:val="174578DA"/>
    <w:rsid w:val="17481749"/>
    <w:rsid w:val="175BB058"/>
    <w:rsid w:val="175FF674"/>
    <w:rsid w:val="177B5888"/>
    <w:rsid w:val="17867685"/>
    <w:rsid w:val="178E640B"/>
    <w:rsid w:val="1791991C"/>
    <w:rsid w:val="1798DF17"/>
    <w:rsid w:val="17B5C6EF"/>
    <w:rsid w:val="17CE5D44"/>
    <w:rsid w:val="17D0F8BD"/>
    <w:rsid w:val="17E8454A"/>
    <w:rsid w:val="180484CC"/>
    <w:rsid w:val="185D9C24"/>
    <w:rsid w:val="186A2A0E"/>
    <w:rsid w:val="18734012"/>
    <w:rsid w:val="1883526B"/>
    <w:rsid w:val="18889D4B"/>
    <w:rsid w:val="189429CC"/>
    <w:rsid w:val="18C7E73B"/>
    <w:rsid w:val="18D84E80"/>
    <w:rsid w:val="18DAF3C5"/>
    <w:rsid w:val="18DEA2FD"/>
    <w:rsid w:val="18E33FB7"/>
    <w:rsid w:val="18FBBC76"/>
    <w:rsid w:val="1903934B"/>
    <w:rsid w:val="190943DB"/>
    <w:rsid w:val="190C2B67"/>
    <w:rsid w:val="1912A571"/>
    <w:rsid w:val="1916BD2B"/>
    <w:rsid w:val="1928CFE0"/>
    <w:rsid w:val="19304D6F"/>
    <w:rsid w:val="1932C4B5"/>
    <w:rsid w:val="193B72B3"/>
    <w:rsid w:val="1942F5BC"/>
    <w:rsid w:val="19495C61"/>
    <w:rsid w:val="194E7135"/>
    <w:rsid w:val="1959C74C"/>
    <w:rsid w:val="196EF077"/>
    <w:rsid w:val="19767AFF"/>
    <w:rsid w:val="198EE03E"/>
    <w:rsid w:val="19ABD8F6"/>
    <w:rsid w:val="19AD394F"/>
    <w:rsid w:val="19BF3AD3"/>
    <w:rsid w:val="19D3B3A2"/>
    <w:rsid w:val="19D6C910"/>
    <w:rsid w:val="19EB0D01"/>
    <w:rsid w:val="1A00A2D9"/>
    <w:rsid w:val="1A02FA7F"/>
    <w:rsid w:val="1A0C091D"/>
    <w:rsid w:val="1A1C8141"/>
    <w:rsid w:val="1A1ED46D"/>
    <w:rsid w:val="1A21A655"/>
    <w:rsid w:val="1A22DB08"/>
    <w:rsid w:val="1A51E290"/>
    <w:rsid w:val="1A6B7A2F"/>
    <w:rsid w:val="1A76B9FC"/>
    <w:rsid w:val="1A9BD69B"/>
    <w:rsid w:val="1ABB3617"/>
    <w:rsid w:val="1AD2EF51"/>
    <w:rsid w:val="1AE04F1C"/>
    <w:rsid w:val="1AE09505"/>
    <w:rsid w:val="1AED48AE"/>
    <w:rsid w:val="1AEE1338"/>
    <w:rsid w:val="1B04C090"/>
    <w:rsid w:val="1B1837CA"/>
    <w:rsid w:val="1B204980"/>
    <w:rsid w:val="1B7273A4"/>
    <w:rsid w:val="1B7A6749"/>
    <w:rsid w:val="1B9B01A2"/>
    <w:rsid w:val="1BA03D05"/>
    <w:rsid w:val="1BB1E207"/>
    <w:rsid w:val="1BB58AC5"/>
    <w:rsid w:val="1BBB0618"/>
    <w:rsid w:val="1BC91F03"/>
    <w:rsid w:val="1BD5C6ED"/>
    <w:rsid w:val="1BDC5DD5"/>
    <w:rsid w:val="1BEDA750"/>
    <w:rsid w:val="1BF6799F"/>
    <w:rsid w:val="1BFE35F6"/>
    <w:rsid w:val="1C058890"/>
    <w:rsid w:val="1C05C8DA"/>
    <w:rsid w:val="1C19B711"/>
    <w:rsid w:val="1C1C636D"/>
    <w:rsid w:val="1C1D8C95"/>
    <w:rsid w:val="1C3D9F93"/>
    <w:rsid w:val="1C41FA81"/>
    <w:rsid w:val="1C4C881D"/>
    <w:rsid w:val="1C530015"/>
    <w:rsid w:val="1C61D52E"/>
    <w:rsid w:val="1C6B227F"/>
    <w:rsid w:val="1C94C135"/>
    <w:rsid w:val="1C98275B"/>
    <w:rsid w:val="1CB766FD"/>
    <w:rsid w:val="1CBFF379"/>
    <w:rsid w:val="1CC68E98"/>
    <w:rsid w:val="1CD99519"/>
    <w:rsid w:val="1CDB7ECC"/>
    <w:rsid w:val="1D2308C1"/>
    <w:rsid w:val="1D2CAD47"/>
    <w:rsid w:val="1D356617"/>
    <w:rsid w:val="1D50611F"/>
    <w:rsid w:val="1D5D7784"/>
    <w:rsid w:val="1D6E0C18"/>
    <w:rsid w:val="1D7E2BA7"/>
    <w:rsid w:val="1D84F7AC"/>
    <w:rsid w:val="1D8701A4"/>
    <w:rsid w:val="1D889449"/>
    <w:rsid w:val="1DA158F1"/>
    <w:rsid w:val="1DB95CF6"/>
    <w:rsid w:val="1DC4E846"/>
    <w:rsid w:val="1DC4FA4C"/>
    <w:rsid w:val="1DD479AC"/>
    <w:rsid w:val="1DE5F006"/>
    <w:rsid w:val="1DE62060"/>
    <w:rsid w:val="1DF5B809"/>
    <w:rsid w:val="1DFDA58F"/>
    <w:rsid w:val="1E08CAA7"/>
    <w:rsid w:val="1E10DEE9"/>
    <w:rsid w:val="1E1D74EC"/>
    <w:rsid w:val="1E1FF8CF"/>
    <w:rsid w:val="1E22B56E"/>
    <w:rsid w:val="1E3A96E1"/>
    <w:rsid w:val="1E4D0C0F"/>
    <w:rsid w:val="1E4EF130"/>
    <w:rsid w:val="1E58B257"/>
    <w:rsid w:val="1E6EEAC8"/>
    <w:rsid w:val="1E86FE7A"/>
    <w:rsid w:val="1EA9B17E"/>
    <w:rsid w:val="1EB1BDA9"/>
    <w:rsid w:val="1EBEAAD6"/>
    <w:rsid w:val="1ED8F352"/>
    <w:rsid w:val="1EFBA3C3"/>
    <w:rsid w:val="1F03A741"/>
    <w:rsid w:val="1F0CE2E4"/>
    <w:rsid w:val="1F1D3196"/>
    <w:rsid w:val="1F42B423"/>
    <w:rsid w:val="1F52DE71"/>
    <w:rsid w:val="1F75D585"/>
    <w:rsid w:val="1F9B47A3"/>
    <w:rsid w:val="1F9DFD74"/>
    <w:rsid w:val="1FACD64E"/>
    <w:rsid w:val="1FC49424"/>
    <w:rsid w:val="1FDC46F7"/>
    <w:rsid w:val="1FE845FA"/>
    <w:rsid w:val="1FFB28EC"/>
    <w:rsid w:val="1FFFE2A8"/>
    <w:rsid w:val="2005EE2C"/>
    <w:rsid w:val="200FCBCA"/>
    <w:rsid w:val="201FB8F5"/>
    <w:rsid w:val="2023BA5A"/>
    <w:rsid w:val="20278620"/>
    <w:rsid w:val="204E533E"/>
    <w:rsid w:val="2054A1B7"/>
    <w:rsid w:val="2054D0B7"/>
    <w:rsid w:val="20571DE5"/>
    <w:rsid w:val="20596ED7"/>
    <w:rsid w:val="2077BF7C"/>
    <w:rsid w:val="20927E22"/>
    <w:rsid w:val="209ABF24"/>
    <w:rsid w:val="20A51C9F"/>
    <w:rsid w:val="20A7C91B"/>
    <w:rsid w:val="20B5B384"/>
    <w:rsid w:val="20C84E98"/>
    <w:rsid w:val="20D8CCAA"/>
    <w:rsid w:val="20D8F9B3"/>
    <w:rsid w:val="20E9514D"/>
    <w:rsid w:val="20EB76A2"/>
    <w:rsid w:val="20EBDD1D"/>
    <w:rsid w:val="20F64D22"/>
    <w:rsid w:val="20F65EED"/>
    <w:rsid w:val="2105BB8B"/>
    <w:rsid w:val="210F9754"/>
    <w:rsid w:val="211FCE7F"/>
    <w:rsid w:val="212D5A6E"/>
    <w:rsid w:val="212EBC48"/>
    <w:rsid w:val="2130A26A"/>
    <w:rsid w:val="2145AD96"/>
    <w:rsid w:val="2148A6AF"/>
    <w:rsid w:val="21552883"/>
    <w:rsid w:val="215EC1A4"/>
    <w:rsid w:val="2177512F"/>
    <w:rsid w:val="2179100C"/>
    <w:rsid w:val="217AD4CA"/>
    <w:rsid w:val="21C7BD02"/>
    <w:rsid w:val="21D199CE"/>
    <w:rsid w:val="21FDF2A5"/>
    <w:rsid w:val="2251B981"/>
    <w:rsid w:val="225CE8D4"/>
    <w:rsid w:val="22606C71"/>
    <w:rsid w:val="2289765F"/>
    <w:rsid w:val="22899DE4"/>
    <w:rsid w:val="22A6041C"/>
    <w:rsid w:val="22C3EA4F"/>
    <w:rsid w:val="22C4D8D9"/>
    <w:rsid w:val="22C57A95"/>
    <w:rsid w:val="22D5CF16"/>
    <w:rsid w:val="22F37C00"/>
    <w:rsid w:val="23009F01"/>
    <w:rsid w:val="230402B9"/>
    <w:rsid w:val="231FF31D"/>
    <w:rsid w:val="23205DE5"/>
    <w:rsid w:val="23211B92"/>
    <w:rsid w:val="23356F25"/>
    <w:rsid w:val="233DF960"/>
    <w:rsid w:val="23486663"/>
    <w:rsid w:val="235B76DE"/>
    <w:rsid w:val="2394F98A"/>
    <w:rsid w:val="239BA922"/>
    <w:rsid w:val="239BD606"/>
    <w:rsid w:val="23B53CCF"/>
    <w:rsid w:val="23BA68D1"/>
    <w:rsid w:val="23BAFA40"/>
    <w:rsid w:val="23C91100"/>
    <w:rsid w:val="23DE6F49"/>
    <w:rsid w:val="23DF90D8"/>
    <w:rsid w:val="23E0B514"/>
    <w:rsid w:val="240C518F"/>
    <w:rsid w:val="240EB52C"/>
    <w:rsid w:val="240F518F"/>
    <w:rsid w:val="241A0FFF"/>
    <w:rsid w:val="2421C56F"/>
    <w:rsid w:val="243395A6"/>
    <w:rsid w:val="243F0A08"/>
    <w:rsid w:val="24406516"/>
    <w:rsid w:val="24451715"/>
    <w:rsid w:val="245C7762"/>
    <w:rsid w:val="246CE713"/>
    <w:rsid w:val="246E5BC8"/>
    <w:rsid w:val="247D6A62"/>
    <w:rsid w:val="24812C2F"/>
    <w:rsid w:val="249FD31A"/>
    <w:rsid w:val="24A25838"/>
    <w:rsid w:val="24A54C6B"/>
    <w:rsid w:val="24B63359"/>
    <w:rsid w:val="24F3B422"/>
    <w:rsid w:val="24F6B1DA"/>
    <w:rsid w:val="2505D91C"/>
    <w:rsid w:val="250E0CEE"/>
    <w:rsid w:val="2512960A"/>
    <w:rsid w:val="2513B733"/>
    <w:rsid w:val="2515322B"/>
    <w:rsid w:val="2526035E"/>
    <w:rsid w:val="252608CD"/>
    <w:rsid w:val="254A53C4"/>
    <w:rsid w:val="2565EF45"/>
    <w:rsid w:val="256660D3"/>
    <w:rsid w:val="25757BF6"/>
    <w:rsid w:val="257B3A3E"/>
    <w:rsid w:val="25A228F4"/>
    <w:rsid w:val="25A91E50"/>
    <w:rsid w:val="25AAF237"/>
    <w:rsid w:val="25BBD4AD"/>
    <w:rsid w:val="25C0DEED"/>
    <w:rsid w:val="25D1CAB1"/>
    <w:rsid w:val="25D603C1"/>
    <w:rsid w:val="25D92CAE"/>
    <w:rsid w:val="25F5B06D"/>
    <w:rsid w:val="260C1AB3"/>
    <w:rsid w:val="260DC207"/>
    <w:rsid w:val="261147BD"/>
    <w:rsid w:val="26454043"/>
    <w:rsid w:val="2647FC4F"/>
    <w:rsid w:val="2648FD6F"/>
    <w:rsid w:val="264B770F"/>
    <w:rsid w:val="2657FEA7"/>
    <w:rsid w:val="265BB63A"/>
    <w:rsid w:val="26660F08"/>
    <w:rsid w:val="269A66D9"/>
    <w:rsid w:val="26A3B4EF"/>
    <w:rsid w:val="26CE04F9"/>
    <w:rsid w:val="26DB05A8"/>
    <w:rsid w:val="26E4BD0C"/>
    <w:rsid w:val="2706FE02"/>
    <w:rsid w:val="2708EF53"/>
    <w:rsid w:val="270A8471"/>
    <w:rsid w:val="270C50F5"/>
    <w:rsid w:val="2730B244"/>
    <w:rsid w:val="2733829E"/>
    <w:rsid w:val="273640AF"/>
    <w:rsid w:val="273A2FF5"/>
    <w:rsid w:val="2755472E"/>
    <w:rsid w:val="2767D710"/>
    <w:rsid w:val="2774FD0F"/>
    <w:rsid w:val="278CD24C"/>
    <w:rsid w:val="279394B9"/>
    <w:rsid w:val="279D181B"/>
    <w:rsid w:val="27AB2ED5"/>
    <w:rsid w:val="27AD8072"/>
    <w:rsid w:val="27B789C7"/>
    <w:rsid w:val="27C8110B"/>
    <w:rsid w:val="27D773DC"/>
    <w:rsid w:val="27EBC3BF"/>
    <w:rsid w:val="27FA5B61"/>
    <w:rsid w:val="27FF75AF"/>
    <w:rsid w:val="2808B151"/>
    <w:rsid w:val="28142C7E"/>
    <w:rsid w:val="28178C31"/>
    <w:rsid w:val="281F4B3B"/>
    <w:rsid w:val="2823F481"/>
    <w:rsid w:val="283D45B1"/>
    <w:rsid w:val="284A8168"/>
    <w:rsid w:val="284AE86B"/>
    <w:rsid w:val="284B1E45"/>
    <w:rsid w:val="285AECD0"/>
    <w:rsid w:val="28805D0C"/>
    <w:rsid w:val="28963869"/>
    <w:rsid w:val="28964645"/>
    <w:rsid w:val="28AA9022"/>
    <w:rsid w:val="28BF511D"/>
    <w:rsid w:val="28CC82A5"/>
    <w:rsid w:val="28CF001C"/>
    <w:rsid w:val="28D1A1D1"/>
    <w:rsid w:val="28DD06D3"/>
    <w:rsid w:val="28EA7F14"/>
    <w:rsid w:val="28EABFA4"/>
    <w:rsid w:val="2915E52A"/>
    <w:rsid w:val="291D6D5D"/>
    <w:rsid w:val="292E4BDC"/>
    <w:rsid w:val="294995BF"/>
    <w:rsid w:val="2963EFAC"/>
    <w:rsid w:val="296C2777"/>
    <w:rsid w:val="296F5D80"/>
    <w:rsid w:val="299F2FB5"/>
    <w:rsid w:val="29AE8CAA"/>
    <w:rsid w:val="29B17443"/>
    <w:rsid w:val="29B2E8EF"/>
    <w:rsid w:val="29BA2D2F"/>
    <w:rsid w:val="29BD773E"/>
    <w:rsid w:val="29C5D5D5"/>
    <w:rsid w:val="29CCFEC5"/>
    <w:rsid w:val="29E23F39"/>
    <w:rsid w:val="29ECCA3C"/>
    <w:rsid w:val="29F16DB2"/>
    <w:rsid w:val="2A130546"/>
    <w:rsid w:val="2A20667F"/>
    <w:rsid w:val="2A355766"/>
    <w:rsid w:val="2A39E836"/>
    <w:rsid w:val="2A6A4EA9"/>
    <w:rsid w:val="2A6D7232"/>
    <w:rsid w:val="2AA1100F"/>
    <w:rsid w:val="2AB7DE66"/>
    <w:rsid w:val="2AD9AF75"/>
    <w:rsid w:val="2B101F5E"/>
    <w:rsid w:val="2B1F29CD"/>
    <w:rsid w:val="2B28146F"/>
    <w:rsid w:val="2B364A69"/>
    <w:rsid w:val="2B3CDE6B"/>
    <w:rsid w:val="2B5799FC"/>
    <w:rsid w:val="2B5DAB95"/>
    <w:rsid w:val="2B6EE7B0"/>
    <w:rsid w:val="2B798B08"/>
    <w:rsid w:val="2B800792"/>
    <w:rsid w:val="2B8E4B3E"/>
    <w:rsid w:val="2B9A1F87"/>
    <w:rsid w:val="2BA3698D"/>
    <w:rsid w:val="2BACD887"/>
    <w:rsid w:val="2BAED5A7"/>
    <w:rsid w:val="2BB4130B"/>
    <w:rsid w:val="2BBCB82D"/>
    <w:rsid w:val="2BC8A84C"/>
    <w:rsid w:val="2BD2EF34"/>
    <w:rsid w:val="2BD5D01C"/>
    <w:rsid w:val="2BD77B82"/>
    <w:rsid w:val="2BDE9867"/>
    <w:rsid w:val="2BEB0562"/>
    <w:rsid w:val="2C094293"/>
    <w:rsid w:val="2C1A8802"/>
    <w:rsid w:val="2C265829"/>
    <w:rsid w:val="2C3980E9"/>
    <w:rsid w:val="2C3F12ED"/>
    <w:rsid w:val="2C464BFC"/>
    <w:rsid w:val="2C496CAF"/>
    <w:rsid w:val="2C63581F"/>
    <w:rsid w:val="2C749C71"/>
    <w:rsid w:val="2C7E11FB"/>
    <w:rsid w:val="2C8933CF"/>
    <w:rsid w:val="2C8A0A40"/>
    <w:rsid w:val="2C98A7CE"/>
    <w:rsid w:val="2CA2989A"/>
    <w:rsid w:val="2CB1534F"/>
    <w:rsid w:val="2CB3D371"/>
    <w:rsid w:val="2CC351B1"/>
    <w:rsid w:val="2CD065C6"/>
    <w:rsid w:val="2CEE3DBF"/>
    <w:rsid w:val="2CF4CE51"/>
    <w:rsid w:val="2CFA8068"/>
    <w:rsid w:val="2D03CA3B"/>
    <w:rsid w:val="2D09A85D"/>
    <w:rsid w:val="2D1C7B44"/>
    <w:rsid w:val="2D369569"/>
    <w:rsid w:val="2D3AA13D"/>
    <w:rsid w:val="2D477A12"/>
    <w:rsid w:val="2D5D4286"/>
    <w:rsid w:val="2D6147C9"/>
    <w:rsid w:val="2D6CCA6E"/>
    <w:rsid w:val="2D7990E1"/>
    <w:rsid w:val="2D7C4CD8"/>
    <w:rsid w:val="2D800107"/>
    <w:rsid w:val="2D91715C"/>
    <w:rsid w:val="2D974F99"/>
    <w:rsid w:val="2DA4A06F"/>
    <w:rsid w:val="2DC94B9A"/>
    <w:rsid w:val="2DD06861"/>
    <w:rsid w:val="2DD66B61"/>
    <w:rsid w:val="2DE3A9F5"/>
    <w:rsid w:val="2DEC05F8"/>
    <w:rsid w:val="2DF59370"/>
    <w:rsid w:val="2E063D78"/>
    <w:rsid w:val="2E1DDBA7"/>
    <w:rsid w:val="2E4B29C5"/>
    <w:rsid w:val="2E55EF08"/>
    <w:rsid w:val="2E56248F"/>
    <w:rsid w:val="2E628759"/>
    <w:rsid w:val="2E72A0D8"/>
    <w:rsid w:val="2E7C23FA"/>
    <w:rsid w:val="2E8D9E52"/>
    <w:rsid w:val="2EB9571E"/>
    <w:rsid w:val="2EC0ACC7"/>
    <w:rsid w:val="2EC286FF"/>
    <w:rsid w:val="2EDB5495"/>
    <w:rsid w:val="2EE95596"/>
    <w:rsid w:val="2EF0B3B4"/>
    <w:rsid w:val="2EF8E906"/>
    <w:rsid w:val="2F1AC72E"/>
    <w:rsid w:val="2F331FFA"/>
    <w:rsid w:val="2F3ABC37"/>
    <w:rsid w:val="2F416443"/>
    <w:rsid w:val="2F498E96"/>
    <w:rsid w:val="2F5374FF"/>
    <w:rsid w:val="2F713F33"/>
    <w:rsid w:val="2F738554"/>
    <w:rsid w:val="2F8DD984"/>
    <w:rsid w:val="2FA20DD9"/>
    <w:rsid w:val="2FA7AC34"/>
    <w:rsid w:val="2FBB6F8A"/>
    <w:rsid w:val="2FC29442"/>
    <w:rsid w:val="2FC41865"/>
    <w:rsid w:val="2FC5AAB4"/>
    <w:rsid w:val="2FCED4E0"/>
    <w:rsid w:val="2FD3DCE5"/>
    <w:rsid w:val="2FD76972"/>
    <w:rsid w:val="2FD8222E"/>
    <w:rsid w:val="2FD8F68B"/>
    <w:rsid w:val="2FE285C1"/>
    <w:rsid w:val="2FE29EFA"/>
    <w:rsid w:val="2FFAC9D0"/>
    <w:rsid w:val="30023F8A"/>
    <w:rsid w:val="300D0A6E"/>
    <w:rsid w:val="3017F45B"/>
    <w:rsid w:val="30235328"/>
    <w:rsid w:val="3028A374"/>
    <w:rsid w:val="30459770"/>
    <w:rsid w:val="305391EF"/>
    <w:rsid w:val="305F8BA0"/>
    <w:rsid w:val="30649F41"/>
    <w:rsid w:val="30A95C45"/>
    <w:rsid w:val="30AF7E6A"/>
    <w:rsid w:val="30BD2057"/>
    <w:rsid w:val="30C9C251"/>
    <w:rsid w:val="30DD34A4"/>
    <w:rsid w:val="30F6144A"/>
    <w:rsid w:val="3115F9A9"/>
    <w:rsid w:val="311A8C35"/>
    <w:rsid w:val="311D1CD2"/>
    <w:rsid w:val="311E4122"/>
    <w:rsid w:val="3123A6BA"/>
    <w:rsid w:val="3136C942"/>
    <w:rsid w:val="3141156C"/>
    <w:rsid w:val="314BF038"/>
    <w:rsid w:val="31655C53"/>
    <w:rsid w:val="3177BB4C"/>
    <w:rsid w:val="31781FF3"/>
    <w:rsid w:val="317E6F5B"/>
    <w:rsid w:val="31993DCA"/>
    <w:rsid w:val="31A58BED"/>
    <w:rsid w:val="31ABE134"/>
    <w:rsid w:val="31B23619"/>
    <w:rsid w:val="31BCDDF2"/>
    <w:rsid w:val="31BF2389"/>
    <w:rsid w:val="31CE712C"/>
    <w:rsid w:val="31DD1980"/>
    <w:rsid w:val="31E3615E"/>
    <w:rsid w:val="32038C46"/>
    <w:rsid w:val="320834EF"/>
    <w:rsid w:val="320D97CC"/>
    <w:rsid w:val="32156C9D"/>
    <w:rsid w:val="32207B43"/>
    <w:rsid w:val="3227C753"/>
    <w:rsid w:val="323194B6"/>
    <w:rsid w:val="323EA2B3"/>
    <w:rsid w:val="32498EC6"/>
    <w:rsid w:val="32556E56"/>
    <w:rsid w:val="3258F0B8"/>
    <w:rsid w:val="32596067"/>
    <w:rsid w:val="32755B2C"/>
    <w:rsid w:val="327666A3"/>
    <w:rsid w:val="327687F0"/>
    <w:rsid w:val="3278002D"/>
    <w:rsid w:val="329232E7"/>
    <w:rsid w:val="32B329DA"/>
    <w:rsid w:val="32B8AE33"/>
    <w:rsid w:val="32D8290A"/>
    <w:rsid w:val="32DF06FC"/>
    <w:rsid w:val="32E4C4DC"/>
    <w:rsid w:val="32E6C94B"/>
    <w:rsid w:val="32E95A0F"/>
    <w:rsid w:val="32EBFB12"/>
    <w:rsid w:val="32FE5305"/>
    <w:rsid w:val="33291EE7"/>
    <w:rsid w:val="332D7FE0"/>
    <w:rsid w:val="332F51F2"/>
    <w:rsid w:val="33577786"/>
    <w:rsid w:val="3362C689"/>
    <w:rsid w:val="3364895E"/>
    <w:rsid w:val="3365C8BE"/>
    <w:rsid w:val="336C2A64"/>
    <w:rsid w:val="336EFDFE"/>
    <w:rsid w:val="337C6351"/>
    <w:rsid w:val="337F0C9F"/>
    <w:rsid w:val="3381DF6F"/>
    <w:rsid w:val="33972C62"/>
    <w:rsid w:val="33A1BC07"/>
    <w:rsid w:val="33A940EF"/>
    <w:rsid w:val="33AC8801"/>
    <w:rsid w:val="33B9E78C"/>
    <w:rsid w:val="33BC0F40"/>
    <w:rsid w:val="33C1273C"/>
    <w:rsid w:val="33C31DEE"/>
    <w:rsid w:val="33EE412E"/>
    <w:rsid w:val="33FDA228"/>
    <w:rsid w:val="34026BFE"/>
    <w:rsid w:val="3426C29C"/>
    <w:rsid w:val="3452FD9A"/>
    <w:rsid w:val="3462E343"/>
    <w:rsid w:val="346B5448"/>
    <w:rsid w:val="34876C46"/>
    <w:rsid w:val="34903393"/>
    <w:rsid w:val="3495AD4E"/>
    <w:rsid w:val="34ABB180"/>
    <w:rsid w:val="34AF5C0E"/>
    <w:rsid w:val="34F65F5C"/>
    <w:rsid w:val="351D6F14"/>
    <w:rsid w:val="351FE456"/>
    <w:rsid w:val="35211F45"/>
    <w:rsid w:val="3524DF36"/>
    <w:rsid w:val="352AF1C0"/>
    <w:rsid w:val="35370452"/>
    <w:rsid w:val="35463563"/>
    <w:rsid w:val="354BA58D"/>
    <w:rsid w:val="3550E1F0"/>
    <w:rsid w:val="355961BA"/>
    <w:rsid w:val="355F047A"/>
    <w:rsid w:val="35997289"/>
    <w:rsid w:val="35ABFACB"/>
    <w:rsid w:val="35B5AD74"/>
    <w:rsid w:val="35C7E2AF"/>
    <w:rsid w:val="35C9B0E4"/>
    <w:rsid w:val="35EE330D"/>
    <w:rsid w:val="3604BC8D"/>
    <w:rsid w:val="361B501C"/>
    <w:rsid w:val="361EDB3E"/>
    <w:rsid w:val="36233CA7"/>
    <w:rsid w:val="36396B76"/>
    <w:rsid w:val="364D2E68"/>
    <w:rsid w:val="3653D84F"/>
    <w:rsid w:val="365BA3A7"/>
    <w:rsid w:val="365D783E"/>
    <w:rsid w:val="365FBB34"/>
    <w:rsid w:val="365FD29B"/>
    <w:rsid w:val="3670083C"/>
    <w:rsid w:val="3673B789"/>
    <w:rsid w:val="3678FD10"/>
    <w:rsid w:val="3682210B"/>
    <w:rsid w:val="36930C6D"/>
    <w:rsid w:val="36966425"/>
    <w:rsid w:val="36B6AD61"/>
    <w:rsid w:val="37205DD7"/>
    <w:rsid w:val="37673A99"/>
    <w:rsid w:val="376BC68F"/>
    <w:rsid w:val="37888037"/>
    <w:rsid w:val="3792742D"/>
    <w:rsid w:val="37A9D72B"/>
    <w:rsid w:val="37D8CF5F"/>
    <w:rsid w:val="37DAF732"/>
    <w:rsid w:val="37DD295D"/>
    <w:rsid w:val="37E41DF8"/>
    <w:rsid w:val="37EA88A5"/>
    <w:rsid w:val="37EDADC1"/>
    <w:rsid w:val="37EFA8B0"/>
    <w:rsid w:val="38056BD7"/>
    <w:rsid w:val="3810B4A3"/>
    <w:rsid w:val="38150E01"/>
    <w:rsid w:val="3843E2E2"/>
    <w:rsid w:val="3865C352"/>
    <w:rsid w:val="38696945"/>
    <w:rsid w:val="3884AE21"/>
    <w:rsid w:val="38880820"/>
    <w:rsid w:val="38954635"/>
    <w:rsid w:val="389708D7"/>
    <w:rsid w:val="38A46415"/>
    <w:rsid w:val="38DB246A"/>
    <w:rsid w:val="38DF846A"/>
    <w:rsid w:val="38E03171"/>
    <w:rsid w:val="38E4354B"/>
    <w:rsid w:val="38EA6584"/>
    <w:rsid w:val="39313D61"/>
    <w:rsid w:val="394457EB"/>
    <w:rsid w:val="39472AEF"/>
    <w:rsid w:val="3947FA77"/>
    <w:rsid w:val="394E8E7A"/>
    <w:rsid w:val="3951D24E"/>
    <w:rsid w:val="3952F0DE"/>
    <w:rsid w:val="395AFA72"/>
    <w:rsid w:val="395FD161"/>
    <w:rsid w:val="3966358B"/>
    <w:rsid w:val="39691850"/>
    <w:rsid w:val="397C3B5B"/>
    <w:rsid w:val="397DF0B0"/>
    <w:rsid w:val="397E4BB8"/>
    <w:rsid w:val="3998606B"/>
    <w:rsid w:val="39A5C844"/>
    <w:rsid w:val="39BCE8B8"/>
    <w:rsid w:val="39C46E85"/>
    <w:rsid w:val="39F4A661"/>
    <w:rsid w:val="3A012F0C"/>
    <w:rsid w:val="3A175140"/>
    <w:rsid w:val="3A2BF364"/>
    <w:rsid w:val="3A32D938"/>
    <w:rsid w:val="3A356AA0"/>
    <w:rsid w:val="3A40DE01"/>
    <w:rsid w:val="3A422AE2"/>
    <w:rsid w:val="3A42516D"/>
    <w:rsid w:val="3A64CF2B"/>
    <w:rsid w:val="3A75B5FB"/>
    <w:rsid w:val="3A97834E"/>
    <w:rsid w:val="3A9CEDA8"/>
    <w:rsid w:val="3A9FA670"/>
    <w:rsid w:val="3AB697BB"/>
    <w:rsid w:val="3ABC2570"/>
    <w:rsid w:val="3AD289C6"/>
    <w:rsid w:val="3AD6738B"/>
    <w:rsid w:val="3B02611E"/>
    <w:rsid w:val="3B0E00F1"/>
    <w:rsid w:val="3B0FC9E1"/>
    <w:rsid w:val="3B1DD15D"/>
    <w:rsid w:val="3B210AC3"/>
    <w:rsid w:val="3B310F32"/>
    <w:rsid w:val="3B3411DE"/>
    <w:rsid w:val="3B3AC749"/>
    <w:rsid w:val="3B3C1E52"/>
    <w:rsid w:val="3B4C6E33"/>
    <w:rsid w:val="3B69D548"/>
    <w:rsid w:val="3B6ABCE7"/>
    <w:rsid w:val="3B7B0587"/>
    <w:rsid w:val="3BB76F25"/>
    <w:rsid w:val="3BDCB3E0"/>
    <w:rsid w:val="3BF138ED"/>
    <w:rsid w:val="3BF5CBFC"/>
    <w:rsid w:val="3C035DB4"/>
    <w:rsid w:val="3C0A6599"/>
    <w:rsid w:val="3C127BBD"/>
    <w:rsid w:val="3C498D49"/>
    <w:rsid w:val="3C5F5DA8"/>
    <w:rsid w:val="3C654786"/>
    <w:rsid w:val="3C657927"/>
    <w:rsid w:val="3C69AE8E"/>
    <w:rsid w:val="3C705CC1"/>
    <w:rsid w:val="3C74972F"/>
    <w:rsid w:val="3C897310"/>
    <w:rsid w:val="3C8E1CC2"/>
    <w:rsid w:val="3CA9D152"/>
    <w:rsid w:val="3CBFC7E1"/>
    <w:rsid w:val="3CCBB45A"/>
    <w:rsid w:val="3CCFE23F"/>
    <w:rsid w:val="3CE0C366"/>
    <w:rsid w:val="3CE7EDCB"/>
    <w:rsid w:val="3CEC2369"/>
    <w:rsid w:val="3CF5E97C"/>
    <w:rsid w:val="3CFE4EE8"/>
    <w:rsid w:val="3D03B8CC"/>
    <w:rsid w:val="3D07CC9B"/>
    <w:rsid w:val="3D1976B1"/>
    <w:rsid w:val="3D26601B"/>
    <w:rsid w:val="3D448DA7"/>
    <w:rsid w:val="3D533F86"/>
    <w:rsid w:val="3D5D9584"/>
    <w:rsid w:val="3D761891"/>
    <w:rsid w:val="3D79CBA4"/>
    <w:rsid w:val="3DA07ACA"/>
    <w:rsid w:val="3DA7309A"/>
    <w:rsid w:val="3DAFBA92"/>
    <w:rsid w:val="3DB1AAF0"/>
    <w:rsid w:val="3DB6F5BD"/>
    <w:rsid w:val="3E03AFB4"/>
    <w:rsid w:val="3E0AEE6E"/>
    <w:rsid w:val="3E119EA3"/>
    <w:rsid w:val="3E16C97E"/>
    <w:rsid w:val="3E25075A"/>
    <w:rsid w:val="3E2AF80F"/>
    <w:rsid w:val="3E2BB43E"/>
    <w:rsid w:val="3E470279"/>
    <w:rsid w:val="3E492D15"/>
    <w:rsid w:val="3E4FCEC2"/>
    <w:rsid w:val="3E5AF757"/>
    <w:rsid w:val="3E5EEA34"/>
    <w:rsid w:val="3E79DDAA"/>
    <w:rsid w:val="3E80B714"/>
    <w:rsid w:val="3E9AC6FB"/>
    <w:rsid w:val="3E9FBDB8"/>
    <w:rsid w:val="3EA716C3"/>
    <w:rsid w:val="3ED2F277"/>
    <w:rsid w:val="3EE048BC"/>
    <w:rsid w:val="3EEC8503"/>
    <w:rsid w:val="3EECBE63"/>
    <w:rsid w:val="3EF9DEF3"/>
    <w:rsid w:val="3EFDFDB0"/>
    <w:rsid w:val="3F030670"/>
    <w:rsid w:val="3F101601"/>
    <w:rsid w:val="3F13FEA7"/>
    <w:rsid w:val="3F3931C4"/>
    <w:rsid w:val="3F4054CF"/>
    <w:rsid w:val="3F444DE1"/>
    <w:rsid w:val="3F72E261"/>
    <w:rsid w:val="3F75F123"/>
    <w:rsid w:val="3F826D76"/>
    <w:rsid w:val="3F851A52"/>
    <w:rsid w:val="3F894F39"/>
    <w:rsid w:val="3F8A08DE"/>
    <w:rsid w:val="3F8AE3FA"/>
    <w:rsid w:val="3F8EBD12"/>
    <w:rsid w:val="3F94C4FF"/>
    <w:rsid w:val="3F9CCD24"/>
    <w:rsid w:val="3F9DC00E"/>
    <w:rsid w:val="3FB272D9"/>
    <w:rsid w:val="3FBC331E"/>
    <w:rsid w:val="3FBDA973"/>
    <w:rsid w:val="3FC3BFAC"/>
    <w:rsid w:val="3FEF1DD6"/>
    <w:rsid w:val="3FEFA576"/>
    <w:rsid w:val="402A6657"/>
    <w:rsid w:val="403543F5"/>
    <w:rsid w:val="403763D3"/>
    <w:rsid w:val="403D466B"/>
    <w:rsid w:val="40538B7E"/>
    <w:rsid w:val="40558283"/>
    <w:rsid w:val="4055DA5B"/>
    <w:rsid w:val="4056903D"/>
    <w:rsid w:val="40640D52"/>
    <w:rsid w:val="40666C8B"/>
    <w:rsid w:val="4087EB35"/>
    <w:rsid w:val="408AE048"/>
    <w:rsid w:val="4091870A"/>
    <w:rsid w:val="409823E5"/>
    <w:rsid w:val="409D7EF8"/>
    <w:rsid w:val="40AFE61D"/>
    <w:rsid w:val="40C4210F"/>
    <w:rsid w:val="40D410AF"/>
    <w:rsid w:val="40D5ABCC"/>
    <w:rsid w:val="40E17470"/>
    <w:rsid w:val="40E75B54"/>
    <w:rsid w:val="410C3CAA"/>
    <w:rsid w:val="4110A475"/>
    <w:rsid w:val="41315B17"/>
    <w:rsid w:val="4132077F"/>
    <w:rsid w:val="413312C2"/>
    <w:rsid w:val="41389D85"/>
    <w:rsid w:val="41480852"/>
    <w:rsid w:val="417D464C"/>
    <w:rsid w:val="417F940F"/>
    <w:rsid w:val="418D029E"/>
    <w:rsid w:val="418F644C"/>
    <w:rsid w:val="41912198"/>
    <w:rsid w:val="419CAB56"/>
    <w:rsid w:val="41AB5FD6"/>
    <w:rsid w:val="41B6F2AC"/>
    <w:rsid w:val="41F31894"/>
    <w:rsid w:val="41F321F3"/>
    <w:rsid w:val="41FBF21C"/>
    <w:rsid w:val="41FC1FD5"/>
    <w:rsid w:val="42023C82"/>
    <w:rsid w:val="422E9E2F"/>
    <w:rsid w:val="423E15BC"/>
    <w:rsid w:val="424A5C0A"/>
    <w:rsid w:val="424B7B31"/>
    <w:rsid w:val="4264D822"/>
    <w:rsid w:val="426CC15D"/>
    <w:rsid w:val="427D6280"/>
    <w:rsid w:val="4291BCC5"/>
    <w:rsid w:val="429ACBA5"/>
    <w:rsid w:val="42BAF35F"/>
    <w:rsid w:val="42BDAB79"/>
    <w:rsid w:val="42C3FFF4"/>
    <w:rsid w:val="42CABC23"/>
    <w:rsid w:val="42E0AAC7"/>
    <w:rsid w:val="42E41367"/>
    <w:rsid w:val="42EC5E61"/>
    <w:rsid w:val="42FFEA79"/>
    <w:rsid w:val="4305D1E9"/>
    <w:rsid w:val="4311EBC6"/>
    <w:rsid w:val="432B6EC5"/>
    <w:rsid w:val="4355C748"/>
    <w:rsid w:val="4360D6E2"/>
    <w:rsid w:val="4381370F"/>
    <w:rsid w:val="43822125"/>
    <w:rsid w:val="438C77D9"/>
    <w:rsid w:val="438D7B1D"/>
    <w:rsid w:val="43AA6BAF"/>
    <w:rsid w:val="43B0357B"/>
    <w:rsid w:val="43BC0C81"/>
    <w:rsid w:val="43C2810A"/>
    <w:rsid w:val="43C2E8C4"/>
    <w:rsid w:val="43C5D5CE"/>
    <w:rsid w:val="43CD3CDA"/>
    <w:rsid w:val="43D00B56"/>
    <w:rsid w:val="43DA2670"/>
    <w:rsid w:val="43DDECAA"/>
    <w:rsid w:val="43EC7787"/>
    <w:rsid w:val="44290DBB"/>
    <w:rsid w:val="44290EC7"/>
    <w:rsid w:val="44617E90"/>
    <w:rsid w:val="4463BE35"/>
    <w:rsid w:val="44703E47"/>
    <w:rsid w:val="447958CC"/>
    <w:rsid w:val="44851AAE"/>
    <w:rsid w:val="448BA45B"/>
    <w:rsid w:val="448E5DD7"/>
    <w:rsid w:val="44977F1D"/>
    <w:rsid w:val="44BBCDD7"/>
    <w:rsid w:val="44BFB081"/>
    <w:rsid w:val="44C780CA"/>
    <w:rsid w:val="44EA681D"/>
    <w:rsid w:val="44EB9E01"/>
    <w:rsid w:val="44F216F1"/>
    <w:rsid w:val="44F82974"/>
    <w:rsid w:val="44F9CB32"/>
    <w:rsid w:val="44FA87AC"/>
    <w:rsid w:val="4527B7E7"/>
    <w:rsid w:val="452BD813"/>
    <w:rsid w:val="452DC936"/>
    <w:rsid w:val="453394E0"/>
    <w:rsid w:val="454C7D17"/>
    <w:rsid w:val="45A46700"/>
    <w:rsid w:val="45A6B544"/>
    <w:rsid w:val="45B2B0F5"/>
    <w:rsid w:val="45BE2D57"/>
    <w:rsid w:val="45C4DE1C"/>
    <w:rsid w:val="45CB8E9A"/>
    <w:rsid w:val="45CC430F"/>
    <w:rsid w:val="45CD0264"/>
    <w:rsid w:val="45CDEB0F"/>
    <w:rsid w:val="45D12C2B"/>
    <w:rsid w:val="45D302FA"/>
    <w:rsid w:val="45DC23DE"/>
    <w:rsid w:val="45F4EA8C"/>
    <w:rsid w:val="4620EB0F"/>
    <w:rsid w:val="46234397"/>
    <w:rsid w:val="463D29AF"/>
    <w:rsid w:val="46434B5B"/>
    <w:rsid w:val="4644A351"/>
    <w:rsid w:val="4650B398"/>
    <w:rsid w:val="467ED0F9"/>
    <w:rsid w:val="4681AFB1"/>
    <w:rsid w:val="468A30E9"/>
    <w:rsid w:val="46A0E339"/>
    <w:rsid w:val="46A364E7"/>
    <w:rsid w:val="46AD6A62"/>
    <w:rsid w:val="46B9E6E5"/>
    <w:rsid w:val="46CDACF4"/>
    <w:rsid w:val="46E793C0"/>
    <w:rsid w:val="46FF018A"/>
    <w:rsid w:val="4700AE89"/>
    <w:rsid w:val="471084AA"/>
    <w:rsid w:val="47303884"/>
    <w:rsid w:val="473ECB05"/>
    <w:rsid w:val="47429EDE"/>
    <w:rsid w:val="474C2E60"/>
    <w:rsid w:val="4757E921"/>
    <w:rsid w:val="4760AE7D"/>
    <w:rsid w:val="4769BB70"/>
    <w:rsid w:val="476BD14D"/>
    <w:rsid w:val="478C65AE"/>
    <w:rsid w:val="478DA7E5"/>
    <w:rsid w:val="478DB1AC"/>
    <w:rsid w:val="478DE796"/>
    <w:rsid w:val="4792210E"/>
    <w:rsid w:val="47CBE9A0"/>
    <w:rsid w:val="47E70321"/>
    <w:rsid w:val="47F8B4F0"/>
    <w:rsid w:val="4803645E"/>
    <w:rsid w:val="48084DE6"/>
    <w:rsid w:val="480AB63F"/>
    <w:rsid w:val="48165E24"/>
    <w:rsid w:val="481943CF"/>
    <w:rsid w:val="4826014A"/>
    <w:rsid w:val="483065CD"/>
    <w:rsid w:val="483CB39A"/>
    <w:rsid w:val="4852093B"/>
    <w:rsid w:val="48620316"/>
    <w:rsid w:val="4879D4BD"/>
    <w:rsid w:val="48964B90"/>
    <w:rsid w:val="48995126"/>
    <w:rsid w:val="489DDFB3"/>
    <w:rsid w:val="48A0482B"/>
    <w:rsid w:val="48A4BB76"/>
    <w:rsid w:val="48A54394"/>
    <w:rsid w:val="48AB0CC9"/>
    <w:rsid w:val="48B0BAF4"/>
    <w:rsid w:val="48C6C344"/>
    <w:rsid w:val="48D81FD7"/>
    <w:rsid w:val="48F4F6CB"/>
    <w:rsid w:val="490A6043"/>
    <w:rsid w:val="49230F8C"/>
    <w:rsid w:val="493F1DCF"/>
    <w:rsid w:val="496834D3"/>
    <w:rsid w:val="496C9FCA"/>
    <w:rsid w:val="497AC217"/>
    <w:rsid w:val="49ABFE21"/>
    <w:rsid w:val="49AC5FB7"/>
    <w:rsid w:val="49BEB41C"/>
    <w:rsid w:val="49D2D2DF"/>
    <w:rsid w:val="49EDC739"/>
    <w:rsid w:val="49F162A9"/>
    <w:rsid w:val="49F66043"/>
    <w:rsid w:val="4A18264D"/>
    <w:rsid w:val="4A18AE17"/>
    <w:rsid w:val="4A39B014"/>
    <w:rsid w:val="4A3F4CDA"/>
    <w:rsid w:val="4A4113F5"/>
    <w:rsid w:val="4A5C28E5"/>
    <w:rsid w:val="4A5E52E9"/>
    <w:rsid w:val="4A5FAB35"/>
    <w:rsid w:val="4A71E26E"/>
    <w:rsid w:val="4A88FFDD"/>
    <w:rsid w:val="4AC9C1D0"/>
    <w:rsid w:val="4ACC2DE5"/>
    <w:rsid w:val="4ADBC71A"/>
    <w:rsid w:val="4B0849A0"/>
    <w:rsid w:val="4B0E87C0"/>
    <w:rsid w:val="4B219DFD"/>
    <w:rsid w:val="4B293BEC"/>
    <w:rsid w:val="4B2E802C"/>
    <w:rsid w:val="4B3CFF2F"/>
    <w:rsid w:val="4B51BAEB"/>
    <w:rsid w:val="4B5A3545"/>
    <w:rsid w:val="4B89D9BE"/>
    <w:rsid w:val="4B8D330A"/>
    <w:rsid w:val="4B95FBD0"/>
    <w:rsid w:val="4BCAFFA1"/>
    <w:rsid w:val="4BCE5AF3"/>
    <w:rsid w:val="4BD272AD"/>
    <w:rsid w:val="4BD3B8E5"/>
    <w:rsid w:val="4BE8E5E8"/>
    <w:rsid w:val="4C03342D"/>
    <w:rsid w:val="4C0B3F20"/>
    <w:rsid w:val="4C1C15D8"/>
    <w:rsid w:val="4C2CFA91"/>
    <w:rsid w:val="4C2E3AD7"/>
    <w:rsid w:val="4C47C2CC"/>
    <w:rsid w:val="4C494B25"/>
    <w:rsid w:val="4C5417BD"/>
    <w:rsid w:val="4C6A4D20"/>
    <w:rsid w:val="4C77977B"/>
    <w:rsid w:val="4C847172"/>
    <w:rsid w:val="4C8877D2"/>
    <w:rsid w:val="4C9FD595"/>
    <w:rsid w:val="4CA6CCBF"/>
    <w:rsid w:val="4CFC7366"/>
    <w:rsid w:val="4CFD28D6"/>
    <w:rsid w:val="4D0C3ED9"/>
    <w:rsid w:val="4D28AC71"/>
    <w:rsid w:val="4D3B62F1"/>
    <w:rsid w:val="4D4C8974"/>
    <w:rsid w:val="4D5D7E90"/>
    <w:rsid w:val="4D601AA9"/>
    <w:rsid w:val="4D6BCBC8"/>
    <w:rsid w:val="4D7082A4"/>
    <w:rsid w:val="4D9B206C"/>
    <w:rsid w:val="4DA6AADA"/>
    <w:rsid w:val="4DC2859F"/>
    <w:rsid w:val="4DCCFA2E"/>
    <w:rsid w:val="4DD8FCF4"/>
    <w:rsid w:val="4DDB13F6"/>
    <w:rsid w:val="4DF61A60"/>
    <w:rsid w:val="4E108A87"/>
    <w:rsid w:val="4E12D034"/>
    <w:rsid w:val="4E41C02F"/>
    <w:rsid w:val="4E4E41EF"/>
    <w:rsid w:val="4E5BD200"/>
    <w:rsid w:val="4E7BDA7A"/>
    <w:rsid w:val="4E898D6F"/>
    <w:rsid w:val="4E8B6EF1"/>
    <w:rsid w:val="4EA0BC93"/>
    <w:rsid w:val="4EBD7892"/>
    <w:rsid w:val="4ECABC2F"/>
    <w:rsid w:val="4ED1D0DD"/>
    <w:rsid w:val="4ED6C156"/>
    <w:rsid w:val="4EE356CF"/>
    <w:rsid w:val="4EEC2D58"/>
    <w:rsid w:val="4EF65F4D"/>
    <w:rsid w:val="4F12BDFD"/>
    <w:rsid w:val="4F2FE425"/>
    <w:rsid w:val="4F3265F2"/>
    <w:rsid w:val="4F4D42E5"/>
    <w:rsid w:val="4F750DE5"/>
    <w:rsid w:val="4FB2EFE2"/>
    <w:rsid w:val="4FBE17EB"/>
    <w:rsid w:val="4FC12ADF"/>
    <w:rsid w:val="4FCA4FF2"/>
    <w:rsid w:val="4FCEA4F8"/>
    <w:rsid w:val="4FD127F8"/>
    <w:rsid w:val="4FDE6D81"/>
    <w:rsid w:val="4FDFF908"/>
    <w:rsid w:val="4FEC7724"/>
    <w:rsid w:val="500B6CED"/>
    <w:rsid w:val="50109C0A"/>
    <w:rsid w:val="50232049"/>
    <w:rsid w:val="502B5C4B"/>
    <w:rsid w:val="5048BA22"/>
    <w:rsid w:val="504DB351"/>
    <w:rsid w:val="504F8ACC"/>
    <w:rsid w:val="5056629B"/>
    <w:rsid w:val="50792B0C"/>
    <w:rsid w:val="507AC73E"/>
    <w:rsid w:val="507DD883"/>
    <w:rsid w:val="50A1CC16"/>
    <w:rsid w:val="50AB5A10"/>
    <w:rsid w:val="50AF8E17"/>
    <w:rsid w:val="50C3659C"/>
    <w:rsid w:val="50D7CEE8"/>
    <w:rsid w:val="50D88250"/>
    <w:rsid w:val="51087A1E"/>
    <w:rsid w:val="51109DB6"/>
    <w:rsid w:val="5113D9C0"/>
    <w:rsid w:val="51349CD3"/>
    <w:rsid w:val="51453679"/>
    <w:rsid w:val="51482B49"/>
    <w:rsid w:val="5165F932"/>
    <w:rsid w:val="516CA723"/>
    <w:rsid w:val="518797D9"/>
    <w:rsid w:val="51901BF8"/>
    <w:rsid w:val="5190AFDF"/>
    <w:rsid w:val="51A8BD51"/>
    <w:rsid w:val="51B7719C"/>
    <w:rsid w:val="51B7B651"/>
    <w:rsid w:val="51CBF5CB"/>
    <w:rsid w:val="51EA129F"/>
    <w:rsid w:val="51FBAF6E"/>
    <w:rsid w:val="521CDBD3"/>
    <w:rsid w:val="522DE406"/>
    <w:rsid w:val="522E000F"/>
    <w:rsid w:val="522E535B"/>
    <w:rsid w:val="52331EC2"/>
    <w:rsid w:val="5242AE89"/>
    <w:rsid w:val="524DEEB6"/>
    <w:rsid w:val="525B9C32"/>
    <w:rsid w:val="5263A3C2"/>
    <w:rsid w:val="52669B64"/>
    <w:rsid w:val="529411C2"/>
    <w:rsid w:val="529ED930"/>
    <w:rsid w:val="52B7899A"/>
    <w:rsid w:val="52C6BD97"/>
    <w:rsid w:val="52E3FBAA"/>
    <w:rsid w:val="52EC9E84"/>
    <w:rsid w:val="53104987"/>
    <w:rsid w:val="531557E0"/>
    <w:rsid w:val="531FA8C6"/>
    <w:rsid w:val="532B35A1"/>
    <w:rsid w:val="53379B92"/>
    <w:rsid w:val="5343A951"/>
    <w:rsid w:val="5363E8C2"/>
    <w:rsid w:val="5364EAFD"/>
    <w:rsid w:val="5390E449"/>
    <w:rsid w:val="5391D6CC"/>
    <w:rsid w:val="53A5B3A1"/>
    <w:rsid w:val="53B49D56"/>
    <w:rsid w:val="53C17A57"/>
    <w:rsid w:val="53F22133"/>
    <w:rsid w:val="5405D715"/>
    <w:rsid w:val="540FCDD6"/>
    <w:rsid w:val="541CBA4A"/>
    <w:rsid w:val="54242C52"/>
    <w:rsid w:val="542BF214"/>
    <w:rsid w:val="5438E292"/>
    <w:rsid w:val="544E4BB6"/>
    <w:rsid w:val="546CAAE8"/>
    <w:rsid w:val="54AC6F27"/>
    <w:rsid w:val="54BCB2AF"/>
    <w:rsid w:val="54C9DBE8"/>
    <w:rsid w:val="54CF915E"/>
    <w:rsid w:val="54DE93C2"/>
    <w:rsid w:val="54E5A511"/>
    <w:rsid w:val="54E71CFD"/>
    <w:rsid w:val="54EDA8BF"/>
    <w:rsid w:val="5500E939"/>
    <w:rsid w:val="55023045"/>
    <w:rsid w:val="5510C080"/>
    <w:rsid w:val="5528BB79"/>
    <w:rsid w:val="552CB4AA"/>
    <w:rsid w:val="55352C98"/>
    <w:rsid w:val="553B3ACF"/>
    <w:rsid w:val="554876E0"/>
    <w:rsid w:val="554CD540"/>
    <w:rsid w:val="554E3861"/>
    <w:rsid w:val="5566C06D"/>
    <w:rsid w:val="556AEE52"/>
    <w:rsid w:val="557FB343"/>
    <w:rsid w:val="5582F1C5"/>
    <w:rsid w:val="55940240"/>
    <w:rsid w:val="55956C7A"/>
    <w:rsid w:val="55B76661"/>
    <w:rsid w:val="55D58427"/>
    <w:rsid w:val="55D92F55"/>
    <w:rsid w:val="55F0B20C"/>
    <w:rsid w:val="55F5A8AD"/>
    <w:rsid w:val="56088E93"/>
    <w:rsid w:val="561D1EED"/>
    <w:rsid w:val="56287816"/>
    <w:rsid w:val="5638C167"/>
    <w:rsid w:val="563B51C4"/>
    <w:rsid w:val="565D4D52"/>
    <w:rsid w:val="5669FE1D"/>
    <w:rsid w:val="567F2090"/>
    <w:rsid w:val="5681FA68"/>
    <w:rsid w:val="568CCC3B"/>
    <w:rsid w:val="56A07841"/>
    <w:rsid w:val="56C1AB7D"/>
    <w:rsid w:val="56E05E0C"/>
    <w:rsid w:val="56F4CF5D"/>
    <w:rsid w:val="56FC15AC"/>
    <w:rsid w:val="56FE6C86"/>
    <w:rsid w:val="57175F52"/>
    <w:rsid w:val="572105C6"/>
    <w:rsid w:val="5725BD68"/>
    <w:rsid w:val="572DA0BA"/>
    <w:rsid w:val="5732E7F6"/>
    <w:rsid w:val="573B1901"/>
    <w:rsid w:val="574175CF"/>
    <w:rsid w:val="57497DCA"/>
    <w:rsid w:val="575350A0"/>
    <w:rsid w:val="57593E9C"/>
    <w:rsid w:val="5783CDB6"/>
    <w:rsid w:val="5791A199"/>
    <w:rsid w:val="579C3153"/>
    <w:rsid w:val="57D075B3"/>
    <w:rsid w:val="57D53DDE"/>
    <w:rsid w:val="57EBC166"/>
    <w:rsid w:val="57EE2634"/>
    <w:rsid w:val="57F2CC1D"/>
    <w:rsid w:val="581516E4"/>
    <w:rsid w:val="581D45D3"/>
    <w:rsid w:val="58475B38"/>
    <w:rsid w:val="58477C20"/>
    <w:rsid w:val="587EEFA2"/>
    <w:rsid w:val="5881E7AC"/>
    <w:rsid w:val="589D4398"/>
    <w:rsid w:val="58AD791B"/>
    <w:rsid w:val="58AF7E11"/>
    <w:rsid w:val="58C0D641"/>
    <w:rsid w:val="58C1673E"/>
    <w:rsid w:val="58C354E4"/>
    <w:rsid w:val="58DD4630"/>
    <w:rsid w:val="58F2BE2F"/>
    <w:rsid w:val="58F68ADA"/>
    <w:rsid w:val="59082956"/>
    <w:rsid w:val="5921F521"/>
    <w:rsid w:val="5942B7AB"/>
    <w:rsid w:val="59435048"/>
    <w:rsid w:val="594BB453"/>
    <w:rsid w:val="59521E95"/>
    <w:rsid w:val="595321D7"/>
    <w:rsid w:val="5971668F"/>
    <w:rsid w:val="5975F061"/>
    <w:rsid w:val="597D3B21"/>
    <w:rsid w:val="598CC357"/>
    <w:rsid w:val="59998849"/>
    <w:rsid w:val="599B1F47"/>
    <w:rsid w:val="59B5D6D9"/>
    <w:rsid w:val="59C96347"/>
    <w:rsid w:val="59CAB42E"/>
    <w:rsid w:val="59D1384F"/>
    <w:rsid w:val="59D7CE7A"/>
    <w:rsid w:val="59E67275"/>
    <w:rsid w:val="5A088127"/>
    <w:rsid w:val="5A29EB6C"/>
    <w:rsid w:val="5A318255"/>
    <w:rsid w:val="5A4FD3DE"/>
    <w:rsid w:val="5A595783"/>
    <w:rsid w:val="5A5CE10C"/>
    <w:rsid w:val="5A5F2545"/>
    <w:rsid w:val="5A664E8F"/>
    <w:rsid w:val="5A6B1877"/>
    <w:rsid w:val="5A72F42F"/>
    <w:rsid w:val="5A88D0A7"/>
    <w:rsid w:val="5A89A1F5"/>
    <w:rsid w:val="5ACC5424"/>
    <w:rsid w:val="5AFA0E73"/>
    <w:rsid w:val="5B2A9935"/>
    <w:rsid w:val="5B3202B4"/>
    <w:rsid w:val="5B404CA9"/>
    <w:rsid w:val="5B5492D1"/>
    <w:rsid w:val="5B6BEF87"/>
    <w:rsid w:val="5B7341BB"/>
    <w:rsid w:val="5B74AFB1"/>
    <w:rsid w:val="5B7AFBFB"/>
    <w:rsid w:val="5B800204"/>
    <w:rsid w:val="5B8704C1"/>
    <w:rsid w:val="5B904F0C"/>
    <w:rsid w:val="5B945BED"/>
    <w:rsid w:val="5B9B10ED"/>
    <w:rsid w:val="5B9C13AE"/>
    <w:rsid w:val="5BA6F70C"/>
    <w:rsid w:val="5BBA8030"/>
    <w:rsid w:val="5BC14C5B"/>
    <w:rsid w:val="5BCD4A2D"/>
    <w:rsid w:val="5BD28FC8"/>
    <w:rsid w:val="5BD373ED"/>
    <w:rsid w:val="5BD4FC1B"/>
    <w:rsid w:val="5BDE037D"/>
    <w:rsid w:val="5BDFDFA3"/>
    <w:rsid w:val="5BE3136D"/>
    <w:rsid w:val="5BF92E8B"/>
    <w:rsid w:val="5C110215"/>
    <w:rsid w:val="5C18AC59"/>
    <w:rsid w:val="5C211412"/>
    <w:rsid w:val="5C506AAF"/>
    <w:rsid w:val="5C77BD3E"/>
    <w:rsid w:val="5C7C3A22"/>
    <w:rsid w:val="5C87A45D"/>
    <w:rsid w:val="5C87DE1C"/>
    <w:rsid w:val="5C8AB93A"/>
    <w:rsid w:val="5C9E58AF"/>
    <w:rsid w:val="5CB10DF7"/>
    <w:rsid w:val="5CB4A16F"/>
    <w:rsid w:val="5CBD6359"/>
    <w:rsid w:val="5CD90685"/>
    <w:rsid w:val="5D22D522"/>
    <w:rsid w:val="5D3EBEC8"/>
    <w:rsid w:val="5D42B5F0"/>
    <w:rsid w:val="5D590245"/>
    <w:rsid w:val="5D61B7DE"/>
    <w:rsid w:val="5D6BE494"/>
    <w:rsid w:val="5D6E6029"/>
    <w:rsid w:val="5D77863C"/>
    <w:rsid w:val="5D8C545E"/>
    <w:rsid w:val="5D962398"/>
    <w:rsid w:val="5DA8380C"/>
    <w:rsid w:val="5DAA43B5"/>
    <w:rsid w:val="5DB77CAA"/>
    <w:rsid w:val="5DD0A507"/>
    <w:rsid w:val="5DD0B6E3"/>
    <w:rsid w:val="5DD86889"/>
    <w:rsid w:val="5DE27F54"/>
    <w:rsid w:val="5DE936DF"/>
    <w:rsid w:val="5DFBB39C"/>
    <w:rsid w:val="5E0F9DDF"/>
    <w:rsid w:val="5E163AC6"/>
    <w:rsid w:val="5E176599"/>
    <w:rsid w:val="5E2FCDBC"/>
    <w:rsid w:val="5E4B4F51"/>
    <w:rsid w:val="5E6239F7"/>
    <w:rsid w:val="5E6914CC"/>
    <w:rsid w:val="5E74D6E6"/>
    <w:rsid w:val="5E93B11A"/>
    <w:rsid w:val="5E974675"/>
    <w:rsid w:val="5EA39049"/>
    <w:rsid w:val="5EBA95EA"/>
    <w:rsid w:val="5EBDA2A3"/>
    <w:rsid w:val="5EC77A17"/>
    <w:rsid w:val="5ECF4213"/>
    <w:rsid w:val="5EF9236C"/>
    <w:rsid w:val="5EFE3622"/>
    <w:rsid w:val="5F0C3EAD"/>
    <w:rsid w:val="5F30A8C2"/>
    <w:rsid w:val="5F490648"/>
    <w:rsid w:val="5F595BB9"/>
    <w:rsid w:val="5F6BA8DA"/>
    <w:rsid w:val="5F863277"/>
    <w:rsid w:val="5FA11774"/>
    <w:rsid w:val="5FA4EA56"/>
    <w:rsid w:val="5FA62EA7"/>
    <w:rsid w:val="5FB1B1B7"/>
    <w:rsid w:val="5FB20B27"/>
    <w:rsid w:val="5FB7C094"/>
    <w:rsid w:val="5FBCED0A"/>
    <w:rsid w:val="5FD88993"/>
    <w:rsid w:val="5FDB9127"/>
    <w:rsid w:val="5FE71FB2"/>
    <w:rsid w:val="5FE8DD9A"/>
    <w:rsid w:val="600E4910"/>
    <w:rsid w:val="6019EB4B"/>
    <w:rsid w:val="601EA183"/>
    <w:rsid w:val="602040F9"/>
    <w:rsid w:val="602215FB"/>
    <w:rsid w:val="6022FE48"/>
    <w:rsid w:val="60307B8D"/>
    <w:rsid w:val="605C112C"/>
    <w:rsid w:val="605F7407"/>
    <w:rsid w:val="6065CC45"/>
    <w:rsid w:val="60823D52"/>
    <w:rsid w:val="60972F3C"/>
    <w:rsid w:val="609BE003"/>
    <w:rsid w:val="60A36221"/>
    <w:rsid w:val="60B350C6"/>
    <w:rsid w:val="60B85B9E"/>
    <w:rsid w:val="60C06F6A"/>
    <w:rsid w:val="60CBE826"/>
    <w:rsid w:val="60D8EE9D"/>
    <w:rsid w:val="60F0A692"/>
    <w:rsid w:val="60F0D5FC"/>
    <w:rsid w:val="60FD4942"/>
    <w:rsid w:val="610D90A9"/>
    <w:rsid w:val="61195057"/>
    <w:rsid w:val="613CE7D5"/>
    <w:rsid w:val="6151628D"/>
    <w:rsid w:val="616234F7"/>
    <w:rsid w:val="6162B442"/>
    <w:rsid w:val="6181857B"/>
    <w:rsid w:val="618BA026"/>
    <w:rsid w:val="61A76010"/>
    <w:rsid w:val="61AAE411"/>
    <w:rsid w:val="61B4A228"/>
    <w:rsid w:val="61BBD9B2"/>
    <w:rsid w:val="61CC4BEE"/>
    <w:rsid w:val="61CCD720"/>
    <w:rsid w:val="61E5589C"/>
    <w:rsid w:val="61EA3B7A"/>
    <w:rsid w:val="61EFCEC8"/>
    <w:rsid w:val="61F89B1A"/>
    <w:rsid w:val="6203EE5A"/>
    <w:rsid w:val="62076A58"/>
    <w:rsid w:val="622AEDC6"/>
    <w:rsid w:val="6235F23B"/>
    <w:rsid w:val="6238C1CE"/>
    <w:rsid w:val="6244CD49"/>
    <w:rsid w:val="624E309B"/>
    <w:rsid w:val="62575B24"/>
    <w:rsid w:val="625FC581"/>
    <w:rsid w:val="62639882"/>
    <w:rsid w:val="627FEC08"/>
    <w:rsid w:val="62831BF5"/>
    <w:rsid w:val="6283EB10"/>
    <w:rsid w:val="62965950"/>
    <w:rsid w:val="62A55AA6"/>
    <w:rsid w:val="62BB5EB4"/>
    <w:rsid w:val="62BDA1F0"/>
    <w:rsid w:val="62CC7C38"/>
    <w:rsid w:val="62D56F04"/>
    <w:rsid w:val="62E9ABE9"/>
    <w:rsid w:val="62FF2078"/>
    <w:rsid w:val="631EC074"/>
    <w:rsid w:val="6332CEF6"/>
    <w:rsid w:val="63430AA5"/>
    <w:rsid w:val="63860BDB"/>
    <w:rsid w:val="638CFA75"/>
    <w:rsid w:val="639CD5AB"/>
    <w:rsid w:val="63A3B929"/>
    <w:rsid w:val="63BB1382"/>
    <w:rsid w:val="63DFF63F"/>
    <w:rsid w:val="63E46A95"/>
    <w:rsid w:val="63F47761"/>
    <w:rsid w:val="63F78D1D"/>
    <w:rsid w:val="6406078B"/>
    <w:rsid w:val="6425F1A0"/>
    <w:rsid w:val="6456EE2E"/>
    <w:rsid w:val="64597251"/>
    <w:rsid w:val="64694A60"/>
    <w:rsid w:val="6470D35F"/>
    <w:rsid w:val="647D45BA"/>
    <w:rsid w:val="6493F7E0"/>
    <w:rsid w:val="64ACF4AA"/>
    <w:rsid w:val="64B8531E"/>
    <w:rsid w:val="64C292F1"/>
    <w:rsid w:val="64CDC486"/>
    <w:rsid w:val="64D735A7"/>
    <w:rsid w:val="64E67DFB"/>
    <w:rsid w:val="64E81168"/>
    <w:rsid w:val="6500FBA4"/>
    <w:rsid w:val="651A3723"/>
    <w:rsid w:val="6538B51A"/>
    <w:rsid w:val="6548A84F"/>
    <w:rsid w:val="65498B07"/>
    <w:rsid w:val="654C0EEA"/>
    <w:rsid w:val="656F5126"/>
    <w:rsid w:val="6585D15D"/>
    <w:rsid w:val="65935D7E"/>
    <w:rsid w:val="659A16D1"/>
    <w:rsid w:val="65B38C9F"/>
    <w:rsid w:val="65BB8BD2"/>
    <w:rsid w:val="65C1DB3A"/>
    <w:rsid w:val="65C28E8F"/>
    <w:rsid w:val="65C4471F"/>
    <w:rsid w:val="65D9D58C"/>
    <w:rsid w:val="65DEB3DC"/>
    <w:rsid w:val="65DFD0BE"/>
    <w:rsid w:val="660643E6"/>
    <w:rsid w:val="6623B2D8"/>
    <w:rsid w:val="662ABC13"/>
    <w:rsid w:val="66530E27"/>
    <w:rsid w:val="6655F546"/>
    <w:rsid w:val="666AC2F4"/>
    <w:rsid w:val="666D211B"/>
    <w:rsid w:val="66802CAF"/>
    <w:rsid w:val="669DB2C5"/>
    <w:rsid w:val="66D54E86"/>
    <w:rsid w:val="66E1C67F"/>
    <w:rsid w:val="66F8D221"/>
    <w:rsid w:val="66FC16FE"/>
    <w:rsid w:val="6714E756"/>
    <w:rsid w:val="671E17CF"/>
    <w:rsid w:val="673B68C3"/>
    <w:rsid w:val="674B216A"/>
    <w:rsid w:val="674ED69A"/>
    <w:rsid w:val="67504DDA"/>
    <w:rsid w:val="675E5EF0"/>
    <w:rsid w:val="675EFCB6"/>
    <w:rsid w:val="6761ECB3"/>
    <w:rsid w:val="6762E8ED"/>
    <w:rsid w:val="676C8AC6"/>
    <w:rsid w:val="6778CBC9"/>
    <w:rsid w:val="67826BB8"/>
    <w:rsid w:val="6783202D"/>
    <w:rsid w:val="67BA3387"/>
    <w:rsid w:val="67BA79B5"/>
    <w:rsid w:val="67BD1D0C"/>
    <w:rsid w:val="67E8D6D1"/>
    <w:rsid w:val="6806E41F"/>
    <w:rsid w:val="6810E898"/>
    <w:rsid w:val="6824C1B8"/>
    <w:rsid w:val="683234E7"/>
    <w:rsid w:val="6832AE6A"/>
    <w:rsid w:val="6835E700"/>
    <w:rsid w:val="6836F59D"/>
    <w:rsid w:val="684C8DD3"/>
    <w:rsid w:val="685D132D"/>
    <w:rsid w:val="6875FC02"/>
    <w:rsid w:val="687CBC2C"/>
    <w:rsid w:val="687FF4E8"/>
    <w:rsid w:val="6886DD55"/>
    <w:rsid w:val="6890F2F5"/>
    <w:rsid w:val="68A86E18"/>
    <w:rsid w:val="68AC2993"/>
    <w:rsid w:val="68B02E21"/>
    <w:rsid w:val="68B166A4"/>
    <w:rsid w:val="68BF5A53"/>
    <w:rsid w:val="68BFC0FC"/>
    <w:rsid w:val="68BFC0FF"/>
    <w:rsid w:val="68D0AA09"/>
    <w:rsid w:val="68DAC861"/>
    <w:rsid w:val="68DEE791"/>
    <w:rsid w:val="68E27B5A"/>
    <w:rsid w:val="68F59DE2"/>
    <w:rsid w:val="68F9012A"/>
    <w:rsid w:val="68FC000E"/>
    <w:rsid w:val="690782EF"/>
    <w:rsid w:val="69085B27"/>
    <w:rsid w:val="6910D898"/>
    <w:rsid w:val="69434C15"/>
    <w:rsid w:val="6944C4B4"/>
    <w:rsid w:val="695D39FC"/>
    <w:rsid w:val="69714E7E"/>
    <w:rsid w:val="69723784"/>
    <w:rsid w:val="69A2AAB4"/>
    <w:rsid w:val="69DA1BE1"/>
    <w:rsid w:val="69E5F07D"/>
    <w:rsid w:val="69FEBE00"/>
    <w:rsid w:val="6A013CE9"/>
    <w:rsid w:val="6A05CB85"/>
    <w:rsid w:val="6A163D94"/>
    <w:rsid w:val="6A3A5E53"/>
    <w:rsid w:val="6A421F83"/>
    <w:rsid w:val="6A49742C"/>
    <w:rsid w:val="6A4C9E68"/>
    <w:rsid w:val="6A6904C9"/>
    <w:rsid w:val="6A7413C0"/>
    <w:rsid w:val="6A7FCD73"/>
    <w:rsid w:val="6A847EF2"/>
    <w:rsid w:val="6AB06C8B"/>
    <w:rsid w:val="6ABB22C8"/>
    <w:rsid w:val="6ACD01BA"/>
    <w:rsid w:val="6ACD6E6A"/>
    <w:rsid w:val="6ADF1C76"/>
    <w:rsid w:val="6AE09515"/>
    <w:rsid w:val="6AE1BF19"/>
    <w:rsid w:val="6AE72B72"/>
    <w:rsid w:val="6AF2BD3D"/>
    <w:rsid w:val="6B123903"/>
    <w:rsid w:val="6B16016A"/>
    <w:rsid w:val="6B27187E"/>
    <w:rsid w:val="6B3665F5"/>
    <w:rsid w:val="6B3B5EBF"/>
    <w:rsid w:val="6B4A0583"/>
    <w:rsid w:val="6B4DF5FF"/>
    <w:rsid w:val="6B4F8007"/>
    <w:rsid w:val="6B5F48EB"/>
    <w:rsid w:val="6B64D193"/>
    <w:rsid w:val="6B8C239E"/>
    <w:rsid w:val="6B9292DF"/>
    <w:rsid w:val="6B95D038"/>
    <w:rsid w:val="6B980C5A"/>
    <w:rsid w:val="6B9D4749"/>
    <w:rsid w:val="6BE38C99"/>
    <w:rsid w:val="6C129629"/>
    <w:rsid w:val="6C204F53"/>
    <w:rsid w:val="6C26DCD7"/>
    <w:rsid w:val="6C2CE265"/>
    <w:rsid w:val="6C3ADFE7"/>
    <w:rsid w:val="6C435145"/>
    <w:rsid w:val="6C4CA17B"/>
    <w:rsid w:val="6C51F16F"/>
    <w:rsid w:val="6C5866A5"/>
    <w:rsid w:val="6C648436"/>
    <w:rsid w:val="6C9869BD"/>
    <w:rsid w:val="6C9C6483"/>
    <w:rsid w:val="6CA50D57"/>
    <w:rsid w:val="6CB47C79"/>
    <w:rsid w:val="6CD3C93A"/>
    <w:rsid w:val="6CED368A"/>
    <w:rsid w:val="6D025DC0"/>
    <w:rsid w:val="6D0519F6"/>
    <w:rsid w:val="6D1E2877"/>
    <w:rsid w:val="6D3C938F"/>
    <w:rsid w:val="6D4526FC"/>
    <w:rsid w:val="6D53FAAA"/>
    <w:rsid w:val="6DB3D0F5"/>
    <w:rsid w:val="6DC9ADC1"/>
    <w:rsid w:val="6DCCB2D7"/>
    <w:rsid w:val="6DCDA074"/>
    <w:rsid w:val="6DD6B048"/>
    <w:rsid w:val="6DE06678"/>
    <w:rsid w:val="6DEF54D2"/>
    <w:rsid w:val="6E00B3BB"/>
    <w:rsid w:val="6E079D50"/>
    <w:rsid w:val="6E094B9C"/>
    <w:rsid w:val="6E1475D5"/>
    <w:rsid w:val="6E33175B"/>
    <w:rsid w:val="6E480078"/>
    <w:rsid w:val="6E50CAD7"/>
    <w:rsid w:val="6E516623"/>
    <w:rsid w:val="6E6128D5"/>
    <w:rsid w:val="6E7D12BE"/>
    <w:rsid w:val="6E955496"/>
    <w:rsid w:val="6EAD8D04"/>
    <w:rsid w:val="6EAF742F"/>
    <w:rsid w:val="6EB47BAE"/>
    <w:rsid w:val="6EB93E80"/>
    <w:rsid w:val="6EC6737B"/>
    <w:rsid w:val="6ED77269"/>
    <w:rsid w:val="6EDC5B86"/>
    <w:rsid w:val="6EDC873D"/>
    <w:rsid w:val="6EE1AD50"/>
    <w:rsid w:val="6F15B10D"/>
    <w:rsid w:val="6F28A622"/>
    <w:rsid w:val="6F307597"/>
    <w:rsid w:val="6F4C1CAB"/>
    <w:rsid w:val="6F4EC7BF"/>
    <w:rsid w:val="6F749D91"/>
    <w:rsid w:val="6F9CE80B"/>
    <w:rsid w:val="6FAA1E02"/>
    <w:rsid w:val="6FB7BFF2"/>
    <w:rsid w:val="6FBE670E"/>
    <w:rsid w:val="6FC299DD"/>
    <w:rsid w:val="6FCDB26C"/>
    <w:rsid w:val="6FD0CA9C"/>
    <w:rsid w:val="6FE475E6"/>
    <w:rsid w:val="6FFFBAC2"/>
    <w:rsid w:val="7017187D"/>
    <w:rsid w:val="7018E31F"/>
    <w:rsid w:val="701BEF52"/>
    <w:rsid w:val="70224060"/>
    <w:rsid w:val="702C2692"/>
    <w:rsid w:val="703442F5"/>
    <w:rsid w:val="703D9E71"/>
    <w:rsid w:val="703E7F4B"/>
    <w:rsid w:val="704076D4"/>
    <w:rsid w:val="704BF8F1"/>
    <w:rsid w:val="704EF9D1"/>
    <w:rsid w:val="705799B1"/>
    <w:rsid w:val="7082B45A"/>
    <w:rsid w:val="7089FC74"/>
    <w:rsid w:val="70AC8B10"/>
    <w:rsid w:val="70BA3600"/>
    <w:rsid w:val="70BA4011"/>
    <w:rsid w:val="70BB2A98"/>
    <w:rsid w:val="70E9F976"/>
    <w:rsid w:val="71136D0C"/>
    <w:rsid w:val="711DAF10"/>
    <w:rsid w:val="7124C350"/>
    <w:rsid w:val="7125EF1D"/>
    <w:rsid w:val="7130BD32"/>
    <w:rsid w:val="713FE2DF"/>
    <w:rsid w:val="71491188"/>
    <w:rsid w:val="714B3444"/>
    <w:rsid w:val="714E5DFA"/>
    <w:rsid w:val="7154F4FC"/>
    <w:rsid w:val="715A376F"/>
    <w:rsid w:val="715AB071"/>
    <w:rsid w:val="7177E685"/>
    <w:rsid w:val="717FA13A"/>
    <w:rsid w:val="7187ED9C"/>
    <w:rsid w:val="719297E1"/>
    <w:rsid w:val="7193B652"/>
    <w:rsid w:val="71A43F85"/>
    <w:rsid w:val="71C9ACFD"/>
    <w:rsid w:val="71DF0F3E"/>
    <w:rsid w:val="71E8E30A"/>
    <w:rsid w:val="71EA5D3E"/>
    <w:rsid w:val="71F1765F"/>
    <w:rsid w:val="71FA8D4F"/>
    <w:rsid w:val="72021A81"/>
    <w:rsid w:val="72189E52"/>
    <w:rsid w:val="721E84BB"/>
    <w:rsid w:val="7221AFBE"/>
    <w:rsid w:val="722719C6"/>
    <w:rsid w:val="7235E098"/>
    <w:rsid w:val="724BAE8F"/>
    <w:rsid w:val="7257676A"/>
    <w:rsid w:val="726544F1"/>
    <w:rsid w:val="72716E34"/>
    <w:rsid w:val="7289C58A"/>
    <w:rsid w:val="728F752C"/>
    <w:rsid w:val="7299CC6E"/>
    <w:rsid w:val="729F00F7"/>
    <w:rsid w:val="72AE66E6"/>
    <w:rsid w:val="72B337DF"/>
    <w:rsid w:val="72BAE03A"/>
    <w:rsid w:val="72BB1133"/>
    <w:rsid w:val="72BCAF49"/>
    <w:rsid w:val="72BDF078"/>
    <w:rsid w:val="72EC84DD"/>
    <w:rsid w:val="730E7EDD"/>
    <w:rsid w:val="73114A55"/>
    <w:rsid w:val="731A8014"/>
    <w:rsid w:val="732658F2"/>
    <w:rsid w:val="7349C54B"/>
    <w:rsid w:val="7355A34D"/>
    <w:rsid w:val="73574FF0"/>
    <w:rsid w:val="7361A212"/>
    <w:rsid w:val="73862D9F"/>
    <w:rsid w:val="738DD1CA"/>
    <w:rsid w:val="738E2B80"/>
    <w:rsid w:val="73A41D2B"/>
    <w:rsid w:val="73A5538A"/>
    <w:rsid w:val="73AABF8E"/>
    <w:rsid w:val="73AC4C0B"/>
    <w:rsid w:val="73D89040"/>
    <w:rsid w:val="73DD9917"/>
    <w:rsid w:val="740A4737"/>
    <w:rsid w:val="74179D01"/>
    <w:rsid w:val="7419E11D"/>
    <w:rsid w:val="741BC073"/>
    <w:rsid w:val="743D59B9"/>
    <w:rsid w:val="744A3747"/>
    <w:rsid w:val="744C26A9"/>
    <w:rsid w:val="7456EB2C"/>
    <w:rsid w:val="74587FAA"/>
    <w:rsid w:val="745A8FD3"/>
    <w:rsid w:val="7467300A"/>
    <w:rsid w:val="746D2915"/>
    <w:rsid w:val="74A4B144"/>
    <w:rsid w:val="74B43933"/>
    <w:rsid w:val="74BC36D4"/>
    <w:rsid w:val="74CACDEC"/>
    <w:rsid w:val="74D32BE5"/>
    <w:rsid w:val="74DA775B"/>
    <w:rsid w:val="74E84B7D"/>
    <w:rsid w:val="74F12532"/>
    <w:rsid w:val="74F6FE68"/>
    <w:rsid w:val="74F6FEDB"/>
    <w:rsid w:val="74F72457"/>
    <w:rsid w:val="74FE9DC8"/>
    <w:rsid w:val="75014DBF"/>
    <w:rsid w:val="7510B360"/>
    <w:rsid w:val="75177C8E"/>
    <w:rsid w:val="75223D3B"/>
    <w:rsid w:val="75228932"/>
    <w:rsid w:val="7529A22E"/>
    <w:rsid w:val="752FD85D"/>
    <w:rsid w:val="754CCA38"/>
    <w:rsid w:val="75800B3F"/>
    <w:rsid w:val="75AFBDAC"/>
    <w:rsid w:val="75B22452"/>
    <w:rsid w:val="75BE3C4D"/>
    <w:rsid w:val="75C4C042"/>
    <w:rsid w:val="75CF9966"/>
    <w:rsid w:val="75FDE20E"/>
    <w:rsid w:val="76104B46"/>
    <w:rsid w:val="76144130"/>
    <w:rsid w:val="761BA4C1"/>
    <w:rsid w:val="7632C7BE"/>
    <w:rsid w:val="763DA217"/>
    <w:rsid w:val="763F5DFB"/>
    <w:rsid w:val="7646E163"/>
    <w:rsid w:val="764725A6"/>
    <w:rsid w:val="76660904"/>
    <w:rsid w:val="767647BC"/>
    <w:rsid w:val="76841BDE"/>
    <w:rsid w:val="769A4E7E"/>
    <w:rsid w:val="769D1E20"/>
    <w:rsid w:val="76AA0DF9"/>
    <w:rsid w:val="76C29197"/>
    <w:rsid w:val="76CA7F96"/>
    <w:rsid w:val="76CEDB8D"/>
    <w:rsid w:val="76E43B2B"/>
    <w:rsid w:val="76EE5BD5"/>
    <w:rsid w:val="77077A2E"/>
    <w:rsid w:val="77187F93"/>
    <w:rsid w:val="77202BAC"/>
    <w:rsid w:val="772AB6BE"/>
    <w:rsid w:val="772B3368"/>
    <w:rsid w:val="772C8DF3"/>
    <w:rsid w:val="772F5D30"/>
    <w:rsid w:val="775C7CAF"/>
    <w:rsid w:val="775C7EB5"/>
    <w:rsid w:val="776BF011"/>
    <w:rsid w:val="777519EF"/>
    <w:rsid w:val="7781D809"/>
    <w:rsid w:val="778DBBE7"/>
    <w:rsid w:val="77A06D19"/>
    <w:rsid w:val="77A27B23"/>
    <w:rsid w:val="77B81358"/>
    <w:rsid w:val="77B87D4C"/>
    <w:rsid w:val="77BBD796"/>
    <w:rsid w:val="77DCD686"/>
    <w:rsid w:val="77F72F20"/>
    <w:rsid w:val="7800EC3B"/>
    <w:rsid w:val="7801D965"/>
    <w:rsid w:val="7820A1C3"/>
    <w:rsid w:val="78217DBE"/>
    <w:rsid w:val="78220B35"/>
    <w:rsid w:val="7825E468"/>
    <w:rsid w:val="782DD130"/>
    <w:rsid w:val="784E50C2"/>
    <w:rsid w:val="78570AD6"/>
    <w:rsid w:val="7864CBC7"/>
    <w:rsid w:val="786F6739"/>
    <w:rsid w:val="787FBD2E"/>
    <w:rsid w:val="788ADAEA"/>
    <w:rsid w:val="78B74AD4"/>
    <w:rsid w:val="78C3852D"/>
    <w:rsid w:val="78C85E54"/>
    <w:rsid w:val="78CC57E3"/>
    <w:rsid w:val="78D84C66"/>
    <w:rsid w:val="78E525E3"/>
    <w:rsid w:val="78ED0C56"/>
    <w:rsid w:val="78F3884B"/>
    <w:rsid w:val="78F84F16"/>
    <w:rsid w:val="78F9DA9D"/>
    <w:rsid w:val="79085F91"/>
    <w:rsid w:val="7909E481"/>
    <w:rsid w:val="79166A1F"/>
    <w:rsid w:val="791800B1"/>
    <w:rsid w:val="79206285"/>
    <w:rsid w:val="7942E109"/>
    <w:rsid w:val="794D1FD3"/>
    <w:rsid w:val="794D4847"/>
    <w:rsid w:val="7961052E"/>
    <w:rsid w:val="799E774B"/>
    <w:rsid w:val="79A340F4"/>
    <w:rsid w:val="79A425C2"/>
    <w:rsid w:val="79A7F0C1"/>
    <w:rsid w:val="79B57E04"/>
    <w:rsid w:val="79BAE5A7"/>
    <w:rsid w:val="79BD4E1F"/>
    <w:rsid w:val="79DFD029"/>
    <w:rsid w:val="79FF3347"/>
    <w:rsid w:val="7A1F8FBD"/>
    <w:rsid w:val="7A27361F"/>
    <w:rsid w:val="7A381FBB"/>
    <w:rsid w:val="7A4EC32B"/>
    <w:rsid w:val="7A531B35"/>
    <w:rsid w:val="7A5FAEB7"/>
    <w:rsid w:val="7A6854BC"/>
    <w:rsid w:val="7A6C88AC"/>
    <w:rsid w:val="7A6D4913"/>
    <w:rsid w:val="7A707917"/>
    <w:rsid w:val="7A7948A1"/>
    <w:rsid w:val="7A885295"/>
    <w:rsid w:val="7A952226"/>
    <w:rsid w:val="7AA67D35"/>
    <w:rsid w:val="7AA9346A"/>
    <w:rsid w:val="7ABA2312"/>
    <w:rsid w:val="7AF53BB1"/>
    <w:rsid w:val="7AF65529"/>
    <w:rsid w:val="7B0A9655"/>
    <w:rsid w:val="7B1C0302"/>
    <w:rsid w:val="7B2A5FB4"/>
    <w:rsid w:val="7B2ECFE2"/>
    <w:rsid w:val="7B32DDE3"/>
    <w:rsid w:val="7B3A53D5"/>
    <w:rsid w:val="7B3B02C7"/>
    <w:rsid w:val="7B3CB30E"/>
    <w:rsid w:val="7B446A79"/>
    <w:rsid w:val="7B5002A6"/>
    <w:rsid w:val="7B506F92"/>
    <w:rsid w:val="7B66076F"/>
    <w:rsid w:val="7B6B39C3"/>
    <w:rsid w:val="7B807541"/>
    <w:rsid w:val="7B84C85C"/>
    <w:rsid w:val="7B86BE12"/>
    <w:rsid w:val="7B890663"/>
    <w:rsid w:val="7B8EAB98"/>
    <w:rsid w:val="7BA1CCB8"/>
    <w:rsid w:val="7BC78E84"/>
    <w:rsid w:val="7BCC3EA1"/>
    <w:rsid w:val="7BFF8E45"/>
    <w:rsid w:val="7C0347CF"/>
    <w:rsid w:val="7C160263"/>
    <w:rsid w:val="7C185302"/>
    <w:rsid w:val="7C2A6F00"/>
    <w:rsid w:val="7C2B8FE8"/>
    <w:rsid w:val="7C3FC044"/>
    <w:rsid w:val="7C7883F2"/>
    <w:rsid w:val="7C7A8105"/>
    <w:rsid w:val="7C7CDEA2"/>
    <w:rsid w:val="7C87C267"/>
    <w:rsid w:val="7C92355B"/>
    <w:rsid w:val="7CE17653"/>
    <w:rsid w:val="7CF4EEE1"/>
    <w:rsid w:val="7D138C83"/>
    <w:rsid w:val="7D1AA0AC"/>
    <w:rsid w:val="7D207E3E"/>
    <w:rsid w:val="7D22C324"/>
    <w:rsid w:val="7D244703"/>
    <w:rsid w:val="7D299C21"/>
    <w:rsid w:val="7D2B0599"/>
    <w:rsid w:val="7D2B0ACE"/>
    <w:rsid w:val="7D40DEB4"/>
    <w:rsid w:val="7D808543"/>
    <w:rsid w:val="7D8ABBF7"/>
    <w:rsid w:val="7DA40DDA"/>
    <w:rsid w:val="7DBA246F"/>
    <w:rsid w:val="7DD1C650"/>
    <w:rsid w:val="7DF15386"/>
    <w:rsid w:val="7DF31C20"/>
    <w:rsid w:val="7DFAFE9F"/>
    <w:rsid w:val="7E0D176A"/>
    <w:rsid w:val="7E0F7393"/>
    <w:rsid w:val="7E1584D8"/>
    <w:rsid w:val="7E2FDF63"/>
    <w:rsid w:val="7E34CD1D"/>
    <w:rsid w:val="7E5535CD"/>
    <w:rsid w:val="7E78ACF3"/>
    <w:rsid w:val="7E78E222"/>
    <w:rsid w:val="7E7A0E2B"/>
    <w:rsid w:val="7E7A140C"/>
    <w:rsid w:val="7E7F846B"/>
    <w:rsid w:val="7E83F07F"/>
    <w:rsid w:val="7E88BD6A"/>
    <w:rsid w:val="7E9B29CC"/>
    <w:rsid w:val="7E9F24EA"/>
    <w:rsid w:val="7EB385F9"/>
    <w:rsid w:val="7EC6D5FA"/>
    <w:rsid w:val="7EE4FACF"/>
    <w:rsid w:val="7F225CDE"/>
    <w:rsid w:val="7F328D22"/>
    <w:rsid w:val="7F3333A8"/>
    <w:rsid w:val="7F6ED8FA"/>
    <w:rsid w:val="7F6F8FAA"/>
    <w:rsid w:val="7F7264A5"/>
    <w:rsid w:val="7F86F97B"/>
    <w:rsid w:val="7F9D62DA"/>
    <w:rsid w:val="7FC30897"/>
    <w:rsid w:val="7FF304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26200967-CF69-4E5E-AE3B-1F8946F2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BC0"/>
    <w:pPr>
      <w:jc w:val="both"/>
    </w:pPr>
    <w:rPr>
      <w:rFonts w:ascii="Garamond" w:hAnsi="Garamond"/>
    </w:rPr>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3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Pr>
      <w:color w:val="605E5C"/>
      <w:shd w:val="clear" w:color="auto" w:fill="E1DFDD"/>
    </w:rPr>
  </w:style>
  <w:style w:type="paragraph" w:styleId="Revision">
    <w:name w:val="Revision"/>
    <w:hidden/>
    <w:uiPriority w:val="99"/>
    <w:semiHidden/>
    <w:rsid w:val="00773BA6"/>
    <w:pPr>
      <w:spacing w:after="0" w:line="240" w:lineRule="auto"/>
    </w:pPr>
  </w:style>
  <w:style w:type="paragraph" w:customStyle="1" w:styleId="paragraph">
    <w:name w:val="paragraph"/>
    <w:basedOn w:val="Normal"/>
    <w:rsid w:val="001F4014"/>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1F4014"/>
  </w:style>
  <w:style w:type="character" w:customStyle="1" w:styleId="eop">
    <w:name w:val="eop"/>
    <w:basedOn w:val="DefaultParagraphFont"/>
    <w:rsid w:val="001F40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07604">
      <w:bodyDiv w:val="1"/>
      <w:marLeft w:val="0"/>
      <w:marRight w:val="0"/>
      <w:marTop w:val="0"/>
      <w:marBottom w:val="0"/>
      <w:divBdr>
        <w:top w:val="none" w:sz="0" w:space="0" w:color="auto"/>
        <w:left w:val="none" w:sz="0" w:space="0" w:color="auto"/>
        <w:bottom w:val="none" w:sz="0" w:space="0" w:color="auto"/>
        <w:right w:val="none" w:sz="0" w:space="0" w:color="auto"/>
      </w:divBdr>
      <w:divsChild>
        <w:div w:id="293292618">
          <w:marLeft w:val="0"/>
          <w:marRight w:val="0"/>
          <w:marTop w:val="0"/>
          <w:marBottom w:val="0"/>
          <w:divBdr>
            <w:top w:val="none" w:sz="0" w:space="0" w:color="auto"/>
            <w:left w:val="none" w:sz="0" w:space="0" w:color="auto"/>
            <w:bottom w:val="none" w:sz="0" w:space="0" w:color="auto"/>
            <w:right w:val="none" w:sz="0" w:space="0" w:color="auto"/>
          </w:divBdr>
        </w:div>
        <w:div w:id="690910720">
          <w:marLeft w:val="0"/>
          <w:marRight w:val="0"/>
          <w:marTop w:val="0"/>
          <w:marBottom w:val="0"/>
          <w:divBdr>
            <w:top w:val="none" w:sz="0" w:space="0" w:color="auto"/>
            <w:left w:val="none" w:sz="0" w:space="0" w:color="auto"/>
            <w:bottom w:val="none" w:sz="0" w:space="0" w:color="auto"/>
            <w:right w:val="none" w:sz="0" w:space="0" w:color="auto"/>
          </w:divBdr>
        </w:div>
      </w:divsChild>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524682922">
      <w:bodyDiv w:val="1"/>
      <w:marLeft w:val="0"/>
      <w:marRight w:val="0"/>
      <w:marTop w:val="0"/>
      <w:marBottom w:val="0"/>
      <w:divBdr>
        <w:top w:val="none" w:sz="0" w:space="0" w:color="auto"/>
        <w:left w:val="none" w:sz="0" w:space="0" w:color="auto"/>
        <w:bottom w:val="none" w:sz="0" w:space="0" w:color="auto"/>
        <w:right w:val="none" w:sz="0" w:space="0" w:color="auto"/>
      </w:divBdr>
      <w:divsChild>
        <w:div w:id="1953510243">
          <w:marLeft w:val="0"/>
          <w:marRight w:val="0"/>
          <w:marTop w:val="0"/>
          <w:marBottom w:val="0"/>
          <w:divBdr>
            <w:top w:val="none" w:sz="0" w:space="0" w:color="auto"/>
            <w:left w:val="none" w:sz="0" w:space="0" w:color="auto"/>
            <w:bottom w:val="none" w:sz="0" w:space="0" w:color="auto"/>
            <w:right w:val="none" w:sz="0" w:space="0" w:color="auto"/>
          </w:divBdr>
        </w:div>
        <w:div w:id="2078896077">
          <w:marLeft w:val="0"/>
          <w:marRight w:val="0"/>
          <w:marTop w:val="0"/>
          <w:marBottom w:val="0"/>
          <w:divBdr>
            <w:top w:val="none" w:sz="0" w:space="0" w:color="auto"/>
            <w:left w:val="none" w:sz="0" w:space="0" w:color="auto"/>
            <w:bottom w:val="none" w:sz="0" w:space="0" w:color="auto"/>
            <w:right w:val="none" w:sz="0" w:space="0" w:color="auto"/>
          </w:divBdr>
        </w:div>
        <w:div w:id="1055810234">
          <w:marLeft w:val="0"/>
          <w:marRight w:val="0"/>
          <w:marTop w:val="0"/>
          <w:marBottom w:val="0"/>
          <w:divBdr>
            <w:top w:val="none" w:sz="0" w:space="0" w:color="auto"/>
            <w:left w:val="none" w:sz="0" w:space="0" w:color="auto"/>
            <w:bottom w:val="none" w:sz="0" w:space="0" w:color="auto"/>
            <w:right w:val="none" w:sz="0" w:space="0" w:color="auto"/>
          </w:divBdr>
        </w:div>
        <w:div w:id="699859594">
          <w:marLeft w:val="0"/>
          <w:marRight w:val="0"/>
          <w:marTop w:val="0"/>
          <w:marBottom w:val="0"/>
          <w:divBdr>
            <w:top w:val="none" w:sz="0" w:space="0" w:color="auto"/>
            <w:left w:val="none" w:sz="0" w:space="0" w:color="auto"/>
            <w:bottom w:val="none" w:sz="0" w:space="0" w:color="auto"/>
            <w:right w:val="none" w:sz="0" w:space="0" w:color="auto"/>
          </w:divBdr>
        </w:div>
        <w:div w:id="1797336260">
          <w:marLeft w:val="0"/>
          <w:marRight w:val="0"/>
          <w:marTop w:val="0"/>
          <w:marBottom w:val="0"/>
          <w:divBdr>
            <w:top w:val="none" w:sz="0" w:space="0" w:color="auto"/>
            <w:left w:val="none" w:sz="0" w:space="0" w:color="auto"/>
            <w:bottom w:val="none" w:sz="0" w:space="0" w:color="auto"/>
            <w:right w:val="none" w:sz="0" w:space="0" w:color="auto"/>
          </w:divBdr>
        </w:div>
        <w:div w:id="549356">
          <w:marLeft w:val="0"/>
          <w:marRight w:val="0"/>
          <w:marTop w:val="0"/>
          <w:marBottom w:val="0"/>
          <w:divBdr>
            <w:top w:val="none" w:sz="0" w:space="0" w:color="auto"/>
            <w:left w:val="none" w:sz="0" w:space="0" w:color="auto"/>
            <w:bottom w:val="none" w:sz="0" w:space="0" w:color="auto"/>
            <w:right w:val="none" w:sz="0" w:space="0" w:color="auto"/>
          </w:divBdr>
        </w:div>
        <w:div w:id="772558407">
          <w:marLeft w:val="0"/>
          <w:marRight w:val="0"/>
          <w:marTop w:val="0"/>
          <w:marBottom w:val="0"/>
          <w:divBdr>
            <w:top w:val="none" w:sz="0" w:space="0" w:color="auto"/>
            <w:left w:val="none" w:sz="0" w:space="0" w:color="auto"/>
            <w:bottom w:val="none" w:sz="0" w:space="0" w:color="auto"/>
            <w:right w:val="none" w:sz="0" w:space="0" w:color="auto"/>
          </w:divBdr>
        </w:div>
        <w:div w:id="133647103">
          <w:marLeft w:val="0"/>
          <w:marRight w:val="0"/>
          <w:marTop w:val="0"/>
          <w:marBottom w:val="0"/>
          <w:divBdr>
            <w:top w:val="none" w:sz="0" w:space="0" w:color="auto"/>
            <w:left w:val="none" w:sz="0" w:space="0" w:color="auto"/>
            <w:bottom w:val="none" w:sz="0" w:space="0" w:color="auto"/>
            <w:right w:val="none" w:sz="0" w:space="0" w:color="auto"/>
          </w:divBdr>
        </w:div>
        <w:div w:id="690256679">
          <w:marLeft w:val="0"/>
          <w:marRight w:val="0"/>
          <w:marTop w:val="0"/>
          <w:marBottom w:val="0"/>
          <w:divBdr>
            <w:top w:val="none" w:sz="0" w:space="0" w:color="auto"/>
            <w:left w:val="none" w:sz="0" w:space="0" w:color="auto"/>
            <w:bottom w:val="none" w:sz="0" w:space="0" w:color="auto"/>
            <w:right w:val="none" w:sz="0" w:space="0" w:color="auto"/>
          </w:divBdr>
        </w:div>
        <w:div w:id="934051216">
          <w:marLeft w:val="0"/>
          <w:marRight w:val="0"/>
          <w:marTop w:val="0"/>
          <w:marBottom w:val="0"/>
          <w:divBdr>
            <w:top w:val="none" w:sz="0" w:space="0" w:color="auto"/>
            <w:left w:val="none" w:sz="0" w:space="0" w:color="auto"/>
            <w:bottom w:val="none" w:sz="0" w:space="0" w:color="auto"/>
            <w:right w:val="none" w:sz="0" w:space="0" w:color="auto"/>
          </w:divBdr>
        </w:div>
        <w:div w:id="705369924">
          <w:marLeft w:val="0"/>
          <w:marRight w:val="0"/>
          <w:marTop w:val="0"/>
          <w:marBottom w:val="0"/>
          <w:divBdr>
            <w:top w:val="none" w:sz="0" w:space="0" w:color="auto"/>
            <w:left w:val="none" w:sz="0" w:space="0" w:color="auto"/>
            <w:bottom w:val="none" w:sz="0" w:space="0" w:color="auto"/>
            <w:right w:val="none" w:sz="0" w:space="0" w:color="auto"/>
          </w:divBdr>
        </w:div>
        <w:div w:id="311713057">
          <w:marLeft w:val="0"/>
          <w:marRight w:val="0"/>
          <w:marTop w:val="0"/>
          <w:marBottom w:val="0"/>
          <w:divBdr>
            <w:top w:val="none" w:sz="0" w:space="0" w:color="auto"/>
            <w:left w:val="none" w:sz="0" w:space="0" w:color="auto"/>
            <w:bottom w:val="none" w:sz="0" w:space="0" w:color="auto"/>
            <w:right w:val="none" w:sz="0" w:space="0" w:color="auto"/>
          </w:divBdr>
        </w:div>
        <w:div w:id="1469010114">
          <w:marLeft w:val="0"/>
          <w:marRight w:val="0"/>
          <w:marTop w:val="0"/>
          <w:marBottom w:val="0"/>
          <w:divBdr>
            <w:top w:val="none" w:sz="0" w:space="0" w:color="auto"/>
            <w:left w:val="none" w:sz="0" w:space="0" w:color="auto"/>
            <w:bottom w:val="none" w:sz="0" w:space="0" w:color="auto"/>
            <w:right w:val="none" w:sz="0" w:space="0" w:color="auto"/>
          </w:divBdr>
        </w:div>
        <w:div w:id="1072120911">
          <w:marLeft w:val="0"/>
          <w:marRight w:val="0"/>
          <w:marTop w:val="0"/>
          <w:marBottom w:val="0"/>
          <w:divBdr>
            <w:top w:val="none" w:sz="0" w:space="0" w:color="auto"/>
            <w:left w:val="none" w:sz="0" w:space="0" w:color="auto"/>
            <w:bottom w:val="none" w:sz="0" w:space="0" w:color="auto"/>
            <w:right w:val="none" w:sz="0" w:space="0" w:color="auto"/>
          </w:divBdr>
        </w:div>
        <w:div w:id="644745869">
          <w:marLeft w:val="0"/>
          <w:marRight w:val="0"/>
          <w:marTop w:val="0"/>
          <w:marBottom w:val="0"/>
          <w:divBdr>
            <w:top w:val="none" w:sz="0" w:space="0" w:color="auto"/>
            <w:left w:val="none" w:sz="0" w:space="0" w:color="auto"/>
            <w:bottom w:val="none" w:sz="0" w:space="0" w:color="auto"/>
            <w:right w:val="none" w:sz="0" w:space="0" w:color="auto"/>
          </w:divBdr>
        </w:div>
        <w:div w:id="1565991181">
          <w:marLeft w:val="0"/>
          <w:marRight w:val="0"/>
          <w:marTop w:val="0"/>
          <w:marBottom w:val="0"/>
          <w:divBdr>
            <w:top w:val="none" w:sz="0" w:space="0" w:color="auto"/>
            <w:left w:val="none" w:sz="0" w:space="0" w:color="auto"/>
            <w:bottom w:val="none" w:sz="0" w:space="0" w:color="auto"/>
            <w:right w:val="none" w:sz="0" w:space="0" w:color="auto"/>
          </w:divBdr>
        </w:div>
        <w:div w:id="141125485">
          <w:marLeft w:val="0"/>
          <w:marRight w:val="0"/>
          <w:marTop w:val="0"/>
          <w:marBottom w:val="0"/>
          <w:divBdr>
            <w:top w:val="none" w:sz="0" w:space="0" w:color="auto"/>
            <w:left w:val="none" w:sz="0" w:space="0" w:color="auto"/>
            <w:bottom w:val="none" w:sz="0" w:space="0" w:color="auto"/>
            <w:right w:val="none" w:sz="0" w:space="0" w:color="auto"/>
          </w:divBdr>
        </w:div>
        <w:div w:id="1476482617">
          <w:marLeft w:val="0"/>
          <w:marRight w:val="0"/>
          <w:marTop w:val="0"/>
          <w:marBottom w:val="0"/>
          <w:divBdr>
            <w:top w:val="none" w:sz="0" w:space="0" w:color="auto"/>
            <w:left w:val="none" w:sz="0" w:space="0" w:color="auto"/>
            <w:bottom w:val="none" w:sz="0" w:space="0" w:color="auto"/>
            <w:right w:val="none" w:sz="0" w:space="0" w:color="auto"/>
          </w:divBdr>
        </w:div>
        <w:div w:id="1863668353">
          <w:marLeft w:val="0"/>
          <w:marRight w:val="0"/>
          <w:marTop w:val="0"/>
          <w:marBottom w:val="0"/>
          <w:divBdr>
            <w:top w:val="none" w:sz="0" w:space="0" w:color="auto"/>
            <w:left w:val="none" w:sz="0" w:space="0" w:color="auto"/>
            <w:bottom w:val="none" w:sz="0" w:space="0" w:color="auto"/>
            <w:right w:val="none" w:sz="0" w:space="0" w:color="auto"/>
          </w:divBdr>
        </w:div>
        <w:div w:id="1293944979">
          <w:marLeft w:val="0"/>
          <w:marRight w:val="0"/>
          <w:marTop w:val="0"/>
          <w:marBottom w:val="0"/>
          <w:divBdr>
            <w:top w:val="none" w:sz="0" w:space="0" w:color="auto"/>
            <w:left w:val="none" w:sz="0" w:space="0" w:color="auto"/>
            <w:bottom w:val="none" w:sz="0" w:space="0" w:color="auto"/>
            <w:right w:val="none" w:sz="0" w:space="0" w:color="auto"/>
          </w:divBdr>
        </w:div>
        <w:div w:id="1890261565">
          <w:marLeft w:val="0"/>
          <w:marRight w:val="0"/>
          <w:marTop w:val="0"/>
          <w:marBottom w:val="0"/>
          <w:divBdr>
            <w:top w:val="none" w:sz="0" w:space="0" w:color="auto"/>
            <w:left w:val="none" w:sz="0" w:space="0" w:color="auto"/>
            <w:bottom w:val="none" w:sz="0" w:space="0" w:color="auto"/>
            <w:right w:val="none" w:sz="0" w:space="0" w:color="auto"/>
          </w:divBdr>
        </w:div>
        <w:div w:id="529873993">
          <w:marLeft w:val="0"/>
          <w:marRight w:val="0"/>
          <w:marTop w:val="0"/>
          <w:marBottom w:val="0"/>
          <w:divBdr>
            <w:top w:val="none" w:sz="0" w:space="0" w:color="auto"/>
            <w:left w:val="none" w:sz="0" w:space="0" w:color="auto"/>
            <w:bottom w:val="none" w:sz="0" w:space="0" w:color="auto"/>
            <w:right w:val="none" w:sz="0" w:space="0" w:color="auto"/>
          </w:divBdr>
        </w:div>
        <w:div w:id="1517427306">
          <w:marLeft w:val="0"/>
          <w:marRight w:val="0"/>
          <w:marTop w:val="0"/>
          <w:marBottom w:val="0"/>
          <w:divBdr>
            <w:top w:val="none" w:sz="0" w:space="0" w:color="auto"/>
            <w:left w:val="none" w:sz="0" w:space="0" w:color="auto"/>
            <w:bottom w:val="none" w:sz="0" w:space="0" w:color="auto"/>
            <w:right w:val="none" w:sz="0" w:space="0" w:color="auto"/>
          </w:divBdr>
        </w:div>
        <w:div w:id="1880044078">
          <w:marLeft w:val="0"/>
          <w:marRight w:val="0"/>
          <w:marTop w:val="0"/>
          <w:marBottom w:val="0"/>
          <w:divBdr>
            <w:top w:val="none" w:sz="0" w:space="0" w:color="auto"/>
            <w:left w:val="none" w:sz="0" w:space="0" w:color="auto"/>
            <w:bottom w:val="none" w:sz="0" w:space="0" w:color="auto"/>
            <w:right w:val="none" w:sz="0" w:space="0" w:color="auto"/>
          </w:divBdr>
        </w:div>
        <w:div w:id="636451239">
          <w:marLeft w:val="0"/>
          <w:marRight w:val="0"/>
          <w:marTop w:val="0"/>
          <w:marBottom w:val="0"/>
          <w:divBdr>
            <w:top w:val="none" w:sz="0" w:space="0" w:color="auto"/>
            <w:left w:val="none" w:sz="0" w:space="0" w:color="auto"/>
            <w:bottom w:val="none" w:sz="0" w:space="0" w:color="auto"/>
            <w:right w:val="none" w:sz="0" w:space="0" w:color="auto"/>
          </w:divBdr>
        </w:div>
        <w:div w:id="570044025">
          <w:marLeft w:val="0"/>
          <w:marRight w:val="0"/>
          <w:marTop w:val="0"/>
          <w:marBottom w:val="0"/>
          <w:divBdr>
            <w:top w:val="none" w:sz="0" w:space="0" w:color="auto"/>
            <w:left w:val="none" w:sz="0" w:space="0" w:color="auto"/>
            <w:bottom w:val="none" w:sz="0" w:space="0" w:color="auto"/>
            <w:right w:val="none" w:sz="0" w:space="0" w:color="auto"/>
          </w:divBdr>
        </w:div>
        <w:div w:id="2008484212">
          <w:marLeft w:val="0"/>
          <w:marRight w:val="0"/>
          <w:marTop w:val="0"/>
          <w:marBottom w:val="0"/>
          <w:divBdr>
            <w:top w:val="none" w:sz="0" w:space="0" w:color="auto"/>
            <w:left w:val="none" w:sz="0" w:space="0" w:color="auto"/>
            <w:bottom w:val="none" w:sz="0" w:space="0" w:color="auto"/>
            <w:right w:val="none" w:sz="0" w:space="0" w:color="auto"/>
          </w:divBdr>
        </w:div>
        <w:div w:id="1092895509">
          <w:marLeft w:val="0"/>
          <w:marRight w:val="0"/>
          <w:marTop w:val="0"/>
          <w:marBottom w:val="0"/>
          <w:divBdr>
            <w:top w:val="none" w:sz="0" w:space="0" w:color="auto"/>
            <w:left w:val="none" w:sz="0" w:space="0" w:color="auto"/>
            <w:bottom w:val="none" w:sz="0" w:space="0" w:color="auto"/>
            <w:right w:val="none" w:sz="0" w:space="0" w:color="auto"/>
          </w:divBdr>
        </w:div>
      </w:divsChild>
    </w:div>
    <w:div w:id="717124628">
      <w:bodyDiv w:val="1"/>
      <w:marLeft w:val="0"/>
      <w:marRight w:val="0"/>
      <w:marTop w:val="0"/>
      <w:marBottom w:val="0"/>
      <w:divBdr>
        <w:top w:val="none" w:sz="0" w:space="0" w:color="auto"/>
        <w:left w:val="none" w:sz="0" w:space="0" w:color="auto"/>
        <w:bottom w:val="none" w:sz="0" w:space="0" w:color="auto"/>
        <w:right w:val="none" w:sz="0" w:space="0" w:color="auto"/>
      </w:divBdr>
      <w:divsChild>
        <w:div w:id="708145008">
          <w:marLeft w:val="0"/>
          <w:marRight w:val="0"/>
          <w:marTop w:val="0"/>
          <w:marBottom w:val="0"/>
          <w:divBdr>
            <w:top w:val="none" w:sz="0" w:space="0" w:color="auto"/>
            <w:left w:val="none" w:sz="0" w:space="0" w:color="auto"/>
            <w:bottom w:val="none" w:sz="0" w:space="0" w:color="auto"/>
            <w:right w:val="none" w:sz="0" w:space="0" w:color="auto"/>
          </w:divBdr>
        </w:div>
        <w:div w:id="1086072043">
          <w:marLeft w:val="0"/>
          <w:marRight w:val="0"/>
          <w:marTop w:val="0"/>
          <w:marBottom w:val="0"/>
          <w:divBdr>
            <w:top w:val="none" w:sz="0" w:space="0" w:color="auto"/>
            <w:left w:val="none" w:sz="0" w:space="0" w:color="auto"/>
            <w:bottom w:val="none" w:sz="0" w:space="0" w:color="auto"/>
            <w:right w:val="none" w:sz="0" w:space="0" w:color="auto"/>
          </w:divBdr>
        </w:div>
        <w:div w:id="1451901533">
          <w:marLeft w:val="0"/>
          <w:marRight w:val="0"/>
          <w:marTop w:val="0"/>
          <w:marBottom w:val="0"/>
          <w:divBdr>
            <w:top w:val="none" w:sz="0" w:space="0" w:color="auto"/>
            <w:left w:val="none" w:sz="0" w:space="0" w:color="auto"/>
            <w:bottom w:val="none" w:sz="0" w:space="0" w:color="auto"/>
            <w:right w:val="none" w:sz="0" w:space="0" w:color="auto"/>
          </w:divBdr>
        </w:div>
        <w:div w:id="385031912">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28140004">
      <w:bodyDiv w:val="1"/>
      <w:marLeft w:val="0"/>
      <w:marRight w:val="0"/>
      <w:marTop w:val="0"/>
      <w:marBottom w:val="0"/>
      <w:divBdr>
        <w:top w:val="none" w:sz="0" w:space="0" w:color="auto"/>
        <w:left w:val="none" w:sz="0" w:space="0" w:color="auto"/>
        <w:bottom w:val="none" w:sz="0" w:space="0" w:color="auto"/>
        <w:right w:val="none" w:sz="0" w:space="0" w:color="auto"/>
      </w:divBdr>
      <w:divsChild>
        <w:div w:id="1727336059">
          <w:marLeft w:val="0"/>
          <w:marRight w:val="0"/>
          <w:marTop w:val="0"/>
          <w:marBottom w:val="0"/>
          <w:divBdr>
            <w:top w:val="none" w:sz="0" w:space="0" w:color="auto"/>
            <w:left w:val="none" w:sz="0" w:space="0" w:color="auto"/>
            <w:bottom w:val="none" w:sz="0" w:space="0" w:color="auto"/>
            <w:right w:val="none" w:sz="0" w:space="0" w:color="auto"/>
          </w:divBdr>
        </w:div>
        <w:div w:id="528370462">
          <w:marLeft w:val="0"/>
          <w:marRight w:val="0"/>
          <w:marTop w:val="0"/>
          <w:marBottom w:val="0"/>
          <w:divBdr>
            <w:top w:val="none" w:sz="0" w:space="0" w:color="auto"/>
            <w:left w:val="none" w:sz="0" w:space="0" w:color="auto"/>
            <w:bottom w:val="none" w:sz="0" w:space="0" w:color="auto"/>
            <w:right w:val="none" w:sz="0" w:space="0" w:color="auto"/>
          </w:divBdr>
        </w:div>
      </w:divsChild>
    </w:div>
    <w:div w:id="1860196034">
      <w:bodyDiv w:val="1"/>
      <w:marLeft w:val="0"/>
      <w:marRight w:val="0"/>
      <w:marTop w:val="0"/>
      <w:marBottom w:val="0"/>
      <w:divBdr>
        <w:top w:val="none" w:sz="0" w:space="0" w:color="auto"/>
        <w:left w:val="none" w:sz="0" w:space="0" w:color="auto"/>
        <w:bottom w:val="none" w:sz="0" w:space="0" w:color="auto"/>
        <w:right w:val="none" w:sz="0" w:space="0" w:color="auto"/>
      </w:divBdr>
      <w:divsChild>
        <w:div w:id="1268346573">
          <w:marLeft w:val="0"/>
          <w:marRight w:val="0"/>
          <w:marTop w:val="0"/>
          <w:marBottom w:val="0"/>
          <w:divBdr>
            <w:top w:val="none" w:sz="0" w:space="0" w:color="auto"/>
            <w:left w:val="none" w:sz="0" w:space="0" w:color="auto"/>
            <w:bottom w:val="none" w:sz="0" w:space="0" w:color="auto"/>
            <w:right w:val="none" w:sz="0" w:space="0" w:color="auto"/>
          </w:divBdr>
        </w:div>
        <w:div w:id="1748334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spsearch</DisplayName>
        <AccountId>3</AccountId>
        <AccountType/>
      </UserInfo>
      <UserInfo>
        <DisplayName>DEVELOP Summer 2022 Owners</DisplayName>
        <AccountId>853</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Props1.xml><?xml version="1.0" encoding="utf-8"?>
<ds:datastoreItem xmlns:ds="http://schemas.openxmlformats.org/officeDocument/2006/customXml" ds:itemID="{900CC020-9267-498B-9729-0E47774EEE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3.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4.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6198</Words>
  <Characters>35332</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2022-10-17T21:56:00Z</dcterms:created>
  <dcterms:modified xsi:type="dcterms:W3CDTF">2022-10-17T21:56:00Z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Order">
    <vt:r8>289300</vt:r8>
  </property>
  <property fmtid="{D5CDD505-2E9C-101B-9397-08002B2CF9AE}" pid="11" name="Mendeley Recent Style Id 0_1">
    <vt:lpwstr>http://www.zotero.org/styles/american-medical-association</vt:lpwstr>
  </property>
  <property fmtid="{D5CDD505-2E9C-101B-9397-08002B2CF9AE}" pid="12" name="Mendeley Recent Style Name 0_1">
    <vt:lpwstr>American Medical Association 11th edition</vt:lpwstr>
  </property>
  <property fmtid="{D5CDD505-2E9C-101B-9397-08002B2CF9AE}" pid="13" name="Mendeley Recent Style Id 1_1">
    <vt:lpwstr>http://www.zotero.org/styles/american-political-science-association</vt:lpwstr>
  </property>
  <property fmtid="{D5CDD505-2E9C-101B-9397-08002B2CF9AE}" pid="14" name="Mendeley Recent Style Name 1_1">
    <vt:lpwstr>American Political Science Association</vt:lpwstr>
  </property>
  <property fmtid="{D5CDD505-2E9C-101B-9397-08002B2CF9AE}" pid="15" name="Mendeley Recent Style Id 2_1">
    <vt:lpwstr>http://csl.mendeley.com/styles/169656061/apa-KNUST-GS2</vt:lpwstr>
  </property>
  <property fmtid="{D5CDD505-2E9C-101B-9397-08002B2CF9AE}" pid="16" name="Mendeley Recent Style Name 2_1">
    <vt:lpwstr>American Psychological Association 6th edition - Isaac Manike - JULIA ATAYI</vt:lpwstr>
  </property>
  <property fmtid="{D5CDD505-2E9C-101B-9397-08002B2CF9AE}" pid="17" name="Mendeley Recent Style Id 3_1">
    <vt:lpwstr>http://www.zotero.org/styles/apa</vt:lpwstr>
  </property>
  <property fmtid="{D5CDD505-2E9C-101B-9397-08002B2CF9AE}" pid="18" name="Mendeley Recent Style Name 3_1">
    <vt:lpwstr>American Psychological Association 7th edition</vt:lpwstr>
  </property>
  <property fmtid="{D5CDD505-2E9C-101B-9397-08002B2CF9AE}" pid="19" name="Mendeley Recent Style Id 4_1">
    <vt:lpwstr>http://www.zotero.org/styles/chicago-author-date</vt:lpwstr>
  </property>
  <property fmtid="{D5CDD505-2E9C-101B-9397-08002B2CF9AE}" pid="20" name="Mendeley Recent Style Name 4_1">
    <vt:lpwstr>Chicago Manual of Style 17th edition (author-date)</vt:lpwstr>
  </property>
  <property fmtid="{D5CDD505-2E9C-101B-9397-08002B2CF9AE}" pid="21" name="Mendeley Recent Style Id 5_1">
    <vt:lpwstr>http://www.zotero.org/styles/harvard-cite-them-right</vt:lpwstr>
  </property>
  <property fmtid="{D5CDD505-2E9C-101B-9397-08002B2CF9AE}" pid="22" name="Mendeley Recent Style Name 5_1">
    <vt:lpwstr>Cite Them Right 10th edition - Harvard</vt:lpwstr>
  </property>
  <property fmtid="{D5CDD505-2E9C-101B-9397-08002B2CF9AE}" pid="23" name="Mendeley Recent Style Id 6_1">
    <vt:lpwstr>http://www.zotero.org/styles/ieee</vt:lpwstr>
  </property>
  <property fmtid="{D5CDD505-2E9C-101B-9397-08002B2CF9AE}" pid="24" name="Mendeley Recent Style Name 6_1">
    <vt:lpwstr>IEEE</vt:lpwstr>
  </property>
  <property fmtid="{D5CDD505-2E9C-101B-9397-08002B2CF9AE}" pid="25" name="Mendeley Recent Style Id 7_1">
    <vt:lpwstr>http://www.zotero.org/styles/modern-humanities-research-association</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Id 8_1">
    <vt:lpwstr>http://www.zotero.org/styles/modern-language-association</vt:lpwstr>
  </property>
  <property fmtid="{D5CDD505-2E9C-101B-9397-08002B2CF9AE}" pid="28" name="Mendeley Recent Style Name 8_1">
    <vt:lpwstr>Modern Language Association 8th edition</vt:lpwstr>
  </property>
  <property fmtid="{D5CDD505-2E9C-101B-9397-08002B2CF9AE}" pid="29" name="Mendeley Recent Style Id 9_1">
    <vt:lpwstr>http://www.zotero.org/styles/nature</vt:lpwstr>
  </property>
  <property fmtid="{D5CDD505-2E9C-101B-9397-08002B2CF9AE}" pid="30" name="Mendeley Recent Style Name 9_1">
    <vt:lpwstr>Nature</vt:lpwstr>
  </property>
  <property fmtid="{D5CDD505-2E9C-101B-9397-08002B2CF9AE}" pid="31" name="Mendeley Document_1">
    <vt:lpwstr>True</vt:lpwstr>
  </property>
  <property fmtid="{D5CDD505-2E9C-101B-9397-08002B2CF9AE}" pid="32" name="Mendeley Unique User Id_1">
    <vt:lpwstr>4e2316d1-eaf0-39d8-b591-2e0b2afb4269</vt:lpwstr>
  </property>
  <property fmtid="{D5CDD505-2E9C-101B-9397-08002B2CF9AE}" pid="33" name="Mendeley Citation Style_1">
    <vt:lpwstr>http://csl.mendeley.com/styles/169656061/apa-KNUST-GS2</vt:lpwstr>
  </property>
  <property fmtid="{D5CDD505-2E9C-101B-9397-08002B2CF9AE}" pid="34" name="_SourceUrl">
    <vt:lpwstr/>
  </property>
  <property fmtid="{D5CDD505-2E9C-101B-9397-08002B2CF9AE}" pid="35" name="_SharedFileIndex">
    <vt:lpwstr/>
  </property>
</Properties>
</file>