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2F9E" w14:textId="74192BC4" w:rsidR="00F955B5" w:rsidRDefault="007B1FC9" w:rsidP="00DA1422">
      <w:pPr>
        <w:jc w:val="center"/>
        <w:rPr>
          <w:i/>
          <w:iCs/>
        </w:rPr>
      </w:pPr>
      <w:r>
        <w:rPr>
          <w:b/>
          <w:bCs/>
          <w:u w:val="single"/>
        </w:rPr>
        <w:t xml:space="preserve"> </w:t>
      </w:r>
      <w:r w:rsidR="0081579E">
        <w:rPr>
          <w:b/>
          <w:bCs/>
          <w:u w:val="single"/>
        </w:rPr>
        <w:t xml:space="preserve">Modernizing </w:t>
      </w:r>
      <w:r w:rsidR="00251B66">
        <w:rPr>
          <w:b/>
          <w:bCs/>
          <w:u w:val="single"/>
        </w:rPr>
        <w:t xml:space="preserve">NASA’s Risk Classification </w:t>
      </w:r>
      <w:r w:rsidR="0081579E">
        <w:rPr>
          <w:b/>
          <w:bCs/>
          <w:u w:val="single"/>
        </w:rPr>
        <w:t>System</w:t>
      </w:r>
      <w:r w:rsidR="00AF74A2">
        <w:rPr>
          <w:b/>
          <w:bCs/>
          <w:u w:val="single"/>
        </w:rPr>
        <w:t xml:space="preserve"> </w:t>
      </w:r>
    </w:p>
    <w:p w14:paraId="733336B7" w14:textId="6A62AFA7" w:rsidR="00F955B5" w:rsidRDefault="00F955B5" w:rsidP="00DA1422">
      <w:pPr>
        <w:jc w:val="center"/>
        <w:rPr>
          <w:i/>
          <w:iCs/>
        </w:rPr>
      </w:pPr>
    </w:p>
    <w:p w14:paraId="66F98F01" w14:textId="6457E033" w:rsidR="00F955B5" w:rsidRDefault="00F955B5" w:rsidP="00DA1422">
      <w:pPr>
        <w:jc w:val="center"/>
      </w:pPr>
      <w:r>
        <w:t>Jesse Leitner, NASA GSFC</w:t>
      </w:r>
    </w:p>
    <w:p w14:paraId="1A40FCCA" w14:textId="310DDACE" w:rsidR="00F955B5" w:rsidRPr="00F955B5" w:rsidRDefault="00F955B5" w:rsidP="00DA1422">
      <w:pPr>
        <w:jc w:val="center"/>
      </w:pPr>
      <w:r>
        <w:t>Tupper Hyde, NASA GSFC</w:t>
      </w:r>
    </w:p>
    <w:p w14:paraId="25E9540B" w14:textId="0349EB30" w:rsidR="00DA1422" w:rsidRDefault="00DA1422" w:rsidP="00DA1422">
      <w:pPr>
        <w:jc w:val="center"/>
      </w:pPr>
    </w:p>
    <w:p w14:paraId="6018D1DD" w14:textId="39FA26DD" w:rsidR="00684549" w:rsidRPr="009D44FF" w:rsidRDefault="00684549" w:rsidP="00DA1422">
      <w:pPr>
        <w:rPr>
          <w:b/>
          <w:bCs/>
        </w:rPr>
      </w:pPr>
      <w:r w:rsidRPr="009D44FF">
        <w:rPr>
          <w:b/>
          <w:bCs/>
        </w:rPr>
        <w:t>Abstract</w:t>
      </w:r>
    </w:p>
    <w:p w14:paraId="4CB1CF31" w14:textId="13E102C3" w:rsidR="00684549" w:rsidRDefault="00684549" w:rsidP="00DA1422"/>
    <w:p w14:paraId="3A33BA79" w14:textId="1BD0CA3C" w:rsidR="00684549" w:rsidRDefault="00684549" w:rsidP="00DA1422">
      <w:r>
        <w:t xml:space="preserve">NASA’s risk classification system </w:t>
      </w:r>
      <w:proofErr w:type="gramStart"/>
      <w:r>
        <w:t>dates back to</w:t>
      </w:r>
      <w:proofErr w:type="gramEnd"/>
      <w:r>
        <w:t xml:space="preserve"> an era when every new NASA space mission was a one-of-a-kind build, and the only way to obtain reliability was as a by-product through </w:t>
      </w:r>
      <w:r w:rsidR="009300DA">
        <w:t xml:space="preserve">a </w:t>
      </w:r>
      <w:r>
        <w:t xml:space="preserve">combination of reliability analyses, extensive and stringent quality requirements, and extensive testing.  Originally, there were very limited commercial capabilities to </w:t>
      </w:r>
      <w:r w:rsidR="009300DA">
        <w:t>develop systems to work reliably in</w:t>
      </w:r>
      <w:r>
        <w:t xml:space="preserve"> space, so NASA considered its own homegrown approach the only recipe for success.  This approach involved very detailed and prescriptive piece-part controls</w:t>
      </w:r>
      <w:r w:rsidR="008C7089">
        <w:t xml:space="preserve"> and no reliance on </w:t>
      </w:r>
      <w:r w:rsidR="009300DA">
        <w:t xml:space="preserve">(and to some extent a rejection of) </w:t>
      </w:r>
      <w:r w:rsidR="008C7089">
        <w:t xml:space="preserve">any type of commercial practices.  </w:t>
      </w:r>
      <w:r w:rsidR="009300DA">
        <w:t>Often</w:t>
      </w:r>
      <w:r w:rsidR="008C7089">
        <w:t xml:space="preserve"> risk </w:t>
      </w:r>
      <w:proofErr w:type="gramStart"/>
      <w:r w:rsidR="008C7089">
        <w:t xml:space="preserve">was considered </w:t>
      </w:r>
      <w:r w:rsidR="00425998">
        <w:t>to be</w:t>
      </w:r>
      <w:proofErr w:type="gramEnd"/>
      <w:r w:rsidR="00425998">
        <w:t xml:space="preserve"> </w:t>
      </w:r>
      <w:r w:rsidR="008C7089">
        <w:t xml:space="preserve">the lowest </w:t>
      </w:r>
      <w:r w:rsidR="00425998">
        <w:t>when</w:t>
      </w:r>
      <w:r w:rsidR="008C7089">
        <w:t xml:space="preserve"> NASA</w:t>
      </w:r>
      <w:r w:rsidR="00425998">
        <w:t xml:space="preserve"> had the</w:t>
      </w:r>
      <w:r w:rsidR="008C7089">
        <w:t xml:space="preserve"> maximum amount of control and prescription, and the highest when commercial practices were largely employed, and these principles drove risk classification in the agency.  Over time, however, commercial capabilities grew, and many products became standardized and commercialized, while the agency maintained its </w:t>
      </w:r>
      <w:r w:rsidR="00425998">
        <w:t>tried-and-true</w:t>
      </w:r>
      <w:r w:rsidR="008C7089">
        <w:t xml:space="preserve"> approach, paying little attention to the evolution of the commercial sector.  </w:t>
      </w:r>
      <w:r w:rsidR="009D44FF">
        <w:t xml:space="preserve">In fact, the commercial sector was developing systems that have direct, proven reliability, </w:t>
      </w:r>
      <w:r w:rsidR="00425998">
        <w:t xml:space="preserve">established over time, </w:t>
      </w:r>
      <w:r w:rsidR="009D44FF">
        <w:t>while NASA still maintained the approach to ignore</w:t>
      </w:r>
      <w:r w:rsidR="00425998">
        <w:t xml:space="preserve"> the reality of the commercialized aspects of standard products, label</w:t>
      </w:r>
      <w:r w:rsidR="009D44FF">
        <w:t xml:space="preserve"> them as high risk</w:t>
      </w:r>
      <w:r w:rsidR="00425998">
        <w:t>, and attempt to change them to align with the agency’s piece-part control practices</w:t>
      </w:r>
      <w:r w:rsidR="009D44FF">
        <w:t xml:space="preserve">.  </w:t>
      </w:r>
      <w:r w:rsidR="00AF7E9F">
        <w:t xml:space="preserve">A </w:t>
      </w:r>
      <w:r w:rsidR="00425998">
        <w:t xml:space="preserve">table </w:t>
      </w:r>
      <w:r w:rsidR="00AF7E9F">
        <w:t>of mission classification vs lifetime</w:t>
      </w:r>
      <w:r w:rsidR="00425998">
        <w:t xml:space="preserve"> for missions launched after 2000</w:t>
      </w:r>
      <w:r w:rsidR="00AF7E9F">
        <w:t xml:space="preserve"> indicates no correlation between lifetime and classification, with the few exceptions </w:t>
      </w:r>
      <w:r w:rsidR="00425998">
        <w:t>involving</w:t>
      </w:r>
      <w:r w:rsidR="00AF7E9F">
        <w:t xml:space="preserve"> missions that have very limited objectives and no valid purpose to continue after they were met.  This paper steps through some of the key historical elements in risk classification and NASA’s overall approach to assurance, and presents some elements being brought forward to modernize the approach and take advantage of the growing capability in the commercial sector.</w:t>
      </w:r>
    </w:p>
    <w:p w14:paraId="653A2F99" w14:textId="0440EB6F" w:rsidR="00AF7E9F" w:rsidRDefault="00AF7E9F" w:rsidP="00DA1422"/>
    <w:p w14:paraId="25B57952" w14:textId="67ED33EE" w:rsidR="00684549" w:rsidRPr="00AF7E9F" w:rsidRDefault="00AF7E9F" w:rsidP="00DA1422">
      <w:pPr>
        <w:rPr>
          <w:b/>
          <w:bCs/>
        </w:rPr>
      </w:pPr>
      <w:r w:rsidRPr="00AF7E9F">
        <w:rPr>
          <w:b/>
          <w:bCs/>
        </w:rPr>
        <w:t>Background</w:t>
      </w:r>
    </w:p>
    <w:p w14:paraId="11EE10B3" w14:textId="77777777" w:rsidR="00AF7E9F" w:rsidRDefault="00AF7E9F" w:rsidP="00DA1422"/>
    <w:p w14:paraId="45D044F6" w14:textId="583EAAAE" w:rsidR="00DA1422" w:rsidRDefault="00DA1422" w:rsidP="00DA1422">
      <w:r>
        <w:t xml:space="preserve">In its origination, NASA </w:t>
      </w:r>
      <w:r w:rsidR="00EA7FCB">
        <w:t xml:space="preserve">focused on big missions with big payoffs, taking high risks, with extreme attention to detail, and everyone in the Agency was working for essentially the same program, targeting human exploration.  After some amazing achievements, NASA diversified its portfolio and began to include </w:t>
      </w:r>
      <w:r w:rsidR="0099514B">
        <w:t xml:space="preserve">scientific (as opposed to precursors to human space flight) </w:t>
      </w:r>
      <w:r w:rsidR="00EA7FCB">
        <w:t xml:space="preserve">missions that were </w:t>
      </w:r>
      <w:r w:rsidR="00F955B5">
        <w:t>uncrewed (robotic)</w:t>
      </w:r>
      <w:r w:rsidR="00EA7FCB">
        <w:t xml:space="preserve">.  As NASA grew its portfolio of missions, it became clear that </w:t>
      </w:r>
      <w:r w:rsidR="00F11DFE">
        <w:t xml:space="preserve">there were missions needed to solve critical problems on the Earth or to resolve critical science questions on the Earth or out in the solar system, but there were other missions that </w:t>
      </w:r>
      <w:r w:rsidR="00EF3C79">
        <w:t>met</w:t>
      </w:r>
      <w:r w:rsidR="00F11DFE">
        <w:t xml:space="preserve"> important, but non-critical</w:t>
      </w:r>
      <w:r w:rsidR="00EF3C79">
        <w:t>,</w:t>
      </w:r>
      <w:r w:rsidR="00F11DFE">
        <w:t xml:space="preserve"> science objectives that could be performed with limited resources</w:t>
      </w:r>
      <w:r w:rsidR="00D43601">
        <w:t xml:space="preserve"> and with a higher tolerance for risk</w:t>
      </w:r>
      <w:r w:rsidR="00F11DFE">
        <w:t xml:space="preserve">. </w:t>
      </w:r>
      <w:r w:rsidR="00F75A0A">
        <w:t xml:space="preserve"> </w:t>
      </w:r>
      <w:r w:rsidR="0010283F">
        <w:t>The distinction among missions with varying levels of importance and levels of technology or innovation required</w:t>
      </w:r>
      <w:r w:rsidR="00737174">
        <w:t xml:space="preserve"> gave rise to a need for a </w:t>
      </w:r>
      <w:r w:rsidR="00737174" w:rsidRPr="00737174">
        <w:rPr>
          <w:i/>
          <w:iCs/>
        </w:rPr>
        <w:t>risk classification</w:t>
      </w:r>
      <w:r w:rsidR="00737174">
        <w:t xml:space="preserve"> system</w:t>
      </w:r>
      <w:sdt>
        <w:sdtPr>
          <w:id w:val="119892140"/>
          <w:citation/>
        </w:sdtPr>
        <w:sdtContent>
          <w:r w:rsidR="00F955B5">
            <w:fldChar w:fldCharType="begin"/>
          </w:r>
          <w:r w:rsidR="00F955B5">
            <w:instrText xml:space="preserve"> CITATION NAS21 \l 1033 </w:instrText>
          </w:r>
          <w:r w:rsidR="00F955B5">
            <w:fldChar w:fldCharType="separate"/>
          </w:r>
          <w:r w:rsidR="00903B7D">
            <w:rPr>
              <w:noProof/>
            </w:rPr>
            <w:t xml:space="preserve"> </w:t>
          </w:r>
          <w:r w:rsidR="00903B7D" w:rsidRPr="00903B7D">
            <w:rPr>
              <w:noProof/>
            </w:rPr>
            <w:t>[1]</w:t>
          </w:r>
          <w:r w:rsidR="00F955B5">
            <w:fldChar w:fldCharType="end"/>
          </w:r>
        </w:sdtContent>
      </w:sdt>
      <w:r w:rsidR="00737174">
        <w:t xml:space="preserve">. </w:t>
      </w:r>
      <w:r w:rsidR="00600B9A">
        <w:t xml:space="preserve"> (Notably, risk classification does not apply to human space flight missions because there is little variability in risk tolerance when human lif</w:t>
      </w:r>
      <w:r w:rsidR="001C26A0">
        <w:t>e is a</w:t>
      </w:r>
      <w:r w:rsidR="00D43601">
        <w:t>t</w:t>
      </w:r>
      <w:r w:rsidR="001C26A0">
        <w:t xml:space="preserve"> stake, and </w:t>
      </w:r>
      <w:r w:rsidR="001C26A0">
        <w:lastRenderedPageBreak/>
        <w:t xml:space="preserve">likewise, risk classification is not variable for robotic missions </w:t>
      </w:r>
      <w:r w:rsidR="00D43601">
        <w:t>in areas</w:t>
      </w:r>
      <w:r w:rsidR="001C26A0">
        <w:t xml:space="preserve"> that would affect safety of personnel or the potential for collateral damage.) </w:t>
      </w:r>
      <w:r w:rsidR="00F11DFE">
        <w:t xml:space="preserve"> As lessons were learned from previous missions and successful processes were captured</w:t>
      </w:r>
      <w:r w:rsidR="00561D7B">
        <w:t xml:space="preserve"> and institutionalized</w:t>
      </w:r>
      <w:r w:rsidR="00F11DFE">
        <w:t xml:space="preserve">, the Agency </w:t>
      </w:r>
      <w:r w:rsidR="009A3B00">
        <w:t>established</w:t>
      </w:r>
      <w:r w:rsidR="00F11DFE">
        <w:t xml:space="preserve"> a risk classification process that</w:t>
      </w:r>
      <w:r w:rsidR="00B6169C">
        <w:t>, on the one side, defined an acceptable level of risk</w:t>
      </w:r>
      <w:r w:rsidR="00780DE0">
        <w:t xml:space="preserve"> </w:t>
      </w:r>
      <w:r w:rsidR="00B6169C">
        <w:t xml:space="preserve">tolerance for the stakeholder (funding authority, science customer, etc.) based on the resource constraints of the project, and on the other side, recommended various practices for safety and mission assurance (SMA) and engineering elements (e.g., use of engineering models, system fault-tolerance, </w:t>
      </w:r>
      <w:proofErr w:type="spellStart"/>
      <w:r w:rsidR="00B6169C">
        <w:t>etc</w:t>
      </w:r>
      <w:proofErr w:type="spellEnd"/>
      <w:r w:rsidR="00B6169C">
        <w:t xml:space="preserve">).  Classifications A (least tolerance for risk) down to D (most tolerance for risk) were defined, where stepping down from A to D resulted in reduced levels of process control, oversight of the developer, and prescriptiveness for how to build and operate the system.  </w:t>
      </w:r>
      <w:r w:rsidR="000D2C50">
        <w:t>Basically, for Class A, the most stringent</w:t>
      </w:r>
      <w:r w:rsidR="007B1FC9">
        <w:t xml:space="preserve"> (</w:t>
      </w:r>
      <w:r w:rsidR="000D2C50">
        <w:t>and costly</w:t>
      </w:r>
      <w:r w:rsidR="007B1FC9">
        <w:t>)</w:t>
      </w:r>
      <w:r w:rsidR="000D2C50">
        <w:t xml:space="preserve"> processes </w:t>
      </w:r>
      <w:r w:rsidR="009A3B00">
        <w:t xml:space="preserve">are </w:t>
      </w:r>
      <w:r w:rsidR="000D2C50">
        <w:t xml:space="preserve">to be used across the board with </w:t>
      </w:r>
      <w:r w:rsidR="008F52FC">
        <w:t xml:space="preserve">multiple layers of </w:t>
      </w:r>
      <w:r w:rsidR="000D2C50">
        <w:t>intense oversight</w:t>
      </w:r>
      <w:r w:rsidR="008F52FC">
        <w:t xml:space="preserve"> </w:t>
      </w:r>
      <w:r w:rsidR="000D2C50">
        <w:t xml:space="preserve">of the developer, while for Class D, the intent </w:t>
      </w:r>
      <w:r w:rsidR="009A3B00">
        <w:t xml:space="preserve">is </w:t>
      </w:r>
      <w:r w:rsidR="000D2C50">
        <w:t xml:space="preserve">for the most flexibility, and for most of the control </w:t>
      </w:r>
      <w:r w:rsidR="00C92D11">
        <w:t xml:space="preserve">of the project’s processes to be handled on the project floor. </w:t>
      </w:r>
      <w:r w:rsidR="007B1FC9">
        <w:t xml:space="preserve"> </w:t>
      </w:r>
      <w:r w:rsidR="00FA2BCE">
        <w:t xml:space="preserve">It is important to note that </w:t>
      </w:r>
      <w:r w:rsidR="007B1FC9">
        <w:t xml:space="preserve">at the time of the creation of these classifications, and </w:t>
      </w:r>
      <w:r w:rsidR="00FA2BCE">
        <w:t xml:space="preserve">for all the classifications, there was an underlying </w:t>
      </w:r>
      <w:r w:rsidR="00327E74">
        <w:t xml:space="preserve">assumption that the </w:t>
      </w:r>
      <w:r w:rsidR="00B01BC3">
        <w:t xml:space="preserve">agency </w:t>
      </w:r>
      <w:r w:rsidR="00327E74">
        <w:t xml:space="preserve">would be developing one-of-a-kind systems starting with the lowest level of piece parts and that off-the-shelf components and systems would not be able to satisfy mission needs.  Under that assumption, there would be no reliability basis driven by proven </w:t>
      </w:r>
      <w:r w:rsidR="005C009C">
        <w:t xml:space="preserve">and established </w:t>
      </w:r>
      <w:r w:rsidR="00327E74">
        <w:t xml:space="preserve">systems, production volumes, and statistical process controls.  </w:t>
      </w:r>
      <w:r w:rsidR="005C009C">
        <w:t xml:space="preserve"> Reliability could only be attained as a byproduct of designs supported by reliability analyses, extreme controls of quality, and extensive testing.  </w:t>
      </w:r>
      <w:r w:rsidR="00A33D53">
        <w:t xml:space="preserve">The definitions for quality became very prescriptive and </w:t>
      </w:r>
      <w:r w:rsidR="00780DE0">
        <w:t>well-established but</w:t>
      </w:r>
      <w:r w:rsidR="00A33D53">
        <w:t xml:space="preserve"> aligned with </w:t>
      </w:r>
      <w:r w:rsidR="00B00F85">
        <w:t>many of our earliest developments.</w:t>
      </w:r>
      <w:r w:rsidR="008F52FC">
        <w:t xml:space="preserve">  </w:t>
      </w:r>
      <w:r w:rsidR="00C26F6E">
        <w:t xml:space="preserve"> </w:t>
      </w:r>
    </w:p>
    <w:p w14:paraId="4E432EFF" w14:textId="026ED71D" w:rsidR="009E647F" w:rsidRDefault="009E647F" w:rsidP="00DA1422"/>
    <w:p w14:paraId="2CE24690" w14:textId="4AF3268D" w:rsidR="009E1720" w:rsidRDefault="009E647F" w:rsidP="009E1720">
      <w:r>
        <w:t xml:space="preserve">The idea to define these classifications </w:t>
      </w:r>
      <w:proofErr w:type="gramStart"/>
      <w:r>
        <w:t>in order to</w:t>
      </w:r>
      <w:proofErr w:type="gramEnd"/>
      <w:r>
        <w:t xml:space="preserve"> balance out risk-tolerance, resources available, and overall importance was novel</w:t>
      </w:r>
      <w:r w:rsidR="007B1FC9">
        <w:t xml:space="preserve"> and welcome</w:t>
      </w:r>
      <w:r w:rsidR="00A476A8">
        <w:t>, but it relied on a fundamental understanding of what the approach really meant and how it should be used effectively to assure the success of missions.</w:t>
      </w:r>
      <w:r w:rsidR="00AF7E9F">
        <w:t xml:space="preserve">  </w:t>
      </w:r>
      <w:r w:rsidR="003C54DF">
        <w:t xml:space="preserve">While the landscape has changed since the agency’s inception, the prescriptive, piece-part-based approach has </w:t>
      </w:r>
      <w:proofErr w:type="gramStart"/>
      <w:r w:rsidR="003C54DF">
        <w:t>remained</w:t>
      </w:r>
      <w:proofErr w:type="gramEnd"/>
      <w:r w:rsidR="003C54DF">
        <w:t xml:space="preserve"> and the agency largely has not instituted the processes necessary to account for the use of off-the-shelf products.  It is notable that the U.S. Department of Defense (DoD) had instituted a parallel approach </w:t>
      </w:r>
      <w:r w:rsidR="009E1720">
        <w:t xml:space="preserve">to classification in DoD-HDBK-343, </w:t>
      </w:r>
      <w:r w:rsidR="009E1720" w:rsidRPr="00684549">
        <w:rPr>
          <w:i/>
          <w:iCs/>
        </w:rPr>
        <w:t xml:space="preserve">Design, Construction, and Testing Requirements for </w:t>
      </w:r>
      <w:proofErr w:type="gramStart"/>
      <w:r w:rsidR="009E1720" w:rsidRPr="00684549">
        <w:rPr>
          <w:i/>
          <w:iCs/>
        </w:rPr>
        <w:t>one of a Kind</w:t>
      </w:r>
      <w:proofErr w:type="gramEnd"/>
      <w:r w:rsidR="009E1720" w:rsidRPr="00684549">
        <w:rPr>
          <w:i/>
          <w:iCs/>
        </w:rPr>
        <w:t xml:space="preserve"> Space Equipment</w:t>
      </w:r>
      <w:sdt>
        <w:sdtPr>
          <w:rPr>
            <w:i/>
            <w:iCs/>
          </w:rPr>
          <w:id w:val="1617494368"/>
          <w:citation/>
        </w:sdtPr>
        <w:sdtContent>
          <w:r w:rsidR="00EB4439">
            <w:rPr>
              <w:i/>
              <w:iCs/>
            </w:rPr>
            <w:fldChar w:fldCharType="begin"/>
          </w:r>
          <w:r w:rsidR="00EB4439">
            <w:instrText xml:space="preserve"> CITATION USD92 \l 1033 </w:instrText>
          </w:r>
          <w:r w:rsidR="00EB4439">
            <w:rPr>
              <w:i/>
              <w:iCs/>
            </w:rPr>
            <w:fldChar w:fldCharType="separate"/>
          </w:r>
          <w:r w:rsidR="00903B7D">
            <w:rPr>
              <w:noProof/>
            </w:rPr>
            <w:t xml:space="preserve"> </w:t>
          </w:r>
          <w:r w:rsidR="00903B7D" w:rsidRPr="00903B7D">
            <w:rPr>
              <w:noProof/>
            </w:rPr>
            <w:t>[2]</w:t>
          </w:r>
          <w:r w:rsidR="00EB4439">
            <w:rPr>
              <w:i/>
              <w:iCs/>
            </w:rPr>
            <w:fldChar w:fldCharType="end"/>
          </w:r>
        </w:sdtContent>
      </w:sdt>
      <w:r w:rsidR="009E1720">
        <w:t xml:space="preserve">, for which the title itself conveys the lack of applicability to established products.  After two revisions, DoD-HDBK-343 was retired in 2017.  </w:t>
      </w:r>
    </w:p>
    <w:p w14:paraId="35088D69" w14:textId="77777777" w:rsidR="009E1720" w:rsidRPr="009E1720" w:rsidRDefault="009E1720" w:rsidP="009E1720">
      <w:pPr>
        <w:rPr>
          <w:b/>
          <w:bCs/>
        </w:rPr>
      </w:pPr>
    </w:p>
    <w:p w14:paraId="1FB6DFB6" w14:textId="3854E70E" w:rsidR="003C54DF" w:rsidRDefault="003C54DF" w:rsidP="00DA1422">
      <w:r>
        <w:t xml:space="preserve">The approach </w:t>
      </w:r>
      <w:r w:rsidR="009E1720">
        <w:t xml:space="preserve">within NASA </w:t>
      </w:r>
      <w:r>
        <w:t xml:space="preserve">continues today broadly to treat </w:t>
      </w:r>
      <w:r w:rsidR="00561D7B">
        <w:t>commercial-off-the-shelf (</w:t>
      </w:r>
      <w:r>
        <w:t>COTS</w:t>
      </w:r>
      <w:r w:rsidR="00561D7B">
        <w:t>)</w:t>
      </w:r>
      <w:r w:rsidR="00561D7B">
        <w:rPr>
          <w:rStyle w:val="FootnoteReference"/>
        </w:rPr>
        <w:footnoteReference w:id="1"/>
      </w:r>
      <w:r>
        <w:t xml:space="preserve"> and other established assemblies as new developments subject to review, scrutiny, and subsequent changes at the piece part level.  Notably it is rare that the</w:t>
      </w:r>
      <w:r w:rsidR="005E7964">
        <w:t xml:space="preserve"> list of</w:t>
      </w:r>
      <w:r>
        <w:t xml:space="preserve"> internal parts to a COTS component will be made available, but even more importantly, changing parts in a product that is already established as reliable will rarely provide a possible improvement and virtually never be welcomed by the manufacturer since it changes the basis for the product.  </w:t>
      </w:r>
      <w:r w:rsidR="002849AC">
        <w:lastRenderedPageBreak/>
        <w:t xml:space="preserve">Additionally, the </w:t>
      </w:r>
      <w:r w:rsidR="0008131C">
        <w:t xml:space="preserve">challenges and fears associated with radiation </w:t>
      </w:r>
      <w:r w:rsidR="002849AC">
        <w:t xml:space="preserve">in space </w:t>
      </w:r>
      <w:r w:rsidR="0008131C">
        <w:t>would long fix the agency in a narrowly prescribed approach for assuring parts and electronic components.</w:t>
      </w:r>
    </w:p>
    <w:p w14:paraId="72E7ACFD" w14:textId="28EF4924" w:rsidR="005221D2" w:rsidRDefault="005221D2" w:rsidP="00DA1422"/>
    <w:p w14:paraId="7ED5AAD0" w14:textId="4A14ADF5" w:rsidR="003C54DF" w:rsidRPr="00684549" w:rsidRDefault="0008131C" w:rsidP="00DA1422">
      <w:pPr>
        <w:rPr>
          <w:b/>
          <w:bCs/>
        </w:rPr>
      </w:pPr>
      <w:r>
        <w:rPr>
          <w:b/>
          <w:bCs/>
        </w:rPr>
        <w:t>Radiation and t</w:t>
      </w:r>
      <w:r w:rsidR="003C54DF" w:rsidRPr="00684549">
        <w:rPr>
          <w:b/>
          <w:bCs/>
        </w:rPr>
        <w:t>he origins of space-grade parts</w:t>
      </w:r>
    </w:p>
    <w:p w14:paraId="6F8663FA" w14:textId="77777777" w:rsidR="003C54DF" w:rsidRDefault="003C54DF" w:rsidP="00DA1422"/>
    <w:p w14:paraId="1C398EF5" w14:textId="3FD57E9F" w:rsidR="00E42B7D" w:rsidRDefault="003901B7" w:rsidP="00B01BC3">
      <w:r>
        <w:t xml:space="preserve">Since one of the principal drivers </w:t>
      </w:r>
      <w:r w:rsidR="00371E38">
        <w:t xml:space="preserve">for </w:t>
      </w:r>
      <w:r>
        <w:t xml:space="preserve">scrutinizing the piece parts in a component (or a full spacecraft) is the need to survive for the required period in its pertinent space environment, the agency has demanded scrutiny on the electronic parts inside, with no deference to the industry providers to address the environment within their designs and testing approaches.  </w:t>
      </w:r>
      <w:r w:rsidR="00B01BC3">
        <w:t xml:space="preserve">In the early days of the U.S. space program, commercial manufacturing was in its infancy and most electronic products were designed for serviceability, rather than long-term reliability.  There were limited capabilities in fault-tolerant electronics design, while electronic parts were subject to random failures (largely due to limited </w:t>
      </w:r>
      <w:r w:rsidR="00371E38">
        <w:t xml:space="preserve">production </w:t>
      </w:r>
      <w:r w:rsidR="00B01BC3">
        <w:t>automation and process control) and limited understanding of how circuit attributes might affect their reliability.</w:t>
      </w:r>
      <w:r w:rsidR="000F5285">
        <w:t xml:space="preserve"> </w:t>
      </w:r>
      <w:r w:rsidR="00B01BC3">
        <w:t xml:space="preserve">The additional concern for radiation effects on the integrity and operation of the parts combined with limited capabilities in circuit design prompted a decision to focus the reliability (including radiation effects mitigation) problem at the part level.  </w:t>
      </w:r>
      <w:r w:rsidR="0037588C">
        <w:t xml:space="preserve">This has essentially left the agency and in fact the broad space community in a trap </w:t>
      </w:r>
      <w:r w:rsidR="00660D50">
        <w:t xml:space="preserve">because the unbreakable mantra was created that all parts going to space must be “rad-hard” and “space-grade”, along with a </w:t>
      </w:r>
      <w:r w:rsidR="00371E38">
        <w:t xml:space="preserve">myth </w:t>
      </w:r>
      <w:r w:rsidR="00660D50">
        <w:t>that these terms are clearly defined and precise.  In fact, rad-hard would indicate that a device has been designed in some way to mitigate effects of some form of radiation at some dose rate, cumulative amount, or energy level, that testing would be performed, and associated paperwork would be provided to represent the performance of the entire wafer</w:t>
      </w:r>
      <w:sdt>
        <w:sdtPr>
          <w:id w:val="421845014"/>
          <w:citation/>
        </w:sdtPr>
        <w:sdtContent>
          <w:r w:rsidR="00693492">
            <w:fldChar w:fldCharType="begin"/>
          </w:r>
          <w:r w:rsidR="00693492">
            <w:instrText xml:space="preserve"> CITATION Sha91 \l 1033 </w:instrText>
          </w:r>
          <w:r w:rsidR="00693492">
            <w:fldChar w:fldCharType="separate"/>
          </w:r>
          <w:r w:rsidR="00903B7D">
            <w:rPr>
              <w:noProof/>
            </w:rPr>
            <w:t xml:space="preserve"> </w:t>
          </w:r>
          <w:r w:rsidR="00903B7D" w:rsidRPr="00903B7D">
            <w:rPr>
              <w:noProof/>
            </w:rPr>
            <w:t>[3]</w:t>
          </w:r>
          <w:r w:rsidR="00693492">
            <w:fldChar w:fldCharType="end"/>
          </w:r>
        </w:sdtContent>
      </w:sdt>
      <w:r w:rsidR="00660D50">
        <w:t>.  A part may be hardened to tolerate up to</w:t>
      </w:r>
      <w:r w:rsidR="00BB6FC1">
        <w:t xml:space="preserve">, e.g., </w:t>
      </w:r>
      <w:r w:rsidR="00660D50">
        <w:t xml:space="preserve">300 </w:t>
      </w:r>
      <w:proofErr w:type="spellStart"/>
      <w:r w:rsidR="00660D50">
        <w:t>krad</w:t>
      </w:r>
      <w:proofErr w:type="spellEnd"/>
      <w:r w:rsidR="00660D50">
        <w:t xml:space="preserve"> of accumulated ionized radiation, but without any guaranteed protection against single event effects.   Of course, an endless </w:t>
      </w:r>
      <w:r w:rsidR="005E1C90">
        <w:t>number of</w:t>
      </w:r>
      <w:r w:rsidR="00660D50">
        <w:t xml:space="preserve"> combinations and levels</w:t>
      </w:r>
      <w:r w:rsidR="00BB6FC1">
        <w:t xml:space="preserve"> of radiation hardness or tolerance</w:t>
      </w:r>
      <w:r w:rsidR="00660D50">
        <w:t xml:space="preserve"> </w:t>
      </w:r>
      <w:r w:rsidR="005E1C90">
        <w:t xml:space="preserve">can constitute a rad-hard part.  </w:t>
      </w:r>
      <w:r w:rsidR="00783716">
        <w:t xml:space="preserve">There have been </w:t>
      </w:r>
      <w:r w:rsidR="007547B9">
        <w:t>several representative radiation</w:t>
      </w:r>
      <w:r w:rsidR="00783716">
        <w:t xml:space="preserve"> events</w:t>
      </w:r>
      <w:r w:rsidR="00E42B7D">
        <w:t>, or “defining moments”,</w:t>
      </w:r>
      <w:r w:rsidR="00783716">
        <w:t xml:space="preserve"> since the inception of space travel that </w:t>
      </w:r>
      <w:r w:rsidR="00E42B7D">
        <w:t xml:space="preserve">have </w:t>
      </w:r>
      <w:r w:rsidR="00783716">
        <w:t xml:space="preserve">somewhat rigidly sealed in </w:t>
      </w:r>
      <w:r w:rsidR="00C237E7">
        <w:t>the prescriptive approach</w:t>
      </w:r>
      <w:r w:rsidR="00A7164A">
        <w:t xml:space="preserve"> for addressing radiation</w:t>
      </w:r>
      <w:r w:rsidR="00C237E7">
        <w:t xml:space="preserve"> that exists today</w:t>
      </w:r>
      <w:r w:rsidR="00E42B7D">
        <w:t xml:space="preserve"> </w:t>
      </w:r>
      <w:r w:rsidR="00EE4372">
        <w:t>for NASA space missions</w:t>
      </w:r>
      <w:r w:rsidR="00371E38">
        <w:t>; they include:</w:t>
      </w:r>
    </w:p>
    <w:p w14:paraId="00CB1FFA" w14:textId="44CC836B" w:rsidR="00B01BC3" w:rsidRDefault="00E42B7D" w:rsidP="00E42B7D">
      <w:pPr>
        <w:pStyle w:val="ListParagraph"/>
        <w:numPr>
          <w:ilvl w:val="0"/>
          <w:numId w:val="5"/>
        </w:numPr>
      </w:pPr>
      <w:r>
        <w:t xml:space="preserve"> The</w:t>
      </w:r>
      <w:r w:rsidR="00057EDB">
        <w:t xml:space="preserve"> </w:t>
      </w:r>
      <w:r w:rsidR="00057EDB" w:rsidRPr="00684549">
        <w:rPr>
          <w:u w:val="single"/>
        </w:rPr>
        <w:t>Starfish</w:t>
      </w:r>
      <w:r w:rsidR="0024399C" w:rsidRPr="00684549">
        <w:rPr>
          <w:u w:val="single"/>
        </w:rPr>
        <w:t xml:space="preserve"> Prime</w:t>
      </w:r>
      <w:r w:rsidR="00057EDB" w:rsidRPr="00684549">
        <w:rPr>
          <w:u w:val="single"/>
        </w:rPr>
        <w:t xml:space="preserve"> Nuclear test</w:t>
      </w:r>
      <w:r w:rsidR="00057EDB">
        <w:t xml:space="preserve"> performed in </w:t>
      </w:r>
      <w:r>
        <w:t>1962</w:t>
      </w:r>
      <w:sdt>
        <w:sdtPr>
          <w:id w:val="556437235"/>
          <w:citation/>
        </w:sdtPr>
        <w:sdtContent>
          <w:r w:rsidR="0024399C">
            <w:fldChar w:fldCharType="begin"/>
          </w:r>
          <w:r w:rsidR="0024399C">
            <w:instrText xml:space="preserve"> CITATION Gil12 \l 1033 </w:instrText>
          </w:r>
          <w:r w:rsidR="0024399C">
            <w:fldChar w:fldCharType="separate"/>
          </w:r>
          <w:r w:rsidR="00903B7D">
            <w:rPr>
              <w:noProof/>
            </w:rPr>
            <w:t xml:space="preserve"> </w:t>
          </w:r>
          <w:r w:rsidR="00903B7D" w:rsidRPr="00903B7D">
            <w:rPr>
              <w:noProof/>
            </w:rPr>
            <w:t>[4]</w:t>
          </w:r>
          <w:r w:rsidR="0024399C">
            <w:fldChar w:fldCharType="end"/>
          </w:r>
        </w:sdtContent>
      </w:sdt>
      <w:r>
        <w:t xml:space="preserve">.  </w:t>
      </w:r>
      <w:r w:rsidR="0024399C">
        <w:t>This test created a temporary radiation belt that was effectively a lower altitude extension of the Van Allen Belts</w:t>
      </w:r>
      <w:sdt>
        <w:sdtPr>
          <w:id w:val="1651715424"/>
          <w:citation/>
        </w:sdtPr>
        <w:sdtContent>
          <w:r w:rsidR="00DF32A0">
            <w:fldChar w:fldCharType="begin"/>
          </w:r>
          <w:r w:rsidR="00DF32A0">
            <w:instrText xml:space="preserve"> CITATION NAS20 \l 1033 </w:instrText>
          </w:r>
          <w:r w:rsidR="00DF32A0">
            <w:fldChar w:fldCharType="separate"/>
          </w:r>
          <w:r w:rsidR="00903B7D">
            <w:rPr>
              <w:noProof/>
            </w:rPr>
            <w:t xml:space="preserve"> </w:t>
          </w:r>
          <w:r w:rsidR="00903B7D" w:rsidRPr="00903B7D">
            <w:rPr>
              <w:noProof/>
            </w:rPr>
            <w:t>[5]</w:t>
          </w:r>
          <w:r w:rsidR="00DF32A0">
            <w:fldChar w:fldCharType="end"/>
          </w:r>
        </w:sdtContent>
      </w:sdt>
      <w:r w:rsidR="0024399C">
        <w:t xml:space="preserve">.  </w:t>
      </w:r>
      <w:r w:rsidR="00120A4B">
        <w:t xml:space="preserve">The resulting radiation belts ultimately caused the failure or severe degradation of many satellites, including Telstar 1, TRAAC, Transit 4B, and Ariel-1.  </w:t>
      </w:r>
      <w:r w:rsidR="001F436C">
        <w:t xml:space="preserve">This was a harsh reminder of what a brutal radiation environment can do to spacecraft, albeit not one that occurs in nature. </w:t>
      </w:r>
    </w:p>
    <w:p w14:paraId="794802F5" w14:textId="5FCA5D87" w:rsidR="00120A4B" w:rsidRDefault="00EC52B2" w:rsidP="00E42B7D">
      <w:pPr>
        <w:pStyle w:val="ListParagraph"/>
        <w:numPr>
          <w:ilvl w:val="0"/>
          <w:numId w:val="5"/>
        </w:numPr>
      </w:pPr>
      <w:r>
        <w:t xml:space="preserve">Numerous </w:t>
      </w:r>
      <w:r w:rsidRPr="00CE46B4">
        <w:rPr>
          <w:u w:val="single"/>
        </w:rPr>
        <w:t>radiation events within the South Atlantic Anomaly</w:t>
      </w:r>
      <w:r>
        <w:t xml:space="preserve"> (SAA)</w:t>
      </w:r>
      <w:sdt>
        <w:sdtPr>
          <w:id w:val="-498274214"/>
          <w:citation/>
        </w:sdtPr>
        <w:sdtContent>
          <w:r>
            <w:fldChar w:fldCharType="begin"/>
          </w:r>
          <w:r>
            <w:instrText xml:space="preserve"> CITATION Bed96 \l 1033 </w:instrText>
          </w:r>
          <w:r>
            <w:fldChar w:fldCharType="separate"/>
          </w:r>
          <w:r w:rsidR="00903B7D">
            <w:rPr>
              <w:noProof/>
            </w:rPr>
            <w:t xml:space="preserve"> </w:t>
          </w:r>
          <w:r w:rsidR="00903B7D" w:rsidRPr="00903B7D">
            <w:rPr>
              <w:noProof/>
            </w:rPr>
            <w:t>[6]</w:t>
          </w:r>
          <w:r>
            <w:fldChar w:fldCharType="end"/>
          </w:r>
        </w:sdtContent>
      </w:sdt>
      <w:r>
        <w:t xml:space="preserve"> </w:t>
      </w:r>
      <w:r w:rsidR="00BA157C">
        <w:t>experienced</w:t>
      </w:r>
      <w:r>
        <w:t xml:space="preserve"> by the Hubble Space Telescope (HST), which have largely prompted limited HST observations during SAA passes.  </w:t>
      </w:r>
      <w:r w:rsidR="001F436C">
        <w:t>This helped emphasize the approach of addressing radiation threats through operations rules.</w:t>
      </w:r>
    </w:p>
    <w:p w14:paraId="06FA3335" w14:textId="3FF43517" w:rsidR="00EC52B2" w:rsidRDefault="00EC52B2" w:rsidP="00E42B7D">
      <w:pPr>
        <w:pStyle w:val="ListParagraph"/>
        <w:numPr>
          <w:ilvl w:val="0"/>
          <w:numId w:val="5"/>
        </w:numPr>
      </w:pPr>
      <w:r>
        <w:t xml:space="preserve">The </w:t>
      </w:r>
      <w:r w:rsidRPr="00CE46B4">
        <w:rPr>
          <w:u w:val="single"/>
        </w:rPr>
        <w:t>Halloween storms of 2003</w:t>
      </w:r>
      <w:r>
        <w:t>, which affected several missions including NASA’s SOHO and AIM missions</w:t>
      </w:r>
      <w:sdt>
        <w:sdtPr>
          <w:id w:val="1023207004"/>
          <w:citation/>
        </w:sdtPr>
        <w:sdtContent>
          <w:r w:rsidR="00BA157C">
            <w:fldChar w:fldCharType="begin"/>
          </w:r>
          <w:r w:rsidR="00BA157C">
            <w:instrText xml:space="preserve"> CITATION NAS17 \l 1033 </w:instrText>
          </w:r>
          <w:r w:rsidR="00BA157C">
            <w:fldChar w:fldCharType="separate"/>
          </w:r>
          <w:r w:rsidR="00903B7D">
            <w:rPr>
              <w:noProof/>
            </w:rPr>
            <w:t xml:space="preserve"> </w:t>
          </w:r>
          <w:r w:rsidR="00903B7D" w:rsidRPr="00903B7D">
            <w:rPr>
              <w:noProof/>
            </w:rPr>
            <w:t>[7]</w:t>
          </w:r>
          <w:r w:rsidR="00BA157C">
            <w:fldChar w:fldCharType="end"/>
          </w:r>
        </w:sdtContent>
      </w:sdt>
      <w:r>
        <w:t>.</w:t>
      </w:r>
      <w:r w:rsidR="00BA157C">
        <w:t xml:space="preserve">  This taught us that space weather events can come at very unexpected times.  </w:t>
      </w:r>
    </w:p>
    <w:p w14:paraId="10C1C57B" w14:textId="1131B988" w:rsidR="00BA157C" w:rsidRDefault="006014C9" w:rsidP="00684549">
      <w:pPr>
        <w:pStyle w:val="ListParagraph"/>
        <w:numPr>
          <w:ilvl w:val="0"/>
          <w:numId w:val="5"/>
        </w:numPr>
      </w:pPr>
      <w:r>
        <w:t xml:space="preserve">The </w:t>
      </w:r>
      <w:r w:rsidR="008D5CCD" w:rsidRPr="00CE46B4">
        <w:rPr>
          <w:u w:val="single"/>
        </w:rPr>
        <w:t>Russian Phobos-Grunt spacecraft</w:t>
      </w:r>
      <w:r w:rsidR="008D5CCD">
        <w:t xml:space="preserve"> experienced a computer reboot that </w:t>
      </w:r>
      <w:r w:rsidR="001F74A0">
        <w:t xml:space="preserve">apparently was unrecoverable, preventing the vehicle from executing the orbital </w:t>
      </w:r>
      <w:r w:rsidR="001F74A0">
        <w:lastRenderedPageBreak/>
        <w:t xml:space="preserve">maneuvers required to initiate the Mars transfer trajectory.  The event has been characterized as potentially driven by radiation, although the vehicle was not in a particularly hostile orbit.  </w:t>
      </w:r>
      <w:r w:rsidR="00123814">
        <w:t xml:space="preserve">One of the quotes attributes the failure to cheap parts, design shortfalls, and insufficient testing.  “Cheap parts” is not an informative </w:t>
      </w:r>
      <w:r w:rsidR="00FE7CC9">
        <w:t xml:space="preserve">or useful </w:t>
      </w:r>
      <w:r w:rsidR="00123814">
        <w:t xml:space="preserve">cause; however, poor design and testing certainly </w:t>
      </w:r>
      <w:r w:rsidR="00FE7CC9">
        <w:t>are viable.   (Notably, several missions have failed or encountered serious anomalies over the past 15 years, all involving “expensive parts”</w:t>
      </w:r>
      <w:sdt>
        <w:sdtPr>
          <w:id w:val="1538934199"/>
          <w:citation/>
        </w:sdtPr>
        <w:sdtContent>
          <w:r w:rsidR="00FE7CC9">
            <w:fldChar w:fldCharType="begin"/>
          </w:r>
          <w:r w:rsidR="00FE7CC9">
            <w:instrText xml:space="preserve"> CITATION Lei222 \l 1033 </w:instrText>
          </w:r>
          <w:r w:rsidR="00FE7CC9">
            <w:fldChar w:fldCharType="separate"/>
          </w:r>
          <w:r w:rsidR="00903B7D">
            <w:rPr>
              <w:noProof/>
            </w:rPr>
            <w:t xml:space="preserve"> </w:t>
          </w:r>
          <w:r w:rsidR="00903B7D" w:rsidRPr="00903B7D">
            <w:rPr>
              <w:noProof/>
            </w:rPr>
            <w:t>[8]</w:t>
          </w:r>
          <w:r w:rsidR="00FE7CC9">
            <w:fldChar w:fldCharType="end"/>
          </w:r>
        </w:sdtContent>
      </w:sdt>
      <w:r w:rsidR="00B0532F">
        <w:t xml:space="preserve">).  In either case, the event is sometimes used to motivate attention to radiation.  </w:t>
      </w:r>
    </w:p>
    <w:p w14:paraId="24E83CB7" w14:textId="6DB6FD25" w:rsidR="00C237E7" w:rsidRDefault="00C237E7" w:rsidP="00B01BC3"/>
    <w:p w14:paraId="201A5939" w14:textId="62B10814" w:rsidR="00C237E7" w:rsidRDefault="00053504" w:rsidP="00B01BC3">
      <w:r>
        <w:t>Notably, radiation hardness and radiation tolerance are not factors in risk classification.  However, NASA’s traditional demands to solve radiation at the</w:t>
      </w:r>
      <w:r w:rsidR="00255FD9">
        <w:t xml:space="preserve"> </w:t>
      </w:r>
      <w:r>
        <w:t xml:space="preserve">part level are major contributors to </w:t>
      </w:r>
      <w:r w:rsidR="00255FD9">
        <w:t xml:space="preserve">the continued prescription of piece part requirements even for established components and </w:t>
      </w:r>
      <w:r w:rsidR="006514DC">
        <w:t>higher-level</w:t>
      </w:r>
      <w:r w:rsidR="00255FD9">
        <w:t xml:space="preserve"> assemblies.</w:t>
      </w:r>
    </w:p>
    <w:p w14:paraId="1E53FE94" w14:textId="77777777" w:rsidR="00255FD9" w:rsidRDefault="00255FD9" w:rsidP="00B01BC3"/>
    <w:p w14:paraId="3A2198EB" w14:textId="2D727ACF" w:rsidR="00B01BC3" w:rsidRPr="00684549" w:rsidRDefault="002D3D44" w:rsidP="00DA1422">
      <w:pPr>
        <w:rPr>
          <w:b/>
          <w:bCs/>
        </w:rPr>
      </w:pPr>
      <w:r w:rsidRPr="00684549">
        <w:rPr>
          <w:b/>
          <w:bCs/>
        </w:rPr>
        <w:t>Historical risk classification v</w:t>
      </w:r>
      <w:r w:rsidR="00371E38">
        <w:rPr>
          <w:b/>
          <w:bCs/>
        </w:rPr>
        <w:t>ersu</w:t>
      </w:r>
      <w:r w:rsidRPr="00684549">
        <w:rPr>
          <w:b/>
          <w:bCs/>
        </w:rPr>
        <w:t>s lifetime</w:t>
      </w:r>
    </w:p>
    <w:p w14:paraId="30F5D90F" w14:textId="09E26391" w:rsidR="002D3D44" w:rsidRDefault="002D3D44" w:rsidP="00DA1422"/>
    <w:p w14:paraId="60949777" w14:textId="588150D1" w:rsidR="00F1450C" w:rsidRDefault="005512B0" w:rsidP="00DA1422">
      <w:r>
        <w:t>Given the risk classification moniker and some of the reliability-driven elements within</w:t>
      </w:r>
      <w:r w:rsidR="00A665DF">
        <w:t xml:space="preserve"> </w:t>
      </w:r>
      <w:r w:rsidR="00371E38">
        <w:t xml:space="preserve">NASA’s </w:t>
      </w:r>
      <w:r w:rsidR="00A665DF">
        <w:t>NPR 8705.4, there has been a long-standing assumption that “increasing” classification</w:t>
      </w:r>
      <w:r w:rsidR="000C726C">
        <w:t xml:space="preserve"> resulted in lower risk missions, or alternatively more reliable </w:t>
      </w:r>
      <w:r w:rsidR="00A3043B">
        <w:t xml:space="preserve">or longer-lasting </w:t>
      </w:r>
      <w:r w:rsidR="000C726C">
        <w:t>missions.  However, there is no current connection between classification and mission lifetime (except in using a mission lifetime requirement as a factor to select the classification)</w:t>
      </w:r>
      <w:r w:rsidR="00D21FC2">
        <w:t xml:space="preserve"> and no evidence that the more stringent practices of increasing classifications increase reliability.  The increased practices do, however, reduce the perceived risk by the acquiring organization</w:t>
      </w:r>
      <w:r w:rsidR="00665486">
        <w:t xml:space="preserve"> through additional levels of oversight</w:t>
      </w:r>
      <w:r w:rsidR="00371E38">
        <w:t>, paper (documentation)</w:t>
      </w:r>
      <w:r w:rsidR="00665486">
        <w:t xml:space="preserve"> and more intensive and extensive levels of testing and screening</w:t>
      </w:r>
      <w:r w:rsidR="00A3043B">
        <w:t>, and they provide assurance that the maximum departure from commercial practices is in place</w:t>
      </w:r>
      <w:r w:rsidR="00D21FC2">
        <w:t xml:space="preserve">. </w:t>
      </w:r>
      <w:r w:rsidR="00665486">
        <w:t xml:space="preserve">Unfortunately, the NPR does not discourage </w:t>
      </w:r>
      <w:r w:rsidR="00922778">
        <w:t xml:space="preserve">going above the recommended levels and there is no accounting for the risks that are </w:t>
      </w:r>
      <w:proofErr w:type="gramStart"/>
      <w:r w:rsidR="00922778">
        <w:t>actually elevated</w:t>
      </w:r>
      <w:proofErr w:type="gramEnd"/>
      <w:r w:rsidR="00922778">
        <w:t xml:space="preserve"> by the use of excessive practices.  </w:t>
      </w:r>
      <w:r w:rsidR="002D62D4">
        <w:t xml:space="preserve">The history is </w:t>
      </w:r>
      <w:r w:rsidR="00E15C58">
        <w:t>traced to</w:t>
      </w:r>
      <w:r w:rsidR="002D62D4">
        <w:t xml:space="preserve"> risk perceived as being linked to (1) the level of control NASA personnel have over the development, (2) the amount of deviation from traditional NASA practices, and (3) the extent of commercial practices employed.  In fact, a rigorous view of risk as characterized in </w:t>
      </w:r>
      <w:r w:rsidR="00FB121C">
        <w:t>[16] would only link risk to conditions that lead to mission technical or programmatic failure, and not the discomfort of leaving development to the capabilities of industry</w:t>
      </w:r>
      <w:r w:rsidR="00CE3F96">
        <w:t xml:space="preserve"> or simply using a different approach</w:t>
      </w:r>
      <w:r w:rsidR="00FB121C">
        <w:t>.</w:t>
      </w:r>
      <w:r w:rsidR="00CE3F96">
        <w:t xml:space="preserve">  Of course</w:t>
      </w:r>
      <w:r w:rsidR="00482E97">
        <w:t xml:space="preserve">, </w:t>
      </w:r>
      <w:r w:rsidR="00CE3F96">
        <w:t xml:space="preserve">the history is engrained in culture and the culture is linked with a fear of failure.  </w:t>
      </w:r>
      <w:r w:rsidR="00482E97">
        <w:t>Understanding and solving the problem is often not enough</w:t>
      </w:r>
      <w:r w:rsidR="00FB121C">
        <w:t xml:space="preserve"> </w:t>
      </w:r>
      <w:r w:rsidR="00482E97">
        <w:t xml:space="preserve">if the culture and fear of failure are not addressed.  </w:t>
      </w:r>
    </w:p>
    <w:p w14:paraId="24DB37E2" w14:textId="77777777" w:rsidR="00F1450C" w:rsidRDefault="00F1450C" w:rsidP="00DA1422"/>
    <w:p w14:paraId="4D12696C" w14:textId="7FE54F6C" w:rsidR="005512B0" w:rsidRDefault="00F1450C" w:rsidP="00DA1422">
      <w:r>
        <w:t xml:space="preserve">To illustrate the connection between lifetime and classification, </w:t>
      </w:r>
      <w:r w:rsidR="00CD25B0">
        <w:fldChar w:fldCharType="begin"/>
      </w:r>
      <w:r w:rsidR="00CD25B0">
        <w:instrText xml:space="preserve"> REF _Ref108593676 \h </w:instrText>
      </w:r>
      <w:r w:rsidR="00CD25B0">
        <w:fldChar w:fldCharType="separate"/>
      </w:r>
      <w:r w:rsidR="00CD25B0">
        <w:t xml:space="preserve">Table </w:t>
      </w:r>
      <w:r w:rsidR="00CD25B0">
        <w:rPr>
          <w:noProof/>
        </w:rPr>
        <w:t>1</w:t>
      </w:r>
      <w:r w:rsidR="00CD25B0">
        <w:fldChar w:fldCharType="end"/>
      </w:r>
      <w:r>
        <w:t xml:space="preserve"> is provided below, which includes</w:t>
      </w:r>
      <w:r w:rsidR="00913032">
        <w:t xml:space="preserve"> most</w:t>
      </w:r>
      <w:r w:rsidR="00371E38">
        <w:t xml:space="preserve"> NASA Goddard Space Flight Center (</w:t>
      </w:r>
      <w:r>
        <w:t>GSFC</w:t>
      </w:r>
      <w:r w:rsidR="00371E38">
        <w:t xml:space="preserve">) </w:t>
      </w:r>
      <w:r>
        <w:t>managed missions</w:t>
      </w:r>
      <w:r w:rsidR="00913032">
        <w:t xml:space="preserve"> for risk classifications A-D</w:t>
      </w:r>
      <w:r>
        <w:t xml:space="preserve"> launched from 2000 until present-day. </w:t>
      </w:r>
      <w:r w:rsidR="00CD25B0">
        <w:t xml:space="preserve"> The “+” indicates the mission is still active</w:t>
      </w:r>
      <w:r w:rsidR="00371E38">
        <w:t xml:space="preserve"> (as of July 2022)</w:t>
      </w:r>
      <w:r w:rsidR="00CD25B0">
        <w:t>.</w:t>
      </w:r>
      <w:r w:rsidR="00D01C64">
        <w:t xml:space="preserve">  Prior to 2004, under the earlier system of agency directives, risk classification was less formal </w:t>
      </w:r>
      <w:proofErr w:type="gramStart"/>
      <w:r w:rsidR="00D01C64">
        <w:t>and in many cases,</w:t>
      </w:r>
      <w:proofErr w:type="gramEnd"/>
      <w:r w:rsidR="00D01C64">
        <w:t xml:space="preserve"> there is no formal record of classifications.  </w:t>
      </w:r>
    </w:p>
    <w:p w14:paraId="44673342" w14:textId="462649FC" w:rsidR="00F1450C" w:rsidRDefault="00F1450C" w:rsidP="00DA1422"/>
    <w:p w14:paraId="2A373B48" w14:textId="336A6892" w:rsidR="00CD25B0" w:rsidRDefault="00CD25B0" w:rsidP="00684549">
      <w:pPr>
        <w:pStyle w:val="Caption"/>
        <w:keepNext/>
        <w:jc w:val="center"/>
      </w:pPr>
      <w:bookmarkStart w:id="0" w:name="_Ref108593676"/>
      <w:r>
        <w:lastRenderedPageBreak/>
        <w:t xml:space="preserve">Table </w:t>
      </w:r>
      <w:bookmarkEnd w:id="0"/>
      <w:proofErr w:type="gramStart"/>
      <w:r w:rsidR="00741C7D">
        <w:t>1</w:t>
      </w:r>
      <w:r>
        <w:t xml:space="preserve">  Risk</w:t>
      </w:r>
      <w:proofErr w:type="gramEnd"/>
      <w:r>
        <w:t xml:space="preserve"> Classification vs Lifetime since 2000 for GSFC-managed missions</w:t>
      </w:r>
    </w:p>
    <w:tbl>
      <w:tblPr>
        <w:tblStyle w:val="TableGrid"/>
        <w:tblW w:w="9535" w:type="dxa"/>
        <w:tblLook w:val="04A0" w:firstRow="1" w:lastRow="0" w:firstColumn="1" w:lastColumn="0" w:noHBand="0" w:noVBand="1"/>
      </w:tblPr>
      <w:tblGrid>
        <w:gridCol w:w="1255"/>
        <w:gridCol w:w="1080"/>
        <w:gridCol w:w="1530"/>
        <w:gridCol w:w="1980"/>
        <w:gridCol w:w="1710"/>
        <w:gridCol w:w="1980"/>
      </w:tblGrid>
      <w:tr w:rsidR="00283B92" w14:paraId="5955E49F" w14:textId="06628C13" w:rsidTr="00684549">
        <w:tc>
          <w:tcPr>
            <w:tcW w:w="1255" w:type="dxa"/>
          </w:tcPr>
          <w:p w14:paraId="5F78B33A" w14:textId="15B4A00E" w:rsidR="00283B92" w:rsidRPr="00684549" w:rsidRDefault="00283B92" w:rsidP="00684549">
            <w:pPr>
              <w:jc w:val="center"/>
              <w:rPr>
                <w:b/>
                <w:bCs/>
              </w:rPr>
            </w:pPr>
            <w:r w:rsidRPr="00684549">
              <w:rPr>
                <w:b/>
                <w:bCs/>
              </w:rPr>
              <w:t>Mission</w:t>
            </w:r>
          </w:p>
        </w:tc>
        <w:tc>
          <w:tcPr>
            <w:tcW w:w="1080" w:type="dxa"/>
          </w:tcPr>
          <w:p w14:paraId="3480A218" w14:textId="7250477E" w:rsidR="00283B92" w:rsidRPr="00684549" w:rsidRDefault="00283B92" w:rsidP="00684549">
            <w:pPr>
              <w:jc w:val="center"/>
              <w:rPr>
                <w:b/>
                <w:bCs/>
              </w:rPr>
            </w:pPr>
            <w:r w:rsidRPr="00684549">
              <w:rPr>
                <w:b/>
                <w:bCs/>
              </w:rPr>
              <w:t>Year</w:t>
            </w:r>
          </w:p>
        </w:tc>
        <w:tc>
          <w:tcPr>
            <w:tcW w:w="1530" w:type="dxa"/>
          </w:tcPr>
          <w:p w14:paraId="45D74D62" w14:textId="1FA3872D" w:rsidR="00283B92" w:rsidRPr="00684549" w:rsidRDefault="00283B92" w:rsidP="00684549">
            <w:pPr>
              <w:jc w:val="center"/>
              <w:rPr>
                <w:b/>
                <w:bCs/>
              </w:rPr>
            </w:pPr>
            <w:r w:rsidRPr="00684549">
              <w:rPr>
                <w:b/>
                <w:bCs/>
              </w:rPr>
              <w:t>Risk Class</w:t>
            </w:r>
          </w:p>
        </w:tc>
        <w:tc>
          <w:tcPr>
            <w:tcW w:w="1980" w:type="dxa"/>
          </w:tcPr>
          <w:p w14:paraId="6FC07A32" w14:textId="2F6722C4" w:rsidR="00283B92" w:rsidRPr="00684549" w:rsidRDefault="00283B92" w:rsidP="00684549">
            <w:pPr>
              <w:jc w:val="center"/>
              <w:rPr>
                <w:b/>
                <w:bCs/>
              </w:rPr>
            </w:pPr>
            <w:r w:rsidRPr="00684549">
              <w:rPr>
                <w:b/>
                <w:bCs/>
              </w:rPr>
              <w:t>Planned Lifetime</w:t>
            </w:r>
            <w:r w:rsidR="00F4784F" w:rsidRPr="00684549">
              <w:rPr>
                <w:rStyle w:val="FootnoteReference"/>
                <w:b/>
                <w:bCs/>
              </w:rPr>
              <w:footnoteReference w:id="2"/>
            </w:r>
          </w:p>
        </w:tc>
        <w:tc>
          <w:tcPr>
            <w:tcW w:w="1710" w:type="dxa"/>
          </w:tcPr>
          <w:p w14:paraId="461CC8F3" w14:textId="24EDC93E" w:rsidR="00283B92" w:rsidRPr="00684549" w:rsidRDefault="00283B92" w:rsidP="00684549">
            <w:pPr>
              <w:jc w:val="center"/>
              <w:rPr>
                <w:b/>
                <w:bCs/>
              </w:rPr>
            </w:pPr>
            <w:r w:rsidRPr="00684549">
              <w:rPr>
                <w:b/>
                <w:bCs/>
              </w:rPr>
              <w:t>Actual lifetime</w:t>
            </w:r>
          </w:p>
        </w:tc>
        <w:tc>
          <w:tcPr>
            <w:tcW w:w="1980" w:type="dxa"/>
          </w:tcPr>
          <w:p w14:paraId="0DA470A0" w14:textId="1C2090C9" w:rsidR="00283B92" w:rsidRPr="00684549" w:rsidRDefault="00283B92" w:rsidP="00684549">
            <w:pPr>
              <w:jc w:val="center"/>
              <w:rPr>
                <w:b/>
                <w:bCs/>
              </w:rPr>
            </w:pPr>
            <w:r w:rsidRPr="00684549">
              <w:rPr>
                <w:b/>
                <w:bCs/>
              </w:rPr>
              <w:t>Why ended</w:t>
            </w:r>
          </w:p>
        </w:tc>
      </w:tr>
      <w:tr w:rsidR="00913032" w14:paraId="018A77D4" w14:textId="77777777" w:rsidTr="00913032">
        <w:tc>
          <w:tcPr>
            <w:tcW w:w="1255" w:type="dxa"/>
          </w:tcPr>
          <w:p w14:paraId="2C1F1BC7" w14:textId="7D4A16A7" w:rsidR="00913032" w:rsidRDefault="00913032" w:rsidP="00DA1422">
            <w:r>
              <w:t>EO-1</w:t>
            </w:r>
          </w:p>
        </w:tc>
        <w:tc>
          <w:tcPr>
            <w:tcW w:w="1080" w:type="dxa"/>
          </w:tcPr>
          <w:p w14:paraId="40796388" w14:textId="754634C6" w:rsidR="00913032" w:rsidRDefault="00913032" w:rsidP="00DA1422">
            <w:r>
              <w:t>2000</w:t>
            </w:r>
          </w:p>
        </w:tc>
        <w:tc>
          <w:tcPr>
            <w:tcW w:w="1530" w:type="dxa"/>
          </w:tcPr>
          <w:p w14:paraId="0BEC21C4" w14:textId="2D747D99" w:rsidR="00913032" w:rsidRDefault="00913032" w:rsidP="00DA1422">
            <w:r>
              <w:t>C</w:t>
            </w:r>
          </w:p>
        </w:tc>
        <w:tc>
          <w:tcPr>
            <w:tcW w:w="1980" w:type="dxa"/>
          </w:tcPr>
          <w:p w14:paraId="7CD80902" w14:textId="5C33DE0A" w:rsidR="00913032" w:rsidRDefault="00B0387A" w:rsidP="00DA1422">
            <w:r>
              <w:t>1</w:t>
            </w:r>
          </w:p>
        </w:tc>
        <w:tc>
          <w:tcPr>
            <w:tcW w:w="1710" w:type="dxa"/>
          </w:tcPr>
          <w:p w14:paraId="06DE8366" w14:textId="1DEAC409" w:rsidR="00913032" w:rsidRDefault="00B0387A" w:rsidP="00DA1422">
            <w:r>
              <w:t>21</w:t>
            </w:r>
          </w:p>
        </w:tc>
        <w:tc>
          <w:tcPr>
            <w:tcW w:w="1980" w:type="dxa"/>
          </w:tcPr>
          <w:p w14:paraId="2163824D" w14:textId="64046E70" w:rsidR="00913032" w:rsidRDefault="00675511" w:rsidP="00DA1422">
            <w:r>
              <w:t>f</w:t>
            </w:r>
            <w:r w:rsidR="00B0387A">
              <w:t>uel expended</w:t>
            </w:r>
          </w:p>
        </w:tc>
      </w:tr>
      <w:tr w:rsidR="00913032" w14:paraId="07BD5DD9" w14:textId="77777777" w:rsidTr="00913032">
        <w:tc>
          <w:tcPr>
            <w:tcW w:w="1255" w:type="dxa"/>
          </w:tcPr>
          <w:p w14:paraId="25989EB7" w14:textId="51E0EFA8" w:rsidR="00913032" w:rsidRDefault="008E60F9" w:rsidP="00DA1422">
            <w:r>
              <w:t>GOES-L</w:t>
            </w:r>
          </w:p>
        </w:tc>
        <w:tc>
          <w:tcPr>
            <w:tcW w:w="1080" w:type="dxa"/>
          </w:tcPr>
          <w:p w14:paraId="6B0DA6C6" w14:textId="3D1E04E4" w:rsidR="00913032" w:rsidRDefault="008E60F9" w:rsidP="00DA1422">
            <w:r>
              <w:t>2000</w:t>
            </w:r>
          </w:p>
        </w:tc>
        <w:tc>
          <w:tcPr>
            <w:tcW w:w="1530" w:type="dxa"/>
          </w:tcPr>
          <w:p w14:paraId="05C3E109" w14:textId="400D5FC0" w:rsidR="00913032" w:rsidRDefault="008E60F9" w:rsidP="00DA1422">
            <w:r>
              <w:t>A</w:t>
            </w:r>
          </w:p>
        </w:tc>
        <w:tc>
          <w:tcPr>
            <w:tcW w:w="1980" w:type="dxa"/>
          </w:tcPr>
          <w:p w14:paraId="469CC759" w14:textId="1AAB24C4" w:rsidR="00913032" w:rsidRDefault="008E60F9" w:rsidP="00DA1422">
            <w:r>
              <w:t>10</w:t>
            </w:r>
          </w:p>
        </w:tc>
        <w:tc>
          <w:tcPr>
            <w:tcW w:w="1710" w:type="dxa"/>
          </w:tcPr>
          <w:p w14:paraId="07987A33" w14:textId="2F9CA7FE" w:rsidR="00913032" w:rsidRDefault="008E60F9" w:rsidP="00DA1422">
            <w:r>
              <w:t>10</w:t>
            </w:r>
          </w:p>
        </w:tc>
        <w:tc>
          <w:tcPr>
            <w:tcW w:w="1980" w:type="dxa"/>
          </w:tcPr>
          <w:p w14:paraId="7F94BA55" w14:textId="1486FA74" w:rsidR="00913032" w:rsidRDefault="008E60F9" w:rsidP="00DA1422">
            <w:r>
              <w:t>outdated</w:t>
            </w:r>
          </w:p>
        </w:tc>
      </w:tr>
      <w:tr w:rsidR="009B018A" w14:paraId="14AD2299" w14:textId="77777777" w:rsidTr="00913032">
        <w:tc>
          <w:tcPr>
            <w:tcW w:w="1255" w:type="dxa"/>
          </w:tcPr>
          <w:p w14:paraId="60A96E20" w14:textId="525DCC75" w:rsidR="009B018A" w:rsidRDefault="009B018A" w:rsidP="00DA1422">
            <w:r>
              <w:t>TDRS-H</w:t>
            </w:r>
          </w:p>
        </w:tc>
        <w:tc>
          <w:tcPr>
            <w:tcW w:w="1080" w:type="dxa"/>
          </w:tcPr>
          <w:p w14:paraId="5EF2AE58" w14:textId="71094FD4" w:rsidR="009B018A" w:rsidRDefault="009B018A" w:rsidP="00DA1422">
            <w:r>
              <w:t>2000</w:t>
            </w:r>
          </w:p>
        </w:tc>
        <w:tc>
          <w:tcPr>
            <w:tcW w:w="1530" w:type="dxa"/>
          </w:tcPr>
          <w:p w14:paraId="1F175551" w14:textId="7C3E1486" w:rsidR="009B018A" w:rsidRDefault="009B018A" w:rsidP="00DA1422">
            <w:r>
              <w:t>B</w:t>
            </w:r>
          </w:p>
        </w:tc>
        <w:tc>
          <w:tcPr>
            <w:tcW w:w="1980" w:type="dxa"/>
          </w:tcPr>
          <w:p w14:paraId="5D30B4C1" w14:textId="3223437E" w:rsidR="009B018A" w:rsidRDefault="009B018A" w:rsidP="00DA1422">
            <w:r>
              <w:t>11</w:t>
            </w:r>
          </w:p>
        </w:tc>
        <w:tc>
          <w:tcPr>
            <w:tcW w:w="1710" w:type="dxa"/>
          </w:tcPr>
          <w:p w14:paraId="30933006" w14:textId="7D9F4452" w:rsidR="009B018A" w:rsidRDefault="009B018A" w:rsidP="00DA1422">
            <w:r>
              <w:t>22+</w:t>
            </w:r>
          </w:p>
        </w:tc>
        <w:tc>
          <w:tcPr>
            <w:tcW w:w="1980" w:type="dxa"/>
          </w:tcPr>
          <w:p w14:paraId="19A61CD7" w14:textId="721DC95B" w:rsidR="009B018A" w:rsidRDefault="000F36F0" w:rsidP="00DA1422">
            <w:r>
              <w:t>active</w:t>
            </w:r>
          </w:p>
        </w:tc>
      </w:tr>
      <w:tr w:rsidR="008E60F9" w14:paraId="695B1360" w14:textId="77777777" w:rsidTr="00913032">
        <w:tc>
          <w:tcPr>
            <w:tcW w:w="1255" w:type="dxa"/>
          </w:tcPr>
          <w:p w14:paraId="015DE6F9" w14:textId="173B6EFE" w:rsidR="008E60F9" w:rsidRDefault="008E60F9" w:rsidP="00DA1422">
            <w:r>
              <w:t>NOAA-L</w:t>
            </w:r>
          </w:p>
        </w:tc>
        <w:tc>
          <w:tcPr>
            <w:tcW w:w="1080" w:type="dxa"/>
          </w:tcPr>
          <w:p w14:paraId="0A729D2D" w14:textId="6B6B07ED" w:rsidR="008E60F9" w:rsidRDefault="008E60F9" w:rsidP="00DA1422">
            <w:r>
              <w:t>2000</w:t>
            </w:r>
          </w:p>
        </w:tc>
        <w:tc>
          <w:tcPr>
            <w:tcW w:w="1530" w:type="dxa"/>
          </w:tcPr>
          <w:p w14:paraId="6A047C19" w14:textId="1B194B5B" w:rsidR="008E60F9" w:rsidRDefault="008F1B2C" w:rsidP="00DA1422">
            <w:r>
              <w:t>C</w:t>
            </w:r>
          </w:p>
        </w:tc>
        <w:tc>
          <w:tcPr>
            <w:tcW w:w="1980" w:type="dxa"/>
          </w:tcPr>
          <w:p w14:paraId="4919ABA0" w14:textId="662BB224" w:rsidR="008E60F9" w:rsidRDefault="008F1B2C" w:rsidP="00DA1422">
            <w:r>
              <w:t>2</w:t>
            </w:r>
          </w:p>
        </w:tc>
        <w:tc>
          <w:tcPr>
            <w:tcW w:w="1710" w:type="dxa"/>
          </w:tcPr>
          <w:p w14:paraId="78DA07DE" w14:textId="3D4F2B83" w:rsidR="008E60F9" w:rsidRDefault="008F1B2C" w:rsidP="00DA1422">
            <w:r>
              <w:t>13</w:t>
            </w:r>
          </w:p>
        </w:tc>
        <w:tc>
          <w:tcPr>
            <w:tcW w:w="1980" w:type="dxa"/>
          </w:tcPr>
          <w:p w14:paraId="5F6CBB52" w14:textId="54493CD5" w:rsidR="008E60F9" w:rsidRDefault="008F1B2C" w:rsidP="00DA1422">
            <w:r>
              <w:t>“</w:t>
            </w:r>
            <w:proofErr w:type="gramStart"/>
            <w:r>
              <w:t>critical</w:t>
            </w:r>
            <w:proofErr w:type="gramEnd"/>
            <w:r>
              <w:t xml:space="preserve"> anomaly”</w:t>
            </w:r>
          </w:p>
        </w:tc>
      </w:tr>
      <w:tr w:rsidR="0026189F" w14:paraId="4187EE85" w14:textId="77777777" w:rsidTr="00913032">
        <w:tc>
          <w:tcPr>
            <w:tcW w:w="1255" w:type="dxa"/>
          </w:tcPr>
          <w:p w14:paraId="2E1CD2E5" w14:textId="32DA9313" w:rsidR="0026189F" w:rsidRDefault="0026189F" w:rsidP="00DA1422">
            <w:r>
              <w:t>GOES-M</w:t>
            </w:r>
          </w:p>
        </w:tc>
        <w:tc>
          <w:tcPr>
            <w:tcW w:w="1080" w:type="dxa"/>
          </w:tcPr>
          <w:p w14:paraId="22D355B6" w14:textId="53A84B66" w:rsidR="0026189F" w:rsidRDefault="0026189F" w:rsidP="00DA1422">
            <w:r>
              <w:t>2001</w:t>
            </w:r>
          </w:p>
        </w:tc>
        <w:tc>
          <w:tcPr>
            <w:tcW w:w="1530" w:type="dxa"/>
          </w:tcPr>
          <w:p w14:paraId="208BFBA3" w14:textId="1AFE287B" w:rsidR="0026189F" w:rsidRDefault="0026189F" w:rsidP="00DA1422">
            <w:r>
              <w:t>A</w:t>
            </w:r>
          </w:p>
        </w:tc>
        <w:tc>
          <w:tcPr>
            <w:tcW w:w="1980" w:type="dxa"/>
          </w:tcPr>
          <w:p w14:paraId="354171DC" w14:textId="76848910" w:rsidR="0026189F" w:rsidRDefault="006C6009" w:rsidP="00DA1422">
            <w:r>
              <w:t>5</w:t>
            </w:r>
          </w:p>
        </w:tc>
        <w:tc>
          <w:tcPr>
            <w:tcW w:w="1710" w:type="dxa"/>
          </w:tcPr>
          <w:p w14:paraId="2AB9D000" w14:textId="3B657AC1" w:rsidR="0026189F" w:rsidRDefault="00097714" w:rsidP="00DA1422">
            <w:r>
              <w:t>12</w:t>
            </w:r>
          </w:p>
        </w:tc>
        <w:tc>
          <w:tcPr>
            <w:tcW w:w="1980" w:type="dxa"/>
          </w:tcPr>
          <w:p w14:paraId="356D69FD" w14:textId="1B24D94C" w:rsidR="0026189F" w:rsidRDefault="00371E38" w:rsidP="00DA1422">
            <w:r>
              <w:t>t</w:t>
            </w:r>
            <w:r w:rsidR="00097714">
              <w:t>hruster issues</w:t>
            </w:r>
          </w:p>
        </w:tc>
      </w:tr>
      <w:tr w:rsidR="00283B92" w14:paraId="348D47AD" w14:textId="788154AE" w:rsidTr="00684549">
        <w:tc>
          <w:tcPr>
            <w:tcW w:w="1255" w:type="dxa"/>
          </w:tcPr>
          <w:p w14:paraId="4F309981" w14:textId="67A0DA71" w:rsidR="00283B92" w:rsidRDefault="00283B92" w:rsidP="00DA1422">
            <w:r>
              <w:t>Aqua</w:t>
            </w:r>
          </w:p>
        </w:tc>
        <w:tc>
          <w:tcPr>
            <w:tcW w:w="1080" w:type="dxa"/>
          </w:tcPr>
          <w:p w14:paraId="167DB95D" w14:textId="273A1826" w:rsidR="00283B92" w:rsidRDefault="00283B92" w:rsidP="00DA1422">
            <w:r>
              <w:t>2002</w:t>
            </w:r>
          </w:p>
        </w:tc>
        <w:tc>
          <w:tcPr>
            <w:tcW w:w="1530" w:type="dxa"/>
          </w:tcPr>
          <w:p w14:paraId="703CF3E8" w14:textId="27CA1F68" w:rsidR="00283B92" w:rsidRDefault="00054EDC" w:rsidP="00DA1422">
            <w:r>
              <w:t>A</w:t>
            </w:r>
          </w:p>
        </w:tc>
        <w:tc>
          <w:tcPr>
            <w:tcW w:w="1980" w:type="dxa"/>
          </w:tcPr>
          <w:p w14:paraId="6D66044A" w14:textId="5297AE69" w:rsidR="00283B92" w:rsidRDefault="00283B92" w:rsidP="00DA1422">
            <w:r>
              <w:t>6</w:t>
            </w:r>
          </w:p>
        </w:tc>
        <w:tc>
          <w:tcPr>
            <w:tcW w:w="1710" w:type="dxa"/>
          </w:tcPr>
          <w:p w14:paraId="7DBF7235" w14:textId="3ECE72A3" w:rsidR="00283B92" w:rsidRDefault="00283B92" w:rsidP="00DA1422">
            <w:r>
              <w:t>20+</w:t>
            </w:r>
          </w:p>
        </w:tc>
        <w:tc>
          <w:tcPr>
            <w:tcW w:w="1980" w:type="dxa"/>
          </w:tcPr>
          <w:p w14:paraId="149A9E03" w14:textId="553109F2" w:rsidR="00283B92" w:rsidRDefault="00675511" w:rsidP="00DA1422">
            <w:r>
              <w:t>a</w:t>
            </w:r>
            <w:r w:rsidR="00913032">
              <w:t>ctive</w:t>
            </w:r>
          </w:p>
        </w:tc>
      </w:tr>
      <w:tr w:rsidR="00ED524E" w14:paraId="4724F9D1" w14:textId="77777777" w:rsidTr="00913032">
        <w:tc>
          <w:tcPr>
            <w:tcW w:w="1255" w:type="dxa"/>
          </w:tcPr>
          <w:p w14:paraId="5D6C5FE4" w14:textId="2F009B4A" w:rsidR="00ED524E" w:rsidRDefault="00ED524E" w:rsidP="00DA1422">
            <w:r>
              <w:t>NOAA-M</w:t>
            </w:r>
          </w:p>
        </w:tc>
        <w:tc>
          <w:tcPr>
            <w:tcW w:w="1080" w:type="dxa"/>
          </w:tcPr>
          <w:p w14:paraId="21A78353" w14:textId="7C30142E" w:rsidR="00ED524E" w:rsidRDefault="00ED524E" w:rsidP="00DA1422">
            <w:r>
              <w:t>2002</w:t>
            </w:r>
          </w:p>
        </w:tc>
        <w:tc>
          <w:tcPr>
            <w:tcW w:w="1530" w:type="dxa"/>
          </w:tcPr>
          <w:p w14:paraId="3265C44C" w14:textId="136F7744" w:rsidR="00ED524E" w:rsidRDefault="00ED524E" w:rsidP="00DA1422">
            <w:r>
              <w:t>C</w:t>
            </w:r>
          </w:p>
        </w:tc>
        <w:tc>
          <w:tcPr>
            <w:tcW w:w="1980" w:type="dxa"/>
          </w:tcPr>
          <w:p w14:paraId="0528537B" w14:textId="4CAD679C" w:rsidR="00ED524E" w:rsidRDefault="00ED524E" w:rsidP="00DA1422">
            <w:r>
              <w:t>2</w:t>
            </w:r>
          </w:p>
        </w:tc>
        <w:tc>
          <w:tcPr>
            <w:tcW w:w="1710" w:type="dxa"/>
          </w:tcPr>
          <w:p w14:paraId="77174E2D" w14:textId="5709BEA8" w:rsidR="00ED524E" w:rsidRDefault="00ED524E" w:rsidP="00DA1422">
            <w:r>
              <w:t>11</w:t>
            </w:r>
          </w:p>
        </w:tc>
        <w:tc>
          <w:tcPr>
            <w:tcW w:w="1980" w:type="dxa"/>
          </w:tcPr>
          <w:p w14:paraId="541F12E7" w14:textId="6FB10436" w:rsidR="00ED524E" w:rsidRDefault="00034090" w:rsidP="00DA1422">
            <w:r>
              <w:t xml:space="preserve">two </w:t>
            </w:r>
            <w:r w:rsidR="00ED524E">
              <w:t>instruments failed</w:t>
            </w:r>
          </w:p>
        </w:tc>
      </w:tr>
      <w:tr w:rsidR="009B018A" w14:paraId="2BBED23D" w14:textId="77777777" w:rsidTr="00913032">
        <w:tc>
          <w:tcPr>
            <w:tcW w:w="1255" w:type="dxa"/>
          </w:tcPr>
          <w:p w14:paraId="351EACBA" w14:textId="5E11C1A5" w:rsidR="009B018A" w:rsidRDefault="009B018A" w:rsidP="00DA1422">
            <w:r>
              <w:t>TDRS-I</w:t>
            </w:r>
          </w:p>
        </w:tc>
        <w:tc>
          <w:tcPr>
            <w:tcW w:w="1080" w:type="dxa"/>
          </w:tcPr>
          <w:p w14:paraId="74D5334F" w14:textId="009A6100" w:rsidR="009B018A" w:rsidRDefault="009B018A" w:rsidP="00DA1422">
            <w:r>
              <w:t>2002</w:t>
            </w:r>
          </w:p>
        </w:tc>
        <w:tc>
          <w:tcPr>
            <w:tcW w:w="1530" w:type="dxa"/>
          </w:tcPr>
          <w:p w14:paraId="321E5270" w14:textId="3E1E5946" w:rsidR="009B018A" w:rsidRDefault="009B018A" w:rsidP="00DA1422">
            <w:r>
              <w:t>B</w:t>
            </w:r>
          </w:p>
        </w:tc>
        <w:tc>
          <w:tcPr>
            <w:tcW w:w="1980" w:type="dxa"/>
          </w:tcPr>
          <w:p w14:paraId="504D6C87" w14:textId="44D5DC93" w:rsidR="009B018A" w:rsidRDefault="009B018A" w:rsidP="00DA1422">
            <w:r>
              <w:t>11</w:t>
            </w:r>
          </w:p>
        </w:tc>
        <w:tc>
          <w:tcPr>
            <w:tcW w:w="1710" w:type="dxa"/>
          </w:tcPr>
          <w:p w14:paraId="454948B7" w14:textId="56385B55" w:rsidR="009B018A" w:rsidRDefault="009B018A" w:rsidP="00DA1422">
            <w:r>
              <w:t>20+</w:t>
            </w:r>
          </w:p>
        </w:tc>
        <w:tc>
          <w:tcPr>
            <w:tcW w:w="1980" w:type="dxa"/>
          </w:tcPr>
          <w:p w14:paraId="27776DDF" w14:textId="55188578" w:rsidR="009B018A" w:rsidRDefault="009B018A" w:rsidP="00DA1422">
            <w:r>
              <w:t>Valve issue, took 6 months to get to GEO</w:t>
            </w:r>
          </w:p>
        </w:tc>
      </w:tr>
      <w:tr w:rsidR="00990826" w14:paraId="6223194F" w14:textId="77777777" w:rsidTr="00913032">
        <w:tc>
          <w:tcPr>
            <w:tcW w:w="1255" w:type="dxa"/>
          </w:tcPr>
          <w:p w14:paraId="14C6D720" w14:textId="3CA95275" w:rsidR="00990826" w:rsidRDefault="00990826" w:rsidP="00DA1422">
            <w:r>
              <w:t>RHESSI</w:t>
            </w:r>
          </w:p>
        </w:tc>
        <w:tc>
          <w:tcPr>
            <w:tcW w:w="1080" w:type="dxa"/>
          </w:tcPr>
          <w:p w14:paraId="2B37AD22" w14:textId="3D7BCF5D" w:rsidR="00990826" w:rsidRDefault="00990826" w:rsidP="00DA1422">
            <w:r>
              <w:t>2002</w:t>
            </w:r>
          </w:p>
        </w:tc>
        <w:tc>
          <w:tcPr>
            <w:tcW w:w="1530" w:type="dxa"/>
          </w:tcPr>
          <w:p w14:paraId="11F9C846" w14:textId="10239AB9" w:rsidR="00990826" w:rsidRDefault="00F055F0" w:rsidP="00DA1422">
            <w:r>
              <w:t>D</w:t>
            </w:r>
          </w:p>
        </w:tc>
        <w:tc>
          <w:tcPr>
            <w:tcW w:w="1980" w:type="dxa"/>
          </w:tcPr>
          <w:p w14:paraId="3684CD84" w14:textId="371EF05D" w:rsidR="00990826" w:rsidRDefault="00990826" w:rsidP="00DA1422">
            <w:r>
              <w:t>2</w:t>
            </w:r>
          </w:p>
        </w:tc>
        <w:tc>
          <w:tcPr>
            <w:tcW w:w="1710" w:type="dxa"/>
          </w:tcPr>
          <w:p w14:paraId="1FCD219D" w14:textId="6EFFC978" w:rsidR="00990826" w:rsidRDefault="00990826" w:rsidP="00DA1422">
            <w:r>
              <w:t>16</w:t>
            </w:r>
          </w:p>
        </w:tc>
        <w:tc>
          <w:tcPr>
            <w:tcW w:w="1980" w:type="dxa"/>
          </w:tcPr>
          <w:p w14:paraId="1B8F43A7" w14:textId="6D87BB42" w:rsidR="00990826" w:rsidRDefault="00013508" w:rsidP="00DA1422">
            <w:r>
              <w:t>communication problems</w:t>
            </w:r>
          </w:p>
        </w:tc>
      </w:tr>
      <w:tr w:rsidR="000F36F0" w14:paraId="3992ABF6" w14:textId="77777777" w:rsidTr="00913032">
        <w:tc>
          <w:tcPr>
            <w:tcW w:w="1255" w:type="dxa"/>
          </w:tcPr>
          <w:p w14:paraId="6C1CDB68" w14:textId="16BED140" w:rsidR="000F36F0" w:rsidRDefault="000F36F0" w:rsidP="00DA1422">
            <w:r>
              <w:t>TDRS-J</w:t>
            </w:r>
          </w:p>
        </w:tc>
        <w:tc>
          <w:tcPr>
            <w:tcW w:w="1080" w:type="dxa"/>
          </w:tcPr>
          <w:p w14:paraId="2A1A11A7" w14:textId="409E3120" w:rsidR="000F36F0" w:rsidRDefault="000F36F0" w:rsidP="00DA1422">
            <w:r>
              <w:t>2002</w:t>
            </w:r>
          </w:p>
        </w:tc>
        <w:tc>
          <w:tcPr>
            <w:tcW w:w="1530" w:type="dxa"/>
          </w:tcPr>
          <w:p w14:paraId="45240AA9" w14:textId="3FA9A398" w:rsidR="000F36F0" w:rsidRDefault="000F36F0" w:rsidP="00DA1422">
            <w:r>
              <w:t>B</w:t>
            </w:r>
          </w:p>
        </w:tc>
        <w:tc>
          <w:tcPr>
            <w:tcW w:w="1980" w:type="dxa"/>
          </w:tcPr>
          <w:p w14:paraId="12B9CAD1" w14:textId="76AA8E9E" w:rsidR="000F36F0" w:rsidRDefault="000F36F0" w:rsidP="00DA1422">
            <w:r>
              <w:t>11</w:t>
            </w:r>
          </w:p>
        </w:tc>
        <w:tc>
          <w:tcPr>
            <w:tcW w:w="1710" w:type="dxa"/>
          </w:tcPr>
          <w:p w14:paraId="7CA66A18" w14:textId="7FE2EE5A" w:rsidR="000F36F0" w:rsidRDefault="000F36F0" w:rsidP="00DA1422">
            <w:r>
              <w:t>19+</w:t>
            </w:r>
          </w:p>
        </w:tc>
        <w:tc>
          <w:tcPr>
            <w:tcW w:w="1980" w:type="dxa"/>
          </w:tcPr>
          <w:p w14:paraId="17412770" w14:textId="7B269EF4" w:rsidR="000F36F0" w:rsidRDefault="000F36F0" w:rsidP="00DA1422">
            <w:r>
              <w:t>active</w:t>
            </w:r>
          </w:p>
        </w:tc>
      </w:tr>
      <w:tr w:rsidR="00ED524E" w14:paraId="189BA1EB" w14:textId="77777777" w:rsidTr="00913032">
        <w:tc>
          <w:tcPr>
            <w:tcW w:w="1255" w:type="dxa"/>
          </w:tcPr>
          <w:p w14:paraId="24416309" w14:textId="4FAFC3C9" w:rsidR="00ED524E" w:rsidRDefault="00ED524E" w:rsidP="00DA1422">
            <w:proofErr w:type="spellStart"/>
            <w:r>
              <w:t>ICESat</w:t>
            </w:r>
            <w:proofErr w:type="spellEnd"/>
          </w:p>
        </w:tc>
        <w:tc>
          <w:tcPr>
            <w:tcW w:w="1080" w:type="dxa"/>
          </w:tcPr>
          <w:p w14:paraId="7B81199F" w14:textId="6DFB2377" w:rsidR="00ED524E" w:rsidRDefault="00ED524E" w:rsidP="00DA1422">
            <w:r>
              <w:t>2003</w:t>
            </w:r>
          </w:p>
        </w:tc>
        <w:tc>
          <w:tcPr>
            <w:tcW w:w="1530" w:type="dxa"/>
          </w:tcPr>
          <w:p w14:paraId="22C0E24C" w14:textId="12FF9A2A" w:rsidR="00ED524E" w:rsidRDefault="00ED524E" w:rsidP="00DA1422">
            <w:r>
              <w:t>C</w:t>
            </w:r>
          </w:p>
        </w:tc>
        <w:tc>
          <w:tcPr>
            <w:tcW w:w="1980" w:type="dxa"/>
          </w:tcPr>
          <w:p w14:paraId="5CB64910" w14:textId="67DF4620" w:rsidR="00ED524E" w:rsidRDefault="00982EED" w:rsidP="00DA1422">
            <w:r>
              <w:t>3</w:t>
            </w:r>
          </w:p>
        </w:tc>
        <w:tc>
          <w:tcPr>
            <w:tcW w:w="1710" w:type="dxa"/>
          </w:tcPr>
          <w:p w14:paraId="581DC147" w14:textId="2C247A29" w:rsidR="00ED524E" w:rsidRDefault="0067339F" w:rsidP="00DA1422">
            <w:r>
              <w:t>7</w:t>
            </w:r>
            <w:r>
              <w:rPr>
                <w:rStyle w:val="FootnoteReference"/>
              </w:rPr>
              <w:footnoteReference w:id="3"/>
            </w:r>
          </w:p>
        </w:tc>
        <w:tc>
          <w:tcPr>
            <w:tcW w:w="1980" w:type="dxa"/>
          </w:tcPr>
          <w:p w14:paraId="088CB22A" w14:textId="6D0558F0" w:rsidR="00ED524E" w:rsidRDefault="00034090" w:rsidP="00DA1422">
            <w:r>
              <w:t xml:space="preserve">laser </w:t>
            </w:r>
            <w:r w:rsidR="0067339F">
              <w:t>failure</w:t>
            </w:r>
          </w:p>
        </w:tc>
      </w:tr>
      <w:tr w:rsidR="00283B92" w14:paraId="42B920CD" w14:textId="0AAC83E1" w:rsidTr="00684549">
        <w:tc>
          <w:tcPr>
            <w:tcW w:w="1255" w:type="dxa"/>
          </w:tcPr>
          <w:p w14:paraId="2B038B65" w14:textId="24354D00" w:rsidR="00283B92" w:rsidRDefault="00283B92" w:rsidP="00DA1422">
            <w:r>
              <w:t>Aura</w:t>
            </w:r>
          </w:p>
        </w:tc>
        <w:tc>
          <w:tcPr>
            <w:tcW w:w="1080" w:type="dxa"/>
          </w:tcPr>
          <w:p w14:paraId="42076979" w14:textId="0927CF85" w:rsidR="00283B92" w:rsidRDefault="00283B92" w:rsidP="00DA1422">
            <w:r>
              <w:t>2004</w:t>
            </w:r>
          </w:p>
        </w:tc>
        <w:tc>
          <w:tcPr>
            <w:tcW w:w="1530" w:type="dxa"/>
          </w:tcPr>
          <w:p w14:paraId="3166213F" w14:textId="6FFD805D" w:rsidR="00283B92" w:rsidRDefault="00283B92" w:rsidP="00DA1422">
            <w:r>
              <w:t>B</w:t>
            </w:r>
          </w:p>
        </w:tc>
        <w:tc>
          <w:tcPr>
            <w:tcW w:w="1980" w:type="dxa"/>
          </w:tcPr>
          <w:p w14:paraId="36164302" w14:textId="4A9F931F" w:rsidR="00283B92" w:rsidRDefault="00283B92" w:rsidP="00DA1422">
            <w:r>
              <w:t>6</w:t>
            </w:r>
          </w:p>
        </w:tc>
        <w:tc>
          <w:tcPr>
            <w:tcW w:w="1710" w:type="dxa"/>
          </w:tcPr>
          <w:p w14:paraId="0F156465" w14:textId="2EC6916A" w:rsidR="00283B92" w:rsidRDefault="00283B92" w:rsidP="00DA1422">
            <w:r>
              <w:t>18+</w:t>
            </w:r>
          </w:p>
        </w:tc>
        <w:tc>
          <w:tcPr>
            <w:tcW w:w="1980" w:type="dxa"/>
          </w:tcPr>
          <w:p w14:paraId="174BF75A" w14:textId="3F14C6BE" w:rsidR="00283B92" w:rsidRDefault="00913032" w:rsidP="00DA1422">
            <w:r>
              <w:t>active</w:t>
            </w:r>
          </w:p>
        </w:tc>
      </w:tr>
      <w:tr w:rsidR="00283B92" w14:paraId="356602E1" w14:textId="585CFC67" w:rsidTr="00684549">
        <w:tc>
          <w:tcPr>
            <w:tcW w:w="1255" w:type="dxa"/>
          </w:tcPr>
          <w:p w14:paraId="532C3575" w14:textId="2A946794" w:rsidR="00283B92" w:rsidRDefault="008B55A8" w:rsidP="00DA1422">
            <w:r>
              <w:t xml:space="preserve">Neil </w:t>
            </w:r>
            <w:proofErr w:type="spellStart"/>
            <w:r>
              <w:t>Gehrels</w:t>
            </w:r>
            <w:proofErr w:type="spellEnd"/>
            <w:r>
              <w:t xml:space="preserve"> Swift</w:t>
            </w:r>
          </w:p>
        </w:tc>
        <w:tc>
          <w:tcPr>
            <w:tcW w:w="1080" w:type="dxa"/>
          </w:tcPr>
          <w:p w14:paraId="620BB34D" w14:textId="2175784D" w:rsidR="00283B92" w:rsidRDefault="008B55A8" w:rsidP="00DA1422">
            <w:r>
              <w:t>2004</w:t>
            </w:r>
          </w:p>
        </w:tc>
        <w:tc>
          <w:tcPr>
            <w:tcW w:w="1530" w:type="dxa"/>
          </w:tcPr>
          <w:p w14:paraId="75EA7D17" w14:textId="2360D681" w:rsidR="00283B92" w:rsidRDefault="008B55A8" w:rsidP="00DA1422">
            <w:r>
              <w:t>C</w:t>
            </w:r>
          </w:p>
        </w:tc>
        <w:tc>
          <w:tcPr>
            <w:tcW w:w="1980" w:type="dxa"/>
          </w:tcPr>
          <w:p w14:paraId="3FCDDFAE" w14:textId="3FCCB9E7" w:rsidR="00283B92" w:rsidRDefault="00F73A3C" w:rsidP="00DA1422">
            <w:r>
              <w:t>2</w:t>
            </w:r>
          </w:p>
        </w:tc>
        <w:tc>
          <w:tcPr>
            <w:tcW w:w="1710" w:type="dxa"/>
          </w:tcPr>
          <w:p w14:paraId="580AE7A8" w14:textId="060A65B4" w:rsidR="00283B92" w:rsidRDefault="00F73A3C" w:rsidP="00DA1422">
            <w:r>
              <w:t>17+</w:t>
            </w:r>
          </w:p>
        </w:tc>
        <w:tc>
          <w:tcPr>
            <w:tcW w:w="1980" w:type="dxa"/>
          </w:tcPr>
          <w:p w14:paraId="024BEAEA" w14:textId="72D3AB6B" w:rsidR="00283B92" w:rsidRDefault="00371E38" w:rsidP="00DA1422">
            <w:r>
              <w:t xml:space="preserve">active (thermoelectric cooler failed shortly into mission, but successful operational workaround was </w:t>
            </w:r>
            <w:r w:rsidR="0024472C">
              <w:t>put in place)</w:t>
            </w:r>
          </w:p>
        </w:tc>
      </w:tr>
      <w:tr w:rsidR="00283B92" w14:paraId="378E3A16" w14:textId="357FD146" w:rsidTr="00684549">
        <w:tc>
          <w:tcPr>
            <w:tcW w:w="1255" w:type="dxa"/>
          </w:tcPr>
          <w:p w14:paraId="25894C54" w14:textId="10227AFE" w:rsidR="00283B92" w:rsidRDefault="00F73A3C" w:rsidP="00DA1422">
            <w:r>
              <w:t>NOAA-N</w:t>
            </w:r>
          </w:p>
        </w:tc>
        <w:tc>
          <w:tcPr>
            <w:tcW w:w="1080" w:type="dxa"/>
          </w:tcPr>
          <w:p w14:paraId="1F41FD26" w14:textId="5C486651" w:rsidR="00283B92" w:rsidRDefault="00452357" w:rsidP="00DA1422">
            <w:r>
              <w:t>2005</w:t>
            </w:r>
          </w:p>
        </w:tc>
        <w:tc>
          <w:tcPr>
            <w:tcW w:w="1530" w:type="dxa"/>
          </w:tcPr>
          <w:p w14:paraId="41994AFC" w14:textId="4FF156CB" w:rsidR="00283B92" w:rsidRDefault="00452357" w:rsidP="00DA1422">
            <w:r>
              <w:t>C</w:t>
            </w:r>
          </w:p>
        </w:tc>
        <w:tc>
          <w:tcPr>
            <w:tcW w:w="1980" w:type="dxa"/>
          </w:tcPr>
          <w:p w14:paraId="30DE7785" w14:textId="58DF6C49" w:rsidR="00283B92" w:rsidRDefault="00452357" w:rsidP="00DA1422">
            <w:r>
              <w:t>2</w:t>
            </w:r>
          </w:p>
        </w:tc>
        <w:tc>
          <w:tcPr>
            <w:tcW w:w="1710" w:type="dxa"/>
          </w:tcPr>
          <w:p w14:paraId="619BF837" w14:textId="1486FA74" w:rsidR="00283B92" w:rsidRDefault="00452357" w:rsidP="00DA1422">
            <w:r>
              <w:t>17</w:t>
            </w:r>
            <w:r w:rsidR="00CD25B0">
              <w:t>+</w:t>
            </w:r>
          </w:p>
        </w:tc>
        <w:tc>
          <w:tcPr>
            <w:tcW w:w="1980" w:type="dxa"/>
          </w:tcPr>
          <w:p w14:paraId="038C421A" w14:textId="307A064D" w:rsidR="00283B92" w:rsidRDefault="00B53A36" w:rsidP="00DA1422">
            <w:r>
              <w:t>active</w:t>
            </w:r>
          </w:p>
        </w:tc>
      </w:tr>
      <w:tr w:rsidR="00283B92" w14:paraId="2DC528EA" w14:textId="36D0977E" w:rsidTr="00684549">
        <w:tc>
          <w:tcPr>
            <w:tcW w:w="1255" w:type="dxa"/>
          </w:tcPr>
          <w:p w14:paraId="66572B3E" w14:textId="432AAA45" w:rsidR="00283B92" w:rsidRDefault="00B53A36" w:rsidP="00DA1422">
            <w:r>
              <w:t>GOES-N</w:t>
            </w:r>
          </w:p>
        </w:tc>
        <w:tc>
          <w:tcPr>
            <w:tcW w:w="1080" w:type="dxa"/>
          </w:tcPr>
          <w:p w14:paraId="3922CDC7" w14:textId="747045F9" w:rsidR="00283B92" w:rsidRDefault="00B53A36" w:rsidP="00DA1422">
            <w:r>
              <w:t>2006</w:t>
            </w:r>
          </w:p>
        </w:tc>
        <w:tc>
          <w:tcPr>
            <w:tcW w:w="1530" w:type="dxa"/>
          </w:tcPr>
          <w:p w14:paraId="073D267C" w14:textId="40F358B0" w:rsidR="00283B92" w:rsidRDefault="00054EDC" w:rsidP="00DA1422">
            <w:r>
              <w:t>B</w:t>
            </w:r>
          </w:p>
        </w:tc>
        <w:tc>
          <w:tcPr>
            <w:tcW w:w="1980" w:type="dxa"/>
          </w:tcPr>
          <w:p w14:paraId="4FFA18B2" w14:textId="7F6ED7F2" w:rsidR="00283B92" w:rsidRDefault="00B53A36" w:rsidP="00DA1422">
            <w:r>
              <w:t>10</w:t>
            </w:r>
          </w:p>
        </w:tc>
        <w:tc>
          <w:tcPr>
            <w:tcW w:w="1710" w:type="dxa"/>
          </w:tcPr>
          <w:p w14:paraId="4892409A" w14:textId="00A0BC9D" w:rsidR="00283B92" w:rsidRDefault="00BC1CD7" w:rsidP="00DA1422">
            <w:r>
              <w:t>16+</w:t>
            </w:r>
            <w:r>
              <w:rPr>
                <w:rStyle w:val="FootnoteReference"/>
              </w:rPr>
              <w:footnoteReference w:id="4"/>
            </w:r>
          </w:p>
        </w:tc>
        <w:tc>
          <w:tcPr>
            <w:tcW w:w="1980" w:type="dxa"/>
          </w:tcPr>
          <w:p w14:paraId="7B509184" w14:textId="331D7BF9" w:rsidR="00283B92" w:rsidRDefault="00626048" w:rsidP="00DA1422">
            <w:r>
              <w:t>active (USSF now)</w:t>
            </w:r>
          </w:p>
        </w:tc>
      </w:tr>
      <w:tr w:rsidR="00283B92" w14:paraId="7CB670B9" w14:textId="5CEB5F80" w:rsidTr="00684549">
        <w:tc>
          <w:tcPr>
            <w:tcW w:w="1255" w:type="dxa"/>
          </w:tcPr>
          <w:p w14:paraId="7FBF7218" w14:textId="7A9D2FB5" w:rsidR="00283B92" w:rsidRDefault="00D57E2E" w:rsidP="00DA1422">
            <w:r>
              <w:t>ST-5</w:t>
            </w:r>
            <w:r w:rsidR="00E93869">
              <w:t xml:space="preserve"> (3 S/C)</w:t>
            </w:r>
          </w:p>
        </w:tc>
        <w:tc>
          <w:tcPr>
            <w:tcW w:w="1080" w:type="dxa"/>
          </w:tcPr>
          <w:p w14:paraId="6E8901CB" w14:textId="2C42AB6C" w:rsidR="00283B92" w:rsidRDefault="00D57E2E" w:rsidP="00DA1422">
            <w:r>
              <w:t>2006</w:t>
            </w:r>
          </w:p>
        </w:tc>
        <w:tc>
          <w:tcPr>
            <w:tcW w:w="1530" w:type="dxa"/>
          </w:tcPr>
          <w:p w14:paraId="1916CB59" w14:textId="0794942F" w:rsidR="00283B92" w:rsidRDefault="00D57E2E" w:rsidP="00DA1422">
            <w:r>
              <w:t>C</w:t>
            </w:r>
          </w:p>
        </w:tc>
        <w:tc>
          <w:tcPr>
            <w:tcW w:w="1980" w:type="dxa"/>
          </w:tcPr>
          <w:p w14:paraId="1A83DFE3" w14:textId="422C5EBC" w:rsidR="00283B92" w:rsidRDefault="00D57E2E" w:rsidP="00DA1422">
            <w:r>
              <w:t>90 days</w:t>
            </w:r>
          </w:p>
        </w:tc>
        <w:tc>
          <w:tcPr>
            <w:tcW w:w="1710" w:type="dxa"/>
          </w:tcPr>
          <w:p w14:paraId="5030D70A" w14:textId="5D907F9E" w:rsidR="00283B92" w:rsidRDefault="00D57E2E" w:rsidP="00DA1422">
            <w:r>
              <w:t>100 days</w:t>
            </w:r>
          </w:p>
        </w:tc>
        <w:tc>
          <w:tcPr>
            <w:tcW w:w="1980" w:type="dxa"/>
          </w:tcPr>
          <w:p w14:paraId="4CBB96BA" w14:textId="3D641F02" w:rsidR="00283B92" w:rsidRDefault="00E02027" w:rsidP="00DA1422">
            <w:r>
              <w:t>d</w:t>
            </w:r>
            <w:r w:rsidR="00D57E2E">
              <w:t>emo complete</w:t>
            </w:r>
          </w:p>
        </w:tc>
      </w:tr>
      <w:tr w:rsidR="00283B92" w14:paraId="0062808C" w14:textId="5392469E" w:rsidTr="00684549">
        <w:tc>
          <w:tcPr>
            <w:tcW w:w="1255" w:type="dxa"/>
          </w:tcPr>
          <w:p w14:paraId="7E0F5E17" w14:textId="39861E3B" w:rsidR="00283B92" w:rsidRDefault="0065773E" w:rsidP="00DA1422">
            <w:r>
              <w:t>Fermi (GLAST)</w:t>
            </w:r>
          </w:p>
        </w:tc>
        <w:tc>
          <w:tcPr>
            <w:tcW w:w="1080" w:type="dxa"/>
          </w:tcPr>
          <w:p w14:paraId="2E99A659" w14:textId="694D61A9" w:rsidR="00283B92" w:rsidRDefault="0065773E" w:rsidP="00DA1422">
            <w:r>
              <w:t>2008</w:t>
            </w:r>
          </w:p>
        </w:tc>
        <w:tc>
          <w:tcPr>
            <w:tcW w:w="1530" w:type="dxa"/>
          </w:tcPr>
          <w:p w14:paraId="578F5FE6" w14:textId="5CEC9EB0" w:rsidR="00283B92" w:rsidRDefault="00146855" w:rsidP="00DA1422">
            <w:r>
              <w:t>C</w:t>
            </w:r>
          </w:p>
        </w:tc>
        <w:tc>
          <w:tcPr>
            <w:tcW w:w="1980" w:type="dxa"/>
          </w:tcPr>
          <w:p w14:paraId="325EE3E8" w14:textId="6FBA2D9D" w:rsidR="00283B92" w:rsidRDefault="00146855" w:rsidP="00DA1422">
            <w:r>
              <w:t>5</w:t>
            </w:r>
          </w:p>
        </w:tc>
        <w:tc>
          <w:tcPr>
            <w:tcW w:w="1710" w:type="dxa"/>
          </w:tcPr>
          <w:p w14:paraId="7D59FD97" w14:textId="534FC23E" w:rsidR="00283B92" w:rsidRDefault="00146855" w:rsidP="00DA1422">
            <w:r>
              <w:t>14+</w:t>
            </w:r>
          </w:p>
        </w:tc>
        <w:tc>
          <w:tcPr>
            <w:tcW w:w="1980" w:type="dxa"/>
          </w:tcPr>
          <w:p w14:paraId="2DAC0E91" w14:textId="4C88E223" w:rsidR="00283B92" w:rsidRDefault="00146855" w:rsidP="00DA1422">
            <w:r>
              <w:t>active</w:t>
            </w:r>
          </w:p>
        </w:tc>
      </w:tr>
      <w:tr w:rsidR="00283B92" w14:paraId="4BA0F0EB" w14:textId="3CB78B1F" w:rsidTr="00684549">
        <w:tc>
          <w:tcPr>
            <w:tcW w:w="1255" w:type="dxa"/>
          </w:tcPr>
          <w:p w14:paraId="5DEA238B" w14:textId="52B8BADB" w:rsidR="00283B92" w:rsidRDefault="00F247D2" w:rsidP="00DA1422">
            <w:r>
              <w:t>GOES-O</w:t>
            </w:r>
          </w:p>
        </w:tc>
        <w:tc>
          <w:tcPr>
            <w:tcW w:w="1080" w:type="dxa"/>
          </w:tcPr>
          <w:p w14:paraId="7A627D89" w14:textId="00D05440" w:rsidR="00283B92" w:rsidRDefault="00F247D2" w:rsidP="00DA1422">
            <w:r>
              <w:t>2009</w:t>
            </w:r>
          </w:p>
        </w:tc>
        <w:tc>
          <w:tcPr>
            <w:tcW w:w="1530" w:type="dxa"/>
          </w:tcPr>
          <w:p w14:paraId="2F76EA88" w14:textId="529E3B97" w:rsidR="00283B92" w:rsidRDefault="00054EDC" w:rsidP="00DA1422">
            <w:r>
              <w:t>B</w:t>
            </w:r>
          </w:p>
        </w:tc>
        <w:tc>
          <w:tcPr>
            <w:tcW w:w="1980" w:type="dxa"/>
          </w:tcPr>
          <w:p w14:paraId="00101D54" w14:textId="2EBCC31D" w:rsidR="00283B92" w:rsidRDefault="00BB0B57" w:rsidP="00DA1422">
            <w:r>
              <w:t>10</w:t>
            </w:r>
          </w:p>
        </w:tc>
        <w:tc>
          <w:tcPr>
            <w:tcW w:w="1710" w:type="dxa"/>
          </w:tcPr>
          <w:p w14:paraId="0541E2A8" w14:textId="45644318" w:rsidR="00283B92" w:rsidRDefault="00BB0B57" w:rsidP="00DA1422">
            <w:r>
              <w:t>10</w:t>
            </w:r>
          </w:p>
        </w:tc>
        <w:tc>
          <w:tcPr>
            <w:tcW w:w="1980" w:type="dxa"/>
          </w:tcPr>
          <w:p w14:paraId="6860F1CF" w14:textId="22ADAA1C" w:rsidR="00283B92" w:rsidRDefault="00034090" w:rsidP="00DA1422">
            <w:r>
              <w:t xml:space="preserve">replaced </w:t>
            </w:r>
            <w:r w:rsidR="00257F75">
              <w:t>(now on-orbit spare)</w:t>
            </w:r>
          </w:p>
        </w:tc>
      </w:tr>
      <w:tr w:rsidR="00283B92" w14:paraId="1CFCA30C" w14:textId="6A299253" w:rsidTr="00684549">
        <w:tc>
          <w:tcPr>
            <w:tcW w:w="1255" w:type="dxa"/>
          </w:tcPr>
          <w:p w14:paraId="78473D1B" w14:textId="55A261F6" w:rsidR="00283B92" w:rsidRDefault="00257F75" w:rsidP="00DA1422">
            <w:r>
              <w:t>NOAA-N’</w:t>
            </w:r>
          </w:p>
        </w:tc>
        <w:tc>
          <w:tcPr>
            <w:tcW w:w="1080" w:type="dxa"/>
          </w:tcPr>
          <w:p w14:paraId="60002559" w14:textId="76703F81" w:rsidR="00283B92" w:rsidRDefault="00257F75" w:rsidP="00DA1422">
            <w:r>
              <w:t>2009</w:t>
            </w:r>
          </w:p>
        </w:tc>
        <w:tc>
          <w:tcPr>
            <w:tcW w:w="1530" w:type="dxa"/>
          </w:tcPr>
          <w:p w14:paraId="00A5C0F2" w14:textId="0F4451F6" w:rsidR="00283B92" w:rsidRDefault="00257F75" w:rsidP="00DA1422">
            <w:r>
              <w:t>C</w:t>
            </w:r>
          </w:p>
        </w:tc>
        <w:tc>
          <w:tcPr>
            <w:tcW w:w="1980" w:type="dxa"/>
          </w:tcPr>
          <w:p w14:paraId="71E7AFD2" w14:textId="66644DA1" w:rsidR="00283B92" w:rsidRDefault="00257F75" w:rsidP="00DA1422">
            <w:r>
              <w:t>2</w:t>
            </w:r>
          </w:p>
        </w:tc>
        <w:tc>
          <w:tcPr>
            <w:tcW w:w="1710" w:type="dxa"/>
          </w:tcPr>
          <w:p w14:paraId="6050F610" w14:textId="489EEB22" w:rsidR="00283B92" w:rsidRDefault="00257F75" w:rsidP="00DA1422">
            <w:r>
              <w:t>13+</w:t>
            </w:r>
          </w:p>
        </w:tc>
        <w:tc>
          <w:tcPr>
            <w:tcW w:w="1980" w:type="dxa"/>
          </w:tcPr>
          <w:p w14:paraId="57DF6B38" w14:textId="4370F6B6" w:rsidR="00283B92" w:rsidRDefault="00257F75" w:rsidP="00DA1422">
            <w:r>
              <w:t>active</w:t>
            </w:r>
          </w:p>
        </w:tc>
      </w:tr>
      <w:tr w:rsidR="00283B92" w14:paraId="5A32089F" w14:textId="312120DB" w:rsidTr="00684549">
        <w:tc>
          <w:tcPr>
            <w:tcW w:w="1255" w:type="dxa"/>
          </w:tcPr>
          <w:p w14:paraId="2307D808" w14:textId="41B2E07F" w:rsidR="00283B92" w:rsidRDefault="00257F75" w:rsidP="00DA1422">
            <w:r>
              <w:t xml:space="preserve">LRO </w:t>
            </w:r>
          </w:p>
        </w:tc>
        <w:tc>
          <w:tcPr>
            <w:tcW w:w="1080" w:type="dxa"/>
          </w:tcPr>
          <w:p w14:paraId="7EF7681F" w14:textId="30BA3970" w:rsidR="00283B92" w:rsidRDefault="00257F75" w:rsidP="00DA1422">
            <w:r>
              <w:t>2009</w:t>
            </w:r>
          </w:p>
        </w:tc>
        <w:tc>
          <w:tcPr>
            <w:tcW w:w="1530" w:type="dxa"/>
          </w:tcPr>
          <w:p w14:paraId="74625675" w14:textId="632312C6" w:rsidR="00283B92" w:rsidRDefault="00257F75" w:rsidP="00DA1422">
            <w:r>
              <w:t>C</w:t>
            </w:r>
          </w:p>
        </w:tc>
        <w:tc>
          <w:tcPr>
            <w:tcW w:w="1980" w:type="dxa"/>
          </w:tcPr>
          <w:p w14:paraId="7B9BC79A" w14:textId="27AC5BFD" w:rsidR="00283B92" w:rsidRDefault="00257F75" w:rsidP="00DA1422">
            <w:r>
              <w:t>3</w:t>
            </w:r>
          </w:p>
        </w:tc>
        <w:tc>
          <w:tcPr>
            <w:tcW w:w="1710" w:type="dxa"/>
          </w:tcPr>
          <w:p w14:paraId="22455DF3" w14:textId="17C797B8" w:rsidR="00283B92" w:rsidRDefault="00257F75" w:rsidP="00DA1422">
            <w:r>
              <w:t>13+</w:t>
            </w:r>
          </w:p>
        </w:tc>
        <w:tc>
          <w:tcPr>
            <w:tcW w:w="1980" w:type="dxa"/>
          </w:tcPr>
          <w:p w14:paraId="5EF63F68" w14:textId="45B7135B" w:rsidR="00283B92" w:rsidRDefault="00257F75" w:rsidP="00DA1422">
            <w:r>
              <w:t>active</w:t>
            </w:r>
          </w:p>
        </w:tc>
      </w:tr>
      <w:tr w:rsidR="00283B92" w14:paraId="0517A6E9" w14:textId="27EB6E6C" w:rsidTr="00684549">
        <w:tc>
          <w:tcPr>
            <w:tcW w:w="1255" w:type="dxa"/>
          </w:tcPr>
          <w:p w14:paraId="4C819154" w14:textId="08809093" w:rsidR="00283B92" w:rsidRDefault="00257F75" w:rsidP="00DA1422">
            <w:r>
              <w:lastRenderedPageBreak/>
              <w:t>GOES-P</w:t>
            </w:r>
          </w:p>
        </w:tc>
        <w:tc>
          <w:tcPr>
            <w:tcW w:w="1080" w:type="dxa"/>
          </w:tcPr>
          <w:p w14:paraId="21B12DFE" w14:textId="265B6AE5" w:rsidR="00283B92" w:rsidRDefault="00257F75" w:rsidP="00DA1422">
            <w:r>
              <w:t>2010</w:t>
            </w:r>
          </w:p>
        </w:tc>
        <w:tc>
          <w:tcPr>
            <w:tcW w:w="1530" w:type="dxa"/>
          </w:tcPr>
          <w:p w14:paraId="253E2106" w14:textId="1B610007" w:rsidR="00283B92" w:rsidRDefault="00054EDC" w:rsidP="00DA1422">
            <w:r>
              <w:t>B</w:t>
            </w:r>
          </w:p>
        </w:tc>
        <w:tc>
          <w:tcPr>
            <w:tcW w:w="1980" w:type="dxa"/>
          </w:tcPr>
          <w:p w14:paraId="5B859C0D" w14:textId="0ECD77AA" w:rsidR="00283B92" w:rsidRDefault="00257F75" w:rsidP="00DA1422">
            <w:r>
              <w:t>10</w:t>
            </w:r>
          </w:p>
        </w:tc>
        <w:tc>
          <w:tcPr>
            <w:tcW w:w="1710" w:type="dxa"/>
          </w:tcPr>
          <w:p w14:paraId="2FC07365" w14:textId="59A93970" w:rsidR="00283B92" w:rsidRDefault="00E130A1" w:rsidP="00DA1422">
            <w:r>
              <w:t>12+</w:t>
            </w:r>
          </w:p>
        </w:tc>
        <w:tc>
          <w:tcPr>
            <w:tcW w:w="1980" w:type="dxa"/>
          </w:tcPr>
          <w:p w14:paraId="0DF7DF75" w14:textId="2B3F47D9" w:rsidR="00283B92" w:rsidRDefault="00E130A1" w:rsidP="00DA1422">
            <w:r>
              <w:t>active</w:t>
            </w:r>
          </w:p>
        </w:tc>
      </w:tr>
      <w:tr w:rsidR="000F71E2" w14:paraId="7553C62B" w14:textId="77777777" w:rsidTr="00913032">
        <w:tc>
          <w:tcPr>
            <w:tcW w:w="1255" w:type="dxa"/>
          </w:tcPr>
          <w:p w14:paraId="55F3F225" w14:textId="7FDD1507" w:rsidR="000F71E2" w:rsidRDefault="000F71E2" w:rsidP="00DA1422">
            <w:r>
              <w:t>SDO</w:t>
            </w:r>
          </w:p>
        </w:tc>
        <w:tc>
          <w:tcPr>
            <w:tcW w:w="1080" w:type="dxa"/>
          </w:tcPr>
          <w:p w14:paraId="0A9D52E1" w14:textId="5A58584A" w:rsidR="000F71E2" w:rsidRDefault="000F71E2" w:rsidP="00DA1422">
            <w:r>
              <w:t>2010</w:t>
            </w:r>
          </w:p>
        </w:tc>
        <w:tc>
          <w:tcPr>
            <w:tcW w:w="1530" w:type="dxa"/>
          </w:tcPr>
          <w:p w14:paraId="5081489F" w14:textId="1B9BA8BF" w:rsidR="000F71E2" w:rsidRDefault="000F71E2" w:rsidP="00DA1422">
            <w:r>
              <w:t>B</w:t>
            </w:r>
          </w:p>
        </w:tc>
        <w:tc>
          <w:tcPr>
            <w:tcW w:w="1980" w:type="dxa"/>
          </w:tcPr>
          <w:p w14:paraId="0ACBCF29" w14:textId="23FF5759" w:rsidR="000F71E2" w:rsidRDefault="000F71E2" w:rsidP="00DA1422">
            <w:r>
              <w:t>5</w:t>
            </w:r>
          </w:p>
        </w:tc>
        <w:tc>
          <w:tcPr>
            <w:tcW w:w="1710" w:type="dxa"/>
          </w:tcPr>
          <w:p w14:paraId="47D711BD" w14:textId="5D5C5A5A" w:rsidR="000F71E2" w:rsidRDefault="000F71E2" w:rsidP="00DA1422">
            <w:r>
              <w:t>12+</w:t>
            </w:r>
          </w:p>
        </w:tc>
        <w:tc>
          <w:tcPr>
            <w:tcW w:w="1980" w:type="dxa"/>
          </w:tcPr>
          <w:p w14:paraId="20D06231" w14:textId="7DFD8FCB" w:rsidR="000F71E2" w:rsidRDefault="000F71E2" w:rsidP="00DA1422">
            <w:r>
              <w:t>active</w:t>
            </w:r>
          </w:p>
        </w:tc>
      </w:tr>
      <w:tr w:rsidR="00283B92" w14:paraId="4A0135BA" w14:textId="79444426" w:rsidTr="00684549">
        <w:tc>
          <w:tcPr>
            <w:tcW w:w="1255" w:type="dxa"/>
          </w:tcPr>
          <w:p w14:paraId="776AFB7A" w14:textId="12AA35C9" w:rsidR="00283B92" w:rsidRDefault="007153AC" w:rsidP="00DA1422">
            <w:r>
              <w:t>Glory</w:t>
            </w:r>
          </w:p>
        </w:tc>
        <w:tc>
          <w:tcPr>
            <w:tcW w:w="1080" w:type="dxa"/>
          </w:tcPr>
          <w:p w14:paraId="5E3E786C" w14:textId="5B278DEB" w:rsidR="00283B92" w:rsidRDefault="007153AC" w:rsidP="00DA1422">
            <w:r>
              <w:t>2011</w:t>
            </w:r>
          </w:p>
        </w:tc>
        <w:tc>
          <w:tcPr>
            <w:tcW w:w="1530" w:type="dxa"/>
          </w:tcPr>
          <w:p w14:paraId="1D9E9FE1" w14:textId="0E6F1FBF" w:rsidR="00283B92" w:rsidRDefault="007153AC" w:rsidP="00DA1422">
            <w:r>
              <w:t>C</w:t>
            </w:r>
          </w:p>
        </w:tc>
        <w:tc>
          <w:tcPr>
            <w:tcW w:w="1980" w:type="dxa"/>
          </w:tcPr>
          <w:p w14:paraId="696829A4" w14:textId="4C3B9D23" w:rsidR="00283B92" w:rsidRDefault="007153AC" w:rsidP="00DA1422">
            <w:r>
              <w:t>3</w:t>
            </w:r>
          </w:p>
        </w:tc>
        <w:tc>
          <w:tcPr>
            <w:tcW w:w="1710" w:type="dxa"/>
          </w:tcPr>
          <w:p w14:paraId="5C126D8A" w14:textId="3BD5D7EF" w:rsidR="00283B92" w:rsidRDefault="007153AC" w:rsidP="00DA1422">
            <w:r>
              <w:t>0</w:t>
            </w:r>
          </w:p>
        </w:tc>
        <w:tc>
          <w:tcPr>
            <w:tcW w:w="1980" w:type="dxa"/>
          </w:tcPr>
          <w:p w14:paraId="4AF74BEE" w14:textId="7B63A698" w:rsidR="00283B92" w:rsidRDefault="00034090" w:rsidP="00DA1422">
            <w:r>
              <w:t>l</w:t>
            </w:r>
            <w:r w:rsidR="007153AC">
              <w:t>aunch failure</w:t>
            </w:r>
          </w:p>
        </w:tc>
      </w:tr>
      <w:tr w:rsidR="00283B92" w14:paraId="0B8A7B5A" w14:textId="0C28D97B" w:rsidTr="00684549">
        <w:tc>
          <w:tcPr>
            <w:tcW w:w="1255" w:type="dxa"/>
          </w:tcPr>
          <w:p w14:paraId="2B76FE4F" w14:textId="531A321A" w:rsidR="00283B92" w:rsidRDefault="007153AC" w:rsidP="00DA1422">
            <w:r>
              <w:t>NPP-Suomi</w:t>
            </w:r>
          </w:p>
        </w:tc>
        <w:tc>
          <w:tcPr>
            <w:tcW w:w="1080" w:type="dxa"/>
          </w:tcPr>
          <w:p w14:paraId="0F06D918" w14:textId="66626FFD" w:rsidR="00283B92" w:rsidRDefault="007153AC" w:rsidP="00DA1422">
            <w:r>
              <w:t>2011</w:t>
            </w:r>
          </w:p>
        </w:tc>
        <w:tc>
          <w:tcPr>
            <w:tcW w:w="1530" w:type="dxa"/>
          </w:tcPr>
          <w:p w14:paraId="14C330A2" w14:textId="734ABCCB" w:rsidR="00283B92" w:rsidRDefault="00054EDC" w:rsidP="00DA1422">
            <w:r>
              <w:t>B</w:t>
            </w:r>
          </w:p>
        </w:tc>
        <w:tc>
          <w:tcPr>
            <w:tcW w:w="1980" w:type="dxa"/>
          </w:tcPr>
          <w:p w14:paraId="1F2D7232" w14:textId="330AA609" w:rsidR="00283B92" w:rsidRDefault="007153AC" w:rsidP="00DA1422">
            <w:r>
              <w:t>5</w:t>
            </w:r>
          </w:p>
        </w:tc>
        <w:tc>
          <w:tcPr>
            <w:tcW w:w="1710" w:type="dxa"/>
          </w:tcPr>
          <w:p w14:paraId="2D82BC9C" w14:textId="488910D0" w:rsidR="00283B92" w:rsidRDefault="007153AC" w:rsidP="00DA1422">
            <w:r>
              <w:t>10+</w:t>
            </w:r>
          </w:p>
        </w:tc>
        <w:tc>
          <w:tcPr>
            <w:tcW w:w="1980" w:type="dxa"/>
          </w:tcPr>
          <w:p w14:paraId="162C0C5E" w14:textId="70E3A3D7" w:rsidR="00283B92" w:rsidRDefault="007153AC" w:rsidP="00DA1422">
            <w:r>
              <w:t>active</w:t>
            </w:r>
          </w:p>
        </w:tc>
      </w:tr>
      <w:tr w:rsidR="000F36F0" w14:paraId="3BAE9EDF" w14:textId="77777777" w:rsidTr="00684549">
        <w:tc>
          <w:tcPr>
            <w:tcW w:w="1255" w:type="dxa"/>
          </w:tcPr>
          <w:p w14:paraId="4ACFFF35" w14:textId="74DCBF27" w:rsidR="000F36F0" w:rsidRDefault="000F36F0" w:rsidP="00DA1422">
            <w:r>
              <w:t>TDRS-K</w:t>
            </w:r>
          </w:p>
        </w:tc>
        <w:tc>
          <w:tcPr>
            <w:tcW w:w="1080" w:type="dxa"/>
          </w:tcPr>
          <w:p w14:paraId="287E5E5C" w14:textId="490BB9E1" w:rsidR="000F36F0" w:rsidRDefault="000F36F0" w:rsidP="00DA1422">
            <w:r>
              <w:t>2013</w:t>
            </w:r>
          </w:p>
        </w:tc>
        <w:tc>
          <w:tcPr>
            <w:tcW w:w="1530" w:type="dxa"/>
          </w:tcPr>
          <w:p w14:paraId="12F6BB8D" w14:textId="118C1AFC" w:rsidR="000F36F0" w:rsidRDefault="000F36F0" w:rsidP="00DA1422">
            <w:r>
              <w:t>B</w:t>
            </w:r>
          </w:p>
        </w:tc>
        <w:tc>
          <w:tcPr>
            <w:tcW w:w="1980" w:type="dxa"/>
          </w:tcPr>
          <w:p w14:paraId="1E85D8AE" w14:textId="3FFDE33D" w:rsidR="000F36F0" w:rsidRDefault="000F36F0" w:rsidP="00DA1422">
            <w:r>
              <w:t>15</w:t>
            </w:r>
          </w:p>
        </w:tc>
        <w:tc>
          <w:tcPr>
            <w:tcW w:w="1710" w:type="dxa"/>
          </w:tcPr>
          <w:p w14:paraId="0FD6577E" w14:textId="5A0D618A" w:rsidR="000F36F0" w:rsidRDefault="000F36F0" w:rsidP="00DA1422">
            <w:r>
              <w:t>9+</w:t>
            </w:r>
          </w:p>
        </w:tc>
        <w:tc>
          <w:tcPr>
            <w:tcW w:w="1980" w:type="dxa"/>
          </w:tcPr>
          <w:p w14:paraId="2CE72CCE" w14:textId="194485F4" w:rsidR="000F36F0" w:rsidRDefault="000F36F0" w:rsidP="00DA1422">
            <w:r>
              <w:t>active</w:t>
            </w:r>
          </w:p>
        </w:tc>
      </w:tr>
      <w:tr w:rsidR="00283B92" w14:paraId="7C9FC405" w14:textId="32E32CF8" w:rsidTr="00684549">
        <w:tc>
          <w:tcPr>
            <w:tcW w:w="1255" w:type="dxa"/>
          </w:tcPr>
          <w:p w14:paraId="5AAAD488" w14:textId="727352FB" w:rsidR="00283B92" w:rsidRDefault="00CF234F" w:rsidP="00DA1422">
            <w:r>
              <w:t>MAVEN</w:t>
            </w:r>
          </w:p>
        </w:tc>
        <w:tc>
          <w:tcPr>
            <w:tcW w:w="1080" w:type="dxa"/>
          </w:tcPr>
          <w:p w14:paraId="66A83F05" w14:textId="3EF64131" w:rsidR="00283B92" w:rsidRDefault="00CF234F" w:rsidP="00DA1422">
            <w:r>
              <w:t>2013</w:t>
            </w:r>
          </w:p>
        </w:tc>
        <w:tc>
          <w:tcPr>
            <w:tcW w:w="1530" w:type="dxa"/>
          </w:tcPr>
          <w:p w14:paraId="5F8685F2" w14:textId="28D2478E" w:rsidR="00283B92" w:rsidRDefault="00CF234F" w:rsidP="00DA1422">
            <w:r>
              <w:t>B</w:t>
            </w:r>
          </w:p>
        </w:tc>
        <w:tc>
          <w:tcPr>
            <w:tcW w:w="1980" w:type="dxa"/>
          </w:tcPr>
          <w:p w14:paraId="46CD7AAB" w14:textId="547ABF91" w:rsidR="00283B92" w:rsidRDefault="00BA0533" w:rsidP="00DA1422">
            <w:r>
              <w:t>2</w:t>
            </w:r>
          </w:p>
        </w:tc>
        <w:tc>
          <w:tcPr>
            <w:tcW w:w="1710" w:type="dxa"/>
          </w:tcPr>
          <w:p w14:paraId="53E7BF39" w14:textId="7BEC22B0" w:rsidR="00283B92" w:rsidRDefault="00BA0533" w:rsidP="00DA1422">
            <w:r>
              <w:t>7+</w:t>
            </w:r>
          </w:p>
        </w:tc>
        <w:tc>
          <w:tcPr>
            <w:tcW w:w="1980" w:type="dxa"/>
          </w:tcPr>
          <w:p w14:paraId="5040F01F" w14:textId="69D0B103" w:rsidR="00283B92" w:rsidRDefault="00BA0533" w:rsidP="00DA1422">
            <w:r>
              <w:t>active</w:t>
            </w:r>
          </w:p>
        </w:tc>
      </w:tr>
      <w:tr w:rsidR="00283B92" w14:paraId="531CD507" w14:textId="6648C0C8" w:rsidTr="00684549">
        <w:tc>
          <w:tcPr>
            <w:tcW w:w="1255" w:type="dxa"/>
          </w:tcPr>
          <w:p w14:paraId="182FFD9D" w14:textId="5C8A1EA6" w:rsidR="00283B92" w:rsidRDefault="00310AE3" w:rsidP="00DA1422">
            <w:r>
              <w:t>LandSat-8</w:t>
            </w:r>
          </w:p>
        </w:tc>
        <w:tc>
          <w:tcPr>
            <w:tcW w:w="1080" w:type="dxa"/>
          </w:tcPr>
          <w:p w14:paraId="04212503" w14:textId="50208B41" w:rsidR="00283B92" w:rsidRDefault="00310AE3" w:rsidP="00DA1422">
            <w:r>
              <w:t>2013</w:t>
            </w:r>
          </w:p>
        </w:tc>
        <w:tc>
          <w:tcPr>
            <w:tcW w:w="1530" w:type="dxa"/>
          </w:tcPr>
          <w:p w14:paraId="0695A7AE" w14:textId="74B308D9" w:rsidR="00283B92" w:rsidRDefault="00310AE3" w:rsidP="00DA1422">
            <w:r>
              <w:t>B</w:t>
            </w:r>
          </w:p>
        </w:tc>
        <w:tc>
          <w:tcPr>
            <w:tcW w:w="1980" w:type="dxa"/>
          </w:tcPr>
          <w:p w14:paraId="364E6B8B" w14:textId="244F467B" w:rsidR="00283B92" w:rsidRDefault="00310AE3" w:rsidP="00DA1422">
            <w:r>
              <w:t>5</w:t>
            </w:r>
          </w:p>
        </w:tc>
        <w:tc>
          <w:tcPr>
            <w:tcW w:w="1710" w:type="dxa"/>
          </w:tcPr>
          <w:p w14:paraId="79808936" w14:textId="0CD4BA82" w:rsidR="00283B92" w:rsidRDefault="00310AE3" w:rsidP="00DA1422">
            <w:r>
              <w:t>9+</w:t>
            </w:r>
          </w:p>
        </w:tc>
        <w:tc>
          <w:tcPr>
            <w:tcW w:w="1980" w:type="dxa"/>
          </w:tcPr>
          <w:p w14:paraId="1018AB99" w14:textId="5BDE9566" w:rsidR="00283B92" w:rsidRDefault="00310AE3" w:rsidP="00DA1422">
            <w:r>
              <w:t>active</w:t>
            </w:r>
          </w:p>
        </w:tc>
      </w:tr>
      <w:tr w:rsidR="00283B92" w14:paraId="046AB55D" w14:textId="1D7BD87D" w:rsidTr="00684549">
        <w:tc>
          <w:tcPr>
            <w:tcW w:w="1255" w:type="dxa"/>
          </w:tcPr>
          <w:p w14:paraId="1425437D" w14:textId="54997863" w:rsidR="00283B92" w:rsidRDefault="00EE7206" w:rsidP="00DA1422">
            <w:r>
              <w:t>LADEE</w:t>
            </w:r>
            <w:r>
              <w:rPr>
                <w:rStyle w:val="FootnoteReference"/>
              </w:rPr>
              <w:footnoteReference w:id="5"/>
            </w:r>
          </w:p>
        </w:tc>
        <w:tc>
          <w:tcPr>
            <w:tcW w:w="1080" w:type="dxa"/>
          </w:tcPr>
          <w:p w14:paraId="749AD2FF" w14:textId="7A5E7876" w:rsidR="00283B92" w:rsidRDefault="00EE7206" w:rsidP="00DA1422">
            <w:r>
              <w:t>2013</w:t>
            </w:r>
          </w:p>
        </w:tc>
        <w:tc>
          <w:tcPr>
            <w:tcW w:w="1530" w:type="dxa"/>
          </w:tcPr>
          <w:p w14:paraId="729D7080" w14:textId="1C85FB41" w:rsidR="00283B92" w:rsidRDefault="00EE7206" w:rsidP="00DA1422">
            <w:r>
              <w:t>D</w:t>
            </w:r>
          </w:p>
        </w:tc>
        <w:tc>
          <w:tcPr>
            <w:tcW w:w="1980" w:type="dxa"/>
          </w:tcPr>
          <w:p w14:paraId="1CF1E60C" w14:textId="60E74B46" w:rsidR="00283B92" w:rsidRDefault="00EE7206" w:rsidP="00DA1422">
            <w:r>
              <w:t>100 days</w:t>
            </w:r>
          </w:p>
        </w:tc>
        <w:tc>
          <w:tcPr>
            <w:tcW w:w="1710" w:type="dxa"/>
          </w:tcPr>
          <w:p w14:paraId="07132478" w14:textId="70A72C60" w:rsidR="00283B92" w:rsidRDefault="00EE7206" w:rsidP="00DA1422">
            <w:r>
              <w:t>223 days</w:t>
            </w:r>
          </w:p>
        </w:tc>
        <w:tc>
          <w:tcPr>
            <w:tcW w:w="1980" w:type="dxa"/>
          </w:tcPr>
          <w:p w14:paraId="332CE6F6" w14:textId="14D8F1BE" w:rsidR="00283B92" w:rsidRDefault="00034090" w:rsidP="00DA1422">
            <w:r>
              <w:t xml:space="preserve">objectives </w:t>
            </w:r>
            <w:r w:rsidR="001F5220">
              <w:t>completed</w:t>
            </w:r>
          </w:p>
        </w:tc>
      </w:tr>
      <w:tr w:rsidR="000F36F0" w14:paraId="7412968A" w14:textId="77777777" w:rsidTr="00684549">
        <w:tc>
          <w:tcPr>
            <w:tcW w:w="1255" w:type="dxa"/>
          </w:tcPr>
          <w:p w14:paraId="25D63722" w14:textId="6FDF0F31" w:rsidR="000F36F0" w:rsidRDefault="000F36F0" w:rsidP="00DA1422">
            <w:r>
              <w:t>TDRS-L</w:t>
            </w:r>
          </w:p>
        </w:tc>
        <w:tc>
          <w:tcPr>
            <w:tcW w:w="1080" w:type="dxa"/>
          </w:tcPr>
          <w:p w14:paraId="260DDB6F" w14:textId="17C2D6AE" w:rsidR="000F36F0" w:rsidRDefault="000F36F0" w:rsidP="00DA1422">
            <w:r>
              <w:t>2014</w:t>
            </w:r>
          </w:p>
        </w:tc>
        <w:tc>
          <w:tcPr>
            <w:tcW w:w="1530" w:type="dxa"/>
          </w:tcPr>
          <w:p w14:paraId="7CA8011F" w14:textId="5192F11C" w:rsidR="000F36F0" w:rsidRDefault="000F36F0" w:rsidP="00DA1422">
            <w:r>
              <w:t>B</w:t>
            </w:r>
          </w:p>
        </w:tc>
        <w:tc>
          <w:tcPr>
            <w:tcW w:w="1980" w:type="dxa"/>
          </w:tcPr>
          <w:p w14:paraId="543FED42" w14:textId="0E9A30F5" w:rsidR="000F36F0" w:rsidRDefault="000F36F0" w:rsidP="00DA1422">
            <w:r>
              <w:t>15</w:t>
            </w:r>
          </w:p>
        </w:tc>
        <w:tc>
          <w:tcPr>
            <w:tcW w:w="1710" w:type="dxa"/>
          </w:tcPr>
          <w:p w14:paraId="337DE581" w14:textId="0B837817" w:rsidR="000F36F0" w:rsidRDefault="000F36F0" w:rsidP="00DA1422">
            <w:r>
              <w:t>8+</w:t>
            </w:r>
          </w:p>
        </w:tc>
        <w:tc>
          <w:tcPr>
            <w:tcW w:w="1980" w:type="dxa"/>
          </w:tcPr>
          <w:p w14:paraId="7FDA483F" w14:textId="5B19CCAA" w:rsidR="000F36F0" w:rsidRDefault="000F36F0" w:rsidP="00DA1422">
            <w:r>
              <w:t>active</w:t>
            </w:r>
          </w:p>
        </w:tc>
      </w:tr>
      <w:tr w:rsidR="00283B92" w14:paraId="0D4358BE" w14:textId="5CA54402" w:rsidTr="00684549">
        <w:tc>
          <w:tcPr>
            <w:tcW w:w="1255" w:type="dxa"/>
          </w:tcPr>
          <w:p w14:paraId="0CBC52E2" w14:textId="7CAE3DAC" w:rsidR="00283B92" w:rsidRDefault="00132BDC" w:rsidP="00DA1422">
            <w:r>
              <w:t>GPM</w:t>
            </w:r>
          </w:p>
        </w:tc>
        <w:tc>
          <w:tcPr>
            <w:tcW w:w="1080" w:type="dxa"/>
          </w:tcPr>
          <w:p w14:paraId="2FC44E04" w14:textId="570310D3" w:rsidR="00283B92" w:rsidRDefault="00132BDC" w:rsidP="00DA1422">
            <w:r>
              <w:t>2014</w:t>
            </w:r>
          </w:p>
        </w:tc>
        <w:tc>
          <w:tcPr>
            <w:tcW w:w="1530" w:type="dxa"/>
          </w:tcPr>
          <w:p w14:paraId="18F1C5D9" w14:textId="53BA6D77" w:rsidR="00283B92" w:rsidRDefault="00132BDC" w:rsidP="00DA1422">
            <w:r>
              <w:t>B</w:t>
            </w:r>
          </w:p>
        </w:tc>
        <w:tc>
          <w:tcPr>
            <w:tcW w:w="1980" w:type="dxa"/>
          </w:tcPr>
          <w:p w14:paraId="0E3FD9DF" w14:textId="77335248" w:rsidR="00283B92" w:rsidRDefault="00132BDC" w:rsidP="00DA1422">
            <w:r>
              <w:t>3</w:t>
            </w:r>
          </w:p>
        </w:tc>
        <w:tc>
          <w:tcPr>
            <w:tcW w:w="1710" w:type="dxa"/>
          </w:tcPr>
          <w:p w14:paraId="4295F0CA" w14:textId="71D5C56D" w:rsidR="00283B92" w:rsidRDefault="00132BDC" w:rsidP="00DA1422">
            <w:r>
              <w:t>8+</w:t>
            </w:r>
          </w:p>
        </w:tc>
        <w:tc>
          <w:tcPr>
            <w:tcW w:w="1980" w:type="dxa"/>
          </w:tcPr>
          <w:p w14:paraId="4B2ED5FF" w14:textId="378AC964" w:rsidR="00283B92" w:rsidRDefault="00132BDC" w:rsidP="00DA1422">
            <w:r>
              <w:t>active</w:t>
            </w:r>
          </w:p>
        </w:tc>
      </w:tr>
      <w:tr w:rsidR="00283B92" w14:paraId="4BAC686D" w14:textId="5ED4663C" w:rsidTr="00684549">
        <w:tc>
          <w:tcPr>
            <w:tcW w:w="1255" w:type="dxa"/>
          </w:tcPr>
          <w:p w14:paraId="6BB01EF4" w14:textId="1E2CF8B4" w:rsidR="00283B92" w:rsidRDefault="00BC11A5" w:rsidP="00DA1422">
            <w:r>
              <w:t>DSCOVR</w:t>
            </w:r>
          </w:p>
        </w:tc>
        <w:tc>
          <w:tcPr>
            <w:tcW w:w="1080" w:type="dxa"/>
          </w:tcPr>
          <w:p w14:paraId="5EA05DBE" w14:textId="6F14A3ED" w:rsidR="00283B92" w:rsidRDefault="00BC11A5" w:rsidP="00DA1422">
            <w:r>
              <w:t>2015</w:t>
            </w:r>
          </w:p>
        </w:tc>
        <w:tc>
          <w:tcPr>
            <w:tcW w:w="1530" w:type="dxa"/>
          </w:tcPr>
          <w:p w14:paraId="49391977" w14:textId="56703464" w:rsidR="00283B92" w:rsidRDefault="00BC11A5" w:rsidP="00DA1422">
            <w:r>
              <w:t>D</w:t>
            </w:r>
          </w:p>
        </w:tc>
        <w:tc>
          <w:tcPr>
            <w:tcW w:w="1980" w:type="dxa"/>
          </w:tcPr>
          <w:p w14:paraId="2E92C319" w14:textId="54EB456D" w:rsidR="00283B92" w:rsidRDefault="00EF378F" w:rsidP="00DA1422">
            <w:r>
              <w:t>2</w:t>
            </w:r>
          </w:p>
        </w:tc>
        <w:tc>
          <w:tcPr>
            <w:tcW w:w="1710" w:type="dxa"/>
          </w:tcPr>
          <w:p w14:paraId="4F5359E4" w14:textId="68A11245" w:rsidR="00283B92" w:rsidRDefault="00BC11A5" w:rsidP="00DA1422">
            <w:r>
              <w:t>7+</w:t>
            </w:r>
          </w:p>
        </w:tc>
        <w:tc>
          <w:tcPr>
            <w:tcW w:w="1980" w:type="dxa"/>
          </w:tcPr>
          <w:p w14:paraId="1562FA65" w14:textId="77F61362" w:rsidR="00283B92" w:rsidRDefault="00BC11A5" w:rsidP="00DA1422">
            <w:r>
              <w:t>active</w:t>
            </w:r>
          </w:p>
        </w:tc>
      </w:tr>
      <w:tr w:rsidR="00283B92" w14:paraId="29519873" w14:textId="112CAC11" w:rsidTr="00684549">
        <w:tc>
          <w:tcPr>
            <w:tcW w:w="1255" w:type="dxa"/>
          </w:tcPr>
          <w:p w14:paraId="302F0D51" w14:textId="596C589E" w:rsidR="00283B92" w:rsidRDefault="00E93869" w:rsidP="00DA1422">
            <w:r>
              <w:t>MMS (4 S/C)</w:t>
            </w:r>
          </w:p>
        </w:tc>
        <w:tc>
          <w:tcPr>
            <w:tcW w:w="1080" w:type="dxa"/>
          </w:tcPr>
          <w:p w14:paraId="181EAF99" w14:textId="2B90F509" w:rsidR="00283B92" w:rsidRDefault="00E93869" w:rsidP="00DA1422">
            <w:r>
              <w:t>2015</w:t>
            </w:r>
          </w:p>
        </w:tc>
        <w:tc>
          <w:tcPr>
            <w:tcW w:w="1530" w:type="dxa"/>
          </w:tcPr>
          <w:p w14:paraId="6C434BE2" w14:textId="5B07D4AD" w:rsidR="00283B92" w:rsidRDefault="00E93869" w:rsidP="00DA1422">
            <w:r>
              <w:t>C</w:t>
            </w:r>
          </w:p>
        </w:tc>
        <w:tc>
          <w:tcPr>
            <w:tcW w:w="1980" w:type="dxa"/>
          </w:tcPr>
          <w:p w14:paraId="6CC30BFE" w14:textId="4B41307F" w:rsidR="00283B92" w:rsidRDefault="00E93869" w:rsidP="00DA1422">
            <w:r>
              <w:t>5</w:t>
            </w:r>
          </w:p>
        </w:tc>
        <w:tc>
          <w:tcPr>
            <w:tcW w:w="1710" w:type="dxa"/>
          </w:tcPr>
          <w:p w14:paraId="11B008E3" w14:textId="396381C9" w:rsidR="00283B92" w:rsidRDefault="00E93869" w:rsidP="00DA1422">
            <w:r>
              <w:t>7+</w:t>
            </w:r>
          </w:p>
        </w:tc>
        <w:tc>
          <w:tcPr>
            <w:tcW w:w="1980" w:type="dxa"/>
          </w:tcPr>
          <w:p w14:paraId="79D1C491" w14:textId="0D33CC11" w:rsidR="00283B92" w:rsidRDefault="00E93869" w:rsidP="00DA1422">
            <w:r>
              <w:t>active</w:t>
            </w:r>
          </w:p>
        </w:tc>
      </w:tr>
      <w:tr w:rsidR="005B0EF8" w14:paraId="64E8F27B" w14:textId="77777777" w:rsidTr="00684549">
        <w:tc>
          <w:tcPr>
            <w:tcW w:w="1255" w:type="dxa"/>
          </w:tcPr>
          <w:p w14:paraId="702B94E3" w14:textId="595AA548" w:rsidR="005B0EF8" w:rsidRDefault="005B0EF8" w:rsidP="00DA1422">
            <w:r>
              <w:t>SMAP</w:t>
            </w:r>
            <w:r>
              <w:rPr>
                <w:rStyle w:val="FootnoteReference"/>
              </w:rPr>
              <w:footnoteReference w:id="6"/>
            </w:r>
          </w:p>
        </w:tc>
        <w:tc>
          <w:tcPr>
            <w:tcW w:w="1080" w:type="dxa"/>
          </w:tcPr>
          <w:p w14:paraId="52FBC405" w14:textId="1F6DBBEB" w:rsidR="005B0EF8" w:rsidRDefault="005B0EF8" w:rsidP="00DA1422">
            <w:r>
              <w:t>2015</w:t>
            </w:r>
          </w:p>
        </w:tc>
        <w:tc>
          <w:tcPr>
            <w:tcW w:w="1530" w:type="dxa"/>
          </w:tcPr>
          <w:p w14:paraId="1F9BE1E3" w14:textId="0E44BFAA" w:rsidR="005B0EF8" w:rsidRDefault="005B0EF8" w:rsidP="00DA1422">
            <w:r>
              <w:t>C</w:t>
            </w:r>
          </w:p>
        </w:tc>
        <w:tc>
          <w:tcPr>
            <w:tcW w:w="1980" w:type="dxa"/>
          </w:tcPr>
          <w:p w14:paraId="3A3594C9" w14:textId="14884D37" w:rsidR="005B0EF8" w:rsidRDefault="005B0EF8" w:rsidP="00DA1422">
            <w:r>
              <w:t>3</w:t>
            </w:r>
          </w:p>
        </w:tc>
        <w:tc>
          <w:tcPr>
            <w:tcW w:w="1710" w:type="dxa"/>
          </w:tcPr>
          <w:p w14:paraId="3499BC43" w14:textId="3126C60C" w:rsidR="005B0EF8" w:rsidRDefault="005B0EF8" w:rsidP="00DA1422">
            <w:r>
              <w:t>7+</w:t>
            </w:r>
          </w:p>
        </w:tc>
        <w:tc>
          <w:tcPr>
            <w:tcW w:w="1980" w:type="dxa"/>
          </w:tcPr>
          <w:p w14:paraId="08D816A2" w14:textId="06CEF9E8" w:rsidR="005B0EF8" w:rsidRDefault="005B0EF8" w:rsidP="00DA1422">
            <w:r>
              <w:t>Primary radar payload failed 7 months into mission – SEGR in the SAA, but team was able to get most science from the radiometer</w:t>
            </w:r>
          </w:p>
        </w:tc>
      </w:tr>
      <w:tr w:rsidR="00283B92" w14:paraId="19014E82" w14:textId="7F6ED7F2" w:rsidTr="00684549">
        <w:tc>
          <w:tcPr>
            <w:tcW w:w="1255" w:type="dxa"/>
          </w:tcPr>
          <w:p w14:paraId="3A523F28" w14:textId="5B2903DA" w:rsidR="00283B92" w:rsidRDefault="00605511" w:rsidP="00DA1422">
            <w:r>
              <w:t>GOES-R</w:t>
            </w:r>
          </w:p>
        </w:tc>
        <w:tc>
          <w:tcPr>
            <w:tcW w:w="1080" w:type="dxa"/>
          </w:tcPr>
          <w:p w14:paraId="004DB109" w14:textId="1C2090C9" w:rsidR="00283B92" w:rsidRDefault="00605511" w:rsidP="00DA1422">
            <w:r>
              <w:t>2016</w:t>
            </w:r>
          </w:p>
        </w:tc>
        <w:tc>
          <w:tcPr>
            <w:tcW w:w="1530" w:type="dxa"/>
          </w:tcPr>
          <w:p w14:paraId="3F8D4F08" w14:textId="761633BC" w:rsidR="00283B92" w:rsidRDefault="00605511" w:rsidP="00DA1422">
            <w:r>
              <w:t>B</w:t>
            </w:r>
            <w:r>
              <w:rPr>
                <w:rStyle w:val="FootnoteReference"/>
              </w:rPr>
              <w:footnoteReference w:id="7"/>
            </w:r>
          </w:p>
        </w:tc>
        <w:tc>
          <w:tcPr>
            <w:tcW w:w="1980" w:type="dxa"/>
          </w:tcPr>
          <w:p w14:paraId="2B1DB88E" w14:textId="686E7885" w:rsidR="00283B92" w:rsidRDefault="00A65908" w:rsidP="00DA1422">
            <w:r>
              <w:t>1</w:t>
            </w:r>
            <w:r w:rsidR="00147748">
              <w:t>5</w:t>
            </w:r>
          </w:p>
        </w:tc>
        <w:tc>
          <w:tcPr>
            <w:tcW w:w="1710" w:type="dxa"/>
          </w:tcPr>
          <w:p w14:paraId="2E3DEEDD" w14:textId="7CA63FC6" w:rsidR="00283B92" w:rsidRDefault="00A65908" w:rsidP="00DA1422">
            <w:r>
              <w:t>6+</w:t>
            </w:r>
          </w:p>
        </w:tc>
        <w:tc>
          <w:tcPr>
            <w:tcW w:w="1980" w:type="dxa"/>
          </w:tcPr>
          <w:p w14:paraId="5A5F670F" w14:textId="407A847D" w:rsidR="00283B92" w:rsidRDefault="00A65908" w:rsidP="00DA1422">
            <w:r>
              <w:t>active</w:t>
            </w:r>
          </w:p>
        </w:tc>
      </w:tr>
      <w:tr w:rsidR="00283B92" w14:paraId="18DC0831" w14:textId="190185F0" w:rsidTr="00684549">
        <w:tc>
          <w:tcPr>
            <w:tcW w:w="1255" w:type="dxa"/>
          </w:tcPr>
          <w:p w14:paraId="622D89DF" w14:textId="47F0C8D6" w:rsidR="00283B92" w:rsidRDefault="00A65908" w:rsidP="00DA1422">
            <w:r>
              <w:t>OSIRIS-</w:t>
            </w:r>
            <w:proofErr w:type="spellStart"/>
            <w:r>
              <w:t>REx</w:t>
            </w:r>
            <w:proofErr w:type="spellEnd"/>
          </w:p>
        </w:tc>
        <w:tc>
          <w:tcPr>
            <w:tcW w:w="1080" w:type="dxa"/>
          </w:tcPr>
          <w:p w14:paraId="080F1625" w14:textId="6E1DA10D" w:rsidR="00283B92" w:rsidRDefault="00A65908" w:rsidP="00DA1422">
            <w:r>
              <w:t>2016</w:t>
            </w:r>
          </w:p>
        </w:tc>
        <w:tc>
          <w:tcPr>
            <w:tcW w:w="1530" w:type="dxa"/>
          </w:tcPr>
          <w:p w14:paraId="45D12CA8" w14:textId="5CB4DDEE" w:rsidR="00283B92" w:rsidRDefault="00A65908" w:rsidP="00DA1422">
            <w:r>
              <w:t>B</w:t>
            </w:r>
          </w:p>
        </w:tc>
        <w:tc>
          <w:tcPr>
            <w:tcW w:w="1980" w:type="dxa"/>
          </w:tcPr>
          <w:p w14:paraId="04AB111C" w14:textId="15EE326B" w:rsidR="00283B92" w:rsidRDefault="00A65908" w:rsidP="00DA1422">
            <w:r>
              <w:t>7</w:t>
            </w:r>
          </w:p>
        </w:tc>
        <w:tc>
          <w:tcPr>
            <w:tcW w:w="1710" w:type="dxa"/>
          </w:tcPr>
          <w:p w14:paraId="31BC1E1D" w14:textId="1D13F136" w:rsidR="00283B92" w:rsidRDefault="00A65908" w:rsidP="00DA1422">
            <w:r>
              <w:t>5+</w:t>
            </w:r>
          </w:p>
        </w:tc>
        <w:tc>
          <w:tcPr>
            <w:tcW w:w="1980" w:type="dxa"/>
          </w:tcPr>
          <w:p w14:paraId="6A7C19B5" w14:textId="2E1CD2E5" w:rsidR="00283B92" w:rsidRDefault="00A65908" w:rsidP="00DA1422">
            <w:r>
              <w:t>active</w:t>
            </w:r>
          </w:p>
        </w:tc>
      </w:tr>
      <w:tr w:rsidR="0024472C" w14:paraId="7F1D0DDB" w14:textId="77777777" w:rsidTr="00684549">
        <w:tc>
          <w:tcPr>
            <w:tcW w:w="1255" w:type="dxa"/>
          </w:tcPr>
          <w:p w14:paraId="3947036A" w14:textId="5F303D7E" w:rsidR="0024472C" w:rsidRDefault="0024472C" w:rsidP="00DA1422">
            <w:r>
              <w:t>ASTRO-H</w:t>
            </w:r>
            <w:r>
              <w:rPr>
                <w:rStyle w:val="FootnoteReference"/>
              </w:rPr>
              <w:footnoteReference w:id="8"/>
            </w:r>
          </w:p>
        </w:tc>
        <w:tc>
          <w:tcPr>
            <w:tcW w:w="1080" w:type="dxa"/>
          </w:tcPr>
          <w:p w14:paraId="745AC987" w14:textId="67727FAD" w:rsidR="0024472C" w:rsidRDefault="0024472C" w:rsidP="00DA1422">
            <w:r>
              <w:t>2016</w:t>
            </w:r>
          </w:p>
        </w:tc>
        <w:tc>
          <w:tcPr>
            <w:tcW w:w="1530" w:type="dxa"/>
          </w:tcPr>
          <w:p w14:paraId="59F23FF2" w14:textId="746BF5EE" w:rsidR="0024472C" w:rsidRDefault="0024472C" w:rsidP="00DA1422">
            <w:r>
              <w:t>C</w:t>
            </w:r>
          </w:p>
        </w:tc>
        <w:tc>
          <w:tcPr>
            <w:tcW w:w="1980" w:type="dxa"/>
          </w:tcPr>
          <w:p w14:paraId="3D8C0327" w14:textId="06E3F1D6" w:rsidR="0024472C" w:rsidRDefault="0024472C" w:rsidP="00DA1422">
            <w:r>
              <w:t>3</w:t>
            </w:r>
          </w:p>
        </w:tc>
        <w:tc>
          <w:tcPr>
            <w:tcW w:w="1710" w:type="dxa"/>
          </w:tcPr>
          <w:p w14:paraId="3F61B9A6" w14:textId="2B0E1E1B" w:rsidR="0024472C" w:rsidRDefault="0024472C" w:rsidP="00DA1422">
            <w:r>
              <w:t>0</w:t>
            </w:r>
          </w:p>
        </w:tc>
        <w:tc>
          <w:tcPr>
            <w:tcW w:w="1980" w:type="dxa"/>
          </w:tcPr>
          <w:p w14:paraId="231BDDEA" w14:textId="085CB1A0" w:rsidR="0024472C" w:rsidRDefault="0024472C" w:rsidP="00DA1422">
            <w:r>
              <w:t xml:space="preserve">attitude control failure </w:t>
            </w:r>
          </w:p>
        </w:tc>
      </w:tr>
      <w:tr w:rsidR="00283B92" w14:paraId="3D7D4842" w14:textId="35F32692" w:rsidTr="00684549">
        <w:tc>
          <w:tcPr>
            <w:tcW w:w="1255" w:type="dxa"/>
          </w:tcPr>
          <w:p w14:paraId="4C33087B" w14:textId="2E1B2DC3" w:rsidR="00283B92" w:rsidRDefault="00C063D4" w:rsidP="00DA1422">
            <w:r>
              <w:t>NICER</w:t>
            </w:r>
          </w:p>
        </w:tc>
        <w:tc>
          <w:tcPr>
            <w:tcW w:w="1080" w:type="dxa"/>
          </w:tcPr>
          <w:p w14:paraId="5CD937DD" w14:textId="47657A5F" w:rsidR="00283B92" w:rsidRDefault="00C063D4" w:rsidP="00DA1422">
            <w:r>
              <w:t>2017</w:t>
            </w:r>
          </w:p>
        </w:tc>
        <w:tc>
          <w:tcPr>
            <w:tcW w:w="1530" w:type="dxa"/>
          </w:tcPr>
          <w:p w14:paraId="144109AE" w14:textId="2EBF9EE1" w:rsidR="00283B92" w:rsidRDefault="00C063D4" w:rsidP="00DA1422">
            <w:r>
              <w:t>D</w:t>
            </w:r>
          </w:p>
        </w:tc>
        <w:tc>
          <w:tcPr>
            <w:tcW w:w="1980" w:type="dxa"/>
          </w:tcPr>
          <w:p w14:paraId="1E1D1D5F" w14:textId="6596AF28" w:rsidR="00283B92" w:rsidRDefault="00C063D4" w:rsidP="00DA1422">
            <w:r>
              <w:t>1.5</w:t>
            </w:r>
          </w:p>
        </w:tc>
        <w:tc>
          <w:tcPr>
            <w:tcW w:w="1710" w:type="dxa"/>
          </w:tcPr>
          <w:p w14:paraId="5DFC9216" w14:textId="29FC2DB0" w:rsidR="00283B92" w:rsidRDefault="00C063D4" w:rsidP="00DA1422">
            <w:r>
              <w:t>5+</w:t>
            </w:r>
          </w:p>
        </w:tc>
        <w:tc>
          <w:tcPr>
            <w:tcW w:w="1980" w:type="dxa"/>
          </w:tcPr>
          <w:p w14:paraId="4C1B8582" w14:textId="1D4CD963" w:rsidR="00283B92" w:rsidRDefault="00C063D4" w:rsidP="00DA1422">
            <w:r>
              <w:t>active</w:t>
            </w:r>
          </w:p>
        </w:tc>
      </w:tr>
      <w:tr w:rsidR="00283B92" w14:paraId="36025659" w14:textId="56DD973B" w:rsidTr="00684549">
        <w:tc>
          <w:tcPr>
            <w:tcW w:w="1255" w:type="dxa"/>
          </w:tcPr>
          <w:p w14:paraId="0A49E5E5" w14:textId="15F2AA6E" w:rsidR="00283B92" w:rsidRDefault="00C063D4" w:rsidP="00DA1422">
            <w:r>
              <w:t>JPSS-1</w:t>
            </w:r>
          </w:p>
        </w:tc>
        <w:tc>
          <w:tcPr>
            <w:tcW w:w="1080" w:type="dxa"/>
          </w:tcPr>
          <w:p w14:paraId="50053478" w14:textId="0C8579A9" w:rsidR="00283B92" w:rsidRDefault="00147748" w:rsidP="00DA1422">
            <w:r>
              <w:t>2017</w:t>
            </w:r>
          </w:p>
        </w:tc>
        <w:tc>
          <w:tcPr>
            <w:tcW w:w="1530" w:type="dxa"/>
          </w:tcPr>
          <w:p w14:paraId="72BAB4DC" w14:textId="2ABCF08C" w:rsidR="00283B92" w:rsidRDefault="00147748" w:rsidP="00DA1422">
            <w:r>
              <w:t>B</w:t>
            </w:r>
          </w:p>
        </w:tc>
        <w:tc>
          <w:tcPr>
            <w:tcW w:w="1980" w:type="dxa"/>
          </w:tcPr>
          <w:p w14:paraId="7FB950E2" w14:textId="48F24C98" w:rsidR="00283B92" w:rsidRDefault="00147748" w:rsidP="00DA1422">
            <w:r>
              <w:t>7</w:t>
            </w:r>
          </w:p>
        </w:tc>
        <w:tc>
          <w:tcPr>
            <w:tcW w:w="1710" w:type="dxa"/>
          </w:tcPr>
          <w:p w14:paraId="0360DCC6" w14:textId="5F5CFDE4" w:rsidR="00283B92" w:rsidRDefault="00147748" w:rsidP="00DA1422">
            <w:r>
              <w:t>4+</w:t>
            </w:r>
          </w:p>
        </w:tc>
        <w:tc>
          <w:tcPr>
            <w:tcW w:w="1980" w:type="dxa"/>
          </w:tcPr>
          <w:p w14:paraId="0DFF8575" w14:textId="508BEBD8" w:rsidR="00283B92" w:rsidRDefault="00147748" w:rsidP="00DA1422">
            <w:r>
              <w:t>active</w:t>
            </w:r>
          </w:p>
        </w:tc>
      </w:tr>
      <w:tr w:rsidR="00054EDC" w14:paraId="7FEE628C" w14:textId="77777777" w:rsidTr="00684549">
        <w:tc>
          <w:tcPr>
            <w:tcW w:w="1255" w:type="dxa"/>
          </w:tcPr>
          <w:p w14:paraId="3488490C" w14:textId="179D20CC" w:rsidR="00054EDC" w:rsidRDefault="00054EDC" w:rsidP="00DA1422">
            <w:r>
              <w:t>TSIS</w:t>
            </w:r>
          </w:p>
        </w:tc>
        <w:tc>
          <w:tcPr>
            <w:tcW w:w="1080" w:type="dxa"/>
          </w:tcPr>
          <w:p w14:paraId="6B672BA5" w14:textId="545242D1" w:rsidR="00054EDC" w:rsidRDefault="00054EDC" w:rsidP="00DA1422">
            <w:r>
              <w:t>2017</w:t>
            </w:r>
          </w:p>
        </w:tc>
        <w:tc>
          <w:tcPr>
            <w:tcW w:w="1530" w:type="dxa"/>
          </w:tcPr>
          <w:p w14:paraId="7002546C" w14:textId="3B067241" w:rsidR="00054EDC" w:rsidRDefault="00054EDC" w:rsidP="00DA1422">
            <w:r>
              <w:t>C</w:t>
            </w:r>
          </w:p>
        </w:tc>
        <w:tc>
          <w:tcPr>
            <w:tcW w:w="1980" w:type="dxa"/>
          </w:tcPr>
          <w:p w14:paraId="246D9A43" w14:textId="6E5B1605" w:rsidR="00054EDC" w:rsidRDefault="00054EDC" w:rsidP="00DA1422">
            <w:r>
              <w:t>5</w:t>
            </w:r>
          </w:p>
        </w:tc>
        <w:tc>
          <w:tcPr>
            <w:tcW w:w="1710" w:type="dxa"/>
          </w:tcPr>
          <w:p w14:paraId="1BC3CCE4" w14:textId="63111353" w:rsidR="00054EDC" w:rsidRDefault="00054EDC" w:rsidP="00DA1422">
            <w:r>
              <w:t>4+</w:t>
            </w:r>
          </w:p>
        </w:tc>
        <w:tc>
          <w:tcPr>
            <w:tcW w:w="1980" w:type="dxa"/>
          </w:tcPr>
          <w:p w14:paraId="4198046B" w14:textId="2EF1CA24" w:rsidR="00054EDC" w:rsidRDefault="00054EDC" w:rsidP="00DA1422">
            <w:r>
              <w:t>active</w:t>
            </w:r>
          </w:p>
        </w:tc>
      </w:tr>
      <w:tr w:rsidR="000F36F0" w14:paraId="4EF55ADD" w14:textId="77777777" w:rsidTr="00684549">
        <w:tc>
          <w:tcPr>
            <w:tcW w:w="1255" w:type="dxa"/>
          </w:tcPr>
          <w:p w14:paraId="53D9AF8A" w14:textId="74E86F82" w:rsidR="000F36F0" w:rsidRDefault="000F36F0" w:rsidP="00DA1422">
            <w:r>
              <w:t>TDRS-</w:t>
            </w:r>
            <w:r w:rsidR="00B170A6">
              <w:t>M</w:t>
            </w:r>
          </w:p>
        </w:tc>
        <w:tc>
          <w:tcPr>
            <w:tcW w:w="1080" w:type="dxa"/>
          </w:tcPr>
          <w:p w14:paraId="61301A98" w14:textId="638B5621" w:rsidR="000F36F0" w:rsidRDefault="000F36F0" w:rsidP="00DA1422">
            <w:r>
              <w:t>2017</w:t>
            </w:r>
          </w:p>
        </w:tc>
        <w:tc>
          <w:tcPr>
            <w:tcW w:w="1530" w:type="dxa"/>
          </w:tcPr>
          <w:p w14:paraId="0D7934C7" w14:textId="76169B06" w:rsidR="000F36F0" w:rsidRDefault="000F36F0" w:rsidP="00DA1422">
            <w:r>
              <w:t>B</w:t>
            </w:r>
          </w:p>
        </w:tc>
        <w:tc>
          <w:tcPr>
            <w:tcW w:w="1980" w:type="dxa"/>
          </w:tcPr>
          <w:p w14:paraId="7DEA7DEC" w14:textId="2A8E908A" w:rsidR="000F36F0" w:rsidRDefault="000F36F0" w:rsidP="00DA1422">
            <w:r>
              <w:t>15</w:t>
            </w:r>
          </w:p>
        </w:tc>
        <w:tc>
          <w:tcPr>
            <w:tcW w:w="1710" w:type="dxa"/>
          </w:tcPr>
          <w:p w14:paraId="27EDB974" w14:textId="4882EB41" w:rsidR="000F36F0" w:rsidRDefault="00B170A6" w:rsidP="00DA1422">
            <w:r>
              <w:t>5+</w:t>
            </w:r>
          </w:p>
        </w:tc>
        <w:tc>
          <w:tcPr>
            <w:tcW w:w="1980" w:type="dxa"/>
          </w:tcPr>
          <w:p w14:paraId="65F04E36" w14:textId="61AF2F3B" w:rsidR="000F36F0" w:rsidRDefault="00B170A6" w:rsidP="00DA1422">
            <w:r>
              <w:t>active</w:t>
            </w:r>
          </w:p>
        </w:tc>
      </w:tr>
      <w:tr w:rsidR="00283B92" w14:paraId="0E2E7BF5" w14:textId="1EAF96DF" w:rsidTr="00684549">
        <w:tc>
          <w:tcPr>
            <w:tcW w:w="1255" w:type="dxa"/>
          </w:tcPr>
          <w:p w14:paraId="12B75393" w14:textId="68DDFADB" w:rsidR="00283B92" w:rsidRDefault="00147748" w:rsidP="00DA1422">
            <w:r>
              <w:t>GOES-S</w:t>
            </w:r>
          </w:p>
        </w:tc>
        <w:tc>
          <w:tcPr>
            <w:tcW w:w="1080" w:type="dxa"/>
          </w:tcPr>
          <w:p w14:paraId="1E0DED92" w14:textId="4C849014" w:rsidR="00283B92" w:rsidRDefault="00147748" w:rsidP="00DA1422">
            <w:r>
              <w:t>2018</w:t>
            </w:r>
          </w:p>
        </w:tc>
        <w:tc>
          <w:tcPr>
            <w:tcW w:w="1530" w:type="dxa"/>
          </w:tcPr>
          <w:p w14:paraId="175FB23D" w14:textId="6C1CA6EB" w:rsidR="00283B92" w:rsidRDefault="00147748" w:rsidP="00DA1422">
            <w:r>
              <w:t>B</w:t>
            </w:r>
          </w:p>
        </w:tc>
        <w:tc>
          <w:tcPr>
            <w:tcW w:w="1980" w:type="dxa"/>
          </w:tcPr>
          <w:p w14:paraId="4D458A7A" w14:textId="02DE3177" w:rsidR="00283B92" w:rsidRDefault="00147748" w:rsidP="00DA1422">
            <w:r>
              <w:t>15</w:t>
            </w:r>
          </w:p>
        </w:tc>
        <w:tc>
          <w:tcPr>
            <w:tcW w:w="1710" w:type="dxa"/>
          </w:tcPr>
          <w:p w14:paraId="7FDE4C9F" w14:textId="49FD2EE5" w:rsidR="00283B92" w:rsidRDefault="00147748" w:rsidP="00DA1422">
            <w:r>
              <w:t>4+</w:t>
            </w:r>
          </w:p>
        </w:tc>
        <w:tc>
          <w:tcPr>
            <w:tcW w:w="1980" w:type="dxa"/>
          </w:tcPr>
          <w:p w14:paraId="513BB9C9" w14:textId="0F400F0C" w:rsidR="00283B92" w:rsidRDefault="00147748" w:rsidP="00DA1422">
            <w:r>
              <w:t>active</w:t>
            </w:r>
            <w:r w:rsidR="00E602F1">
              <w:rPr>
                <w:rStyle w:val="FootnoteReference"/>
              </w:rPr>
              <w:footnoteReference w:id="9"/>
            </w:r>
          </w:p>
        </w:tc>
      </w:tr>
      <w:tr w:rsidR="00603E2B" w14:paraId="2BF3B68F" w14:textId="77777777" w:rsidTr="00913032">
        <w:tc>
          <w:tcPr>
            <w:tcW w:w="1255" w:type="dxa"/>
          </w:tcPr>
          <w:p w14:paraId="07EFF14A" w14:textId="5E057416" w:rsidR="00603E2B" w:rsidRDefault="00603E2B" w:rsidP="00DA1422">
            <w:r>
              <w:t>GEDI</w:t>
            </w:r>
          </w:p>
        </w:tc>
        <w:tc>
          <w:tcPr>
            <w:tcW w:w="1080" w:type="dxa"/>
          </w:tcPr>
          <w:p w14:paraId="1B085976" w14:textId="10BAD16D" w:rsidR="00603E2B" w:rsidRDefault="00603E2B" w:rsidP="00DA1422">
            <w:r>
              <w:t>2018</w:t>
            </w:r>
          </w:p>
        </w:tc>
        <w:tc>
          <w:tcPr>
            <w:tcW w:w="1530" w:type="dxa"/>
          </w:tcPr>
          <w:p w14:paraId="2A5CB279" w14:textId="52BB0CB9" w:rsidR="00603E2B" w:rsidRDefault="00603E2B" w:rsidP="00DA1422">
            <w:r>
              <w:t>C</w:t>
            </w:r>
          </w:p>
        </w:tc>
        <w:tc>
          <w:tcPr>
            <w:tcW w:w="1980" w:type="dxa"/>
          </w:tcPr>
          <w:p w14:paraId="4137A50C" w14:textId="3893546F" w:rsidR="00603E2B" w:rsidRDefault="00603E2B" w:rsidP="00DA1422">
            <w:r>
              <w:t>2</w:t>
            </w:r>
          </w:p>
        </w:tc>
        <w:tc>
          <w:tcPr>
            <w:tcW w:w="1710" w:type="dxa"/>
          </w:tcPr>
          <w:p w14:paraId="0EC39614" w14:textId="6AFD1FBE" w:rsidR="00603E2B" w:rsidRDefault="00603E2B" w:rsidP="00DA1422">
            <w:r>
              <w:t>3+</w:t>
            </w:r>
          </w:p>
        </w:tc>
        <w:tc>
          <w:tcPr>
            <w:tcW w:w="1980" w:type="dxa"/>
          </w:tcPr>
          <w:p w14:paraId="00613325" w14:textId="4B44428F" w:rsidR="00603E2B" w:rsidRDefault="00603E2B" w:rsidP="00DA1422">
            <w:r>
              <w:t>active</w:t>
            </w:r>
          </w:p>
        </w:tc>
      </w:tr>
      <w:tr w:rsidR="00603E2B" w14:paraId="43A97839" w14:textId="77777777" w:rsidTr="00913032">
        <w:tc>
          <w:tcPr>
            <w:tcW w:w="1255" w:type="dxa"/>
          </w:tcPr>
          <w:p w14:paraId="415EA861" w14:textId="249334E0" w:rsidR="00603E2B" w:rsidRDefault="0066106F" w:rsidP="00DA1422">
            <w:r>
              <w:lastRenderedPageBreak/>
              <w:t>ICESat-2</w:t>
            </w:r>
          </w:p>
        </w:tc>
        <w:tc>
          <w:tcPr>
            <w:tcW w:w="1080" w:type="dxa"/>
          </w:tcPr>
          <w:p w14:paraId="676E641B" w14:textId="5F4BD183" w:rsidR="00603E2B" w:rsidRDefault="0066106F" w:rsidP="00DA1422">
            <w:r>
              <w:t>2018</w:t>
            </w:r>
          </w:p>
        </w:tc>
        <w:tc>
          <w:tcPr>
            <w:tcW w:w="1530" w:type="dxa"/>
          </w:tcPr>
          <w:p w14:paraId="11035BF8" w14:textId="54855068" w:rsidR="00603E2B" w:rsidRDefault="0066106F" w:rsidP="00DA1422">
            <w:r>
              <w:t>C</w:t>
            </w:r>
          </w:p>
        </w:tc>
        <w:tc>
          <w:tcPr>
            <w:tcW w:w="1980" w:type="dxa"/>
          </w:tcPr>
          <w:p w14:paraId="48EBEBBF" w14:textId="083EF602" w:rsidR="00603E2B" w:rsidRDefault="0066106F" w:rsidP="00DA1422">
            <w:r>
              <w:t>3</w:t>
            </w:r>
          </w:p>
        </w:tc>
        <w:tc>
          <w:tcPr>
            <w:tcW w:w="1710" w:type="dxa"/>
          </w:tcPr>
          <w:p w14:paraId="1DBFD023" w14:textId="21F984D5" w:rsidR="00603E2B" w:rsidRDefault="0066106F" w:rsidP="00DA1422">
            <w:r>
              <w:t>3+</w:t>
            </w:r>
          </w:p>
        </w:tc>
        <w:tc>
          <w:tcPr>
            <w:tcW w:w="1980" w:type="dxa"/>
          </w:tcPr>
          <w:p w14:paraId="62A088B5" w14:textId="2935EB9D" w:rsidR="00603E2B" w:rsidRDefault="0066106F" w:rsidP="00DA1422">
            <w:r>
              <w:t>active</w:t>
            </w:r>
          </w:p>
        </w:tc>
      </w:tr>
      <w:tr w:rsidR="005B0EF8" w14:paraId="2764D92F" w14:textId="77777777" w:rsidTr="00913032">
        <w:tc>
          <w:tcPr>
            <w:tcW w:w="1255" w:type="dxa"/>
          </w:tcPr>
          <w:p w14:paraId="48BDF96E" w14:textId="2A585A0D" w:rsidR="005B0EF8" w:rsidRDefault="005B0EF8" w:rsidP="00DA1422">
            <w:r>
              <w:t>Solar Orbiter</w:t>
            </w:r>
          </w:p>
        </w:tc>
        <w:tc>
          <w:tcPr>
            <w:tcW w:w="1080" w:type="dxa"/>
          </w:tcPr>
          <w:p w14:paraId="3B16CC00" w14:textId="5002A6B6" w:rsidR="005B0EF8" w:rsidRDefault="005B0EF8" w:rsidP="00DA1422">
            <w:r>
              <w:t>2020</w:t>
            </w:r>
          </w:p>
        </w:tc>
        <w:tc>
          <w:tcPr>
            <w:tcW w:w="1530" w:type="dxa"/>
          </w:tcPr>
          <w:p w14:paraId="749CEA13" w14:textId="3D2D0F8F" w:rsidR="005B0EF8" w:rsidRDefault="005B0EF8" w:rsidP="00DA1422">
            <w:r>
              <w:t>C</w:t>
            </w:r>
          </w:p>
        </w:tc>
        <w:tc>
          <w:tcPr>
            <w:tcW w:w="1980" w:type="dxa"/>
          </w:tcPr>
          <w:p w14:paraId="42CCBF15" w14:textId="7DB767A8" w:rsidR="005B0EF8" w:rsidRDefault="005B0EF8" w:rsidP="00DA1422">
            <w:r>
              <w:t>7</w:t>
            </w:r>
          </w:p>
        </w:tc>
        <w:tc>
          <w:tcPr>
            <w:tcW w:w="1710" w:type="dxa"/>
          </w:tcPr>
          <w:p w14:paraId="43CB5CEC" w14:textId="263FF6A0" w:rsidR="005B0EF8" w:rsidRDefault="005B0EF8" w:rsidP="00DA1422">
            <w:r>
              <w:t>2+</w:t>
            </w:r>
          </w:p>
        </w:tc>
        <w:tc>
          <w:tcPr>
            <w:tcW w:w="1980" w:type="dxa"/>
          </w:tcPr>
          <w:p w14:paraId="6BB8B0D5" w14:textId="41948FEF" w:rsidR="005B0EF8" w:rsidRDefault="005B0EF8" w:rsidP="00DA1422">
            <w:r>
              <w:t>active</w:t>
            </w:r>
          </w:p>
        </w:tc>
      </w:tr>
      <w:tr w:rsidR="0066106F" w14:paraId="064F48B5" w14:textId="77777777" w:rsidTr="00913032">
        <w:tc>
          <w:tcPr>
            <w:tcW w:w="1255" w:type="dxa"/>
          </w:tcPr>
          <w:p w14:paraId="030F968E" w14:textId="4B9DCB21" w:rsidR="0066106F" w:rsidRDefault="0066106F" w:rsidP="00DA1422">
            <w:r>
              <w:t>JWST</w:t>
            </w:r>
          </w:p>
        </w:tc>
        <w:tc>
          <w:tcPr>
            <w:tcW w:w="1080" w:type="dxa"/>
          </w:tcPr>
          <w:p w14:paraId="080F6BF4" w14:textId="5BA6AB5D" w:rsidR="0066106F" w:rsidRDefault="0066106F" w:rsidP="00DA1422">
            <w:r>
              <w:t>2021</w:t>
            </w:r>
          </w:p>
        </w:tc>
        <w:tc>
          <w:tcPr>
            <w:tcW w:w="1530" w:type="dxa"/>
          </w:tcPr>
          <w:p w14:paraId="52AD231E" w14:textId="0BDED9D9" w:rsidR="0066106F" w:rsidRDefault="0066106F" w:rsidP="00DA1422">
            <w:r>
              <w:t>A</w:t>
            </w:r>
          </w:p>
        </w:tc>
        <w:tc>
          <w:tcPr>
            <w:tcW w:w="1980" w:type="dxa"/>
          </w:tcPr>
          <w:p w14:paraId="57291E90" w14:textId="7E865E7A" w:rsidR="0066106F" w:rsidRDefault="0066106F" w:rsidP="00DA1422">
            <w:r>
              <w:t>7</w:t>
            </w:r>
          </w:p>
        </w:tc>
        <w:tc>
          <w:tcPr>
            <w:tcW w:w="1710" w:type="dxa"/>
          </w:tcPr>
          <w:p w14:paraId="5F8661B6" w14:textId="1D72F3C7" w:rsidR="0066106F" w:rsidRDefault="0066106F" w:rsidP="00DA1422">
            <w:r>
              <w:t>0+</w:t>
            </w:r>
          </w:p>
        </w:tc>
        <w:tc>
          <w:tcPr>
            <w:tcW w:w="1980" w:type="dxa"/>
          </w:tcPr>
          <w:p w14:paraId="415F766F" w14:textId="5D79AF0B" w:rsidR="0066106F" w:rsidRDefault="0066106F" w:rsidP="00DA1422">
            <w:r>
              <w:t>active</w:t>
            </w:r>
          </w:p>
        </w:tc>
      </w:tr>
      <w:tr w:rsidR="0024472C" w14:paraId="3F7989A5" w14:textId="77777777" w:rsidTr="00913032">
        <w:tc>
          <w:tcPr>
            <w:tcW w:w="1255" w:type="dxa"/>
          </w:tcPr>
          <w:p w14:paraId="5DF230ED" w14:textId="640005B5" w:rsidR="0024472C" w:rsidRDefault="0024472C" w:rsidP="00DA1422">
            <w:r>
              <w:t>Lucy</w:t>
            </w:r>
          </w:p>
        </w:tc>
        <w:tc>
          <w:tcPr>
            <w:tcW w:w="1080" w:type="dxa"/>
          </w:tcPr>
          <w:p w14:paraId="2F4BECCF" w14:textId="2DF4C0FE" w:rsidR="0024472C" w:rsidRDefault="0024472C" w:rsidP="00DA1422">
            <w:r>
              <w:t>2021</w:t>
            </w:r>
          </w:p>
        </w:tc>
        <w:tc>
          <w:tcPr>
            <w:tcW w:w="1530" w:type="dxa"/>
          </w:tcPr>
          <w:p w14:paraId="0EC88C95" w14:textId="1FDA5FBE" w:rsidR="0024472C" w:rsidRDefault="0024472C" w:rsidP="00DA1422">
            <w:r>
              <w:t>B</w:t>
            </w:r>
          </w:p>
        </w:tc>
        <w:tc>
          <w:tcPr>
            <w:tcW w:w="1980" w:type="dxa"/>
          </w:tcPr>
          <w:p w14:paraId="3EC5D944" w14:textId="16A9E549" w:rsidR="0024472C" w:rsidRDefault="0024472C" w:rsidP="00DA1422">
            <w:r>
              <w:t>12</w:t>
            </w:r>
          </w:p>
        </w:tc>
        <w:tc>
          <w:tcPr>
            <w:tcW w:w="1710" w:type="dxa"/>
          </w:tcPr>
          <w:p w14:paraId="472CD4D4" w14:textId="51DEC75F" w:rsidR="0024472C" w:rsidRDefault="0024472C" w:rsidP="00DA1422">
            <w:r>
              <w:t>0+</w:t>
            </w:r>
          </w:p>
        </w:tc>
        <w:tc>
          <w:tcPr>
            <w:tcW w:w="1980" w:type="dxa"/>
          </w:tcPr>
          <w:p w14:paraId="1DED9BAA" w14:textId="5DBFC07D" w:rsidR="0024472C" w:rsidRDefault="0024472C" w:rsidP="00DA1422">
            <w:r>
              <w:t>active</w:t>
            </w:r>
          </w:p>
        </w:tc>
      </w:tr>
      <w:tr w:rsidR="002D1D27" w14:paraId="50929EF8" w14:textId="77777777" w:rsidTr="00913032">
        <w:tc>
          <w:tcPr>
            <w:tcW w:w="1255" w:type="dxa"/>
          </w:tcPr>
          <w:p w14:paraId="075F1E05" w14:textId="7C34563D" w:rsidR="002D1D27" w:rsidRDefault="002D1D27" w:rsidP="00DA1422">
            <w:r>
              <w:t>LCRD</w:t>
            </w:r>
          </w:p>
        </w:tc>
        <w:tc>
          <w:tcPr>
            <w:tcW w:w="1080" w:type="dxa"/>
          </w:tcPr>
          <w:p w14:paraId="670F6A39" w14:textId="116FF80F" w:rsidR="002D1D27" w:rsidRDefault="002D1D27" w:rsidP="00DA1422">
            <w:r>
              <w:t>2022</w:t>
            </w:r>
          </w:p>
        </w:tc>
        <w:tc>
          <w:tcPr>
            <w:tcW w:w="1530" w:type="dxa"/>
          </w:tcPr>
          <w:p w14:paraId="556B06B0" w14:textId="538B6E93" w:rsidR="002D1D27" w:rsidRDefault="002D1D27" w:rsidP="00DA1422">
            <w:r>
              <w:t>D</w:t>
            </w:r>
          </w:p>
        </w:tc>
        <w:tc>
          <w:tcPr>
            <w:tcW w:w="1980" w:type="dxa"/>
          </w:tcPr>
          <w:p w14:paraId="05EC830E" w14:textId="584B0677" w:rsidR="002D1D27" w:rsidRDefault="002D1D27" w:rsidP="00DA1422">
            <w:r>
              <w:t>2</w:t>
            </w:r>
          </w:p>
        </w:tc>
        <w:tc>
          <w:tcPr>
            <w:tcW w:w="1710" w:type="dxa"/>
          </w:tcPr>
          <w:p w14:paraId="70908EDB" w14:textId="5CA139EF" w:rsidR="002D1D27" w:rsidRDefault="002D1D27" w:rsidP="00DA1422">
            <w:r>
              <w:t>0+</w:t>
            </w:r>
          </w:p>
        </w:tc>
        <w:tc>
          <w:tcPr>
            <w:tcW w:w="1980" w:type="dxa"/>
          </w:tcPr>
          <w:p w14:paraId="74C54FC8" w14:textId="6B8FEC69" w:rsidR="002D1D27" w:rsidRDefault="002D1D27" w:rsidP="00DA1422">
            <w:r>
              <w:t>active</w:t>
            </w:r>
          </w:p>
        </w:tc>
      </w:tr>
      <w:tr w:rsidR="002D1D27" w14:paraId="41753787" w14:textId="77777777" w:rsidTr="00913032">
        <w:tc>
          <w:tcPr>
            <w:tcW w:w="1255" w:type="dxa"/>
          </w:tcPr>
          <w:p w14:paraId="38203C74" w14:textId="3B7EBB53" w:rsidR="002D1D27" w:rsidRDefault="00513CF7" w:rsidP="00DA1422">
            <w:r>
              <w:t>GOES-T</w:t>
            </w:r>
          </w:p>
        </w:tc>
        <w:tc>
          <w:tcPr>
            <w:tcW w:w="1080" w:type="dxa"/>
          </w:tcPr>
          <w:p w14:paraId="47BC1085" w14:textId="1D33A9DE" w:rsidR="002D1D27" w:rsidRDefault="00513CF7" w:rsidP="00DA1422">
            <w:r>
              <w:t>2022</w:t>
            </w:r>
          </w:p>
        </w:tc>
        <w:tc>
          <w:tcPr>
            <w:tcW w:w="1530" w:type="dxa"/>
          </w:tcPr>
          <w:p w14:paraId="14D2AB1E" w14:textId="3C2189D3" w:rsidR="002D1D27" w:rsidRDefault="00513CF7" w:rsidP="00DA1422">
            <w:r>
              <w:t>B</w:t>
            </w:r>
          </w:p>
        </w:tc>
        <w:tc>
          <w:tcPr>
            <w:tcW w:w="1980" w:type="dxa"/>
          </w:tcPr>
          <w:p w14:paraId="70FB477B" w14:textId="37387F61" w:rsidR="002D1D27" w:rsidRDefault="00513CF7" w:rsidP="00DA1422">
            <w:r>
              <w:t>15</w:t>
            </w:r>
          </w:p>
        </w:tc>
        <w:tc>
          <w:tcPr>
            <w:tcW w:w="1710" w:type="dxa"/>
          </w:tcPr>
          <w:p w14:paraId="72F2329D" w14:textId="34A26809" w:rsidR="002D1D27" w:rsidRDefault="00513CF7" w:rsidP="00DA1422">
            <w:r>
              <w:t>0+</w:t>
            </w:r>
          </w:p>
        </w:tc>
        <w:tc>
          <w:tcPr>
            <w:tcW w:w="1980" w:type="dxa"/>
          </w:tcPr>
          <w:p w14:paraId="508CB7D5" w14:textId="62812606" w:rsidR="002D1D27" w:rsidRDefault="00513CF7" w:rsidP="00DA1422">
            <w:r>
              <w:t>active</w:t>
            </w:r>
          </w:p>
        </w:tc>
      </w:tr>
    </w:tbl>
    <w:p w14:paraId="45F12EAD" w14:textId="77777777" w:rsidR="00F1450C" w:rsidRDefault="00F1450C" w:rsidP="00DA1422"/>
    <w:p w14:paraId="2F3B7272" w14:textId="00BDD765" w:rsidR="002D3D44" w:rsidRDefault="00B8111B" w:rsidP="00DA1422">
      <w:r>
        <w:t>Notably, the table indicates that while in a few classes the classification was directly aligned with mission length, ultimately, classification itself does not indicate any type of mission length or suggest that the mission length would be in any way restricted.</w:t>
      </w:r>
      <w:r w:rsidR="00C67DA2">
        <w:t xml:space="preserve"> </w:t>
      </w:r>
      <w:r w:rsidR="00797681">
        <w:t xml:space="preserve"> Similar c</w:t>
      </w:r>
      <w:r w:rsidR="00CF5316">
        <w:t>onclusions are drawn from an Aerospace Corporation lifetime study that covered civil, defense, and commercial spacecraft, with some exception for Class D and technology demonstration spacecraft (which tended to show lower success rates), albeit without consideration of the reason for ending the missions</w:t>
      </w:r>
      <w:sdt>
        <w:sdtPr>
          <w:id w:val="1142622212"/>
          <w:citation/>
        </w:sdtPr>
        <w:sdtContent>
          <w:r w:rsidR="00CF5316">
            <w:fldChar w:fldCharType="begin"/>
          </w:r>
          <w:r w:rsidR="00CF5316">
            <w:instrText xml:space="preserve"> CITATION Fer19 \l 1033 </w:instrText>
          </w:r>
          <w:r w:rsidR="00CF5316">
            <w:fldChar w:fldCharType="separate"/>
          </w:r>
          <w:r w:rsidR="00903B7D">
            <w:rPr>
              <w:noProof/>
            </w:rPr>
            <w:t xml:space="preserve"> </w:t>
          </w:r>
          <w:r w:rsidR="00903B7D" w:rsidRPr="00903B7D">
            <w:rPr>
              <w:noProof/>
            </w:rPr>
            <w:t>[9]</w:t>
          </w:r>
          <w:r w:rsidR="00CF5316">
            <w:fldChar w:fldCharType="end"/>
          </w:r>
        </w:sdtContent>
      </w:sdt>
      <w:r w:rsidR="00A6368E">
        <w:t>.</w:t>
      </w:r>
      <w:r w:rsidR="00C67DA2">
        <w:t xml:space="preserve"> It is also worth mentioning that none of the driving factors for mission lifetime have been related to radiation</w:t>
      </w:r>
      <w:r w:rsidR="00034090">
        <w:t>, although the loss of the thermoelectric cooler on Swift may have been due to radiation and the loss of the SMAP radar was due to a single event effect in the SAA</w:t>
      </w:r>
      <w:r w:rsidR="00B47B09">
        <w:t xml:space="preserve"> (in fact, the failure was traced to a radiation-hardened, space-grade part)</w:t>
      </w:r>
      <w:sdt>
        <w:sdtPr>
          <w:id w:val="1770127717"/>
          <w:citation/>
        </w:sdtPr>
        <w:sdtContent>
          <w:r w:rsidR="00B47B09">
            <w:fldChar w:fldCharType="begin"/>
          </w:r>
          <w:r w:rsidR="00B47B09">
            <w:instrText xml:space="preserve"> CITATION NAS191 \l 1033 </w:instrText>
          </w:r>
          <w:r w:rsidR="00B47B09">
            <w:fldChar w:fldCharType="separate"/>
          </w:r>
          <w:r w:rsidR="00903B7D">
            <w:rPr>
              <w:noProof/>
            </w:rPr>
            <w:t xml:space="preserve"> </w:t>
          </w:r>
          <w:r w:rsidR="00903B7D" w:rsidRPr="00903B7D">
            <w:rPr>
              <w:noProof/>
            </w:rPr>
            <w:t>[10]</w:t>
          </w:r>
          <w:r w:rsidR="00B47B09">
            <w:fldChar w:fldCharType="end"/>
          </w:r>
        </w:sdtContent>
      </w:sdt>
      <w:r w:rsidR="00034090">
        <w:t xml:space="preserve">. </w:t>
      </w:r>
      <w:r w:rsidR="00C67DA2">
        <w:t xml:space="preserve">  Given the fact that many missions have lasted many years, often 3 or more times the original lifetime, </w:t>
      </w:r>
      <w:proofErr w:type="gramStart"/>
      <w:r w:rsidR="00C67DA2">
        <w:t>it is clear that radiation</w:t>
      </w:r>
      <w:proofErr w:type="gramEnd"/>
      <w:r w:rsidR="00C67DA2">
        <w:t xml:space="preserve"> margins, which often have been considered life-limiting factor</w:t>
      </w:r>
      <w:r w:rsidR="00855985">
        <w:t>s</w:t>
      </w:r>
      <w:r w:rsidR="00C67DA2">
        <w:t xml:space="preserve">, are </w:t>
      </w:r>
      <w:r w:rsidR="00284AB9">
        <w:t xml:space="preserve">well </w:t>
      </w:r>
      <w:r w:rsidR="00C67DA2">
        <w:t xml:space="preserve">above the actual accumulated volume or event rates.  </w:t>
      </w:r>
      <w:r w:rsidR="00855985">
        <w:t xml:space="preserve"> While the conclusion is not</w:t>
      </w:r>
      <w:r w:rsidR="004F5FC1">
        <w:t xml:space="preserve"> a limitation on the importance of radiation, it is that the piece-part-focused approach to radiation is </w:t>
      </w:r>
      <w:proofErr w:type="gramStart"/>
      <w:r w:rsidR="004F5FC1">
        <w:t>misguided, and</w:t>
      </w:r>
      <w:proofErr w:type="gramEnd"/>
      <w:r w:rsidR="004F5FC1">
        <w:t xml:space="preserve"> misses the translation between individual part susceptibility and mission risk.</w:t>
      </w:r>
      <w:r w:rsidR="00284AB9">
        <w:t xml:space="preserve">  The common perception is that the easiest way to deal with radiation is via part-level radiation assurance</w:t>
      </w:r>
      <w:r w:rsidR="001B634D">
        <w:t xml:space="preserve"> (thus ignoring the </w:t>
      </w:r>
      <w:proofErr w:type="gramStart"/>
      <w:r w:rsidR="001B634D">
        <w:t>aforementioned translation</w:t>
      </w:r>
      <w:proofErr w:type="gramEnd"/>
      <w:r w:rsidR="001B634D">
        <w:t>)</w:t>
      </w:r>
      <w:r w:rsidR="00284AB9">
        <w:t>.  In the past, this was largely true when it was acceptable to fly decades-old technology in current space systems, but the electronics industry is in a different place today</w:t>
      </w:r>
      <w:r w:rsidR="001B634D">
        <w:t xml:space="preserve"> and the parts needed for enabling current technologies are not going to have the radiation pedigree long considered a staple of the space community.  </w:t>
      </w:r>
      <w:r w:rsidR="009600C9">
        <w:t xml:space="preserve">The key takeaway in this paper is that demands for piece part radiation hardness verification should not be used to discount the established reliability of a standard component or spacecraft produced from an experienced developer when used within its qualified environment.  </w:t>
      </w:r>
    </w:p>
    <w:p w14:paraId="2BF212BC" w14:textId="77777777" w:rsidR="00B8111B" w:rsidRDefault="00B8111B" w:rsidP="00DA1422"/>
    <w:p w14:paraId="024D5307" w14:textId="22B42CD4" w:rsidR="005221D2" w:rsidRPr="00684549" w:rsidRDefault="005221D2" w:rsidP="00DA1422">
      <w:pPr>
        <w:rPr>
          <w:b/>
          <w:bCs/>
        </w:rPr>
      </w:pPr>
      <w:r w:rsidRPr="00684549">
        <w:rPr>
          <w:b/>
          <w:bCs/>
        </w:rPr>
        <w:t>The basics of risk in a space system</w:t>
      </w:r>
      <w:sdt>
        <w:sdtPr>
          <w:rPr>
            <w:b/>
            <w:bCs/>
          </w:rPr>
          <w:id w:val="552581043"/>
          <w:citation/>
        </w:sdtPr>
        <w:sdtContent>
          <w:r>
            <w:rPr>
              <w:b/>
              <w:bCs/>
            </w:rPr>
            <w:fldChar w:fldCharType="begin"/>
          </w:r>
          <w:r>
            <w:rPr>
              <w:b/>
              <w:bCs/>
            </w:rPr>
            <w:instrText xml:space="preserve"> CITATION GSF12 \l 1033 </w:instrText>
          </w:r>
          <w:r>
            <w:rPr>
              <w:b/>
              <w:bCs/>
            </w:rPr>
            <w:fldChar w:fldCharType="separate"/>
          </w:r>
          <w:r w:rsidR="00903B7D">
            <w:rPr>
              <w:b/>
              <w:bCs/>
              <w:noProof/>
            </w:rPr>
            <w:t xml:space="preserve"> </w:t>
          </w:r>
          <w:r w:rsidR="00903B7D" w:rsidRPr="00903B7D">
            <w:rPr>
              <w:noProof/>
            </w:rPr>
            <w:t>[11]</w:t>
          </w:r>
          <w:r>
            <w:rPr>
              <w:b/>
              <w:bCs/>
            </w:rPr>
            <w:fldChar w:fldCharType="end"/>
          </w:r>
        </w:sdtContent>
      </w:sdt>
      <w:sdt>
        <w:sdtPr>
          <w:rPr>
            <w:b/>
            <w:bCs/>
          </w:rPr>
          <w:id w:val="1964227968"/>
          <w:citation/>
        </w:sdtPr>
        <w:sdtContent>
          <w:r>
            <w:rPr>
              <w:b/>
              <w:bCs/>
            </w:rPr>
            <w:fldChar w:fldCharType="begin"/>
          </w:r>
          <w:r>
            <w:rPr>
              <w:b/>
              <w:bCs/>
            </w:rPr>
            <w:instrText xml:space="preserve"> CITATION GSF17 \l 1033 </w:instrText>
          </w:r>
          <w:r>
            <w:rPr>
              <w:b/>
              <w:bCs/>
            </w:rPr>
            <w:fldChar w:fldCharType="separate"/>
          </w:r>
          <w:r w:rsidR="00903B7D">
            <w:rPr>
              <w:b/>
              <w:bCs/>
              <w:noProof/>
            </w:rPr>
            <w:t xml:space="preserve"> </w:t>
          </w:r>
          <w:r w:rsidR="00903B7D" w:rsidRPr="00903B7D">
            <w:rPr>
              <w:noProof/>
            </w:rPr>
            <w:t>[12]</w:t>
          </w:r>
          <w:r>
            <w:rPr>
              <w:b/>
              <w:bCs/>
            </w:rPr>
            <w:fldChar w:fldCharType="end"/>
          </w:r>
        </w:sdtContent>
      </w:sdt>
    </w:p>
    <w:p w14:paraId="0703A52B" w14:textId="77777777" w:rsidR="005221D2" w:rsidRPr="005221D2" w:rsidRDefault="005221D2" w:rsidP="005221D2"/>
    <w:p w14:paraId="31E41A5E" w14:textId="4D4340CE" w:rsidR="005221D2" w:rsidRPr="005221D2" w:rsidRDefault="005221D2" w:rsidP="005221D2">
      <w:pPr>
        <w:rPr>
          <w:bCs/>
        </w:rPr>
      </w:pPr>
      <w:r w:rsidRPr="005221D2">
        <w:rPr>
          <w:bCs/>
        </w:rPr>
        <w:t xml:space="preserve">In performing any activity that has uncertainty in achieving an outcome, it is natural to have </w:t>
      </w:r>
      <w:r w:rsidRPr="005221D2">
        <w:rPr>
          <w:bCs/>
          <w:i/>
        </w:rPr>
        <w:t>concerns</w:t>
      </w:r>
      <w:r w:rsidRPr="005221D2">
        <w:rPr>
          <w:bCs/>
        </w:rPr>
        <w:t xml:space="preserve"> that represent the things that can go wrong or the things that may not be well understood. These concerns may have a range of plausibility and uncertainty (e.g., occurrence of the event may be impossible, improbable, possible, probable, etc.) based on analysis, prior experience, observation, brainstorming, or even speculation.  When a concern is placed into a </w:t>
      </w:r>
      <w:r w:rsidR="00940F36">
        <w:rPr>
          <w:bCs/>
        </w:rPr>
        <w:t xml:space="preserve">factual </w:t>
      </w:r>
      <w:r w:rsidRPr="005221D2">
        <w:rPr>
          <w:bCs/>
        </w:rPr>
        <w:t xml:space="preserve">context including an environment, operating regime, a required outcome, and supporting data, the concern can be couched as a </w:t>
      </w:r>
      <w:r w:rsidRPr="005221D2">
        <w:rPr>
          <w:bCs/>
          <w:i/>
        </w:rPr>
        <w:t>risk</w:t>
      </w:r>
      <w:r w:rsidRPr="005221D2">
        <w:rPr>
          <w:bCs/>
        </w:rPr>
        <w:t xml:space="preserve"> by forming a condition statement and a threat to a technical, programmatic, or safety requirement. A </w:t>
      </w:r>
      <w:r w:rsidRPr="005221D2">
        <w:rPr>
          <w:bCs/>
          <w:i/>
        </w:rPr>
        <w:t>likelihood</w:t>
      </w:r>
      <w:r w:rsidRPr="005221D2">
        <w:rPr>
          <w:bCs/>
        </w:rPr>
        <w:t xml:space="preserve"> and </w:t>
      </w:r>
      <w:r w:rsidRPr="005221D2">
        <w:rPr>
          <w:bCs/>
          <w:i/>
        </w:rPr>
        <w:t>consequence</w:t>
      </w:r>
      <w:r w:rsidRPr="005221D2">
        <w:rPr>
          <w:bCs/>
        </w:rPr>
        <w:t xml:space="preserve"> are </w:t>
      </w:r>
      <w:r w:rsidRPr="005221D2">
        <w:rPr>
          <w:bCs/>
        </w:rPr>
        <w:lastRenderedPageBreak/>
        <w:t xml:space="preserve">then assigned to that risk.  </w:t>
      </w:r>
      <w:r w:rsidR="005347FA">
        <w:rPr>
          <w:bCs/>
        </w:rPr>
        <w:t xml:space="preserve">For a balanced approach at risk management, all risks for a project should be linked to the same risk scale, and the consequence should be a programmatic, technical, or safety threat to a project or mission performance.  Historically, </w:t>
      </w:r>
      <w:r w:rsidR="00940F36">
        <w:rPr>
          <w:bCs/>
        </w:rPr>
        <w:t xml:space="preserve">risk has often been equated to lack of familiarity or doing something in a different way.  Using such a </w:t>
      </w:r>
      <w:proofErr w:type="gramStart"/>
      <w:r w:rsidR="00940F36">
        <w:rPr>
          <w:bCs/>
        </w:rPr>
        <w:t>definition leads</w:t>
      </w:r>
      <w:proofErr w:type="gramEnd"/>
      <w:r w:rsidR="00940F36">
        <w:rPr>
          <w:bCs/>
        </w:rPr>
        <w:t xml:space="preserve"> to arbitrary and often ineffective risk management, while stifling innovation, and this approach is contrary to NASA’s role in advancing the nation’s capability </w:t>
      </w:r>
      <w:r w:rsidR="00EC4833">
        <w:rPr>
          <w:bCs/>
        </w:rPr>
        <w:t>in space</w:t>
      </w:r>
      <w:r w:rsidR="00940F36">
        <w:rPr>
          <w:bCs/>
        </w:rPr>
        <w:t>.</w:t>
      </w:r>
    </w:p>
    <w:p w14:paraId="72FD9BCD" w14:textId="77777777" w:rsidR="005221D2" w:rsidRDefault="005221D2" w:rsidP="00DA1422"/>
    <w:p w14:paraId="3FF36BAF" w14:textId="72DCAA6C" w:rsidR="00D2346F" w:rsidRDefault="00D2346F" w:rsidP="00DA1422"/>
    <w:p w14:paraId="1682DDCF" w14:textId="13503290" w:rsidR="00D2346F" w:rsidRDefault="00D2346F" w:rsidP="00DA1422">
      <w:pPr>
        <w:rPr>
          <w:b/>
          <w:bCs/>
        </w:rPr>
      </w:pPr>
      <w:r w:rsidRPr="00D2346F">
        <w:rPr>
          <w:b/>
          <w:bCs/>
        </w:rPr>
        <w:t xml:space="preserve">The assignment of </w:t>
      </w:r>
      <w:r w:rsidR="00EB4D4B">
        <w:rPr>
          <w:b/>
          <w:bCs/>
        </w:rPr>
        <w:t>r</w:t>
      </w:r>
      <w:r w:rsidRPr="00D2346F">
        <w:rPr>
          <w:b/>
          <w:bCs/>
        </w:rPr>
        <w:t xml:space="preserve">isk </w:t>
      </w:r>
      <w:r w:rsidR="00EB4D4B">
        <w:rPr>
          <w:b/>
          <w:bCs/>
        </w:rPr>
        <w:t>c</w:t>
      </w:r>
      <w:r w:rsidRPr="00D2346F">
        <w:rPr>
          <w:b/>
          <w:bCs/>
        </w:rPr>
        <w:t>lass based on importance and mission attributes</w:t>
      </w:r>
    </w:p>
    <w:p w14:paraId="79431B77" w14:textId="77777777" w:rsidR="00EB4D4B" w:rsidRPr="00D2346F" w:rsidRDefault="00EB4D4B" w:rsidP="00DA1422">
      <w:pPr>
        <w:rPr>
          <w:b/>
          <w:bCs/>
        </w:rPr>
      </w:pPr>
    </w:p>
    <w:p w14:paraId="2850B997" w14:textId="3AF7E10E" w:rsidR="00D2346F" w:rsidRDefault="00D2346F" w:rsidP="00DA1422">
      <w:r>
        <w:t xml:space="preserve">The first step in the process of risk classification is to determine what the appropriate metrics are to classify a mission.  It is important to note that with a few exceptions (e.g., satellites built for external entities, such as </w:t>
      </w:r>
      <w:r w:rsidR="00E02027">
        <w:t>the National Oceanic and Atmospheric Administration (</w:t>
      </w:r>
      <w:r>
        <w:t>NOAA</w:t>
      </w:r>
      <w:r w:rsidR="00E02027">
        <w:t>)</w:t>
      </w:r>
      <w:r>
        <w:t xml:space="preserve"> or </w:t>
      </w:r>
      <w:r w:rsidR="00E02027">
        <w:t>US Geological Survey (</w:t>
      </w:r>
      <w:r>
        <w:t>USGS</w:t>
      </w:r>
      <w:r w:rsidR="00E02027">
        <w:t>)</w:t>
      </w:r>
      <w:r>
        <w:t>), each NASA robotic satellite is typically one-of-a-kind, where its lifetime requirements, availability, etc., are driven by the need to collect a certain amount of scientific information to cover a certain time frame.  These attributes tend to be uniquely tuned to the individual mission</w:t>
      </w:r>
      <w:r w:rsidR="00E1132B">
        <w:t xml:space="preserve"> and, in general, cannot broadly be characterized across all missions without significant subjectivity.  </w:t>
      </w:r>
      <w:r w:rsidR="003A0465">
        <w:t>Some examples are as follows:</w:t>
      </w:r>
    </w:p>
    <w:p w14:paraId="5A6524E6" w14:textId="75456D2F" w:rsidR="003A0465" w:rsidRDefault="003A0465" w:rsidP="00DA1422"/>
    <w:p w14:paraId="037A97EB" w14:textId="774658CC" w:rsidR="003A0465" w:rsidRDefault="003A0465" w:rsidP="003A0465">
      <w:pPr>
        <w:pStyle w:val="ListParagraph"/>
        <w:numPr>
          <w:ilvl w:val="0"/>
          <w:numId w:val="1"/>
        </w:numPr>
      </w:pPr>
      <w:r>
        <w:t>Mission lifetime</w:t>
      </w:r>
    </w:p>
    <w:p w14:paraId="60C96EA9" w14:textId="68BBB88B" w:rsidR="003A0465" w:rsidRDefault="003A0465" w:rsidP="003A0465">
      <w:pPr>
        <w:pStyle w:val="ListParagraph"/>
        <w:numPr>
          <w:ilvl w:val="0"/>
          <w:numId w:val="1"/>
        </w:numPr>
      </w:pPr>
      <w:r>
        <w:t xml:space="preserve">Operational availability </w:t>
      </w:r>
    </w:p>
    <w:p w14:paraId="04A38BBC" w14:textId="7255732B" w:rsidR="003A0465" w:rsidRDefault="003A0465" w:rsidP="003A0465">
      <w:pPr>
        <w:pStyle w:val="ListParagraph"/>
        <w:numPr>
          <w:ilvl w:val="0"/>
          <w:numId w:val="1"/>
        </w:numPr>
      </w:pPr>
      <w:r>
        <w:t>Limitation on time opportunity to collect the science</w:t>
      </w:r>
    </w:p>
    <w:p w14:paraId="4E60D815" w14:textId="6C1B8596" w:rsidR="003A0465" w:rsidRDefault="003A0465" w:rsidP="003A0465">
      <w:pPr>
        <w:pStyle w:val="ListParagraph"/>
        <w:numPr>
          <w:ilvl w:val="0"/>
          <w:numId w:val="1"/>
        </w:numPr>
      </w:pPr>
      <w:r>
        <w:t>System complexity</w:t>
      </w:r>
    </w:p>
    <w:p w14:paraId="76E0B3F0" w14:textId="2531982D" w:rsidR="003A0465" w:rsidRDefault="003A0465" w:rsidP="003A0465">
      <w:pPr>
        <w:pStyle w:val="ListParagraph"/>
        <w:numPr>
          <w:ilvl w:val="0"/>
          <w:numId w:val="1"/>
        </w:numPr>
      </w:pPr>
      <w:r>
        <w:t>Complexity of partnerships involved</w:t>
      </w:r>
    </w:p>
    <w:p w14:paraId="7AA7CBEA" w14:textId="36963F5E" w:rsidR="003A0465" w:rsidRDefault="003A0465" w:rsidP="003A0465">
      <w:pPr>
        <w:pStyle w:val="ListParagraph"/>
        <w:numPr>
          <w:ilvl w:val="0"/>
          <w:numId w:val="1"/>
        </w:numPr>
      </w:pPr>
      <w:r>
        <w:t>Life cycle cost</w:t>
      </w:r>
    </w:p>
    <w:p w14:paraId="10B032F0" w14:textId="77777777" w:rsidR="00B00F85" w:rsidRDefault="00B00F85" w:rsidP="003A0465"/>
    <w:p w14:paraId="1179978A" w14:textId="48E5A9D4" w:rsidR="003A0465" w:rsidRDefault="003A0465" w:rsidP="003A0465">
      <w:r>
        <w:t xml:space="preserve">Outside of </w:t>
      </w:r>
      <w:r w:rsidR="00E67575">
        <w:t>the above attributes</w:t>
      </w:r>
      <w:r>
        <w:t xml:space="preserve"> would be importance within NASA, within the </w:t>
      </w:r>
      <w:r w:rsidR="00E67575">
        <w:t>nation</w:t>
      </w:r>
      <w:r>
        <w:t>, and internationally</w:t>
      </w:r>
      <w:r w:rsidR="00E67575">
        <w:t>, likely being the top drivers</w:t>
      </w:r>
      <w:r>
        <w:t xml:space="preserve">.  </w:t>
      </w:r>
      <w:r w:rsidR="00F75A0A">
        <w:t>And, of course, the mission</w:t>
      </w:r>
      <w:r w:rsidR="00170B1E">
        <w:t xml:space="preserve">’s </w:t>
      </w:r>
      <w:r w:rsidR="00F75A0A">
        <w:t>visibility from Congress and the science or user community drive</w:t>
      </w:r>
      <w:r w:rsidR="003655B4">
        <w:t>s</w:t>
      </w:r>
      <w:r w:rsidR="00F75A0A">
        <w:t xml:space="preserve"> the tolerance for risk. </w:t>
      </w:r>
      <w:r w:rsidR="002F739B">
        <w:t>T</w:t>
      </w:r>
      <w:r>
        <w:t xml:space="preserve">here is no </w:t>
      </w:r>
      <w:r w:rsidR="003655B4">
        <w:t xml:space="preserve">closed-form </w:t>
      </w:r>
      <w:r>
        <w:t xml:space="preserve">formula that could reasonably </w:t>
      </w:r>
      <w:r w:rsidR="00AE4455">
        <w:t xml:space="preserve">be </w:t>
      </w:r>
      <w:r>
        <w:t>used to assign a classification, but the process should involve a holistic view over such attributes</w:t>
      </w:r>
      <w:r w:rsidR="00AE4455">
        <w:t>,</w:t>
      </w:r>
      <w:r>
        <w:t xml:space="preserve"> followed up with a decision by the stakeholders.  </w:t>
      </w:r>
      <w:r w:rsidR="002F739B">
        <w:t>Ultimately it is the mission funder (often NASA’s Science Mission Directorate) that sets the risk classification to balance importance and visibility against the risk</w:t>
      </w:r>
      <w:r w:rsidR="00F75A0A">
        <w:t xml:space="preserve"> of a failure or degraded mission.</w:t>
      </w:r>
    </w:p>
    <w:p w14:paraId="7C378260" w14:textId="78919834" w:rsidR="005B2832" w:rsidRDefault="005B2832" w:rsidP="003A0465"/>
    <w:p w14:paraId="0489027F" w14:textId="281A0A6F" w:rsidR="005B2832" w:rsidRDefault="005B2832" w:rsidP="003A0465">
      <w:r>
        <w:t xml:space="preserve">We will illustrate with an example – the current GOES weather satellites (R series), 16-19. </w:t>
      </w:r>
      <w:r w:rsidR="00931139">
        <w:t xml:space="preserve"> The GOES satellite developments are managed by NASA GSFC for NOAA, under a well-established longstanding relationship.  </w:t>
      </w:r>
      <w:r>
        <w:t>The GOES-R series</w:t>
      </w:r>
      <w:r w:rsidR="00BD7B4C">
        <w:t xml:space="preserve"> involves a significant performance improvement over the previous GOES series through technologically</w:t>
      </w:r>
      <w:r w:rsidR="00737174">
        <w:t xml:space="preserve"> </w:t>
      </w:r>
      <w:r w:rsidR="00BD7B4C">
        <w:t xml:space="preserve">improved instruments and additional capabilities, such as lightning mapping.  The satellite and mission architecture are similar to prior GOES series, as the new satellites are phased </w:t>
      </w:r>
      <w:proofErr w:type="gramStart"/>
      <w:r w:rsidR="00BD7B4C">
        <w:t>in to</w:t>
      </w:r>
      <w:proofErr w:type="gramEnd"/>
      <w:r w:rsidR="00BD7B4C">
        <w:t xml:space="preserve"> the existing constellation</w:t>
      </w:r>
      <w:r w:rsidR="00931139">
        <w:t xml:space="preserve">.  The satellites are costly but replaceable, with few restrictions on launch opportunities.  The satellites are important </w:t>
      </w:r>
      <w:r w:rsidR="00F75A0A">
        <w:t>n</w:t>
      </w:r>
      <w:r w:rsidR="00931139">
        <w:t xml:space="preserve">ational </w:t>
      </w:r>
      <w:r w:rsidR="003655B4">
        <w:t>assets,</w:t>
      </w:r>
      <w:r w:rsidR="00931139">
        <w:t xml:space="preserve"> but they are phased </w:t>
      </w:r>
      <w:proofErr w:type="gramStart"/>
      <w:r w:rsidR="00931139">
        <w:t>in to</w:t>
      </w:r>
      <w:proofErr w:type="gramEnd"/>
      <w:r w:rsidR="00931139">
        <w:t xml:space="preserve"> an existing capability that is currently performing well</w:t>
      </w:r>
      <w:r w:rsidR="00F75A0A">
        <w:t xml:space="preserve"> and exhibiting longevity beyond their original design specification</w:t>
      </w:r>
      <w:r w:rsidR="00931139">
        <w:t xml:space="preserve">.  </w:t>
      </w:r>
      <w:r w:rsidR="00931139">
        <w:lastRenderedPageBreak/>
        <w:t xml:space="preserve">There are attributes that certainly are consistent with Class A, and initially the mission was classified as A, but ultimately the </w:t>
      </w:r>
      <w:r w:rsidR="00EC277E">
        <w:t xml:space="preserve">funder, NOAA, changed the </w:t>
      </w:r>
      <w:r w:rsidR="00931139">
        <w:t xml:space="preserve">classification to B </w:t>
      </w:r>
      <w:proofErr w:type="gramStart"/>
      <w:r w:rsidR="00931139">
        <w:t>in order to</w:t>
      </w:r>
      <w:proofErr w:type="gramEnd"/>
      <w:r w:rsidR="00931139">
        <w:t xml:space="preserve"> contain the cost</w:t>
      </w:r>
      <w:r w:rsidR="00EC277E">
        <w:t>. The</w:t>
      </w:r>
      <w:r w:rsidR="00931139">
        <w:t xml:space="preserve"> tolerance for overrun was not there as would be needed to support a Class A development</w:t>
      </w:r>
      <w:r w:rsidR="003655B4">
        <w:t>, although the mission was well-resourced as would be needed for Class A</w:t>
      </w:r>
      <w:r w:rsidR="00931139">
        <w:t>.</w:t>
      </w:r>
      <w:r w:rsidR="00EC277E">
        <w:t xml:space="preserve">  </w:t>
      </w:r>
      <w:r w:rsidR="00B00F85">
        <w:t>Ultimately, while the classification was changed to B</w:t>
      </w:r>
      <w:r w:rsidR="000564D9">
        <w:t xml:space="preserve"> shortly after the Preliminary Design Review (PD</w:t>
      </w:r>
      <w:r w:rsidR="00736E72">
        <w:t>R</w:t>
      </w:r>
      <w:r w:rsidR="000564D9">
        <w:t>)</w:t>
      </w:r>
      <w:r w:rsidR="00B00F85">
        <w:t>, the project largely retained the Class A practices</w:t>
      </w:r>
      <w:r w:rsidR="000564D9">
        <w:t xml:space="preserve"> and thus the change was mostly symbolic.</w:t>
      </w:r>
    </w:p>
    <w:p w14:paraId="169FA842" w14:textId="0606AA05" w:rsidR="0010283F" w:rsidRDefault="0010283F" w:rsidP="003A0465"/>
    <w:p w14:paraId="48B54494" w14:textId="124D86A4" w:rsidR="0010283F" w:rsidRPr="00737174" w:rsidRDefault="0010283F" w:rsidP="003A0465">
      <w:pPr>
        <w:rPr>
          <w:b/>
          <w:bCs/>
        </w:rPr>
      </w:pPr>
      <w:r w:rsidRPr="00737174">
        <w:rPr>
          <w:b/>
          <w:bCs/>
        </w:rPr>
        <w:t>Oversight v</w:t>
      </w:r>
      <w:r w:rsidR="002220CC">
        <w:rPr>
          <w:b/>
          <w:bCs/>
        </w:rPr>
        <w:t>ersu</w:t>
      </w:r>
      <w:r w:rsidRPr="00737174">
        <w:rPr>
          <w:b/>
          <w:bCs/>
        </w:rPr>
        <w:t>s Insight</w:t>
      </w:r>
    </w:p>
    <w:p w14:paraId="12333FCA" w14:textId="5322EEE4" w:rsidR="0010283F" w:rsidRDefault="0010283F" w:rsidP="003A0465"/>
    <w:p w14:paraId="7E3377BE" w14:textId="07F97F78" w:rsidR="0010283F" w:rsidRDefault="00737174" w:rsidP="003A0465">
      <w:r>
        <w:t xml:space="preserve">When it comes to management of the development and operation of space missions, there are two important and unique terms used to characterize the approach.  </w:t>
      </w:r>
      <w:r w:rsidR="00363097" w:rsidRPr="009F6347">
        <w:rPr>
          <w:i/>
          <w:iCs/>
        </w:rPr>
        <w:t>Oversight</w:t>
      </w:r>
      <w:r w:rsidR="00363097">
        <w:t xml:space="preserve"> is the approach where the </w:t>
      </w:r>
      <w:r w:rsidR="009F6347">
        <w:t>NASA organization with management authority</w:t>
      </w:r>
      <w:r w:rsidR="00363097">
        <w:t xml:space="preserve"> has approval rights for most major decisions with a project</w:t>
      </w:r>
      <w:r w:rsidR="00EB4D4B">
        <w:t>. With oversight,</w:t>
      </w:r>
      <w:r w:rsidR="00363097">
        <w:t xml:space="preserve"> </w:t>
      </w:r>
      <w:r w:rsidR="009F6347">
        <w:t xml:space="preserve">piece-part and material elements are controlled in detail with substantial prescription, and </w:t>
      </w:r>
      <w:r w:rsidR="00600B9A">
        <w:t>workflow</w:t>
      </w:r>
      <w:r w:rsidR="009F6347">
        <w:t xml:space="preserve"> is regularly stopped to obtain approval.  Oversight generally involves substantial controls of all the internal elements within an acquired system. </w:t>
      </w:r>
      <w:r w:rsidR="00EB4D4B">
        <w:t xml:space="preserve"> </w:t>
      </w:r>
      <w:r w:rsidR="009F6347" w:rsidRPr="00600B9A">
        <w:rPr>
          <w:i/>
          <w:iCs/>
        </w:rPr>
        <w:t>Insight</w:t>
      </w:r>
      <w:r w:rsidR="009F6347">
        <w:t xml:space="preserve">, on the other hand, </w:t>
      </w:r>
      <w:r w:rsidR="00600B9A">
        <w:t>is the approach where the NASA organization with management authority has access to information about the work being performed</w:t>
      </w:r>
      <w:r w:rsidR="00427C9D">
        <w:t xml:space="preserve"> and is invited to participate in </w:t>
      </w:r>
      <w:r w:rsidR="0099495F">
        <w:t xml:space="preserve">discussions involving various unplanned </w:t>
      </w:r>
      <w:r w:rsidR="006C0FDF">
        <w:t>activities but</w:t>
      </w:r>
      <w:r w:rsidR="0099495F">
        <w:t xml:space="preserve"> does not approve decisions.  Oversight is generally the traditional government approach for development, while insight leans toward commercial or objectives-driven development.  </w:t>
      </w:r>
      <w:r w:rsidR="00EB4D4B">
        <w:t xml:space="preserve">Projects can operate with a mixture of oversight and insight depending on the </w:t>
      </w:r>
      <w:r w:rsidR="00542BEE">
        <w:t>historic</w:t>
      </w:r>
      <w:r w:rsidR="00EB4D4B">
        <w:t xml:space="preserve"> and current</w:t>
      </w:r>
      <w:r w:rsidR="00542BEE">
        <w:t>ly demonstrated</w:t>
      </w:r>
      <w:r w:rsidR="00EB4D4B">
        <w:t xml:space="preserve"> performance </w:t>
      </w:r>
      <w:r w:rsidR="00542BEE">
        <w:t xml:space="preserve">of </w:t>
      </w:r>
      <w:r w:rsidR="00EB4D4B">
        <w:t xml:space="preserve">the </w:t>
      </w:r>
      <w:r w:rsidR="00542BEE">
        <w:t xml:space="preserve">developer as well as the contract type. </w:t>
      </w:r>
      <w:r w:rsidR="00E51096">
        <w:t>In general,</w:t>
      </w:r>
      <w:r w:rsidR="006C0FDF">
        <w:t xml:space="preserve"> the approaches for managing Class A and B missions and payloads are aligned with oversight, and those for Class C and D missions are aligned with insight.  Further details are forthcoming in the next section.</w:t>
      </w:r>
    </w:p>
    <w:p w14:paraId="63FAB948" w14:textId="77777777" w:rsidR="00D2346F" w:rsidRDefault="00D2346F" w:rsidP="00DA1422"/>
    <w:p w14:paraId="035BDF6C" w14:textId="1BA668E5" w:rsidR="00D2346F" w:rsidRPr="00183620" w:rsidRDefault="00D2346F" w:rsidP="00DA1422">
      <w:pPr>
        <w:rPr>
          <w:b/>
          <w:bCs/>
        </w:rPr>
      </w:pPr>
      <w:r w:rsidRPr="00183620">
        <w:rPr>
          <w:b/>
          <w:bCs/>
        </w:rPr>
        <w:t>Application of common practices to assure mission success and mitigate risk</w:t>
      </w:r>
    </w:p>
    <w:p w14:paraId="5A12C985" w14:textId="1DC9D33A" w:rsidR="00D2346F" w:rsidRDefault="00D2346F" w:rsidP="00DA1422"/>
    <w:p w14:paraId="455C6113" w14:textId="45135DDD" w:rsidR="00B2150E" w:rsidRDefault="00183620" w:rsidP="00DA1422">
      <w:r>
        <w:t>The primary purpose</w:t>
      </w:r>
      <w:r w:rsidR="008129B2">
        <w:t>s</w:t>
      </w:r>
      <w:r>
        <w:t xml:space="preserve"> of classifying a mission </w:t>
      </w:r>
      <w:r w:rsidR="008129B2">
        <w:t>are (1)</w:t>
      </w:r>
      <w:r>
        <w:t xml:space="preserve"> to determine what activities to perform and what level of oversight/insight are needed to assure mission success</w:t>
      </w:r>
      <w:r w:rsidR="008129B2">
        <w:t xml:space="preserve"> and (2) to provide the stakeholder with confidence that practices commensurate with the resources available and tolerance for risk are performed</w:t>
      </w:r>
      <w:r>
        <w:t>.</w:t>
      </w:r>
      <w:r w:rsidR="008129B2">
        <w:t xml:space="preserve">  </w:t>
      </w:r>
      <w:r w:rsidR="00E51096">
        <w:fldChar w:fldCharType="begin"/>
      </w:r>
      <w:r w:rsidR="00E51096">
        <w:instrText xml:space="preserve"> REF _Ref107903944 \h </w:instrText>
      </w:r>
      <w:r w:rsidR="00E51096">
        <w:fldChar w:fldCharType="separate"/>
      </w:r>
      <w:r w:rsidR="00741C7D">
        <w:t xml:space="preserve">Table </w:t>
      </w:r>
      <w:r w:rsidR="00E51096">
        <w:fldChar w:fldCharType="end"/>
      </w:r>
      <w:r w:rsidR="00741C7D">
        <w:t>2</w:t>
      </w:r>
      <w:r w:rsidR="00E51096">
        <w:t xml:space="preserve"> provides common examples of assurance elements vs Classifications A-D</w:t>
      </w:r>
      <w:sdt>
        <w:sdtPr>
          <w:id w:val="1283854906"/>
          <w:citation/>
        </w:sdtPr>
        <w:sdtContent>
          <w:r w:rsidR="00E51096">
            <w:fldChar w:fldCharType="begin"/>
          </w:r>
          <w:r w:rsidR="00E51096">
            <w:instrText xml:space="preserve"> CITATION GSF22 \l 1033 </w:instrText>
          </w:r>
          <w:r w:rsidR="00E51096">
            <w:fldChar w:fldCharType="separate"/>
          </w:r>
          <w:r w:rsidR="00903B7D">
            <w:rPr>
              <w:noProof/>
            </w:rPr>
            <w:t xml:space="preserve"> </w:t>
          </w:r>
          <w:r w:rsidR="00903B7D" w:rsidRPr="00903B7D">
            <w:rPr>
              <w:noProof/>
            </w:rPr>
            <w:t>[13]</w:t>
          </w:r>
          <w:r w:rsidR="00E51096">
            <w:fldChar w:fldCharType="end"/>
          </w:r>
        </w:sdtContent>
      </w:sdt>
      <w:r w:rsidR="00E51096">
        <w:t xml:space="preserve">, which largely illustrates the insight vs oversight delineation.  </w:t>
      </w:r>
    </w:p>
    <w:p w14:paraId="47A23A37" w14:textId="06898F62" w:rsidR="00831F1E" w:rsidRDefault="00831F1E" w:rsidP="00DA1422"/>
    <w:p w14:paraId="664E47FD" w14:textId="416F2EA4" w:rsidR="00736E72" w:rsidRDefault="00736E72" w:rsidP="00DA1422"/>
    <w:p w14:paraId="615D28F6" w14:textId="77777777" w:rsidR="00736E72" w:rsidRDefault="00736E72" w:rsidP="00DA1422"/>
    <w:p w14:paraId="0776A9D9" w14:textId="60F11A1B" w:rsidR="00527F05" w:rsidRDefault="00527F05" w:rsidP="00527F05">
      <w:pPr>
        <w:pStyle w:val="Caption"/>
        <w:keepNext/>
        <w:jc w:val="center"/>
      </w:pPr>
      <w:bookmarkStart w:id="1" w:name="_Ref107903944"/>
      <w:r>
        <w:t xml:space="preserve">Table </w:t>
      </w:r>
      <w:bookmarkEnd w:id="1"/>
      <w:proofErr w:type="gramStart"/>
      <w:r w:rsidR="00741C7D">
        <w:t>2</w:t>
      </w:r>
      <w:r>
        <w:t xml:space="preserve">  Common</w:t>
      </w:r>
      <w:proofErr w:type="gramEnd"/>
      <w:r>
        <w:t xml:space="preserve"> Assurance and Design practices vs </w:t>
      </w:r>
      <w:r w:rsidR="00542BEE">
        <w:t xml:space="preserve">Risk </w:t>
      </w:r>
      <w:r>
        <w:t>Class</w:t>
      </w:r>
    </w:p>
    <w:tbl>
      <w:tblPr>
        <w:tblStyle w:val="TableGrid"/>
        <w:tblW w:w="0" w:type="auto"/>
        <w:jc w:val="center"/>
        <w:tblLook w:val="04A0" w:firstRow="1" w:lastRow="0" w:firstColumn="1" w:lastColumn="0" w:noHBand="0" w:noVBand="1"/>
      </w:tblPr>
      <w:tblGrid>
        <w:gridCol w:w="1639"/>
        <w:gridCol w:w="1543"/>
        <w:gridCol w:w="1543"/>
        <w:gridCol w:w="1539"/>
        <w:gridCol w:w="1541"/>
      </w:tblGrid>
      <w:tr w:rsidR="00527F05" w14:paraId="29BEB6ED" w14:textId="77777777" w:rsidTr="00527F05">
        <w:trPr>
          <w:jc w:val="center"/>
        </w:trPr>
        <w:tc>
          <w:tcPr>
            <w:tcW w:w="1639" w:type="dxa"/>
          </w:tcPr>
          <w:p w14:paraId="26C21344" w14:textId="77777777" w:rsidR="00527F05" w:rsidRPr="00BE25BF" w:rsidRDefault="00527F05" w:rsidP="0058036A">
            <w:pPr>
              <w:jc w:val="center"/>
              <w:rPr>
                <w:b/>
                <w:bCs/>
              </w:rPr>
            </w:pPr>
            <w:r w:rsidRPr="00BE25BF">
              <w:rPr>
                <w:b/>
                <w:bCs/>
              </w:rPr>
              <w:t>Practice</w:t>
            </w:r>
          </w:p>
        </w:tc>
        <w:tc>
          <w:tcPr>
            <w:tcW w:w="1543" w:type="dxa"/>
          </w:tcPr>
          <w:p w14:paraId="7E69E553" w14:textId="77777777" w:rsidR="00527F05" w:rsidRPr="00BE25BF" w:rsidRDefault="00527F05" w:rsidP="0058036A">
            <w:pPr>
              <w:jc w:val="center"/>
              <w:rPr>
                <w:b/>
                <w:bCs/>
              </w:rPr>
            </w:pPr>
            <w:r w:rsidRPr="00BE25BF">
              <w:rPr>
                <w:b/>
                <w:bCs/>
              </w:rPr>
              <w:t>A</w:t>
            </w:r>
          </w:p>
        </w:tc>
        <w:tc>
          <w:tcPr>
            <w:tcW w:w="1543" w:type="dxa"/>
          </w:tcPr>
          <w:p w14:paraId="3F8FA840" w14:textId="77777777" w:rsidR="00527F05" w:rsidRPr="00BE25BF" w:rsidRDefault="00527F05" w:rsidP="0058036A">
            <w:pPr>
              <w:jc w:val="center"/>
              <w:rPr>
                <w:b/>
                <w:bCs/>
              </w:rPr>
            </w:pPr>
            <w:r w:rsidRPr="00BE25BF">
              <w:rPr>
                <w:b/>
                <w:bCs/>
              </w:rPr>
              <w:t>B</w:t>
            </w:r>
          </w:p>
        </w:tc>
        <w:tc>
          <w:tcPr>
            <w:tcW w:w="1539" w:type="dxa"/>
          </w:tcPr>
          <w:p w14:paraId="053665E9" w14:textId="77777777" w:rsidR="00527F05" w:rsidRPr="00BE25BF" w:rsidRDefault="00527F05" w:rsidP="0058036A">
            <w:pPr>
              <w:jc w:val="center"/>
              <w:rPr>
                <w:b/>
                <w:bCs/>
              </w:rPr>
            </w:pPr>
            <w:r w:rsidRPr="00BE25BF">
              <w:rPr>
                <w:b/>
                <w:bCs/>
              </w:rPr>
              <w:t>C</w:t>
            </w:r>
          </w:p>
        </w:tc>
        <w:tc>
          <w:tcPr>
            <w:tcW w:w="1541" w:type="dxa"/>
          </w:tcPr>
          <w:p w14:paraId="12F05A23" w14:textId="77777777" w:rsidR="00527F05" w:rsidRPr="00BE25BF" w:rsidRDefault="00527F05" w:rsidP="0058036A">
            <w:pPr>
              <w:jc w:val="center"/>
              <w:rPr>
                <w:b/>
                <w:bCs/>
              </w:rPr>
            </w:pPr>
            <w:r w:rsidRPr="00BE25BF">
              <w:rPr>
                <w:b/>
                <w:bCs/>
              </w:rPr>
              <w:t>D</w:t>
            </w:r>
          </w:p>
        </w:tc>
      </w:tr>
      <w:tr w:rsidR="00527F05" w14:paraId="3403FFF1" w14:textId="77777777" w:rsidTr="00527F05">
        <w:trPr>
          <w:jc w:val="center"/>
        </w:trPr>
        <w:tc>
          <w:tcPr>
            <w:tcW w:w="1639" w:type="dxa"/>
          </w:tcPr>
          <w:p w14:paraId="147C5D25" w14:textId="77777777" w:rsidR="00527F05" w:rsidRPr="00E51096" w:rsidRDefault="00527F05" w:rsidP="0058036A">
            <w:pPr>
              <w:rPr>
                <w:sz w:val="22"/>
                <w:szCs w:val="22"/>
              </w:rPr>
            </w:pPr>
            <w:r w:rsidRPr="00E51096">
              <w:rPr>
                <w:sz w:val="22"/>
                <w:szCs w:val="22"/>
              </w:rPr>
              <w:t>GMIPs</w:t>
            </w:r>
            <w:r w:rsidRPr="00E51096">
              <w:rPr>
                <w:rStyle w:val="FootnoteReference"/>
                <w:sz w:val="22"/>
                <w:szCs w:val="22"/>
              </w:rPr>
              <w:footnoteReference w:id="10"/>
            </w:r>
          </w:p>
        </w:tc>
        <w:tc>
          <w:tcPr>
            <w:tcW w:w="1543" w:type="dxa"/>
          </w:tcPr>
          <w:p w14:paraId="020E0D04" w14:textId="77777777" w:rsidR="00527F05" w:rsidRPr="00E51096" w:rsidRDefault="00527F05" w:rsidP="0058036A">
            <w:pPr>
              <w:rPr>
                <w:sz w:val="22"/>
                <w:szCs w:val="22"/>
              </w:rPr>
            </w:pPr>
            <w:r w:rsidRPr="00E51096">
              <w:rPr>
                <w:sz w:val="22"/>
                <w:szCs w:val="22"/>
              </w:rPr>
              <w:t>Extensive</w:t>
            </w:r>
          </w:p>
        </w:tc>
        <w:tc>
          <w:tcPr>
            <w:tcW w:w="1543" w:type="dxa"/>
          </w:tcPr>
          <w:p w14:paraId="70160B3F" w14:textId="77777777" w:rsidR="00527F05" w:rsidRPr="00E51096" w:rsidRDefault="00527F05" w:rsidP="0058036A">
            <w:pPr>
              <w:rPr>
                <w:sz w:val="22"/>
                <w:szCs w:val="22"/>
              </w:rPr>
            </w:pPr>
            <w:r w:rsidRPr="00E51096">
              <w:rPr>
                <w:sz w:val="22"/>
                <w:szCs w:val="22"/>
              </w:rPr>
              <w:t>Extensive</w:t>
            </w:r>
          </w:p>
        </w:tc>
        <w:tc>
          <w:tcPr>
            <w:tcW w:w="1539" w:type="dxa"/>
          </w:tcPr>
          <w:p w14:paraId="18BA63F5" w14:textId="77777777" w:rsidR="00527F05" w:rsidRPr="00E51096" w:rsidRDefault="00527F05" w:rsidP="0058036A">
            <w:pPr>
              <w:rPr>
                <w:sz w:val="22"/>
                <w:szCs w:val="22"/>
              </w:rPr>
            </w:pPr>
            <w:r w:rsidRPr="00E51096">
              <w:rPr>
                <w:sz w:val="22"/>
                <w:szCs w:val="22"/>
              </w:rPr>
              <w:t xml:space="preserve">Limited </w:t>
            </w:r>
          </w:p>
        </w:tc>
        <w:tc>
          <w:tcPr>
            <w:tcW w:w="1541" w:type="dxa"/>
          </w:tcPr>
          <w:p w14:paraId="41995FFB" w14:textId="77777777" w:rsidR="00527F05" w:rsidRPr="00E51096" w:rsidRDefault="00527F05" w:rsidP="0058036A">
            <w:pPr>
              <w:rPr>
                <w:sz w:val="22"/>
                <w:szCs w:val="22"/>
              </w:rPr>
            </w:pPr>
            <w:r w:rsidRPr="00E51096">
              <w:rPr>
                <w:sz w:val="22"/>
                <w:szCs w:val="22"/>
              </w:rPr>
              <w:t>Minimal</w:t>
            </w:r>
          </w:p>
        </w:tc>
      </w:tr>
      <w:tr w:rsidR="00527F05" w14:paraId="23E09F09" w14:textId="77777777" w:rsidTr="00527F05">
        <w:trPr>
          <w:jc w:val="center"/>
        </w:trPr>
        <w:tc>
          <w:tcPr>
            <w:tcW w:w="1639" w:type="dxa"/>
          </w:tcPr>
          <w:p w14:paraId="187E9FA3" w14:textId="77777777" w:rsidR="00527F05" w:rsidRPr="00E51096" w:rsidRDefault="00527F05" w:rsidP="0058036A">
            <w:pPr>
              <w:rPr>
                <w:sz w:val="22"/>
                <w:szCs w:val="22"/>
              </w:rPr>
            </w:pPr>
            <w:r w:rsidRPr="00E51096">
              <w:rPr>
                <w:sz w:val="22"/>
                <w:szCs w:val="22"/>
              </w:rPr>
              <w:lastRenderedPageBreak/>
              <w:t>ARB/FRB/MRB voting</w:t>
            </w:r>
            <w:r w:rsidRPr="00E51096">
              <w:rPr>
                <w:rStyle w:val="FootnoteReference"/>
                <w:sz w:val="22"/>
                <w:szCs w:val="22"/>
              </w:rPr>
              <w:footnoteReference w:id="11"/>
            </w:r>
          </w:p>
        </w:tc>
        <w:tc>
          <w:tcPr>
            <w:tcW w:w="1543" w:type="dxa"/>
          </w:tcPr>
          <w:p w14:paraId="4CBEF6F2" w14:textId="77777777" w:rsidR="00527F05" w:rsidRPr="00E51096" w:rsidRDefault="00527F05" w:rsidP="0058036A">
            <w:pPr>
              <w:rPr>
                <w:sz w:val="22"/>
                <w:szCs w:val="22"/>
              </w:rPr>
            </w:pPr>
            <w:r w:rsidRPr="00E51096">
              <w:rPr>
                <w:sz w:val="22"/>
                <w:szCs w:val="22"/>
              </w:rPr>
              <w:t>Voting on all</w:t>
            </w:r>
          </w:p>
        </w:tc>
        <w:tc>
          <w:tcPr>
            <w:tcW w:w="1543" w:type="dxa"/>
          </w:tcPr>
          <w:p w14:paraId="55148DBC" w14:textId="77777777" w:rsidR="00527F05" w:rsidRPr="00E51096" w:rsidRDefault="00527F05" w:rsidP="0058036A">
            <w:pPr>
              <w:rPr>
                <w:sz w:val="22"/>
                <w:szCs w:val="22"/>
              </w:rPr>
            </w:pPr>
            <w:r w:rsidRPr="00E51096">
              <w:rPr>
                <w:sz w:val="22"/>
                <w:szCs w:val="22"/>
              </w:rPr>
              <w:t>Voting on major</w:t>
            </w:r>
          </w:p>
        </w:tc>
        <w:tc>
          <w:tcPr>
            <w:tcW w:w="1539" w:type="dxa"/>
          </w:tcPr>
          <w:p w14:paraId="108E4DC0" w14:textId="77777777" w:rsidR="00527F05" w:rsidRPr="00E51096" w:rsidRDefault="00527F05" w:rsidP="0058036A">
            <w:pPr>
              <w:rPr>
                <w:sz w:val="22"/>
                <w:szCs w:val="22"/>
              </w:rPr>
            </w:pPr>
            <w:r w:rsidRPr="00E51096">
              <w:rPr>
                <w:sz w:val="22"/>
                <w:szCs w:val="22"/>
              </w:rPr>
              <w:t>Participating</w:t>
            </w:r>
          </w:p>
        </w:tc>
        <w:tc>
          <w:tcPr>
            <w:tcW w:w="1541" w:type="dxa"/>
          </w:tcPr>
          <w:p w14:paraId="3E497A2B" w14:textId="77777777" w:rsidR="00527F05" w:rsidRPr="00E51096" w:rsidRDefault="00527F05" w:rsidP="0058036A">
            <w:pPr>
              <w:rPr>
                <w:sz w:val="22"/>
                <w:szCs w:val="22"/>
              </w:rPr>
            </w:pPr>
            <w:r w:rsidRPr="00E51096">
              <w:rPr>
                <w:sz w:val="22"/>
                <w:szCs w:val="22"/>
              </w:rPr>
              <w:t>Participating</w:t>
            </w:r>
          </w:p>
        </w:tc>
      </w:tr>
      <w:tr w:rsidR="00527F05" w14:paraId="224CAC6C" w14:textId="77777777" w:rsidTr="00527F05">
        <w:trPr>
          <w:jc w:val="center"/>
        </w:trPr>
        <w:tc>
          <w:tcPr>
            <w:tcW w:w="1639" w:type="dxa"/>
          </w:tcPr>
          <w:p w14:paraId="7B41E6D2" w14:textId="77777777" w:rsidR="00527F05" w:rsidRPr="00E51096" w:rsidRDefault="00527F05" w:rsidP="0058036A">
            <w:pPr>
              <w:rPr>
                <w:sz w:val="22"/>
                <w:szCs w:val="22"/>
              </w:rPr>
            </w:pPr>
            <w:r w:rsidRPr="00E51096">
              <w:rPr>
                <w:sz w:val="22"/>
                <w:szCs w:val="22"/>
              </w:rPr>
              <w:t>EEE parts</w:t>
            </w:r>
          </w:p>
        </w:tc>
        <w:tc>
          <w:tcPr>
            <w:tcW w:w="1543" w:type="dxa"/>
          </w:tcPr>
          <w:p w14:paraId="2A40FC3A" w14:textId="77777777" w:rsidR="00527F05" w:rsidRPr="00E51096" w:rsidRDefault="00527F05" w:rsidP="0058036A">
            <w:pPr>
              <w:rPr>
                <w:sz w:val="22"/>
                <w:szCs w:val="22"/>
              </w:rPr>
            </w:pPr>
            <w:r w:rsidRPr="00E51096">
              <w:rPr>
                <w:sz w:val="22"/>
                <w:szCs w:val="22"/>
              </w:rPr>
              <w:t>Level 1</w:t>
            </w:r>
          </w:p>
        </w:tc>
        <w:tc>
          <w:tcPr>
            <w:tcW w:w="1543" w:type="dxa"/>
          </w:tcPr>
          <w:p w14:paraId="1A191351" w14:textId="77777777" w:rsidR="00527F05" w:rsidRPr="00E51096" w:rsidRDefault="00527F05" w:rsidP="0058036A">
            <w:pPr>
              <w:rPr>
                <w:sz w:val="22"/>
                <w:szCs w:val="22"/>
              </w:rPr>
            </w:pPr>
            <w:r w:rsidRPr="00E51096">
              <w:rPr>
                <w:sz w:val="22"/>
                <w:szCs w:val="22"/>
              </w:rPr>
              <w:t>Level 2</w:t>
            </w:r>
          </w:p>
        </w:tc>
        <w:tc>
          <w:tcPr>
            <w:tcW w:w="1539" w:type="dxa"/>
          </w:tcPr>
          <w:p w14:paraId="4F06C086" w14:textId="77777777" w:rsidR="00527F05" w:rsidRPr="00E51096" w:rsidRDefault="00527F05" w:rsidP="0058036A">
            <w:pPr>
              <w:rPr>
                <w:sz w:val="22"/>
                <w:szCs w:val="22"/>
              </w:rPr>
            </w:pPr>
            <w:r w:rsidRPr="00E51096">
              <w:rPr>
                <w:sz w:val="22"/>
                <w:szCs w:val="22"/>
              </w:rPr>
              <w:t>Level 3</w:t>
            </w:r>
          </w:p>
        </w:tc>
        <w:tc>
          <w:tcPr>
            <w:tcW w:w="1541" w:type="dxa"/>
          </w:tcPr>
          <w:p w14:paraId="5114B410" w14:textId="77777777" w:rsidR="00527F05" w:rsidRPr="00E51096" w:rsidRDefault="00527F05" w:rsidP="0058036A">
            <w:pPr>
              <w:rPr>
                <w:sz w:val="22"/>
                <w:szCs w:val="22"/>
              </w:rPr>
            </w:pPr>
            <w:r w:rsidRPr="00E51096">
              <w:rPr>
                <w:sz w:val="22"/>
                <w:szCs w:val="22"/>
              </w:rPr>
              <w:t>COTS</w:t>
            </w:r>
            <w:r w:rsidRPr="00E51096">
              <w:rPr>
                <w:rStyle w:val="FootnoteReference"/>
                <w:sz w:val="22"/>
                <w:szCs w:val="22"/>
              </w:rPr>
              <w:footnoteReference w:id="12"/>
            </w:r>
          </w:p>
        </w:tc>
      </w:tr>
      <w:tr w:rsidR="00527F05" w14:paraId="2B1E261C" w14:textId="77777777" w:rsidTr="00527F05">
        <w:trPr>
          <w:jc w:val="center"/>
        </w:trPr>
        <w:tc>
          <w:tcPr>
            <w:tcW w:w="1639" w:type="dxa"/>
          </w:tcPr>
          <w:p w14:paraId="727F6035" w14:textId="77777777" w:rsidR="00527F05" w:rsidRPr="00E51096" w:rsidRDefault="00527F05" w:rsidP="0058036A">
            <w:pPr>
              <w:rPr>
                <w:sz w:val="22"/>
                <w:szCs w:val="22"/>
              </w:rPr>
            </w:pPr>
            <w:r w:rsidRPr="00E51096">
              <w:rPr>
                <w:sz w:val="22"/>
                <w:szCs w:val="22"/>
              </w:rPr>
              <w:t xml:space="preserve">PCB </w:t>
            </w:r>
            <w:proofErr w:type="spellStart"/>
            <w:r w:rsidRPr="00E51096">
              <w:rPr>
                <w:sz w:val="22"/>
                <w:szCs w:val="22"/>
              </w:rPr>
              <w:t>reqmts</w:t>
            </w:r>
            <w:proofErr w:type="spellEnd"/>
            <w:r w:rsidRPr="00E51096">
              <w:rPr>
                <w:rStyle w:val="FootnoteReference"/>
                <w:sz w:val="22"/>
                <w:szCs w:val="22"/>
              </w:rPr>
              <w:footnoteReference w:id="13"/>
            </w:r>
          </w:p>
        </w:tc>
        <w:tc>
          <w:tcPr>
            <w:tcW w:w="1543" w:type="dxa"/>
          </w:tcPr>
          <w:p w14:paraId="1B9ABB34" w14:textId="77777777" w:rsidR="00527F05" w:rsidRPr="00E51096" w:rsidRDefault="00527F05" w:rsidP="0058036A">
            <w:pPr>
              <w:rPr>
                <w:sz w:val="22"/>
                <w:szCs w:val="22"/>
              </w:rPr>
            </w:pPr>
            <w:r w:rsidRPr="00E51096">
              <w:rPr>
                <w:sz w:val="22"/>
                <w:szCs w:val="22"/>
              </w:rPr>
              <w:t>DS, ES, 3/A</w:t>
            </w:r>
          </w:p>
        </w:tc>
        <w:tc>
          <w:tcPr>
            <w:tcW w:w="1543" w:type="dxa"/>
          </w:tcPr>
          <w:p w14:paraId="1A0C8DBD" w14:textId="77777777" w:rsidR="00527F05" w:rsidRPr="00E51096" w:rsidRDefault="00527F05" w:rsidP="0058036A">
            <w:pPr>
              <w:rPr>
                <w:sz w:val="22"/>
                <w:szCs w:val="22"/>
              </w:rPr>
            </w:pPr>
            <w:r w:rsidRPr="00E51096">
              <w:rPr>
                <w:sz w:val="22"/>
                <w:szCs w:val="22"/>
              </w:rPr>
              <w:t>DS, ES, 3/A</w:t>
            </w:r>
          </w:p>
        </w:tc>
        <w:tc>
          <w:tcPr>
            <w:tcW w:w="1539" w:type="dxa"/>
          </w:tcPr>
          <w:p w14:paraId="6EA648F3" w14:textId="77777777" w:rsidR="00527F05" w:rsidRPr="00E51096" w:rsidRDefault="00527F05" w:rsidP="0058036A">
            <w:pPr>
              <w:rPr>
                <w:sz w:val="22"/>
                <w:szCs w:val="22"/>
              </w:rPr>
            </w:pPr>
            <w:r w:rsidRPr="00E51096">
              <w:rPr>
                <w:sz w:val="22"/>
                <w:szCs w:val="22"/>
              </w:rPr>
              <w:t>D, E, 3</w:t>
            </w:r>
          </w:p>
        </w:tc>
        <w:tc>
          <w:tcPr>
            <w:tcW w:w="1541" w:type="dxa"/>
          </w:tcPr>
          <w:p w14:paraId="7C498271" w14:textId="77777777" w:rsidR="00527F05" w:rsidRPr="00E51096" w:rsidRDefault="00527F05" w:rsidP="0058036A">
            <w:pPr>
              <w:rPr>
                <w:sz w:val="22"/>
                <w:szCs w:val="22"/>
              </w:rPr>
            </w:pPr>
            <w:r w:rsidRPr="00E51096">
              <w:rPr>
                <w:sz w:val="22"/>
                <w:szCs w:val="22"/>
              </w:rPr>
              <w:t>D, E, 3</w:t>
            </w:r>
          </w:p>
        </w:tc>
      </w:tr>
      <w:tr w:rsidR="00527F05" w14:paraId="350D9C03" w14:textId="77777777" w:rsidTr="00527F05">
        <w:trPr>
          <w:jc w:val="center"/>
        </w:trPr>
        <w:tc>
          <w:tcPr>
            <w:tcW w:w="1639" w:type="dxa"/>
          </w:tcPr>
          <w:p w14:paraId="3EA8B9CB" w14:textId="5559FF2D" w:rsidR="00527F05" w:rsidRPr="00E51096" w:rsidRDefault="00527F05" w:rsidP="0058036A">
            <w:pPr>
              <w:rPr>
                <w:sz w:val="22"/>
                <w:szCs w:val="22"/>
              </w:rPr>
            </w:pPr>
            <w:r w:rsidRPr="00E51096">
              <w:rPr>
                <w:sz w:val="22"/>
                <w:szCs w:val="22"/>
              </w:rPr>
              <w:t xml:space="preserve">PCB </w:t>
            </w:r>
            <w:proofErr w:type="gramStart"/>
            <w:r w:rsidRPr="00E51096">
              <w:rPr>
                <w:sz w:val="22"/>
                <w:szCs w:val="22"/>
              </w:rPr>
              <w:t>coupons</w:t>
            </w:r>
            <w:r w:rsidR="00B3055E" w:rsidRPr="00F44139">
              <w:rPr>
                <w:sz w:val="22"/>
                <w:szCs w:val="22"/>
              </w:rPr>
              <w:t>[</w:t>
            </w:r>
            <w:proofErr w:type="gramEnd"/>
            <w:r w:rsidR="00B3055E" w:rsidRPr="00F44139">
              <w:rPr>
                <w:sz w:val="22"/>
                <w:szCs w:val="22"/>
              </w:rPr>
              <w:t>1</w:t>
            </w:r>
            <w:r w:rsidR="00F5309C" w:rsidRPr="00F44139">
              <w:rPr>
                <w:sz w:val="22"/>
                <w:szCs w:val="22"/>
              </w:rPr>
              <w:t>9</w:t>
            </w:r>
            <w:r w:rsidR="00B3055E" w:rsidRPr="00F44139">
              <w:rPr>
                <w:sz w:val="22"/>
                <w:szCs w:val="22"/>
              </w:rPr>
              <w:t>]</w:t>
            </w:r>
          </w:p>
        </w:tc>
        <w:tc>
          <w:tcPr>
            <w:tcW w:w="1543" w:type="dxa"/>
          </w:tcPr>
          <w:p w14:paraId="69EC6E5F" w14:textId="77777777" w:rsidR="00527F05" w:rsidRPr="00E51096" w:rsidRDefault="00527F05" w:rsidP="0058036A">
            <w:pPr>
              <w:rPr>
                <w:sz w:val="22"/>
                <w:szCs w:val="22"/>
              </w:rPr>
            </w:pPr>
            <w:r w:rsidRPr="00E51096">
              <w:rPr>
                <w:sz w:val="22"/>
                <w:szCs w:val="22"/>
              </w:rPr>
              <w:t>Independent</w:t>
            </w:r>
          </w:p>
        </w:tc>
        <w:tc>
          <w:tcPr>
            <w:tcW w:w="1543" w:type="dxa"/>
          </w:tcPr>
          <w:p w14:paraId="2E53133F" w14:textId="77777777" w:rsidR="00527F05" w:rsidRPr="00E51096" w:rsidRDefault="00527F05" w:rsidP="0058036A">
            <w:pPr>
              <w:rPr>
                <w:sz w:val="22"/>
                <w:szCs w:val="22"/>
              </w:rPr>
            </w:pPr>
            <w:r w:rsidRPr="00E51096">
              <w:rPr>
                <w:sz w:val="22"/>
                <w:szCs w:val="22"/>
              </w:rPr>
              <w:t>Independent</w:t>
            </w:r>
          </w:p>
        </w:tc>
        <w:tc>
          <w:tcPr>
            <w:tcW w:w="1539" w:type="dxa"/>
          </w:tcPr>
          <w:p w14:paraId="44161E78" w14:textId="77777777" w:rsidR="00527F05" w:rsidRPr="00E51096" w:rsidRDefault="00527F05" w:rsidP="0058036A">
            <w:pPr>
              <w:rPr>
                <w:sz w:val="22"/>
                <w:szCs w:val="22"/>
              </w:rPr>
            </w:pPr>
            <w:r w:rsidRPr="00E51096">
              <w:rPr>
                <w:sz w:val="22"/>
                <w:szCs w:val="22"/>
              </w:rPr>
              <w:t>Supplier only</w:t>
            </w:r>
            <w:r w:rsidRPr="00E51096">
              <w:rPr>
                <w:rStyle w:val="FootnoteReference"/>
                <w:sz w:val="22"/>
                <w:szCs w:val="22"/>
              </w:rPr>
              <w:footnoteReference w:id="14"/>
            </w:r>
          </w:p>
        </w:tc>
        <w:tc>
          <w:tcPr>
            <w:tcW w:w="1541" w:type="dxa"/>
          </w:tcPr>
          <w:p w14:paraId="1F9BBF7B" w14:textId="77777777" w:rsidR="00527F05" w:rsidRPr="00E51096" w:rsidRDefault="00527F05" w:rsidP="0058036A">
            <w:pPr>
              <w:rPr>
                <w:sz w:val="22"/>
                <w:szCs w:val="22"/>
              </w:rPr>
            </w:pPr>
            <w:r w:rsidRPr="00E51096">
              <w:rPr>
                <w:sz w:val="22"/>
                <w:szCs w:val="22"/>
              </w:rPr>
              <w:t>Supplier only</w:t>
            </w:r>
          </w:p>
        </w:tc>
      </w:tr>
      <w:tr w:rsidR="00527F05" w14:paraId="5615848B" w14:textId="77777777" w:rsidTr="00527F05">
        <w:trPr>
          <w:jc w:val="center"/>
        </w:trPr>
        <w:tc>
          <w:tcPr>
            <w:tcW w:w="1639" w:type="dxa"/>
          </w:tcPr>
          <w:p w14:paraId="6627001F" w14:textId="77777777" w:rsidR="00527F05" w:rsidRPr="00E51096" w:rsidRDefault="00527F05" w:rsidP="0058036A">
            <w:pPr>
              <w:rPr>
                <w:sz w:val="22"/>
                <w:szCs w:val="22"/>
              </w:rPr>
            </w:pPr>
            <w:r w:rsidRPr="00E51096">
              <w:rPr>
                <w:sz w:val="22"/>
                <w:szCs w:val="22"/>
              </w:rPr>
              <w:t>Design redundancy</w:t>
            </w:r>
          </w:p>
        </w:tc>
        <w:tc>
          <w:tcPr>
            <w:tcW w:w="1543" w:type="dxa"/>
          </w:tcPr>
          <w:p w14:paraId="013C87B9" w14:textId="77777777" w:rsidR="00527F05" w:rsidRPr="00E51096" w:rsidRDefault="00527F05" w:rsidP="0058036A">
            <w:pPr>
              <w:rPr>
                <w:sz w:val="22"/>
                <w:szCs w:val="22"/>
              </w:rPr>
            </w:pPr>
            <w:r w:rsidRPr="00E51096">
              <w:rPr>
                <w:sz w:val="22"/>
                <w:szCs w:val="22"/>
              </w:rPr>
              <w:t>Fully redundant</w:t>
            </w:r>
          </w:p>
        </w:tc>
        <w:tc>
          <w:tcPr>
            <w:tcW w:w="1543" w:type="dxa"/>
          </w:tcPr>
          <w:p w14:paraId="0A2F6B40" w14:textId="77777777" w:rsidR="00527F05" w:rsidRPr="00E51096" w:rsidRDefault="00527F05" w:rsidP="0058036A">
            <w:pPr>
              <w:rPr>
                <w:sz w:val="22"/>
                <w:szCs w:val="22"/>
              </w:rPr>
            </w:pPr>
            <w:r w:rsidRPr="00E51096">
              <w:rPr>
                <w:sz w:val="22"/>
                <w:szCs w:val="22"/>
              </w:rPr>
              <w:t>Mostly redundant</w:t>
            </w:r>
          </w:p>
        </w:tc>
        <w:tc>
          <w:tcPr>
            <w:tcW w:w="1539" w:type="dxa"/>
          </w:tcPr>
          <w:p w14:paraId="58321BB7" w14:textId="77777777" w:rsidR="00527F05" w:rsidRPr="00E51096" w:rsidRDefault="00527F05" w:rsidP="0058036A">
            <w:pPr>
              <w:rPr>
                <w:sz w:val="22"/>
                <w:szCs w:val="22"/>
              </w:rPr>
            </w:pPr>
            <w:r w:rsidRPr="00E51096">
              <w:rPr>
                <w:sz w:val="22"/>
                <w:szCs w:val="22"/>
              </w:rPr>
              <w:t>Selective redundancy</w:t>
            </w:r>
          </w:p>
        </w:tc>
        <w:tc>
          <w:tcPr>
            <w:tcW w:w="1541" w:type="dxa"/>
          </w:tcPr>
          <w:p w14:paraId="155E19EE" w14:textId="77777777" w:rsidR="00527F05" w:rsidRPr="00E51096" w:rsidRDefault="00527F05" w:rsidP="0058036A">
            <w:pPr>
              <w:rPr>
                <w:sz w:val="22"/>
                <w:szCs w:val="22"/>
              </w:rPr>
            </w:pPr>
            <w:r w:rsidRPr="00E51096">
              <w:rPr>
                <w:sz w:val="22"/>
                <w:szCs w:val="22"/>
              </w:rPr>
              <w:t xml:space="preserve">Mostly single string </w:t>
            </w:r>
          </w:p>
        </w:tc>
      </w:tr>
      <w:tr w:rsidR="00527F05" w14:paraId="62511005" w14:textId="77777777" w:rsidTr="00527F05">
        <w:trPr>
          <w:jc w:val="center"/>
        </w:trPr>
        <w:tc>
          <w:tcPr>
            <w:tcW w:w="1639" w:type="dxa"/>
          </w:tcPr>
          <w:p w14:paraId="128AB479" w14:textId="20F8816C" w:rsidR="00527F05" w:rsidRPr="00E51096" w:rsidRDefault="00542BEE" w:rsidP="0058036A">
            <w:pPr>
              <w:rPr>
                <w:sz w:val="22"/>
                <w:szCs w:val="22"/>
              </w:rPr>
            </w:pPr>
            <w:r>
              <w:rPr>
                <w:sz w:val="22"/>
                <w:szCs w:val="22"/>
              </w:rPr>
              <w:t>W</w:t>
            </w:r>
            <w:r w:rsidR="00527F05" w:rsidRPr="00E51096">
              <w:rPr>
                <w:sz w:val="22"/>
                <w:szCs w:val="22"/>
              </w:rPr>
              <w:t>orkmanship</w:t>
            </w:r>
          </w:p>
        </w:tc>
        <w:tc>
          <w:tcPr>
            <w:tcW w:w="1543" w:type="dxa"/>
          </w:tcPr>
          <w:p w14:paraId="6E3A2F9D" w14:textId="77777777" w:rsidR="00527F05" w:rsidRPr="00E51096" w:rsidRDefault="00527F05" w:rsidP="0058036A">
            <w:pPr>
              <w:rPr>
                <w:sz w:val="22"/>
                <w:szCs w:val="22"/>
              </w:rPr>
            </w:pPr>
            <w:r w:rsidRPr="00E51096">
              <w:rPr>
                <w:sz w:val="22"/>
                <w:szCs w:val="22"/>
              </w:rPr>
              <w:t>Space addendum</w:t>
            </w:r>
          </w:p>
        </w:tc>
        <w:tc>
          <w:tcPr>
            <w:tcW w:w="1543" w:type="dxa"/>
          </w:tcPr>
          <w:p w14:paraId="494199F0" w14:textId="77777777" w:rsidR="00527F05" w:rsidRPr="00E51096" w:rsidRDefault="00527F05" w:rsidP="0058036A">
            <w:pPr>
              <w:rPr>
                <w:sz w:val="22"/>
                <w:szCs w:val="22"/>
              </w:rPr>
            </w:pPr>
            <w:r w:rsidRPr="00E51096">
              <w:rPr>
                <w:sz w:val="22"/>
                <w:szCs w:val="22"/>
              </w:rPr>
              <w:t>Space addendum</w:t>
            </w:r>
          </w:p>
        </w:tc>
        <w:tc>
          <w:tcPr>
            <w:tcW w:w="1539" w:type="dxa"/>
          </w:tcPr>
          <w:p w14:paraId="74BB686C" w14:textId="77777777" w:rsidR="00527F05" w:rsidRPr="00E51096" w:rsidRDefault="00527F05" w:rsidP="0058036A">
            <w:pPr>
              <w:rPr>
                <w:sz w:val="22"/>
                <w:szCs w:val="22"/>
              </w:rPr>
            </w:pPr>
            <w:r w:rsidRPr="00E51096">
              <w:rPr>
                <w:sz w:val="22"/>
                <w:szCs w:val="22"/>
              </w:rPr>
              <w:t>No space addendum</w:t>
            </w:r>
          </w:p>
        </w:tc>
        <w:tc>
          <w:tcPr>
            <w:tcW w:w="1541" w:type="dxa"/>
          </w:tcPr>
          <w:p w14:paraId="54A1E813" w14:textId="7889CFE4" w:rsidR="00527F05" w:rsidRPr="00E51096" w:rsidRDefault="00527F05" w:rsidP="0058036A">
            <w:pPr>
              <w:rPr>
                <w:sz w:val="22"/>
                <w:szCs w:val="22"/>
              </w:rPr>
            </w:pPr>
            <w:r w:rsidRPr="00E51096">
              <w:rPr>
                <w:sz w:val="22"/>
                <w:szCs w:val="22"/>
              </w:rPr>
              <w:t>No space addendum flexible requirements</w:t>
            </w:r>
          </w:p>
        </w:tc>
      </w:tr>
      <w:tr w:rsidR="00527F05" w14:paraId="493110AA" w14:textId="77777777" w:rsidTr="00527F05">
        <w:trPr>
          <w:jc w:val="center"/>
        </w:trPr>
        <w:tc>
          <w:tcPr>
            <w:tcW w:w="1639" w:type="dxa"/>
          </w:tcPr>
          <w:p w14:paraId="5AE077F7" w14:textId="77777777" w:rsidR="00527F05" w:rsidRPr="00E51096" w:rsidRDefault="00527F05" w:rsidP="0058036A">
            <w:pPr>
              <w:rPr>
                <w:sz w:val="22"/>
                <w:szCs w:val="22"/>
              </w:rPr>
            </w:pPr>
            <w:r w:rsidRPr="00E51096">
              <w:rPr>
                <w:sz w:val="22"/>
                <w:szCs w:val="22"/>
              </w:rPr>
              <w:t>Radiation</w:t>
            </w:r>
          </w:p>
        </w:tc>
        <w:tc>
          <w:tcPr>
            <w:tcW w:w="1543" w:type="dxa"/>
          </w:tcPr>
          <w:p w14:paraId="70672B00" w14:textId="59F95EDA" w:rsidR="00527F05" w:rsidRPr="00E51096" w:rsidRDefault="00527F05" w:rsidP="0058036A">
            <w:pPr>
              <w:rPr>
                <w:sz w:val="22"/>
                <w:szCs w:val="22"/>
              </w:rPr>
            </w:pPr>
            <w:proofErr w:type="spellStart"/>
            <w:r w:rsidRPr="00E51096">
              <w:rPr>
                <w:sz w:val="22"/>
                <w:szCs w:val="22"/>
              </w:rPr>
              <w:t>Space-grade+rad-tol</w:t>
            </w:r>
            <w:proofErr w:type="spellEnd"/>
            <w:r w:rsidR="003F3A54">
              <w:rPr>
                <w:sz w:val="22"/>
                <w:szCs w:val="22"/>
              </w:rPr>
              <w:t xml:space="preserve"> </w:t>
            </w:r>
            <w:r w:rsidRPr="00E51096">
              <w:rPr>
                <w:sz w:val="22"/>
                <w:szCs w:val="22"/>
              </w:rPr>
              <w:t>design + RDM</w:t>
            </w:r>
            <w:r w:rsidR="000564D9">
              <w:rPr>
                <w:rStyle w:val="FootnoteReference"/>
                <w:sz w:val="22"/>
                <w:szCs w:val="22"/>
              </w:rPr>
              <w:footnoteReference w:id="15"/>
            </w:r>
            <w:r w:rsidRPr="00E51096">
              <w:rPr>
                <w:sz w:val="22"/>
                <w:szCs w:val="22"/>
              </w:rPr>
              <w:t xml:space="preserve"> 2</w:t>
            </w:r>
            <w:r w:rsidR="00303728">
              <w:rPr>
                <w:sz w:val="22"/>
                <w:szCs w:val="22"/>
              </w:rPr>
              <w:t>.0</w:t>
            </w:r>
          </w:p>
        </w:tc>
        <w:tc>
          <w:tcPr>
            <w:tcW w:w="1543" w:type="dxa"/>
          </w:tcPr>
          <w:p w14:paraId="40E98AE6" w14:textId="77777777" w:rsidR="00527F05" w:rsidRPr="00E51096" w:rsidRDefault="00527F05" w:rsidP="0058036A">
            <w:pPr>
              <w:rPr>
                <w:sz w:val="22"/>
                <w:szCs w:val="22"/>
              </w:rPr>
            </w:pPr>
            <w:r w:rsidRPr="00E51096">
              <w:rPr>
                <w:sz w:val="22"/>
                <w:szCs w:val="22"/>
              </w:rPr>
              <w:t>Radiation verified + rad-</w:t>
            </w:r>
            <w:proofErr w:type="spellStart"/>
            <w:r w:rsidRPr="00E51096">
              <w:rPr>
                <w:sz w:val="22"/>
                <w:szCs w:val="22"/>
              </w:rPr>
              <w:t>tol</w:t>
            </w:r>
            <w:proofErr w:type="spellEnd"/>
            <w:r w:rsidRPr="00E51096">
              <w:rPr>
                <w:sz w:val="22"/>
                <w:szCs w:val="22"/>
              </w:rPr>
              <w:t xml:space="preserve"> design + RDM 1.5</w:t>
            </w:r>
          </w:p>
        </w:tc>
        <w:tc>
          <w:tcPr>
            <w:tcW w:w="1539" w:type="dxa"/>
          </w:tcPr>
          <w:p w14:paraId="5A82629C" w14:textId="77777777" w:rsidR="00527F05" w:rsidRPr="00E51096" w:rsidRDefault="00527F05" w:rsidP="0058036A">
            <w:pPr>
              <w:rPr>
                <w:sz w:val="22"/>
                <w:szCs w:val="22"/>
              </w:rPr>
            </w:pPr>
            <w:r w:rsidRPr="00E51096">
              <w:rPr>
                <w:sz w:val="22"/>
                <w:szCs w:val="22"/>
              </w:rPr>
              <w:t>Rad-</w:t>
            </w:r>
            <w:proofErr w:type="spellStart"/>
            <w:r w:rsidRPr="00E51096">
              <w:rPr>
                <w:sz w:val="22"/>
                <w:szCs w:val="22"/>
              </w:rPr>
              <w:t>tol</w:t>
            </w:r>
            <w:proofErr w:type="spellEnd"/>
            <w:r w:rsidRPr="00E51096">
              <w:rPr>
                <w:sz w:val="22"/>
                <w:szCs w:val="22"/>
              </w:rPr>
              <w:t xml:space="preserve"> design, RDM 1.2</w:t>
            </w:r>
          </w:p>
        </w:tc>
        <w:tc>
          <w:tcPr>
            <w:tcW w:w="1541" w:type="dxa"/>
          </w:tcPr>
          <w:p w14:paraId="570DD855" w14:textId="77777777" w:rsidR="00527F05" w:rsidRPr="00E51096" w:rsidRDefault="00527F05" w:rsidP="0058036A">
            <w:pPr>
              <w:rPr>
                <w:sz w:val="22"/>
                <w:szCs w:val="22"/>
              </w:rPr>
            </w:pPr>
            <w:r w:rsidRPr="00E51096">
              <w:rPr>
                <w:sz w:val="22"/>
                <w:szCs w:val="22"/>
              </w:rPr>
              <w:t>Rad-</w:t>
            </w:r>
            <w:proofErr w:type="spellStart"/>
            <w:r w:rsidRPr="00E51096">
              <w:rPr>
                <w:sz w:val="22"/>
                <w:szCs w:val="22"/>
              </w:rPr>
              <w:t>tol</w:t>
            </w:r>
            <w:proofErr w:type="spellEnd"/>
            <w:r w:rsidRPr="00E51096">
              <w:rPr>
                <w:sz w:val="22"/>
                <w:szCs w:val="22"/>
              </w:rPr>
              <w:t xml:space="preserve"> design</w:t>
            </w:r>
          </w:p>
        </w:tc>
      </w:tr>
      <w:tr w:rsidR="00527F05" w14:paraId="7692CC6E" w14:textId="77777777" w:rsidTr="00527F05">
        <w:trPr>
          <w:jc w:val="center"/>
        </w:trPr>
        <w:tc>
          <w:tcPr>
            <w:tcW w:w="1639" w:type="dxa"/>
          </w:tcPr>
          <w:p w14:paraId="7A593726" w14:textId="77777777" w:rsidR="00527F05" w:rsidRPr="00E51096" w:rsidRDefault="00527F05" w:rsidP="0058036A">
            <w:pPr>
              <w:rPr>
                <w:sz w:val="22"/>
                <w:szCs w:val="22"/>
              </w:rPr>
            </w:pPr>
            <w:r w:rsidRPr="00E51096">
              <w:rPr>
                <w:sz w:val="22"/>
                <w:szCs w:val="22"/>
              </w:rPr>
              <w:t>Lifting</w:t>
            </w:r>
          </w:p>
        </w:tc>
        <w:tc>
          <w:tcPr>
            <w:tcW w:w="1543" w:type="dxa"/>
          </w:tcPr>
          <w:p w14:paraId="4BA5B480" w14:textId="77777777" w:rsidR="00527F05" w:rsidRPr="00E51096" w:rsidRDefault="00527F05" w:rsidP="0058036A">
            <w:pPr>
              <w:rPr>
                <w:sz w:val="22"/>
                <w:szCs w:val="22"/>
              </w:rPr>
            </w:pPr>
            <w:r w:rsidRPr="00E51096">
              <w:rPr>
                <w:sz w:val="22"/>
                <w:szCs w:val="22"/>
              </w:rPr>
              <w:t>Standard suite of 6 practices</w:t>
            </w:r>
          </w:p>
        </w:tc>
        <w:tc>
          <w:tcPr>
            <w:tcW w:w="1543" w:type="dxa"/>
          </w:tcPr>
          <w:p w14:paraId="2F0A6A8B" w14:textId="77777777" w:rsidR="00527F05" w:rsidRPr="00E51096" w:rsidRDefault="00527F05" w:rsidP="0058036A">
            <w:pPr>
              <w:rPr>
                <w:sz w:val="22"/>
                <w:szCs w:val="22"/>
              </w:rPr>
            </w:pPr>
            <w:r w:rsidRPr="00E51096">
              <w:rPr>
                <w:sz w:val="22"/>
                <w:szCs w:val="22"/>
              </w:rPr>
              <w:t>Standard suite of 6 practices</w:t>
            </w:r>
          </w:p>
        </w:tc>
        <w:tc>
          <w:tcPr>
            <w:tcW w:w="1539" w:type="dxa"/>
          </w:tcPr>
          <w:p w14:paraId="3DA61A62" w14:textId="77777777" w:rsidR="00527F05" w:rsidRPr="00E51096" w:rsidRDefault="00527F05" w:rsidP="0058036A">
            <w:pPr>
              <w:rPr>
                <w:sz w:val="22"/>
                <w:szCs w:val="22"/>
              </w:rPr>
            </w:pPr>
            <w:r w:rsidRPr="00E51096">
              <w:rPr>
                <w:sz w:val="22"/>
                <w:szCs w:val="22"/>
              </w:rPr>
              <w:t>Standard suite of 6 practices</w:t>
            </w:r>
          </w:p>
        </w:tc>
        <w:tc>
          <w:tcPr>
            <w:tcW w:w="1541" w:type="dxa"/>
          </w:tcPr>
          <w:p w14:paraId="284EEACF" w14:textId="77777777" w:rsidR="00527F05" w:rsidRPr="00E51096" w:rsidRDefault="00527F05" w:rsidP="0058036A">
            <w:pPr>
              <w:rPr>
                <w:sz w:val="22"/>
                <w:szCs w:val="22"/>
              </w:rPr>
            </w:pPr>
            <w:r w:rsidRPr="00E51096">
              <w:rPr>
                <w:sz w:val="22"/>
                <w:szCs w:val="22"/>
              </w:rPr>
              <w:t>Vendor practices</w:t>
            </w:r>
          </w:p>
        </w:tc>
      </w:tr>
    </w:tbl>
    <w:p w14:paraId="5F79630B" w14:textId="77777777" w:rsidR="00831F1E" w:rsidRDefault="00831F1E" w:rsidP="00DA1422"/>
    <w:p w14:paraId="2E35812B" w14:textId="77777777" w:rsidR="00B2150E" w:rsidRDefault="00B2150E" w:rsidP="00DA1422"/>
    <w:p w14:paraId="16356335" w14:textId="366F3172" w:rsidR="007C1128" w:rsidRDefault="00E51096" w:rsidP="00DA1422">
      <w:r>
        <w:t xml:space="preserve">Note that in </w:t>
      </w:r>
      <w:r w:rsidR="00303728">
        <w:t xml:space="preserve">the last </w:t>
      </w:r>
      <w:r>
        <w:t xml:space="preserve">two </w:t>
      </w:r>
      <w:r w:rsidR="00303728">
        <w:t xml:space="preserve">elements of Table </w:t>
      </w:r>
      <w:r w:rsidR="00741C7D">
        <w:t>2</w:t>
      </w:r>
      <w:r>
        <w:t>, the Class C recommendation is more aligned with oversight than with insight</w:t>
      </w:r>
      <w:r w:rsidR="00303728">
        <w:t>; that is, closer to B than to D</w:t>
      </w:r>
      <w:r>
        <w:t xml:space="preserve">.  This is largely because </w:t>
      </w:r>
      <w:r w:rsidR="009B1DD7">
        <w:t xml:space="preserve">GSFC has not become comfortable with less control of </w:t>
      </w:r>
      <w:r w:rsidR="00303728">
        <w:t>either of these disciplines</w:t>
      </w:r>
      <w:r w:rsidR="009B1DD7">
        <w:t xml:space="preserve">.  Traditionally, radiation has been addressed at the part level </w:t>
      </w:r>
      <w:r w:rsidR="00920AA6">
        <w:t xml:space="preserve">even </w:t>
      </w:r>
      <w:r w:rsidR="009B1DD7">
        <w:t xml:space="preserve">though it is </w:t>
      </w:r>
      <w:r w:rsidR="000564D9">
        <w:t xml:space="preserve">a </w:t>
      </w:r>
      <w:r w:rsidR="009B1DD7">
        <w:t>system-level problem.  Radiation design margin (RDM) represents the</w:t>
      </w:r>
      <w:r w:rsidR="007C1128">
        <w:t xml:space="preserve"> lesser of (1) the ratio of</w:t>
      </w:r>
      <w:r w:rsidR="009B1DD7">
        <w:t xml:space="preserve"> total ionizing dose </w:t>
      </w:r>
      <w:r w:rsidR="007C1128">
        <w:t>tolerance to the total ionizing dose level in the design and (2) the ratio of single event effects sensitivity level to the predicted rate of single of event effects encountered by the design in the operational environment.  It is notable that virtually all missions have long surpassed very high RDMs in operation, but poor designs, operation in very sensitive ranges (e.g., the South Atlantic Anomaly</w:t>
      </w:r>
      <w:sdt>
        <w:sdtPr>
          <w:id w:val="393780952"/>
          <w:citation/>
        </w:sdtPr>
        <w:sdtContent>
          <w:r w:rsidR="008E6795">
            <w:fldChar w:fldCharType="begin"/>
          </w:r>
          <w:r w:rsidR="008E6795">
            <w:instrText xml:space="preserve"> CITATION Adl21 \l 1033 </w:instrText>
          </w:r>
          <w:r w:rsidR="008E6795">
            <w:fldChar w:fldCharType="separate"/>
          </w:r>
          <w:r w:rsidR="00903B7D">
            <w:rPr>
              <w:noProof/>
            </w:rPr>
            <w:t xml:space="preserve"> </w:t>
          </w:r>
          <w:r w:rsidR="00903B7D" w:rsidRPr="00903B7D">
            <w:rPr>
              <w:noProof/>
            </w:rPr>
            <w:t>[14]</w:t>
          </w:r>
          <w:r w:rsidR="008E6795">
            <w:fldChar w:fldCharType="end"/>
          </w:r>
        </w:sdtContent>
      </w:sdt>
      <w:r w:rsidR="007C1128">
        <w:t xml:space="preserve"> or Van Allen belts</w:t>
      </w:r>
      <w:sdt>
        <w:sdtPr>
          <w:id w:val="-1189056904"/>
          <w:citation/>
        </w:sdtPr>
        <w:sdtContent>
          <w:r w:rsidR="008E6795">
            <w:fldChar w:fldCharType="begin"/>
          </w:r>
          <w:r w:rsidR="008E6795">
            <w:instrText xml:space="preserve"> CITATION LiW19 \l 1033 </w:instrText>
          </w:r>
          <w:r w:rsidR="008E6795">
            <w:fldChar w:fldCharType="separate"/>
          </w:r>
          <w:r w:rsidR="00903B7D">
            <w:rPr>
              <w:noProof/>
            </w:rPr>
            <w:t xml:space="preserve"> </w:t>
          </w:r>
          <w:r w:rsidR="00903B7D" w:rsidRPr="00903B7D">
            <w:rPr>
              <w:noProof/>
            </w:rPr>
            <w:t>[15]</w:t>
          </w:r>
          <w:r w:rsidR="008E6795">
            <w:fldChar w:fldCharType="end"/>
          </w:r>
        </w:sdtContent>
      </w:sdt>
      <w:r w:rsidR="007C1128">
        <w:t>)</w:t>
      </w:r>
      <w:r w:rsidR="00F57D56">
        <w:t xml:space="preserve">, and operation during solar storms have given rise to marginal through severe radiation effects on-orbit.  On the topic of lifting – the imposition of </w:t>
      </w:r>
      <w:r w:rsidR="00920AA6">
        <w:t xml:space="preserve">NASA’s customer unique </w:t>
      </w:r>
      <w:r w:rsidR="00EA20B0">
        <w:t xml:space="preserve">(hardware) </w:t>
      </w:r>
      <w:r w:rsidR="00F57D56">
        <w:t xml:space="preserve">lifting requirements takes the risk burden off the contractor and places it on the government, through mandating developers to depart from their standard lifting practices.  This is </w:t>
      </w:r>
      <w:r w:rsidR="000B2DA3">
        <w:t>the</w:t>
      </w:r>
      <w:r w:rsidR="00F57D56">
        <w:t xml:space="preserve"> approach when the government has plentiful resources and no tolerance for any event that involves dropping hardware.  Thus</w:t>
      </w:r>
      <w:r w:rsidR="000B2DA3">
        <w:t>,</w:t>
      </w:r>
      <w:r w:rsidR="00F57D56">
        <w:t xml:space="preserve"> the Class C approach is currently one of oversight</w:t>
      </w:r>
      <w:r w:rsidR="000564D9">
        <w:t xml:space="preserve"> </w:t>
      </w:r>
      <w:r w:rsidR="00F57D56">
        <w:t>because</w:t>
      </w:r>
      <w:r w:rsidR="00920AA6">
        <w:t>,</w:t>
      </w:r>
      <w:r w:rsidR="00F57D56">
        <w:t xml:space="preserve"> in general, most </w:t>
      </w:r>
      <w:r w:rsidR="00920AA6">
        <w:t xml:space="preserve">NASA </w:t>
      </w:r>
      <w:r w:rsidR="00F57D56">
        <w:t xml:space="preserve">organizations </w:t>
      </w:r>
      <w:proofErr w:type="gramStart"/>
      <w:r w:rsidR="00F57D56">
        <w:t xml:space="preserve">have </w:t>
      </w:r>
      <w:r w:rsidR="000B2DA3">
        <w:t>a preference for</w:t>
      </w:r>
      <w:proofErr w:type="gramEnd"/>
      <w:r w:rsidR="000B2DA3">
        <w:t xml:space="preserve"> control over developer lifting processes and would prefer to own the associated </w:t>
      </w:r>
      <w:r w:rsidR="000B2DA3">
        <w:lastRenderedPageBreak/>
        <w:t xml:space="preserve">risk at the extra cost </w:t>
      </w:r>
      <w:r w:rsidR="005E69C2">
        <w:t>(</w:t>
      </w:r>
      <w:r w:rsidR="000B2DA3">
        <w:t xml:space="preserve">and </w:t>
      </w:r>
      <w:r w:rsidR="005E69C2">
        <w:t>potentially additional</w:t>
      </w:r>
      <w:r w:rsidR="000B2DA3">
        <w:t xml:space="preserve"> risk of </w:t>
      </w:r>
      <w:r w:rsidR="005E69C2">
        <w:t>hardware damage</w:t>
      </w:r>
      <w:r w:rsidR="000B2DA3">
        <w:t xml:space="preserve"> by steering the developer from their standard practices).</w:t>
      </w:r>
      <w:r w:rsidR="003F3A54">
        <w:t xml:space="preserve">  </w:t>
      </w:r>
      <w:r w:rsidR="005E69C2">
        <w:t xml:space="preserve">For both </w:t>
      </w:r>
      <w:r w:rsidR="00170B1E">
        <w:t xml:space="preserve">the </w:t>
      </w:r>
      <w:r w:rsidR="005E69C2">
        <w:t xml:space="preserve">radiation and lifting elements, </w:t>
      </w:r>
      <w:r w:rsidR="00CC2DA6">
        <w:t xml:space="preserve">in </w:t>
      </w:r>
      <w:r w:rsidR="005E69C2">
        <w:t>time</w:t>
      </w:r>
      <w:r w:rsidR="00CC2DA6">
        <w:t>, NASA</w:t>
      </w:r>
      <w:r w:rsidR="005E69C2">
        <w:t xml:space="preserve"> </w:t>
      </w:r>
      <w:r w:rsidR="00170B1E">
        <w:t>m</w:t>
      </w:r>
      <w:r w:rsidR="003F3A54">
        <w:t>ight</w:t>
      </w:r>
      <w:r w:rsidR="005E69C2">
        <w:t xml:space="preserve"> </w:t>
      </w:r>
      <w:r w:rsidR="00CC2DA6">
        <w:t>gain</w:t>
      </w:r>
      <w:r w:rsidR="005E69C2">
        <w:t xml:space="preserve"> confidence in the current, competent developer practices in radiation tolerant design and lifting</w:t>
      </w:r>
      <w:r w:rsidR="00CC2DA6">
        <w:t xml:space="preserve"> practices</w:t>
      </w:r>
      <w:r w:rsidR="00E02027">
        <w:t xml:space="preserve"> (e.g., crane requirements and certifications for lifting equipment operators)</w:t>
      </w:r>
      <w:r w:rsidR="00CC2DA6">
        <w:t xml:space="preserve"> </w:t>
      </w:r>
      <w:r w:rsidR="00170B1E">
        <w:t>to</w:t>
      </w:r>
      <w:r w:rsidR="00CC2DA6">
        <w:t xml:space="preserve"> allow the Class C standard to align more with the </w:t>
      </w:r>
      <w:r w:rsidR="00170B1E">
        <w:t>insight practices of Class D.</w:t>
      </w:r>
    </w:p>
    <w:p w14:paraId="3C1B82E9" w14:textId="77777777" w:rsidR="007C1128" w:rsidRDefault="007C1128" w:rsidP="00DA1422"/>
    <w:p w14:paraId="62B91EBA" w14:textId="4E819E97" w:rsidR="00D2346F" w:rsidRDefault="008129B2" w:rsidP="00DA1422">
      <w:r>
        <w:t xml:space="preserve">It has been a common practice to “do more” or “aim higher” as the risk-tolerance goes down and the classification goes up (D -&gt; A), and further in some cases to select elements from higher classifications to demonstrate an even greater desire for mission success.  </w:t>
      </w:r>
      <w:r w:rsidR="0069212B">
        <w:t>The decision to “upgrade” elements is often done without an explicit decision by the mission stakeholder/funder to pay the full bill for the upgrade as costs for more oversight-like practices are almost always not realized until later in development when the mission overruns. While</w:t>
      </w:r>
      <w:r w:rsidR="00FB270E">
        <w:t xml:space="preserve"> upgrading</w:t>
      </w:r>
      <w:r w:rsidR="0069212B">
        <w:t xml:space="preserve"> select</w:t>
      </w:r>
      <w:r w:rsidR="00D204A0">
        <w:t xml:space="preserve"> practice</w:t>
      </w:r>
      <w:r w:rsidR="0069212B">
        <w:t>s</w:t>
      </w:r>
      <w:r>
        <w:t xml:space="preserve"> </w:t>
      </w:r>
      <w:r w:rsidR="00FB270E">
        <w:t xml:space="preserve">may seem </w:t>
      </w:r>
      <w:r>
        <w:t xml:space="preserve">a </w:t>
      </w:r>
      <w:r w:rsidR="00406C6B">
        <w:t>r</w:t>
      </w:r>
      <w:r>
        <w:t xml:space="preserve">easonable approach, it </w:t>
      </w:r>
      <w:r w:rsidR="00525907">
        <w:t xml:space="preserve">discounts the risk-informed element of selecting and right-sizing the practices to apply if the implementer is not being selective.  For example, if a mission is broadly characterized by a fault-tolerant design and repeated developments (e.g., </w:t>
      </w:r>
      <w:r w:rsidR="00FB270E">
        <w:t xml:space="preserve">mission level redundancy from </w:t>
      </w:r>
      <w:r w:rsidR="00525907">
        <w:t>the use of 10 satellites, 7 of which are required for</w:t>
      </w:r>
      <w:r w:rsidR="00FB270E">
        <w:t xml:space="preserve"> </w:t>
      </w:r>
      <w:r w:rsidR="00525907">
        <w:t xml:space="preserve">success), then certain </w:t>
      </w:r>
      <w:r w:rsidR="00B00F85">
        <w:t xml:space="preserve">piece-part level </w:t>
      </w:r>
      <w:r w:rsidR="00525907">
        <w:t>quality practices and reliability products may not be an effective use of resources</w:t>
      </w:r>
      <w:r w:rsidR="00FB270E">
        <w:t>.  In cases such as this,</w:t>
      </w:r>
      <w:r w:rsidR="00525907">
        <w:t xml:space="preserve"> guidance may be more appropriate from a lower classification</w:t>
      </w:r>
      <w:r w:rsidR="0043689F">
        <w:t xml:space="preserve"> </w:t>
      </w:r>
      <w:r w:rsidR="00FB270E">
        <w:t xml:space="preserve">(more insight, less oversight) </w:t>
      </w:r>
      <w:r w:rsidR="0043689F">
        <w:t>for such areas</w:t>
      </w:r>
      <w:r w:rsidR="00525907">
        <w:t xml:space="preserve">.  </w:t>
      </w:r>
      <w:r w:rsidR="003F3A54">
        <w:t xml:space="preserve">The upgrading of assurance practices from the levels recommended </w:t>
      </w:r>
      <w:r w:rsidR="0043689F">
        <w:t>is a</w:t>
      </w:r>
      <w:r w:rsidR="00736E72">
        <w:t xml:space="preserve"> </w:t>
      </w:r>
      <w:r w:rsidR="00E02027">
        <w:t>well-intentioned</w:t>
      </w:r>
      <w:r w:rsidR="00736E72">
        <w:t>, but</w:t>
      </w:r>
      <w:r w:rsidR="0043689F">
        <w:t xml:space="preserve"> often</w:t>
      </w:r>
      <w:r w:rsidR="00406C6B">
        <w:t>-</w:t>
      </w:r>
      <w:r w:rsidR="0043689F">
        <w:t xml:space="preserve">misguided attempt to re-prioritize efforts based on a misperception about the net amount of risk mitigation that some activities provide.  </w:t>
      </w:r>
      <w:r w:rsidR="00406C6B">
        <w:t>For example, it is common for projects to choose to screen parts to a higher level than that within the guidance, e.g., for a Class C project screening parts to level 2 or even to level 1 (recommended level is 3), while at the same time taking advantage of guidance that suggests that single string architecture is appropriate for Class C, especially when mitigated with “high</w:t>
      </w:r>
      <w:r w:rsidR="00E02027">
        <w:t>-</w:t>
      </w:r>
      <w:r w:rsidR="00406C6B">
        <w:t xml:space="preserve">reliability parts”.  While single string architecture is </w:t>
      </w:r>
      <w:r w:rsidR="00BF5709">
        <w:t xml:space="preserve">generally </w:t>
      </w:r>
      <w:r w:rsidR="00406C6B">
        <w:t>expected for a Class C mission, the screening level of the parts does not add fault-tolerance</w:t>
      </w:r>
      <w:r w:rsidR="00D37657">
        <w:t xml:space="preserve"> and in fact, has no appreciable effect on the reliability of the mission</w:t>
      </w:r>
      <w:r w:rsidR="00406C6B">
        <w:t>.  While the screening level of the parts does provide commensurate confidence that the parameters that have been deemed important for the part type are within traditional bounds that have represented “good parts”, there is no actual indication that being within those bounds is important for reliability or that it can be used to indicate greater reliability for a part from one manufacturer v</w:t>
      </w:r>
      <w:r w:rsidR="008A28A5">
        <w:t>ersus</w:t>
      </w:r>
      <w:r w:rsidR="00406C6B">
        <w:t xml:space="preserve"> another</w:t>
      </w:r>
      <w:sdt>
        <w:sdtPr>
          <w:id w:val="-690454246"/>
          <w:citation/>
        </w:sdtPr>
        <w:sdtContent>
          <w:r w:rsidR="00736E72">
            <w:fldChar w:fldCharType="begin"/>
          </w:r>
          <w:r w:rsidR="00736E72">
            <w:instrText xml:space="preserve"> CITATION Lei22 \l 1033 </w:instrText>
          </w:r>
          <w:r w:rsidR="00736E72">
            <w:fldChar w:fldCharType="separate"/>
          </w:r>
          <w:r w:rsidR="00903B7D">
            <w:rPr>
              <w:noProof/>
            </w:rPr>
            <w:t xml:space="preserve"> </w:t>
          </w:r>
          <w:r w:rsidR="00903B7D" w:rsidRPr="00903B7D">
            <w:rPr>
              <w:noProof/>
            </w:rPr>
            <w:t>[16]</w:t>
          </w:r>
          <w:r w:rsidR="00736E72">
            <w:fldChar w:fldCharType="end"/>
          </w:r>
        </w:sdtContent>
      </w:sdt>
      <w:r w:rsidR="00406C6B">
        <w:t xml:space="preserve">.  On the other hand, increased screening processes on parts tend to erode available testing time and, in some cases, encourage rework that may not be necessary, in addition to putting additional stress in the flight parts </w:t>
      </w:r>
      <w:r w:rsidR="008A28A5">
        <w:t xml:space="preserve">and </w:t>
      </w:r>
      <w:proofErr w:type="gramStart"/>
      <w:r w:rsidR="008A28A5">
        <w:t>actually increasing</w:t>
      </w:r>
      <w:proofErr w:type="gramEnd"/>
      <w:r w:rsidR="008A28A5">
        <w:t xml:space="preserve"> risk</w:t>
      </w:r>
      <w:r w:rsidR="00406C6B">
        <w:t>.  This stress at or near rated values for the parts can erode the parts’ lifetimes.  For a project under highly</w:t>
      </w:r>
      <w:r w:rsidR="00D204A0">
        <w:t xml:space="preserve"> </w:t>
      </w:r>
      <w:r w:rsidR="00406C6B">
        <w:t xml:space="preserve">constrained resources, as is typical for the “lower-end” Class C missions, this will serve not only to increase the chances for </w:t>
      </w:r>
      <w:r w:rsidR="008A28A5">
        <w:t xml:space="preserve">overrun and </w:t>
      </w:r>
      <w:r w:rsidR="00406C6B">
        <w:t xml:space="preserve">cancellation, but also to elevate the risk or reduce mission reliability at launch. </w:t>
      </w:r>
      <w:r w:rsidR="00E34EE4">
        <w:t xml:space="preserve"> Less resource-constrained projects can generally tolerate the excess time and resources used in the screening processes, although they would still have to absorb the hit associated with the stress on the parts.  </w:t>
      </w:r>
      <w:r w:rsidR="007A2803">
        <w:t>It is notable, and not surprising, that COTS is confined to Class D applications.  This is</w:t>
      </w:r>
      <w:r w:rsidR="009238C7">
        <w:t xml:space="preserve"> quite </w:t>
      </w:r>
      <w:r w:rsidR="007A2803">
        <w:t xml:space="preserve">reasonable since COTS covers an infinite trade space and can include parts that are low in manufacturing volume, not under statistical process control, and possibly not tested individually by the manufacturer. </w:t>
      </w:r>
      <w:r w:rsidR="009238C7">
        <w:lastRenderedPageBreak/>
        <w:t>Furthermore, the COTS category can include very similar (or even the same) part numbers from different manufacturers, one of which goes through extensive reliability assurance, while the other is subject to random or periodic flaws, latent defects, or infant mortals.  This distinction can well be addressed by being a smart buyer</w:t>
      </w:r>
      <w:r w:rsidR="00C6329A">
        <w:t xml:space="preserve"> -</w:t>
      </w:r>
      <w:r w:rsidR="009238C7">
        <w:t xml:space="preserve"> understanding and communicating with the manufacturer</w:t>
      </w:r>
      <w:r w:rsidR="00C6329A">
        <w:t>, knowing their approach for “zero defects”, statistical process control, and continuous improvement, and not so much by applying traditional MIL-standard screens to parts they weren’t designed for. It is somewhat ironic that a smart selection of COTS will directly result in the highest assurance of reliability, while the use of low volume “highest grade” MIL-SPEC parts can only provide reliability as a by-product of extensive quality requirements and a historical part design.</w:t>
      </w:r>
      <w:r w:rsidR="007A2803">
        <w:t xml:space="preserve"> </w:t>
      </w:r>
      <w:r w:rsidR="008A01FA">
        <w:t>Space agencies will need to learn and institutionalize the intelligent use of COTS parts as many organizations perfected decades ago along with an ever-expanding list in the “</w:t>
      </w:r>
      <w:proofErr w:type="spellStart"/>
      <w:r w:rsidR="008A01FA">
        <w:t>newspace</w:t>
      </w:r>
      <w:proofErr w:type="spellEnd"/>
      <w:r w:rsidR="008A01FA">
        <w:t>”</w:t>
      </w:r>
      <w:r w:rsidR="00762541">
        <w:t xml:space="preserve"> </w:t>
      </w:r>
      <w:r w:rsidR="008A01FA">
        <w:t xml:space="preserve">community. </w:t>
      </w:r>
      <w:r w:rsidR="00523AFB">
        <w:t xml:space="preserve">The reality is that the need to stay on the front edge of technology will ultimately demand the use of COTS parts broadly even in Class A missions.  </w:t>
      </w:r>
      <w:r w:rsidR="00E34EE4">
        <w:t>The bottom line is:</w:t>
      </w:r>
    </w:p>
    <w:p w14:paraId="4CA4CDB3" w14:textId="77777777" w:rsidR="00D37657" w:rsidRDefault="00D37657" w:rsidP="00DA1422"/>
    <w:p w14:paraId="40B1255C" w14:textId="0C91F87B" w:rsidR="00E34EE4" w:rsidRDefault="00E34EE4" w:rsidP="00E34EE4">
      <w:pPr>
        <w:pStyle w:val="ListParagraph"/>
        <w:numPr>
          <w:ilvl w:val="0"/>
          <w:numId w:val="2"/>
        </w:numPr>
      </w:pPr>
      <w:r>
        <w:t>The use of any mission success activity, while purposed to buy down risk, also increases risk, so one should carefully consider the risks on both side</w:t>
      </w:r>
      <w:r w:rsidR="004171F6">
        <w:t>s</w:t>
      </w:r>
      <w:r>
        <w:t>, no matter what the guidance states</w:t>
      </w:r>
      <w:r w:rsidR="008A28A5">
        <w:t>.</w:t>
      </w:r>
    </w:p>
    <w:p w14:paraId="300EF1E6" w14:textId="4EAE1067" w:rsidR="00E34EE4" w:rsidRDefault="00E34EE4" w:rsidP="00E34EE4">
      <w:pPr>
        <w:pStyle w:val="ListParagraph"/>
        <w:numPr>
          <w:ilvl w:val="0"/>
          <w:numId w:val="2"/>
        </w:numPr>
      </w:pPr>
      <w:r>
        <w:t xml:space="preserve">Reduction from the recommended guidelines at a particular classification should be based on a rigorous determination that other attributes provide an equivalent level of protection, or in general that the risks associated with performing the </w:t>
      </w:r>
      <w:proofErr w:type="gramStart"/>
      <w:r>
        <w:t>particular activities</w:t>
      </w:r>
      <w:proofErr w:type="gramEnd"/>
      <w:r>
        <w:t xml:space="preserve"> outweigh the benefits (or the risks that they would buy down).</w:t>
      </w:r>
    </w:p>
    <w:p w14:paraId="454D249B" w14:textId="77777777" w:rsidR="008A28A5" w:rsidRDefault="00E34EE4" w:rsidP="00E34EE4">
      <w:pPr>
        <w:pStyle w:val="ListParagraph"/>
        <w:numPr>
          <w:ilvl w:val="0"/>
          <w:numId w:val="2"/>
        </w:numPr>
      </w:pPr>
      <w:r>
        <w:t>Increasing from the recommended guidelines should be based on the same considerations rather than a general desire to “do more” for success.</w:t>
      </w:r>
    </w:p>
    <w:p w14:paraId="06B82327" w14:textId="1ECD6508" w:rsidR="00E34EE4" w:rsidRDefault="008A28A5" w:rsidP="00E34EE4">
      <w:pPr>
        <w:pStyle w:val="ListParagraph"/>
        <w:numPr>
          <w:ilvl w:val="0"/>
          <w:numId w:val="2"/>
        </w:numPr>
      </w:pPr>
      <w:r>
        <w:t>Any increase or reduction</w:t>
      </w:r>
      <w:r w:rsidR="00F11342">
        <w:t xml:space="preserve"> from the recommended guidelines should be agreed to by the stakeholder/funder that set the mission class in the first place.  This deviation decision should be informed by realistic cost (savings and spending) risks as well as the technical risk assessments.</w:t>
      </w:r>
    </w:p>
    <w:p w14:paraId="28875D81" w14:textId="697431ED" w:rsidR="00E34EE4" w:rsidRDefault="00E34EE4" w:rsidP="00E34EE4"/>
    <w:p w14:paraId="29AC5280" w14:textId="18423344" w:rsidR="00D37657" w:rsidRPr="002C1B3B" w:rsidRDefault="00D37657" w:rsidP="00E34EE4">
      <w:pPr>
        <w:rPr>
          <w:b/>
          <w:bCs/>
        </w:rPr>
      </w:pPr>
      <w:r w:rsidRPr="002C1B3B">
        <w:rPr>
          <w:b/>
          <w:bCs/>
        </w:rPr>
        <w:t>The current dilemma for risk classification</w:t>
      </w:r>
    </w:p>
    <w:p w14:paraId="3EB57E70" w14:textId="53C05425" w:rsidR="00D37657" w:rsidRDefault="00D37657" w:rsidP="00E34EE4"/>
    <w:p w14:paraId="1468F7E5" w14:textId="2DCA599F" w:rsidR="00D37657" w:rsidRDefault="00D37657" w:rsidP="00E34EE4">
      <w:r>
        <w:t>As mentioned earlier, the current risk classification system (</w:t>
      </w:r>
      <w:r w:rsidR="002C1B3B">
        <w:t>as with</w:t>
      </w:r>
      <w:r>
        <w:t xml:space="preserve"> many practices within the </w:t>
      </w:r>
      <w:r w:rsidR="00423FA2">
        <w:t>a</w:t>
      </w:r>
      <w:r>
        <w:t>gency)</w:t>
      </w:r>
      <w:r w:rsidR="002C1B3B">
        <w:t xml:space="preserve"> is largely motivated by one-of-a-kind system</w:t>
      </w:r>
      <w:r w:rsidR="006E4C81">
        <w:t xml:space="preserve"> </w:t>
      </w:r>
      <w:r w:rsidR="002C1B3B">
        <w:t>development with prescripti</w:t>
      </w:r>
      <w:r w:rsidR="00B64B9A">
        <w:t>ve controls and oversight practices</w:t>
      </w:r>
      <w:r w:rsidR="002C1B3B">
        <w:t xml:space="preserve"> going all the way down to </w:t>
      </w:r>
      <w:r w:rsidR="00B64B9A">
        <w:t xml:space="preserve">the </w:t>
      </w:r>
      <w:r w:rsidR="002C1B3B">
        <w:t>piece part</w:t>
      </w:r>
      <w:r w:rsidR="00B64B9A">
        <w:t xml:space="preserve"> level</w:t>
      </w:r>
      <w:r w:rsidR="004171F6">
        <w:t xml:space="preserve">.  The effect of this is that commercialization or optimization of higher levels of assembly (standard components, reused subsystems, </w:t>
      </w:r>
      <w:proofErr w:type="spellStart"/>
      <w:r w:rsidR="004171F6">
        <w:t>etc</w:t>
      </w:r>
      <w:proofErr w:type="spellEnd"/>
      <w:r w:rsidR="004171F6">
        <w:t>) results in products that often are inconsistent with the traditional piece parts requirements, particularly those linked to higher risk classifications</w:t>
      </w:r>
      <w:r w:rsidR="00A75E96">
        <w:t xml:space="preserve">.  Subsequently, products that are established through history and volume, with </w:t>
      </w:r>
      <w:r w:rsidR="00845BA5">
        <w:t xml:space="preserve">a “track record” and </w:t>
      </w:r>
      <w:r w:rsidR="00A75E96">
        <w:t>the greatest amount of statistical process controls</w:t>
      </w:r>
      <w:r w:rsidR="00845BA5">
        <w:t>,</w:t>
      </w:r>
      <w:r w:rsidR="00A75E96">
        <w:t xml:space="preserve"> and performance and reliability optimization also tend to be the least consistent with higher classifications (which are driven by the maximum amount piece-part controls</w:t>
      </w:r>
      <w:r w:rsidR="00845BA5">
        <w:t>,</w:t>
      </w:r>
      <w:r w:rsidR="00A75E96">
        <w:t xml:space="preserve"> prescription</w:t>
      </w:r>
      <w:r w:rsidR="00845BA5">
        <w:t>, and oversight</w:t>
      </w:r>
      <w:r w:rsidR="00A75E96">
        <w:t xml:space="preserve">). </w:t>
      </w:r>
      <w:r w:rsidR="00AE3CF6">
        <w:t xml:space="preserve"> How likely is it that the best practices for commercializing a product be those established three or four decades earlier?</w:t>
      </w:r>
      <w:r w:rsidR="00A75E96">
        <w:t xml:space="preserve"> Furthermore, many </w:t>
      </w:r>
      <w:r w:rsidR="00134DBB">
        <w:t>such</w:t>
      </w:r>
      <w:r w:rsidR="00A75E96">
        <w:t xml:space="preserve"> products are from assembly lines </w:t>
      </w:r>
      <w:r w:rsidR="009D7EDB">
        <w:t xml:space="preserve">(including highly automated high throughput “factories”) </w:t>
      </w:r>
      <w:r w:rsidR="00A75E96">
        <w:t xml:space="preserve">that would be disrupted by internal inspections at intermediate stages of </w:t>
      </w:r>
      <w:r w:rsidR="00A75E96">
        <w:lastRenderedPageBreak/>
        <w:t xml:space="preserve">manufacture.  </w:t>
      </w:r>
      <w:r w:rsidR="000A5971">
        <w:t xml:space="preserve">The </w:t>
      </w:r>
      <w:r w:rsidR="00134DBB">
        <w:t xml:space="preserve">established </w:t>
      </w:r>
      <w:r w:rsidR="000A5971">
        <w:t xml:space="preserve">products that were standardized or commercialized from </w:t>
      </w:r>
      <w:r w:rsidR="005F4338">
        <w:t xml:space="preserve">usage on low-risk-tolerance NASA or DoD space missions (e.g., Class A and Class B missions) tend to experience challenges with this dilemma, while the products that were developed </w:t>
      </w:r>
      <w:r w:rsidR="00A013EA">
        <w:t xml:space="preserve">from the ground up as commercial-off-the-shelf (COTS) products from the start </w:t>
      </w:r>
      <w:r w:rsidR="00134DBB">
        <w:t xml:space="preserve">are much more affected, and </w:t>
      </w:r>
      <w:r w:rsidR="00A013EA">
        <w:t>would forever be considered “high-risk” products</w:t>
      </w:r>
      <w:r w:rsidR="0094074C">
        <w:t xml:space="preserve"> and are in many cases discouraged from use under the current approach, no matter what type of established </w:t>
      </w:r>
      <w:r w:rsidR="00CF574E">
        <w:t xml:space="preserve">(and demonstrated) </w:t>
      </w:r>
      <w:r w:rsidR="0094074C">
        <w:t xml:space="preserve">reliability exists.  </w:t>
      </w:r>
      <w:r w:rsidR="00134DBB">
        <w:t xml:space="preserve">In fact, the current system </w:t>
      </w:r>
      <w:r w:rsidR="00134DBB" w:rsidRPr="00134DBB">
        <w:t>incentiviz</w:t>
      </w:r>
      <w:r w:rsidR="00134DBB">
        <w:t>es</w:t>
      </w:r>
      <w:r w:rsidR="00134DBB" w:rsidRPr="00134DBB">
        <w:t xml:space="preserve"> continued use of old piece-part-centric practices </w:t>
      </w:r>
      <w:r w:rsidR="00134DBB">
        <w:t xml:space="preserve">and discourages </w:t>
      </w:r>
      <w:r w:rsidR="00134DBB" w:rsidRPr="00134DBB">
        <w:t>efficient, innovative, modern approaches of developing reliable missions</w:t>
      </w:r>
      <w:r w:rsidR="00134DBB">
        <w:t xml:space="preserve">.  </w:t>
      </w:r>
      <w:r w:rsidR="000D0F94">
        <w:t xml:space="preserve">The relationship to technology maturation and </w:t>
      </w:r>
      <w:r w:rsidR="0041733B">
        <w:t>technology currency will be addressed in the next section.</w:t>
      </w:r>
    </w:p>
    <w:p w14:paraId="6CB82EBD" w14:textId="70E5F8D3" w:rsidR="0041733B" w:rsidRDefault="0041733B" w:rsidP="00E34EE4"/>
    <w:p w14:paraId="4187B3B5" w14:textId="7927FD72" w:rsidR="0041733B" w:rsidRPr="00332404" w:rsidRDefault="0041733B" w:rsidP="00E34EE4">
      <w:pPr>
        <w:rPr>
          <w:b/>
          <w:bCs/>
        </w:rPr>
      </w:pPr>
      <w:r w:rsidRPr="00332404">
        <w:rPr>
          <w:b/>
          <w:bCs/>
        </w:rPr>
        <w:t>The relationship to technology</w:t>
      </w:r>
    </w:p>
    <w:p w14:paraId="0E330789" w14:textId="56B4D5D4" w:rsidR="0041733B" w:rsidRDefault="0041733B" w:rsidP="00E34EE4"/>
    <w:p w14:paraId="727C15A8" w14:textId="761A0678" w:rsidR="0041733B" w:rsidRDefault="00704C6F" w:rsidP="00E34EE4">
      <w:r>
        <w:t xml:space="preserve">Analogous to its contradiction to the development of </w:t>
      </w:r>
      <w:r w:rsidR="003359BF">
        <w:t xml:space="preserve">standard products, and particularly, their commercialization, the traditional approach </w:t>
      </w:r>
      <w:r w:rsidR="00A60713">
        <w:t>of</w:t>
      </w:r>
      <w:r w:rsidR="003359BF">
        <w:t xml:space="preserve"> risk classification </w:t>
      </w:r>
      <w:r w:rsidR="00A60713">
        <w:t>restricts</w:t>
      </w:r>
      <w:r w:rsidR="003359BF">
        <w:t xml:space="preserve">, and even opposes, technology development and technology maturation. However, this is </w:t>
      </w:r>
      <w:r w:rsidR="00A60713">
        <w:t>due to</w:t>
      </w:r>
      <w:r w:rsidR="003359BF">
        <w:t xml:space="preserve"> what would best be described as misusage, not</w:t>
      </w:r>
      <w:r w:rsidR="00A60713">
        <w:t xml:space="preserve"> </w:t>
      </w:r>
      <w:r w:rsidR="003359BF">
        <w:t xml:space="preserve">design.  In fact, the design of the risk classification system has always considered technology demonstrations as </w:t>
      </w:r>
      <w:r w:rsidR="00854BC1">
        <w:t xml:space="preserve">appropriate for </w:t>
      </w:r>
      <w:r w:rsidR="003359BF">
        <w:t xml:space="preserve">Class D.  However, </w:t>
      </w:r>
      <w:r w:rsidR="00D338BF">
        <w:t xml:space="preserve">as indicated earlier, </w:t>
      </w:r>
      <w:r w:rsidR="003359BF">
        <w:t>unfortunately many in the space community have interpreted the higher practices to be better practices for success</w:t>
      </w:r>
      <w:r w:rsidR="0016079C">
        <w:t xml:space="preserve"> as opposed to </w:t>
      </w:r>
      <w:r w:rsidR="00D338BF">
        <w:t xml:space="preserve">considering the recommended practices for the particular classification as being </w:t>
      </w:r>
      <w:proofErr w:type="gramStart"/>
      <w:r w:rsidR="00D338BF">
        <w:t>right-sized</w:t>
      </w:r>
      <w:proofErr w:type="gramEnd"/>
      <w:r w:rsidR="00D338BF">
        <w:t xml:space="preserve"> for the resources available and mission attributes (including importance).  Thus, it is common for projects and programs to demand compliance with the guidance in higher classifications, </w:t>
      </w:r>
      <w:r w:rsidR="00B343BD">
        <w:t xml:space="preserve">assuming the effect to be “gaining reliability for a small additional investment”. </w:t>
      </w:r>
      <w:r w:rsidR="006B3FCE">
        <w:t xml:space="preserve">When this approach is taken for classifications B and below, the typical effect is that either a cost or schedule overrun will occur, or </w:t>
      </w:r>
      <w:r w:rsidR="005D6A42">
        <w:t xml:space="preserve">for a highly constrained project, testing may be </w:t>
      </w:r>
      <w:proofErr w:type="gramStart"/>
      <w:r w:rsidR="005D6A42">
        <w:t>shortened</w:t>
      </w:r>
      <w:proofErr w:type="gramEnd"/>
      <w:r w:rsidR="005D6A42">
        <w:t xml:space="preserve"> or problem resolution may be insufficient due to limited resources.  However, when this approach is taken on a technology demonstration or maturation effort, the associated requirements will hinder the maturation process, removing the flexibility needed for maturing the technology.  This is illustrated in Figure 1.  </w:t>
      </w:r>
      <w:r w:rsidR="00390F13">
        <w:t xml:space="preserve">For such activities, the assurance emphases should be on Design for Manufacturability </w:t>
      </w:r>
      <w:r w:rsidR="00040D38">
        <w:t>(</w:t>
      </w:r>
      <w:proofErr w:type="spellStart"/>
      <w:r w:rsidR="00040D38">
        <w:t>DfM</w:t>
      </w:r>
      <w:proofErr w:type="spellEnd"/>
      <w:r w:rsidR="00040D38">
        <w:t xml:space="preserve">) </w:t>
      </w:r>
      <w:r w:rsidR="00390F13">
        <w:t>and Design for Reliability</w:t>
      </w:r>
      <w:r w:rsidR="00040D38">
        <w:t xml:space="preserve"> (</w:t>
      </w:r>
      <w:proofErr w:type="spellStart"/>
      <w:r w:rsidR="00040D38">
        <w:t>DfR</w:t>
      </w:r>
      <w:proofErr w:type="spellEnd"/>
      <w:r w:rsidR="00040D38">
        <w:t>)</w:t>
      </w:r>
      <w:r w:rsidR="00390F13">
        <w:t xml:space="preserve"> rather than on strict workmanship requirements that would be employed for a</w:t>
      </w:r>
      <w:r w:rsidR="00A05537">
        <w:t xml:space="preserve"> </w:t>
      </w:r>
      <w:r w:rsidR="00E02027">
        <w:t>fully established</w:t>
      </w:r>
      <w:r w:rsidR="00A05537">
        <w:t xml:space="preserve"> and proven </w:t>
      </w:r>
      <w:r w:rsidR="00390F13">
        <w:t xml:space="preserve">design.  </w:t>
      </w:r>
      <w:r w:rsidR="0081269C">
        <w:t xml:space="preserve">Attempts to constrain a design before it has </w:t>
      </w:r>
      <w:r w:rsidR="00A05537">
        <w:t>converged on its final configuration</w:t>
      </w:r>
      <w:r w:rsidR="0081269C">
        <w:t xml:space="preserve"> often have negative programmatic and technical results.  </w:t>
      </w:r>
      <w:r w:rsidR="004936A5">
        <w:t xml:space="preserve">Prior to full cost accounting, there was typically a capability to add resources at the end to complete development, testing, and problem resolution.  However, as requirements to stay on budgets became the norm, often overindulgences or inappropriate and excessive practices at the beginning would mean budget overruns, cancellations, or the reduction of testing and problem resolution.  </w:t>
      </w:r>
      <w:r w:rsidR="002244B3">
        <w:t xml:space="preserve">When the mission involves new </w:t>
      </w:r>
      <w:r w:rsidR="00FD6895">
        <w:t>or recently</w:t>
      </w:r>
      <w:r w:rsidR="00A05537">
        <w:t xml:space="preserve"> </w:t>
      </w:r>
      <w:r w:rsidR="00FD6895">
        <w:t xml:space="preserve">matured </w:t>
      </w:r>
      <w:r w:rsidR="002244B3">
        <w:t xml:space="preserve">technologies, </w:t>
      </w:r>
      <w:r w:rsidR="009650EB">
        <w:t xml:space="preserve">this would mean that the technologies may not be fully readied for </w:t>
      </w:r>
      <w:proofErr w:type="gramStart"/>
      <w:r w:rsidR="009650EB">
        <w:t>flight</w:t>
      </w:r>
      <w:proofErr w:type="gramEnd"/>
      <w:r w:rsidR="009650EB">
        <w:t xml:space="preserve"> or the mission would simply be canceled.</w:t>
      </w:r>
    </w:p>
    <w:p w14:paraId="0795E7DC" w14:textId="1CEC9700" w:rsidR="005D6A42" w:rsidRDefault="005D6A42" w:rsidP="00E34EE4"/>
    <w:p w14:paraId="3B6997B1" w14:textId="15D19897" w:rsidR="005D6A42" w:rsidRDefault="0003101F" w:rsidP="00E34EE4">
      <w:r w:rsidRPr="0003101F">
        <w:rPr>
          <w:noProof/>
        </w:rPr>
        <w:lastRenderedPageBreak/>
        <w:drawing>
          <wp:inline distT="0" distB="0" distL="0" distR="0" wp14:anchorId="6ADAA521" wp14:editId="3708136A">
            <wp:extent cx="5943600" cy="3133725"/>
            <wp:effectExtent l="0" t="0" r="0" b="0"/>
            <wp:docPr id="13" name="Picture 13"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ark&#10;&#10;Description automatically generated"/>
                    <pic:cNvPicPr/>
                  </pic:nvPicPr>
                  <pic:blipFill>
                    <a:blip r:embed="rId8"/>
                    <a:stretch>
                      <a:fillRect/>
                    </a:stretch>
                  </pic:blipFill>
                  <pic:spPr>
                    <a:xfrm>
                      <a:off x="0" y="0"/>
                      <a:ext cx="5943600" cy="3133725"/>
                    </a:xfrm>
                    <a:prstGeom prst="rect">
                      <a:avLst/>
                    </a:prstGeom>
                  </pic:spPr>
                </pic:pic>
              </a:graphicData>
            </a:graphic>
          </wp:inline>
        </w:drawing>
      </w:r>
    </w:p>
    <w:p w14:paraId="7E50BEE1" w14:textId="4FFB9491" w:rsidR="005D6A42" w:rsidRDefault="005D6A42" w:rsidP="00E34EE4">
      <w:r>
        <w:t>Figure 1.  Risk Classification vs Assurance emphasis</w:t>
      </w:r>
      <w:r w:rsidR="00390F13">
        <w:t xml:space="preserve"> and relationship to technology maturation.</w:t>
      </w:r>
    </w:p>
    <w:p w14:paraId="177C7853" w14:textId="77777777" w:rsidR="00390F13" w:rsidRDefault="00390F13" w:rsidP="00E34EE4"/>
    <w:p w14:paraId="3CDB602A" w14:textId="7CE86C17" w:rsidR="002C1B3B" w:rsidRPr="00C96445" w:rsidRDefault="00927C90" w:rsidP="00E34EE4">
      <w:pPr>
        <w:rPr>
          <w:b/>
          <w:bCs/>
        </w:rPr>
      </w:pPr>
      <w:r w:rsidRPr="00C96445">
        <w:rPr>
          <w:b/>
          <w:bCs/>
        </w:rPr>
        <w:t xml:space="preserve">Modernizing the approach for risk classification.  </w:t>
      </w:r>
    </w:p>
    <w:p w14:paraId="7B87AD0E" w14:textId="1F06F849" w:rsidR="00927C90" w:rsidRDefault="00927C90" w:rsidP="00E34EE4"/>
    <w:p w14:paraId="696FC848" w14:textId="2E5702B4" w:rsidR="00927C90" w:rsidRDefault="00927C90" w:rsidP="00E34EE4">
      <w:r>
        <w:t xml:space="preserve">As mentioned earlier, the current approach for risk classification suffers from </w:t>
      </w:r>
      <w:r w:rsidR="00042200">
        <w:t>two</w:t>
      </w:r>
      <w:r>
        <w:t xml:space="preserve"> major </w:t>
      </w:r>
      <w:r w:rsidR="00823060">
        <w:t>drawback</w:t>
      </w:r>
      <w:r>
        <w:t>s – (1) it is largely based on piece parts and discourages commercialized components and higher levels of assembly</w:t>
      </w:r>
      <w:r w:rsidR="00C96445">
        <w:t>, and (</w:t>
      </w:r>
      <w:r w:rsidR="00042200">
        <w:t>2</w:t>
      </w:r>
      <w:r w:rsidR="00C96445">
        <w:t>) it is one-sided</w:t>
      </w:r>
      <w:r w:rsidR="00042200">
        <w:t xml:space="preserve"> and does not discourage the use of practices above those recommended for the classification.  </w:t>
      </w:r>
      <w:r w:rsidR="00284AC3">
        <w:t xml:space="preserve">The effect is that components that are developed with efficiency and proven reliability </w:t>
      </w:r>
      <w:r w:rsidR="000727E0">
        <w:t xml:space="preserve">are </w:t>
      </w:r>
      <w:r w:rsidR="00823060">
        <w:t xml:space="preserve">often </w:t>
      </w:r>
      <w:r w:rsidR="000727E0">
        <w:t xml:space="preserve">pigeonholed as cheap “low-grade” components and that projects are regularly choosing activities intended to increase the opportunities for mission success that are </w:t>
      </w:r>
      <w:proofErr w:type="gramStart"/>
      <w:r w:rsidR="000727E0">
        <w:t>actually driving</w:t>
      </w:r>
      <w:proofErr w:type="gramEnd"/>
      <w:r w:rsidR="000727E0">
        <w:t xml:space="preserve"> up cost and schedule substantially and increasing technical risk at the same time.  </w:t>
      </w:r>
      <w:r w:rsidR="00A4596D">
        <w:t xml:space="preserve">New is not always risky. More is not always better. </w:t>
      </w:r>
      <w:r w:rsidR="004A6AA1">
        <w:t xml:space="preserve">Fortunately, </w:t>
      </w:r>
      <w:proofErr w:type="gramStart"/>
      <w:r w:rsidR="004A6AA1">
        <w:t>both of these</w:t>
      </w:r>
      <w:proofErr w:type="gramEnd"/>
      <w:r w:rsidR="004A6AA1">
        <w:t xml:space="preserve"> are easy to address</w:t>
      </w:r>
      <w:r w:rsidR="00601DEF">
        <w:t xml:space="preserve"> from a technical standpoint, albeit challenging from a cultural standpoint.  </w:t>
      </w:r>
    </w:p>
    <w:p w14:paraId="453623D2" w14:textId="4909132B" w:rsidR="0055173D" w:rsidRDefault="0055173D" w:rsidP="00E34EE4"/>
    <w:p w14:paraId="7C313754" w14:textId="3C6C55FF" w:rsidR="0055173D" w:rsidRDefault="0055173D" w:rsidP="00E34EE4">
      <w:r>
        <w:t>The first drawback is addressed by the considering the intent of risk classification, which is to assign practices to balance</w:t>
      </w:r>
      <w:r w:rsidR="00A4596D">
        <w:t xml:space="preserve"> </w:t>
      </w:r>
      <w:r>
        <w:t xml:space="preserve">the resources available </w:t>
      </w:r>
      <w:r w:rsidR="005708A8">
        <w:t xml:space="preserve">against the risk posture achieved after applying the processes (i.e., the trade of resources and programmatic risk to buy down technical risk).  Given that </w:t>
      </w:r>
      <w:r w:rsidR="00B26F72">
        <w:t xml:space="preserve">a system’s technical </w:t>
      </w:r>
      <w:r w:rsidR="005708A8">
        <w:t xml:space="preserve">risk is the potential for a shortfall in level 1 mission requirements or mission success criteria, </w:t>
      </w:r>
      <w:r w:rsidR="00667E5F">
        <w:t xml:space="preserve">it is readily established that the lowest risk is equated to the most reliable.  The traditional risk classification approach does not have reliability numbers (e.g., </w:t>
      </w:r>
      <w:r w:rsidR="00667E5F" w:rsidRPr="00667E5F">
        <w:rPr>
          <w:i/>
          <w:iCs/>
        </w:rPr>
        <w:t>probability of success</w:t>
      </w:r>
      <w:r w:rsidR="00667E5F">
        <w:t xml:space="preserve">, or Ps) associated with </w:t>
      </w:r>
      <w:r w:rsidR="00B26F72">
        <w:t>the class levels</w:t>
      </w:r>
      <w:r w:rsidR="00667E5F">
        <w:t xml:space="preserve">, as it was never intended to be numerically precise and </w:t>
      </w:r>
      <w:r w:rsidR="006A326C">
        <w:t>there is no accurate method to calculate the absolute reliability of a one-of-a-kind system with no flight history.  However, as standard spacecraft components and assembl</w:t>
      </w:r>
      <w:r w:rsidR="00830825">
        <w:t>ies</w:t>
      </w:r>
      <w:r w:rsidR="006A326C">
        <w:t xml:space="preserve"> as well as standard full spacecraft become more common</w:t>
      </w:r>
      <w:r w:rsidR="00830825">
        <w:t xml:space="preserve"> with established flight histories</w:t>
      </w:r>
      <w:r w:rsidR="006A326C">
        <w:t xml:space="preserve">, and NASA makes use of them, direct measures of reliability emerge.  As reliability is driven by </w:t>
      </w:r>
      <w:r w:rsidR="00830825">
        <w:t xml:space="preserve">volume and assurances that the current product is </w:t>
      </w:r>
      <w:r w:rsidR="00830825">
        <w:lastRenderedPageBreak/>
        <w:t>representative of past products</w:t>
      </w:r>
      <w:r w:rsidR="00B84FD7">
        <w:t>,</w:t>
      </w:r>
      <w:r w:rsidR="00830825">
        <w:t xml:space="preserve"> </w:t>
      </w:r>
      <w:r w:rsidR="00E75696">
        <w:t xml:space="preserve">it is obtained directly </w:t>
      </w:r>
      <w:proofErr w:type="gramStart"/>
      <w:r w:rsidR="00E75696">
        <w:t>through the use of</w:t>
      </w:r>
      <w:proofErr w:type="gramEnd"/>
      <w:r w:rsidR="00E75696">
        <w:t xml:space="preserve"> standard components and full spacecraft that have established successful history. </w:t>
      </w:r>
      <w:r w:rsidR="00592F4E">
        <w:t xml:space="preserve"> In fact, the traditional risk classification approach disincentivizes component and spacecraft manufacturers from using unconstrained innovation to develop the most reliable and highest-performance products effectively and efficiently because such products will typically be labeled Class D because of the parts and processes used.  Thus, GSFC has introduced new risk classification concepts that </w:t>
      </w:r>
      <w:r w:rsidR="00CD068B">
        <w:t xml:space="preserve">(1) </w:t>
      </w:r>
      <w:r w:rsidR="00592F4E">
        <w:t xml:space="preserve">reward standard products (including full spacecraft) </w:t>
      </w:r>
      <w:r w:rsidR="00CD068B">
        <w:t xml:space="preserve">that are proven reliable over time and (2) classify collections of such products (including constellations of full standard-product spacecraft) </w:t>
      </w:r>
      <w:r w:rsidR="00BC5BFA">
        <w:t xml:space="preserve">based on the classifications of standard products that comprise them and the fault-tolerance of the architecture.  </w:t>
      </w:r>
      <w:r w:rsidR="003C50BB">
        <w:t>Specifically, standard products would be classified holistically based on the most recent</w:t>
      </w:r>
      <w:r w:rsidR="003C50BB">
        <w:rPr>
          <w:rStyle w:val="FootnoteReference"/>
        </w:rPr>
        <w:footnoteReference w:id="16"/>
      </w:r>
      <w:r w:rsidR="003C50BB">
        <w:t xml:space="preserve"> performance at commensurate lifetimes.  </w:t>
      </w:r>
      <w:r w:rsidR="009153F0">
        <w:t>Traditional probability of success, or Ps, calculations based on piece parts, may not be used since they are not a valid means of predicting mission reliability</w:t>
      </w:r>
      <w:r w:rsidR="00DD399A">
        <w:t xml:space="preserve">, lacking </w:t>
      </w:r>
      <w:r w:rsidR="009153F0">
        <w:t xml:space="preserve">the most important contributor to reliability – the system design.  </w:t>
      </w:r>
      <w:r w:rsidR="00DD399A">
        <w:t xml:space="preserve">Classification guidance </w:t>
      </w:r>
      <w:r w:rsidR="003C24F3">
        <w:t>is</w:t>
      </w:r>
      <w:r w:rsidR="00DD399A">
        <w:t xml:space="preserve"> as follows:</w:t>
      </w:r>
    </w:p>
    <w:p w14:paraId="396D7C5A" w14:textId="3848502D" w:rsidR="00DD399A" w:rsidRDefault="00DD399A" w:rsidP="00E34EE4"/>
    <w:p w14:paraId="3AD3E1DC" w14:textId="77777777" w:rsidR="00DD399A" w:rsidRPr="00DD399A" w:rsidRDefault="00DD399A" w:rsidP="00DD399A">
      <w:pPr>
        <w:numPr>
          <w:ilvl w:val="0"/>
          <w:numId w:val="3"/>
        </w:numPr>
      </w:pPr>
      <w:r w:rsidRPr="00DD399A">
        <w:t>Class A components</w:t>
      </w:r>
    </w:p>
    <w:p w14:paraId="6D8C9341" w14:textId="77777777" w:rsidR="00DD399A" w:rsidRPr="00DD399A" w:rsidRDefault="00DD399A" w:rsidP="00DD399A">
      <w:pPr>
        <w:numPr>
          <w:ilvl w:val="1"/>
          <w:numId w:val="3"/>
        </w:numPr>
      </w:pPr>
      <w:r w:rsidRPr="00DD399A">
        <w:t>Minimum 10 recent flights at 7-year lifetime or longer, number of successes out of last 20 flights divided by 20 &gt;= 0.95 (or 100% for between 10 and 19 flights)</w:t>
      </w:r>
    </w:p>
    <w:p w14:paraId="44FA18C1" w14:textId="77777777" w:rsidR="00DD399A" w:rsidRPr="00DD399A" w:rsidRDefault="00DD399A" w:rsidP="00DD399A">
      <w:pPr>
        <w:numPr>
          <w:ilvl w:val="0"/>
          <w:numId w:val="3"/>
        </w:numPr>
      </w:pPr>
      <w:r w:rsidRPr="00DD399A">
        <w:t>Class B components</w:t>
      </w:r>
    </w:p>
    <w:p w14:paraId="49946C92" w14:textId="77777777" w:rsidR="00DD399A" w:rsidRPr="00DD399A" w:rsidRDefault="00DD399A" w:rsidP="00DD399A">
      <w:pPr>
        <w:numPr>
          <w:ilvl w:val="1"/>
          <w:numId w:val="3"/>
        </w:numPr>
      </w:pPr>
      <w:r w:rsidRPr="00DD399A">
        <w:t>Minimum 10 recent flights at 5-year lifetime or longer, number of successes out of last 10 flights divided by 10 &gt;= 0.90</w:t>
      </w:r>
    </w:p>
    <w:p w14:paraId="5E15E951" w14:textId="77777777" w:rsidR="00DD399A" w:rsidRPr="00DD399A" w:rsidRDefault="00DD399A" w:rsidP="00DD399A">
      <w:pPr>
        <w:numPr>
          <w:ilvl w:val="0"/>
          <w:numId w:val="3"/>
        </w:numPr>
      </w:pPr>
      <w:r w:rsidRPr="00DD399A">
        <w:t>Class C components</w:t>
      </w:r>
    </w:p>
    <w:p w14:paraId="09A49ED2" w14:textId="77777777" w:rsidR="00DD399A" w:rsidRPr="00DD399A" w:rsidRDefault="00DD399A" w:rsidP="00DD399A">
      <w:pPr>
        <w:numPr>
          <w:ilvl w:val="1"/>
          <w:numId w:val="3"/>
        </w:numPr>
      </w:pPr>
      <w:r w:rsidRPr="00DD399A">
        <w:t>Minimum 5 recent flights at 3-year lifetime or longer, number of successes out of last 5 flights divided by 5 &gt; 0.80</w:t>
      </w:r>
    </w:p>
    <w:p w14:paraId="0B6DA254" w14:textId="77777777" w:rsidR="00DD399A" w:rsidRPr="00DD399A" w:rsidRDefault="00DD399A" w:rsidP="00DD399A">
      <w:pPr>
        <w:numPr>
          <w:ilvl w:val="0"/>
          <w:numId w:val="3"/>
        </w:numPr>
      </w:pPr>
      <w:r w:rsidRPr="00DD399A">
        <w:t>Class D components</w:t>
      </w:r>
    </w:p>
    <w:p w14:paraId="07F9214C" w14:textId="0C928864" w:rsidR="00DD399A" w:rsidRDefault="00DD399A" w:rsidP="00DD399A">
      <w:pPr>
        <w:numPr>
          <w:ilvl w:val="1"/>
          <w:numId w:val="3"/>
        </w:numPr>
      </w:pPr>
      <w:r w:rsidRPr="00DD399A">
        <w:t xml:space="preserve">Fully qualified per the </w:t>
      </w:r>
      <w:r>
        <w:t>GSFC’s standard hardware qualification requirements as specified in GSFC-STD-1000</w:t>
      </w:r>
      <w:sdt>
        <w:sdtPr>
          <w:id w:val="698823738"/>
          <w:citation/>
        </w:sdtPr>
        <w:sdtContent>
          <w:r w:rsidR="000A5722">
            <w:fldChar w:fldCharType="begin"/>
          </w:r>
          <w:r w:rsidR="000A5722">
            <w:instrText xml:space="preserve"> CITATION NAS211 \l 1033 </w:instrText>
          </w:r>
          <w:r w:rsidR="000A5722">
            <w:fldChar w:fldCharType="separate"/>
          </w:r>
          <w:r w:rsidR="00903B7D">
            <w:rPr>
              <w:noProof/>
            </w:rPr>
            <w:t xml:space="preserve"> </w:t>
          </w:r>
          <w:r w:rsidR="00903B7D" w:rsidRPr="00903B7D">
            <w:rPr>
              <w:noProof/>
            </w:rPr>
            <w:t>[17]</w:t>
          </w:r>
          <w:r w:rsidR="000A5722">
            <w:fldChar w:fldCharType="end"/>
          </w:r>
        </w:sdtContent>
      </w:sdt>
      <w:r>
        <w:t xml:space="preserve"> and GSFC-STD-7000</w:t>
      </w:r>
      <w:sdt>
        <w:sdtPr>
          <w:id w:val="-1904134320"/>
          <w:citation/>
        </w:sdtPr>
        <w:sdtContent>
          <w:r w:rsidR="000A5722">
            <w:fldChar w:fldCharType="begin"/>
          </w:r>
          <w:r w:rsidR="000A5722">
            <w:instrText xml:space="preserve"> CITATION NAS212 \l 1033 </w:instrText>
          </w:r>
          <w:r w:rsidR="000A5722">
            <w:fldChar w:fldCharType="separate"/>
          </w:r>
          <w:r w:rsidR="00903B7D">
            <w:rPr>
              <w:noProof/>
            </w:rPr>
            <w:t xml:space="preserve"> </w:t>
          </w:r>
          <w:r w:rsidR="00903B7D" w:rsidRPr="00903B7D">
            <w:rPr>
              <w:noProof/>
            </w:rPr>
            <w:t>[18]</w:t>
          </w:r>
          <w:r w:rsidR="000A5722">
            <w:fldChar w:fldCharType="end"/>
          </w:r>
        </w:sdtContent>
      </w:sdt>
      <w:r>
        <w:t>.</w:t>
      </w:r>
      <w:r w:rsidR="000A5722">
        <w:rPr>
          <w:rStyle w:val="FootnoteReference"/>
        </w:rPr>
        <w:footnoteReference w:id="17"/>
      </w:r>
    </w:p>
    <w:p w14:paraId="0E6C8459" w14:textId="741DF989" w:rsidR="00DD399A" w:rsidRDefault="00DD399A" w:rsidP="00DD399A"/>
    <w:p w14:paraId="1BC7FBC5" w14:textId="34401D21" w:rsidR="00DC0326" w:rsidRPr="00DC0326" w:rsidRDefault="00DD399A" w:rsidP="00DC0326">
      <w:r w:rsidRPr="00DD399A">
        <w:t>While this is not a formal reliability calculation (which would require mission specific data), it provides strong evidence of a reliable design</w:t>
      </w:r>
      <w:r>
        <w:t xml:space="preserve">.  Note that this approach is appropriate for classification, but not the acceptance of a product. </w:t>
      </w:r>
      <w:r w:rsidR="00DC0326">
        <w:t xml:space="preserve">To classify collections of components (including constellations of standard product spacecraft), </w:t>
      </w:r>
      <w:r w:rsidR="00DC0326" w:rsidRPr="00DC0326">
        <w:t>start with the following point reliability estimates</w:t>
      </w:r>
      <w:r w:rsidR="00DC0326">
        <w:t xml:space="preserve"> for the given classification:</w:t>
      </w:r>
    </w:p>
    <w:p w14:paraId="62127168" w14:textId="77777777" w:rsidR="00DC0326" w:rsidRPr="00DC0326" w:rsidRDefault="00DC0326" w:rsidP="00DC0326">
      <w:pPr>
        <w:pStyle w:val="ListParagraph"/>
        <w:numPr>
          <w:ilvl w:val="0"/>
          <w:numId w:val="4"/>
        </w:numPr>
      </w:pPr>
      <w:r w:rsidRPr="00DC0326">
        <w:t>B:  0.9</w:t>
      </w:r>
    </w:p>
    <w:p w14:paraId="78958F80" w14:textId="2F865969" w:rsidR="00DC0326" w:rsidRPr="00DC0326" w:rsidRDefault="00DC0326" w:rsidP="00DC0326">
      <w:pPr>
        <w:pStyle w:val="ListParagraph"/>
        <w:numPr>
          <w:ilvl w:val="0"/>
          <w:numId w:val="4"/>
        </w:numPr>
      </w:pPr>
      <w:r w:rsidRPr="00DC0326">
        <w:t xml:space="preserve">C: </w:t>
      </w:r>
      <w:r>
        <w:t xml:space="preserve"> </w:t>
      </w:r>
      <w:r w:rsidRPr="00DC0326">
        <w:t>0.8</w:t>
      </w:r>
    </w:p>
    <w:p w14:paraId="3CFAE73E" w14:textId="1CAF10D9" w:rsidR="00DD399A" w:rsidRDefault="00DC0326" w:rsidP="00DC0326">
      <w:pPr>
        <w:pStyle w:val="ListParagraph"/>
        <w:numPr>
          <w:ilvl w:val="0"/>
          <w:numId w:val="4"/>
        </w:numPr>
      </w:pPr>
      <w:r w:rsidRPr="00DC0326">
        <w:t>D:  0.66</w:t>
      </w:r>
    </w:p>
    <w:p w14:paraId="0855CF41" w14:textId="4411ADAF" w:rsidR="00DD399A" w:rsidRDefault="00457B7A" w:rsidP="00457B7A">
      <w:r w:rsidRPr="00457B7A">
        <w:t>Next, use standard combinatorial reliability techniques to calculate a combined recent reliability estimate</w:t>
      </w:r>
      <w:r>
        <w:t xml:space="preserve">.  </w:t>
      </w:r>
      <w:r w:rsidRPr="00457B7A">
        <w:t xml:space="preserve">Finally, determine the collective classification based on the standard </w:t>
      </w:r>
      <w:r w:rsidRPr="00457B7A">
        <w:lastRenderedPageBreak/>
        <w:t>component reliability definition, considering past mission lifetimes and overall score</w:t>
      </w:r>
      <w:r>
        <w:t>.  As an example, flying 5 standard product Class C spacecraft with a minimum of 3 required for mission success, would provide a “recent reliability” estimate of 0.94, which would be sufficient to comprise a Class B constellation</w:t>
      </w:r>
      <w:r w:rsidR="003C24F3">
        <w:t xml:space="preserve">.  Likewise, flying </w:t>
      </w:r>
      <w:r w:rsidR="008F0537">
        <w:t xml:space="preserve">4 fully qualified (as defined above) Class D spacecraft with a minimum of 2 required for mission success would provide a “recent reliability” estimate of 0.883, thus comprising a Class C constellation.  It is important at this point to caution the reader to take these numbers with a grain of salt.  While the combinatorial math is straightforward, the actual </w:t>
      </w:r>
      <w:r w:rsidR="000F0DE4">
        <w:t xml:space="preserve">“reliability” numbers only serve the purpose of risk classification and hence to consider fault-tolerance from a high-level mission architecture standpoint, not to </w:t>
      </w:r>
      <w:proofErr w:type="gramStart"/>
      <w:r w:rsidR="000F0DE4">
        <w:t>actually predict</w:t>
      </w:r>
      <w:proofErr w:type="gramEnd"/>
      <w:r w:rsidR="000F0DE4">
        <w:t xml:space="preserve"> mission reliability.  Such numbers should never be used for anything outside of architecting a mission from a risk classification standpoint.  Not only do they grossly underpredict reliability based on past experiences, but they have no means of capturing either </w:t>
      </w:r>
      <w:r w:rsidR="00C570EF">
        <w:t>unpredicted</w:t>
      </w:r>
      <w:r w:rsidR="000F0DE4">
        <w:t xml:space="preserve"> effects that may come into play </w:t>
      </w:r>
      <w:r w:rsidR="00C570EF">
        <w:t>(e.g., a surprise solar storm) or manufacturing issues that escape all the protective barriers</w:t>
      </w:r>
      <w:sdt>
        <w:sdtPr>
          <w:id w:val="-2097006431"/>
          <w:citation/>
        </w:sdtPr>
        <w:sdtContent>
          <w:r w:rsidR="00290D26">
            <w:fldChar w:fldCharType="begin"/>
          </w:r>
          <w:r w:rsidR="00290D26">
            <w:instrText xml:space="preserve"> CITATION Lei181 \l 1033 </w:instrText>
          </w:r>
          <w:r w:rsidR="00290D26">
            <w:fldChar w:fldCharType="separate"/>
          </w:r>
          <w:r w:rsidR="00903B7D">
            <w:rPr>
              <w:noProof/>
            </w:rPr>
            <w:t xml:space="preserve"> </w:t>
          </w:r>
          <w:r w:rsidR="00903B7D" w:rsidRPr="00903B7D">
            <w:rPr>
              <w:noProof/>
            </w:rPr>
            <w:t>[19]</w:t>
          </w:r>
          <w:r w:rsidR="00290D26">
            <w:fldChar w:fldCharType="end"/>
          </w:r>
        </w:sdtContent>
      </w:sdt>
      <w:r w:rsidR="00C570EF">
        <w:t xml:space="preserve">.  </w:t>
      </w:r>
      <w:r w:rsidR="00B3618E">
        <w:t xml:space="preserve"> It is also important to point out that the </w:t>
      </w:r>
      <w:proofErr w:type="gramStart"/>
      <w:r w:rsidR="00B3618E">
        <w:t>aforementioned approach</w:t>
      </w:r>
      <w:proofErr w:type="gramEnd"/>
      <w:r w:rsidR="00B3618E">
        <w:t xml:space="preserve"> provides another option for classification rather than </w:t>
      </w:r>
      <w:r w:rsidR="00DD661B">
        <w:t>replacing the current approach</w:t>
      </w:r>
      <w:r w:rsidR="00B3618E">
        <w:t xml:space="preserve">.  Within the agency, there will always be the need for one-of-a-kind designs for many classes of missions that can only rely on the traditional approach. </w:t>
      </w:r>
    </w:p>
    <w:p w14:paraId="516B2D43" w14:textId="77777777" w:rsidR="00927C90" w:rsidRDefault="00927C90" w:rsidP="00E34EE4"/>
    <w:p w14:paraId="2D241370" w14:textId="191827A2" w:rsidR="00E34EE4" w:rsidRPr="00600EE4" w:rsidRDefault="00F40BD6" w:rsidP="00E34EE4">
      <w:pPr>
        <w:rPr>
          <w:b/>
          <w:bCs/>
        </w:rPr>
      </w:pPr>
      <w:r w:rsidRPr="00600EE4">
        <w:rPr>
          <w:b/>
          <w:bCs/>
        </w:rPr>
        <w:t>The reality of risk in flight v</w:t>
      </w:r>
      <w:r w:rsidR="002220CC">
        <w:rPr>
          <w:b/>
          <w:bCs/>
        </w:rPr>
        <w:t>ersu</w:t>
      </w:r>
      <w:r w:rsidRPr="00600EE4">
        <w:rPr>
          <w:b/>
          <w:bCs/>
        </w:rPr>
        <w:t xml:space="preserve">s </w:t>
      </w:r>
      <w:r w:rsidR="00E75696">
        <w:rPr>
          <w:b/>
          <w:bCs/>
        </w:rPr>
        <w:t xml:space="preserve">traditional </w:t>
      </w:r>
      <w:r w:rsidRPr="00600EE4">
        <w:rPr>
          <w:b/>
          <w:bCs/>
        </w:rPr>
        <w:t>risk classification</w:t>
      </w:r>
    </w:p>
    <w:p w14:paraId="0A855263" w14:textId="37B667D2" w:rsidR="00F40BD6" w:rsidRDefault="00F40BD6" w:rsidP="00E34EE4"/>
    <w:p w14:paraId="26D4336B" w14:textId="5ABCEF35" w:rsidR="00F40BD6" w:rsidRPr="00F40BD6" w:rsidRDefault="00F40BD6" w:rsidP="00F40BD6">
      <w:proofErr w:type="spellStart"/>
      <w:r>
        <w:t>Bordi</w:t>
      </w:r>
      <w:proofErr w:type="spellEnd"/>
      <w:r>
        <w:t xml:space="preserve"> and </w:t>
      </w:r>
      <w:proofErr w:type="spellStart"/>
      <w:r>
        <w:t>Scolese</w:t>
      </w:r>
      <w:proofErr w:type="spellEnd"/>
      <w:sdt>
        <w:sdtPr>
          <w:id w:val="-1627229498"/>
          <w:citation/>
        </w:sdtPr>
        <w:sdtContent>
          <w:r>
            <w:fldChar w:fldCharType="begin"/>
          </w:r>
          <w:r w:rsidR="00290D26">
            <w:instrText xml:space="preserve">CITATION bor \l 1033 </w:instrText>
          </w:r>
          <w:r>
            <w:fldChar w:fldCharType="separate"/>
          </w:r>
          <w:r w:rsidR="00903B7D">
            <w:rPr>
              <w:noProof/>
            </w:rPr>
            <w:t xml:space="preserve"> </w:t>
          </w:r>
          <w:r w:rsidR="00903B7D" w:rsidRPr="00903B7D">
            <w:rPr>
              <w:noProof/>
            </w:rPr>
            <w:t>[20]</w:t>
          </w:r>
          <w:r>
            <w:fldChar w:fldCharType="end"/>
          </w:r>
        </w:sdtContent>
      </w:sdt>
      <w:r>
        <w:t xml:space="preserve"> accurately point out that t</w:t>
      </w:r>
      <w:r w:rsidRPr="00F40BD6">
        <w:t xml:space="preserve">he current classification system </w:t>
      </w:r>
      <w:r>
        <w:t>implies</w:t>
      </w:r>
      <w:r w:rsidRPr="00F40BD6">
        <w:t xml:space="preserve"> that moving from class A to class D means taking increasing </w:t>
      </w:r>
      <w:r w:rsidR="008A566C" w:rsidRPr="00F40BD6">
        <w:t>risk</w:t>
      </w:r>
      <w:r w:rsidR="008A566C">
        <w:t xml:space="preserve"> when</w:t>
      </w:r>
      <w:r>
        <w:t xml:space="preserve"> it </w:t>
      </w:r>
      <w:proofErr w:type="gramStart"/>
      <w:r>
        <w:t>actually does</w:t>
      </w:r>
      <w:proofErr w:type="gramEnd"/>
      <w:r>
        <w:t xml:space="preserve"> not. </w:t>
      </w:r>
      <w:r w:rsidR="00E75696">
        <w:t xml:space="preserve"> Likewise, there is no correlation between classification and reliability in the traditional classification approach</w:t>
      </w:r>
      <w:r w:rsidR="00B32AF2">
        <w:t>, as indicated earlier</w:t>
      </w:r>
      <w:r w:rsidR="00E75696">
        <w:t>.  (Increasing classification has some correlation with increasing quality, but even that is based on traditional quality definitions that often date back decades instead of specifications that are aligned with current manufacturing approaches and modern missions and technologies</w:t>
      </w:r>
      <w:r w:rsidR="00D204A0">
        <w:t>)</w:t>
      </w:r>
      <w:r w:rsidR="00E75696">
        <w:t xml:space="preserve">.  </w:t>
      </w:r>
      <w:r>
        <w:t xml:space="preserve">In fact, the risk at launch relative to mission class is arbitrary.  </w:t>
      </w:r>
      <w:r w:rsidR="00600EE4">
        <w:t>At the beginning of the project and throughout most of the duration, t</w:t>
      </w:r>
      <w:r>
        <w:t xml:space="preserve">he risk classification serves to drive a degree of process control and oversight on </w:t>
      </w:r>
      <w:r w:rsidR="00C270C4">
        <w:t>developers</w:t>
      </w:r>
      <w:r>
        <w:t xml:space="preserve"> that provides a stakeholder perception of the level of risk taken, based on historical approaches.  Late in development, </w:t>
      </w:r>
      <w:r w:rsidR="00EE61CC">
        <w:t>many projects get</w:t>
      </w:r>
      <w:r>
        <w:t xml:space="preserve"> to a point where</w:t>
      </w:r>
      <w:r w:rsidR="00EE61CC">
        <w:t xml:space="preserve"> either (1)</w:t>
      </w:r>
      <w:r>
        <w:t xml:space="preserve"> resources become limited and the tolerance for risk naturally grows</w:t>
      </w:r>
      <w:r w:rsidR="00EE61CC">
        <w:t xml:space="preserve"> out of necessity or (2) development and testing are complete and most significant risks have been mitigated</w:t>
      </w:r>
      <w:r w:rsidR="00BF2D86">
        <w:t xml:space="preserve"> while the project prepares for launch</w:t>
      </w:r>
      <w:r w:rsidR="00EE61CC">
        <w:t xml:space="preserve">, and the two </w:t>
      </w:r>
      <w:proofErr w:type="gramStart"/>
      <w:r w:rsidR="00EE61CC">
        <w:t>aforementioned categories</w:t>
      </w:r>
      <w:proofErr w:type="gramEnd"/>
      <w:r w:rsidR="00EE61CC">
        <w:t xml:space="preserve"> can apply to any classification</w:t>
      </w:r>
      <w:r>
        <w:t xml:space="preserve">.  This is the point where the risk classification becomes virtually meaningless for driving development activities.  </w:t>
      </w:r>
      <w:r w:rsidR="00600EE4">
        <w:t>(While most activities such as fault-tolerance, reliability analyses, and parts screening are likely complete, the team transitions to a process of completing testing, resolving problems that have been encountered, and closing paperwork, so the overall level of risk is that remaining once the project has used up its ability to mitigate the remaining risks that have been identified during development).</w:t>
      </w:r>
    </w:p>
    <w:p w14:paraId="6BB9C48B" w14:textId="4A527C16" w:rsidR="00F40BD6" w:rsidRDefault="00F40BD6" w:rsidP="00E34EE4"/>
    <w:p w14:paraId="25ED446B" w14:textId="6A0CCD82" w:rsidR="00456C67" w:rsidRDefault="00BF2D86" w:rsidP="00E34EE4">
      <w:r>
        <w:t>There are two ways to compare risk in flight v</w:t>
      </w:r>
      <w:r w:rsidR="00456C67">
        <w:t>ersus</w:t>
      </w:r>
      <w:r>
        <w:t xml:space="preserve"> risk classification: (1) to review the residual technical risks that a mission carries into launch, subjectively assess whether the collection of </w:t>
      </w:r>
      <w:r>
        <w:lastRenderedPageBreak/>
        <w:t>risks (note that we will avoid the term aggregate</w:t>
      </w:r>
      <w:r>
        <w:rPr>
          <w:rStyle w:val="FootnoteReference"/>
        </w:rPr>
        <w:footnoteReference w:id="18"/>
      </w:r>
      <w:r>
        <w:t xml:space="preserve"> risk</w:t>
      </w:r>
      <w:sdt>
        <w:sdtPr>
          <w:id w:val="-1271386557"/>
          <w:citation/>
        </w:sdtPr>
        <w:sdtContent>
          <w:r w:rsidR="008A566C">
            <w:fldChar w:fldCharType="begin"/>
          </w:r>
          <w:r w:rsidR="00CD7DA0">
            <w:instrText xml:space="preserve">CITATION Hyd22 \t  \l 1033 </w:instrText>
          </w:r>
          <w:r w:rsidR="008A566C">
            <w:fldChar w:fldCharType="separate"/>
          </w:r>
          <w:r w:rsidR="00903B7D">
            <w:rPr>
              <w:noProof/>
            </w:rPr>
            <w:t xml:space="preserve"> </w:t>
          </w:r>
          <w:r w:rsidR="00903B7D" w:rsidRPr="00903B7D">
            <w:rPr>
              <w:noProof/>
            </w:rPr>
            <w:t>[21]</w:t>
          </w:r>
          <w:r w:rsidR="008A566C">
            <w:fldChar w:fldCharType="end"/>
          </w:r>
        </w:sdtContent>
      </w:sdt>
      <w:r>
        <w:t xml:space="preserve"> here) would be commensurate with such a classification, and compare to the</w:t>
      </w:r>
      <w:r w:rsidR="008F5093">
        <w:t xml:space="preserve"> collection of risks for other missions with the same classification, or (2) review flight anomaly and failure history to determine what risks were actually realized</w:t>
      </w:r>
      <w:r w:rsidR="00650F4A">
        <w:t>, whether they were actually identified and captured or not</w:t>
      </w:r>
      <w:r w:rsidR="00DA198C">
        <w:t xml:space="preserve"> and compare to the collection of such realized risks for other missions with the same classification</w:t>
      </w:r>
      <w:r w:rsidR="008F5093">
        <w:t>.</w:t>
      </w:r>
      <w:r w:rsidR="00650F4A">
        <w:t xml:space="preserve">  The second approach is the more practical one since it involves </w:t>
      </w:r>
      <w:r w:rsidR="00DA198C">
        <w:t xml:space="preserve">actual realized risks and </w:t>
      </w:r>
      <w:r w:rsidR="000A6332">
        <w:t xml:space="preserve">excessive </w:t>
      </w:r>
      <w:r w:rsidR="00DA198C">
        <w:t>conservatism is removed.</w:t>
      </w:r>
    </w:p>
    <w:p w14:paraId="55D69462" w14:textId="77777777" w:rsidR="00456C67" w:rsidRDefault="00456C67" w:rsidP="00E34EE4"/>
    <w:p w14:paraId="596F3E58" w14:textId="7F9DEF24" w:rsidR="00BF2D86" w:rsidRPr="00684549" w:rsidRDefault="0027312C" w:rsidP="00E34EE4">
      <w:pPr>
        <w:rPr>
          <w:b/>
          <w:bCs/>
        </w:rPr>
      </w:pPr>
      <w:r w:rsidRPr="00684549">
        <w:rPr>
          <w:b/>
          <w:bCs/>
        </w:rPr>
        <w:t>Path forward</w:t>
      </w:r>
    </w:p>
    <w:p w14:paraId="76ECFA14" w14:textId="77777777" w:rsidR="0027312C" w:rsidRDefault="0027312C" w:rsidP="00E34EE4"/>
    <w:p w14:paraId="57F6A546" w14:textId="571429D3" w:rsidR="0027312C" w:rsidRDefault="0027312C" w:rsidP="00E34EE4">
      <w:r>
        <w:t xml:space="preserve">As we observe the transforming space industry and recognize the conflicts with the historical NASA processes, we need to recognize </w:t>
      </w:r>
      <w:r w:rsidR="00C905E8">
        <w:t xml:space="preserve">the fact that NASA might have to take on more of a role of observing and listening to the space community and less of a role of showing the community “how space is done”.  We also need to reevaluate our assumptions that were put in place when there was no commercial space sector and we </w:t>
      </w:r>
      <w:r w:rsidR="00587763">
        <w:t xml:space="preserve">had to start with basic principles, establish strict quality definitions enforced by extensive inspections, and use a special definition of reliability since the reliability building blocks didn’t exist for constructing a system for use in space.  </w:t>
      </w:r>
      <w:r w:rsidR="00034090">
        <w:t xml:space="preserve">By </w:t>
      </w:r>
      <w:r w:rsidR="00587763">
        <w:t xml:space="preserve">the same token we need to transition from </w:t>
      </w:r>
      <w:r w:rsidR="00727221">
        <w:t>the fear-based definition of risk to one that starts with the true threats to a mission and traces down to the elements that bring those threats without being hampered by long outdated assumptions and artifacts of manufacturing from the mid 20</w:t>
      </w:r>
      <w:r w:rsidR="00727221" w:rsidRPr="00684549">
        <w:rPr>
          <w:vertAlign w:val="superscript"/>
        </w:rPr>
        <w:t>th</w:t>
      </w:r>
      <w:r w:rsidR="00727221">
        <w:t xml:space="preserve"> century.  </w:t>
      </w:r>
      <w:r w:rsidR="007A686A">
        <w:t xml:space="preserve">One facet of </w:t>
      </w:r>
      <w:r w:rsidR="00A23F10">
        <w:t xml:space="preserve">this realignment must be a continued modernization of our approach for risk classification and ultimately other practices to exploit the expanding capabilities in the </w:t>
      </w:r>
      <w:r w:rsidR="001A684F">
        <w:t>ever-growing</w:t>
      </w:r>
      <w:r w:rsidR="00A23F10">
        <w:t xml:space="preserve"> space community. </w:t>
      </w:r>
    </w:p>
    <w:p w14:paraId="33C16CE6" w14:textId="07269659" w:rsidR="001A684F" w:rsidRDefault="001A684F" w:rsidP="00E34EE4"/>
    <w:sdt>
      <w:sdtPr>
        <w:rPr>
          <w:rFonts w:asciiTheme="minorHAnsi" w:eastAsiaTheme="minorHAnsi" w:hAnsiTheme="minorHAnsi" w:cstheme="minorBidi"/>
          <w:b w:val="0"/>
          <w:bCs w:val="0"/>
          <w:color w:val="auto"/>
          <w:sz w:val="24"/>
          <w:szCs w:val="24"/>
          <w:lang w:bidi="ar-SA"/>
        </w:rPr>
        <w:id w:val="1815375884"/>
        <w:docPartObj>
          <w:docPartGallery w:val="Bibliographies"/>
          <w:docPartUnique/>
        </w:docPartObj>
      </w:sdtPr>
      <w:sdtContent>
        <w:p w14:paraId="35ABD4ED" w14:textId="6CB8C070" w:rsidR="005B7833" w:rsidRDefault="006514DC">
          <w:pPr>
            <w:pStyle w:val="Heading1"/>
          </w:pPr>
          <w:r>
            <w:t>References</w:t>
          </w:r>
        </w:p>
        <w:p w14:paraId="6310F4F5" w14:textId="77777777" w:rsidR="00903B7D" w:rsidRDefault="005B7833" w:rsidP="00E162B9">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6"/>
            <w:gridCol w:w="8894"/>
          </w:tblGrid>
          <w:tr w:rsidR="00903B7D" w14:paraId="779CAA5D" w14:textId="77777777" w:rsidTr="007C625B">
            <w:trPr>
              <w:divId w:val="1150244625"/>
              <w:tblCellSpacing w:w="15" w:type="dxa"/>
            </w:trPr>
            <w:tc>
              <w:tcPr>
                <w:tcW w:w="225" w:type="pct"/>
                <w:hideMark/>
              </w:tcPr>
              <w:p w14:paraId="3D92A16B" w14:textId="442BE585" w:rsidR="00903B7D" w:rsidRDefault="00903B7D">
                <w:pPr>
                  <w:pStyle w:val="Bibliography"/>
                  <w:rPr>
                    <w:noProof/>
                  </w:rPr>
                </w:pPr>
                <w:r>
                  <w:rPr>
                    <w:noProof/>
                  </w:rPr>
                  <w:t xml:space="preserve">[1] </w:t>
                </w:r>
              </w:p>
            </w:tc>
            <w:tc>
              <w:tcPr>
                <w:tcW w:w="0" w:type="auto"/>
                <w:hideMark/>
              </w:tcPr>
              <w:p w14:paraId="3D47693A" w14:textId="77777777" w:rsidR="00903B7D" w:rsidRDefault="00903B7D">
                <w:pPr>
                  <w:pStyle w:val="Bibliography"/>
                  <w:rPr>
                    <w:noProof/>
                  </w:rPr>
                </w:pPr>
                <w:r>
                  <w:rPr>
                    <w:noProof/>
                  </w:rPr>
                  <w:t xml:space="preserve">NASA, </w:t>
                </w:r>
                <w:r>
                  <w:rPr>
                    <w:i/>
                    <w:iCs/>
                    <w:noProof/>
                  </w:rPr>
                  <w:t xml:space="preserve">Risk Classification for NASA Payloads, </w:t>
                </w:r>
                <w:r>
                  <w:rPr>
                    <w:noProof/>
                  </w:rPr>
                  <w:t xml:space="preserve">Washington, DC: NASA, 2021. </w:t>
                </w:r>
              </w:p>
            </w:tc>
          </w:tr>
          <w:tr w:rsidR="00903B7D" w14:paraId="0AA68426" w14:textId="77777777" w:rsidTr="007C625B">
            <w:trPr>
              <w:divId w:val="1150244625"/>
              <w:tblCellSpacing w:w="15" w:type="dxa"/>
            </w:trPr>
            <w:tc>
              <w:tcPr>
                <w:tcW w:w="225" w:type="pct"/>
                <w:hideMark/>
              </w:tcPr>
              <w:p w14:paraId="504098E3" w14:textId="77777777" w:rsidR="00903B7D" w:rsidRDefault="00903B7D">
                <w:pPr>
                  <w:pStyle w:val="Bibliography"/>
                  <w:rPr>
                    <w:noProof/>
                  </w:rPr>
                </w:pPr>
                <w:r>
                  <w:rPr>
                    <w:noProof/>
                  </w:rPr>
                  <w:t xml:space="preserve">[2] </w:t>
                </w:r>
              </w:p>
            </w:tc>
            <w:tc>
              <w:tcPr>
                <w:tcW w:w="0" w:type="auto"/>
                <w:hideMark/>
              </w:tcPr>
              <w:p w14:paraId="593613E8" w14:textId="77777777" w:rsidR="00903B7D" w:rsidRDefault="00903B7D">
                <w:pPr>
                  <w:pStyle w:val="Bibliography"/>
                  <w:rPr>
                    <w:noProof/>
                  </w:rPr>
                </w:pPr>
                <w:r>
                  <w:rPr>
                    <w:noProof/>
                  </w:rPr>
                  <w:t xml:space="preserve">US Dept of Defense, </w:t>
                </w:r>
                <w:r>
                  <w:rPr>
                    <w:i/>
                    <w:iCs/>
                    <w:noProof/>
                  </w:rPr>
                  <w:t xml:space="preserve">Design, Construction, and Testing Requirements for one of Kind Space Equipment, </w:t>
                </w:r>
                <w:r>
                  <w:rPr>
                    <w:noProof/>
                  </w:rPr>
                  <w:t xml:space="preserve">Naval Publications and Forms Center, 1992. </w:t>
                </w:r>
              </w:p>
            </w:tc>
          </w:tr>
          <w:tr w:rsidR="00903B7D" w14:paraId="251AFA92" w14:textId="77777777" w:rsidTr="007C625B">
            <w:trPr>
              <w:divId w:val="1150244625"/>
              <w:tblCellSpacing w:w="15" w:type="dxa"/>
            </w:trPr>
            <w:tc>
              <w:tcPr>
                <w:tcW w:w="225" w:type="pct"/>
                <w:hideMark/>
              </w:tcPr>
              <w:p w14:paraId="3128699E" w14:textId="77777777" w:rsidR="00903B7D" w:rsidRDefault="00903B7D">
                <w:pPr>
                  <w:pStyle w:val="Bibliography"/>
                  <w:rPr>
                    <w:noProof/>
                  </w:rPr>
                </w:pPr>
                <w:r>
                  <w:rPr>
                    <w:noProof/>
                  </w:rPr>
                  <w:t xml:space="preserve">[3] </w:t>
                </w:r>
              </w:p>
            </w:tc>
            <w:tc>
              <w:tcPr>
                <w:tcW w:w="0" w:type="auto"/>
                <w:hideMark/>
              </w:tcPr>
              <w:p w14:paraId="766894A2" w14:textId="77777777" w:rsidR="00903B7D" w:rsidRDefault="00903B7D">
                <w:pPr>
                  <w:pStyle w:val="Bibliography"/>
                  <w:rPr>
                    <w:noProof/>
                  </w:rPr>
                </w:pPr>
                <w:r>
                  <w:rPr>
                    <w:noProof/>
                  </w:rPr>
                  <w:t xml:space="preserve">M. R. Shaneyfelt, K. L. Hughes, F. W. Sexton, D. M. Fleetwood, P. S. Winokur and E. W. Enlow, "Wafer-level radiation testing for hardness assurance," </w:t>
                </w:r>
                <w:r>
                  <w:rPr>
                    <w:i/>
                    <w:iCs/>
                    <w:noProof/>
                  </w:rPr>
                  <w:t xml:space="preserve">IEEE Transactions on Nuclear Science, </w:t>
                </w:r>
                <w:r>
                  <w:rPr>
                    <w:noProof/>
                  </w:rPr>
                  <w:t xml:space="preserve">vol. 38, no. 6, pp. 1598-1605, 1991. </w:t>
                </w:r>
              </w:p>
            </w:tc>
          </w:tr>
          <w:tr w:rsidR="00903B7D" w14:paraId="0D92E029" w14:textId="77777777" w:rsidTr="007C625B">
            <w:trPr>
              <w:divId w:val="1150244625"/>
              <w:tblCellSpacing w:w="15" w:type="dxa"/>
            </w:trPr>
            <w:tc>
              <w:tcPr>
                <w:tcW w:w="225" w:type="pct"/>
                <w:hideMark/>
              </w:tcPr>
              <w:p w14:paraId="170B864A" w14:textId="77777777" w:rsidR="00903B7D" w:rsidRDefault="00903B7D">
                <w:pPr>
                  <w:pStyle w:val="Bibliography"/>
                  <w:rPr>
                    <w:noProof/>
                  </w:rPr>
                </w:pPr>
                <w:r>
                  <w:rPr>
                    <w:noProof/>
                  </w:rPr>
                  <w:t xml:space="preserve">[4] </w:t>
                </w:r>
              </w:p>
            </w:tc>
            <w:tc>
              <w:tcPr>
                <w:tcW w:w="0" w:type="auto"/>
                <w:hideMark/>
              </w:tcPr>
              <w:p w14:paraId="302B70CB" w14:textId="77777777" w:rsidR="00903B7D" w:rsidRDefault="00903B7D">
                <w:pPr>
                  <w:pStyle w:val="Bibliography"/>
                  <w:rPr>
                    <w:noProof/>
                  </w:rPr>
                </w:pPr>
                <w:r>
                  <w:rPr>
                    <w:noProof/>
                  </w:rPr>
                  <w:t xml:space="preserve">G. King, "Going Nuclear Over the Pacific," </w:t>
                </w:r>
                <w:r>
                  <w:rPr>
                    <w:i/>
                    <w:iCs/>
                    <w:noProof/>
                  </w:rPr>
                  <w:t xml:space="preserve">Smithsonian Magazine, </w:t>
                </w:r>
                <w:r>
                  <w:rPr>
                    <w:noProof/>
                  </w:rPr>
                  <w:t xml:space="preserve">15 August 2012. </w:t>
                </w:r>
              </w:p>
            </w:tc>
          </w:tr>
          <w:tr w:rsidR="00903B7D" w14:paraId="2D499D8A" w14:textId="77777777" w:rsidTr="007C625B">
            <w:trPr>
              <w:divId w:val="1150244625"/>
              <w:tblCellSpacing w:w="15" w:type="dxa"/>
            </w:trPr>
            <w:tc>
              <w:tcPr>
                <w:tcW w:w="225" w:type="pct"/>
                <w:hideMark/>
              </w:tcPr>
              <w:p w14:paraId="56AE3226" w14:textId="77777777" w:rsidR="00903B7D" w:rsidRDefault="00903B7D">
                <w:pPr>
                  <w:pStyle w:val="Bibliography"/>
                  <w:rPr>
                    <w:noProof/>
                  </w:rPr>
                </w:pPr>
                <w:r>
                  <w:rPr>
                    <w:noProof/>
                  </w:rPr>
                  <w:t xml:space="preserve">[5] </w:t>
                </w:r>
              </w:p>
            </w:tc>
            <w:tc>
              <w:tcPr>
                <w:tcW w:w="0" w:type="auto"/>
                <w:hideMark/>
              </w:tcPr>
              <w:p w14:paraId="73C6D0EA" w14:textId="77777777" w:rsidR="00903B7D" w:rsidRDefault="00903B7D">
                <w:pPr>
                  <w:pStyle w:val="Bibliography"/>
                  <w:rPr>
                    <w:noProof/>
                  </w:rPr>
                </w:pPr>
                <w:r>
                  <w:rPr>
                    <w:noProof/>
                  </w:rPr>
                  <w:t>NASA, "A Short History of Earth's Radiation Belts," 19 May 2020. [Online]. Available: https://www.nasa.gov/mission_pages/rbsp/science/rbsp-history.html.</w:t>
                </w:r>
              </w:p>
            </w:tc>
          </w:tr>
          <w:tr w:rsidR="00903B7D" w14:paraId="61030BA6" w14:textId="77777777" w:rsidTr="007C625B">
            <w:trPr>
              <w:divId w:val="1150244625"/>
              <w:tblCellSpacing w:w="15" w:type="dxa"/>
            </w:trPr>
            <w:tc>
              <w:tcPr>
                <w:tcW w:w="225" w:type="pct"/>
                <w:hideMark/>
              </w:tcPr>
              <w:p w14:paraId="7C2D8CC6" w14:textId="77777777" w:rsidR="00903B7D" w:rsidRDefault="00903B7D">
                <w:pPr>
                  <w:pStyle w:val="Bibliography"/>
                  <w:rPr>
                    <w:noProof/>
                  </w:rPr>
                </w:pPr>
                <w:r>
                  <w:rPr>
                    <w:noProof/>
                  </w:rPr>
                  <w:t xml:space="preserve">[6] </w:t>
                </w:r>
              </w:p>
            </w:tc>
            <w:tc>
              <w:tcPr>
                <w:tcW w:w="0" w:type="auto"/>
                <w:hideMark/>
              </w:tcPr>
              <w:p w14:paraId="7A7E795E" w14:textId="77777777" w:rsidR="00903B7D" w:rsidRDefault="00903B7D">
                <w:pPr>
                  <w:pStyle w:val="Bibliography"/>
                  <w:rPr>
                    <w:noProof/>
                  </w:rPr>
                </w:pPr>
                <w:r>
                  <w:rPr>
                    <w:noProof/>
                  </w:rPr>
                  <w:t>K. L. Bedingfield, R. D. Leach and M. B. Alexander, "Spacecraft System Failures and Anomalies Attributed to the Natural Space Environment," NASA, Huntsville, 1996.</w:t>
                </w:r>
              </w:p>
            </w:tc>
          </w:tr>
          <w:tr w:rsidR="00903B7D" w14:paraId="2AC06F10" w14:textId="77777777" w:rsidTr="007C625B">
            <w:trPr>
              <w:divId w:val="1150244625"/>
              <w:tblCellSpacing w:w="15" w:type="dxa"/>
            </w:trPr>
            <w:tc>
              <w:tcPr>
                <w:tcW w:w="225" w:type="pct"/>
                <w:hideMark/>
              </w:tcPr>
              <w:p w14:paraId="4CE2CCED" w14:textId="77777777" w:rsidR="00903B7D" w:rsidRDefault="00903B7D">
                <w:pPr>
                  <w:pStyle w:val="Bibliography"/>
                  <w:rPr>
                    <w:noProof/>
                  </w:rPr>
                </w:pPr>
                <w:r>
                  <w:rPr>
                    <w:noProof/>
                  </w:rPr>
                  <w:lastRenderedPageBreak/>
                  <w:t xml:space="preserve">[7] </w:t>
                </w:r>
              </w:p>
            </w:tc>
            <w:tc>
              <w:tcPr>
                <w:tcW w:w="0" w:type="auto"/>
                <w:hideMark/>
              </w:tcPr>
              <w:p w14:paraId="33DC6FF9" w14:textId="77777777" w:rsidR="00903B7D" w:rsidRDefault="00903B7D">
                <w:pPr>
                  <w:pStyle w:val="Bibliography"/>
                  <w:rPr>
                    <w:noProof/>
                  </w:rPr>
                </w:pPr>
                <w:r>
                  <w:rPr>
                    <w:noProof/>
                  </w:rPr>
                  <w:t>NASA, "Halloween Storms of 2003 Still the Scariest," 7 Aug 2017. [Online]. Available: https://www.nasa.gov/topics/solarsystem/features/halloween_storms.html.</w:t>
                </w:r>
              </w:p>
            </w:tc>
          </w:tr>
          <w:tr w:rsidR="00903B7D" w14:paraId="70D3878E" w14:textId="77777777" w:rsidTr="007C625B">
            <w:trPr>
              <w:divId w:val="1150244625"/>
              <w:tblCellSpacing w:w="15" w:type="dxa"/>
            </w:trPr>
            <w:tc>
              <w:tcPr>
                <w:tcW w:w="225" w:type="pct"/>
                <w:hideMark/>
              </w:tcPr>
              <w:p w14:paraId="337176DB" w14:textId="77777777" w:rsidR="00903B7D" w:rsidRDefault="00903B7D">
                <w:pPr>
                  <w:pStyle w:val="Bibliography"/>
                  <w:rPr>
                    <w:noProof/>
                  </w:rPr>
                </w:pPr>
                <w:r>
                  <w:rPr>
                    <w:noProof/>
                  </w:rPr>
                  <w:t xml:space="preserve">[8] </w:t>
                </w:r>
              </w:p>
            </w:tc>
            <w:tc>
              <w:tcPr>
                <w:tcW w:w="0" w:type="auto"/>
                <w:hideMark/>
              </w:tcPr>
              <w:p w14:paraId="22E97252" w14:textId="77777777" w:rsidR="00903B7D" w:rsidRDefault="00903B7D">
                <w:pPr>
                  <w:pStyle w:val="Bibliography"/>
                  <w:rPr>
                    <w:noProof/>
                  </w:rPr>
                </w:pPr>
                <w:r>
                  <w:rPr>
                    <w:noProof/>
                  </w:rPr>
                  <w:t>J. Leitner, "A structure for lessons learned capture with several lessons from EEE parts and printed circuit boards," January 2022. [Online]. Available: https://nescacademy.nasa.gov/video/6e3615a5fbfc477fa65f92244597777c1d.</w:t>
                </w:r>
              </w:p>
            </w:tc>
          </w:tr>
          <w:tr w:rsidR="00903B7D" w14:paraId="0D854745" w14:textId="77777777" w:rsidTr="007C625B">
            <w:trPr>
              <w:divId w:val="1150244625"/>
              <w:tblCellSpacing w:w="15" w:type="dxa"/>
            </w:trPr>
            <w:tc>
              <w:tcPr>
                <w:tcW w:w="225" w:type="pct"/>
                <w:hideMark/>
              </w:tcPr>
              <w:p w14:paraId="7E0455A2" w14:textId="77777777" w:rsidR="00903B7D" w:rsidRDefault="00903B7D">
                <w:pPr>
                  <w:pStyle w:val="Bibliography"/>
                  <w:rPr>
                    <w:noProof/>
                  </w:rPr>
                </w:pPr>
                <w:r>
                  <w:rPr>
                    <w:noProof/>
                  </w:rPr>
                  <w:t xml:space="preserve">[9] </w:t>
                </w:r>
              </w:p>
            </w:tc>
            <w:tc>
              <w:tcPr>
                <w:tcW w:w="0" w:type="auto"/>
                <w:hideMark/>
              </w:tcPr>
              <w:p w14:paraId="07561C38" w14:textId="77777777" w:rsidR="00903B7D" w:rsidRDefault="00903B7D">
                <w:pPr>
                  <w:pStyle w:val="Bibliography"/>
                  <w:rPr>
                    <w:noProof/>
                  </w:rPr>
                </w:pPr>
                <w:r>
                  <w:rPr>
                    <w:noProof/>
                  </w:rPr>
                  <w:t>K. L. Ferrone, T. T. Tran, M. Cavanaugh and N. F. Brown, "2019 Satellite Lifetime Study," The Aerospace Corporation, El Segundo, 2019.</w:t>
                </w:r>
              </w:p>
            </w:tc>
          </w:tr>
          <w:tr w:rsidR="00903B7D" w14:paraId="0C900808" w14:textId="77777777" w:rsidTr="007C625B">
            <w:trPr>
              <w:divId w:val="1150244625"/>
              <w:tblCellSpacing w:w="15" w:type="dxa"/>
            </w:trPr>
            <w:tc>
              <w:tcPr>
                <w:tcW w:w="225" w:type="pct"/>
                <w:hideMark/>
              </w:tcPr>
              <w:p w14:paraId="4D0BDB03" w14:textId="77777777" w:rsidR="00903B7D" w:rsidRDefault="00903B7D">
                <w:pPr>
                  <w:pStyle w:val="Bibliography"/>
                  <w:rPr>
                    <w:noProof/>
                  </w:rPr>
                </w:pPr>
                <w:r>
                  <w:rPr>
                    <w:noProof/>
                  </w:rPr>
                  <w:t xml:space="preserve">[10] </w:t>
                </w:r>
              </w:p>
            </w:tc>
            <w:tc>
              <w:tcPr>
                <w:tcW w:w="0" w:type="auto"/>
                <w:hideMark/>
              </w:tcPr>
              <w:p w14:paraId="5ADDDDBA" w14:textId="77777777" w:rsidR="00903B7D" w:rsidRDefault="00903B7D">
                <w:pPr>
                  <w:pStyle w:val="Bibliography"/>
                  <w:rPr>
                    <w:noProof/>
                  </w:rPr>
                </w:pPr>
                <w:r>
                  <w:rPr>
                    <w:noProof/>
                  </w:rPr>
                  <w:t>NASA JPL, "NASA lesson learned: Proximate Cause of the SMAP Radar Failure," 30 March 2019. [Online]. Available: https://llis.nasa.gov/lesson/27701. [Accessed 15 July 2022].</w:t>
                </w:r>
              </w:p>
            </w:tc>
          </w:tr>
          <w:tr w:rsidR="00903B7D" w14:paraId="76C5CEDB" w14:textId="77777777" w:rsidTr="007C625B">
            <w:trPr>
              <w:divId w:val="1150244625"/>
              <w:tblCellSpacing w:w="15" w:type="dxa"/>
            </w:trPr>
            <w:tc>
              <w:tcPr>
                <w:tcW w:w="225" w:type="pct"/>
                <w:hideMark/>
              </w:tcPr>
              <w:p w14:paraId="0C90DE1F" w14:textId="77777777" w:rsidR="00903B7D" w:rsidRDefault="00903B7D">
                <w:pPr>
                  <w:pStyle w:val="Bibliography"/>
                  <w:rPr>
                    <w:noProof/>
                  </w:rPr>
                </w:pPr>
                <w:r>
                  <w:rPr>
                    <w:noProof/>
                  </w:rPr>
                  <w:t xml:space="preserve">[11] </w:t>
                </w:r>
              </w:p>
            </w:tc>
            <w:tc>
              <w:tcPr>
                <w:tcW w:w="0" w:type="auto"/>
                <w:hideMark/>
              </w:tcPr>
              <w:p w14:paraId="2CA5FC1E" w14:textId="77777777" w:rsidR="00903B7D" w:rsidRDefault="00903B7D">
                <w:pPr>
                  <w:pStyle w:val="Bibliography"/>
                  <w:rPr>
                    <w:noProof/>
                  </w:rPr>
                </w:pPr>
                <w:r>
                  <w:rPr>
                    <w:noProof/>
                  </w:rPr>
                  <w:t xml:space="preserve">GSFC, </w:t>
                </w:r>
                <w:r>
                  <w:rPr>
                    <w:i/>
                    <w:iCs/>
                    <w:noProof/>
                  </w:rPr>
                  <w:t xml:space="preserve">GSFC Procedural Requirements 7120.4D: Risk Management, </w:t>
                </w:r>
                <w:r>
                  <w:rPr>
                    <w:noProof/>
                  </w:rPr>
                  <w:t xml:space="preserve">Greenbelt , MD: GSFC, 2012. </w:t>
                </w:r>
              </w:p>
            </w:tc>
          </w:tr>
          <w:tr w:rsidR="00903B7D" w14:paraId="637F9FD3" w14:textId="77777777" w:rsidTr="007C625B">
            <w:trPr>
              <w:divId w:val="1150244625"/>
              <w:tblCellSpacing w:w="15" w:type="dxa"/>
            </w:trPr>
            <w:tc>
              <w:tcPr>
                <w:tcW w:w="225" w:type="pct"/>
                <w:hideMark/>
              </w:tcPr>
              <w:p w14:paraId="1D9D9E19" w14:textId="77777777" w:rsidR="00903B7D" w:rsidRDefault="00903B7D">
                <w:pPr>
                  <w:pStyle w:val="Bibliography"/>
                  <w:rPr>
                    <w:noProof/>
                  </w:rPr>
                </w:pPr>
                <w:r>
                  <w:rPr>
                    <w:noProof/>
                  </w:rPr>
                  <w:t xml:space="preserve">[12] </w:t>
                </w:r>
              </w:p>
            </w:tc>
            <w:tc>
              <w:tcPr>
                <w:tcW w:w="0" w:type="auto"/>
                <w:hideMark/>
              </w:tcPr>
              <w:p w14:paraId="42C6E658" w14:textId="77777777" w:rsidR="00903B7D" w:rsidRDefault="00903B7D">
                <w:pPr>
                  <w:pStyle w:val="Bibliography"/>
                  <w:rPr>
                    <w:noProof/>
                  </w:rPr>
                </w:pPr>
                <w:r>
                  <w:rPr>
                    <w:noProof/>
                  </w:rPr>
                  <w:t xml:space="preserve">GSFC, </w:t>
                </w:r>
                <w:r>
                  <w:rPr>
                    <w:i/>
                    <w:iCs/>
                    <w:noProof/>
                  </w:rPr>
                  <w:t xml:space="preserve">Guideline for Performing Risk Assessments, </w:t>
                </w:r>
                <w:r>
                  <w:rPr>
                    <w:noProof/>
                  </w:rPr>
                  <w:t xml:space="preserve">Greenbelt, MD: GSFC, 2017. </w:t>
                </w:r>
              </w:p>
            </w:tc>
          </w:tr>
          <w:tr w:rsidR="00903B7D" w14:paraId="2AC77057" w14:textId="77777777" w:rsidTr="007C625B">
            <w:trPr>
              <w:divId w:val="1150244625"/>
              <w:tblCellSpacing w:w="15" w:type="dxa"/>
            </w:trPr>
            <w:tc>
              <w:tcPr>
                <w:tcW w:w="225" w:type="pct"/>
                <w:hideMark/>
              </w:tcPr>
              <w:p w14:paraId="32234409" w14:textId="77777777" w:rsidR="00903B7D" w:rsidRDefault="00903B7D">
                <w:pPr>
                  <w:pStyle w:val="Bibliography"/>
                  <w:rPr>
                    <w:noProof/>
                  </w:rPr>
                </w:pPr>
                <w:r>
                  <w:rPr>
                    <w:noProof/>
                  </w:rPr>
                  <w:t xml:space="preserve">[13] </w:t>
                </w:r>
              </w:p>
            </w:tc>
            <w:tc>
              <w:tcPr>
                <w:tcW w:w="0" w:type="auto"/>
                <w:hideMark/>
              </w:tcPr>
              <w:p w14:paraId="0DF5D3B5" w14:textId="77777777" w:rsidR="00903B7D" w:rsidRDefault="00903B7D">
                <w:pPr>
                  <w:pStyle w:val="Bibliography"/>
                  <w:rPr>
                    <w:noProof/>
                  </w:rPr>
                </w:pPr>
                <w:r>
                  <w:rPr>
                    <w:noProof/>
                  </w:rPr>
                  <w:t xml:space="preserve">GSFC, </w:t>
                </w:r>
                <w:r>
                  <w:rPr>
                    <w:i/>
                    <w:iCs/>
                    <w:noProof/>
                  </w:rPr>
                  <w:t xml:space="preserve">Risk Classification Guidelines and Risk-Based SMA Practices for GSFC Payloads and Systems, </w:t>
                </w:r>
                <w:r>
                  <w:rPr>
                    <w:noProof/>
                  </w:rPr>
                  <w:t xml:space="preserve">Greenbelt, MD: GSFC, 2022. </w:t>
                </w:r>
              </w:p>
            </w:tc>
          </w:tr>
          <w:tr w:rsidR="00903B7D" w14:paraId="52D85BFD" w14:textId="77777777" w:rsidTr="007C625B">
            <w:trPr>
              <w:divId w:val="1150244625"/>
              <w:tblCellSpacing w:w="15" w:type="dxa"/>
            </w:trPr>
            <w:tc>
              <w:tcPr>
                <w:tcW w:w="225" w:type="pct"/>
                <w:hideMark/>
              </w:tcPr>
              <w:p w14:paraId="402D8C2D" w14:textId="77777777" w:rsidR="00903B7D" w:rsidRDefault="00903B7D">
                <w:pPr>
                  <w:pStyle w:val="Bibliography"/>
                  <w:rPr>
                    <w:noProof/>
                  </w:rPr>
                </w:pPr>
                <w:r>
                  <w:rPr>
                    <w:noProof/>
                  </w:rPr>
                  <w:t xml:space="preserve">[14] </w:t>
                </w:r>
              </w:p>
            </w:tc>
            <w:tc>
              <w:tcPr>
                <w:tcW w:w="0" w:type="auto"/>
                <w:hideMark/>
              </w:tcPr>
              <w:p w14:paraId="2E677AA2" w14:textId="77777777" w:rsidR="00903B7D" w:rsidRDefault="00903B7D">
                <w:pPr>
                  <w:pStyle w:val="Bibliography"/>
                  <w:rPr>
                    <w:noProof/>
                  </w:rPr>
                </w:pPr>
                <w:r>
                  <w:rPr>
                    <w:noProof/>
                  </w:rPr>
                  <w:t xml:space="preserve">D. Adler, "The spacecraft-killing anomaly over the South Atlantic," </w:t>
                </w:r>
                <w:r>
                  <w:rPr>
                    <w:i/>
                    <w:iCs/>
                    <w:noProof/>
                  </w:rPr>
                  <w:t xml:space="preserve">Astronomy, </w:t>
                </w:r>
                <w:r>
                  <w:rPr>
                    <w:noProof/>
                  </w:rPr>
                  <w:t xml:space="preserve">19 February 2021. </w:t>
                </w:r>
              </w:p>
            </w:tc>
          </w:tr>
          <w:tr w:rsidR="00903B7D" w14:paraId="7A91D39E" w14:textId="77777777" w:rsidTr="007C625B">
            <w:trPr>
              <w:divId w:val="1150244625"/>
              <w:tblCellSpacing w:w="15" w:type="dxa"/>
            </w:trPr>
            <w:tc>
              <w:tcPr>
                <w:tcW w:w="225" w:type="pct"/>
                <w:hideMark/>
              </w:tcPr>
              <w:p w14:paraId="514DC928" w14:textId="77777777" w:rsidR="00903B7D" w:rsidRDefault="00903B7D">
                <w:pPr>
                  <w:pStyle w:val="Bibliography"/>
                  <w:rPr>
                    <w:noProof/>
                  </w:rPr>
                </w:pPr>
                <w:r>
                  <w:rPr>
                    <w:noProof/>
                  </w:rPr>
                  <w:t xml:space="preserve">[15] </w:t>
                </w:r>
              </w:p>
            </w:tc>
            <w:tc>
              <w:tcPr>
                <w:tcW w:w="0" w:type="auto"/>
                <w:hideMark/>
              </w:tcPr>
              <w:p w14:paraId="302AF1FA" w14:textId="77777777" w:rsidR="00903B7D" w:rsidRDefault="00903B7D">
                <w:pPr>
                  <w:pStyle w:val="Bibliography"/>
                  <w:rPr>
                    <w:noProof/>
                  </w:rPr>
                </w:pPr>
                <w:r>
                  <w:rPr>
                    <w:noProof/>
                  </w:rPr>
                  <w:t xml:space="preserve">W. Li and M. K. Hudson, "Earth's Van Allen Radiation Belts: from Discovery to the Van Allen Probes Era," </w:t>
                </w:r>
                <w:r>
                  <w:rPr>
                    <w:i/>
                    <w:iCs/>
                    <w:noProof/>
                  </w:rPr>
                  <w:t xml:space="preserve">Journal of Geophysical Research: Space Physics, </w:t>
                </w:r>
                <w:r>
                  <w:rPr>
                    <w:noProof/>
                  </w:rPr>
                  <w:t xml:space="preserve">vol. 124, no. 11, pp. 8319-8351, 2019. </w:t>
                </w:r>
              </w:p>
            </w:tc>
          </w:tr>
          <w:tr w:rsidR="00903B7D" w14:paraId="148B9CBC" w14:textId="77777777" w:rsidTr="007C625B">
            <w:trPr>
              <w:divId w:val="1150244625"/>
              <w:tblCellSpacing w:w="15" w:type="dxa"/>
            </w:trPr>
            <w:tc>
              <w:tcPr>
                <w:tcW w:w="225" w:type="pct"/>
                <w:hideMark/>
              </w:tcPr>
              <w:p w14:paraId="47703F65" w14:textId="77777777" w:rsidR="00903B7D" w:rsidRDefault="00903B7D">
                <w:pPr>
                  <w:pStyle w:val="Bibliography"/>
                  <w:rPr>
                    <w:noProof/>
                  </w:rPr>
                </w:pPr>
                <w:r>
                  <w:rPr>
                    <w:noProof/>
                  </w:rPr>
                  <w:t xml:space="preserve">[16] </w:t>
                </w:r>
              </w:p>
            </w:tc>
            <w:tc>
              <w:tcPr>
                <w:tcW w:w="0" w:type="auto"/>
                <w:hideMark/>
              </w:tcPr>
              <w:p w14:paraId="383CEE38" w14:textId="77777777" w:rsidR="00903B7D" w:rsidRDefault="00903B7D">
                <w:pPr>
                  <w:pStyle w:val="Bibliography"/>
                  <w:rPr>
                    <w:noProof/>
                  </w:rPr>
                </w:pPr>
                <w:r>
                  <w:rPr>
                    <w:noProof/>
                  </w:rPr>
                  <w:t xml:space="preserve">J. Leitner and B. Sood, "Assurance of electronic parts for aerospace system reliability: Past, present, and future," </w:t>
                </w:r>
                <w:r>
                  <w:rPr>
                    <w:i/>
                    <w:iCs/>
                    <w:noProof/>
                  </w:rPr>
                  <w:t xml:space="preserve">Quality Engineering, </w:t>
                </w:r>
                <w:r>
                  <w:rPr>
                    <w:noProof/>
                  </w:rPr>
                  <w:t xml:space="preserve">pp. 159-175, 2022. </w:t>
                </w:r>
              </w:p>
            </w:tc>
          </w:tr>
          <w:tr w:rsidR="00903B7D" w14:paraId="101B690E" w14:textId="77777777" w:rsidTr="007C625B">
            <w:trPr>
              <w:divId w:val="1150244625"/>
              <w:tblCellSpacing w:w="15" w:type="dxa"/>
            </w:trPr>
            <w:tc>
              <w:tcPr>
                <w:tcW w:w="225" w:type="pct"/>
                <w:hideMark/>
              </w:tcPr>
              <w:p w14:paraId="4B08893A" w14:textId="77777777" w:rsidR="00903B7D" w:rsidRDefault="00903B7D">
                <w:pPr>
                  <w:pStyle w:val="Bibliography"/>
                  <w:rPr>
                    <w:noProof/>
                  </w:rPr>
                </w:pPr>
                <w:r>
                  <w:rPr>
                    <w:noProof/>
                  </w:rPr>
                  <w:t xml:space="preserve">[17] </w:t>
                </w:r>
              </w:p>
            </w:tc>
            <w:tc>
              <w:tcPr>
                <w:tcW w:w="0" w:type="auto"/>
                <w:hideMark/>
              </w:tcPr>
              <w:p w14:paraId="21854100" w14:textId="77777777" w:rsidR="00903B7D" w:rsidRDefault="00903B7D">
                <w:pPr>
                  <w:pStyle w:val="Bibliography"/>
                  <w:rPr>
                    <w:noProof/>
                  </w:rPr>
                </w:pPr>
                <w:r>
                  <w:rPr>
                    <w:noProof/>
                  </w:rPr>
                  <w:t xml:space="preserve">NASA GSFC, </w:t>
                </w:r>
                <w:r>
                  <w:rPr>
                    <w:i/>
                    <w:iCs/>
                    <w:noProof/>
                  </w:rPr>
                  <w:t xml:space="preserve">GSFC-STD-1000: Rules for the Design, Development, Verification, and Operation of Flight Systems, </w:t>
                </w:r>
                <w:r>
                  <w:rPr>
                    <w:noProof/>
                  </w:rPr>
                  <w:t xml:space="preserve">Greenbelt: NASA GSFC, 2021. </w:t>
                </w:r>
              </w:p>
            </w:tc>
          </w:tr>
          <w:tr w:rsidR="00903B7D" w14:paraId="43E9E07E" w14:textId="77777777" w:rsidTr="007C625B">
            <w:trPr>
              <w:divId w:val="1150244625"/>
              <w:tblCellSpacing w:w="15" w:type="dxa"/>
            </w:trPr>
            <w:tc>
              <w:tcPr>
                <w:tcW w:w="225" w:type="pct"/>
                <w:hideMark/>
              </w:tcPr>
              <w:p w14:paraId="0699FF94" w14:textId="77777777" w:rsidR="00903B7D" w:rsidRDefault="00903B7D">
                <w:pPr>
                  <w:pStyle w:val="Bibliography"/>
                  <w:rPr>
                    <w:noProof/>
                  </w:rPr>
                </w:pPr>
                <w:r>
                  <w:rPr>
                    <w:noProof/>
                  </w:rPr>
                  <w:t xml:space="preserve">[18] </w:t>
                </w:r>
              </w:p>
            </w:tc>
            <w:tc>
              <w:tcPr>
                <w:tcW w:w="0" w:type="auto"/>
                <w:hideMark/>
              </w:tcPr>
              <w:p w14:paraId="5CEE7ACD" w14:textId="77777777" w:rsidR="00903B7D" w:rsidRDefault="00903B7D">
                <w:pPr>
                  <w:pStyle w:val="Bibliography"/>
                  <w:rPr>
                    <w:noProof/>
                  </w:rPr>
                </w:pPr>
                <w:r>
                  <w:rPr>
                    <w:noProof/>
                  </w:rPr>
                  <w:t xml:space="preserve">NASA GSFC, </w:t>
                </w:r>
                <w:r>
                  <w:rPr>
                    <w:i/>
                    <w:iCs/>
                    <w:noProof/>
                  </w:rPr>
                  <w:t xml:space="preserve">GSFC-STD-7000: General Environmental Verification Standard, </w:t>
                </w:r>
                <w:r>
                  <w:rPr>
                    <w:noProof/>
                  </w:rPr>
                  <w:t xml:space="preserve">Greenbelt: NASA GSFC, 2021. </w:t>
                </w:r>
              </w:p>
            </w:tc>
          </w:tr>
          <w:tr w:rsidR="00903B7D" w14:paraId="29D936F9" w14:textId="77777777" w:rsidTr="007C625B">
            <w:trPr>
              <w:divId w:val="1150244625"/>
              <w:tblCellSpacing w:w="15" w:type="dxa"/>
            </w:trPr>
            <w:tc>
              <w:tcPr>
                <w:tcW w:w="225" w:type="pct"/>
                <w:hideMark/>
              </w:tcPr>
              <w:p w14:paraId="7E560954" w14:textId="77777777" w:rsidR="00903B7D" w:rsidRDefault="00903B7D">
                <w:pPr>
                  <w:pStyle w:val="Bibliography"/>
                  <w:rPr>
                    <w:noProof/>
                  </w:rPr>
                </w:pPr>
                <w:r>
                  <w:rPr>
                    <w:noProof/>
                  </w:rPr>
                  <w:t xml:space="preserve">[19] </w:t>
                </w:r>
              </w:p>
            </w:tc>
            <w:tc>
              <w:tcPr>
                <w:tcW w:w="0" w:type="auto"/>
                <w:hideMark/>
              </w:tcPr>
              <w:p w14:paraId="45B0C743" w14:textId="77777777" w:rsidR="00903B7D" w:rsidRDefault="00903B7D">
                <w:pPr>
                  <w:pStyle w:val="Bibliography"/>
                  <w:rPr>
                    <w:noProof/>
                  </w:rPr>
                </w:pPr>
                <w:r>
                  <w:rPr>
                    <w:noProof/>
                  </w:rPr>
                  <w:t xml:space="preserve">J. Leitner, B. Sood, E. Isaac, J. Shue, N. Lindsey and J. Plante, "Risk-based safety and mission assurance: Approach and experiences in practice," </w:t>
                </w:r>
                <w:r>
                  <w:rPr>
                    <w:i/>
                    <w:iCs/>
                    <w:noProof/>
                  </w:rPr>
                  <w:t xml:space="preserve">Quality Engineering, </w:t>
                </w:r>
                <w:r>
                  <w:rPr>
                    <w:noProof/>
                  </w:rPr>
                  <w:t xml:space="preserve">pp. 648-662, 2018. </w:t>
                </w:r>
              </w:p>
            </w:tc>
          </w:tr>
          <w:tr w:rsidR="00903B7D" w14:paraId="3631AC96" w14:textId="77777777" w:rsidTr="007C625B">
            <w:trPr>
              <w:divId w:val="1150244625"/>
              <w:tblCellSpacing w:w="15" w:type="dxa"/>
            </w:trPr>
            <w:tc>
              <w:tcPr>
                <w:tcW w:w="225" w:type="pct"/>
                <w:hideMark/>
              </w:tcPr>
              <w:p w14:paraId="0D1EBBF0" w14:textId="77777777" w:rsidR="00903B7D" w:rsidRDefault="00903B7D">
                <w:pPr>
                  <w:pStyle w:val="Bibliography"/>
                  <w:rPr>
                    <w:noProof/>
                  </w:rPr>
                </w:pPr>
                <w:r>
                  <w:rPr>
                    <w:noProof/>
                  </w:rPr>
                  <w:t xml:space="preserve">[20] </w:t>
                </w:r>
              </w:p>
            </w:tc>
            <w:tc>
              <w:tcPr>
                <w:tcW w:w="0" w:type="auto"/>
                <w:hideMark/>
              </w:tcPr>
              <w:p w14:paraId="6F1C929E" w14:textId="77777777" w:rsidR="00903B7D" w:rsidRDefault="00903B7D">
                <w:pPr>
                  <w:pStyle w:val="Bibliography"/>
                  <w:rPr>
                    <w:noProof/>
                  </w:rPr>
                </w:pPr>
                <w:r>
                  <w:rPr>
                    <w:noProof/>
                  </w:rPr>
                  <w:t xml:space="preserve">F. Bordi and C. Scolese, "A New Approach to Mission Classification and Risk Management forNASA Space Flight Missions," in </w:t>
                </w:r>
                <w:r>
                  <w:rPr>
                    <w:i/>
                    <w:iCs/>
                    <w:noProof/>
                  </w:rPr>
                  <w:t>69th International Astronautical Conference</w:t>
                </w:r>
                <w:r>
                  <w:rPr>
                    <w:noProof/>
                  </w:rPr>
                  <w:t xml:space="preserve">, Bremen, 2018. </w:t>
                </w:r>
              </w:p>
            </w:tc>
          </w:tr>
          <w:tr w:rsidR="00903B7D" w14:paraId="63B213CD" w14:textId="77777777" w:rsidTr="007C625B">
            <w:trPr>
              <w:divId w:val="1150244625"/>
              <w:tblCellSpacing w:w="15" w:type="dxa"/>
            </w:trPr>
            <w:tc>
              <w:tcPr>
                <w:tcW w:w="225" w:type="pct"/>
                <w:hideMark/>
              </w:tcPr>
              <w:p w14:paraId="2AB6D3A1" w14:textId="77777777" w:rsidR="00903B7D" w:rsidRDefault="00903B7D">
                <w:pPr>
                  <w:pStyle w:val="Bibliography"/>
                  <w:rPr>
                    <w:noProof/>
                  </w:rPr>
                </w:pPr>
                <w:r>
                  <w:rPr>
                    <w:noProof/>
                  </w:rPr>
                  <w:t xml:space="preserve">[21] </w:t>
                </w:r>
              </w:p>
            </w:tc>
            <w:tc>
              <w:tcPr>
                <w:tcW w:w="0" w:type="auto"/>
                <w:hideMark/>
              </w:tcPr>
              <w:p w14:paraId="42E198DC" w14:textId="77777777" w:rsidR="00903B7D" w:rsidRDefault="00903B7D">
                <w:pPr>
                  <w:pStyle w:val="Bibliography"/>
                  <w:rPr>
                    <w:noProof/>
                  </w:rPr>
                </w:pPr>
                <w:r>
                  <w:rPr>
                    <w:noProof/>
                  </w:rPr>
                  <w:t xml:space="preserve">J. Leitner and T. Hyde, "How NASA decided Webb was ready: Inside the risk assessment," </w:t>
                </w:r>
                <w:r>
                  <w:rPr>
                    <w:i/>
                    <w:iCs/>
                    <w:noProof/>
                  </w:rPr>
                  <w:t xml:space="preserve">Aerospace America, </w:t>
                </w:r>
                <w:r>
                  <w:rPr>
                    <w:noProof/>
                  </w:rPr>
                  <w:t xml:space="preserve">February 2022. </w:t>
                </w:r>
              </w:p>
            </w:tc>
          </w:tr>
          <w:tr w:rsidR="00903B7D" w14:paraId="49F2BF94" w14:textId="77777777" w:rsidTr="007C625B">
            <w:trPr>
              <w:divId w:val="1150244625"/>
              <w:tblCellSpacing w:w="15" w:type="dxa"/>
            </w:trPr>
            <w:tc>
              <w:tcPr>
                <w:tcW w:w="225" w:type="pct"/>
                <w:hideMark/>
              </w:tcPr>
              <w:p w14:paraId="41AE7E2F" w14:textId="77777777" w:rsidR="00903B7D" w:rsidRDefault="00903B7D">
                <w:pPr>
                  <w:pStyle w:val="Bibliography"/>
                  <w:rPr>
                    <w:noProof/>
                  </w:rPr>
                </w:pPr>
                <w:r>
                  <w:rPr>
                    <w:noProof/>
                  </w:rPr>
                  <w:t xml:space="preserve">[22] </w:t>
                </w:r>
              </w:p>
            </w:tc>
            <w:tc>
              <w:tcPr>
                <w:tcW w:w="0" w:type="auto"/>
                <w:hideMark/>
              </w:tcPr>
              <w:p w14:paraId="5E2B9B54" w14:textId="3D3F6FB0" w:rsidR="00903B7D" w:rsidRDefault="00903B7D">
                <w:pPr>
                  <w:pStyle w:val="Bibliography"/>
                  <w:rPr>
                    <w:noProof/>
                  </w:rPr>
                </w:pPr>
                <w:r>
                  <w:rPr>
                    <w:noProof/>
                  </w:rPr>
                  <w:t>GSFC Parts and Packaging Branch,</w:t>
                </w:r>
                <w:r w:rsidR="00741C7D">
                  <w:rPr>
                    <w:noProof/>
                  </w:rPr>
                  <w:t xml:space="preserve"> EEE-INST-002,</w:t>
                </w:r>
                <w:r>
                  <w:rPr>
                    <w:noProof/>
                  </w:rPr>
                  <w:t xml:space="preserve"> </w:t>
                </w:r>
                <w:r>
                  <w:rPr>
                    <w:i/>
                    <w:iCs/>
                    <w:noProof/>
                  </w:rPr>
                  <w:t xml:space="preserve">Instructions for EEE Parts Selection, Screening, Qualification, and Derating, </w:t>
                </w:r>
                <w:r>
                  <w:rPr>
                    <w:noProof/>
                  </w:rPr>
                  <w:t xml:space="preserve">Greenbelt, MD : GSFC, 2003. </w:t>
                </w:r>
              </w:p>
            </w:tc>
          </w:tr>
        </w:tbl>
        <w:p w14:paraId="5F42B6B6" w14:textId="77777777" w:rsidR="00903B7D" w:rsidRDefault="00903B7D">
          <w:pPr>
            <w:divId w:val="1150244625"/>
            <w:rPr>
              <w:rFonts w:eastAsia="Times New Roman"/>
              <w:noProof/>
            </w:rPr>
          </w:pPr>
        </w:p>
        <w:p w14:paraId="6E628183" w14:textId="283FA8DA" w:rsidR="001A684F" w:rsidRDefault="005B7833" w:rsidP="00E34EE4">
          <w:r>
            <w:rPr>
              <w:b/>
              <w:bCs/>
            </w:rPr>
            <w:fldChar w:fldCharType="end"/>
          </w:r>
        </w:p>
      </w:sdtContent>
    </w:sdt>
    <w:sectPr w:rsidR="001A684F" w:rsidSect="004248F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05CB" w14:textId="77777777" w:rsidR="0083334B" w:rsidRDefault="0083334B" w:rsidP="0043689F">
      <w:r>
        <w:separator/>
      </w:r>
    </w:p>
  </w:endnote>
  <w:endnote w:type="continuationSeparator" w:id="0">
    <w:p w14:paraId="10BB664A" w14:textId="77777777" w:rsidR="0083334B" w:rsidRDefault="0083334B" w:rsidP="0043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D01" w14:textId="77777777" w:rsidR="00E96BF4" w:rsidRDefault="00E96BF4" w:rsidP="007C62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B0EB" w14:textId="77777777" w:rsidR="0083334B" w:rsidRDefault="0083334B" w:rsidP="0043689F">
      <w:r>
        <w:separator/>
      </w:r>
    </w:p>
  </w:footnote>
  <w:footnote w:type="continuationSeparator" w:id="0">
    <w:p w14:paraId="5C4F8299" w14:textId="77777777" w:rsidR="0083334B" w:rsidRDefault="0083334B" w:rsidP="0043689F">
      <w:r>
        <w:continuationSeparator/>
      </w:r>
    </w:p>
  </w:footnote>
  <w:footnote w:id="1">
    <w:p w14:paraId="7047AC4C" w14:textId="52A78205" w:rsidR="00561D7B" w:rsidRDefault="00561D7B">
      <w:pPr>
        <w:pStyle w:val="FootnoteText"/>
      </w:pPr>
      <w:r>
        <w:rPr>
          <w:rStyle w:val="FootnoteReference"/>
        </w:rPr>
        <w:footnoteRef/>
      </w:r>
      <w:r>
        <w:t xml:space="preserve"> COTS implies that the</w:t>
      </w:r>
      <w:r w:rsidRPr="00561D7B">
        <w:t xml:space="preserve"> manufacturer solely establishes and controls the specifications for performance, </w:t>
      </w:r>
      <w:proofErr w:type="gramStart"/>
      <w:r w:rsidRPr="00561D7B">
        <w:t>configuration</w:t>
      </w:r>
      <w:proofErr w:type="gramEnd"/>
      <w:r w:rsidRPr="00561D7B">
        <w:t xml:space="preserve"> and reliability, including design, materials, processes, and testing without additional requirements imposed by users and external organizations.</w:t>
      </w:r>
    </w:p>
  </w:footnote>
  <w:footnote w:id="2">
    <w:p w14:paraId="22AD828F" w14:textId="03F3BE0C" w:rsidR="00F4784F" w:rsidRDefault="00F4784F">
      <w:pPr>
        <w:pStyle w:val="FootnoteText"/>
      </w:pPr>
      <w:r>
        <w:rPr>
          <w:rStyle w:val="FootnoteReference"/>
        </w:rPr>
        <w:footnoteRef/>
      </w:r>
      <w:r>
        <w:t xml:space="preserve"> In years unless otherwise stated</w:t>
      </w:r>
    </w:p>
  </w:footnote>
  <w:footnote w:id="3">
    <w:p w14:paraId="0E6F3B15" w14:textId="0B8A2E9C" w:rsidR="0067339F" w:rsidRDefault="0067339F">
      <w:pPr>
        <w:pStyle w:val="FootnoteText"/>
      </w:pPr>
      <w:r>
        <w:rPr>
          <w:rStyle w:val="FootnoteReference"/>
        </w:rPr>
        <w:footnoteRef/>
      </w:r>
      <w:r>
        <w:t xml:space="preserve"> A problem with the design of the laser was discovered that would be life-limiting.  This prompted the operations project to </w:t>
      </w:r>
      <w:r w:rsidR="007C054E">
        <w:t>space out observations over time to enable collection over the originally defined mission duration.</w:t>
      </w:r>
    </w:p>
  </w:footnote>
  <w:footnote w:id="4">
    <w:p w14:paraId="317072BB" w14:textId="334D1826" w:rsidR="00BC1CD7" w:rsidRDefault="00BC1CD7">
      <w:pPr>
        <w:pStyle w:val="FootnoteText"/>
      </w:pPr>
      <w:r>
        <w:rPr>
          <w:rStyle w:val="FootnoteReference"/>
        </w:rPr>
        <w:footnoteRef/>
      </w:r>
      <w:r>
        <w:t xml:space="preserve"> GOES-N, later called GOES-13, was transferred to U</w:t>
      </w:r>
      <w:r w:rsidR="00E02027">
        <w:t>S Air Force</w:t>
      </w:r>
      <w:r>
        <w:t>, then US</w:t>
      </w:r>
      <w:r w:rsidR="00E02027">
        <w:t xml:space="preserve"> Space Force</w:t>
      </w:r>
      <w:r>
        <w:t>, starting in 2019, and is now called EWS-G1</w:t>
      </w:r>
    </w:p>
  </w:footnote>
  <w:footnote w:id="5">
    <w:p w14:paraId="1EAC6002" w14:textId="3823A7CE" w:rsidR="00EE7206" w:rsidRDefault="00EE7206">
      <w:pPr>
        <w:pStyle w:val="FootnoteText"/>
      </w:pPr>
      <w:r>
        <w:rPr>
          <w:rStyle w:val="FootnoteReference"/>
        </w:rPr>
        <w:footnoteRef/>
      </w:r>
      <w:r>
        <w:t xml:space="preserve"> NASA Ames Research Center managed the LADEE spacecraft, while GSFC managed the instrument suite</w:t>
      </w:r>
    </w:p>
  </w:footnote>
  <w:footnote w:id="6">
    <w:p w14:paraId="05839034" w14:textId="2351D3AB" w:rsidR="005B0EF8" w:rsidRDefault="005B0EF8">
      <w:pPr>
        <w:pStyle w:val="FootnoteText"/>
      </w:pPr>
      <w:r>
        <w:rPr>
          <w:rStyle w:val="FootnoteReference"/>
        </w:rPr>
        <w:footnoteRef/>
      </w:r>
      <w:r>
        <w:t xml:space="preserve"> Mission and spacecraft managed by JPL, GSFC supplied radiometer</w:t>
      </w:r>
    </w:p>
  </w:footnote>
  <w:footnote w:id="7">
    <w:p w14:paraId="4CCBB1DA" w14:textId="6DF321FC" w:rsidR="00605511" w:rsidRDefault="00605511">
      <w:pPr>
        <w:pStyle w:val="FootnoteText"/>
      </w:pPr>
      <w:r>
        <w:rPr>
          <w:rStyle w:val="FootnoteReference"/>
        </w:rPr>
        <w:footnoteRef/>
      </w:r>
      <w:r>
        <w:t xml:space="preserve"> GOES-R’s</w:t>
      </w:r>
      <w:r w:rsidR="009F2AE6">
        <w:t xml:space="preserve"> (and S’s, T’s, and U’s)</w:t>
      </w:r>
      <w:r>
        <w:t xml:space="preserve"> original classification was A</w:t>
      </w:r>
    </w:p>
  </w:footnote>
  <w:footnote w:id="8">
    <w:p w14:paraId="58B3EE34" w14:textId="29227C3A" w:rsidR="0024472C" w:rsidRDefault="0024472C">
      <w:pPr>
        <w:pStyle w:val="FootnoteText"/>
      </w:pPr>
      <w:r>
        <w:rPr>
          <w:rStyle w:val="FootnoteReference"/>
        </w:rPr>
        <w:footnoteRef/>
      </w:r>
      <w:r>
        <w:t xml:space="preserve"> GSFC provided SXS instrument</w:t>
      </w:r>
    </w:p>
  </w:footnote>
  <w:footnote w:id="9">
    <w:p w14:paraId="278DEFD8" w14:textId="4A5D7900" w:rsidR="00E602F1" w:rsidRDefault="00E602F1">
      <w:pPr>
        <w:pStyle w:val="FootnoteText"/>
      </w:pPr>
      <w:r>
        <w:rPr>
          <w:rStyle w:val="FootnoteReference"/>
        </w:rPr>
        <w:footnoteRef/>
      </w:r>
      <w:r>
        <w:t xml:space="preserve"> A problem with the loop heat pipe technology on the Advanced Baseline Imager (ABI) has degraded the performance of the instrument, reducing science throughput.  However, operational reconfigurations enable the collection of 94% of the required data.  </w:t>
      </w:r>
      <w:r w:rsidR="002009FF">
        <w:t>Presently GOES-P (GOES-15) has a seasonal shared responsibility in the GOES-West position.</w:t>
      </w:r>
    </w:p>
  </w:footnote>
  <w:footnote w:id="10">
    <w:p w14:paraId="78B991DE" w14:textId="77777777" w:rsidR="00527F05" w:rsidRDefault="00527F05" w:rsidP="00527F05">
      <w:pPr>
        <w:pStyle w:val="FootnoteText"/>
      </w:pPr>
      <w:r>
        <w:rPr>
          <w:rStyle w:val="FootnoteReference"/>
        </w:rPr>
        <w:footnoteRef/>
      </w:r>
      <w:r>
        <w:t xml:space="preserve"> Government Mandatory Inspection Points</w:t>
      </w:r>
    </w:p>
  </w:footnote>
  <w:footnote w:id="11">
    <w:p w14:paraId="021DDFDF" w14:textId="374FA6ED" w:rsidR="00527F05" w:rsidRDefault="00527F05" w:rsidP="00527F05">
      <w:pPr>
        <w:pStyle w:val="FootnoteText"/>
      </w:pPr>
      <w:r>
        <w:rPr>
          <w:rStyle w:val="FootnoteReference"/>
        </w:rPr>
        <w:footnoteRef/>
      </w:r>
      <w:r>
        <w:t xml:space="preserve"> Anomaly Review Board, Failure Review Board, Material Review Board.  Is NASA required to approve decisions in</w:t>
      </w:r>
      <w:r w:rsidR="00542BEE">
        <w:t xml:space="preserve"> these</w:t>
      </w:r>
      <w:r>
        <w:t xml:space="preserve"> boards</w:t>
      </w:r>
      <w:r w:rsidR="00542BEE">
        <w:t>?</w:t>
      </w:r>
    </w:p>
  </w:footnote>
  <w:footnote w:id="12">
    <w:p w14:paraId="4F2228FB" w14:textId="1E7DAC64" w:rsidR="00527F05" w:rsidRDefault="00527F05" w:rsidP="00527F05">
      <w:pPr>
        <w:pStyle w:val="FootnoteText"/>
      </w:pPr>
      <w:r>
        <w:rPr>
          <w:rStyle w:val="FootnoteReference"/>
        </w:rPr>
        <w:footnoteRef/>
      </w:r>
      <w:r>
        <w:t xml:space="preserve"> </w:t>
      </w:r>
      <w:r w:rsidR="0069363A">
        <w:t>Per GSFC EEE-INST-002</w:t>
      </w:r>
      <w:sdt>
        <w:sdtPr>
          <w:id w:val="-912623458"/>
          <w:citation/>
        </w:sdtPr>
        <w:sdtContent>
          <w:r w:rsidR="0069363A">
            <w:fldChar w:fldCharType="begin"/>
          </w:r>
          <w:r w:rsidR="0069363A">
            <w:instrText xml:space="preserve"> CITATION GSF03 \l 1033 </w:instrText>
          </w:r>
          <w:r w:rsidR="0069363A">
            <w:fldChar w:fldCharType="separate"/>
          </w:r>
          <w:r w:rsidR="00903B7D">
            <w:rPr>
              <w:noProof/>
            </w:rPr>
            <w:t xml:space="preserve"> </w:t>
          </w:r>
          <w:r w:rsidR="00903B7D" w:rsidRPr="00903B7D">
            <w:rPr>
              <w:noProof/>
            </w:rPr>
            <w:t>[22]</w:t>
          </w:r>
          <w:r w:rsidR="0069363A">
            <w:fldChar w:fldCharType="end"/>
          </w:r>
        </w:sdtContent>
      </w:sdt>
      <w:r w:rsidR="0069363A">
        <w:t xml:space="preserve">.  </w:t>
      </w:r>
      <w:r>
        <w:t xml:space="preserve">Also denoted </w:t>
      </w:r>
      <w:r w:rsidR="0069363A">
        <w:t>“</w:t>
      </w:r>
      <w:r>
        <w:t>Level 4</w:t>
      </w:r>
      <w:r w:rsidR="0069363A">
        <w:t>”</w:t>
      </w:r>
      <w:r>
        <w:t>.  No additional screening beyond manufacturer screening (</w:t>
      </w:r>
      <w:r w:rsidR="00542BEE">
        <w:t xml:space="preserve">note this </w:t>
      </w:r>
      <w:r>
        <w:t>does not imply “unscreened”)</w:t>
      </w:r>
      <w:r w:rsidR="00542BEE">
        <w:t>.</w:t>
      </w:r>
    </w:p>
  </w:footnote>
  <w:footnote w:id="13">
    <w:p w14:paraId="6C8AFD26" w14:textId="5E3E46A2" w:rsidR="00527F05" w:rsidRDefault="00527F05" w:rsidP="00527F05">
      <w:pPr>
        <w:pStyle w:val="FootnoteText"/>
      </w:pPr>
      <w:r>
        <w:rPr>
          <w:rStyle w:val="FootnoteReference"/>
        </w:rPr>
        <w:footnoteRef/>
      </w:r>
      <w:r>
        <w:t xml:space="preserve"> These represent rigid printed circuit board requirements when the IPC 6012 requirements are selected.  “S” or “/A” denote Space Addendum.  </w:t>
      </w:r>
    </w:p>
  </w:footnote>
  <w:footnote w:id="14">
    <w:p w14:paraId="2B1E9517" w14:textId="77777777" w:rsidR="00527F05" w:rsidRDefault="00527F05" w:rsidP="00527F05">
      <w:pPr>
        <w:pStyle w:val="FootnoteText"/>
      </w:pPr>
      <w:r>
        <w:rPr>
          <w:rStyle w:val="FootnoteReference"/>
        </w:rPr>
        <w:footnoteRef/>
      </w:r>
      <w:r>
        <w:t xml:space="preserve"> In other words, no independent coupon assessments are recommended</w:t>
      </w:r>
    </w:p>
  </w:footnote>
  <w:footnote w:id="15">
    <w:p w14:paraId="3145BD04" w14:textId="4CAC37EB" w:rsidR="000564D9" w:rsidRDefault="000564D9">
      <w:pPr>
        <w:pStyle w:val="FootnoteText"/>
      </w:pPr>
      <w:r>
        <w:rPr>
          <w:rStyle w:val="FootnoteReference"/>
        </w:rPr>
        <w:footnoteRef/>
      </w:r>
      <w:r>
        <w:t xml:space="preserve"> Radiation Design Margin</w:t>
      </w:r>
    </w:p>
  </w:footnote>
  <w:footnote w:id="16">
    <w:p w14:paraId="37E4C3DF" w14:textId="7C4ADCA2" w:rsidR="003C50BB" w:rsidRDefault="003C50BB">
      <w:pPr>
        <w:pStyle w:val="FootnoteText"/>
      </w:pPr>
      <w:r>
        <w:rPr>
          <w:rStyle w:val="FootnoteReference"/>
        </w:rPr>
        <w:footnoteRef/>
      </w:r>
      <w:r>
        <w:t xml:space="preserve"> The term </w:t>
      </w:r>
      <w:r w:rsidRPr="003C50BB">
        <w:rPr>
          <w:i/>
          <w:iCs/>
        </w:rPr>
        <w:t>recent</w:t>
      </w:r>
      <w:r>
        <w:t xml:space="preserve"> is flexible, generally representing a current representative development block.</w:t>
      </w:r>
    </w:p>
  </w:footnote>
  <w:footnote w:id="17">
    <w:p w14:paraId="12123B0F" w14:textId="6C97B60E" w:rsidR="005116EE" w:rsidRDefault="000A5722" w:rsidP="005116EE">
      <w:pPr>
        <w:pStyle w:val="Default"/>
        <w:rPr>
          <w:sz w:val="18"/>
          <w:szCs w:val="18"/>
        </w:rPr>
      </w:pPr>
      <w:r>
        <w:rPr>
          <w:rStyle w:val="FootnoteReference"/>
        </w:rPr>
        <w:footnoteRef/>
      </w:r>
      <w:r>
        <w:t xml:space="preserve"> </w:t>
      </w:r>
      <w:r w:rsidR="005116EE">
        <w:rPr>
          <w:sz w:val="18"/>
          <w:szCs w:val="18"/>
        </w:rPr>
        <w:t>One such qualification requirement is</w:t>
      </w:r>
      <w:r w:rsidRPr="007C625B">
        <w:rPr>
          <w:sz w:val="18"/>
          <w:szCs w:val="18"/>
        </w:rPr>
        <w:t xml:space="preserve"> </w:t>
      </w:r>
      <w:r w:rsidR="005116EE" w:rsidRPr="007C625B">
        <w:rPr>
          <w:sz w:val="18"/>
          <w:szCs w:val="18"/>
        </w:rPr>
        <w:t xml:space="preserve">GOLD rule 2.01: </w:t>
      </w:r>
      <w:r w:rsidR="005116EE" w:rsidRPr="005116EE">
        <w:rPr>
          <w:sz w:val="18"/>
          <w:szCs w:val="18"/>
        </w:rPr>
        <w:t>One thousand (1000) hours of operating/power-on time shall be accumulated on all flight electronic hardware (including all redundant hardware) prior to launch</w:t>
      </w:r>
      <w:r w:rsidR="00725CE3">
        <w:rPr>
          <w:sz w:val="18"/>
          <w:szCs w:val="18"/>
        </w:rPr>
        <w:t>.</w:t>
      </w:r>
      <w:r w:rsidR="005116EE" w:rsidRPr="005116EE">
        <w:rPr>
          <w:sz w:val="18"/>
          <w:szCs w:val="18"/>
        </w:rPr>
        <w:t xml:space="preserve"> The last 350 hours of operating/power-on time shall be failure-free, of which at least 200 hours shall be in vacuum. For Class D and below, only the failure-free and vacuum requirements shall apply.</w:t>
      </w:r>
      <w:r w:rsidR="005116EE">
        <w:rPr>
          <w:sz w:val="18"/>
          <w:szCs w:val="18"/>
        </w:rPr>
        <w:t xml:space="preserve"> </w:t>
      </w:r>
    </w:p>
    <w:p w14:paraId="1484228F" w14:textId="7B373366" w:rsidR="000A5722" w:rsidRDefault="000A5722">
      <w:pPr>
        <w:pStyle w:val="FootnoteText"/>
      </w:pPr>
    </w:p>
  </w:footnote>
  <w:footnote w:id="18">
    <w:p w14:paraId="6E33DA8E" w14:textId="13B36341" w:rsidR="00BF2D86" w:rsidRDefault="00BF2D86">
      <w:pPr>
        <w:pStyle w:val="FootnoteText"/>
      </w:pPr>
      <w:r>
        <w:rPr>
          <w:rStyle w:val="FootnoteReference"/>
        </w:rPr>
        <w:footnoteRef/>
      </w:r>
      <w:r>
        <w:t xml:space="preserve"> Aggregate risk is sometimes a goal within risk management late in a project or at key milestones to give a high-level view of overall risk level for a project.  However, generally only select risks that have a particular relationship can be aggregated in a meaningful way.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8D01" w14:textId="1AEDE067" w:rsidR="00E96BF4" w:rsidRDefault="00E96BF4" w:rsidP="007C62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7597"/>
    <w:multiLevelType w:val="hybridMultilevel"/>
    <w:tmpl w:val="E7BA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D03"/>
    <w:multiLevelType w:val="hybridMultilevel"/>
    <w:tmpl w:val="5D96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A48BB"/>
    <w:multiLevelType w:val="hybridMultilevel"/>
    <w:tmpl w:val="B874EC10"/>
    <w:lvl w:ilvl="0" w:tplc="0C020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EB6581"/>
    <w:multiLevelType w:val="hybridMultilevel"/>
    <w:tmpl w:val="CB5E9310"/>
    <w:lvl w:ilvl="0" w:tplc="02A00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C7792F"/>
    <w:multiLevelType w:val="hybridMultilevel"/>
    <w:tmpl w:val="B8005AB8"/>
    <w:lvl w:ilvl="0" w:tplc="CC36B27E">
      <w:start w:val="1"/>
      <w:numFmt w:val="bullet"/>
      <w:lvlText w:val="•"/>
      <w:lvlJc w:val="left"/>
      <w:pPr>
        <w:tabs>
          <w:tab w:val="num" w:pos="720"/>
        </w:tabs>
        <w:ind w:left="720" w:hanging="360"/>
      </w:pPr>
      <w:rPr>
        <w:rFonts w:ascii="Arial" w:hAnsi="Arial" w:hint="default"/>
      </w:rPr>
    </w:lvl>
    <w:lvl w:ilvl="1" w:tplc="FF0C0C4A">
      <w:start w:val="63"/>
      <w:numFmt w:val="bullet"/>
      <w:lvlText w:val="–"/>
      <w:lvlJc w:val="left"/>
      <w:pPr>
        <w:tabs>
          <w:tab w:val="num" w:pos="1440"/>
        </w:tabs>
        <w:ind w:left="1440" w:hanging="360"/>
      </w:pPr>
      <w:rPr>
        <w:rFonts w:ascii="Arial" w:hAnsi="Arial" w:hint="default"/>
      </w:rPr>
    </w:lvl>
    <w:lvl w:ilvl="2" w:tplc="B30EBCB0" w:tentative="1">
      <w:start w:val="1"/>
      <w:numFmt w:val="bullet"/>
      <w:lvlText w:val="•"/>
      <w:lvlJc w:val="left"/>
      <w:pPr>
        <w:tabs>
          <w:tab w:val="num" w:pos="2160"/>
        </w:tabs>
        <w:ind w:left="2160" w:hanging="360"/>
      </w:pPr>
      <w:rPr>
        <w:rFonts w:ascii="Arial" w:hAnsi="Arial" w:hint="default"/>
      </w:rPr>
    </w:lvl>
    <w:lvl w:ilvl="3" w:tplc="550AC42A" w:tentative="1">
      <w:start w:val="1"/>
      <w:numFmt w:val="bullet"/>
      <w:lvlText w:val="•"/>
      <w:lvlJc w:val="left"/>
      <w:pPr>
        <w:tabs>
          <w:tab w:val="num" w:pos="2880"/>
        </w:tabs>
        <w:ind w:left="2880" w:hanging="360"/>
      </w:pPr>
      <w:rPr>
        <w:rFonts w:ascii="Arial" w:hAnsi="Arial" w:hint="default"/>
      </w:rPr>
    </w:lvl>
    <w:lvl w:ilvl="4" w:tplc="36FE03BE" w:tentative="1">
      <w:start w:val="1"/>
      <w:numFmt w:val="bullet"/>
      <w:lvlText w:val="•"/>
      <w:lvlJc w:val="left"/>
      <w:pPr>
        <w:tabs>
          <w:tab w:val="num" w:pos="3600"/>
        </w:tabs>
        <w:ind w:left="3600" w:hanging="360"/>
      </w:pPr>
      <w:rPr>
        <w:rFonts w:ascii="Arial" w:hAnsi="Arial" w:hint="default"/>
      </w:rPr>
    </w:lvl>
    <w:lvl w:ilvl="5" w:tplc="104EC59E" w:tentative="1">
      <w:start w:val="1"/>
      <w:numFmt w:val="bullet"/>
      <w:lvlText w:val="•"/>
      <w:lvlJc w:val="left"/>
      <w:pPr>
        <w:tabs>
          <w:tab w:val="num" w:pos="4320"/>
        </w:tabs>
        <w:ind w:left="4320" w:hanging="360"/>
      </w:pPr>
      <w:rPr>
        <w:rFonts w:ascii="Arial" w:hAnsi="Arial" w:hint="default"/>
      </w:rPr>
    </w:lvl>
    <w:lvl w:ilvl="6" w:tplc="D03C0956" w:tentative="1">
      <w:start w:val="1"/>
      <w:numFmt w:val="bullet"/>
      <w:lvlText w:val="•"/>
      <w:lvlJc w:val="left"/>
      <w:pPr>
        <w:tabs>
          <w:tab w:val="num" w:pos="5040"/>
        </w:tabs>
        <w:ind w:left="5040" w:hanging="360"/>
      </w:pPr>
      <w:rPr>
        <w:rFonts w:ascii="Arial" w:hAnsi="Arial" w:hint="default"/>
      </w:rPr>
    </w:lvl>
    <w:lvl w:ilvl="7" w:tplc="9274F258" w:tentative="1">
      <w:start w:val="1"/>
      <w:numFmt w:val="bullet"/>
      <w:lvlText w:val="•"/>
      <w:lvlJc w:val="left"/>
      <w:pPr>
        <w:tabs>
          <w:tab w:val="num" w:pos="5760"/>
        </w:tabs>
        <w:ind w:left="5760" w:hanging="360"/>
      </w:pPr>
      <w:rPr>
        <w:rFonts w:ascii="Arial" w:hAnsi="Arial" w:hint="default"/>
      </w:rPr>
    </w:lvl>
    <w:lvl w:ilvl="8" w:tplc="B394A3F8" w:tentative="1">
      <w:start w:val="1"/>
      <w:numFmt w:val="bullet"/>
      <w:lvlText w:val="•"/>
      <w:lvlJc w:val="left"/>
      <w:pPr>
        <w:tabs>
          <w:tab w:val="num" w:pos="6480"/>
        </w:tabs>
        <w:ind w:left="6480" w:hanging="360"/>
      </w:pPr>
      <w:rPr>
        <w:rFonts w:ascii="Arial" w:hAnsi="Arial" w:hint="default"/>
      </w:rPr>
    </w:lvl>
  </w:abstractNum>
  <w:num w:numId="1" w16cid:durableId="1758549960">
    <w:abstractNumId w:val="1"/>
  </w:num>
  <w:num w:numId="2" w16cid:durableId="613371251">
    <w:abstractNumId w:val="3"/>
  </w:num>
  <w:num w:numId="3" w16cid:durableId="1400858141">
    <w:abstractNumId w:val="4"/>
  </w:num>
  <w:num w:numId="4" w16cid:durableId="1459181700">
    <w:abstractNumId w:val="0"/>
  </w:num>
  <w:num w:numId="5" w16cid:durableId="779758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22"/>
    <w:rsid w:val="00011310"/>
    <w:rsid w:val="00013508"/>
    <w:rsid w:val="0003101F"/>
    <w:rsid w:val="00034090"/>
    <w:rsid w:val="00040D38"/>
    <w:rsid w:val="00041B35"/>
    <w:rsid w:val="00042200"/>
    <w:rsid w:val="00053504"/>
    <w:rsid w:val="00054EDC"/>
    <w:rsid w:val="000564D9"/>
    <w:rsid w:val="00057EDB"/>
    <w:rsid w:val="00063256"/>
    <w:rsid w:val="000727E0"/>
    <w:rsid w:val="0008131C"/>
    <w:rsid w:val="00097714"/>
    <w:rsid w:val="000A5722"/>
    <w:rsid w:val="000A5971"/>
    <w:rsid w:val="000A6332"/>
    <w:rsid w:val="000B2DA3"/>
    <w:rsid w:val="000B3090"/>
    <w:rsid w:val="000C726C"/>
    <w:rsid w:val="000D0F94"/>
    <w:rsid w:val="000D2C50"/>
    <w:rsid w:val="000F0DE4"/>
    <w:rsid w:val="000F36F0"/>
    <w:rsid w:val="000F5285"/>
    <w:rsid w:val="000F71E2"/>
    <w:rsid w:val="00101A3B"/>
    <w:rsid w:val="0010283F"/>
    <w:rsid w:val="0010303E"/>
    <w:rsid w:val="00106BD4"/>
    <w:rsid w:val="001071AE"/>
    <w:rsid w:val="00120A4B"/>
    <w:rsid w:val="00123814"/>
    <w:rsid w:val="00127368"/>
    <w:rsid w:val="00132BDC"/>
    <w:rsid w:val="00134DBB"/>
    <w:rsid w:val="00142276"/>
    <w:rsid w:val="00146855"/>
    <w:rsid w:val="00147748"/>
    <w:rsid w:val="0016079C"/>
    <w:rsid w:val="00170B1E"/>
    <w:rsid w:val="00183620"/>
    <w:rsid w:val="001A684F"/>
    <w:rsid w:val="001A798A"/>
    <w:rsid w:val="001B634D"/>
    <w:rsid w:val="001C26A0"/>
    <w:rsid w:val="001F436C"/>
    <w:rsid w:val="001F5220"/>
    <w:rsid w:val="001F74A0"/>
    <w:rsid w:val="002009FF"/>
    <w:rsid w:val="00202CE0"/>
    <w:rsid w:val="002220CC"/>
    <w:rsid w:val="002244B3"/>
    <w:rsid w:val="0024399C"/>
    <w:rsid w:val="0024472C"/>
    <w:rsid w:val="00251B66"/>
    <w:rsid w:val="00255FD9"/>
    <w:rsid w:val="00257F75"/>
    <w:rsid w:val="0026189F"/>
    <w:rsid w:val="0027312C"/>
    <w:rsid w:val="00283B92"/>
    <w:rsid w:val="002849AC"/>
    <w:rsid w:val="00284AB9"/>
    <w:rsid w:val="00284AC3"/>
    <w:rsid w:val="00290D26"/>
    <w:rsid w:val="002B31B1"/>
    <w:rsid w:val="002C1B3B"/>
    <w:rsid w:val="002C4936"/>
    <w:rsid w:val="002D1D27"/>
    <w:rsid w:val="002D3D44"/>
    <w:rsid w:val="002D62D4"/>
    <w:rsid w:val="002F739B"/>
    <w:rsid w:val="00303728"/>
    <w:rsid w:val="00310AE3"/>
    <w:rsid w:val="00312600"/>
    <w:rsid w:val="00327E74"/>
    <w:rsid w:val="00332404"/>
    <w:rsid w:val="003359BF"/>
    <w:rsid w:val="00362045"/>
    <w:rsid w:val="00363097"/>
    <w:rsid w:val="003655B4"/>
    <w:rsid w:val="00371E38"/>
    <w:rsid w:val="0037588C"/>
    <w:rsid w:val="003901B7"/>
    <w:rsid w:val="00390F13"/>
    <w:rsid w:val="003A0465"/>
    <w:rsid w:val="003A2384"/>
    <w:rsid w:val="003A257A"/>
    <w:rsid w:val="003C24F3"/>
    <w:rsid w:val="003C50BB"/>
    <w:rsid w:val="003C54DF"/>
    <w:rsid w:val="003F1303"/>
    <w:rsid w:val="003F3A54"/>
    <w:rsid w:val="00406C6B"/>
    <w:rsid w:val="004171F6"/>
    <w:rsid w:val="0041733B"/>
    <w:rsid w:val="00423FA2"/>
    <w:rsid w:val="004248FC"/>
    <w:rsid w:val="00425998"/>
    <w:rsid w:val="00427C9D"/>
    <w:rsid w:val="00435ECC"/>
    <w:rsid w:val="0043689F"/>
    <w:rsid w:val="004417B4"/>
    <w:rsid w:val="00452357"/>
    <w:rsid w:val="00456C67"/>
    <w:rsid w:val="00457B7A"/>
    <w:rsid w:val="0046305A"/>
    <w:rsid w:val="00482E97"/>
    <w:rsid w:val="004936A5"/>
    <w:rsid w:val="00496EB9"/>
    <w:rsid w:val="004A6AA1"/>
    <w:rsid w:val="004A6BDE"/>
    <w:rsid w:val="004C389D"/>
    <w:rsid w:val="004D7787"/>
    <w:rsid w:val="004F5FC1"/>
    <w:rsid w:val="005116EE"/>
    <w:rsid w:val="00513CF7"/>
    <w:rsid w:val="005221D2"/>
    <w:rsid w:val="00523AFB"/>
    <w:rsid w:val="00525907"/>
    <w:rsid w:val="00527F05"/>
    <w:rsid w:val="005347FA"/>
    <w:rsid w:val="00542BEE"/>
    <w:rsid w:val="005512B0"/>
    <w:rsid w:val="0055173D"/>
    <w:rsid w:val="0055179B"/>
    <w:rsid w:val="0056124A"/>
    <w:rsid w:val="00561D7B"/>
    <w:rsid w:val="005708A8"/>
    <w:rsid w:val="00587763"/>
    <w:rsid w:val="00592F4E"/>
    <w:rsid w:val="00594CC6"/>
    <w:rsid w:val="005B0EF8"/>
    <w:rsid w:val="005B2832"/>
    <w:rsid w:val="005B7833"/>
    <w:rsid w:val="005C009C"/>
    <w:rsid w:val="005C3EA3"/>
    <w:rsid w:val="005D5B70"/>
    <w:rsid w:val="005D61EA"/>
    <w:rsid w:val="005D6A42"/>
    <w:rsid w:val="005E1C90"/>
    <w:rsid w:val="005E69C2"/>
    <w:rsid w:val="005E7964"/>
    <w:rsid w:val="005F4338"/>
    <w:rsid w:val="00600B9A"/>
    <w:rsid w:val="00600EE4"/>
    <w:rsid w:val="006014C9"/>
    <w:rsid w:val="00601DEF"/>
    <w:rsid w:val="00602A9E"/>
    <w:rsid w:val="00603E2B"/>
    <w:rsid w:val="00605511"/>
    <w:rsid w:val="00606B79"/>
    <w:rsid w:val="0061170A"/>
    <w:rsid w:val="00612CC0"/>
    <w:rsid w:val="00625207"/>
    <w:rsid w:val="006259F1"/>
    <w:rsid w:val="00626048"/>
    <w:rsid w:val="00650F4A"/>
    <w:rsid w:val="006514DC"/>
    <w:rsid w:val="0065773E"/>
    <w:rsid w:val="00660D50"/>
    <w:rsid w:val="0066106F"/>
    <w:rsid w:val="00665486"/>
    <w:rsid w:val="00667E5F"/>
    <w:rsid w:val="0067339F"/>
    <w:rsid w:val="00675511"/>
    <w:rsid w:val="006771EC"/>
    <w:rsid w:val="00684549"/>
    <w:rsid w:val="0069212B"/>
    <w:rsid w:val="00693492"/>
    <w:rsid w:val="0069363A"/>
    <w:rsid w:val="006939D2"/>
    <w:rsid w:val="006A326C"/>
    <w:rsid w:val="006B3FCE"/>
    <w:rsid w:val="006C0FDF"/>
    <w:rsid w:val="006C6009"/>
    <w:rsid w:val="006D4F04"/>
    <w:rsid w:val="006E4C81"/>
    <w:rsid w:val="00704C6F"/>
    <w:rsid w:val="007153AC"/>
    <w:rsid w:val="0072478B"/>
    <w:rsid w:val="00725CE3"/>
    <w:rsid w:val="00727221"/>
    <w:rsid w:val="00736E72"/>
    <w:rsid w:val="00737174"/>
    <w:rsid w:val="00741C7D"/>
    <w:rsid w:val="00742E49"/>
    <w:rsid w:val="00746F8D"/>
    <w:rsid w:val="007547B9"/>
    <w:rsid w:val="00762236"/>
    <w:rsid w:val="00762541"/>
    <w:rsid w:val="007701ED"/>
    <w:rsid w:val="00773256"/>
    <w:rsid w:val="00780DE0"/>
    <w:rsid w:val="00783716"/>
    <w:rsid w:val="00797681"/>
    <w:rsid w:val="007A2803"/>
    <w:rsid w:val="007A686A"/>
    <w:rsid w:val="007B1FC9"/>
    <w:rsid w:val="007C054E"/>
    <w:rsid w:val="007C1128"/>
    <w:rsid w:val="007C625B"/>
    <w:rsid w:val="007E4772"/>
    <w:rsid w:val="007F1A84"/>
    <w:rsid w:val="00800BF5"/>
    <w:rsid w:val="0081269C"/>
    <w:rsid w:val="008129B2"/>
    <w:rsid w:val="0081579E"/>
    <w:rsid w:val="00823060"/>
    <w:rsid w:val="00830825"/>
    <w:rsid w:val="00831F1E"/>
    <w:rsid w:val="0083334B"/>
    <w:rsid w:val="0084358E"/>
    <w:rsid w:val="00845BA5"/>
    <w:rsid w:val="00854BC1"/>
    <w:rsid w:val="00855985"/>
    <w:rsid w:val="00873C36"/>
    <w:rsid w:val="008868DC"/>
    <w:rsid w:val="00897DC7"/>
    <w:rsid w:val="008A01FA"/>
    <w:rsid w:val="008A039A"/>
    <w:rsid w:val="008A28A5"/>
    <w:rsid w:val="008A566C"/>
    <w:rsid w:val="008B55A8"/>
    <w:rsid w:val="008C7089"/>
    <w:rsid w:val="008D5CCD"/>
    <w:rsid w:val="008E60F9"/>
    <w:rsid w:val="008E6795"/>
    <w:rsid w:val="008F0537"/>
    <w:rsid w:val="008F1B2C"/>
    <w:rsid w:val="008F4B33"/>
    <w:rsid w:val="008F5093"/>
    <w:rsid w:val="008F52FC"/>
    <w:rsid w:val="00903B7D"/>
    <w:rsid w:val="00913032"/>
    <w:rsid w:val="00914EDD"/>
    <w:rsid w:val="009153F0"/>
    <w:rsid w:val="00920AA6"/>
    <w:rsid w:val="00922778"/>
    <w:rsid w:val="009238C7"/>
    <w:rsid w:val="009251B2"/>
    <w:rsid w:val="00927C90"/>
    <w:rsid w:val="009300DA"/>
    <w:rsid w:val="00931139"/>
    <w:rsid w:val="0094074C"/>
    <w:rsid w:val="00940F36"/>
    <w:rsid w:val="009600C9"/>
    <w:rsid w:val="009650EB"/>
    <w:rsid w:val="00982EED"/>
    <w:rsid w:val="00990826"/>
    <w:rsid w:val="009927F1"/>
    <w:rsid w:val="0099378D"/>
    <w:rsid w:val="0099495F"/>
    <w:rsid w:val="0099514B"/>
    <w:rsid w:val="009A3B00"/>
    <w:rsid w:val="009B018A"/>
    <w:rsid w:val="009B1DD7"/>
    <w:rsid w:val="009B6FD1"/>
    <w:rsid w:val="009D44FF"/>
    <w:rsid w:val="009D7EDB"/>
    <w:rsid w:val="009E1720"/>
    <w:rsid w:val="009E647F"/>
    <w:rsid w:val="009F2AE6"/>
    <w:rsid w:val="009F40E0"/>
    <w:rsid w:val="009F6347"/>
    <w:rsid w:val="00A013EA"/>
    <w:rsid w:val="00A05537"/>
    <w:rsid w:val="00A15243"/>
    <w:rsid w:val="00A23F10"/>
    <w:rsid w:val="00A2572C"/>
    <w:rsid w:val="00A3043B"/>
    <w:rsid w:val="00A3122C"/>
    <w:rsid w:val="00A33D53"/>
    <w:rsid w:val="00A410A8"/>
    <w:rsid w:val="00A4596D"/>
    <w:rsid w:val="00A476A8"/>
    <w:rsid w:val="00A60713"/>
    <w:rsid w:val="00A6368E"/>
    <w:rsid w:val="00A65908"/>
    <w:rsid w:val="00A665DF"/>
    <w:rsid w:val="00A7164A"/>
    <w:rsid w:val="00A75E96"/>
    <w:rsid w:val="00A76F60"/>
    <w:rsid w:val="00A90FBA"/>
    <w:rsid w:val="00AE3CF6"/>
    <w:rsid w:val="00AE4455"/>
    <w:rsid w:val="00AF2BE3"/>
    <w:rsid w:val="00AF74A2"/>
    <w:rsid w:val="00AF7E9F"/>
    <w:rsid w:val="00B00F85"/>
    <w:rsid w:val="00B01BC3"/>
    <w:rsid w:val="00B0387A"/>
    <w:rsid w:val="00B0532F"/>
    <w:rsid w:val="00B170A6"/>
    <w:rsid w:val="00B2150E"/>
    <w:rsid w:val="00B26F72"/>
    <w:rsid w:val="00B3055E"/>
    <w:rsid w:val="00B32AF2"/>
    <w:rsid w:val="00B343BD"/>
    <w:rsid w:val="00B3618E"/>
    <w:rsid w:val="00B421AF"/>
    <w:rsid w:val="00B47B09"/>
    <w:rsid w:val="00B53A36"/>
    <w:rsid w:val="00B6169C"/>
    <w:rsid w:val="00B64B9A"/>
    <w:rsid w:val="00B8111B"/>
    <w:rsid w:val="00B84FD7"/>
    <w:rsid w:val="00BA0533"/>
    <w:rsid w:val="00BA157C"/>
    <w:rsid w:val="00BA720D"/>
    <w:rsid w:val="00BB0B57"/>
    <w:rsid w:val="00BB6FC1"/>
    <w:rsid w:val="00BB74C6"/>
    <w:rsid w:val="00BC11A5"/>
    <w:rsid w:val="00BC1CD7"/>
    <w:rsid w:val="00BC371C"/>
    <w:rsid w:val="00BC5A39"/>
    <w:rsid w:val="00BC5BFA"/>
    <w:rsid w:val="00BD7B4C"/>
    <w:rsid w:val="00BF2D86"/>
    <w:rsid w:val="00BF5709"/>
    <w:rsid w:val="00C063D4"/>
    <w:rsid w:val="00C237E7"/>
    <w:rsid w:val="00C26F6E"/>
    <w:rsid w:val="00C270C4"/>
    <w:rsid w:val="00C570EF"/>
    <w:rsid w:val="00C602BE"/>
    <w:rsid w:val="00C6329A"/>
    <w:rsid w:val="00C67DA2"/>
    <w:rsid w:val="00C71EDD"/>
    <w:rsid w:val="00C76D6A"/>
    <w:rsid w:val="00C905E8"/>
    <w:rsid w:val="00C91F4F"/>
    <w:rsid w:val="00C92D11"/>
    <w:rsid w:val="00C96445"/>
    <w:rsid w:val="00CA640D"/>
    <w:rsid w:val="00CC2DA6"/>
    <w:rsid w:val="00CC3F02"/>
    <w:rsid w:val="00CD068B"/>
    <w:rsid w:val="00CD25B0"/>
    <w:rsid w:val="00CD7DA0"/>
    <w:rsid w:val="00CE3F96"/>
    <w:rsid w:val="00CE4497"/>
    <w:rsid w:val="00CE4620"/>
    <w:rsid w:val="00CE46B4"/>
    <w:rsid w:val="00CF234F"/>
    <w:rsid w:val="00CF5316"/>
    <w:rsid w:val="00CF574E"/>
    <w:rsid w:val="00D01C64"/>
    <w:rsid w:val="00D204A0"/>
    <w:rsid w:val="00D21FC2"/>
    <w:rsid w:val="00D2346F"/>
    <w:rsid w:val="00D338BF"/>
    <w:rsid w:val="00D37657"/>
    <w:rsid w:val="00D43601"/>
    <w:rsid w:val="00D57E2E"/>
    <w:rsid w:val="00D87086"/>
    <w:rsid w:val="00DA1422"/>
    <w:rsid w:val="00DA198C"/>
    <w:rsid w:val="00DA6C59"/>
    <w:rsid w:val="00DB25FC"/>
    <w:rsid w:val="00DC0326"/>
    <w:rsid w:val="00DC0D07"/>
    <w:rsid w:val="00DD399A"/>
    <w:rsid w:val="00DD661B"/>
    <w:rsid w:val="00DE211C"/>
    <w:rsid w:val="00DF32A0"/>
    <w:rsid w:val="00E02027"/>
    <w:rsid w:val="00E1132B"/>
    <w:rsid w:val="00E130A1"/>
    <w:rsid w:val="00E15C58"/>
    <w:rsid w:val="00E162B9"/>
    <w:rsid w:val="00E22DE7"/>
    <w:rsid w:val="00E34EE4"/>
    <w:rsid w:val="00E42B7D"/>
    <w:rsid w:val="00E51096"/>
    <w:rsid w:val="00E5586E"/>
    <w:rsid w:val="00E602F1"/>
    <w:rsid w:val="00E67575"/>
    <w:rsid w:val="00E75696"/>
    <w:rsid w:val="00E93869"/>
    <w:rsid w:val="00E96BF4"/>
    <w:rsid w:val="00EA20B0"/>
    <w:rsid w:val="00EA235B"/>
    <w:rsid w:val="00EA7FCB"/>
    <w:rsid w:val="00EB2E59"/>
    <w:rsid w:val="00EB4439"/>
    <w:rsid w:val="00EB4D4B"/>
    <w:rsid w:val="00EB7CC9"/>
    <w:rsid w:val="00EC0191"/>
    <w:rsid w:val="00EC277E"/>
    <w:rsid w:val="00EC4833"/>
    <w:rsid w:val="00EC52B2"/>
    <w:rsid w:val="00ED524E"/>
    <w:rsid w:val="00EE16ED"/>
    <w:rsid w:val="00EE4372"/>
    <w:rsid w:val="00EE61CC"/>
    <w:rsid w:val="00EE7206"/>
    <w:rsid w:val="00EF378F"/>
    <w:rsid w:val="00EF3C79"/>
    <w:rsid w:val="00F01A9C"/>
    <w:rsid w:val="00F055F0"/>
    <w:rsid w:val="00F11342"/>
    <w:rsid w:val="00F11DFE"/>
    <w:rsid w:val="00F1450C"/>
    <w:rsid w:val="00F247D2"/>
    <w:rsid w:val="00F40552"/>
    <w:rsid w:val="00F40BD6"/>
    <w:rsid w:val="00F44139"/>
    <w:rsid w:val="00F4784F"/>
    <w:rsid w:val="00F5309C"/>
    <w:rsid w:val="00F57D56"/>
    <w:rsid w:val="00F73A3C"/>
    <w:rsid w:val="00F74319"/>
    <w:rsid w:val="00F75A0A"/>
    <w:rsid w:val="00F955B5"/>
    <w:rsid w:val="00FA2BCE"/>
    <w:rsid w:val="00FB121C"/>
    <w:rsid w:val="00FB270E"/>
    <w:rsid w:val="00FB31F8"/>
    <w:rsid w:val="00FD39E1"/>
    <w:rsid w:val="00FD6895"/>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100BDA"/>
  <w15:chartTrackingRefBased/>
  <w15:docId w15:val="{90F53F06-57E2-8945-A1C2-CDDE0494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83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iPriority w:val="9"/>
    <w:semiHidden/>
    <w:unhideWhenUsed/>
    <w:qFormat/>
    <w:rsid w:val="009E17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6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76A8"/>
    <w:rPr>
      <w:rFonts w:ascii="Times New Roman" w:hAnsi="Times New Roman" w:cs="Times New Roman"/>
      <w:sz w:val="18"/>
      <w:szCs w:val="18"/>
    </w:rPr>
  </w:style>
  <w:style w:type="paragraph" w:styleId="ListParagraph">
    <w:name w:val="List Paragraph"/>
    <w:basedOn w:val="Normal"/>
    <w:uiPriority w:val="34"/>
    <w:qFormat/>
    <w:rsid w:val="003A0465"/>
    <w:pPr>
      <w:ind w:left="720"/>
      <w:contextualSpacing/>
    </w:pPr>
  </w:style>
  <w:style w:type="paragraph" w:styleId="FootnoteText">
    <w:name w:val="footnote text"/>
    <w:basedOn w:val="Normal"/>
    <w:link w:val="FootnoteTextChar"/>
    <w:uiPriority w:val="99"/>
    <w:semiHidden/>
    <w:unhideWhenUsed/>
    <w:rsid w:val="0043689F"/>
    <w:rPr>
      <w:sz w:val="20"/>
      <w:szCs w:val="20"/>
    </w:rPr>
  </w:style>
  <w:style w:type="character" w:customStyle="1" w:styleId="FootnoteTextChar">
    <w:name w:val="Footnote Text Char"/>
    <w:basedOn w:val="DefaultParagraphFont"/>
    <w:link w:val="FootnoteText"/>
    <w:uiPriority w:val="99"/>
    <w:semiHidden/>
    <w:rsid w:val="0043689F"/>
    <w:rPr>
      <w:sz w:val="20"/>
      <w:szCs w:val="20"/>
    </w:rPr>
  </w:style>
  <w:style w:type="character" w:styleId="FootnoteReference">
    <w:name w:val="footnote reference"/>
    <w:basedOn w:val="DefaultParagraphFont"/>
    <w:uiPriority w:val="99"/>
    <w:semiHidden/>
    <w:unhideWhenUsed/>
    <w:rsid w:val="0043689F"/>
    <w:rPr>
      <w:vertAlign w:val="superscript"/>
    </w:rPr>
  </w:style>
  <w:style w:type="table" w:styleId="TableGrid">
    <w:name w:val="Table Grid"/>
    <w:basedOn w:val="TableNormal"/>
    <w:uiPriority w:val="39"/>
    <w:rsid w:val="00527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7F05"/>
    <w:pPr>
      <w:spacing w:after="200"/>
    </w:pPr>
    <w:rPr>
      <w:i/>
      <w:iCs/>
      <w:color w:val="44546A" w:themeColor="text2"/>
      <w:sz w:val="18"/>
      <w:szCs w:val="18"/>
    </w:rPr>
  </w:style>
  <w:style w:type="paragraph" w:styleId="Revision">
    <w:name w:val="Revision"/>
    <w:hidden/>
    <w:uiPriority w:val="99"/>
    <w:semiHidden/>
    <w:rsid w:val="00D43601"/>
  </w:style>
  <w:style w:type="character" w:customStyle="1" w:styleId="Heading1Char">
    <w:name w:val="Heading 1 Char"/>
    <w:basedOn w:val="DefaultParagraphFont"/>
    <w:link w:val="Heading1"/>
    <w:uiPriority w:val="9"/>
    <w:rsid w:val="005B7833"/>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5B7833"/>
  </w:style>
  <w:style w:type="character" w:customStyle="1" w:styleId="Heading2Char">
    <w:name w:val="Heading 2 Char"/>
    <w:basedOn w:val="DefaultParagraphFont"/>
    <w:link w:val="Heading2"/>
    <w:uiPriority w:val="9"/>
    <w:semiHidden/>
    <w:rsid w:val="009E1720"/>
    <w:rPr>
      <w:rFonts w:asciiTheme="majorHAnsi" w:eastAsiaTheme="majorEastAsia" w:hAnsiTheme="majorHAnsi" w:cstheme="majorBidi"/>
      <w:color w:val="2F5496" w:themeColor="accent1" w:themeShade="BF"/>
      <w:sz w:val="26"/>
      <w:szCs w:val="26"/>
    </w:rPr>
  </w:style>
  <w:style w:type="paragraph" w:customStyle="1" w:styleId="Default">
    <w:name w:val="Default"/>
    <w:rsid w:val="005116EE"/>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E96BF4"/>
    <w:pPr>
      <w:tabs>
        <w:tab w:val="center" w:pos="4680"/>
        <w:tab w:val="right" w:pos="9360"/>
      </w:tabs>
    </w:pPr>
  </w:style>
  <w:style w:type="character" w:customStyle="1" w:styleId="HeaderChar">
    <w:name w:val="Header Char"/>
    <w:basedOn w:val="DefaultParagraphFont"/>
    <w:link w:val="Header"/>
    <w:uiPriority w:val="99"/>
    <w:rsid w:val="00E96BF4"/>
  </w:style>
  <w:style w:type="paragraph" w:styleId="Footer">
    <w:name w:val="footer"/>
    <w:basedOn w:val="Normal"/>
    <w:link w:val="FooterChar"/>
    <w:uiPriority w:val="99"/>
    <w:unhideWhenUsed/>
    <w:rsid w:val="00E96BF4"/>
    <w:pPr>
      <w:tabs>
        <w:tab w:val="center" w:pos="4680"/>
        <w:tab w:val="right" w:pos="9360"/>
      </w:tabs>
    </w:pPr>
  </w:style>
  <w:style w:type="character" w:customStyle="1" w:styleId="FooterChar">
    <w:name w:val="Footer Char"/>
    <w:basedOn w:val="DefaultParagraphFont"/>
    <w:link w:val="Footer"/>
    <w:uiPriority w:val="99"/>
    <w:rsid w:val="00E96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5083">
      <w:bodyDiv w:val="1"/>
      <w:marLeft w:val="0"/>
      <w:marRight w:val="0"/>
      <w:marTop w:val="0"/>
      <w:marBottom w:val="0"/>
      <w:divBdr>
        <w:top w:val="none" w:sz="0" w:space="0" w:color="auto"/>
        <w:left w:val="none" w:sz="0" w:space="0" w:color="auto"/>
        <w:bottom w:val="none" w:sz="0" w:space="0" w:color="auto"/>
        <w:right w:val="none" w:sz="0" w:space="0" w:color="auto"/>
      </w:divBdr>
    </w:div>
    <w:div w:id="28457308">
      <w:bodyDiv w:val="1"/>
      <w:marLeft w:val="0"/>
      <w:marRight w:val="0"/>
      <w:marTop w:val="0"/>
      <w:marBottom w:val="0"/>
      <w:divBdr>
        <w:top w:val="none" w:sz="0" w:space="0" w:color="auto"/>
        <w:left w:val="none" w:sz="0" w:space="0" w:color="auto"/>
        <w:bottom w:val="none" w:sz="0" w:space="0" w:color="auto"/>
        <w:right w:val="none" w:sz="0" w:space="0" w:color="auto"/>
      </w:divBdr>
    </w:div>
    <w:div w:id="32390213">
      <w:bodyDiv w:val="1"/>
      <w:marLeft w:val="0"/>
      <w:marRight w:val="0"/>
      <w:marTop w:val="0"/>
      <w:marBottom w:val="0"/>
      <w:divBdr>
        <w:top w:val="none" w:sz="0" w:space="0" w:color="auto"/>
        <w:left w:val="none" w:sz="0" w:space="0" w:color="auto"/>
        <w:bottom w:val="none" w:sz="0" w:space="0" w:color="auto"/>
        <w:right w:val="none" w:sz="0" w:space="0" w:color="auto"/>
      </w:divBdr>
    </w:div>
    <w:div w:id="33507344">
      <w:bodyDiv w:val="1"/>
      <w:marLeft w:val="0"/>
      <w:marRight w:val="0"/>
      <w:marTop w:val="0"/>
      <w:marBottom w:val="0"/>
      <w:divBdr>
        <w:top w:val="none" w:sz="0" w:space="0" w:color="auto"/>
        <w:left w:val="none" w:sz="0" w:space="0" w:color="auto"/>
        <w:bottom w:val="none" w:sz="0" w:space="0" w:color="auto"/>
        <w:right w:val="none" w:sz="0" w:space="0" w:color="auto"/>
      </w:divBdr>
    </w:div>
    <w:div w:id="36011157">
      <w:bodyDiv w:val="1"/>
      <w:marLeft w:val="0"/>
      <w:marRight w:val="0"/>
      <w:marTop w:val="0"/>
      <w:marBottom w:val="0"/>
      <w:divBdr>
        <w:top w:val="none" w:sz="0" w:space="0" w:color="auto"/>
        <w:left w:val="none" w:sz="0" w:space="0" w:color="auto"/>
        <w:bottom w:val="none" w:sz="0" w:space="0" w:color="auto"/>
        <w:right w:val="none" w:sz="0" w:space="0" w:color="auto"/>
      </w:divBdr>
    </w:div>
    <w:div w:id="48699919">
      <w:bodyDiv w:val="1"/>
      <w:marLeft w:val="0"/>
      <w:marRight w:val="0"/>
      <w:marTop w:val="0"/>
      <w:marBottom w:val="0"/>
      <w:divBdr>
        <w:top w:val="none" w:sz="0" w:space="0" w:color="auto"/>
        <w:left w:val="none" w:sz="0" w:space="0" w:color="auto"/>
        <w:bottom w:val="none" w:sz="0" w:space="0" w:color="auto"/>
        <w:right w:val="none" w:sz="0" w:space="0" w:color="auto"/>
      </w:divBdr>
    </w:div>
    <w:div w:id="100341756">
      <w:bodyDiv w:val="1"/>
      <w:marLeft w:val="0"/>
      <w:marRight w:val="0"/>
      <w:marTop w:val="0"/>
      <w:marBottom w:val="0"/>
      <w:divBdr>
        <w:top w:val="none" w:sz="0" w:space="0" w:color="auto"/>
        <w:left w:val="none" w:sz="0" w:space="0" w:color="auto"/>
        <w:bottom w:val="none" w:sz="0" w:space="0" w:color="auto"/>
        <w:right w:val="none" w:sz="0" w:space="0" w:color="auto"/>
      </w:divBdr>
    </w:div>
    <w:div w:id="101153871">
      <w:bodyDiv w:val="1"/>
      <w:marLeft w:val="0"/>
      <w:marRight w:val="0"/>
      <w:marTop w:val="0"/>
      <w:marBottom w:val="0"/>
      <w:divBdr>
        <w:top w:val="none" w:sz="0" w:space="0" w:color="auto"/>
        <w:left w:val="none" w:sz="0" w:space="0" w:color="auto"/>
        <w:bottom w:val="none" w:sz="0" w:space="0" w:color="auto"/>
        <w:right w:val="none" w:sz="0" w:space="0" w:color="auto"/>
      </w:divBdr>
    </w:div>
    <w:div w:id="123305898">
      <w:bodyDiv w:val="1"/>
      <w:marLeft w:val="0"/>
      <w:marRight w:val="0"/>
      <w:marTop w:val="0"/>
      <w:marBottom w:val="0"/>
      <w:divBdr>
        <w:top w:val="none" w:sz="0" w:space="0" w:color="auto"/>
        <w:left w:val="none" w:sz="0" w:space="0" w:color="auto"/>
        <w:bottom w:val="none" w:sz="0" w:space="0" w:color="auto"/>
        <w:right w:val="none" w:sz="0" w:space="0" w:color="auto"/>
      </w:divBdr>
    </w:div>
    <w:div w:id="124155040">
      <w:bodyDiv w:val="1"/>
      <w:marLeft w:val="0"/>
      <w:marRight w:val="0"/>
      <w:marTop w:val="0"/>
      <w:marBottom w:val="0"/>
      <w:divBdr>
        <w:top w:val="none" w:sz="0" w:space="0" w:color="auto"/>
        <w:left w:val="none" w:sz="0" w:space="0" w:color="auto"/>
        <w:bottom w:val="none" w:sz="0" w:space="0" w:color="auto"/>
        <w:right w:val="none" w:sz="0" w:space="0" w:color="auto"/>
      </w:divBdr>
    </w:div>
    <w:div w:id="134878063">
      <w:bodyDiv w:val="1"/>
      <w:marLeft w:val="0"/>
      <w:marRight w:val="0"/>
      <w:marTop w:val="0"/>
      <w:marBottom w:val="0"/>
      <w:divBdr>
        <w:top w:val="none" w:sz="0" w:space="0" w:color="auto"/>
        <w:left w:val="none" w:sz="0" w:space="0" w:color="auto"/>
        <w:bottom w:val="none" w:sz="0" w:space="0" w:color="auto"/>
        <w:right w:val="none" w:sz="0" w:space="0" w:color="auto"/>
      </w:divBdr>
    </w:div>
    <w:div w:id="136923082">
      <w:bodyDiv w:val="1"/>
      <w:marLeft w:val="0"/>
      <w:marRight w:val="0"/>
      <w:marTop w:val="0"/>
      <w:marBottom w:val="0"/>
      <w:divBdr>
        <w:top w:val="none" w:sz="0" w:space="0" w:color="auto"/>
        <w:left w:val="none" w:sz="0" w:space="0" w:color="auto"/>
        <w:bottom w:val="none" w:sz="0" w:space="0" w:color="auto"/>
        <w:right w:val="none" w:sz="0" w:space="0" w:color="auto"/>
      </w:divBdr>
    </w:div>
    <w:div w:id="151221110">
      <w:bodyDiv w:val="1"/>
      <w:marLeft w:val="0"/>
      <w:marRight w:val="0"/>
      <w:marTop w:val="0"/>
      <w:marBottom w:val="0"/>
      <w:divBdr>
        <w:top w:val="none" w:sz="0" w:space="0" w:color="auto"/>
        <w:left w:val="none" w:sz="0" w:space="0" w:color="auto"/>
        <w:bottom w:val="none" w:sz="0" w:space="0" w:color="auto"/>
        <w:right w:val="none" w:sz="0" w:space="0" w:color="auto"/>
      </w:divBdr>
    </w:div>
    <w:div w:id="158424997">
      <w:bodyDiv w:val="1"/>
      <w:marLeft w:val="0"/>
      <w:marRight w:val="0"/>
      <w:marTop w:val="0"/>
      <w:marBottom w:val="0"/>
      <w:divBdr>
        <w:top w:val="none" w:sz="0" w:space="0" w:color="auto"/>
        <w:left w:val="none" w:sz="0" w:space="0" w:color="auto"/>
        <w:bottom w:val="none" w:sz="0" w:space="0" w:color="auto"/>
        <w:right w:val="none" w:sz="0" w:space="0" w:color="auto"/>
      </w:divBdr>
    </w:div>
    <w:div w:id="165097735">
      <w:bodyDiv w:val="1"/>
      <w:marLeft w:val="0"/>
      <w:marRight w:val="0"/>
      <w:marTop w:val="0"/>
      <w:marBottom w:val="0"/>
      <w:divBdr>
        <w:top w:val="none" w:sz="0" w:space="0" w:color="auto"/>
        <w:left w:val="none" w:sz="0" w:space="0" w:color="auto"/>
        <w:bottom w:val="none" w:sz="0" w:space="0" w:color="auto"/>
        <w:right w:val="none" w:sz="0" w:space="0" w:color="auto"/>
      </w:divBdr>
    </w:div>
    <w:div w:id="172457331">
      <w:bodyDiv w:val="1"/>
      <w:marLeft w:val="0"/>
      <w:marRight w:val="0"/>
      <w:marTop w:val="0"/>
      <w:marBottom w:val="0"/>
      <w:divBdr>
        <w:top w:val="none" w:sz="0" w:space="0" w:color="auto"/>
        <w:left w:val="none" w:sz="0" w:space="0" w:color="auto"/>
        <w:bottom w:val="none" w:sz="0" w:space="0" w:color="auto"/>
        <w:right w:val="none" w:sz="0" w:space="0" w:color="auto"/>
      </w:divBdr>
    </w:div>
    <w:div w:id="183179679">
      <w:bodyDiv w:val="1"/>
      <w:marLeft w:val="0"/>
      <w:marRight w:val="0"/>
      <w:marTop w:val="0"/>
      <w:marBottom w:val="0"/>
      <w:divBdr>
        <w:top w:val="none" w:sz="0" w:space="0" w:color="auto"/>
        <w:left w:val="none" w:sz="0" w:space="0" w:color="auto"/>
        <w:bottom w:val="none" w:sz="0" w:space="0" w:color="auto"/>
        <w:right w:val="none" w:sz="0" w:space="0" w:color="auto"/>
      </w:divBdr>
    </w:div>
    <w:div w:id="187303331">
      <w:bodyDiv w:val="1"/>
      <w:marLeft w:val="0"/>
      <w:marRight w:val="0"/>
      <w:marTop w:val="0"/>
      <w:marBottom w:val="0"/>
      <w:divBdr>
        <w:top w:val="none" w:sz="0" w:space="0" w:color="auto"/>
        <w:left w:val="none" w:sz="0" w:space="0" w:color="auto"/>
        <w:bottom w:val="none" w:sz="0" w:space="0" w:color="auto"/>
        <w:right w:val="none" w:sz="0" w:space="0" w:color="auto"/>
      </w:divBdr>
    </w:div>
    <w:div w:id="188688790">
      <w:bodyDiv w:val="1"/>
      <w:marLeft w:val="0"/>
      <w:marRight w:val="0"/>
      <w:marTop w:val="0"/>
      <w:marBottom w:val="0"/>
      <w:divBdr>
        <w:top w:val="none" w:sz="0" w:space="0" w:color="auto"/>
        <w:left w:val="none" w:sz="0" w:space="0" w:color="auto"/>
        <w:bottom w:val="none" w:sz="0" w:space="0" w:color="auto"/>
        <w:right w:val="none" w:sz="0" w:space="0" w:color="auto"/>
      </w:divBdr>
    </w:div>
    <w:div w:id="226192616">
      <w:bodyDiv w:val="1"/>
      <w:marLeft w:val="0"/>
      <w:marRight w:val="0"/>
      <w:marTop w:val="0"/>
      <w:marBottom w:val="0"/>
      <w:divBdr>
        <w:top w:val="none" w:sz="0" w:space="0" w:color="auto"/>
        <w:left w:val="none" w:sz="0" w:space="0" w:color="auto"/>
        <w:bottom w:val="none" w:sz="0" w:space="0" w:color="auto"/>
        <w:right w:val="none" w:sz="0" w:space="0" w:color="auto"/>
      </w:divBdr>
    </w:div>
    <w:div w:id="242185379">
      <w:bodyDiv w:val="1"/>
      <w:marLeft w:val="0"/>
      <w:marRight w:val="0"/>
      <w:marTop w:val="0"/>
      <w:marBottom w:val="0"/>
      <w:divBdr>
        <w:top w:val="none" w:sz="0" w:space="0" w:color="auto"/>
        <w:left w:val="none" w:sz="0" w:space="0" w:color="auto"/>
        <w:bottom w:val="none" w:sz="0" w:space="0" w:color="auto"/>
        <w:right w:val="none" w:sz="0" w:space="0" w:color="auto"/>
      </w:divBdr>
    </w:div>
    <w:div w:id="248151062">
      <w:bodyDiv w:val="1"/>
      <w:marLeft w:val="0"/>
      <w:marRight w:val="0"/>
      <w:marTop w:val="0"/>
      <w:marBottom w:val="0"/>
      <w:divBdr>
        <w:top w:val="none" w:sz="0" w:space="0" w:color="auto"/>
        <w:left w:val="none" w:sz="0" w:space="0" w:color="auto"/>
        <w:bottom w:val="none" w:sz="0" w:space="0" w:color="auto"/>
        <w:right w:val="none" w:sz="0" w:space="0" w:color="auto"/>
      </w:divBdr>
    </w:div>
    <w:div w:id="259264709">
      <w:bodyDiv w:val="1"/>
      <w:marLeft w:val="0"/>
      <w:marRight w:val="0"/>
      <w:marTop w:val="0"/>
      <w:marBottom w:val="0"/>
      <w:divBdr>
        <w:top w:val="none" w:sz="0" w:space="0" w:color="auto"/>
        <w:left w:val="none" w:sz="0" w:space="0" w:color="auto"/>
        <w:bottom w:val="none" w:sz="0" w:space="0" w:color="auto"/>
        <w:right w:val="none" w:sz="0" w:space="0" w:color="auto"/>
      </w:divBdr>
    </w:div>
    <w:div w:id="263264742">
      <w:bodyDiv w:val="1"/>
      <w:marLeft w:val="0"/>
      <w:marRight w:val="0"/>
      <w:marTop w:val="0"/>
      <w:marBottom w:val="0"/>
      <w:divBdr>
        <w:top w:val="none" w:sz="0" w:space="0" w:color="auto"/>
        <w:left w:val="none" w:sz="0" w:space="0" w:color="auto"/>
        <w:bottom w:val="none" w:sz="0" w:space="0" w:color="auto"/>
        <w:right w:val="none" w:sz="0" w:space="0" w:color="auto"/>
      </w:divBdr>
    </w:div>
    <w:div w:id="264271668">
      <w:bodyDiv w:val="1"/>
      <w:marLeft w:val="0"/>
      <w:marRight w:val="0"/>
      <w:marTop w:val="0"/>
      <w:marBottom w:val="0"/>
      <w:divBdr>
        <w:top w:val="none" w:sz="0" w:space="0" w:color="auto"/>
        <w:left w:val="none" w:sz="0" w:space="0" w:color="auto"/>
        <w:bottom w:val="none" w:sz="0" w:space="0" w:color="auto"/>
        <w:right w:val="none" w:sz="0" w:space="0" w:color="auto"/>
      </w:divBdr>
    </w:div>
    <w:div w:id="265961477">
      <w:bodyDiv w:val="1"/>
      <w:marLeft w:val="0"/>
      <w:marRight w:val="0"/>
      <w:marTop w:val="0"/>
      <w:marBottom w:val="0"/>
      <w:divBdr>
        <w:top w:val="none" w:sz="0" w:space="0" w:color="auto"/>
        <w:left w:val="none" w:sz="0" w:space="0" w:color="auto"/>
        <w:bottom w:val="none" w:sz="0" w:space="0" w:color="auto"/>
        <w:right w:val="none" w:sz="0" w:space="0" w:color="auto"/>
      </w:divBdr>
    </w:div>
    <w:div w:id="266545385">
      <w:bodyDiv w:val="1"/>
      <w:marLeft w:val="0"/>
      <w:marRight w:val="0"/>
      <w:marTop w:val="0"/>
      <w:marBottom w:val="0"/>
      <w:divBdr>
        <w:top w:val="none" w:sz="0" w:space="0" w:color="auto"/>
        <w:left w:val="none" w:sz="0" w:space="0" w:color="auto"/>
        <w:bottom w:val="none" w:sz="0" w:space="0" w:color="auto"/>
        <w:right w:val="none" w:sz="0" w:space="0" w:color="auto"/>
      </w:divBdr>
    </w:div>
    <w:div w:id="293872697">
      <w:bodyDiv w:val="1"/>
      <w:marLeft w:val="0"/>
      <w:marRight w:val="0"/>
      <w:marTop w:val="0"/>
      <w:marBottom w:val="0"/>
      <w:divBdr>
        <w:top w:val="none" w:sz="0" w:space="0" w:color="auto"/>
        <w:left w:val="none" w:sz="0" w:space="0" w:color="auto"/>
        <w:bottom w:val="none" w:sz="0" w:space="0" w:color="auto"/>
        <w:right w:val="none" w:sz="0" w:space="0" w:color="auto"/>
      </w:divBdr>
    </w:div>
    <w:div w:id="300306604">
      <w:bodyDiv w:val="1"/>
      <w:marLeft w:val="0"/>
      <w:marRight w:val="0"/>
      <w:marTop w:val="0"/>
      <w:marBottom w:val="0"/>
      <w:divBdr>
        <w:top w:val="none" w:sz="0" w:space="0" w:color="auto"/>
        <w:left w:val="none" w:sz="0" w:space="0" w:color="auto"/>
        <w:bottom w:val="none" w:sz="0" w:space="0" w:color="auto"/>
        <w:right w:val="none" w:sz="0" w:space="0" w:color="auto"/>
      </w:divBdr>
    </w:div>
    <w:div w:id="310410990">
      <w:bodyDiv w:val="1"/>
      <w:marLeft w:val="0"/>
      <w:marRight w:val="0"/>
      <w:marTop w:val="0"/>
      <w:marBottom w:val="0"/>
      <w:divBdr>
        <w:top w:val="none" w:sz="0" w:space="0" w:color="auto"/>
        <w:left w:val="none" w:sz="0" w:space="0" w:color="auto"/>
        <w:bottom w:val="none" w:sz="0" w:space="0" w:color="auto"/>
        <w:right w:val="none" w:sz="0" w:space="0" w:color="auto"/>
      </w:divBdr>
    </w:div>
    <w:div w:id="327633835">
      <w:bodyDiv w:val="1"/>
      <w:marLeft w:val="0"/>
      <w:marRight w:val="0"/>
      <w:marTop w:val="0"/>
      <w:marBottom w:val="0"/>
      <w:divBdr>
        <w:top w:val="none" w:sz="0" w:space="0" w:color="auto"/>
        <w:left w:val="none" w:sz="0" w:space="0" w:color="auto"/>
        <w:bottom w:val="none" w:sz="0" w:space="0" w:color="auto"/>
        <w:right w:val="none" w:sz="0" w:space="0" w:color="auto"/>
      </w:divBdr>
    </w:div>
    <w:div w:id="330068467">
      <w:bodyDiv w:val="1"/>
      <w:marLeft w:val="0"/>
      <w:marRight w:val="0"/>
      <w:marTop w:val="0"/>
      <w:marBottom w:val="0"/>
      <w:divBdr>
        <w:top w:val="none" w:sz="0" w:space="0" w:color="auto"/>
        <w:left w:val="none" w:sz="0" w:space="0" w:color="auto"/>
        <w:bottom w:val="none" w:sz="0" w:space="0" w:color="auto"/>
        <w:right w:val="none" w:sz="0" w:space="0" w:color="auto"/>
      </w:divBdr>
    </w:div>
    <w:div w:id="355691808">
      <w:bodyDiv w:val="1"/>
      <w:marLeft w:val="0"/>
      <w:marRight w:val="0"/>
      <w:marTop w:val="0"/>
      <w:marBottom w:val="0"/>
      <w:divBdr>
        <w:top w:val="none" w:sz="0" w:space="0" w:color="auto"/>
        <w:left w:val="none" w:sz="0" w:space="0" w:color="auto"/>
        <w:bottom w:val="none" w:sz="0" w:space="0" w:color="auto"/>
        <w:right w:val="none" w:sz="0" w:space="0" w:color="auto"/>
      </w:divBdr>
    </w:div>
    <w:div w:id="357580698">
      <w:bodyDiv w:val="1"/>
      <w:marLeft w:val="0"/>
      <w:marRight w:val="0"/>
      <w:marTop w:val="0"/>
      <w:marBottom w:val="0"/>
      <w:divBdr>
        <w:top w:val="none" w:sz="0" w:space="0" w:color="auto"/>
        <w:left w:val="none" w:sz="0" w:space="0" w:color="auto"/>
        <w:bottom w:val="none" w:sz="0" w:space="0" w:color="auto"/>
        <w:right w:val="none" w:sz="0" w:space="0" w:color="auto"/>
      </w:divBdr>
    </w:div>
    <w:div w:id="361394689">
      <w:bodyDiv w:val="1"/>
      <w:marLeft w:val="0"/>
      <w:marRight w:val="0"/>
      <w:marTop w:val="0"/>
      <w:marBottom w:val="0"/>
      <w:divBdr>
        <w:top w:val="none" w:sz="0" w:space="0" w:color="auto"/>
        <w:left w:val="none" w:sz="0" w:space="0" w:color="auto"/>
        <w:bottom w:val="none" w:sz="0" w:space="0" w:color="auto"/>
        <w:right w:val="none" w:sz="0" w:space="0" w:color="auto"/>
      </w:divBdr>
    </w:div>
    <w:div w:id="362756754">
      <w:bodyDiv w:val="1"/>
      <w:marLeft w:val="0"/>
      <w:marRight w:val="0"/>
      <w:marTop w:val="0"/>
      <w:marBottom w:val="0"/>
      <w:divBdr>
        <w:top w:val="none" w:sz="0" w:space="0" w:color="auto"/>
        <w:left w:val="none" w:sz="0" w:space="0" w:color="auto"/>
        <w:bottom w:val="none" w:sz="0" w:space="0" w:color="auto"/>
        <w:right w:val="none" w:sz="0" w:space="0" w:color="auto"/>
      </w:divBdr>
    </w:div>
    <w:div w:id="374083264">
      <w:bodyDiv w:val="1"/>
      <w:marLeft w:val="0"/>
      <w:marRight w:val="0"/>
      <w:marTop w:val="0"/>
      <w:marBottom w:val="0"/>
      <w:divBdr>
        <w:top w:val="none" w:sz="0" w:space="0" w:color="auto"/>
        <w:left w:val="none" w:sz="0" w:space="0" w:color="auto"/>
        <w:bottom w:val="none" w:sz="0" w:space="0" w:color="auto"/>
        <w:right w:val="none" w:sz="0" w:space="0" w:color="auto"/>
      </w:divBdr>
    </w:div>
    <w:div w:id="375085509">
      <w:bodyDiv w:val="1"/>
      <w:marLeft w:val="0"/>
      <w:marRight w:val="0"/>
      <w:marTop w:val="0"/>
      <w:marBottom w:val="0"/>
      <w:divBdr>
        <w:top w:val="none" w:sz="0" w:space="0" w:color="auto"/>
        <w:left w:val="none" w:sz="0" w:space="0" w:color="auto"/>
        <w:bottom w:val="none" w:sz="0" w:space="0" w:color="auto"/>
        <w:right w:val="none" w:sz="0" w:space="0" w:color="auto"/>
      </w:divBdr>
    </w:div>
    <w:div w:id="444078916">
      <w:bodyDiv w:val="1"/>
      <w:marLeft w:val="0"/>
      <w:marRight w:val="0"/>
      <w:marTop w:val="0"/>
      <w:marBottom w:val="0"/>
      <w:divBdr>
        <w:top w:val="none" w:sz="0" w:space="0" w:color="auto"/>
        <w:left w:val="none" w:sz="0" w:space="0" w:color="auto"/>
        <w:bottom w:val="none" w:sz="0" w:space="0" w:color="auto"/>
        <w:right w:val="none" w:sz="0" w:space="0" w:color="auto"/>
      </w:divBdr>
    </w:div>
    <w:div w:id="451703757">
      <w:bodyDiv w:val="1"/>
      <w:marLeft w:val="0"/>
      <w:marRight w:val="0"/>
      <w:marTop w:val="0"/>
      <w:marBottom w:val="0"/>
      <w:divBdr>
        <w:top w:val="none" w:sz="0" w:space="0" w:color="auto"/>
        <w:left w:val="none" w:sz="0" w:space="0" w:color="auto"/>
        <w:bottom w:val="none" w:sz="0" w:space="0" w:color="auto"/>
        <w:right w:val="none" w:sz="0" w:space="0" w:color="auto"/>
      </w:divBdr>
    </w:div>
    <w:div w:id="479537554">
      <w:bodyDiv w:val="1"/>
      <w:marLeft w:val="0"/>
      <w:marRight w:val="0"/>
      <w:marTop w:val="0"/>
      <w:marBottom w:val="0"/>
      <w:divBdr>
        <w:top w:val="none" w:sz="0" w:space="0" w:color="auto"/>
        <w:left w:val="none" w:sz="0" w:space="0" w:color="auto"/>
        <w:bottom w:val="none" w:sz="0" w:space="0" w:color="auto"/>
        <w:right w:val="none" w:sz="0" w:space="0" w:color="auto"/>
      </w:divBdr>
    </w:div>
    <w:div w:id="481194879">
      <w:bodyDiv w:val="1"/>
      <w:marLeft w:val="0"/>
      <w:marRight w:val="0"/>
      <w:marTop w:val="0"/>
      <w:marBottom w:val="0"/>
      <w:divBdr>
        <w:top w:val="none" w:sz="0" w:space="0" w:color="auto"/>
        <w:left w:val="none" w:sz="0" w:space="0" w:color="auto"/>
        <w:bottom w:val="none" w:sz="0" w:space="0" w:color="auto"/>
        <w:right w:val="none" w:sz="0" w:space="0" w:color="auto"/>
      </w:divBdr>
    </w:div>
    <w:div w:id="494034431">
      <w:bodyDiv w:val="1"/>
      <w:marLeft w:val="0"/>
      <w:marRight w:val="0"/>
      <w:marTop w:val="0"/>
      <w:marBottom w:val="0"/>
      <w:divBdr>
        <w:top w:val="none" w:sz="0" w:space="0" w:color="auto"/>
        <w:left w:val="none" w:sz="0" w:space="0" w:color="auto"/>
        <w:bottom w:val="none" w:sz="0" w:space="0" w:color="auto"/>
        <w:right w:val="none" w:sz="0" w:space="0" w:color="auto"/>
      </w:divBdr>
    </w:div>
    <w:div w:id="494806122">
      <w:bodyDiv w:val="1"/>
      <w:marLeft w:val="0"/>
      <w:marRight w:val="0"/>
      <w:marTop w:val="0"/>
      <w:marBottom w:val="0"/>
      <w:divBdr>
        <w:top w:val="none" w:sz="0" w:space="0" w:color="auto"/>
        <w:left w:val="none" w:sz="0" w:space="0" w:color="auto"/>
        <w:bottom w:val="none" w:sz="0" w:space="0" w:color="auto"/>
        <w:right w:val="none" w:sz="0" w:space="0" w:color="auto"/>
      </w:divBdr>
    </w:div>
    <w:div w:id="495414593">
      <w:bodyDiv w:val="1"/>
      <w:marLeft w:val="0"/>
      <w:marRight w:val="0"/>
      <w:marTop w:val="0"/>
      <w:marBottom w:val="0"/>
      <w:divBdr>
        <w:top w:val="none" w:sz="0" w:space="0" w:color="auto"/>
        <w:left w:val="none" w:sz="0" w:space="0" w:color="auto"/>
        <w:bottom w:val="none" w:sz="0" w:space="0" w:color="auto"/>
        <w:right w:val="none" w:sz="0" w:space="0" w:color="auto"/>
      </w:divBdr>
    </w:div>
    <w:div w:id="511533568">
      <w:bodyDiv w:val="1"/>
      <w:marLeft w:val="0"/>
      <w:marRight w:val="0"/>
      <w:marTop w:val="0"/>
      <w:marBottom w:val="0"/>
      <w:divBdr>
        <w:top w:val="none" w:sz="0" w:space="0" w:color="auto"/>
        <w:left w:val="none" w:sz="0" w:space="0" w:color="auto"/>
        <w:bottom w:val="none" w:sz="0" w:space="0" w:color="auto"/>
        <w:right w:val="none" w:sz="0" w:space="0" w:color="auto"/>
      </w:divBdr>
    </w:div>
    <w:div w:id="525677283">
      <w:bodyDiv w:val="1"/>
      <w:marLeft w:val="0"/>
      <w:marRight w:val="0"/>
      <w:marTop w:val="0"/>
      <w:marBottom w:val="0"/>
      <w:divBdr>
        <w:top w:val="none" w:sz="0" w:space="0" w:color="auto"/>
        <w:left w:val="none" w:sz="0" w:space="0" w:color="auto"/>
        <w:bottom w:val="none" w:sz="0" w:space="0" w:color="auto"/>
        <w:right w:val="none" w:sz="0" w:space="0" w:color="auto"/>
      </w:divBdr>
    </w:div>
    <w:div w:id="525943203">
      <w:bodyDiv w:val="1"/>
      <w:marLeft w:val="0"/>
      <w:marRight w:val="0"/>
      <w:marTop w:val="0"/>
      <w:marBottom w:val="0"/>
      <w:divBdr>
        <w:top w:val="none" w:sz="0" w:space="0" w:color="auto"/>
        <w:left w:val="none" w:sz="0" w:space="0" w:color="auto"/>
        <w:bottom w:val="none" w:sz="0" w:space="0" w:color="auto"/>
        <w:right w:val="none" w:sz="0" w:space="0" w:color="auto"/>
      </w:divBdr>
    </w:div>
    <w:div w:id="526798025">
      <w:bodyDiv w:val="1"/>
      <w:marLeft w:val="0"/>
      <w:marRight w:val="0"/>
      <w:marTop w:val="0"/>
      <w:marBottom w:val="0"/>
      <w:divBdr>
        <w:top w:val="none" w:sz="0" w:space="0" w:color="auto"/>
        <w:left w:val="none" w:sz="0" w:space="0" w:color="auto"/>
        <w:bottom w:val="none" w:sz="0" w:space="0" w:color="auto"/>
        <w:right w:val="none" w:sz="0" w:space="0" w:color="auto"/>
      </w:divBdr>
    </w:div>
    <w:div w:id="540678345">
      <w:bodyDiv w:val="1"/>
      <w:marLeft w:val="0"/>
      <w:marRight w:val="0"/>
      <w:marTop w:val="0"/>
      <w:marBottom w:val="0"/>
      <w:divBdr>
        <w:top w:val="none" w:sz="0" w:space="0" w:color="auto"/>
        <w:left w:val="none" w:sz="0" w:space="0" w:color="auto"/>
        <w:bottom w:val="none" w:sz="0" w:space="0" w:color="auto"/>
        <w:right w:val="none" w:sz="0" w:space="0" w:color="auto"/>
      </w:divBdr>
    </w:div>
    <w:div w:id="572156812">
      <w:bodyDiv w:val="1"/>
      <w:marLeft w:val="0"/>
      <w:marRight w:val="0"/>
      <w:marTop w:val="0"/>
      <w:marBottom w:val="0"/>
      <w:divBdr>
        <w:top w:val="none" w:sz="0" w:space="0" w:color="auto"/>
        <w:left w:val="none" w:sz="0" w:space="0" w:color="auto"/>
        <w:bottom w:val="none" w:sz="0" w:space="0" w:color="auto"/>
        <w:right w:val="none" w:sz="0" w:space="0" w:color="auto"/>
      </w:divBdr>
    </w:div>
    <w:div w:id="573275509">
      <w:bodyDiv w:val="1"/>
      <w:marLeft w:val="0"/>
      <w:marRight w:val="0"/>
      <w:marTop w:val="0"/>
      <w:marBottom w:val="0"/>
      <w:divBdr>
        <w:top w:val="none" w:sz="0" w:space="0" w:color="auto"/>
        <w:left w:val="none" w:sz="0" w:space="0" w:color="auto"/>
        <w:bottom w:val="none" w:sz="0" w:space="0" w:color="auto"/>
        <w:right w:val="none" w:sz="0" w:space="0" w:color="auto"/>
      </w:divBdr>
    </w:div>
    <w:div w:id="603655592">
      <w:bodyDiv w:val="1"/>
      <w:marLeft w:val="0"/>
      <w:marRight w:val="0"/>
      <w:marTop w:val="0"/>
      <w:marBottom w:val="0"/>
      <w:divBdr>
        <w:top w:val="none" w:sz="0" w:space="0" w:color="auto"/>
        <w:left w:val="none" w:sz="0" w:space="0" w:color="auto"/>
        <w:bottom w:val="none" w:sz="0" w:space="0" w:color="auto"/>
        <w:right w:val="none" w:sz="0" w:space="0" w:color="auto"/>
      </w:divBdr>
    </w:div>
    <w:div w:id="604462112">
      <w:bodyDiv w:val="1"/>
      <w:marLeft w:val="0"/>
      <w:marRight w:val="0"/>
      <w:marTop w:val="0"/>
      <w:marBottom w:val="0"/>
      <w:divBdr>
        <w:top w:val="none" w:sz="0" w:space="0" w:color="auto"/>
        <w:left w:val="none" w:sz="0" w:space="0" w:color="auto"/>
        <w:bottom w:val="none" w:sz="0" w:space="0" w:color="auto"/>
        <w:right w:val="none" w:sz="0" w:space="0" w:color="auto"/>
      </w:divBdr>
    </w:div>
    <w:div w:id="605498680">
      <w:bodyDiv w:val="1"/>
      <w:marLeft w:val="0"/>
      <w:marRight w:val="0"/>
      <w:marTop w:val="0"/>
      <w:marBottom w:val="0"/>
      <w:divBdr>
        <w:top w:val="none" w:sz="0" w:space="0" w:color="auto"/>
        <w:left w:val="none" w:sz="0" w:space="0" w:color="auto"/>
        <w:bottom w:val="none" w:sz="0" w:space="0" w:color="auto"/>
        <w:right w:val="none" w:sz="0" w:space="0" w:color="auto"/>
      </w:divBdr>
    </w:div>
    <w:div w:id="605769806">
      <w:bodyDiv w:val="1"/>
      <w:marLeft w:val="0"/>
      <w:marRight w:val="0"/>
      <w:marTop w:val="0"/>
      <w:marBottom w:val="0"/>
      <w:divBdr>
        <w:top w:val="none" w:sz="0" w:space="0" w:color="auto"/>
        <w:left w:val="none" w:sz="0" w:space="0" w:color="auto"/>
        <w:bottom w:val="none" w:sz="0" w:space="0" w:color="auto"/>
        <w:right w:val="none" w:sz="0" w:space="0" w:color="auto"/>
      </w:divBdr>
    </w:div>
    <w:div w:id="608467329">
      <w:bodyDiv w:val="1"/>
      <w:marLeft w:val="0"/>
      <w:marRight w:val="0"/>
      <w:marTop w:val="0"/>
      <w:marBottom w:val="0"/>
      <w:divBdr>
        <w:top w:val="none" w:sz="0" w:space="0" w:color="auto"/>
        <w:left w:val="none" w:sz="0" w:space="0" w:color="auto"/>
        <w:bottom w:val="none" w:sz="0" w:space="0" w:color="auto"/>
        <w:right w:val="none" w:sz="0" w:space="0" w:color="auto"/>
      </w:divBdr>
    </w:div>
    <w:div w:id="649099570">
      <w:bodyDiv w:val="1"/>
      <w:marLeft w:val="0"/>
      <w:marRight w:val="0"/>
      <w:marTop w:val="0"/>
      <w:marBottom w:val="0"/>
      <w:divBdr>
        <w:top w:val="none" w:sz="0" w:space="0" w:color="auto"/>
        <w:left w:val="none" w:sz="0" w:space="0" w:color="auto"/>
        <w:bottom w:val="none" w:sz="0" w:space="0" w:color="auto"/>
        <w:right w:val="none" w:sz="0" w:space="0" w:color="auto"/>
      </w:divBdr>
    </w:div>
    <w:div w:id="662928553">
      <w:bodyDiv w:val="1"/>
      <w:marLeft w:val="0"/>
      <w:marRight w:val="0"/>
      <w:marTop w:val="0"/>
      <w:marBottom w:val="0"/>
      <w:divBdr>
        <w:top w:val="none" w:sz="0" w:space="0" w:color="auto"/>
        <w:left w:val="none" w:sz="0" w:space="0" w:color="auto"/>
        <w:bottom w:val="none" w:sz="0" w:space="0" w:color="auto"/>
        <w:right w:val="none" w:sz="0" w:space="0" w:color="auto"/>
      </w:divBdr>
    </w:div>
    <w:div w:id="666980959">
      <w:bodyDiv w:val="1"/>
      <w:marLeft w:val="0"/>
      <w:marRight w:val="0"/>
      <w:marTop w:val="0"/>
      <w:marBottom w:val="0"/>
      <w:divBdr>
        <w:top w:val="none" w:sz="0" w:space="0" w:color="auto"/>
        <w:left w:val="none" w:sz="0" w:space="0" w:color="auto"/>
        <w:bottom w:val="none" w:sz="0" w:space="0" w:color="auto"/>
        <w:right w:val="none" w:sz="0" w:space="0" w:color="auto"/>
      </w:divBdr>
    </w:div>
    <w:div w:id="681204496">
      <w:bodyDiv w:val="1"/>
      <w:marLeft w:val="0"/>
      <w:marRight w:val="0"/>
      <w:marTop w:val="0"/>
      <w:marBottom w:val="0"/>
      <w:divBdr>
        <w:top w:val="none" w:sz="0" w:space="0" w:color="auto"/>
        <w:left w:val="none" w:sz="0" w:space="0" w:color="auto"/>
        <w:bottom w:val="none" w:sz="0" w:space="0" w:color="auto"/>
        <w:right w:val="none" w:sz="0" w:space="0" w:color="auto"/>
      </w:divBdr>
    </w:div>
    <w:div w:id="695813247">
      <w:bodyDiv w:val="1"/>
      <w:marLeft w:val="0"/>
      <w:marRight w:val="0"/>
      <w:marTop w:val="0"/>
      <w:marBottom w:val="0"/>
      <w:divBdr>
        <w:top w:val="none" w:sz="0" w:space="0" w:color="auto"/>
        <w:left w:val="none" w:sz="0" w:space="0" w:color="auto"/>
        <w:bottom w:val="none" w:sz="0" w:space="0" w:color="auto"/>
        <w:right w:val="none" w:sz="0" w:space="0" w:color="auto"/>
      </w:divBdr>
    </w:div>
    <w:div w:id="696854292">
      <w:bodyDiv w:val="1"/>
      <w:marLeft w:val="0"/>
      <w:marRight w:val="0"/>
      <w:marTop w:val="0"/>
      <w:marBottom w:val="0"/>
      <w:divBdr>
        <w:top w:val="none" w:sz="0" w:space="0" w:color="auto"/>
        <w:left w:val="none" w:sz="0" w:space="0" w:color="auto"/>
        <w:bottom w:val="none" w:sz="0" w:space="0" w:color="auto"/>
        <w:right w:val="none" w:sz="0" w:space="0" w:color="auto"/>
      </w:divBdr>
    </w:div>
    <w:div w:id="701366507">
      <w:bodyDiv w:val="1"/>
      <w:marLeft w:val="0"/>
      <w:marRight w:val="0"/>
      <w:marTop w:val="0"/>
      <w:marBottom w:val="0"/>
      <w:divBdr>
        <w:top w:val="none" w:sz="0" w:space="0" w:color="auto"/>
        <w:left w:val="none" w:sz="0" w:space="0" w:color="auto"/>
        <w:bottom w:val="none" w:sz="0" w:space="0" w:color="auto"/>
        <w:right w:val="none" w:sz="0" w:space="0" w:color="auto"/>
      </w:divBdr>
    </w:div>
    <w:div w:id="702023599">
      <w:bodyDiv w:val="1"/>
      <w:marLeft w:val="0"/>
      <w:marRight w:val="0"/>
      <w:marTop w:val="0"/>
      <w:marBottom w:val="0"/>
      <w:divBdr>
        <w:top w:val="none" w:sz="0" w:space="0" w:color="auto"/>
        <w:left w:val="none" w:sz="0" w:space="0" w:color="auto"/>
        <w:bottom w:val="none" w:sz="0" w:space="0" w:color="auto"/>
        <w:right w:val="none" w:sz="0" w:space="0" w:color="auto"/>
      </w:divBdr>
    </w:div>
    <w:div w:id="712968779">
      <w:bodyDiv w:val="1"/>
      <w:marLeft w:val="0"/>
      <w:marRight w:val="0"/>
      <w:marTop w:val="0"/>
      <w:marBottom w:val="0"/>
      <w:divBdr>
        <w:top w:val="none" w:sz="0" w:space="0" w:color="auto"/>
        <w:left w:val="none" w:sz="0" w:space="0" w:color="auto"/>
        <w:bottom w:val="none" w:sz="0" w:space="0" w:color="auto"/>
        <w:right w:val="none" w:sz="0" w:space="0" w:color="auto"/>
      </w:divBdr>
    </w:div>
    <w:div w:id="728458372">
      <w:bodyDiv w:val="1"/>
      <w:marLeft w:val="0"/>
      <w:marRight w:val="0"/>
      <w:marTop w:val="0"/>
      <w:marBottom w:val="0"/>
      <w:divBdr>
        <w:top w:val="none" w:sz="0" w:space="0" w:color="auto"/>
        <w:left w:val="none" w:sz="0" w:space="0" w:color="auto"/>
        <w:bottom w:val="none" w:sz="0" w:space="0" w:color="auto"/>
        <w:right w:val="none" w:sz="0" w:space="0" w:color="auto"/>
      </w:divBdr>
    </w:div>
    <w:div w:id="763107414">
      <w:bodyDiv w:val="1"/>
      <w:marLeft w:val="0"/>
      <w:marRight w:val="0"/>
      <w:marTop w:val="0"/>
      <w:marBottom w:val="0"/>
      <w:divBdr>
        <w:top w:val="none" w:sz="0" w:space="0" w:color="auto"/>
        <w:left w:val="none" w:sz="0" w:space="0" w:color="auto"/>
        <w:bottom w:val="none" w:sz="0" w:space="0" w:color="auto"/>
        <w:right w:val="none" w:sz="0" w:space="0" w:color="auto"/>
      </w:divBdr>
    </w:div>
    <w:div w:id="769467100">
      <w:bodyDiv w:val="1"/>
      <w:marLeft w:val="0"/>
      <w:marRight w:val="0"/>
      <w:marTop w:val="0"/>
      <w:marBottom w:val="0"/>
      <w:divBdr>
        <w:top w:val="none" w:sz="0" w:space="0" w:color="auto"/>
        <w:left w:val="none" w:sz="0" w:space="0" w:color="auto"/>
        <w:bottom w:val="none" w:sz="0" w:space="0" w:color="auto"/>
        <w:right w:val="none" w:sz="0" w:space="0" w:color="auto"/>
      </w:divBdr>
    </w:div>
    <w:div w:id="772477699">
      <w:bodyDiv w:val="1"/>
      <w:marLeft w:val="0"/>
      <w:marRight w:val="0"/>
      <w:marTop w:val="0"/>
      <w:marBottom w:val="0"/>
      <w:divBdr>
        <w:top w:val="none" w:sz="0" w:space="0" w:color="auto"/>
        <w:left w:val="none" w:sz="0" w:space="0" w:color="auto"/>
        <w:bottom w:val="none" w:sz="0" w:space="0" w:color="auto"/>
        <w:right w:val="none" w:sz="0" w:space="0" w:color="auto"/>
      </w:divBdr>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897787679">
      <w:bodyDiv w:val="1"/>
      <w:marLeft w:val="0"/>
      <w:marRight w:val="0"/>
      <w:marTop w:val="0"/>
      <w:marBottom w:val="0"/>
      <w:divBdr>
        <w:top w:val="none" w:sz="0" w:space="0" w:color="auto"/>
        <w:left w:val="none" w:sz="0" w:space="0" w:color="auto"/>
        <w:bottom w:val="none" w:sz="0" w:space="0" w:color="auto"/>
        <w:right w:val="none" w:sz="0" w:space="0" w:color="auto"/>
      </w:divBdr>
    </w:div>
    <w:div w:id="918291292">
      <w:bodyDiv w:val="1"/>
      <w:marLeft w:val="0"/>
      <w:marRight w:val="0"/>
      <w:marTop w:val="0"/>
      <w:marBottom w:val="0"/>
      <w:divBdr>
        <w:top w:val="none" w:sz="0" w:space="0" w:color="auto"/>
        <w:left w:val="none" w:sz="0" w:space="0" w:color="auto"/>
        <w:bottom w:val="none" w:sz="0" w:space="0" w:color="auto"/>
        <w:right w:val="none" w:sz="0" w:space="0" w:color="auto"/>
      </w:divBdr>
    </w:div>
    <w:div w:id="919292423">
      <w:bodyDiv w:val="1"/>
      <w:marLeft w:val="0"/>
      <w:marRight w:val="0"/>
      <w:marTop w:val="0"/>
      <w:marBottom w:val="0"/>
      <w:divBdr>
        <w:top w:val="none" w:sz="0" w:space="0" w:color="auto"/>
        <w:left w:val="none" w:sz="0" w:space="0" w:color="auto"/>
        <w:bottom w:val="none" w:sz="0" w:space="0" w:color="auto"/>
        <w:right w:val="none" w:sz="0" w:space="0" w:color="auto"/>
      </w:divBdr>
    </w:div>
    <w:div w:id="946230349">
      <w:bodyDiv w:val="1"/>
      <w:marLeft w:val="0"/>
      <w:marRight w:val="0"/>
      <w:marTop w:val="0"/>
      <w:marBottom w:val="0"/>
      <w:divBdr>
        <w:top w:val="none" w:sz="0" w:space="0" w:color="auto"/>
        <w:left w:val="none" w:sz="0" w:space="0" w:color="auto"/>
        <w:bottom w:val="none" w:sz="0" w:space="0" w:color="auto"/>
        <w:right w:val="none" w:sz="0" w:space="0" w:color="auto"/>
      </w:divBdr>
    </w:div>
    <w:div w:id="946427377">
      <w:bodyDiv w:val="1"/>
      <w:marLeft w:val="0"/>
      <w:marRight w:val="0"/>
      <w:marTop w:val="0"/>
      <w:marBottom w:val="0"/>
      <w:divBdr>
        <w:top w:val="none" w:sz="0" w:space="0" w:color="auto"/>
        <w:left w:val="none" w:sz="0" w:space="0" w:color="auto"/>
        <w:bottom w:val="none" w:sz="0" w:space="0" w:color="auto"/>
        <w:right w:val="none" w:sz="0" w:space="0" w:color="auto"/>
      </w:divBdr>
    </w:div>
    <w:div w:id="956302280">
      <w:bodyDiv w:val="1"/>
      <w:marLeft w:val="0"/>
      <w:marRight w:val="0"/>
      <w:marTop w:val="0"/>
      <w:marBottom w:val="0"/>
      <w:divBdr>
        <w:top w:val="none" w:sz="0" w:space="0" w:color="auto"/>
        <w:left w:val="none" w:sz="0" w:space="0" w:color="auto"/>
        <w:bottom w:val="none" w:sz="0" w:space="0" w:color="auto"/>
        <w:right w:val="none" w:sz="0" w:space="0" w:color="auto"/>
      </w:divBdr>
    </w:div>
    <w:div w:id="956638430">
      <w:bodyDiv w:val="1"/>
      <w:marLeft w:val="0"/>
      <w:marRight w:val="0"/>
      <w:marTop w:val="0"/>
      <w:marBottom w:val="0"/>
      <w:divBdr>
        <w:top w:val="none" w:sz="0" w:space="0" w:color="auto"/>
        <w:left w:val="none" w:sz="0" w:space="0" w:color="auto"/>
        <w:bottom w:val="none" w:sz="0" w:space="0" w:color="auto"/>
        <w:right w:val="none" w:sz="0" w:space="0" w:color="auto"/>
      </w:divBdr>
    </w:div>
    <w:div w:id="971178460">
      <w:bodyDiv w:val="1"/>
      <w:marLeft w:val="0"/>
      <w:marRight w:val="0"/>
      <w:marTop w:val="0"/>
      <w:marBottom w:val="0"/>
      <w:divBdr>
        <w:top w:val="none" w:sz="0" w:space="0" w:color="auto"/>
        <w:left w:val="none" w:sz="0" w:space="0" w:color="auto"/>
        <w:bottom w:val="none" w:sz="0" w:space="0" w:color="auto"/>
        <w:right w:val="none" w:sz="0" w:space="0" w:color="auto"/>
      </w:divBdr>
    </w:div>
    <w:div w:id="988822639">
      <w:bodyDiv w:val="1"/>
      <w:marLeft w:val="0"/>
      <w:marRight w:val="0"/>
      <w:marTop w:val="0"/>
      <w:marBottom w:val="0"/>
      <w:divBdr>
        <w:top w:val="none" w:sz="0" w:space="0" w:color="auto"/>
        <w:left w:val="none" w:sz="0" w:space="0" w:color="auto"/>
        <w:bottom w:val="none" w:sz="0" w:space="0" w:color="auto"/>
        <w:right w:val="none" w:sz="0" w:space="0" w:color="auto"/>
      </w:divBdr>
    </w:div>
    <w:div w:id="994142617">
      <w:bodyDiv w:val="1"/>
      <w:marLeft w:val="0"/>
      <w:marRight w:val="0"/>
      <w:marTop w:val="0"/>
      <w:marBottom w:val="0"/>
      <w:divBdr>
        <w:top w:val="none" w:sz="0" w:space="0" w:color="auto"/>
        <w:left w:val="none" w:sz="0" w:space="0" w:color="auto"/>
        <w:bottom w:val="none" w:sz="0" w:space="0" w:color="auto"/>
        <w:right w:val="none" w:sz="0" w:space="0" w:color="auto"/>
      </w:divBdr>
    </w:div>
    <w:div w:id="1003433183">
      <w:bodyDiv w:val="1"/>
      <w:marLeft w:val="0"/>
      <w:marRight w:val="0"/>
      <w:marTop w:val="0"/>
      <w:marBottom w:val="0"/>
      <w:divBdr>
        <w:top w:val="none" w:sz="0" w:space="0" w:color="auto"/>
        <w:left w:val="none" w:sz="0" w:space="0" w:color="auto"/>
        <w:bottom w:val="none" w:sz="0" w:space="0" w:color="auto"/>
        <w:right w:val="none" w:sz="0" w:space="0" w:color="auto"/>
      </w:divBdr>
    </w:div>
    <w:div w:id="1015883108">
      <w:bodyDiv w:val="1"/>
      <w:marLeft w:val="0"/>
      <w:marRight w:val="0"/>
      <w:marTop w:val="0"/>
      <w:marBottom w:val="0"/>
      <w:divBdr>
        <w:top w:val="none" w:sz="0" w:space="0" w:color="auto"/>
        <w:left w:val="none" w:sz="0" w:space="0" w:color="auto"/>
        <w:bottom w:val="none" w:sz="0" w:space="0" w:color="auto"/>
        <w:right w:val="none" w:sz="0" w:space="0" w:color="auto"/>
      </w:divBdr>
    </w:div>
    <w:div w:id="1071735863">
      <w:bodyDiv w:val="1"/>
      <w:marLeft w:val="0"/>
      <w:marRight w:val="0"/>
      <w:marTop w:val="0"/>
      <w:marBottom w:val="0"/>
      <w:divBdr>
        <w:top w:val="none" w:sz="0" w:space="0" w:color="auto"/>
        <w:left w:val="none" w:sz="0" w:space="0" w:color="auto"/>
        <w:bottom w:val="none" w:sz="0" w:space="0" w:color="auto"/>
        <w:right w:val="none" w:sz="0" w:space="0" w:color="auto"/>
      </w:divBdr>
    </w:div>
    <w:div w:id="1072968163">
      <w:bodyDiv w:val="1"/>
      <w:marLeft w:val="0"/>
      <w:marRight w:val="0"/>
      <w:marTop w:val="0"/>
      <w:marBottom w:val="0"/>
      <w:divBdr>
        <w:top w:val="none" w:sz="0" w:space="0" w:color="auto"/>
        <w:left w:val="none" w:sz="0" w:space="0" w:color="auto"/>
        <w:bottom w:val="none" w:sz="0" w:space="0" w:color="auto"/>
        <w:right w:val="none" w:sz="0" w:space="0" w:color="auto"/>
      </w:divBdr>
    </w:div>
    <w:div w:id="1103261799">
      <w:bodyDiv w:val="1"/>
      <w:marLeft w:val="0"/>
      <w:marRight w:val="0"/>
      <w:marTop w:val="0"/>
      <w:marBottom w:val="0"/>
      <w:divBdr>
        <w:top w:val="none" w:sz="0" w:space="0" w:color="auto"/>
        <w:left w:val="none" w:sz="0" w:space="0" w:color="auto"/>
        <w:bottom w:val="none" w:sz="0" w:space="0" w:color="auto"/>
        <w:right w:val="none" w:sz="0" w:space="0" w:color="auto"/>
      </w:divBdr>
    </w:div>
    <w:div w:id="1116559384">
      <w:bodyDiv w:val="1"/>
      <w:marLeft w:val="0"/>
      <w:marRight w:val="0"/>
      <w:marTop w:val="0"/>
      <w:marBottom w:val="0"/>
      <w:divBdr>
        <w:top w:val="none" w:sz="0" w:space="0" w:color="auto"/>
        <w:left w:val="none" w:sz="0" w:space="0" w:color="auto"/>
        <w:bottom w:val="none" w:sz="0" w:space="0" w:color="auto"/>
        <w:right w:val="none" w:sz="0" w:space="0" w:color="auto"/>
      </w:divBdr>
    </w:div>
    <w:div w:id="1118993000">
      <w:bodyDiv w:val="1"/>
      <w:marLeft w:val="0"/>
      <w:marRight w:val="0"/>
      <w:marTop w:val="0"/>
      <w:marBottom w:val="0"/>
      <w:divBdr>
        <w:top w:val="none" w:sz="0" w:space="0" w:color="auto"/>
        <w:left w:val="none" w:sz="0" w:space="0" w:color="auto"/>
        <w:bottom w:val="none" w:sz="0" w:space="0" w:color="auto"/>
        <w:right w:val="none" w:sz="0" w:space="0" w:color="auto"/>
      </w:divBdr>
    </w:div>
    <w:div w:id="1124155882">
      <w:bodyDiv w:val="1"/>
      <w:marLeft w:val="0"/>
      <w:marRight w:val="0"/>
      <w:marTop w:val="0"/>
      <w:marBottom w:val="0"/>
      <w:divBdr>
        <w:top w:val="none" w:sz="0" w:space="0" w:color="auto"/>
        <w:left w:val="none" w:sz="0" w:space="0" w:color="auto"/>
        <w:bottom w:val="none" w:sz="0" w:space="0" w:color="auto"/>
        <w:right w:val="none" w:sz="0" w:space="0" w:color="auto"/>
      </w:divBdr>
    </w:div>
    <w:div w:id="1138574697">
      <w:bodyDiv w:val="1"/>
      <w:marLeft w:val="0"/>
      <w:marRight w:val="0"/>
      <w:marTop w:val="0"/>
      <w:marBottom w:val="0"/>
      <w:divBdr>
        <w:top w:val="none" w:sz="0" w:space="0" w:color="auto"/>
        <w:left w:val="none" w:sz="0" w:space="0" w:color="auto"/>
        <w:bottom w:val="none" w:sz="0" w:space="0" w:color="auto"/>
        <w:right w:val="none" w:sz="0" w:space="0" w:color="auto"/>
      </w:divBdr>
    </w:div>
    <w:div w:id="1139229689">
      <w:bodyDiv w:val="1"/>
      <w:marLeft w:val="0"/>
      <w:marRight w:val="0"/>
      <w:marTop w:val="0"/>
      <w:marBottom w:val="0"/>
      <w:divBdr>
        <w:top w:val="none" w:sz="0" w:space="0" w:color="auto"/>
        <w:left w:val="none" w:sz="0" w:space="0" w:color="auto"/>
        <w:bottom w:val="none" w:sz="0" w:space="0" w:color="auto"/>
        <w:right w:val="none" w:sz="0" w:space="0" w:color="auto"/>
      </w:divBdr>
    </w:div>
    <w:div w:id="1150244625">
      <w:bodyDiv w:val="1"/>
      <w:marLeft w:val="0"/>
      <w:marRight w:val="0"/>
      <w:marTop w:val="0"/>
      <w:marBottom w:val="0"/>
      <w:divBdr>
        <w:top w:val="none" w:sz="0" w:space="0" w:color="auto"/>
        <w:left w:val="none" w:sz="0" w:space="0" w:color="auto"/>
        <w:bottom w:val="none" w:sz="0" w:space="0" w:color="auto"/>
        <w:right w:val="none" w:sz="0" w:space="0" w:color="auto"/>
      </w:divBdr>
    </w:div>
    <w:div w:id="1167600588">
      <w:bodyDiv w:val="1"/>
      <w:marLeft w:val="0"/>
      <w:marRight w:val="0"/>
      <w:marTop w:val="0"/>
      <w:marBottom w:val="0"/>
      <w:divBdr>
        <w:top w:val="none" w:sz="0" w:space="0" w:color="auto"/>
        <w:left w:val="none" w:sz="0" w:space="0" w:color="auto"/>
        <w:bottom w:val="none" w:sz="0" w:space="0" w:color="auto"/>
        <w:right w:val="none" w:sz="0" w:space="0" w:color="auto"/>
      </w:divBdr>
    </w:div>
    <w:div w:id="1181548912">
      <w:bodyDiv w:val="1"/>
      <w:marLeft w:val="0"/>
      <w:marRight w:val="0"/>
      <w:marTop w:val="0"/>
      <w:marBottom w:val="0"/>
      <w:divBdr>
        <w:top w:val="none" w:sz="0" w:space="0" w:color="auto"/>
        <w:left w:val="none" w:sz="0" w:space="0" w:color="auto"/>
        <w:bottom w:val="none" w:sz="0" w:space="0" w:color="auto"/>
        <w:right w:val="none" w:sz="0" w:space="0" w:color="auto"/>
      </w:divBdr>
    </w:div>
    <w:div w:id="1191719819">
      <w:bodyDiv w:val="1"/>
      <w:marLeft w:val="0"/>
      <w:marRight w:val="0"/>
      <w:marTop w:val="0"/>
      <w:marBottom w:val="0"/>
      <w:divBdr>
        <w:top w:val="none" w:sz="0" w:space="0" w:color="auto"/>
        <w:left w:val="none" w:sz="0" w:space="0" w:color="auto"/>
        <w:bottom w:val="none" w:sz="0" w:space="0" w:color="auto"/>
        <w:right w:val="none" w:sz="0" w:space="0" w:color="auto"/>
      </w:divBdr>
    </w:div>
    <w:div w:id="1192110850">
      <w:bodyDiv w:val="1"/>
      <w:marLeft w:val="0"/>
      <w:marRight w:val="0"/>
      <w:marTop w:val="0"/>
      <w:marBottom w:val="0"/>
      <w:divBdr>
        <w:top w:val="none" w:sz="0" w:space="0" w:color="auto"/>
        <w:left w:val="none" w:sz="0" w:space="0" w:color="auto"/>
        <w:bottom w:val="none" w:sz="0" w:space="0" w:color="auto"/>
        <w:right w:val="none" w:sz="0" w:space="0" w:color="auto"/>
      </w:divBdr>
    </w:div>
    <w:div w:id="1205674207">
      <w:bodyDiv w:val="1"/>
      <w:marLeft w:val="0"/>
      <w:marRight w:val="0"/>
      <w:marTop w:val="0"/>
      <w:marBottom w:val="0"/>
      <w:divBdr>
        <w:top w:val="none" w:sz="0" w:space="0" w:color="auto"/>
        <w:left w:val="none" w:sz="0" w:space="0" w:color="auto"/>
        <w:bottom w:val="none" w:sz="0" w:space="0" w:color="auto"/>
        <w:right w:val="none" w:sz="0" w:space="0" w:color="auto"/>
      </w:divBdr>
    </w:div>
    <w:div w:id="1209684940">
      <w:bodyDiv w:val="1"/>
      <w:marLeft w:val="0"/>
      <w:marRight w:val="0"/>
      <w:marTop w:val="0"/>
      <w:marBottom w:val="0"/>
      <w:divBdr>
        <w:top w:val="none" w:sz="0" w:space="0" w:color="auto"/>
        <w:left w:val="none" w:sz="0" w:space="0" w:color="auto"/>
        <w:bottom w:val="none" w:sz="0" w:space="0" w:color="auto"/>
        <w:right w:val="none" w:sz="0" w:space="0" w:color="auto"/>
      </w:divBdr>
    </w:div>
    <w:div w:id="1213662192">
      <w:bodyDiv w:val="1"/>
      <w:marLeft w:val="0"/>
      <w:marRight w:val="0"/>
      <w:marTop w:val="0"/>
      <w:marBottom w:val="0"/>
      <w:divBdr>
        <w:top w:val="none" w:sz="0" w:space="0" w:color="auto"/>
        <w:left w:val="none" w:sz="0" w:space="0" w:color="auto"/>
        <w:bottom w:val="none" w:sz="0" w:space="0" w:color="auto"/>
        <w:right w:val="none" w:sz="0" w:space="0" w:color="auto"/>
      </w:divBdr>
    </w:div>
    <w:div w:id="1227566780">
      <w:bodyDiv w:val="1"/>
      <w:marLeft w:val="0"/>
      <w:marRight w:val="0"/>
      <w:marTop w:val="0"/>
      <w:marBottom w:val="0"/>
      <w:divBdr>
        <w:top w:val="none" w:sz="0" w:space="0" w:color="auto"/>
        <w:left w:val="none" w:sz="0" w:space="0" w:color="auto"/>
        <w:bottom w:val="none" w:sz="0" w:space="0" w:color="auto"/>
        <w:right w:val="none" w:sz="0" w:space="0" w:color="auto"/>
      </w:divBdr>
    </w:div>
    <w:div w:id="1241209659">
      <w:bodyDiv w:val="1"/>
      <w:marLeft w:val="0"/>
      <w:marRight w:val="0"/>
      <w:marTop w:val="0"/>
      <w:marBottom w:val="0"/>
      <w:divBdr>
        <w:top w:val="none" w:sz="0" w:space="0" w:color="auto"/>
        <w:left w:val="none" w:sz="0" w:space="0" w:color="auto"/>
        <w:bottom w:val="none" w:sz="0" w:space="0" w:color="auto"/>
        <w:right w:val="none" w:sz="0" w:space="0" w:color="auto"/>
      </w:divBdr>
    </w:div>
    <w:div w:id="1260480775">
      <w:bodyDiv w:val="1"/>
      <w:marLeft w:val="0"/>
      <w:marRight w:val="0"/>
      <w:marTop w:val="0"/>
      <w:marBottom w:val="0"/>
      <w:divBdr>
        <w:top w:val="none" w:sz="0" w:space="0" w:color="auto"/>
        <w:left w:val="none" w:sz="0" w:space="0" w:color="auto"/>
        <w:bottom w:val="none" w:sz="0" w:space="0" w:color="auto"/>
        <w:right w:val="none" w:sz="0" w:space="0" w:color="auto"/>
      </w:divBdr>
    </w:div>
    <w:div w:id="1262104083">
      <w:bodyDiv w:val="1"/>
      <w:marLeft w:val="0"/>
      <w:marRight w:val="0"/>
      <w:marTop w:val="0"/>
      <w:marBottom w:val="0"/>
      <w:divBdr>
        <w:top w:val="none" w:sz="0" w:space="0" w:color="auto"/>
        <w:left w:val="none" w:sz="0" w:space="0" w:color="auto"/>
        <w:bottom w:val="none" w:sz="0" w:space="0" w:color="auto"/>
        <w:right w:val="none" w:sz="0" w:space="0" w:color="auto"/>
      </w:divBdr>
    </w:div>
    <w:div w:id="1267621347">
      <w:bodyDiv w:val="1"/>
      <w:marLeft w:val="0"/>
      <w:marRight w:val="0"/>
      <w:marTop w:val="0"/>
      <w:marBottom w:val="0"/>
      <w:divBdr>
        <w:top w:val="none" w:sz="0" w:space="0" w:color="auto"/>
        <w:left w:val="none" w:sz="0" w:space="0" w:color="auto"/>
        <w:bottom w:val="none" w:sz="0" w:space="0" w:color="auto"/>
        <w:right w:val="none" w:sz="0" w:space="0" w:color="auto"/>
      </w:divBdr>
    </w:div>
    <w:div w:id="1281718808">
      <w:bodyDiv w:val="1"/>
      <w:marLeft w:val="0"/>
      <w:marRight w:val="0"/>
      <w:marTop w:val="0"/>
      <w:marBottom w:val="0"/>
      <w:divBdr>
        <w:top w:val="none" w:sz="0" w:space="0" w:color="auto"/>
        <w:left w:val="none" w:sz="0" w:space="0" w:color="auto"/>
        <w:bottom w:val="none" w:sz="0" w:space="0" w:color="auto"/>
        <w:right w:val="none" w:sz="0" w:space="0" w:color="auto"/>
      </w:divBdr>
    </w:div>
    <w:div w:id="1289438027">
      <w:bodyDiv w:val="1"/>
      <w:marLeft w:val="0"/>
      <w:marRight w:val="0"/>
      <w:marTop w:val="0"/>
      <w:marBottom w:val="0"/>
      <w:divBdr>
        <w:top w:val="none" w:sz="0" w:space="0" w:color="auto"/>
        <w:left w:val="none" w:sz="0" w:space="0" w:color="auto"/>
        <w:bottom w:val="none" w:sz="0" w:space="0" w:color="auto"/>
        <w:right w:val="none" w:sz="0" w:space="0" w:color="auto"/>
      </w:divBdr>
    </w:div>
    <w:div w:id="1291321658">
      <w:bodyDiv w:val="1"/>
      <w:marLeft w:val="0"/>
      <w:marRight w:val="0"/>
      <w:marTop w:val="0"/>
      <w:marBottom w:val="0"/>
      <w:divBdr>
        <w:top w:val="none" w:sz="0" w:space="0" w:color="auto"/>
        <w:left w:val="none" w:sz="0" w:space="0" w:color="auto"/>
        <w:bottom w:val="none" w:sz="0" w:space="0" w:color="auto"/>
        <w:right w:val="none" w:sz="0" w:space="0" w:color="auto"/>
      </w:divBdr>
    </w:div>
    <w:div w:id="1295209960">
      <w:bodyDiv w:val="1"/>
      <w:marLeft w:val="0"/>
      <w:marRight w:val="0"/>
      <w:marTop w:val="0"/>
      <w:marBottom w:val="0"/>
      <w:divBdr>
        <w:top w:val="none" w:sz="0" w:space="0" w:color="auto"/>
        <w:left w:val="none" w:sz="0" w:space="0" w:color="auto"/>
        <w:bottom w:val="none" w:sz="0" w:space="0" w:color="auto"/>
        <w:right w:val="none" w:sz="0" w:space="0" w:color="auto"/>
      </w:divBdr>
    </w:div>
    <w:div w:id="1302343313">
      <w:bodyDiv w:val="1"/>
      <w:marLeft w:val="0"/>
      <w:marRight w:val="0"/>
      <w:marTop w:val="0"/>
      <w:marBottom w:val="0"/>
      <w:divBdr>
        <w:top w:val="none" w:sz="0" w:space="0" w:color="auto"/>
        <w:left w:val="none" w:sz="0" w:space="0" w:color="auto"/>
        <w:bottom w:val="none" w:sz="0" w:space="0" w:color="auto"/>
        <w:right w:val="none" w:sz="0" w:space="0" w:color="auto"/>
      </w:divBdr>
    </w:div>
    <w:div w:id="1304849710">
      <w:bodyDiv w:val="1"/>
      <w:marLeft w:val="0"/>
      <w:marRight w:val="0"/>
      <w:marTop w:val="0"/>
      <w:marBottom w:val="0"/>
      <w:divBdr>
        <w:top w:val="none" w:sz="0" w:space="0" w:color="auto"/>
        <w:left w:val="none" w:sz="0" w:space="0" w:color="auto"/>
        <w:bottom w:val="none" w:sz="0" w:space="0" w:color="auto"/>
        <w:right w:val="none" w:sz="0" w:space="0" w:color="auto"/>
      </w:divBdr>
    </w:div>
    <w:div w:id="1305089616">
      <w:bodyDiv w:val="1"/>
      <w:marLeft w:val="0"/>
      <w:marRight w:val="0"/>
      <w:marTop w:val="0"/>
      <w:marBottom w:val="0"/>
      <w:divBdr>
        <w:top w:val="none" w:sz="0" w:space="0" w:color="auto"/>
        <w:left w:val="none" w:sz="0" w:space="0" w:color="auto"/>
        <w:bottom w:val="none" w:sz="0" w:space="0" w:color="auto"/>
        <w:right w:val="none" w:sz="0" w:space="0" w:color="auto"/>
      </w:divBdr>
    </w:div>
    <w:div w:id="1309480711">
      <w:bodyDiv w:val="1"/>
      <w:marLeft w:val="0"/>
      <w:marRight w:val="0"/>
      <w:marTop w:val="0"/>
      <w:marBottom w:val="0"/>
      <w:divBdr>
        <w:top w:val="none" w:sz="0" w:space="0" w:color="auto"/>
        <w:left w:val="none" w:sz="0" w:space="0" w:color="auto"/>
        <w:bottom w:val="none" w:sz="0" w:space="0" w:color="auto"/>
        <w:right w:val="none" w:sz="0" w:space="0" w:color="auto"/>
      </w:divBdr>
    </w:div>
    <w:div w:id="1322925472">
      <w:bodyDiv w:val="1"/>
      <w:marLeft w:val="0"/>
      <w:marRight w:val="0"/>
      <w:marTop w:val="0"/>
      <w:marBottom w:val="0"/>
      <w:divBdr>
        <w:top w:val="none" w:sz="0" w:space="0" w:color="auto"/>
        <w:left w:val="none" w:sz="0" w:space="0" w:color="auto"/>
        <w:bottom w:val="none" w:sz="0" w:space="0" w:color="auto"/>
        <w:right w:val="none" w:sz="0" w:space="0" w:color="auto"/>
      </w:divBdr>
    </w:div>
    <w:div w:id="1361935068">
      <w:bodyDiv w:val="1"/>
      <w:marLeft w:val="0"/>
      <w:marRight w:val="0"/>
      <w:marTop w:val="0"/>
      <w:marBottom w:val="0"/>
      <w:divBdr>
        <w:top w:val="none" w:sz="0" w:space="0" w:color="auto"/>
        <w:left w:val="none" w:sz="0" w:space="0" w:color="auto"/>
        <w:bottom w:val="none" w:sz="0" w:space="0" w:color="auto"/>
        <w:right w:val="none" w:sz="0" w:space="0" w:color="auto"/>
      </w:divBdr>
    </w:div>
    <w:div w:id="1362706508">
      <w:bodyDiv w:val="1"/>
      <w:marLeft w:val="0"/>
      <w:marRight w:val="0"/>
      <w:marTop w:val="0"/>
      <w:marBottom w:val="0"/>
      <w:divBdr>
        <w:top w:val="none" w:sz="0" w:space="0" w:color="auto"/>
        <w:left w:val="none" w:sz="0" w:space="0" w:color="auto"/>
        <w:bottom w:val="none" w:sz="0" w:space="0" w:color="auto"/>
        <w:right w:val="none" w:sz="0" w:space="0" w:color="auto"/>
      </w:divBdr>
    </w:div>
    <w:div w:id="1374229328">
      <w:bodyDiv w:val="1"/>
      <w:marLeft w:val="0"/>
      <w:marRight w:val="0"/>
      <w:marTop w:val="0"/>
      <w:marBottom w:val="0"/>
      <w:divBdr>
        <w:top w:val="none" w:sz="0" w:space="0" w:color="auto"/>
        <w:left w:val="none" w:sz="0" w:space="0" w:color="auto"/>
        <w:bottom w:val="none" w:sz="0" w:space="0" w:color="auto"/>
        <w:right w:val="none" w:sz="0" w:space="0" w:color="auto"/>
      </w:divBdr>
    </w:div>
    <w:div w:id="1378894964">
      <w:bodyDiv w:val="1"/>
      <w:marLeft w:val="0"/>
      <w:marRight w:val="0"/>
      <w:marTop w:val="0"/>
      <w:marBottom w:val="0"/>
      <w:divBdr>
        <w:top w:val="none" w:sz="0" w:space="0" w:color="auto"/>
        <w:left w:val="none" w:sz="0" w:space="0" w:color="auto"/>
        <w:bottom w:val="none" w:sz="0" w:space="0" w:color="auto"/>
        <w:right w:val="none" w:sz="0" w:space="0" w:color="auto"/>
      </w:divBdr>
    </w:div>
    <w:div w:id="1394280738">
      <w:bodyDiv w:val="1"/>
      <w:marLeft w:val="0"/>
      <w:marRight w:val="0"/>
      <w:marTop w:val="0"/>
      <w:marBottom w:val="0"/>
      <w:divBdr>
        <w:top w:val="none" w:sz="0" w:space="0" w:color="auto"/>
        <w:left w:val="none" w:sz="0" w:space="0" w:color="auto"/>
        <w:bottom w:val="none" w:sz="0" w:space="0" w:color="auto"/>
        <w:right w:val="none" w:sz="0" w:space="0" w:color="auto"/>
      </w:divBdr>
    </w:div>
    <w:div w:id="1408843076">
      <w:bodyDiv w:val="1"/>
      <w:marLeft w:val="0"/>
      <w:marRight w:val="0"/>
      <w:marTop w:val="0"/>
      <w:marBottom w:val="0"/>
      <w:divBdr>
        <w:top w:val="none" w:sz="0" w:space="0" w:color="auto"/>
        <w:left w:val="none" w:sz="0" w:space="0" w:color="auto"/>
        <w:bottom w:val="none" w:sz="0" w:space="0" w:color="auto"/>
        <w:right w:val="none" w:sz="0" w:space="0" w:color="auto"/>
      </w:divBdr>
    </w:div>
    <w:div w:id="1410686463">
      <w:bodyDiv w:val="1"/>
      <w:marLeft w:val="0"/>
      <w:marRight w:val="0"/>
      <w:marTop w:val="0"/>
      <w:marBottom w:val="0"/>
      <w:divBdr>
        <w:top w:val="none" w:sz="0" w:space="0" w:color="auto"/>
        <w:left w:val="none" w:sz="0" w:space="0" w:color="auto"/>
        <w:bottom w:val="none" w:sz="0" w:space="0" w:color="auto"/>
        <w:right w:val="none" w:sz="0" w:space="0" w:color="auto"/>
      </w:divBdr>
    </w:div>
    <w:div w:id="1423256977">
      <w:bodyDiv w:val="1"/>
      <w:marLeft w:val="0"/>
      <w:marRight w:val="0"/>
      <w:marTop w:val="0"/>
      <w:marBottom w:val="0"/>
      <w:divBdr>
        <w:top w:val="none" w:sz="0" w:space="0" w:color="auto"/>
        <w:left w:val="none" w:sz="0" w:space="0" w:color="auto"/>
        <w:bottom w:val="none" w:sz="0" w:space="0" w:color="auto"/>
        <w:right w:val="none" w:sz="0" w:space="0" w:color="auto"/>
      </w:divBdr>
    </w:div>
    <w:div w:id="1427071697">
      <w:bodyDiv w:val="1"/>
      <w:marLeft w:val="0"/>
      <w:marRight w:val="0"/>
      <w:marTop w:val="0"/>
      <w:marBottom w:val="0"/>
      <w:divBdr>
        <w:top w:val="none" w:sz="0" w:space="0" w:color="auto"/>
        <w:left w:val="none" w:sz="0" w:space="0" w:color="auto"/>
        <w:bottom w:val="none" w:sz="0" w:space="0" w:color="auto"/>
        <w:right w:val="none" w:sz="0" w:space="0" w:color="auto"/>
      </w:divBdr>
    </w:div>
    <w:div w:id="1431242850">
      <w:bodyDiv w:val="1"/>
      <w:marLeft w:val="0"/>
      <w:marRight w:val="0"/>
      <w:marTop w:val="0"/>
      <w:marBottom w:val="0"/>
      <w:divBdr>
        <w:top w:val="none" w:sz="0" w:space="0" w:color="auto"/>
        <w:left w:val="none" w:sz="0" w:space="0" w:color="auto"/>
        <w:bottom w:val="none" w:sz="0" w:space="0" w:color="auto"/>
        <w:right w:val="none" w:sz="0" w:space="0" w:color="auto"/>
      </w:divBdr>
    </w:div>
    <w:div w:id="1476527782">
      <w:bodyDiv w:val="1"/>
      <w:marLeft w:val="0"/>
      <w:marRight w:val="0"/>
      <w:marTop w:val="0"/>
      <w:marBottom w:val="0"/>
      <w:divBdr>
        <w:top w:val="none" w:sz="0" w:space="0" w:color="auto"/>
        <w:left w:val="none" w:sz="0" w:space="0" w:color="auto"/>
        <w:bottom w:val="none" w:sz="0" w:space="0" w:color="auto"/>
        <w:right w:val="none" w:sz="0" w:space="0" w:color="auto"/>
      </w:divBdr>
    </w:div>
    <w:div w:id="1522671349">
      <w:bodyDiv w:val="1"/>
      <w:marLeft w:val="0"/>
      <w:marRight w:val="0"/>
      <w:marTop w:val="0"/>
      <w:marBottom w:val="0"/>
      <w:divBdr>
        <w:top w:val="none" w:sz="0" w:space="0" w:color="auto"/>
        <w:left w:val="none" w:sz="0" w:space="0" w:color="auto"/>
        <w:bottom w:val="none" w:sz="0" w:space="0" w:color="auto"/>
        <w:right w:val="none" w:sz="0" w:space="0" w:color="auto"/>
      </w:divBdr>
    </w:div>
    <w:div w:id="1527519285">
      <w:bodyDiv w:val="1"/>
      <w:marLeft w:val="0"/>
      <w:marRight w:val="0"/>
      <w:marTop w:val="0"/>
      <w:marBottom w:val="0"/>
      <w:divBdr>
        <w:top w:val="none" w:sz="0" w:space="0" w:color="auto"/>
        <w:left w:val="none" w:sz="0" w:space="0" w:color="auto"/>
        <w:bottom w:val="none" w:sz="0" w:space="0" w:color="auto"/>
        <w:right w:val="none" w:sz="0" w:space="0" w:color="auto"/>
      </w:divBdr>
    </w:div>
    <w:div w:id="1528055483">
      <w:bodyDiv w:val="1"/>
      <w:marLeft w:val="0"/>
      <w:marRight w:val="0"/>
      <w:marTop w:val="0"/>
      <w:marBottom w:val="0"/>
      <w:divBdr>
        <w:top w:val="none" w:sz="0" w:space="0" w:color="auto"/>
        <w:left w:val="none" w:sz="0" w:space="0" w:color="auto"/>
        <w:bottom w:val="none" w:sz="0" w:space="0" w:color="auto"/>
        <w:right w:val="none" w:sz="0" w:space="0" w:color="auto"/>
      </w:divBdr>
    </w:div>
    <w:div w:id="1539275323">
      <w:bodyDiv w:val="1"/>
      <w:marLeft w:val="0"/>
      <w:marRight w:val="0"/>
      <w:marTop w:val="0"/>
      <w:marBottom w:val="0"/>
      <w:divBdr>
        <w:top w:val="none" w:sz="0" w:space="0" w:color="auto"/>
        <w:left w:val="none" w:sz="0" w:space="0" w:color="auto"/>
        <w:bottom w:val="none" w:sz="0" w:space="0" w:color="auto"/>
        <w:right w:val="none" w:sz="0" w:space="0" w:color="auto"/>
      </w:divBdr>
    </w:div>
    <w:div w:id="1539538918">
      <w:bodyDiv w:val="1"/>
      <w:marLeft w:val="0"/>
      <w:marRight w:val="0"/>
      <w:marTop w:val="0"/>
      <w:marBottom w:val="0"/>
      <w:divBdr>
        <w:top w:val="none" w:sz="0" w:space="0" w:color="auto"/>
        <w:left w:val="none" w:sz="0" w:space="0" w:color="auto"/>
        <w:bottom w:val="none" w:sz="0" w:space="0" w:color="auto"/>
        <w:right w:val="none" w:sz="0" w:space="0" w:color="auto"/>
      </w:divBdr>
    </w:div>
    <w:div w:id="1591280860">
      <w:bodyDiv w:val="1"/>
      <w:marLeft w:val="0"/>
      <w:marRight w:val="0"/>
      <w:marTop w:val="0"/>
      <w:marBottom w:val="0"/>
      <w:divBdr>
        <w:top w:val="none" w:sz="0" w:space="0" w:color="auto"/>
        <w:left w:val="none" w:sz="0" w:space="0" w:color="auto"/>
        <w:bottom w:val="none" w:sz="0" w:space="0" w:color="auto"/>
        <w:right w:val="none" w:sz="0" w:space="0" w:color="auto"/>
      </w:divBdr>
    </w:div>
    <w:div w:id="1597782509">
      <w:bodyDiv w:val="1"/>
      <w:marLeft w:val="0"/>
      <w:marRight w:val="0"/>
      <w:marTop w:val="0"/>
      <w:marBottom w:val="0"/>
      <w:divBdr>
        <w:top w:val="none" w:sz="0" w:space="0" w:color="auto"/>
        <w:left w:val="none" w:sz="0" w:space="0" w:color="auto"/>
        <w:bottom w:val="none" w:sz="0" w:space="0" w:color="auto"/>
        <w:right w:val="none" w:sz="0" w:space="0" w:color="auto"/>
      </w:divBdr>
    </w:div>
    <w:div w:id="1605378676">
      <w:bodyDiv w:val="1"/>
      <w:marLeft w:val="0"/>
      <w:marRight w:val="0"/>
      <w:marTop w:val="0"/>
      <w:marBottom w:val="0"/>
      <w:divBdr>
        <w:top w:val="none" w:sz="0" w:space="0" w:color="auto"/>
        <w:left w:val="none" w:sz="0" w:space="0" w:color="auto"/>
        <w:bottom w:val="none" w:sz="0" w:space="0" w:color="auto"/>
        <w:right w:val="none" w:sz="0" w:space="0" w:color="auto"/>
      </w:divBdr>
    </w:div>
    <w:div w:id="1617173595">
      <w:bodyDiv w:val="1"/>
      <w:marLeft w:val="0"/>
      <w:marRight w:val="0"/>
      <w:marTop w:val="0"/>
      <w:marBottom w:val="0"/>
      <w:divBdr>
        <w:top w:val="none" w:sz="0" w:space="0" w:color="auto"/>
        <w:left w:val="none" w:sz="0" w:space="0" w:color="auto"/>
        <w:bottom w:val="none" w:sz="0" w:space="0" w:color="auto"/>
        <w:right w:val="none" w:sz="0" w:space="0" w:color="auto"/>
      </w:divBdr>
    </w:div>
    <w:div w:id="1621912768">
      <w:bodyDiv w:val="1"/>
      <w:marLeft w:val="0"/>
      <w:marRight w:val="0"/>
      <w:marTop w:val="0"/>
      <w:marBottom w:val="0"/>
      <w:divBdr>
        <w:top w:val="none" w:sz="0" w:space="0" w:color="auto"/>
        <w:left w:val="none" w:sz="0" w:space="0" w:color="auto"/>
        <w:bottom w:val="none" w:sz="0" w:space="0" w:color="auto"/>
        <w:right w:val="none" w:sz="0" w:space="0" w:color="auto"/>
      </w:divBdr>
    </w:div>
    <w:div w:id="1624386788">
      <w:bodyDiv w:val="1"/>
      <w:marLeft w:val="0"/>
      <w:marRight w:val="0"/>
      <w:marTop w:val="0"/>
      <w:marBottom w:val="0"/>
      <w:divBdr>
        <w:top w:val="none" w:sz="0" w:space="0" w:color="auto"/>
        <w:left w:val="none" w:sz="0" w:space="0" w:color="auto"/>
        <w:bottom w:val="none" w:sz="0" w:space="0" w:color="auto"/>
        <w:right w:val="none" w:sz="0" w:space="0" w:color="auto"/>
      </w:divBdr>
    </w:div>
    <w:div w:id="1659069888">
      <w:bodyDiv w:val="1"/>
      <w:marLeft w:val="0"/>
      <w:marRight w:val="0"/>
      <w:marTop w:val="0"/>
      <w:marBottom w:val="0"/>
      <w:divBdr>
        <w:top w:val="none" w:sz="0" w:space="0" w:color="auto"/>
        <w:left w:val="none" w:sz="0" w:space="0" w:color="auto"/>
        <w:bottom w:val="none" w:sz="0" w:space="0" w:color="auto"/>
        <w:right w:val="none" w:sz="0" w:space="0" w:color="auto"/>
      </w:divBdr>
    </w:div>
    <w:div w:id="1668705273">
      <w:bodyDiv w:val="1"/>
      <w:marLeft w:val="0"/>
      <w:marRight w:val="0"/>
      <w:marTop w:val="0"/>
      <w:marBottom w:val="0"/>
      <w:divBdr>
        <w:top w:val="none" w:sz="0" w:space="0" w:color="auto"/>
        <w:left w:val="none" w:sz="0" w:space="0" w:color="auto"/>
        <w:bottom w:val="none" w:sz="0" w:space="0" w:color="auto"/>
        <w:right w:val="none" w:sz="0" w:space="0" w:color="auto"/>
      </w:divBdr>
    </w:div>
    <w:div w:id="1717503510">
      <w:bodyDiv w:val="1"/>
      <w:marLeft w:val="0"/>
      <w:marRight w:val="0"/>
      <w:marTop w:val="0"/>
      <w:marBottom w:val="0"/>
      <w:divBdr>
        <w:top w:val="none" w:sz="0" w:space="0" w:color="auto"/>
        <w:left w:val="none" w:sz="0" w:space="0" w:color="auto"/>
        <w:bottom w:val="none" w:sz="0" w:space="0" w:color="auto"/>
        <w:right w:val="none" w:sz="0" w:space="0" w:color="auto"/>
      </w:divBdr>
    </w:div>
    <w:div w:id="1724526441">
      <w:bodyDiv w:val="1"/>
      <w:marLeft w:val="0"/>
      <w:marRight w:val="0"/>
      <w:marTop w:val="0"/>
      <w:marBottom w:val="0"/>
      <w:divBdr>
        <w:top w:val="none" w:sz="0" w:space="0" w:color="auto"/>
        <w:left w:val="none" w:sz="0" w:space="0" w:color="auto"/>
        <w:bottom w:val="none" w:sz="0" w:space="0" w:color="auto"/>
        <w:right w:val="none" w:sz="0" w:space="0" w:color="auto"/>
      </w:divBdr>
    </w:div>
    <w:div w:id="1725327702">
      <w:bodyDiv w:val="1"/>
      <w:marLeft w:val="0"/>
      <w:marRight w:val="0"/>
      <w:marTop w:val="0"/>
      <w:marBottom w:val="0"/>
      <w:divBdr>
        <w:top w:val="none" w:sz="0" w:space="0" w:color="auto"/>
        <w:left w:val="none" w:sz="0" w:space="0" w:color="auto"/>
        <w:bottom w:val="none" w:sz="0" w:space="0" w:color="auto"/>
        <w:right w:val="none" w:sz="0" w:space="0" w:color="auto"/>
      </w:divBdr>
      <w:divsChild>
        <w:div w:id="1525829250">
          <w:marLeft w:val="202"/>
          <w:marRight w:val="0"/>
          <w:marTop w:val="67"/>
          <w:marBottom w:val="0"/>
          <w:divBdr>
            <w:top w:val="none" w:sz="0" w:space="0" w:color="auto"/>
            <w:left w:val="none" w:sz="0" w:space="0" w:color="auto"/>
            <w:bottom w:val="none" w:sz="0" w:space="0" w:color="auto"/>
            <w:right w:val="none" w:sz="0" w:space="0" w:color="auto"/>
          </w:divBdr>
        </w:div>
        <w:div w:id="1033580470">
          <w:marLeft w:val="475"/>
          <w:marRight w:val="0"/>
          <w:marTop w:val="58"/>
          <w:marBottom w:val="0"/>
          <w:divBdr>
            <w:top w:val="none" w:sz="0" w:space="0" w:color="auto"/>
            <w:left w:val="none" w:sz="0" w:space="0" w:color="auto"/>
            <w:bottom w:val="none" w:sz="0" w:space="0" w:color="auto"/>
            <w:right w:val="none" w:sz="0" w:space="0" w:color="auto"/>
          </w:divBdr>
        </w:div>
        <w:div w:id="89861821">
          <w:marLeft w:val="475"/>
          <w:marRight w:val="0"/>
          <w:marTop w:val="58"/>
          <w:marBottom w:val="0"/>
          <w:divBdr>
            <w:top w:val="none" w:sz="0" w:space="0" w:color="auto"/>
            <w:left w:val="none" w:sz="0" w:space="0" w:color="auto"/>
            <w:bottom w:val="none" w:sz="0" w:space="0" w:color="auto"/>
            <w:right w:val="none" w:sz="0" w:space="0" w:color="auto"/>
          </w:divBdr>
        </w:div>
        <w:div w:id="948243169">
          <w:marLeft w:val="475"/>
          <w:marRight w:val="0"/>
          <w:marTop w:val="58"/>
          <w:marBottom w:val="0"/>
          <w:divBdr>
            <w:top w:val="none" w:sz="0" w:space="0" w:color="auto"/>
            <w:left w:val="none" w:sz="0" w:space="0" w:color="auto"/>
            <w:bottom w:val="none" w:sz="0" w:space="0" w:color="auto"/>
            <w:right w:val="none" w:sz="0" w:space="0" w:color="auto"/>
          </w:divBdr>
        </w:div>
      </w:divsChild>
    </w:div>
    <w:div w:id="1746344035">
      <w:bodyDiv w:val="1"/>
      <w:marLeft w:val="0"/>
      <w:marRight w:val="0"/>
      <w:marTop w:val="0"/>
      <w:marBottom w:val="0"/>
      <w:divBdr>
        <w:top w:val="none" w:sz="0" w:space="0" w:color="auto"/>
        <w:left w:val="none" w:sz="0" w:space="0" w:color="auto"/>
        <w:bottom w:val="none" w:sz="0" w:space="0" w:color="auto"/>
        <w:right w:val="none" w:sz="0" w:space="0" w:color="auto"/>
      </w:divBdr>
    </w:div>
    <w:div w:id="1755858527">
      <w:bodyDiv w:val="1"/>
      <w:marLeft w:val="0"/>
      <w:marRight w:val="0"/>
      <w:marTop w:val="0"/>
      <w:marBottom w:val="0"/>
      <w:divBdr>
        <w:top w:val="none" w:sz="0" w:space="0" w:color="auto"/>
        <w:left w:val="none" w:sz="0" w:space="0" w:color="auto"/>
        <w:bottom w:val="none" w:sz="0" w:space="0" w:color="auto"/>
        <w:right w:val="none" w:sz="0" w:space="0" w:color="auto"/>
      </w:divBdr>
      <w:divsChild>
        <w:div w:id="74088096">
          <w:marLeft w:val="202"/>
          <w:marRight w:val="0"/>
          <w:marTop w:val="58"/>
          <w:marBottom w:val="0"/>
          <w:divBdr>
            <w:top w:val="none" w:sz="0" w:space="0" w:color="auto"/>
            <w:left w:val="none" w:sz="0" w:space="0" w:color="auto"/>
            <w:bottom w:val="none" w:sz="0" w:space="0" w:color="auto"/>
            <w:right w:val="none" w:sz="0" w:space="0" w:color="auto"/>
          </w:divBdr>
        </w:div>
        <w:div w:id="969165954">
          <w:marLeft w:val="475"/>
          <w:marRight w:val="0"/>
          <w:marTop w:val="53"/>
          <w:marBottom w:val="0"/>
          <w:divBdr>
            <w:top w:val="none" w:sz="0" w:space="0" w:color="auto"/>
            <w:left w:val="none" w:sz="0" w:space="0" w:color="auto"/>
            <w:bottom w:val="none" w:sz="0" w:space="0" w:color="auto"/>
            <w:right w:val="none" w:sz="0" w:space="0" w:color="auto"/>
          </w:divBdr>
        </w:div>
        <w:div w:id="1349255465">
          <w:marLeft w:val="202"/>
          <w:marRight w:val="0"/>
          <w:marTop w:val="58"/>
          <w:marBottom w:val="0"/>
          <w:divBdr>
            <w:top w:val="none" w:sz="0" w:space="0" w:color="auto"/>
            <w:left w:val="none" w:sz="0" w:space="0" w:color="auto"/>
            <w:bottom w:val="none" w:sz="0" w:space="0" w:color="auto"/>
            <w:right w:val="none" w:sz="0" w:space="0" w:color="auto"/>
          </w:divBdr>
        </w:div>
        <w:div w:id="1004168851">
          <w:marLeft w:val="475"/>
          <w:marRight w:val="0"/>
          <w:marTop w:val="53"/>
          <w:marBottom w:val="0"/>
          <w:divBdr>
            <w:top w:val="none" w:sz="0" w:space="0" w:color="auto"/>
            <w:left w:val="none" w:sz="0" w:space="0" w:color="auto"/>
            <w:bottom w:val="none" w:sz="0" w:space="0" w:color="auto"/>
            <w:right w:val="none" w:sz="0" w:space="0" w:color="auto"/>
          </w:divBdr>
        </w:div>
        <w:div w:id="122625961">
          <w:marLeft w:val="202"/>
          <w:marRight w:val="0"/>
          <w:marTop w:val="58"/>
          <w:marBottom w:val="0"/>
          <w:divBdr>
            <w:top w:val="none" w:sz="0" w:space="0" w:color="auto"/>
            <w:left w:val="none" w:sz="0" w:space="0" w:color="auto"/>
            <w:bottom w:val="none" w:sz="0" w:space="0" w:color="auto"/>
            <w:right w:val="none" w:sz="0" w:space="0" w:color="auto"/>
          </w:divBdr>
        </w:div>
        <w:div w:id="951473923">
          <w:marLeft w:val="475"/>
          <w:marRight w:val="0"/>
          <w:marTop w:val="53"/>
          <w:marBottom w:val="0"/>
          <w:divBdr>
            <w:top w:val="none" w:sz="0" w:space="0" w:color="auto"/>
            <w:left w:val="none" w:sz="0" w:space="0" w:color="auto"/>
            <w:bottom w:val="none" w:sz="0" w:space="0" w:color="auto"/>
            <w:right w:val="none" w:sz="0" w:space="0" w:color="auto"/>
          </w:divBdr>
        </w:div>
        <w:div w:id="421537453">
          <w:marLeft w:val="202"/>
          <w:marRight w:val="0"/>
          <w:marTop w:val="58"/>
          <w:marBottom w:val="0"/>
          <w:divBdr>
            <w:top w:val="none" w:sz="0" w:space="0" w:color="auto"/>
            <w:left w:val="none" w:sz="0" w:space="0" w:color="auto"/>
            <w:bottom w:val="none" w:sz="0" w:space="0" w:color="auto"/>
            <w:right w:val="none" w:sz="0" w:space="0" w:color="auto"/>
          </w:divBdr>
        </w:div>
        <w:div w:id="181940403">
          <w:marLeft w:val="475"/>
          <w:marRight w:val="0"/>
          <w:marTop w:val="53"/>
          <w:marBottom w:val="0"/>
          <w:divBdr>
            <w:top w:val="none" w:sz="0" w:space="0" w:color="auto"/>
            <w:left w:val="none" w:sz="0" w:space="0" w:color="auto"/>
            <w:bottom w:val="none" w:sz="0" w:space="0" w:color="auto"/>
            <w:right w:val="none" w:sz="0" w:space="0" w:color="auto"/>
          </w:divBdr>
        </w:div>
      </w:divsChild>
    </w:div>
    <w:div w:id="1768770531">
      <w:bodyDiv w:val="1"/>
      <w:marLeft w:val="0"/>
      <w:marRight w:val="0"/>
      <w:marTop w:val="0"/>
      <w:marBottom w:val="0"/>
      <w:divBdr>
        <w:top w:val="none" w:sz="0" w:space="0" w:color="auto"/>
        <w:left w:val="none" w:sz="0" w:space="0" w:color="auto"/>
        <w:bottom w:val="none" w:sz="0" w:space="0" w:color="auto"/>
        <w:right w:val="none" w:sz="0" w:space="0" w:color="auto"/>
      </w:divBdr>
    </w:div>
    <w:div w:id="1786735460">
      <w:bodyDiv w:val="1"/>
      <w:marLeft w:val="0"/>
      <w:marRight w:val="0"/>
      <w:marTop w:val="0"/>
      <w:marBottom w:val="0"/>
      <w:divBdr>
        <w:top w:val="none" w:sz="0" w:space="0" w:color="auto"/>
        <w:left w:val="none" w:sz="0" w:space="0" w:color="auto"/>
        <w:bottom w:val="none" w:sz="0" w:space="0" w:color="auto"/>
        <w:right w:val="none" w:sz="0" w:space="0" w:color="auto"/>
      </w:divBdr>
    </w:div>
    <w:div w:id="1821774420">
      <w:bodyDiv w:val="1"/>
      <w:marLeft w:val="0"/>
      <w:marRight w:val="0"/>
      <w:marTop w:val="0"/>
      <w:marBottom w:val="0"/>
      <w:divBdr>
        <w:top w:val="none" w:sz="0" w:space="0" w:color="auto"/>
        <w:left w:val="none" w:sz="0" w:space="0" w:color="auto"/>
        <w:bottom w:val="none" w:sz="0" w:space="0" w:color="auto"/>
        <w:right w:val="none" w:sz="0" w:space="0" w:color="auto"/>
      </w:divBdr>
    </w:div>
    <w:div w:id="1852914164">
      <w:bodyDiv w:val="1"/>
      <w:marLeft w:val="0"/>
      <w:marRight w:val="0"/>
      <w:marTop w:val="0"/>
      <w:marBottom w:val="0"/>
      <w:divBdr>
        <w:top w:val="none" w:sz="0" w:space="0" w:color="auto"/>
        <w:left w:val="none" w:sz="0" w:space="0" w:color="auto"/>
        <w:bottom w:val="none" w:sz="0" w:space="0" w:color="auto"/>
        <w:right w:val="none" w:sz="0" w:space="0" w:color="auto"/>
      </w:divBdr>
    </w:div>
    <w:div w:id="1865945430">
      <w:bodyDiv w:val="1"/>
      <w:marLeft w:val="0"/>
      <w:marRight w:val="0"/>
      <w:marTop w:val="0"/>
      <w:marBottom w:val="0"/>
      <w:divBdr>
        <w:top w:val="none" w:sz="0" w:space="0" w:color="auto"/>
        <w:left w:val="none" w:sz="0" w:space="0" w:color="auto"/>
        <w:bottom w:val="none" w:sz="0" w:space="0" w:color="auto"/>
        <w:right w:val="none" w:sz="0" w:space="0" w:color="auto"/>
      </w:divBdr>
    </w:div>
    <w:div w:id="1867669126">
      <w:bodyDiv w:val="1"/>
      <w:marLeft w:val="0"/>
      <w:marRight w:val="0"/>
      <w:marTop w:val="0"/>
      <w:marBottom w:val="0"/>
      <w:divBdr>
        <w:top w:val="none" w:sz="0" w:space="0" w:color="auto"/>
        <w:left w:val="none" w:sz="0" w:space="0" w:color="auto"/>
        <w:bottom w:val="none" w:sz="0" w:space="0" w:color="auto"/>
        <w:right w:val="none" w:sz="0" w:space="0" w:color="auto"/>
      </w:divBdr>
    </w:div>
    <w:div w:id="1869414961">
      <w:bodyDiv w:val="1"/>
      <w:marLeft w:val="0"/>
      <w:marRight w:val="0"/>
      <w:marTop w:val="0"/>
      <w:marBottom w:val="0"/>
      <w:divBdr>
        <w:top w:val="none" w:sz="0" w:space="0" w:color="auto"/>
        <w:left w:val="none" w:sz="0" w:space="0" w:color="auto"/>
        <w:bottom w:val="none" w:sz="0" w:space="0" w:color="auto"/>
        <w:right w:val="none" w:sz="0" w:space="0" w:color="auto"/>
      </w:divBdr>
    </w:div>
    <w:div w:id="1916239865">
      <w:bodyDiv w:val="1"/>
      <w:marLeft w:val="0"/>
      <w:marRight w:val="0"/>
      <w:marTop w:val="0"/>
      <w:marBottom w:val="0"/>
      <w:divBdr>
        <w:top w:val="none" w:sz="0" w:space="0" w:color="auto"/>
        <w:left w:val="none" w:sz="0" w:space="0" w:color="auto"/>
        <w:bottom w:val="none" w:sz="0" w:space="0" w:color="auto"/>
        <w:right w:val="none" w:sz="0" w:space="0" w:color="auto"/>
      </w:divBdr>
    </w:div>
    <w:div w:id="1919900594">
      <w:bodyDiv w:val="1"/>
      <w:marLeft w:val="0"/>
      <w:marRight w:val="0"/>
      <w:marTop w:val="0"/>
      <w:marBottom w:val="0"/>
      <w:divBdr>
        <w:top w:val="none" w:sz="0" w:space="0" w:color="auto"/>
        <w:left w:val="none" w:sz="0" w:space="0" w:color="auto"/>
        <w:bottom w:val="none" w:sz="0" w:space="0" w:color="auto"/>
        <w:right w:val="none" w:sz="0" w:space="0" w:color="auto"/>
      </w:divBdr>
    </w:div>
    <w:div w:id="1922256329">
      <w:bodyDiv w:val="1"/>
      <w:marLeft w:val="0"/>
      <w:marRight w:val="0"/>
      <w:marTop w:val="0"/>
      <w:marBottom w:val="0"/>
      <w:divBdr>
        <w:top w:val="none" w:sz="0" w:space="0" w:color="auto"/>
        <w:left w:val="none" w:sz="0" w:space="0" w:color="auto"/>
        <w:bottom w:val="none" w:sz="0" w:space="0" w:color="auto"/>
        <w:right w:val="none" w:sz="0" w:space="0" w:color="auto"/>
      </w:divBdr>
    </w:div>
    <w:div w:id="1935673844">
      <w:bodyDiv w:val="1"/>
      <w:marLeft w:val="0"/>
      <w:marRight w:val="0"/>
      <w:marTop w:val="0"/>
      <w:marBottom w:val="0"/>
      <w:divBdr>
        <w:top w:val="none" w:sz="0" w:space="0" w:color="auto"/>
        <w:left w:val="none" w:sz="0" w:space="0" w:color="auto"/>
        <w:bottom w:val="none" w:sz="0" w:space="0" w:color="auto"/>
        <w:right w:val="none" w:sz="0" w:space="0" w:color="auto"/>
      </w:divBdr>
    </w:div>
    <w:div w:id="1966737427">
      <w:bodyDiv w:val="1"/>
      <w:marLeft w:val="0"/>
      <w:marRight w:val="0"/>
      <w:marTop w:val="0"/>
      <w:marBottom w:val="0"/>
      <w:divBdr>
        <w:top w:val="none" w:sz="0" w:space="0" w:color="auto"/>
        <w:left w:val="none" w:sz="0" w:space="0" w:color="auto"/>
        <w:bottom w:val="none" w:sz="0" w:space="0" w:color="auto"/>
        <w:right w:val="none" w:sz="0" w:space="0" w:color="auto"/>
      </w:divBdr>
    </w:div>
    <w:div w:id="1973976872">
      <w:bodyDiv w:val="1"/>
      <w:marLeft w:val="0"/>
      <w:marRight w:val="0"/>
      <w:marTop w:val="0"/>
      <w:marBottom w:val="0"/>
      <w:divBdr>
        <w:top w:val="none" w:sz="0" w:space="0" w:color="auto"/>
        <w:left w:val="none" w:sz="0" w:space="0" w:color="auto"/>
        <w:bottom w:val="none" w:sz="0" w:space="0" w:color="auto"/>
        <w:right w:val="none" w:sz="0" w:space="0" w:color="auto"/>
      </w:divBdr>
    </w:div>
    <w:div w:id="2008050198">
      <w:bodyDiv w:val="1"/>
      <w:marLeft w:val="0"/>
      <w:marRight w:val="0"/>
      <w:marTop w:val="0"/>
      <w:marBottom w:val="0"/>
      <w:divBdr>
        <w:top w:val="none" w:sz="0" w:space="0" w:color="auto"/>
        <w:left w:val="none" w:sz="0" w:space="0" w:color="auto"/>
        <w:bottom w:val="none" w:sz="0" w:space="0" w:color="auto"/>
        <w:right w:val="none" w:sz="0" w:space="0" w:color="auto"/>
      </w:divBdr>
    </w:div>
    <w:div w:id="2010448121">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29333163">
      <w:bodyDiv w:val="1"/>
      <w:marLeft w:val="0"/>
      <w:marRight w:val="0"/>
      <w:marTop w:val="0"/>
      <w:marBottom w:val="0"/>
      <w:divBdr>
        <w:top w:val="none" w:sz="0" w:space="0" w:color="auto"/>
        <w:left w:val="none" w:sz="0" w:space="0" w:color="auto"/>
        <w:bottom w:val="none" w:sz="0" w:space="0" w:color="auto"/>
        <w:right w:val="none" w:sz="0" w:space="0" w:color="auto"/>
      </w:divBdr>
    </w:div>
    <w:div w:id="2053572884">
      <w:bodyDiv w:val="1"/>
      <w:marLeft w:val="0"/>
      <w:marRight w:val="0"/>
      <w:marTop w:val="0"/>
      <w:marBottom w:val="0"/>
      <w:divBdr>
        <w:top w:val="none" w:sz="0" w:space="0" w:color="auto"/>
        <w:left w:val="none" w:sz="0" w:space="0" w:color="auto"/>
        <w:bottom w:val="none" w:sz="0" w:space="0" w:color="auto"/>
        <w:right w:val="none" w:sz="0" w:space="0" w:color="auto"/>
      </w:divBdr>
      <w:divsChild>
        <w:div w:id="1053235439">
          <w:marLeft w:val="202"/>
          <w:marRight w:val="0"/>
          <w:marTop w:val="67"/>
          <w:marBottom w:val="0"/>
          <w:divBdr>
            <w:top w:val="none" w:sz="0" w:space="0" w:color="auto"/>
            <w:left w:val="none" w:sz="0" w:space="0" w:color="auto"/>
            <w:bottom w:val="none" w:sz="0" w:space="0" w:color="auto"/>
            <w:right w:val="none" w:sz="0" w:space="0" w:color="auto"/>
          </w:divBdr>
        </w:div>
        <w:div w:id="177426732">
          <w:marLeft w:val="475"/>
          <w:marRight w:val="0"/>
          <w:marTop w:val="58"/>
          <w:marBottom w:val="0"/>
          <w:divBdr>
            <w:top w:val="none" w:sz="0" w:space="0" w:color="auto"/>
            <w:left w:val="none" w:sz="0" w:space="0" w:color="auto"/>
            <w:bottom w:val="none" w:sz="0" w:space="0" w:color="auto"/>
            <w:right w:val="none" w:sz="0" w:space="0" w:color="auto"/>
          </w:divBdr>
        </w:div>
        <w:div w:id="96104827">
          <w:marLeft w:val="475"/>
          <w:marRight w:val="0"/>
          <w:marTop w:val="58"/>
          <w:marBottom w:val="0"/>
          <w:divBdr>
            <w:top w:val="none" w:sz="0" w:space="0" w:color="auto"/>
            <w:left w:val="none" w:sz="0" w:space="0" w:color="auto"/>
            <w:bottom w:val="none" w:sz="0" w:space="0" w:color="auto"/>
            <w:right w:val="none" w:sz="0" w:space="0" w:color="auto"/>
          </w:divBdr>
        </w:div>
        <w:div w:id="1621648534">
          <w:marLeft w:val="475"/>
          <w:marRight w:val="0"/>
          <w:marTop w:val="58"/>
          <w:marBottom w:val="0"/>
          <w:divBdr>
            <w:top w:val="none" w:sz="0" w:space="0" w:color="auto"/>
            <w:left w:val="none" w:sz="0" w:space="0" w:color="auto"/>
            <w:bottom w:val="none" w:sz="0" w:space="0" w:color="auto"/>
            <w:right w:val="none" w:sz="0" w:space="0" w:color="auto"/>
          </w:divBdr>
        </w:div>
      </w:divsChild>
    </w:div>
    <w:div w:id="2057119601">
      <w:bodyDiv w:val="1"/>
      <w:marLeft w:val="0"/>
      <w:marRight w:val="0"/>
      <w:marTop w:val="0"/>
      <w:marBottom w:val="0"/>
      <w:divBdr>
        <w:top w:val="none" w:sz="0" w:space="0" w:color="auto"/>
        <w:left w:val="none" w:sz="0" w:space="0" w:color="auto"/>
        <w:bottom w:val="none" w:sz="0" w:space="0" w:color="auto"/>
        <w:right w:val="none" w:sz="0" w:space="0" w:color="auto"/>
      </w:divBdr>
    </w:div>
    <w:div w:id="2068798699">
      <w:bodyDiv w:val="1"/>
      <w:marLeft w:val="0"/>
      <w:marRight w:val="0"/>
      <w:marTop w:val="0"/>
      <w:marBottom w:val="0"/>
      <w:divBdr>
        <w:top w:val="none" w:sz="0" w:space="0" w:color="auto"/>
        <w:left w:val="none" w:sz="0" w:space="0" w:color="auto"/>
        <w:bottom w:val="none" w:sz="0" w:space="0" w:color="auto"/>
        <w:right w:val="none" w:sz="0" w:space="0" w:color="auto"/>
      </w:divBdr>
    </w:div>
    <w:div w:id="2075274217">
      <w:bodyDiv w:val="1"/>
      <w:marLeft w:val="0"/>
      <w:marRight w:val="0"/>
      <w:marTop w:val="0"/>
      <w:marBottom w:val="0"/>
      <w:divBdr>
        <w:top w:val="none" w:sz="0" w:space="0" w:color="auto"/>
        <w:left w:val="none" w:sz="0" w:space="0" w:color="auto"/>
        <w:bottom w:val="none" w:sz="0" w:space="0" w:color="auto"/>
        <w:right w:val="none" w:sz="0" w:space="0" w:color="auto"/>
      </w:divBdr>
    </w:div>
    <w:div w:id="2096196889">
      <w:bodyDiv w:val="1"/>
      <w:marLeft w:val="0"/>
      <w:marRight w:val="0"/>
      <w:marTop w:val="0"/>
      <w:marBottom w:val="0"/>
      <w:divBdr>
        <w:top w:val="none" w:sz="0" w:space="0" w:color="auto"/>
        <w:left w:val="none" w:sz="0" w:space="0" w:color="auto"/>
        <w:bottom w:val="none" w:sz="0" w:space="0" w:color="auto"/>
        <w:right w:val="none" w:sz="0" w:space="0" w:color="auto"/>
      </w:divBdr>
    </w:div>
    <w:div w:id="2101173290">
      <w:bodyDiv w:val="1"/>
      <w:marLeft w:val="0"/>
      <w:marRight w:val="0"/>
      <w:marTop w:val="0"/>
      <w:marBottom w:val="0"/>
      <w:divBdr>
        <w:top w:val="none" w:sz="0" w:space="0" w:color="auto"/>
        <w:left w:val="none" w:sz="0" w:space="0" w:color="auto"/>
        <w:bottom w:val="none" w:sz="0" w:space="0" w:color="auto"/>
        <w:right w:val="none" w:sz="0" w:space="0" w:color="auto"/>
      </w:divBdr>
    </w:div>
    <w:div w:id="2101290628">
      <w:bodyDiv w:val="1"/>
      <w:marLeft w:val="0"/>
      <w:marRight w:val="0"/>
      <w:marTop w:val="0"/>
      <w:marBottom w:val="0"/>
      <w:divBdr>
        <w:top w:val="none" w:sz="0" w:space="0" w:color="auto"/>
        <w:left w:val="none" w:sz="0" w:space="0" w:color="auto"/>
        <w:bottom w:val="none" w:sz="0" w:space="0" w:color="auto"/>
        <w:right w:val="none" w:sz="0" w:space="0" w:color="auto"/>
      </w:divBdr>
    </w:div>
    <w:div w:id="21434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GSF22</b:Tag>
    <b:SourceType>Misc</b:SourceType>
    <b:Guid>{2815D46B-E9E4-BF41-89DF-043BA7E0B70D}</b:Guid>
    <b:Title>Risk Classification Guidelines and Risk-Based SMA Practices for GSFC Payloads and Systems</b:Title>
    <b:City>Greenbelt</b:City>
    <b:Publisher>GSFC</b:Publisher>
    <b:Year>2022</b:Year>
    <b:Author>
      <b:Author>
        <b:Corporate>GSFC</b:Corporate>
      </b:Author>
    </b:Author>
    <b:PublicationTitle>GSFC Directives Management System</b:PublicationTitle>
    <b:Month>June </b:Month>
    <b:Day>13</b:Day>
    <b:StateProvince>MD</b:StateProvince>
    <b:CountryRegion>USA</b:CountryRegion>
    <b:RefOrder>13</b:RefOrder>
  </b:Source>
  <b:Source>
    <b:Tag>GSF03</b:Tag>
    <b:SourceType>Misc</b:SourceType>
    <b:Guid>{274DABCA-9561-A94B-8CAD-5057AD00278A}</b:Guid>
    <b:Author>
      <b:Author>
        <b:Corporate>GSFC Parts and Packaging Branch</b:Corporate>
      </b:Author>
    </b:Author>
    <b:Title>Instructions for EEE Parts Selection, Screening, Qualification, and Derating</b:Title>
    <b:Year>2003</b:Year>
    <b:City>Greenbelt</b:City>
    <b:StateProvince>MD </b:StateProvince>
    <b:CountryRegion>USA</b:CountryRegion>
    <b:Publisher>GSFC</b:Publisher>
    <b:RefOrder>22</b:RefOrder>
  </b:Source>
  <b:Source>
    <b:Tag>GSF12</b:Tag>
    <b:SourceType>Misc</b:SourceType>
    <b:Guid>{8ADF0EC6-56B4-D246-80DE-EC60080B1EC0}</b:Guid>
    <b:Author>
      <b:Author>
        <b:Corporate>GSFC</b:Corporate>
      </b:Author>
    </b:Author>
    <b:Title>GSFC Procedural Requirements 7120.4D:  Risk Management</b:Title>
    <b:Year>2012</b:Year>
    <b:Month>August </b:Month>
    <b:Day>9</b:Day>
    <b:City>Greenbelt </b:City>
    <b:StateProvince>MD</b:StateProvince>
    <b:CountryRegion>USA</b:CountryRegion>
    <b:Publisher>GSFC</b:Publisher>
    <b:RefOrder>11</b:RefOrder>
  </b:Source>
  <b:Source>
    <b:Tag>GSF17</b:Tag>
    <b:SourceType>Misc</b:SourceType>
    <b:Guid>{513BA883-F0FD-E34E-AE29-6D18DCC320F5}</b:Guid>
    <b:Author>
      <b:Author>
        <b:Corporate>GSFC</b:Corporate>
      </b:Author>
    </b:Author>
    <b:Title>Guideline for Performing Risk Assessments</b:Title>
    <b:Year>2017</b:Year>
    <b:Month>September</b:Month>
    <b:Day>28</b:Day>
    <b:City>Greenbelt</b:City>
    <b:StateProvince>MD</b:StateProvince>
    <b:CountryRegion>USA</b:CountryRegion>
    <b:Publisher>GSFC</b:Publisher>
    <b:RefOrder>12</b:RefOrder>
  </b:Source>
  <b:Source>
    <b:Tag>Lei22</b:Tag>
    <b:SourceType>JournalArticle</b:SourceType>
    <b:Guid>{A91DFE42-AB29-9745-90BE-468F318082DB}</b:Guid>
    <b:Title>Assurance of electronic parts for aerospace system reliability: Past, present, and future</b:Title>
    <b:Year>2022</b:Year>
    <b:Author>
      <b:Author>
        <b:NameList>
          <b:Person>
            <b:Last>Leitner</b:Last>
            <b:First>Jesse</b:First>
          </b:Person>
          <b:Person>
            <b:Last>Sood</b:Last>
            <b:First>Bhanu</b:First>
          </b:Person>
        </b:NameList>
      </b:Author>
    </b:Author>
    <b:JournalName>Quality Engineering</b:JournalName>
    <b:Pages>159-175</b:Pages>
    <b:RefOrder>16</b:RefOrder>
  </b:Source>
  <b:Source>
    <b:Tag>Lei181</b:Tag>
    <b:SourceType>JournalArticle</b:SourceType>
    <b:Guid>{9BE86305-3415-C54C-BB7E-6D364C7AB5B8}</b:Guid>
    <b:Title>Risk-based safety and mission assurance: Approach and experiences in practice</b:Title>
    <b:JournalName>Quality Engineering</b:JournalName>
    <b:Year>2018</b:Year>
    <b:Pages>648-662</b:Pages>
    <b:Author>
      <b:Author>
        <b:NameList>
          <b:Person>
            <b:Last>Leitner</b:Last>
            <b:First>Jesse</b:First>
          </b:Person>
          <b:Person>
            <b:Last>Sood</b:Last>
            <b:First>Bhanu</b:First>
          </b:Person>
          <b:Person>
            <b:Last>Isaac</b:Last>
            <b:First>Eric</b:First>
          </b:Person>
          <b:Person>
            <b:Last>Shue</b:Last>
            <b:First>Jack</b:First>
          </b:Person>
          <b:Person>
            <b:Last>Lindsey</b:Last>
            <b:First>Nancy</b:First>
          </b:Person>
          <b:Person>
            <b:Last>Plante</b:Last>
            <b:First>Jeannette</b:First>
          </b:Person>
        </b:NameList>
      </b:Author>
    </b:Author>
    <b:RefOrder>19</b:RefOrder>
  </b:Source>
  <b:Source>
    <b:Tag>bor</b:Tag>
    <b:SourceType>ConferenceProceedings</b:SourceType>
    <b:Guid>{C6713348-A392-E04D-9B60-351E756607F8}</b:Guid>
    <b:Author>
      <b:Author>
        <b:NameList>
          <b:Person>
            <b:Last>Bordi</b:Last>
            <b:First>Francesco</b:First>
          </b:Person>
          <b:Person>
            <b:Last>Scolese</b:Last>
            <b:First>Christopher</b:First>
          </b:Person>
        </b:NameList>
      </b:Author>
    </b:Author>
    <b:Title>A New Approach to Mission Classification and Risk Management forNASA Space Flight Missions</b:Title>
    <b:ConferenceName>69th International Astronautical Conference</b:ConferenceName>
    <b:Publisher>IAC</b:Publisher>
    <b:City>Bremen</b:City>
    <b:Year>2018</b:Year>
    <b:RefOrder>20</b:RefOrder>
  </b:Source>
  <b:Source>
    <b:Tag>Hyd22</b:Tag>
    <b:SourceType>ArticleInAPeriodical</b:SourceType>
    <b:Guid>{3CE29CA3-FCFC-BC4D-AED9-E7551FE0B4B3}</b:Guid>
    <b:Author>
      <b:Author>
        <b:NameList>
          <b:Person>
            <b:Last>Leitner</b:Last>
            <b:First>Jesse</b:First>
          </b:Person>
          <b:Person>
            <b:Last>Hyde</b:Last>
            <b:First>Tupper</b:First>
          </b:Person>
        </b:NameList>
      </b:Author>
    </b:Author>
    <b:Title>How NASA decided Webb was ready: Inside the risk assessment</b:Title>
    <b:Year>2022</b:Year>
    <b:Month>February</b:Month>
    <b:PeriodicalTitle>Aerospace America</b:PeriodicalTitle>
    <b:RefOrder>21</b:RefOrder>
  </b:Source>
  <b:Source>
    <b:Tag>NAS21</b:Tag>
    <b:SourceType>Misc</b:SourceType>
    <b:Guid>{40A0C514-2645-E143-AD46-6907DC813AE4}</b:Guid>
    <b:Title>Risk Classification for NASA Payloads</b:Title>
    <b:Year>2021</b:Year>
    <b:Author>
      <b:Author>
        <b:Corporate>NASA</b:Corporate>
      </b:Author>
    </b:Author>
    <b:Month>April </b:Month>
    <b:Day>29</b:Day>
    <b:City>Washington</b:City>
    <b:StateProvince>DC</b:StateProvince>
    <b:CountryRegion>USA</b:CountryRegion>
    <b:Publisher>NASA</b:Publisher>
    <b:RefOrder>1</b:RefOrder>
  </b:Source>
  <b:Source>
    <b:Tag>USD92</b:Tag>
    <b:SourceType>Misc</b:SourceType>
    <b:Guid>{00B21360-1C6E-A945-9B96-05C9F1BCC7B9}</b:Guid>
    <b:Author>
      <b:Author>
        <b:Corporate>US Dept of Defense</b:Corporate>
      </b:Author>
    </b:Author>
    <b:Title>Design, Construction, and Testing Requirements for one of Kind Space Equipment</b:Title>
    <b:Year>1992</b:Year>
    <b:Month>Sept</b:Month>
    <b:Day>4</b:Day>
    <b:Publisher>Naval Publications and Forms Center</b:Publisher>
    <b:RefOrder>2</b:RefOrder>
  </b:Source>
  <b:Source>
    <b:Tag>Lei221</b:Tag>
    <b:SourceType>JournalArticle</b:SourceType>
    <b:Guid>{FC779381-5484-714A-AEDF-0AF49961F7E0}</b:Guid>
    <b:Title>Assurance of Electronic Parts for Aerospace System Reliability: Past, Present, and Future</b:Title>
    <b:Year>2022</b:Year>
    <b:JournalName>Quality Engineering</b:JournalName>
    <b:Pages>159-175</b:Pages>
    <b:Author>
      <b:Author>
        <b:NameList>
          <b:Person>
            <b:Last>Leitner</b:Last>
            <b:First>Jesse </b:First>
          </b:Person>
          <b:Person>
            <b:Last>Sood</b:Last>
            <b:First>Bhanu</b:First>
          </b:Person>
        </b:NameList>
      </b:Author>
    </b:Author>
    <b:RefOrder>23</b:RefOrder>
  </b:Source>
  <b:Source>
    <b:Tag>Gil12</b:Tag>
    <b:SourceType>ArticleInAPeriodical</b:SourceType>
    <b:Guid>{FD4C49BE-1F92-4743-87D7-5FB98AC2D78A}</b:Guid>
    <b:Title>Going Nuclear Over the Pacific</b:Title>
    <b:Year>2012</b:Year>
    <b:Author>
      <b:Author>
        <b:NameList>
          <b:Person>
            <b:Last>King</b:Last>
            <b:First>Gilbert</b:First>
          </b:Person>
        </b:NameList>
      </b:Author>
    </b:Author>
    <b:PeriodicalTitle>Smithsonian Magazine</b:PeriodicalTitle>
    <b:Month>August</b:Month>
    <b:Day>15</b:Day>
    <b:RefOrder>4</b:RefOrder>
  </b:Source>
  <b:Source>
    <b:Tag>NAS20</b:Tag>
    <b:SourceType>InternetSite</b:SourceType>
    <b:Guid>{BFA61549-34DC-8840-8612-77E05B581A91}</b:Guid>
    <b:Author>
      <b:Author>
        <b:Corporate>NASA</b:Corporate>
      </b:Author>
    </b:Author>
    <b:Title>A Short History of Earth's Radiation Belts</b:Title>
    <b:Year>2020</b:Year>
    <b:Month>May</b:Month>
    <b:Day>19</b:Day>
    <b:InternetSiteTitle>nasa.gov</b:InternetSiteTitle>
    <b:URL>https://www.nasa.gov/mission_pages/rbsp/science/rbsp-history.html</b:URL>
    <b:RefOrder>5</b:RefOrder>
  </b:Source>
  <b:Source>
    <b:Tag>Bed96</b:Tag>
    <b:SourceType>Report</b:SourceType>
    <b:Guid>{BD2D5FDE-FCF9-A94D-A077-FBEC2E1BE275}</b:Guid>
    <b:Title>Spacecraft System Failures and Anomalies Attributed to the Natural Space Environment</b:Title>
    <b:Year>1996</b:Year>
    <b:Publisher>NASA</b:Publisher>
    <b:City>Huntsville</b:City>
    <b:Author>
      <b:Author>
        <b:NameList>
          <b:Person>
            <b:Last>Bedingfield</b:Last>
            <b:Middle>L</b:Middle>
            <b:First>K</b:First>
          </b:Person>
          <b:Person>
            <b:Last>Leach</b:Last>
            <b:Middle>D</b:Middle>
            <b:First>R</b:First>
          </b:Person>
          <b:Person>
            <b:Last>Alexander</b:Last>
            <b:Middle>B</b:Middle>
            <b:First>M</b:First>
          </b:Person>
        </b:NameList>
      </b:Author>
    </b:Author>
    <b:RefOrder>6</b:RefOrder>
  </b:Source>
  <b:Source>
    <b:Tag>NAS17</b:Tag>
    <b:SourceType>InternetSite</b:SourceType>
    <b:Guid>{8BAF2743-62BE-FB4F-B0F4-A977D61EFB33}</b:Guid>
    <b:Title>Halloween Storms of 2003 Still the Scariest</b:Title>
    <b:Year>2017</b:Year>
    <b:Author>
      <b:Author>
        <b:Corporate>NASA</b:Corporate>
      </b:Author>
    </b:Author>
    <b:InternetSiteTitle>nasa.gov</b:InternetSiteTitle>
    <b:URL>https://www.nasa.gov/topics/solarsystem/features/halloween_storms.html</b:URL>
    <b:Month>Aug</b:Month>
    <b:Day>7</b:Day>
    <b:RefOrder>7</b:RefOrder>
  </b:Source>
  <b:Source>
    <b:Tag>Lei222</b:Tag>
    <b:SourceType>DocumentFromInternetSite</b:SourceType>
    <b:Guid>{BD56506A-680C-A746-8978-5E421F062FC8}</b:Guid>
    <b:Title>A structure for lessons learned capture with several lessons from EEE parts and printed circuit boards</b:Title>
    <b:InternetSiteTitle>NASA Engineering and Safety Center Human Factors</b:InternetSiteTitle>
    <b:URL>https://nescacademy.nasa.gov/video/6e3615a5fbfc477fa65f92244597777c1d</b:URL>
    <b:Year>2022</b:Year>
    <b:Month>January</b:Month>
    <b:Author>
      <b:Author>
        <b:NameList>
          <b:Person>
            <b:Last>Leitner</b:Last>
            <b:First>Jesse</b:First>
          </b:Person>
        </b:NameList>
      </b:Author>
    </b:Author>
    <b:RefOrder>8</b:RefOrder>
  </b:Source>
  <b:Source>
    <b:Tag>Sha91</b:Tag>
    <b:SourceType>JournalArticle</b:SourceType>
    <b:Guid>{EE3AF269-8A71-7942-B663-FC28603AC517}</b:Guid>
    <b:Title>Wafer-level radiation testing for hardness assurance</b:Title>
    <b:Year>1991</b:Year>
    <b:Author>
      <b:Author>
        <b:NameList>
          <b:Person>
            <b:Last>Shaneyfelt</b:Last>
            <b:Middle>R</b:Middle>
            <b:First>M</b:First>
          </b:Person>
          <b:Person>
            <b:Last>Hughes</b:Last>
            <b:Middle>L</b:Middle>
            <b:First>K</b:First>
          </b:Person>
          <b:Person>
            <b:Last>Sexton</b:Last>
            <b:Middle>W</b:Middle>
            <b:First>F</b:First>
          </b:Person>
          <b:Person>
            <b:Last>Fleetwood</b:Last>
            <b:Middle>M</b:Middle>
            <b:First>D</b:First>
          </b:Person>
          <b:Person>
            <b:Last>Winokur</b:Last>
            <b:Middle>S</b:Middle>
            <b:First>P</b:First>
          </b:Person>
          <b:Person>
            <b:Last>Enlow</b:Last>
            <b:Middle>W</b:Middle>
            <b:First>E</b:First>
          </b:Person>
        </b:NameList>
      </b:Author>
    </b:Author>
    <b:JournalName>IEEE Transactions on Nuclear Science</b:JournalName>
    <b:Volume>38</b:Volume>
    <b:Issue>6</b:Issue>
    <b:Pages>1598-1605</b:Pages>
    <b:RefOrder>3</b:RefOrder>
  </b:Source>
  <b:Source>
    <b:Tag>LiW19</b:Tag>
    <b:SourceType>JournalArticle</b:SourceType>
    <b:Guid>{DE58FEB9-6808-7247-BF33-4962B0BFF9AE}</b:Guid>
    <b:Title>Earth's Van Allen Radiation Belts:  from Discovery to the Van Allen Probes Era</b:Title>
    <b:JournalName>Journal of Geophysical Research:  Space Physics</b:JournalName>
    <b:Year>2019</b:Year>
    <b:Volume>124</b:Volume>
    <b:Issue>11</b:Issue>
    <b:Pages>8319-8351</b:Pages>
    <b:Author>
      <b:Author>
        <b:NameList>
          <b:Person>
            <b:Last>Li</b:Last>
            <b:First>W</b:First>
          </b:Person>
          <b:Person>
            <b:Last>Hudson</b:Last>
            <b:Middle>K</b:Middle>
            <b:First>M</b:First>
          </b:Person>
        </b:NameList>
      </b:Author>
    </b:Author>
    <b:RefOrder>15</b:RefOrder>
  </b:Source>
  <b:Source>
    <b:Tag>Adl21</b:Tag>
    <b:SourceType>ArticleInAPeriodical</b:SourceType>
    <b:Guid>{F5E41668-E62D-AF42-A39D-097A1E032BF5}</b:Guid>
    <b:Title>The spacecraft-killing anomaly over the South Atlantic</b:Title>
    <b:Year>2021</b:Year>
    <b:Author>
      <b:Author>
        <b:NameList>
          <b:Person>
            <b:Last>Adler</b:Last>
            <b:First>Doug</b:First>
          </b:Person>
        </b:NameList>
      </b:Author>
    </b:Author>
    <b:PeriodicalTitle>Astronomy</b:PeriodicalTitle>
    <b:Month>February</b:Month>
    <b:Day>19</b:Day>
    <b:RefOrder>14</b:RefOrder>
  </b:Source>
  <b:Source>
    <b:Tag>NAS191</b:Tag>
    <b:SourceType>InternetSite</b:SourceType>
    <b:Guid>{E32C23C4-E11D-9E4A-BFA4-23A6F8D30D6A}</b:Guid>
    <b:Title>NASA lesson learned:  Proximate Cause of the SMAP Radar Failure</b:Title>
    <b:Year>2019</b:Year>
    <b:Month>March</b:Month>
    <b:Day>30</b:Day>
    <b:Author>
      <b:Author>
        <b:Corporate>NASA JPL</b:Corporate>
      </b:Author>
    </b:Author>
    <b:URL>https://llis.nasa.gov/lesson/27701</b:URL>
    <b:YearAccessed>2022</b:YearAccessed>
    <b:MonthAccessed>July</b:MonthAccessed>
    <b:DayAccessed>15</b:DayAccessed>
    <b:RefOrder>10</b:RefOrder>
  </b:Source>
  <b:Source>
    <b:Tag>Fer19</b:Tag>
    <b:SourceType>Report</b:SourceType>
    <b:Guid>{8F7BD05B-FE1F-0C4F-848A-DFE3A89D70E1}</b:Guid>
    <b:Title>2019 Satellite Lifetime Study</b:Title>
    <b:Year>2019</b:Year>
    <b:Publisher>The Aerospace Corporation</b:Publisher>
    <b:City>El Segundo</b:City>
    <b:Author>
      <b:Author>
        <b:NameList>
          <b:Person>
            <b:Last>Ferrone</b:Last>
            <b:Middle>L</b:Middle>
            <b:First>Kristine</b:First>
          </b:Person>
          <b:Person>
            <b:Last>Tran</b:Last>
            <b:Middle>T</b:Middle>
            <b:First>Thanh</b:First>
          </b:Person>
          <b:Person>
            <b:Last>Cavanaugh</b:Last>
            <b:First>Michael</b:First>
          </b:Person>
          <b:Person>
            <b:Last>Brown</b:Last>
            <b:Middle>F</b:Middle>
            <b:First>Nichols</b:First>
          </b:Person>
        </b:NameList>
      </b:Author>
    </b:Author>
    <b:RefOrder>9</b:RefOrder>
  </b:Source>
  <b:Source>
    <b:Tag>NAS211</b:Tag>
    <b:SourceType>Misc</b:SourceType>
    <b:Guid>{D0C28E0C-9135-7647-B864-F1389D821907}</b:Guid>
    <b:Title>GSFC-STD-1000:  Rules for the Design, Development, Verification, and Operation of Flight Systems</b:Title>
    <b:City>Greenbelt</b:City>
    <b:Publisher>NASA GSFC</b:Publisher>
    <b:Year>2021</b:Year>
    <b:Author>
      <b:Author>
        <b:Corporate>NASA GSFC</b:Corporate>
      </b:Author>
    </b:Author>
    <b:RefOrder>17</b:RefOrder>
  </b:Source>
  <b:Source>
    <b:Tag>NAS212</b:Tag>
    <b:SourceType>Misc</b:SourceType>
    <b:Guid>{3D843A1C-701B-C242-A1EA-55822A68DDA5}</b:Guid>
    <b:Author>
      <b:Author>
        <b:Corporate>NASA GSFC</b:Corporate>
      </b:Author>
    </b:Author>
    <b:Title>GSFC-STD-7000:  General Environmental Verification Standard</b:Title>
    <b:Year>2021</b:Year>
    <b:City>Greenbelt</b:City>
    <b:Publisher>NASA GSFC</b:Publisher>
    <b:RefOrder>18</b:RefOrder>
  </b:Source>
</b:Sources>
</file>

<file path=customXml/itemProps1.xml><?xml version="1.0" encoding="utf-8"?>
<ds:datastoreItem xmlns:ds="http://schemas.openxmlformats.org/officeDocument/2006/customXml" ds:itemID="{72EAA783-ADF2-4B42-A9F6-F0E187E3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7652</Words>
  <Characters>43621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Leitner, Jesse A. (MAF-3000)</dc:creator>
  <cp:keywords/>
  <dc:description/>
  <cp:lastModifiedBy>Leitner, Jesse A. (GSFC-3000)</cp:lastModifiedBy>
  <cp:revision>2</cp:revision>
  <dcterms:created xsi:type="dcterms:W3CDTF">2022-11-01T14:24:00Z</dcterms:created>
  <dcterms:modified xsi:type="dcterms:W3CDTF">2022-11-01T14:24:00Z</dcterms:modified>
</cp:coreProperties>
</file>