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0200" w14:textId="03B9C487" w:rsidR="005C2F11" w:rsidRPr="00991782" w:rsidRDefault="00991782" w:rsidP="00196225">
      <w:pPr>
        <w:spacing w:before="120" w:after="120" w:line="259" w:lineRule="auto"/>
        <w:rPr>
          <w:rFonts w:cstheme="majorHAnsi"/>
          <w:b/>
        </w:rPr>
      </w:pPr>
      <w:bookmarkStart w:id="0" w:name="_Hlk85712087"/>
      <w:r>
        <w:rPr>
          <w:rFonts w:cstheme="majorHAnsi"/>
          <w:b/>
        </w:rPr>
        <w:t>21-4</w:t>
      </w:r>
      <w:r w:rsidR="005C2F11" w:rsidRPr="00991782">
        <w:rPr>
          <w:rFonts w:cstheme="majorHAnsi"/>
          <w:b/>
        </w:rPr>
        <w:t xml:space="preserve">: </w:t>
      </w:r>
      <w:bookmarkStart w:id="1" w:name="_Hlk111539730"/>
      <w:bookmarkEnd w:id="1"/>
      <w:r w:rsidR="005C2F11" w:rsidRPr="00991782">
        <w:rPr>
          <w:b/>
        </w:rPr>
        <w:t>Biofilm Study Under Simulated Microgravity</w:t>
      </w:r>
    </w:p>
    <w:p w14:paraId="7A3988BF" w14:textId="77777777" w:rsidR="005C2F11" w:rsidRPr="0003147F" w:rsidRDefault="005C2F11" w:rsidP="00196225">
      <w:pPr>
        <w:spacing w:before="120" w:after="120" w:line="259" w:lineRule="auto"/>
        <w:rPr>
          <w:rFonts w:cstheme="majorHAnsi"/>
        </w:rPr>
      </w:pPr>
      <w:r w:rsidRPr="0003147F">
        <w:rPr>
          <w:rFonts w:cstheme="majorHAnsi"/>
          <w:b/>
        </w:rPr>
        <w:t>Project PI:</w:t>
      </w:r>
      <w:r w:rsidRPr="0003147F">
        <w:rPr>
          <w:rFonts w:cstheme="majorHAnsi"/>
          <w:bCs/>
        </w:rPr>
        <w:t xml:space="preserve"> </w:t>
      </w:r>
      <w:r>
        <w:rPr>
          <w:rFonts w:cstheme="majorHAnsi"/>
        </w:rPr>
        <w:t>Aubrie O’Rourke (aubrie.e.orourke@nasa.gov)</w:t>
      </w:r>
    </w:p>
    <w:p w14:paraId="0C4003EC" w14:textId="67164BE6" w:rsidR="005C2F11" w:rsidRPr="00422FC1" w:rsidRDefault="005C2F11" w:rsidP="00196225">
      <w:pPr>
        <w:spacing w:before="120" w:after="120" w:line="259" w:lineRule="auto"/>
        <w:rPr>
          <w:rFonts w:cstheme="majorHAnsi"/>
        </w:rPr>
      </w:pPr>
      <w:r w:rsidRPr="0003147F">
        <w:rPr>
          <w:rFonts w:cstheme="majorHAnsi"/>
          <w:b/>
          <w:bCs/>
        </w:rPr>
        <w:t>Team Members:</w:t>
      </w:r>
      <w:r w:rsidRPr="0003147F">
        <w:rPr>
          <w:rFonts w:cstheme="majorHAnsi"/>
        </w:rPr>
        <w:t xml:space="preserve"> </w:t>
      </w:r>
      <w:r>
        <w:t>Angie Diaz (</w:t>
      </w:r>
      <w:r w:rsidRPr="00422FC1">
        <w:t>angie.m.diaz@nasa.gov</w:t>
      </w:r>
      <w:r>
        <w:t>),</w:t>
      </w:r>
      <w:r w:rsidRPr="00376CC5">
        <w:t xml:space="preserve"> </w:t>
      </w:r>
      <w:r>
        <w:t>Anirudha Dixit (</w:t>
      </w:r>
      <w:r w:rsidRPr="00422FC1">
        <w:t>anirudha.dixit@nasa.gov</w:t>
      </w:r>
      <w:r>
        <w:t>),</w:t>
      </w:r>
      <w:r>
        <w:rPr>
          <w:vertAlign w:val="superscript"/>
        </w:rPr>
        <w:t xml:space="preserve"> </w:t>
      </w:r>
      <w:r>
        <w:t>Christina Khodadad (</w:t>
      </w:r>
      <w:r w:rsidRPr="00422FC1">
        <w:t>christina.l.khodadad-1@nasa.gov</w:t>
      </w:r>
      <w:r>
        <w:t>),</w:t>
      </w:r>
      <w:r>
        <w:rPr>
          <w:vertAlign w:val="superscript"/>
        </w:rPr>
        <w:t xml:space="preserve"> </w:t>
      </w:r>
      <w:r>
        <w:t>Mary Hummerick (</w:t>
      </w:r>
      <w:r w:rsidRPr="00422FC1">
        <w:t>mary.e.hummerick@nasa.gov</w:t>
      </w:r>
      <w:r>
        <w:t>),</w:t>
      </w:r>
      <w:r w:rsidRPr="00812A21">
        <w:rPr>
          <w:szCs w:val="22"/>
          <w:vertAlign w:val="superscript"/>
        </w:rPr>
        <w:t xml:space="preserve"> </w:t>
      </w:r>
      <w:r>
        <w:t xml:space="preserve"> Wenyan Li</w:t>
      </w:r>
      <w:r>
        <w:rPr>
          <w:vertAlign w:val="superscript"/>
        </w:rPr>
        <w:t xml:space="preserve"> </w:t>
      </w:r>
      <w:r>
        <w:t>(</w:t>
      </w:r>
      <w:r w:rsidRPr="00422FC1">
        <w:t>wenyan.li-1@nasa.gov</w:t>
      </w:r>
      <w:r>
        <w:t>)</w:t>
      </w:r>
    </w:p>
    <w:bookmarkEnd w:id="0"/>
    <w:p w14:paraId="0EE32404" w14:textId="77777777" w:rsidR="005C2F11" w:rsidRPr="0003147F" w:rsidRDefault="005C2F11" w:rsidP="00196225">
      <w:pPr>
        <w:spacing w:before="120" w:after="120" w:line="259" w:lineRule="auto"/>
        <w:rPr>
          <w:rFonts w:cstheme="majorHAnsi"/>
        </w:rPr>
      </w:pPr>
      <w:r w:rsidRPr="0003147F">
        <w:rPr>
          <w:rFonts w:cstheme="majorHAnsi"/>
          <w:b/>
        </w:rPr>
        <w:t>Activity Type</w:t>
      </w:r>
      <w:r w:rsidRPr="002B34A5">
        <w:rPr>
          <w:rFonts w:cstheme="majorHAnsi"/>
          <w:b/>
          <w:bCs/>
        </w:rPr>
        <w:t>:</w:t>
      </w:r>
      <w:r w:rsidRPr="0003147F">
        <w:rPr>
          <w:rFonts w:cstheme="majorHAnsi"/>
        </w:rPr>
        <w:t xml:space="preserve"> New Start</w:t>
      </w:r>
    </w:p>
    <w:p w14:paraId="0BD7A94E" w14:textId="28421A18" w:rsidR="005C2F11" w:rsidRPr="0003147F" w:rsidRDefault="005C2F11" w:rsidP="00AE5064">
      <w:pPr>
        <w:spacing w:before="120" w:after="120" w:line="259" w:lineRule="auto"/>
        <w:rPr>
          <w:rFonts w:cstheme="majorHAnsi"/>
          <w:b/>
        </w:rPr>
      </w:pPr>
      <w:r w:rsidRPr="0003147F">
        <w:rPr>
          <w:rFonts w:cstheme="majorHAnsi"/>
          <w:b/>
        </w:rPr>
        <w:t>Primary Taxonomy:</w:t>
      </w:r>
      <w:r w:rsidRPr="0003147F">
        <w:rPr>
          <w:rFonts w:cstheme="majorHAnsi"/>
          <w:bCs/>
        </w:rPr>
        <w:t xml:space="preserve"> </w:t>
      </w:r>
      <w:r>
        <w:rPr>
          <w:rFonts w:cstheme="majorHAnsi"/>
          <w:bCs/>
        </w:rPr>
        <w:t>TX0</w:t>
      </w:r>
      <w:r w:rsidRPr="00422FC1">
        <w:rPr>
          <w:rFonts w:cstheme="majorHAnsi"/>
        </w:rPr>
        <w:t>6.1.2 Water Recovery and Management</w:t>
      </w:r>
    </w:p>
    <w:p w14:paraId="6B86C01E" w14:textId="77777777" w:rsidR="005C2F11" w:rsidRPr="0003147F" w:rsidRDefault="005C2F11" w:rsidP="00196225">
      <w:pPr>
        <w:spacing w:before="120" w:after="120" w:line="259" w:lineRule="auto"/>
        <w:rPr>
          <w:rFonts w:cstheme="majorHAnsi"/>
        </w:rPr>
      </w:pPr>
      <w:r w:rsidRPr="0003147F">
        <w:rPr>
          <w:rFonts w:cstheme="majorHAnsi"/>
          <w:b/>
        </w:rPr>
        <w:t>Start TRL:</w:t>
      </w:r>
      <w:r w:rsidRPr="0003147F">
        <w:rPr>
          <w:rFonts w:cstheme="majorHAnsi"/>
          <w:bCs/>
        </w:rPr>
        <w:t xml:space="preserve"> </w:t>
      </w:r>
      <w:r>
        <w:rPr>
          <w:rFonts w:cstheme="majorHAnsi"/>
        </w:rPr>
        <w:t>1</w:t>
      </w:r>
      <w:r>
        <w:rPr>
          <w:rFonts w:cstheme="majorHAnsi"/>
        </w:rPr>
        <w:tab/>
      </w:r>
      <w:r w:rsidRPr="0003147F">
        <w:rPr>
          <w:rFonts w:cstheme="majorHAnsi"/>
          <w:b/>
        </w:rPr>
        <w:t>End TRL:</w:t>
      </w:r>
      <w:r w:rsidRPr="0003147F">
        <w:rPr>
          <w:rFonts w:cstheme="majorHAnsi"/>
          <w:bCs/>
        </w:rPr>
        <w:t xml:space="preserve"> </w:t>
      </w:r>
      <w:r>
        <w:rPr>
          <w:rFonts w:cstheme="majorHAnsi"/>
        </w:rPr>
        <w:t>3</w:t>
      </w:r>
    </w:p>
    <w:p w14:paraId="69439B6F" w14:textId="4D731793" w:rsidR="005C2F11" w:rsidRDefault="00E07E14" w:rsidP="00196225">
      <w:pPr>
        <w:spacing w:before="120" w:after="120" w:line="259" w:lineRule="auto"/>
        <w:rPr>
          <w:sz w:val="23"/>
          <w:szCs w:val="23"/>
        </w:rPr>
      </w:pPr>
      <w:r w:rsidRPr="0003147F">
        <w:rPr>
          <w:rFonts w:cstheme="majorHAnsi"/>
          <w:b/>
        </w:rPr>
        <w:t>Executive Summary</w:t>
      </w:r>
      <w:r w:rsidR="005C2F11">
        <w:rPr>
          <w:rFonts w:cstheme="majorHAnsi"/>
          <w:b/>
        </w:rPr>
        <w:t>:</w:t>
      </w:r>
      <w:r w:rsidR="005C2F11">
        <w:rPr>
          <w:rFonts w:cstheme="majorHAnsi"/>
          <w:bCs/>
        </w:rPr>
        <w:t xml:space="preserve"> </w:t>
      </w:r>
      <w:r w:rsidR="005C2F11" w:rsidRPr="009158F7">
        <w:rPr>
          <w:sz w:val="23"/>
          <w:szCs w:val="23"/>
        </w:rPr>
        <w:t xml:space="preserve">The goal </w:t>
      </w:r>
      <w:r w:rsidR="005C2F11">
        <w:rPr>
          <w:sz w:val="23"/>
          <w:szCs w:val="23"/>
        </w:rPr>
        <w:t>of th</w:t>
      </w:r>
      <w:r w:rsidR="00C63971">
        <w:rPr>
          <w:sz w:val="23"/>
          <w:szCs w:val="23"/>
        </w:rPr>
        <w:t>is</w:t>
      </w:r>
      <w:r w:rsidR="005C2F11">
        <w:rPr>
          <w:sz w:val="23"/>
          <w:szCs w:val="23"/>
        </w:rPr>
        <w:t xml:space="preserve"> study wa</w:t>
      </w:r>
      <w:r w:rsidR="005C2F11" w:rsidRPr="009158F7">
        <w:rPr>
          <w:sz w:val="23"/>
          <w:szCs w:val="23"/>
        </w:rPr>
        <w:t xml:space="preserve">s to understand biofilm formation under microgravity </w:t>
      </w:r>
      <w:r w:rsidR="005C2F11">
        <w:t>(</w:t>
      </w:r>
      <w:bookmarkStart w:id="2" w:name="_Hlk113020177"/>
      <w:bookmarkStart w:id="3" w:name="_Hlk113448570"/>
      <w:r w:rsidR="005C2F11">
        <w:rPr>
          <w:rFonts w:cstheme="minorHAnsi"/>
        </w:rPr>
        <w:t>µ</w:t>
      </w:r>
      <w:bookmarkEnd w:id="2"/>
      <w:r w:rsidR="00096E38">
        <w:rPr>
          <w:rFonts w:cstheme="minorHAnsi"/>
        </w:rPr>
        <w:t>g</w:t>
      </w:r>
      <w:bookmarkEnd w:id="3"/>
      <w:r w:rsidR="005C2F11">
        <w:t>)</w:t>
      </w:r>
      <w:r w:rsidR="00C63971">
        <w:t>,</w:t>
      </w:r>
      <w:r w:rsidR="005C2F11">
        <w:t xml:space="preserve"> </w:t>
      </w:r>
      <w:r w:rsidR="005C2F11">
        <w:rPr>
          <w:sz w:val="23"/>
          <w:szCs w:val="23"/>
        </w:rPr>
        <w:t>in</w:t>
      </w:r>
      <w:r w:rsidR="005C2F11" w:rsidRPr="009158F7">
        <w:rPr>
          <w:sz w:val="23"/>
          <w:szCs w:val="23"/>
        </w:rPr>
        <w:t xml:space="preserve"> </w:t>
      </w:r>
      <w:r w:rsidR="005C2F11">
        <w:rPr>
          <w:sz w:val="23"/>
          <w:szCs w:val="23"/>
        </w:rPr>
        <w:t>support</w:t>
      </w:r>
      <w:r w:rsidR="005C2F11" w:rsidRPr="009158F7">
        <w:rPr>
          <w:sz w:val="23"/>
          <w:szCs w:val="23"/>
        </w:rPr>
        <w:t xml:space="preserve"> </w:t>
      </w:r>
      <w:r w:rsidR="005C2F11">
        <w:rPr>
          <w:sz w:val="23"/>
          <w:szCs w:val="23"/>
        </w:rPr>
        <w:t xml:space="preserve">of </w:t>
      </w:r>
      <w:r w:rsidR="005C2F11" w:rsidRPr="009158F7">
        <w:rPr>
          <w:sz w:val="23"/>
          <w:szCs w:val="23"/>
        </w:rPr>
        <w:t xml:space="preserve">biofilm mitigation </w:t>
      </w:r>
      <w:r w:rsidR="005C2F11">
        <w:rPr>
          <w:sz w:val="23"/>
          <w:szCs w:val="23"/>
        </w:rPr>
        <w:t>efforts in</w:t>
      </w:r>
      <w:r w:rsidR="005C2F11" w:rsidRPr="009158F7">
        <w:rPr>
          <w:sz w:val="23"/>
          <w:szCs w:val="23"/>
        </w:rPr>
        <w:t xml:space="preserve"> </w:t>
      </w:r>
      <w:r w:rsidR="005C2F11">
        <w:rPr>
          <w:sz w:val="23"/>
          <w:szCs w:val="23"/>
        </w:rPr>
        <w:t xml:space="preserve">exploration </w:t>
      </w:r>
      <w:r w:rsidR="005C2F11" w:rsidRPr="009158F7">
        <w:rPr>
          <w:sz w:val="23"/>
          <w:szCs w:val="23"/>
        </w:rPr>
        <w:t xml:space="preserve">water recovery systems. </w:t>
      </w:r>
      <w:r w:rsidR="005C2F11">
        <w:rPr>
          <w:sz w:val="23"/>
          <w:szCs w:val="23"/>
        </w:rPr>
        <w:t>The technical approach was to conduct a m</w:t>
      </w:r>
      <w:r w:rsidR="005C2F11" w:rsidRPr="009532FD">
        <w:rPr>
          <w:sz w:val="23"/>
          <w:szCs w:val="23"/>
        </w:rPr>
        <w:t xml:space="preserve">ass </w:t>
      </w:r>
      <w:r w:rsidR="005C2F11">
        <w:rPr>
          <w:sz w:val="23"/>
          <w:szCs w:val="23"/>
        </w:rPr>
        <w:t>t</w:t>
      </w:r>
      <w:r w:rsidR="005C2F11" w:rsidRPr="009532FD">
        <w:rPr>
          <w:sz w:val="23"/>
          <w:szCs w:val="23"/>
        </w:rPr>
        <w:t xml:space="preserve">ransfer </w:t>
      </w:r>
      <w:r w:rsidR="005C2F11">
        <w:rPr>
          <w:sz w:val="23"/>
          <w:szCs w:val="23"/>
        </w:rPr>
        <w:t>and bacterial culture study</w:t>
      </w:r>
      <w:r w:rsidR="005C2F11" w:rsidRPr="009532FD">
        <w:rPr>
          <w:sz w:val="23"/>
          <w:szCs w:val="23"/>
        </w:rPr>
        <w:t xml:space="preserve"> under </w:t>
      </w:r>
      <w:r w:rsidR="00C63971">
        <w:rPr>
          <w:sz w:val="23"/>
          <w:szCs w:val="23"/>
        </w:rPr>
        <w:t xml:space="preserve">both </w:t>
      </w:r>
      <w:r w:rsidR="005C2F11" w:rsidRPr="009532FD">
        <w:rPr>
          <w:sz w:val="23"/>
          <w:szCs w:val="23"/>
        </w:rPr>
        <w:t xml:space="preserve">simulated </w:t>
      </w:r>
      <w:r w:rsidR="00096E38">
        <w:rPr>
          <w:rFonts w:cstheme="minorHAnsi"/>
        </w:rPr>
        <w:t>µg</w:t>
      </w:r>
      <w:r w:rsidR="00900319" w:rsidRPr="009532FD">
        <w:rPr>
          <w:sz w:val="23"/>
          <w:szCs w:val="23"/>
        </w:rPr>
        <w:t xml:space="preserve"> </w:t>
      </w:r>
      <w:r w:rsidR="005C2F11" w:rsidRPr="009532FD">
        <w:rPr>
          <w:sz w:val="23"/>
          <w:szCs w:val="23"/>
        </w:rPr>
        <w:t xml:space="preserve">and </w:t>
      </w:r>
      <w:r w:rsidR="005C2F11">
        <w:rPr>
          <w:sz w:val="23"/>
          <w:szCs w:val="23"/>
        </w:rPr>
        <w:t xml:space="preserve">ambient </w:t>
      </w:r>
      <w:r w:rsidR="005C2F11" w:rsidRPr="009532FD">
        <w:rPr>
          <w:sz w:val="23"/>
          <w:szCs w:val="23"/>
        </w:rPr>
        <w:t>gravity</w:t>
      </w:r>
      <w:r w:rsidR="005C2F11">
        <w:rPr>
          <w:sz w:val="23"/>
          <w:szCs w:val="23"/>
        </w:rPr>
        <w:t>. The aim was to correlate nutrient consumption to gene expression to better understand biofilm formation.</w:t>
      </w:r>
      <w:r w:rsidR="005C2F11" w:rsidRPr="0029332F">
        <w:rPr>
          <w:sz w:val="23"/>
          <w:szCs w:val="23"/>
        </w:rPr>
        <w:t xml:space="preserve"> </w:t>
      </w:r>
    </w:p>
    <w:p w14:paraId="6872D08A" w14:textId="0FF2150B" w:rsidR="00E07E14" w:rsidRPr="0003147F" w:rsidRDefault="005C2F11" w:rsidP="00196225">
      <w:pPr>
        <w:spacing w:before="120" w:after="120" w:line="259" w:lineRule="auto"/>
        <w:rPr>
          <w:rFonts w:cstheme="majorHAnsi"/>
          <w:b/>
        </w:rPr>
      </w:pPr>
      <w:r>
        <w:rPr>
          <w:color w:val="000000" w:themeColor="text1"/>
        </w:rPr>
        <w:t>A representative species</w:t>
      </w:r>
      <w:r w:rsidRPr="0084313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of bacteria that is commonly cultured from the </w:t>
      </w:r>
      <w:r w:rsidRPr="009158F7">
        <w:rPr>
          <w:sz w:val="23"/>
          <w:szCs w:val="23"/>
        </w:rPr>
        <w:t>I</w:t>
      </w:r>
      <w:r>
        <w:rPr>
          <w:sz w:val="23"/>
          <w:szCs w:val="23"/>
        </w:rPr>
        <w:t xml:space="preserve">nternational </w:t>
      </w:r>
      <w:r w:rsidRPr="009158F7">
        <w:rPr>
          <w:sz w:val="23"/>
          <w:szCs w:val="23"/>
        </w:rPr>
        <w:t>S</w:t>
      </w:r>
      <w:r>
        <w:rPr>
          <w:sz w:val="23"/>
          <w:szCs w:val="23"/>
        </w:rPr>
        <w:t xml:space="preserve">pace </w:t>
      </w:r>
      <w:r w:rsidRPr="009158F7">
        <w:rPr>
          <w:sz w:val="23"/>
          <w:szCs w:val="23"/>
        </w:rPr>
        <w:t>S</w:t>
      </w:r>
      <w:r>
        <w:rPr>
          <w:sz w:val="23"/>
          <w:szCs w:val="23"/>
        </w:rPr>
        <w:t>tation (ISS)</w:t>
      </w:r>
      <w:r w:rsidRPr="009158F7">
        <w:rPr>
          <w:sz w:val="23"/>
          <w:szCs w:val="23"/>
        </w:rPr>
        <w:t xml:space="preserve"> W</w:t>
      </w:r>
      <w:r>
        <w:rPr>
          <w:sz w:val="23"/>
          <w:szCs w:val="23"/>
        </w:rPr>
        <w:t xml:space="preserve">ater </w:t>
      </w:r>
      <w:r w:rsidRPr="009158F7">
        <w:rPr>
          <w:sz w:val="23"/>
          <w:szCs w:val="23"/>
        </w:rPr>
        <w:t>P</w:t>
      </w:r>
      <w:r>
        <w:rPr>
          <w:sz w:val="23"/>
          <w:szCs w:val="23"/>
        </w:rPr>
        <w:t xml:space="preserve">rocessor </w:t>
      </w:r>
      <w:r w:rsidRPr="009158F7">
        <w:rPr>
          <w:sz w:val="23"/>
          <w:szCs w:val="23"/>
        </w:rPr>
        <w:t>A</w:t>
      </w:r>
      <w:r>
        <w:rPr>
          <w:sz w:val="23"/>
          <w:szCs w:val="23"/>
        </w:rPr>
        <w:t>ssembly</w:t>
      </w:r>
      <w:r w:rsidRPr="009158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(WPA) was </w:t>
      </w:r>
      <w:r>
        <w:t xml:space="preserve">cultured in a WPA influent water ersatz formulation </w:t>
      </w:r>
      <w:r w:rsidR="00C63971">
        <w:t xml:space="preserve">that is </w:t>
      </w:r>
      <w:r>
        <w:t>tailored for microbiology studies. A mass transfer rate study was carried out using the ersatz WPA influent water by introducing a water-soluble dye to represent dissolved nutrients and nutrient particles. Imaging of dye diffusion over</w:t>
      </w:r>
      <w:r w:rsidR="00480E7E">
        <w:t xml:space="preserve"> </w:t>
      </w:r>
      <w:r>
        <w:t>time allowed for the comparison of mass transport rates under a series of rotation per minute (</w:t>
      </w:r>
      <w:r w:rsidR="00F50346">
        <w:t>RPM</w:t>
      </w:r>
      <w:r>
        <w:t xml:space="preserve">) speeds for the High Aspect Ratio Vessels (HARVs) on a Rotating Wall Vessel (RWV). This was done to determine the speed that will most accurately simulate the low convective rates experienced under actual </w:t>
      </w:r>
      <w:r w:rsidR="00096E38">
        <w:rPr>
          <w:rFonts w:cstheme="minorHAnsi"/>
        </w:rPr>
        <w:t>µg</w:t>
      </w:r>
      <w:r w:rsidR="00196225">
        <w:t xml:space="preserve"> </w:t>
      </w:r>
      <w:r>
        <w:t xml:space="preserve">conditions. Three biological replicates of the </w:t>
      </w:r>
      <w:r w:rsidRPr="00F47303">
        <w:rPr>
          <w:i/>
          <w:iCs/>
        </w:rPr>
        <w:t>Burkholderia contaminans</w:t>
      </w:r>
      <w:r>
        <w:t xml:space="preserve"> </w:t>
      </w:r>
      <w:r w:rsidR="00196225">
        <w:t>(</w:t>
      </w:r>
      <w:r w:rsidR="00196225" w:rsidRPr="001C685A">
        <w:rPr>
          <w:i/>
          <w:iCs/>
        </w:rPr>
        <w:t>B</w:t>
      </w:r>
      <w:r w:rsidR="00196225">
        <w:rPr>
          <w:i/>
          <w:iCs/>
        </w:rPr>
        <w:t xml:space="preserve">. </w:t>
      </w:r>
      <w:r w:rsidR="00196225" w:rsidRPr="001C685A">
        <w:rPr>
          <w:i/>
          <w:iCs/>
        </w:rPr>
        <w:t>contaminans</w:t>
      </w:r>
      <w:r w:rsidR="00196225">
        <w:t xml:space="preserve">) </w:t>
      </w:r>
      <w:r>
        <w:t xml:space="preserve">microbe were cultured under simulated </w:t>
      </w:r>
      <w:r w:rsidR="00096E38">
        <w:rPr>
          <w:rFonts w:cstheme="minorHAnsi"/>
        </w:rPr>
        <w:t>µg</w:t>
      </w:r>
      <w:r>
        <w:t xml:space="preserve"> with a rotating </w:t>
      </w:r>
      <w:r w:rsidR="00BA426A">
        <w:t xml:space="preserve">(R) </w:t>
      </w:r>
      <w:r>
        <w:t xml:space="preserve">control in the horizontal plane at the determined optimal </w:t>
      </w:r>
      <w:r w:rsidR="00F50346">
        <w:t>RPM</w:t>
      </w:r>
      <w:r>
        <w:t xml:space="preserve"> of 15</w:t>
      </w:r>
      <w:r w:rsidR="00C63971">
        <w:t>,</w:t>
      </w:r>
      <w:r>
        <w:t xml:space="preserve"> along with a </w:t>
      </w:r>
      <w:r w:rsidR="00B13644">
        <w:t>stationary (</w:t>
      </w:r>
      <w:r>
        <w:t>S</w:t>
      </w:r>
      <w:r w:rsidR="00B13644">
        <w:t>)</w:t>
      </w:r>
      <w:r>
        <w:t xml:space="preserve"> reference culture. At T=0</w:t>
      </w:r>
      <w:r w:rsidR="00C63971">
        <w:t>,</w:t>
      </w:r>
      <w:r>
        <w:t xml:space="preserve"> and then at T=1,2,3 (in exponential phase) and T=4 (in </w:t>
      </w:r>
      <w:r w:rsidR="00F50346">
        <w:t>S</w:t>
      </w:r>
      <w:r>
        <w:t xml:space="preserve"> phase), the bacterial culture and ersatz were harvested for transcriptomic and nutrient content analysis, respectively. The experimental results illustrated that phosphate is a limiting nutrient in the WPA ersatz formula. Nutrient analysis illustrated that the </w:t>
      </w:r>
      <w:r w:rsidR="00096E38">
        <w:rPr>
          <w:rFonts w:cstheme="minorHAnsi"/>
        </w:rPr>
        <w:t>µg</w:t>
      </w:r>
      <w:r w:rsidR="00196225">
        <w:t xml:space="preserve"> </w:t>
      </w:r>
      <w:r>
        <w:t xml:space="preserve">treatment culture took up essential nutrients more rapidly than the R and S control cultures, </w:t>
      </w:r>
      <w:r w:rsidRPr="004F4A75">
        <w:t>yet non-essential nutrients remained higher</w:t>
      </w:r>
      <w:r>
        <w:t xml:space="preserve"> in the </w:t>
      </w:r>
      <w:r w:rsidR="00096E38">
        <w:rPr>
          <w:rFonts w:cstheme="minorHAnsi"/>
        </w:rPr>
        <w:t>µg</w:t>
      </w:r>
      <w:r>
        <w:t xml:space="preserve"> treatment than </w:t>
      </w:r>
      <w:r w:rsidR="00EE241A">
        <w:t xml:space="preserve">in the </w:t>
      </w:r>
      <w:r>
        <w:t xml:space="preserve">controls at later timepoints. The rapid uptake and subsequent starvation of phosphate in the culture under </w:t>
      </w:r>
      <w:r w:rsidR="00096E38">
        <w:rPr>
          <w:rFonts w:cstheme="minorHAnsi"/>
        </w:rPr>
        <w:t>µg</w:t>
      </w:r>
      <w:r>
        <w:t xml:space="preserve"> conditions is further illustrated in the transcriptomic response when compared to </w:t>
      </w:r>
      <w:r w:rsidR="00EE241A">
        <w:t>that</w:t>
      </w:r>
      <w:r>
        <w:t xml:space="preserve"> of the R control condition. The subsequent starvation response may serve as one element to explain a moderate enhancement of biofilm formation in the </w:t>
      </w:r>
      <w:r w:rsidR="00096E38">
        <w:rPr>
          <w:rFonts w:cstheme="minorHAnsi"/>
        </w:rPr>
        <w:t>µg</w:t>
      </w:r>
      <w:r>
        <w:t xml:space="preserve"> treatment. One implication of this work is that biofilm mitigation in the ISS environment could be supported by ensuring a steady flow of water as a vehicle for phosphate within the WPA to avoid complete phosphate consumption</w:t>
      </w:r>
      <w:r w:rsidR="00EE241A">
        <w:t>,</w:t>
      </w:r>
      <w:r>
        <w:t xml:space="preserve"> which occurs in times of no flow </w:t>
      </w:r>
      <w:r w:rsidR="00EE241A">
        <w:t xml:space="preserve">and </w:t>
      </w:r>
      <w:r>
        <w:t>le</w:t>
      </w:r>
      <w:r w:rsidR="00EE241A">
        <w:t>a</w:t>
      </w:r>
      <w:r>
        <w:t>d</w:t>
      </w:r>
      <w:r w:rsidR="00EE241A">
        <w:t>s</w:t>
      </w:r>
      <w:r>
        <w:t xml:space="preserve"> to undesired biofilm formation.</w:t>
      </w:r>
    </w:p>
    <w:sectPr w:rsidR="00E07E14" w:rsidRPr="0003147F" w:rsidSect="000B0D0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DB52" w14:textId="77777777" w:rsidR="001D0A6C" w:rsidRDefault="001D0A6C" w:rsidP="005C2F11">
      <w:r>
        <w:separator/>
      </w:r>
    </w:p>
  </w:endnote>
  <w:endnote w:type="continuationSeparator" w:id="0">
    <w:p w14:paraId="4C60C686" w14:textId="77777777" w:rsidR="001D0A6C" w:rsidRDefault="001D0A6C" w:rsidP="005C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C1A7" w14:textId="77777777" w:rsidR="001D0A6C" w:rsidRDefault="001D0A6C" w:rsidP="005C2F11">
      <w:r>
        <w:separator/>
      </w:r>
    </w:p>
  </w:footnote>
  <w:footnote w:type="continuationSeparator" w:id="0">
    <w:p w14:paraId="08E415E7" w14:textId="77777777" w:rsidR="001D0A6C" w:rsidRDefault="001D0A6C" w:rsidP="005C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CCB"/>
    <w:multiLevelType w:val="hybridMultilevel"/>
    <w:tmpl w:val="EB8A988A"/>
    <w:lvl w:ilvl="0" w:tplc="C5F843AE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74B"/>
    <w:multiLevelType w:val="hybridMultilevel"/>
    <w:tmpl w:val="4044C1D6"/>
    <w:lvl w:ilvl="0" w:tplc="D9AAF908">
      <w:start w:val="1"/>
      <w:numFmt w:val="decimal"/>
      <w:lvlText w:val="(%1)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 w15:restartNumberingAfterBreak="0">
    <w:nsid w:val="70EC6225"/>
    <w:multiLevelType w:val="multilevel"/>
    <w:tmpl w:val="F76A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25456"/>
    <w:multiLevelType w:val="hybridMultilevel"/>
    <w:tmpl w:val="EB8A988A"/>
    <w:lvl w:ilvl="0" w:tplc="C5F843AE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37"/>
    <w:rsid w:val="00026BE4"/>
    <w:rsid w:val="00027039"/>
    <w:rsid w:val="0003147F"/>
    <w:rsid w:val="00032817"/>
    <w:rsid w:val="00034192"/>
    <w:rsid w:val="00041C7A"/>
    <w:rsid w:val="00096E38"/>
    <w:rsid w:val="000B0D0F"/>
    <w:rsid w:val="000D1EE1"/>
    <w:rsid w:val="000D6F75"/>
    <w:rsid w:val="001102BF"/>
    <w:rsid w:val="00110B58"/>
    <w:rsid w:val="00117EB1"/>
    <w:rsid w:val="00141A43"/>
    <w:rsid w:val="00143237"/>
    <w:rsid w:val="00174DD2"/>
    <w:rsid w:val="00196225"/>
    <w:rsid w:val="001A4749"/>
    <w:rsid w:val="001C058B"/>
    <w:rsid w:val="001D02FE"/>
    <w:rsid w:val="001D0A6C"/>
    <w:rsid w:val="0022290F"/>
    <w:rsid w:val="00253457"/>
    <w:rsid w:val="002B2627"/>
    <w:rsid w:val="002B34A5"/>
    <w:rsid w:val="002C3429"/>
    <w:rsid w:val="00324977"/>
    <w:rsid w:val="00353ADD"/>
    <w:rsid w:val="00372CE0"/>
    <w:rsid w:val="00393EFD"/>
    <w:rsid w:val="003F287F"/>
    <w:rsid w:val="00442744"/>
    <w:rsid w:val="00480E7E"/>
    <w:rsid w:val="00487FD3"/>
    <w:rsid w:val="00496243"/>
    <w:rsid w:val="004C46CE"/>
    <w:rsid w:val="004F3AB7"/>
    <w:rsid w:val="004F4A75"/>
    <w:rsid w:val="004F549A"/>
    <w:rsid w:val="005864BE"/>
    <w:rsid w:val="005B483A"/>
    <w:rsid w:val="005C2F11"/>
    <w:rsid w:val="005D4118"/>
    <w:rsid w:val="005F4834"/>
    <w:rsid w:val="00631F8F"/>
    <w:rsid w:val="00634615"/>
    <w:rsid w:val="00653267"/>
    <w:rsid w:val="006574C0"/>
    <w:rsid w:val="00660FC1"/>
    <w:rsid w:val="00683C0D"/>
    <w:rsid w:val="006948D8"/>
    <w:rsid w:val="006A1F19"/>
    <w:rsid w:val="006B2655"/>
    <w:rsid w:val="006C0014"/>
    <w:rsid w:val="006E2A0E"/>
    <w:rsid w:val="00712229"/>
    <w:rsid w:val="0073594C"/>
    <w:rsid w:val="00782545"/>
    <w:rsid w:val="0079319B"/>
    <w:rsid w:val="00795F10"/>
    <w:rsid w:val="007A3E98"/>
    <w:rsid w:val="007B7A97"/>
    <w:rsid w:val="007F72F1"/>
    <w:rsid w:val="00825F8C"/>
    <w:rsid w:val="0086001B"/>
    <w:rsid w:val="008976E9"/>
    <w:rsid w:val="008C544E"/>
    <w:rsid w:val="008E41BE"/>
    <w:rsid w:val="008F429C"/>
    <w:rsid w:val="00900319"/>
    <w:rsid w:val="00947D99"/>
    <w:rsid w:val="00953BE6"/>
    <w:rsid w:val="009571AD"/>
    <w:rsid w:val="009627D1"/>
    <w:rsid w:val="00965ACF"/>
    <w:rsid w:val="00966DAB"/>
    <w:rsid w:val="009748BF"/>
    <w:rsid w:val="00974D7B"/>
    <w:rsid w:val="00991782"/>
    <w:rsid w:val="009B6E71"/>
    <w:rsid w:val="00A06B6F"/>
    <w:rsid w:val="00A330AC"/>
    <w:rsid w:val="00A34ABF"/>
    <w:rsid w:val="00A52715"/>
    <w:rsid w:val="00A772E8"/>
    <w:rsid w:val="00AE5064"/>
    <w:rsid w:val="00AE59DE"/>
    <w:rsid w:val="00AF015F"/>
    <w:rsid w:val="00B0157F"/>
    <w:rsid w:val="00B13644"/>
    <w:rsid w:val="00B30D85"/>
    <w:rsid w:val="00B31E53"/>
    <w:rsid w:val="00B379A8"/>
    <w:rsid w:val="00B85AD6"/>
    <w:rsid w:val="00BA426A"/>
    <w:rsid w:val="00BA4B01"/>
    <w:rsid w:val="00BC2258"/>
    <w:rsid w:val="00BC62B2"/>
    <w:rsid w:val="00BC7B40"/>
    <w:rsid w:val="00BE12BC"/>
    <w:rsid w:val="00BF195F"/>
    <w:rsid w:val="00C37FAD"/>
    <w:rsid w:val="00C423C7"/>
    <w:rsid w:val="00C63971"/>
    <w:rsid w:val="00CD58D9"/>
    <w:rsid w:val="00D016DA"/>
    <w:rsid w:val="00D01E0A"/>
    <w:rsid w:val="00D7293E"/>
    <w:rsid w:val="00DD313F"/>
    <w:rsid w:val="00DD55CD"/>
    <w:rsid w:val="00E07E14"/>
    <w:rsid w:val="00E16F32"/>
    <w:rsid w:val="00E2094C"/>
    <w:rsid w:val="00E738D5"/>
    <w:rsid w:val="00E85A23"/>
    <w:rsid w:val="00ED3C6F"/>
    <w:rsid w:val="00EE241A"/>
    <w:rsid w:val="00F10C28"/>
    <w:rsid w:val="00F16426"/>
    <w:rsid w:val="00F50346"/>
    <w:rsid w:val="00F73ED1"/>
    <w:rsid w:val="00FC03CD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2953"/>
  <w15:chartTrackingRefBased/>
  <w15:docId w15:val="{7260383B-BB06-4006-92AA-0317C5A5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E1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237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7E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6E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2F11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5C2F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C2F11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C2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Wagler, Sharon K. (KSC-UBT00)</dc:creator>
  <cp:keywords/>
  <dc:description/>
  <cp:lastModifiedBy>Wagler, Sharon K. (KSC-UBT00)</cp:lastModifiedBy>
  <cp:revision>50</cp:revision>
  <dcterms:created xsi:type="dcterms:W3CDTF">2022-09-02T20:07:00Z</dcterms:created>
  <dcterms:modified xsi:type="dcterms:W3CDTF">2022-11-08T19:55:00Z</dcterms:modified>
</cp:coreProperties>
</file>