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34279" w:rsidRDefault="00E34279">
      <w:pPr>
        <w:pBdr>
          <w:top w:val="nil"/>
          <w:left w:val="nil"/>
          <w:bottom w:val="nil"/>
          <w:right w:val="nil"/>
          <w:between w:val="nil"/>
        </w:pBdr>
        <w:tabs>
          <w:tab w:val="left" w:pos="7329"/>
        </w:tabs>
        <w:jc w:val="right"/>
        <w:rPr>
          <w:rFonts w:ascii="Garamond" w:eastAsia="Garamond" w:hAnsi="Garamond" w:cs="Garamond"/>
          <w:color w:val="000000"/>
          <w:sz w:val="40"/>
          <w:szCs w:val="40"/>
        </w:rPr>
      </w:pPr>
    </w:p>
    <w:p w14:paraId="00000002" w14:textId="77777777" w:rsidR="00E34279" w:rsidRDefault="009F4114">
      <w:pPr>
        <w:pBdr>
          <w:top w:val="nil"/>
          <w:left w:val="nil"/>
          <w:bottom w:val="nil"/>
          <w:right w:val="nil"/>
          <w:between w:val="nil"/>
        </w:pBdr>
        <w:tabs>
          <w:tab w:val="left" w:pos="7329"/>
        </w:tabs>
        <w:jc w:val="right"/>
        <w:rPr>
          <w:rFonts w:ascii="Garamond" w:eastAsia="Garamond" w:hAnsi="Garamond" w:cs="Garamond"/>
          <w:color w:val="000000"/>
          <w:sz w:val="40"/>
          <w:szCs w:val="40"/>
        </w:rPr>
      </w:pPr>
      <w:r>
        <w:rPr>
          <w:rFonts w:ascii="Garamond" w:eastAsia="Garamond" w:hAnsi="Garamond" w:cs="Garamond"/>
          <w:color w:val="000000"/>
          <w:sz w:val="40"/>
          <w:szCs w:val="40"/>
        </w:rPr>
        <w:t>Gulf of Maine Water Resources</w:t>
      </w:r>
    </w:p>
    <w:p w14:paraId="00000003" w14:textId="77777777" w:rsidR="00E34279" w:rsidRDefault="009F4114">
      <w:pPr>
        <w:pBdr>
          <w:top w:val="nil"/>
          <w:left w:val="nil"/>
          <w:bottom w:val="nil"/>
          <w:right w:val="nil"/>
          <w:between w:val="nil"/>
        </w:pBdr>
        <w:jc w:val="right"/>
        <w:rPr>
          <w:rFonts w:ascii="Garamond" w:eastAsia="Garamond" w:hAnsi="Garamond" w:cs="Garamond"/>
          <w:color w:val="000000"/>
          <w:sz w:val="28"/>
          <w:szCs w:val="28"/>
        </w:rPr>
      </w:pPr>
      <w:r>
        <w:rPr>
          <w:rFonts w:ascii="Garamond" w:eastAsia="Garamond" w:hAnsi="Garamond" w:cs="Garamond"/>
          <w:color w:val="000000"/>
          <w:sz w:val="28"/>
          <w:szCs w:val="28"/>
        </w:rPr>
        <w:t xml:space="preserve">Assessing the Use of NASA Earth Observations for Identifying Harmful Algal Blooms of </w:t>
      </w:r>
      <w:r>
        <w:rPr>
          <w:rFonts w:ascii="Garamond" w:eastAsia="Garamond" w:hAnsi="Garamond" w:cs="Garamond"/>
          <w:i/>
          <w:color w:val="000000"/>
          <w:sz w:val="28"/>
          <w:szCs w:val="28"/>
        </w:rPr>
        <w:t>Pseudo-</w:t>
      </w:r>
      <w:proofErr w:type="spellStart"/>
      <w:r>
        <w:rPr>
          <w:rFonts w:ascii="Garamond" w:eastAsia="Garamond" w:hAnsi="Garamond" w:cs="Garamond"/>
          <w:i/>
          <w:color w:val="000000"/>
          <w:sz w:val="28"/>
          <w:szCs w:val="28"/>
        </w:rPr>
        <w:t>nitzschia</w:t>
      </w:r>
      <w:proofErr w:type="spellEnd"/>
      <w:r>
        <w:rPr>
          <w:rFonts w:ascii="Garamond" w:eastAsia="Garamond" w:hAnsi="Garamond" w:cs="Garamond"/>
          <w:color w:val="000000"/>
          <w:sz w:val="28"/>
          <w:szCs w:val="28"/>
        </w:rPr>
        <w:t xml:space="preserve"> in the Gulf of Maine</w:t>
      </w:r>
    </w:p>
    <w:p w14:paraId="00000004" w14:textId="77777777" w:rsidR="00E34279" w:rsidRDefault="00E34279">
      <w:pPr>
        <w:pBdr>
          <w:top w:val="nil"/>
          <w:left w:val="nil"/>
          <w:bottom w:val="nil"/>
          <w:right w:val="nil"/>
          <w:between w:val="nil"/>
        </w:pBdr>
        <w:rPr>
          <w:rFonts w:ascii="Garamond" w:eastAsia="Garamond" w:hAnsi="Garamond" w:cs="Garamond"/>
          <w:color w:val="000000"/>
          <w:sz w:val="32"/>
          <w:szCs w:val="32"/>
        </w:rPr>
      </w:pPr>
    </w:p>
    <w:p w14:paraId="00000005" w14:textId="77777777" w:rsidR="00E34279" w:rsidRDefault="00E34279">
      <w:pPr>
        <w:pBdr>
          <w:top w:val="nil"/>
          <w:left w:val="nil"/>
          <w:bottom w:val="nil"/>
          <w:right w:val="nil"/>
          <w:between w:val="nil"/>
        </w:pBdr>
        <w:rPr>
          <w:rFonts w:ascii="Garamond" w:eastAsia="Garamond" w:hAnsi="Garamond" w:cs="Garamond"/>
          <w:color w:val="000000"/>
          <w:sz w:val="32"/>
          <w:szCs w:val="32"/>
        </w:rPr>
      </w:pPr>
    </w:p>
    <w:p w14:paraId="00000006" w14:textId="77777777" w:rsidR="00E34279" w:rsidRDefault="00E34279">
      <w:pPr>
        <w:pBdr>
          <w:top w:val="nil"/>
          <w:left w:val="nil"/>
          <w:bottom w:val="nil"/>
          <w:right w:val="nil"/>
          <w:between w:val="nil"/>
        </w:pBdr>
        <w:rPr>
          <w:rFonts w:ascii="Garamond" w:eastAsia="Garamond" w:hAnsi="Garamond" w:cs="Garamond"/>
          <w:color w:val="000000"/>
          <w:sz w:val="32"/>
          <w:szCs w:val="32"/>
        </w:rPr>
      </w:pPr>
    </w:p>
    <w:p w14:paraId="00000007" w14:textId="77777777" w:rsidR="00E34279" w:rsidRDefault="00E34279">
      <w:pPr>
        <w:pBdr>
          <w:top w:val="nil"/>
          <w:left w:val="nil"/>
          <w:bottom w:val="nil"/>
          <w:right w:val="nil"/>
          <w:between w:val="nil"/>
        </w:pBdr>
        <w:rPr>
          <w:rFonts w:ascii="Garamond" w:eastAsia="Garamond" w:hAnsi="Garamond" w:cs="Garamond"/>
          <w:color w:val="000000"/>
          <w:sz w:val="32"/>
          <w:szCs w:val="32"/>
        </w:rPr>
      </w:pPr>
    </w:p>
    <w:p w14:paraId="00000008" w14:textId="77777777" w:rsidR="00E34279" w:rsidRDefault="00E34279">
      <w:pPr>
        <w:pBdr>
          <w:top w:val="nil"/>
          <w:left w:val="nil"/>
          <w:bottom w:val="nil"/>
          <w:right w:val="nil"/>
          <w:between w:val="nil"/>
        </w:pBdr>
        <w:jc w:val="center"/>
        <w:rPr>
          <w:rFonts w:ascii="Garamond" w:eastAsia="Garamond" w:hAnsi="Garamond" w:cs="Garamond"/>
          <w:b/>
          <w:color w:val="000000"/>
          <w:sz w:val="32"/>
          <w:szCs w:val="32"/>
        </w:rPr>
      </w:pPr>
    </w:p>
    <w:p w14:paraId="00000009" w14:textId="77777777" w:rsidR="00E34279" w:rsidRDefault="00E34279">
      <w:pPr>
        <w:pBdr>
          <w:top w:val="nil"/>
          <w:left w:val="nil"/>
          <w:bottom w:val="nil"/>
          <w:right w:val="nil"/>
          <w:between w:val="nil"/>
        </w:pBdr>
        <w:jc w:val="center"/>
        <w:rPr>
          <w:rFonts w:ascii="Garamond" w:eastAsia="Garamond" w:hAnsi="Garamond" w:cs="Garamond"/>
          <w:b/>
          <w:color w:val="000000"/>
          <w:sz w:val="32"/>
          <w:szCs w:val="32"/>
        </w:rPr>
      </w:pPr>
    </w:p>
    <w:p w14:paraId="0000000A" w14:textId="77777777" w:rsidR="00E34279" w:rsidRDefault="009F4114">
      <w:pPr>
        <w:pBdr>
          <w:top w:val="nil"/>
          <w:left w:val="nil"/>
          <w:bottom w:val="nil"/>
          <w:right w:val="nil"/>
          <w:between w:val="nil"/>
        </w:pBdr>
        <w:jc w:val="center"/>
        <w:rPr>
          <w:rFonts w:ascii="Garamond" w:eastAsia="Garamond" w:hAnsi="Garamond" w:cs="Garamond"/>
          <w:b/>
          <w:color w:val="000000"/>
          <w:sz w:val="32"/>
          <w:szCs w:val="32"/>
        </w:rPr>
      </w:pPr>
      <w:r>
        <w:rPr>
          <w:rFonts w:ascii="Garamond" w:eastAsia="Garamond" w:hAnsi="Garamond" w:cs="Garamond"/>
          <w:b/>
          <w:color w:val="000000"/>
          <w:sz w:val="32"/>
          <w:szCs w:val="32"/>
        </w:rPr>
        <w:t xml:space="preserve">                 Technical Report</w:t>
      </w:r>
      <w:r>
        <w:rPr>
          <w:rFonts w:ascii="Garamond" w:eastAsia="Garamond" w:hAnsi="Garamond" w:cs="Garamond"/>
          <w:b/>
          <w:color w:val="000000"/>
          <w:sz w:val="32"/>
          <w:szCs w:val="32"/>
        </w:rPr>
        <w:br/>
      </w:r>
      <w:r>
        <w:rPr>
          <w:noProof/>
        </w:rPr>
        <w:drawing>
          <wp:anchor distT="0" distB="0" distL="0" distR="0" simplePos="0" relativeHeight="251658240" behindDoc="0" locked="0" layoutInCell="1" hidden="0" allowOverlap="1">
            <wp:simplePos x="0" y="0"/>
            <wp:positionH relativeFrom="column">
              <wp:posOffset>1628139</wp:posOffset>
            </wp:positionH>
            <wp:positionV relativeFrom="paragraph">
              <wp:posOffset>56430</wp:posOffset>
            </wp:positionV>
            <wp:extent cx="968735" cy="182880"/>
            <wp:effectExtent l="0" t="0" r="0" b="0"/>
            <wp:wrapNone/>
            <wp:docPr id="1941925808" name="image5.png" descr="Picture 1"/>
            <wp:cNvGraphicFramePr/>
            <a:graphic xmlns:a="http://schemas.openxmlformats.org/drawingml/2006/main">
              <a:graphicData uri="http://schemas.openxmlformats.org/drawingml/2006/picture">
                <pic:pic xmlns:pic="http://schemas.openxmlformats.org/drawingml/2006/picture">
                  <pic:nvPicPr>
                    <pic:cNvPr id="0" name="image5.png" descr="Picture 1"/>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0000000B" w14:textId="77777777" w:rsidR="00E34279" w:rsidRDefault="009F4114">
      <w:pPr>
        <w:pBdr>
          <w:top w:val="nil"/>
          <w:left w:val="nil"/>
          <w:bottom w:val="nil"/>
          <w:right w:val="nil"/>
          <w:between w:val="nil"/>
        </w:pBdr>
        <w:jc w:val="center"/>
        <w:rPr>
          <w:rFonts w:ascii="Garamond" w:eastAsia="Garamond" w:hAnsi="Garamond" w:cs="Garamond"/>
          <w:color w:val="000000"/>
          <w:sz w:val="28"/>
          <w:szCs w:val="28"/>
        </w:rPr>
      </w:pPr>
      <w:r>
        <w:rPr>
          <w:rFonts w:ascii="Garamond" w:eastAsia="Garamond" w:hAnsi="Garamond" w:cs="Garamond"/>
          <w:color w:val="000000"/>
          <w:sz w:val="28"/>
          <w:szCs w:val="28"/>
        </w:rPr>
        <w:t>Final Draft – November 17</w:t>
      </w:r>
      <w:r>
        <w:rPr>
          <w:rFonts w:ascii="Garamond" w:eastAsia="Garamond" w:hAnsi="Garamond" w:cs="Garamond"/>
          <w:color w:val="000000"/>
          <w:sz w:val="28"/>
          <w:szCs w:val="28"/>
          <w:vertAlign w:val="superscript"/>
        </w:rPr>
        <w:t>th</w:t>
      </w:r>
      <w:r>
        <w:rPr>
          <w:rFonts w:ascii="Garamond" w:eastAsia="Garamond" w:hAnsi="Garamond" w:cs="Garamond"/>
          <w:color w:val="000000"/>
          <w:sz w:val="28"/>
          <w:szCs w:val="28"/>
        </w:rPr>
        <w:t>, 2022</w:t>
      </w:r>
    </w:p>
    <w:p w14:paraId="0000000C" w14:textId="77777777" w:rsidR="00E34279" w:rsidRDefault="00E34279">
      <w:pPr>
        <w:pBdr>
          <w:top w:val="nil"/>
          <w:left w:val="nil"/>
          <w:bottom w:val="nil"/>
          <w:right w:val="nil"/>
          <w:between w:val="nil"/>
        </w:pBdr>
        <w:jc w:val="center"/>
        <w:rPr>
          <w:rFonts w:ascii="Garamond" w:eastAsia="Garamond" w:hAnsi="Garamond" w:cs="Garamond"/>
          <w:color w:val="000000"/>
          <w:sz w:val="20"/>
          <w:szCs w:val="20"/>
        </w:rPr>
      </w:pPr>
    </w:p>
    <w:p w14:paraId="0000000D" w14:textId="77777777" w:rsidR="00E34279" w:rsidRDefault="009F4114">
      <w:pPr>
        <w:pBdr>
          <w:top w:val="nil"/>
          <w:left w:val="nil"/>
          <w:bottom w:val="nil"/>
          <w:right w:val="nil"/>
          <w:between w:val="nil"/>
        </w:pBdr>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Suhani </w:t>
      </w:r>
      <w:proofErr w:type="spellStart"/>
      <w:r>
        <w:rPr>
          <w:rFonts w:ascii="Garamond" w:eastAsia="Garamond" w:hAnsi="Garamond" w:cs="Garamond"/>
          <w:color w:val="000000"/>
          <w:sz w:val="20"/>
          <w:szCs w:val="20"/>
        </w:rPr>
        <w:t>Dalal</w:t>
      </w:r>
      <w:proofErr w:type="spellEnd"/>
      <w:r>
        <w:rPr>
          <w:rFonts w:ascii="Garamond" w:eastAsia="Garamond" w:hAnsi="Garamond" w:cs="Garamond"/>
          <w:color w:val="000000"/>
          <w:sz w:val="20"/>
          <w:szCs w:val="20"/>
        </w:rPr>
        <w:t xml:space="preserve"> (Project Lead)</w:t>
      </w:r>
    </w:p>
    <w:p w14:paraId="0000000E" w14:textId="77777777" w:rsidR="00E34279" w:rsidRDefault="009F4114">
      <w:pPr>
        <w:pBdr>
          <w:top w:val="nil"/>
          <w:left w:val="nil"/>
          <w:bottom w:val="nil"/>
          <w:right w:val="nil"/>
          <w:between w:val="nil"/>
        </w:pBdr>
        <w:jc w:val="center"/>
        <w:rPr>
          <w:rFonts w:ascii="Arial" w:eastAsia="Arial" w:hAnsi="Arial" w:cs="Arial"/>
          <w:color w:val="000000"/>
          <w:sz w:val="22"/>
          <w:szCs w:val="22"/>
        </w:rPr>
      </w:pPr>
      <w:r>
        <w:rPr>
          <w:rFonts w:ascii="Garamond" w:eastAsia="Garamond" w:hAnsi="Garamond" w:cs="Garamond"/>
          <w:color w:val="000000"/>
          <w:sz w:val="20"/>
          <w:szCs w:val="20"/>
        </w:rPr>
        <w:t xml:space="preserve">Jane </w:t>
      </w:r>
      <w:proofErr w:type="spellStart"/>
      <w:r>
        <w:rPr>
          <w:rFonts w:ascii="Garamond" w:eastAsia="Garamond" w:hAnsi="Garamond" w:cs="Garamond"/>
          <w:color w:val="000000"/>
          <w:sz w:val="20"/>
          <w:szCs w:val="20"/>
        </w:rPr>
        <w:t>Zugarek</w:t>
      </w:r>
      <w:proofErr w:type="spellEnd"/>
    </w:p>
    <w:p w14:paraId="0000000F" w14:textId="77777777" w:rsidR="00E34279" w:rsidRDefault="009F4114">
      <w:pPr>
        <w:pBdr>
          <w:top w:val="nil"/>
          <w:left w:val="nil"/>
          <w:bottom w:val="nil"/>
          <w:right w:val="nil"/>
          <w:between w:val="nil"/>
        </w:pBdr>
        <w:jc w:val="center"/>
        <w:rPr>
          <w:rFonts w:ascii="Arial" w:eastAsia="Arial" w:hAnsi="Arial" w:cs="Arial"/>
          <w:color w:val="000000"/>
          <w:sz w:val="22"/>
          <w:szCs w:val="22"/>
        </w:rPr>
      </w:pPr>
      <w:r>
        <w:rPr>
          <w:rFonts w:ascii="Garamond" w:eastAsia="Garamond" w:hAnsi="Garamond" w:cs="Garamond"/>
          <w:color w:val="000000"/>
          <w:sz w:val="20"/>
          <w:szCs w:val="20"/>
        </w:rPr>
        <w:t>Lily Gray</w:t>
      </w:r>
    </w:p>
    <w:p w14:paraId="00000010" w14:textId="77777777" w:rsidR="00E34279" w:rsidRDefault="009F4114">
      <w:pPr>
        <w:pBdr>
          <w:top w:val="nil"/>
          <w:left w:val="nil"/>
          <w:bottom w:val="nil"/>
          <w:right w:val="nil"/>
          <w:between w:val="nil"/>
        </w:pBdr>
        <w:jc w:val="center"/>
        <w:rPr>
          <w:rFonts w:ascii="Arial" w:eastAsia="Arial" w:hAnsi="Arial" w:cs="Arial"/>
          <w:color w:val="000000"/>
          <w:sz w:val="22"/>
          <w:szCs w:val="22"/>
        </w:rPr>
      </w:pPr>
      <w:proofErr w:type="spellStart"/>
      <w:r>
        <w:rPr>
          <w:rFonts w:ascii="Garamond" w:eastAsia="Garamond" w:hAnsi="Garamond" w:cs="Garamond"/>
          <w:color w:val="000000"/>
          <w:sz w:val="20"/>
          <w:szCs w:val="20"/>
        </w:rPr>
        <w:t>Yixuan</w:t>
      </w:r>
      <w:proofErr w:type="spellEnd"/>
      <w:r>
        <w:rPr>
          <w:rFonts w:ascii="Garamond" w:eastAsia="Garamond" w:hAnsi="Garamond" w:cs="Garamond"/>
          <w:color w:val="000000"/>
          <w:sz w:val="20"/>
          <w:szCs w:val="20"/>
        </w:rPr>
        <w:t xml:space="preserve"> Li</w:t>
      </w:r>
    </w:p>
    <w:p w14:paraId="00000011" w14:textId="77777777" w:rsidR="00E34279" w:rsidRDefault="00E34279">
      <w:pPr>
        <w:pBdr>
          <w:top w:val="nil"/>
          <w:left w:val="nil"/>
          <w:bottom w:val="nil"/>
          <w:right w:val="nil"/>
          <w:between w:val="nil"/>
        </w:pBdr>
        <w:jc w:val="center"/>
        <w:rPr>
          <w:rFonts w:ascii="Garamond" w:eastAsia="Garamond" w:hAnsi="Garamond" w:cs="Garamond"/>
          <w:color w:val="000000"/>
          <w:sz w:val="20"/>
          <w:szCs w:val="20"/>
        </w:rPr>
      </w:pPr>
    </w:p>
    <w:p w14:paraId="00000012" w14:textId="77777777" w:rsidR="00E34279" w:rsidRDefault="009F4114">
      <w:pPr>
        <w:pBdr>
          <w:top w:val="nil"/>
          <w:left w:val="nil"/>
          <w:bottom w:val="nil"/>
          <w:right w:val="nil"/>
          <w:between w:val="nil"/>
        </w:pBdr>
        <w:jc w:val="center"/>
        <w:rPr>
          <w:rFonts w:ascii="Garamond" w:eastAsia="Garamond" w:hAnsi="Garamond" w:cs="Garamond"/>
          <w:b/>
          <w:i/>
          <w:color w:val="000000"/>
          <w:sz w:val="20"/>
          <w:szCs w:val="20"/>
        </w:rPr>
      </w:pPr>
      <w:r>
        <w:rPr>
          <w:rFonts w:ascii="Garamond" w:eastAsia="Garamond" w:hAnsi="Garamond" w:cs="Garamond"/>
          <w:b/>
          <w:i/>
          <w:color w:val="000000"/>
          <w:sz w:val="20"/>
          <w:szCs w:val="20"/>
        </w:rPr>
        <w:t>Advisors:</w:t>
      </w:r>
    </w:p>
    <w:p w14:paraId="00000013" w14:textId="77777777" w:rsidR="00E34279" w:rsidRDefault="009F4114">
      <w:pPr>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Dr. Cedric </w:t>
      </w:r>
      <w:proofErr w:type="spellStart"/>
      <w:r>
        <w:rPr>
          <w:rFonts w:ascii="Garamond" w:eastAsia="Garamond" w:hAnsi="Garamond" w:cs="Garamond"/>
          <w:color w:val="000000"/>
          <w:sz w:val="20"/>
          <w:szCs w:val="20"/>
        </w:rPr>
        <w:t>Fichot</w:t>
      </w:r>
      <w:proofErr w:type="spellEnd"/>
      <w:r>
        <w:rPr>
          <w:rFonts w:ascii="Garamond" w:eastAsia="Garamond" w:hAnsi="Garamond" w:cs="Garamond"/>
          <w:color w:val="000000"/>
          <w:sz w:val="20"/>
          <w:szCs w:val="20"/>
        </w:rPr>
        <w:t xml:space="preserve"> (Boston University)</w:t>
      </w:r>
    </w:p>
    <w:p w14:paraId="00000014" w14:textId="77777777" w:rsidR="00E34279" w:rsidRDefault="009F4114">
      <w:pPr>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Dr. Michael </w:t>
      </w:r>
      <w:proofErr w:type="spellStart"/>
      <w:r>
        <w:rPr>
          <w:rFonts w:ascii="Garamond" w:eastAsia="Garamond" w:hAnsi="Garamond" w:cs="Garamond"/>
          <w:color w:val="000000"/>
          <w:sz w:val="20"/>
          <w:szCs w:val="20"/>
        </w:rPr>
        <w:t>Brosnahan</w:t>
      </w:r>
      <w:proofErr w:type="spellEnd"/>
      <w:r>
        <w:rPr>
          <w:rFonts w:ascii="Garamond" w:eastAsia="Garamond" w:hAnsi="Garamond" w:cs="Garamond"/>
          <w:color w:val="000000"/>
          <w:sz w:val="20"/>
          <w:szCs w:val="20"/>
        </w:rPr>
        <w:t xml:space="preserve"> (Woods Hole Oceanographic Institution)</w:t>
      </w:r>
    </w:p>
    <w:p w14:paraId="00000015" w14:textId="77777777" w:rsidR="00E34279" w:rsidRDefault="009F4114">
      <w:pPr>
        <w:jc w:val="center"/>
        <w:rPr>
          <w:rFonts w:ascii="Garamond" w:eastAsia="Garamond" w:hAnsi="Garamond" w:cs="Garamond"/>
          <w:sz w:val="20"/>
          <w:szCs w:val="20"/>
        </w:rPr>
      </w:pPr>
      <w:r>
        <w:rPr>
          <w:rFonts w:ascii="Garamond" w:eastAsia="Garamond" w:hAnsi="Garamond" w:cs="Garamond"/>
          <w:color w:val="000000"/>
          <w:sz w:val="20"/>
          <w:szCs w:val="20"/>
        </w:rPr>
        <w:t>Dr. Dave Ralston (Woods Hole Oceanographic Institution)</w:t>
      </w:r>
      <w:r>
        <w:rPr>
          <w:rFonts w:ascii="Garamond" w:eastAsia="Garamond" w:hAnsi="Garamond" w:cs="Garamond"/>
          <w:sz w:val="20"/>
          <w:szCs w:val="20"/>
        </w:rPr>
        <w:t xml:space="preserve"> </w:t>
      </w:r>
    </w:p>
    <w:p w14:paraId="00000016" w14:textId="77777777" w:rsidR="00E34279" w:rsidRDefault="009F4114">
      <w:pPr>
        <w:pBdr>
          <w:top w:val="nil"/>
          <w:left w:val="nil"/>
          <w:bottom w:val="nil"/>
          <w:right w:val="nil"/>
          <w:between w:val="nil"/>
        </w:pBdr>
        <w:jc w:val="center"/>
        <w:rPr>
          <w:rFonts w:ascii="Garamond" w:eastAsia="Garamond" w:hAnsi="Garamond" w:cs="Garamond"/>
          <w:color w:val="000000"/>
          <w:sz w:val="20"/>
          <w:szCs w:val="20"/>
        </w:rPr>
      </w:pPr>
      <w:r>
        <w:rPr>
          <w:rFonts w:ascii="Garamond" w:eastAsia="Garamond" w:hAnsi="Garamond" w:cs="Garamond"/>
          <w:color w:val="000000"/>
          <w:sz w:val="20"/>
          <w:szCs w:val="20"/>
        </w:rPr>
        <w:br/>
      </w:r>
    </w:p>
    <w:p w14:paraId="00000017" w14:textId="77777777" w:rsidR="00E34279" w:rsidRDefault="00E34279">
      <w:pPr>
        <w:pBdr>
          <w:top w:val="nil"/>
          <w:left w:val="nil"/>
          <w:bottom w:val="nil"/>
          <w:right w:val="nil"/>
          <w:between w:val="nil"/>
        </w:pBdr>
        <w:jc w:val="center"/>
        <w:rPr>
          <w:rFonts w:ascii="Garamond" w:eastAsia="Garamond" w:hAnsi="Garamond" w:cs="Garamond"/>
          <w:color w:val="000000"/>
          <w:sz w:val="20"/>
          <w:szCs w:val="20"/>
        </w:rPr>
      </w:pPr>
    </w:p>
    <w:p w14:paraId="00000018" w14:textId="77777777" w:rsidR="00E34279" w:rsidRDefault="009F4114">
      <w:pPr>
        <w:spacing w:line="259" w:lineRule="auto"/>
        <w:jc w:val="center"/>
        <w:rPr>
          <w:rFonts w:ascii="Garamond" w:eastAsia="Garamond" w:hAnsi="Garamond" w:cs="Garamond"/>
          <w:color w:val="000000"/>
          <w:sz w:val="22"/>
          <w:szCs w:val="22"/>
        </w:rPr>
      </w:pPr>
      <w:r>
        <w:rPr>
          <w:rFonts w:ascii="Garamond" w:eastAsia="Garamond" w:hAnsi="Garamond" w:cs="Garamond"/>
          <w:b/>
          <w:i/>
          <w:sz w:val="20"/>
          <w:szCs w:val="20"/>
        </w:rPr>
        <w:t>Fellow:</w:t>
      </w:r>
      <w:r>
        <w:rPr>
          <w:rFonts w:ascii="Garamond" w:eastAsia="Garamond" w:hAnsi="Garamond" w:cs="Garamond"/>
          <w:color w:val="000000"/>
          <w:sz w:val="22"/>
          <w:szCs w:val="22"/>
        </w:rPr>
        <w:t xml:space="preserve"> Tyler </w:t>
      </w:r>
      <w:proofErr w:type="spellStart"/>
      <w:r>
        <w:rPr>
          <w:rFonts w:ascii="Garamond" w:eastAsia="Garamond" w:hAnsi="Garamond" w:cs="Garamond"/>
          <w:color w:val="000000"/>
          <w:sz w:val="22"/>
          <w:szCs w:val="22"/>
        </w:rPr>
        <w:t>Pantle</w:t>
      </w:r>
      <w:proofErr w:type="spellEnd"/>
      <w:r>
        <w:rPr>
          <w:rFonts w:ascii="Garamond" w:eastAsia="Garamond" w:hAnsi="Garamond" w:cs="Garamond"/>
          <w:color w:val="000000"/>
          <w:sz w:val="22"/>
          <w:szCs w:val="22"/>
        </w:rPr>
        <w:t xml:space="preserve"> (Massachusetts – Boston)</w:t>
      </w:r>
    </w:p>
    <w:p w14:paraId="00000019" w14:textId="77777777" w:rsidR="00E34279" w:rsidRDefault="009F4114">
      <w:p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color w:val="000000"/>
          <w:sz w:val="22"/>
          <w:szCs w:val="22"/>
        </w:rPr>
        <w:br/>
      </w:r>
    </w:p>
    <w:p w14:paraId="0000001A" w14:textId="77777777" w:rsidR="00E34279" w:rsidRDefault="009F4114">
      <w:pPr>
        <w:pBdr>
          <w:top w:val="nil"/>
          <w:left w:val="nil"/>
          <w:bottom w:val="nil"/>
          <w:right w:val="nil"/>
          <w:between w:val="nil"/>
        </w:pBdr>
        <w:rPr>
          <w:rFonts w:ascii="Arial" w:eastAsia="Arial" w:hAnsi="Arial" w:cs="Arial"/>
          <w:color w:val="000000"/>
          <w:sz w:val="22"/>
          <w:szCs w:val="22"/>
        </w:rPr>
      </w:pPr>
      <w:r>
        <w:br w:type="page"/>
      </w:r>
    </w:p>
    <w:p w14:paraId="0000001B" w14:textId="77777777" w:rsidR="00E34279" w:rsidRDefault="009F4114">
      <w:pPr>
        <w:keepNext/>
        <w:keepLines/>
        <w:pBdr>
          <w:top w:val="nil"/>
          <w:left w:val="nil"/>
          <w:bottom w:val="nil"/>
          <w:right w:val="nil"/>
          <w:between w:val="nil"/>
        </w:pBdr>
        <w:rPr>
          <w:rFonts w:ascii="Garamond" w:eastAsia="Garamond" w:hAnsi="Garamond" w:cs="Garamond"/>
          <w:b/>
          <w:color w:val="365F91"/>
          <w:sz w:val="28"/>
          <w:szCs w:val="28"/>
        </w:rPr>
      </w:pPr>
      <w:r>
        <w:rPr>
          <w:rFonts w:ascii="Garamond" w:eastAsia="Garamond" w:hAnsi="Garamond" w:cs="Garamond"/>
          <w:b/>
          <w:color w:val="365F91"/>
          <w:sz w:val="28"/>
          <w:szCs w:val="28"/>
        </w:rPr>
        <w:lastRenderedPageBreak/>
        <w:t>Abstract</w:t>
      </w:r>
    </w:p>
    <w:p w14:paraId="0000001C" w14:textId="77777777" w:rsidR="00E34279" w:rsidRDefault="009F4114">
      <w:pPr>
        <w:rPr>
          <w:rFonts w:ascii="Garamond" w:eastAsia="Garamond" w:hAnsi="Garamond" w:cs="Garamond"/>
          <w:b/>
        </w:rPr>
      </w:pPr>
      <w:r>
        <w:rPr>
          <w:rFonts w:ascii="Garamond" w:eastAsia="Garamond" w:hAnsi="Garamond" w:cs="Garamond"/>
          <w:color w:val="000000"/>
          <w:sz w:val="22"/>
          <w:szCs w:val="22"/>
        </w:rPr>
        <w:t xml:space="preserve">The Gulf of Maine has a history of harmful algal blooms (HABs) that have been increasing in frequency and intensity in recent years, raising concerns in the community. Specifically, the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i/>
          <w:color w:val="000000"/>
          <w:sz w:val="22"/>
          <w:szCs w:val="22"/>
        </w:rPr>
        <w:t xml:space="preserve"> </w:t>
      </w:r>
      <w:r>
        <w:rPr>
          <w:rFonts w:ascii="Garamond" w:eastAsia="Garamond" w:hAnsi="Garamond" w:cs="Garamond"/>
          <w:color w:val="000000"/>
          <w:sz w:val="22"/>
          <w:szCs w:val="22"/>
        </w:rPr>
        <w:t>genus possesses harmful toxins that can induce food-b</w:t>
      </w:r>
      <w:r>
        <w:rPr>
          <w:rFonts w:ascii="Garamond" w:eastAsia="Garamond" w:hAnsi="Garamond" w:cs="Garamond"/>
          <w:color w:val="000000"/>
          <w:sz w:val="22"/>
          <w:szCs w:val="22"/>
        </w:rPr>
        <w:t xml:space="preserve">orne illnesses and infect humans through ambient water. We observed </w:t>
      </w:r>
      <w:r>
        <w:rPr>
          <w:rFonts w:ascii="Garamond" w:eastAsia="Garamond" w:hAnsi="Garamond" w:cs="Garamond"/>
          <w:i/>
          <w:color w:val="000000"/>
          <w:sz w:val="22"/>
          <w:szCs w:val="22"/>
        </w:rPr>
        <w:t xml:space="preserve">in-situ </w:t>
      </w:r>
      <w:r>
        <w:rPr>
          <w:rFonts w:ascii="Garamond" w:eastAsia="Garamond" w:hAnsi="Garamond" w:cs="Garamond"/>
          <w:color w:val="000000"/>
          <w:sz w:val="22"/>
          <w:szCs w:val="22"/>
        </w:rPr>
        <w:t xml:space="preserve">data from known 2016 and 2020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blooms as case studies to test the feasibility of using satellite data to track bloom events. </w:t>
      </w:r>
      <w:proofErr w:type="gramStart"/>
      <w:r>
        <w:rPr>
          <w:rFonts w:ascii="Garamond" w:eastAsia="Garamond" w:hAnsi="Garamond" w:cs="Garamond"/>
          <w:color w:val="000000"/>
          <w:sz w:val="22"/>
          <w:szCs w:val="22"/>
        </w:rPr>
        <w:t>In order to</w:t>
      </w:r>
      <w:proofErr w:type="gramEnd"/>
      <w:r>
        <w:rPr>
          <w:rFonts w:ascii="Garamond" w:eastAsia="Garamond" w:hAnsi="Garamond" w:cs="Garamond"/>
          <w:color w:val="000000"/>
          <w:sz w:val="22"/>
          <w:szCs w:val="22"/>
        </w:rPr>
        <w:t xml:space="preserve"> map the frequency and distr</w:t>
      </w:r>
      <w:r>
        <w:rPr>
          <w:rFonts w:ascii="Garamond" w:eastAsia="Garamond" w:hAnsi="Garamond" w:cs="Garamond"/>
          <w:color w:val="000000"/>
          <w:sz w:val="22"/>
          <w:szCs w:val="22"/>
        </w:rPr>
        <w:t xml:space="preserve">ibution of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i/>
          <w:color w:val="000000"/>
          <w:sz w:val="22"/>
          <w:szCs w:val="22"/>
        </w:rPr>
        <w:t xml:space="preserve"> </w:t>
      </w:r>
      <w:r>
        <w:rPr>
          <w:rFonts w:ascii="Garamond" w:eastAsia="Garamond" w:hAnsi="Garamond" w:cs="Garamond"/>
          <w:color w:val="000000"/>
          <w:sz w:val="22"/>
          <w:szCs w:val="22"/>
        </w:rPr>
        <w:t xml:space="preserve">bloom events, we used satellite data from the Aqua Moderate Resolution Imaging Spectroradiometer (MODIS) and Sentinel-3 Ocean and Land </w:t>
      </w:r>
      <w:proofErr w:type="spellStart"/>
      <w:r>
        <w:rPr>
          <w:rFonts w:ascii="Garamond" w:eastAsia="Garamond" w:hAnsi="Garamond" w:cs="Garamond"/>
          <w:color w:val="000000"/>
          <w:sz w:val="22"/>
          <w:szCs w:val="22"/>
        </w:rPr>
        <w:t>Colour</w:t>
      </w:r>
      <w:proofErr w:type="spellEnd"/>
      <w:r>
        <w:rPr>
          <w:rFonts w:ascii="Garamond" w:eastAsia="Garamond" w:hAnsi="Garamond" w:cs="Garamond"/>
          <w:color w:val="000000"/>
          <w:sz w:val="22"/>
          <w:szCs w:val="22"/>
        </w:rPr>
        <w:t xml:space="preserve"> Instrument (OLCI). We utilized Earth observation data to calculate normalized fluoresc</w:t>
      </w:r>
      <w:r>
        <w:rPr>
          <w:rFonts w:ascii="Garamond" w:eastAsia="Garamond" w:hAnsi="Garamond" w:cs="Garamond"/>
          <w:color w:val="000000"/>
          <w:sz w:val="22"/>
          <w:szCs w:val="22"/>
        </w:rPr>
        <w:t>ence line height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and absorption by phytoplankton (aph443), which are satellite products that more accurately depict phytoplankton reflectance. We compared these products with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observations </w:t>
      </w:r>
      <w:proofErr w:type="gramStart"/>
      <w:r>
        <w:rPr>
          <w:rFonts w:ascii="Garamond" w:eastAsia="Garamond" w:hAnsi="Garamond" w:cs="Garamond"/>
          <w:color w:val="000000"/>
          <w:sz w:val="22"/>
          <w:szCs w:val="22"/>
        </w:rPr>
        <w:t>in order to</w:t>
      </w:r>
      <w:proofErr w:type="gramEnd"/>
      <w:r>
        <w:rPr>
          <w:rFonts w:ascii="Garamond" w:eastAsia="Garamond" w:hAnsi="Garamond" w:cs="Garamond"/>
          <w:color w:val="000000"/>
          <w:sz w:val="22"/>
          <w:szCs w:val="22"/>
        </w:rPr>
        <w:t xml:space="preserve"> analyze ocean color differences and disti</w:t>
      </w:r>
      <w:r>
        <w:rPr>
          <w:rFonts w:ascii="Garamond" w:eastAsia="Garamond" w:hAnsi="Garamond" w:cs="Garamond"/>
          <w:color w:val="000000"/>
          <w:sz w:val="22"/>
          <w:szCs w:val="22"/>
        </w:rPr>
        <w:t xml:space="preserve">nguish diatomic algal particles from other organic and inorganic particles. </w:t>
      </w:r>
    </w:p>
    <w:p w14:paraId="0000001D" w14:textId="77777777" w:rsidR="00E34279" w:rsidRDefault="009F4114">
      <w:pPr>
        <w:spacing w:line="259" w:lineRule="auto"/>
        <w:rPr>
          <w:rFonts w:ascii="Garamond" w:eastAsia="Garamond" w:hAnsi="Garamond" w:cs="Garamond"/>
          <w:b/>
        </w:rPr>
      </w:pPr>
      <w:r>
        <w:br/>
      </w:r>
      <w:r>
        <w:rPr>
          <w:rFonts w:ascii="Garamond" w:eastAsia="Garamond" w:hAnsi="Garamond" w:cs="Garamond"/>
          <w:b/>
        </w:rPr>
        <w:t>Keywords</w:t>
      </w:r>
    </w:p>
    <w:p w14:paraId="0000001E"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 xml:space="preserve">harmful algal blooms, remote sensing,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diatoms, normalized fluorescence line height, absorption by phytoplankton</w:t>
      </w:r>
    </w:p>
    <w:p w14:paraId="0000001F" w14:textId="77777777" w:rsidR="00E34279" w:rsidRDefault="00E34279">
      <w:pPr>
        <w:pBdr>
          <w:top w:val="nil"/>
          <w:left w:val="nil"/>
          <w:bottom w:val="nil"/>
          <w:right w:val="nil"/>
          <w:between w:val="nil"/>
        </w:pBdr>
        <w:rPr>
          <w:rFonts w:ascii="Garamond" w:eastAsia="Garamond" w:hAnsi="Garamond" w:cs="Garamond"/>
          <w:color w:val="000000"/>
          <w:sz w:val="22"/>
          <w:szCs w:val="22"/>
        </w:rPr>
      </w:pPr>
    </w:p>
    <w:p w14:paraId="00000020" w14:textId="77777777" w:rsidR="00E34279" w:rsidRDefault="009F4114">
      <w:pPr>
        <w:keepNext/>
        <w:keepLines/>
        <w:pBdr>
          <w:top w:val="nil"/>
          <w:left w:val="nil"/>
          <w:bottom w:val="nil"/>
          <w:right w:val="nil"/>
          <w:between w:val="nil"/>
        </w:pBdr>
        <w:rPr>
          <w:rFonts w:ascii="Arial" w:eastAsia="Arial" w:hAnsi="Arial" w:cs="Arial"/>
          <w:b/>
          <w:color w:val="365F91"/>
          <w:sz w:val="28"/>
          <w:szCs w:val="28"/>
        </w:rPr>
      </w:pPr>
      <w:r>
        <w:rPr>
          <w:rFonts w:ascii="Garamond" w:eastAsia="Garamond" w:hAnsi="Garamond" w:cs="Garamond"/>
          <w:b/>
          <w:color w:val="365F91"/>
          <w:sz w:val="28"/>
          <w:szCs w:val="28"/>
        </w:rPr>
        <w:t>1. Introduction</w:t>
      </w:r>
    </w:p>
    <w:p w14:paraId="00000021"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Global interest in harmful algal blooms (HABs) has been increasing with intensified monitoring efforts associated with increased aquaculture production (</w:t>
      </w:r>
      <w:proofErr w:type="spellStart"/>
      <w:r>
        <w:rPr>
          <w:rFonts w:ascii="Garamond" w:eastAsia="Garamond" w:hAnsi="Garamond" w:cs="Garamond"/>
          <w:color w:val="000000"/>
          <w:sz w:val="22"/>
          <w:szCs w:val="22"/>
        </w:rPr>
        <w:t>Hallegraef</w:t>
      </w:r>
      <w:r>
        <w:rPr>
          <w:rFonts w:ascii="Garamond" w:eastAsia="Garamond" w:hAnsi="Garamond" w:cs="Garamond"/>
          <w:color w:val="000000"/>
          <w:sz w:val="22"/>
          <w:szCs w:val="22"/>
        </w:rPr>
        <w:t>f</w:t>
      </w:r>
      <w:proofErr w:type="spellEnd"/>
      <w:r>
        <w:rPr>
          <w:rFonts w:ascii="Garamond" w:eastAsia="Garamond" w:hAnsi="Garamond" w:cs="Garamond"/>
          <w:color w:val="000000"/>
          <w:sz w:val="22"/>
          <w:szCs w:val="22"/>
        </w:rPr>
        <w:t xml:space="preserve"> et al., 2021). HABs are defined as rapid algal growth that produce toxic or harmful effects on humans and marine life. The Gulf of Maine is home to many fisheries and shellfisheries that have recently been shut down due to frequent HAB events, leading to</w:t>
      </w:r>
      <w:r>
        <w:rPr>
          <w:rFonts w:ascii="Garamond" w:eastAsia="Garamond" w:hAnsi="Garamond" w:cs="Garamond"/>
          <w:color w:val="000000"/>
          <w:sz w:val="22"/>
          <w:szCs w:val="22"/>
        </w:rPr>
        <w:t xml:space="preserve"> an increase in HAB monitoring in this region. Researchers have predicted that for the Gulf of Maine, HAB events and algal species composition will likely change and intensify (Clark et al., 2019; Clark et al., 2022; </w:t>
      </w:r>
      <w:proofErr w:type="spellStart"/>
      <w:r>
        <w:rPr>
          <w:rFonts w:ascii="Garamond" w:eastAsia="Garamond" w:hAnsi="Garamond" w:cs="Garamond"/>
          <w:color w:val="000000"/>
          <w:sz w:val="22"/>
          <w:szCs w:val="22"/>
        </w:rPr>
        <w:t>Seto</w:t>
      </w:r>
      <w:proofErr w:type="spellEnd"/>
      <w:r>
        <w:rPr>
          <w:rFonts w:ascii="Garamond" w:eastAsia="Garamond" w:hAnsi="Garamond" w:cs="Garamond"/>
          <w:color w:val="000000"/>
          <w:sz w:val="22"/>
          <w:szCs w:val="22"/>
        </w:rPr>
        <w:t>, 2018) as the Gulf of Maine has be</w:t>
      </w:r>
      <w:r>
        <w:rPr>
          <w:rFonts w:ascii="Garamond" w:eastAsia="Garamond" w:hAnsi="Garamond" w:cs="Garamond"/>
          <w:color w:val="000000"/>
          <w:sz w:val="22"/>
          <w:szCs w:val="22"/>
        </w:rPr>
        <w:t>en continuously warming over the last five decades (</w:t>
      </w:r>
      <w:proofErr w:type="spellStart"/>
      <w:r>
        <w:rPr>
          <w:rFonts w:ascii="Garamond" w:eastAsia="Garamond" w:hAnsi="Garamond" w:cs="Garamond"/>
          <w:color w:val="000000"/>
          <w:sz w:val="22"/>
          <w:szCs w:val="22"/>
        </w:rPr>
        <w:t>Seidov</w:t>
      </w:r>
      <w:proofErr w:type="spellEnd"/>
      <w:r>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Nishonov</w:t>
      </w:r>
      <w:proofErr w:type="spellEnd"/>
      <w:r>
        <w:rPr>
          <w:rFonts w:ascii="Garamond" w:eastAsia="Garamond" w:hAnsi="Garamond" w:cs="Garamond"/>
          <w:color w:val="000000"/>
          <w:sz w:val="22"/>
          <w:szCs w:val="22"/>
        </w:rPr>
        <w:t xml:space="preserve">, and Parsons, 2021). </w:t>
      </w:r>
    </w:p>
    <w:p w14:paraId="00000022" w14:textId="77777777" w:rsidR="00E34279" w:rsidRDefault="00E34279">
      <w:pPr>
        <w:pBdr>
          <w:top w:val="nil"/>
          <w:left w:val="nil"/>
          <w:bottom w:val="nil"/>
          <w:right w:val="nil"/>
          <w:between w:val="nil"/>
        </w:pBdr>
        <w:rPr>
          <w:rFonts w:ascii="Garamond" w:eastAsia="Garamond" w:hAnsi="Garamond" w:cs="Garamond"/>
          <w:color w:val="000000"/>
          <w:sz w:val="22"/>
          <w:szCs w:val="22"/>
        </w:rPr>
      </w:pPr>
    </w:p>
    <w:p w14:paraId="00000023"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 xml:space="preserve">One such species of concern is the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i/>
          <w:color w:val="000000"/>
          <w:sz w:val="22"/>
          <w:szCs w:val="22"/>
        </w:rPr>
        <w:t>.</w:t>
      </w:r>
      <w:r>
        <w:rPr>
          <w:rFonts w:ascii="Garamond" w:eastAsia="Garamond" w:hAnsi="Garamond" w:cs="Garamond"/>
          <w:color w:val="000000"/>
          <w:sz w:val="22"/>
          <w:szCs w:val="22"/>
        </w:rPr>
        <w:t xml:space="preserve"> This genus is a diatom that can produce domoic acid, a neurotoxin that can cause Domoic Acid Poisoning (DAP) up</w:t>
      </w:r>
      <w:r>
        <w:rPr>
          <w:rFonts w:ascii="Garamond" w:eastAsia="Garamond" w:hAnsi="Garamond" w:cs="Garamond"/>
          <w:color w:val="000000"/>
          <w:sz w:val="22"/>
          <w:szCs w:val="22"/>
        </w:rPr>
        <w:t xml:space="preserve">on consumption of contaminated shellfish or through exposure to ambient water. Understanding the origin and migration of HABs such as those brought on by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is crucial to proactively organize public health measures and keep communities and co</w:t>
      </w:r>
      <w:r>
        <w:rPr>
          <w:rFonts w:ascii="Garamond" w:eastAsia="Garamond" w:hAnsi="Garamond" w:cs="Garamond"/>
          <w:color w:val="000000"/>
          <w:sz w:val="22"/>
          <w:szCs w:val="22"/>
        </w:rPr>
        <w:t>astal habitats safe. Shellfish and fish toxicity through HABs also have a particularly strong impact on coastal New England economies, as shell-fishing and fishing contribute to the primary income of many communities around the Gulf of Maine. Industries su</w:t>
      </w:r>
      <w:r>
        <w:rPr>
          <w:rFonts w:ascii="Garamond" w:eastAsia="Garamond" w:hAnsi="Garamond" w:cs="Garamond"/>
          <w:color w:val="000000"/>
          <w:sz w:val="22"/>
          <w:szCs w:val="22"/>
        </w:rPr>
        <w:t>ch as oyster farming can be impacted by just one HAB event for many years due to the cyclical nature of shellfish production.</w:t>
      </w:r>
    </w:p>
    <w:p w14:paraId="00000024" w14:textId="77777777" w:rsidR="00E34279" w:rsidRDefault="00E34279">
      <w:pPr>
        <w:pBdr>
          <w:top w:val="nil"/>
          <w:left w:val="nil"/>
          <w:bottom w:val="nil"/>
          <w:right w:val="nil"/>
          <w:between w:val="nil"/>
        </w:pBdr>
        <w:rPr>
          <w:rFonts w:ascii="Garamond" w:eastAsia="Garamond" w:hAnsi="Garamond" w:cs="Garamond"/>
          <w:color w:val="000000"/>
          <w:sz w:val="22"/>
          <w:szCs w:val="22"/>
        </w:rPr>
      </w:pPr>
    </w:p>
    <w:p w14:paraId="00000025"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 xml:space="preserve">Compared to traditional </w:t>
      </w:r>
      <w:r>
        <w:rPr>
          <w:rFonts w:ascii="Garamond" w:eastAsia="Garamond" w:hAnsi="Garamond" w:cs="Garamond"/>
          <w:i/>
          <w:color w:val="000000"/>
          <w:sz w:val="22"/>
          <w:szCs w:val="22"/>
        </w:rPr>
        <w:t xml:space="preserve">in-situ </w:t>
      </w:r>
      <w:r>
        <w:rPr>
          <w:rFonts w:ascii="Garamond" w:eastAsia="Garamond" w:hAnsi="Garamond" w:cs="Garamond"/>
          <w:color w:val="000000"/>
          <w:sz w:val="22"/>
          <w:szCs w:val="22"/>
        </w:rPr>
        <w:t>point observations, remote sensing has the potential for large-scale, real-time, and long-term monitoring of HABs (Shen et al., 2012). Remote sensing research specific to the Gulf of Maine has shown promise in tracking and quantifying HABs and the potentia</w:t>
      </w:r>
      <w:r>
        <w:rPr>
          <w:rFonts w:ascii="Garamond" w:eastAsia="Garamond" w:hAnsi="Garamond" w:cs="Garamond"/>
          <w:color w:val="000000"/>
          <w:sz w:val="22"/>
          <w:szCs w:val="22"/>
        </w:rPr>
        <w:t>l to predict such events. For example, Li and He (2014) utilized MODIS sea surface temperature (SST) and chlorophyll-a (</w:t>
      </w:r>
      <w:proofErr w:type="spellStart"/>
      <w:r>
        <w:rPr>
          <w:rFonts w:ascii="Garamond" w:eastAsia="Garamond" w:hAnsi="Garamond" w:cs="Garamond"/>
          <w:color w:val="000000"/>
          <w:sz w:val="22"/>
          <w:szCs w:val="22"/>
        </w:rPr>
        <w:t>Chl</w:t>
      </w:r>
      <w:proofErr w:type="spellEnd"/>
      <w:r>
        <w:rPr>
          <w:rFonts w:ascii="Garamond" w:eastAsia="Garamond" w:hAnsi="Garamond" w:cs="Garamond"/>
          <w:color w:val="000000"/>
          <w:sz w:val="22"/>
          <w:szCs w:val="22"/>
        </w:rPr>
        <w:t xml:space="preserve">-a) data, in combination with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 to characterize mean spatial and temporal patterns of SST and </w:t>
      </w:r>
      <w:proofErr w:type="spellStart"/>
      <w:r>
        <w:rPr>
          <w:rFonts w:ascii="Garamond" w:eastAsia="Garamond" w:hAnsi="Garamond" w:cs="Garamond"/>
          <w:color w:val="000000"/>
          <w:sz w:val="22"/>
          <w:szCs w:val="22"/>
        </w:rPr>
        <w:t>Chl</w:t>
      </w:r>
      <w:proofErr w:type="spellEnd"/>
      <w:r>
        <w:rPr>
          <w:rFonts w:ascii="Garamond" w:eastAsia="Garamond" w:hAnsi="Garamond" w:cs="Garamond"/>
          <w:color w:val="000000"/>
          <w:sz w:val="22"/>
          <w:szCs w:val="22"/>
        </w:rPr>
        <w:t>-a in the Gulf of Maine.</w:t>
      </w:r>
      <w:r>
        <w:rPr>
          <w:rFonts w:ascii="Garamond" w:eastAsia="Garamond" w:hAnsi="Garamond" w:cs="Garamond"/>
          <w:color w:val="000000"/>
          <w:sz w:val="22"/>
          <w:szCs w:val="22"/>
        </w:rPr>
        <w:t xml:space="preserve"> The two discrete HAB events of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in 2016 and 2020 are optimal case studies to utilize remote sensing imagery and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 to test the feasibility of using satellite Earth observations to identify, track, and classify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HA</w:t>
      </w:r>
      <w:r>
        <w:rPr>
          <w:rFonts w:ascii="Garamond" w:eastAsia="Garamond" w:hAnsi="Garamond" w:cs="Garamond"/>
          <w:color w:val="000000"/>
          <w:sz w:val="22"/>
          <w:szCs w:val="22"/>
        </w:rPr>
        <w:t xml:space="preserve">Bs. The bloom event in 2016 was the first intensely toxic </w:t>
      </w:r>
      <w:proofErr w:type="spellStart"/>
      <w:r>
        <w:rPr>
          <w:rFonts w:ascii="Garamond" w:eastAsia="Garamond" w:hAnsi="Garamond" w:cs="Garamond"/>
          <w:i/>
          <w:color w:val="000000"/>
          <w:sz w:val="22"/>
          <w:szCs w:val="22"/>
        </w:rPr>
        <w:t>Psuedo-nitzschia</w:t>
      </w:r>
      <w:proofErr w:type="spellEnd"/>
      <w:r>
        <w:rPr>
          <w:rFonts w:ascii="Garamond" w:eastAsia="Garamond" w:hAnsi="Garamond" w:cs="Garamond"/>
          <w:color w:val="000000"/>
          <w:sz w:val="22"/>
          <w:szCs w:val="22"/>
        </w:rPr>
        <w:t xml:space="preserve"> event in the Gulf of Maine, prompting more thorough monitoring of algal constituents in the region. Algal blooms are visible through ocean color imagery as the high concentration of</w:t>
      </w:r>
      <w:r>
        <w:rPr>
          <w:rFonts w:ascii="Garamond" w:eastAsia="Garamond" w:hAnsi="Garamond" w:cs="Garamond"/>
          <w:color w:val="000000"/>
          <w:sz w:val="22"/>
          <w:szCs w:val="22"/>
        </w:rPr>
        <w:t xml:space="preserve"> cells impact the reflectance of bands collected by the Sentinel-3 OLCI and Aqua MODIS sensors. To identify the discrete bloom events, we utilized MODIS data due to past research success with this sensor, in combination with Sentinel-3 data because of its </w:t>
      </w:r>
      <w:r>
        <w:rPr>
          <w:rFonts w:ascii="Garamond" w:eastAsia="Garamond" w:hAnsi="Garamond" w:cs="Garamond"/>
          <w:color w:val="000000"/>
          <w:sz w:val="22"/>
          <w:szCs w:val="22"/>
        </w:rPr>
        <w:t>enhanced spatial resolution.</w:t>
      </w:r>
    </w:p>
    <w:p w14:paraId="00000026" w14:textId="77777777" w:rsidR="00E34279" w:rsidRDefault="00E34279">
      <w:pPr>
        <w:pBdr>
          <w:top w:val="nil"/>
          <w:left w:val="nil"/>
          <w:bottom w:val="nil"/>
          <w:right w:val="nil"/>
          <w:between w:val="nil"/>
        </w:pBdr>
        <w:rPr>
          <w:rFonts w:ascii="Garamond" w:eastAsia="Garamond" w:hAnsi="Garamond" w:cs="Garamond"/>
          <w:color w:val="000000"/>
          <w:sz w:val="22"/>
          <w:szCs w:val="22"/>
        </w:rPr>
      </w:pPr>
    </w:p>
    <w:p w14:paraId="00000027"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lastRenderedPageBreak/>
        <w:t>Principle remote sensing techniques for detecting HABs include interpretation of discoloration, spectral analysis, and oceanographic parameters retrieval (Shen et al., 2012). Despite this, one limitation to using remote sensin</w:t>
      </w:r>
      <w:r>
        <w:rPr>
          <w:rFonts w:ascii="Garamond" w:eastAsia="Garamond" w:hAnsi="Garamond" w:cs="Garamond"/>
          <w:color w:val="000000"/>
          <w:sz w:val="22"/>
          <w:szCs w:val="22"/>
        </w:rPr>
        <w:t>g imagery to detect algal blooms is differentiating between sediment and algal concentrations in the water column and distinguishing unique algal species and genera. The MODIS satellite-based sensor records normalized fluorescence line height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and ha</w:t>
      </w:r>
      <w:r>
        <w:rPr>
          <w:rFonts w:ascii="Garamond" w:eastAsia="Garamond" w:hAnsi="Garamond" w:cs="Garamond"/>
          <w:color w:val="000000"/>
          <w:sz w:val="22"/>
          <w:szCs w:val="22"/>
        </w:rPr>
        <w:t xml:space="preserve">s been advantageous in detecting various blooms in waters rich with colored dissolved organic matter (Hu and Feng, 2016). Even so, false positive bloom interpretations can occur because MODIS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is sensitive to elevated sediment concentrations that can r</w:t>
      </w:r>
      <w:r>
        <w:rPr>
          <w:rFonts w:ascii="Garamond" w:eastAsia="Garamond" w:hAnsi="Garamond" w:cs="Garamond"/>
          <w:color w:val="000000"/>
          <w:sz w:val="22"/>
          <w:szCs w:val="22"/>
        </w:rPr>
        <w:t xml:space="preserve">esult from winds and shallow waters. </w:t>
      </w:r>
    </w:p>
    <w:p w14:paraId="00000028"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t xml:space="preserve">Sentinel-3 OLCI provides satellite-derived Inherent Optical Properties (IOP) products that can characterize constituents in water bodies using algorithms consistent with the OLCI spectral bands. Among the IOP products </w:t>
      </w:r>
      <w:r>
        <w:rPr>
          <w:rFonts w:ascii="Garamond" w:eastAsia="Garamond" w:hAnsi="Garamond" w:cs="Garamond"/>
          <w:color w:val="000000"/>
          <w:sz w:val="22"/>
          <w:szCs w:val="22"/>
        </w:rPr>
        <w:t xml:space="preserve">is absorption coefficient due to phytoplankton at 433 nm (aph433), which can be used in conjunction with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to further validate the presence of a bloom. </w:t>
      </w:r>
      <w:proofErr w:type="gramStart"/>
      <w:r>
        <w:rPr>
          <w:rFonts w:ascii="Garamond" w:eastAsia="Garamond" w:hAnsi="Garamond" w:cs="Garamond"/>
          <w:color w:val="000000"/>
          <w:sz w:val="22"/>
          <w:szCs w:val="22"/>
        </w:rPr>
        <w:t>Assuming that</w:t>
      </w:r>
      <w:proofErr w:type="gramEnd"/>
      <w:r>
        <w:rPr>
          <w:rFonts w:ascii="Garamond" w:eastAsia="Garamond" w:hAnsi="Garamond" w:cs="Garamond"/>
          <w:color w:val="000000"/>
          <w:sz w:val="22"/>
          <w:szCs w:val="22"/>
        </w:rPr>
        <w:t xml:space="preserve"> the 2016 and 2020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blooms in the Gulf of Maine can be retrospectively i</w:t>
      </w:r>
      <w:r>
        <w:rPr>
          <w:rFonts w:ascii="Garamond" w:eastAsia="Garamond" w:hAnsi="Garamond" w:cs="Garamond"/>
          <w:color w:val="000000"/>
          <w:sz w:val="22"/>
          <w:szCs w:val="22"/>
        </w:rPr>
        <w:t>dentified, there is the possibility of distinguishing unique spectral signatures for algal genera (Zhao et al. 2007) and diatoms from other phytoplankton (</w:t>
      </w:r>
      <w:proofErr w:type="spellStart"/>
      <w:r>
        <w:rPr>
          <w:rFonts w:ascii="Garamond" w:eastAsia="Garamond" w:hAnsi="Garamond" w:cs="Garamond"/>
          <w:color w:val="000000"/>
          <w:sz w:val="22"/>
          <w:szCs w:val="22"/>
        </w:rPr>
        <w:t>Sathyendranath</w:t>
      </w:r>
      <w:proofErr w:type="spellEnd"/>
      <w:r>
        <w:rPr>
          <w:rFonts w:ascii="Garamond" w:eastAsia="Garamond" w:hAnsi="Garamond" w:cs="Garamond"/>
          <w:color w:val="000000"/>
          <w:sz w:val="22"/>
          <w:szCs w:val="22"/>
        </w:rPr>
        <w:t xml:space="preserve"> et al., 2004). </w:t>
      </w:r>
    </w:p>
    <w:p w14:paraId="00000029" w14:textId="77777777" w:rsidR="00E34279" w:rsidRDefault="009F4114">
      <w:pPr>
        <w:pBdr>
          <w:top w:val="nil"/>
          <w:left w:val="nil"/>
          <w:bottom w:val="nil"/>
          <w:right w:val="nil"/>
          <w:between w:val="nil"/>
        </w:pBdr>
        <w:rPr>
          <w:rFonts w:ascii="Garamond" w:eastAsia="Garamond" w:hAnsi="Garamond" w:cs="Garamond"/>
          <w:b/>
          <w:i/>
          <w:color w:val="000000"/>
          <w:sz w:val="22"/>
          <w:szCs w:val="22"/>
        </w:rPr>
      </w:pPr>
      <w:r>
        <w:rPr>
          <w:rFonts w:ascii="Arial" w:eastAsia="Arial" w:hAnsi="Arial" w:cs="Arial"/>
          <w:color w:val="000000"/>
          <w:sz w:val="22"/>
          <w:szCs w:val="22"/>
        </w:rPr>
        <w:br/>
      </w:r>
      <w:r>
        <w:rPr>
          <w:rFonts w:ascii="Garamond" w:eastAsia="Garamond" w:hAnsi="Garamond" w:cs="Garamond"/>
          <w:b/>
          <w:color w:val="366091"/>
          <w:sz w:val="28"/>
          <w:szCs w:val="28"/>
        </w:rPr>
        <w:t>2. Methods</w:t>
      </w:r>
    </w:p>
    <w:p w14:paraId="0000002A" w14:textId="77777777" w:rsidR="00E34279" w:rsidRDefault="009F4114">
      <w:pPr>
        <w:pBdr>
          <w:top w:val="nil"/>
          <w:left w:val="nil"/>
          <w:bottom w:val="nil"/>
          <w:right w:val="nil"/>
          <w:between w:val="nil"/>
        </w:pBdr>
        <w:rPr>
          <w:rFonts w:ascii="Garamond" w:eastAsia="Garamond" w:hAnsi="Garamond" w:cs="Garamond"/>
          <w:b/>
          <w:i/>
          <w:color w:val="000000"/>
          <w:sz w:val="22"/>
          <w:szCs w:val="22"/>
        </w:rPr>
      </w:pPr>
      <w:r>
        <w:rPr>
          <w:rFonts w:ascii="Garamond" w:eastAsia="Garamond" w:hAnsi="Garamond" w:cs="Garamond"/>
          <w:b/>
          <w:i/>
          <w:color w:val="000000"/>
          <w:sz w:val="22"/>
          <w:szCs w:val="22"/>
        </w:rPr>
        <w:t xml:space="preserve">2.1 Study Area and Period </w:t>
      </w:r>
    </w:p>
    <w:p w14:paraId="0000002B" w14:textId="77777777" w:rsidR="00E34279" w:rsidRDefault="009F4114">
      <w:pPr>
        <w:rPr>
          <w:rFonts w:ascii="Garamond" w:eastAsia="Garamond" w:hAnsi="Garamond" w:cs="Garamond"/>
          <w:color w:val="000000"/>
          <w:sz w:val="22"/>
          <w:szCs w:val="22"/>
        </w:rPr>
      </w:pPr>
      <w:r>
        <w:rPr>
          <w:rFonts w:ascii="Garamond" w:eastAsia="Garamond" w:hAnsi="Garamond" w:cs="Garamond"/>
          <w:color w:val="000000"/>
          <w:sz w:val="22"/>
          <w:szCs w:val="22"/>
        </w:rPr>
        <w:t>Our study area was the Gulf of Maine, Buzzard’s Bay, and Nantucket Sound. The Gulf of Maine covers 93,000 km</w:t>
      </w:r>
      <w:r>
        <w:rPr>
          <w:rFonts w:ascii="Garamond" w:eastAsia="Garamond" w:hAnsi="Garamond" w:cs="Garamond"/>
          <w:color w:val="000000"/>
          <w:sz w:val="22"/>
          <w:szCs w:val="22"/>
          <w:vertAlign w:val="superscript"/>
        </w:rPr>
        <w:t xml:space="preserve">2 </w:t>
      </w:r>
      <w:r>
        <w:rPr>
          <w:rFonts w:ascii="Garamond" w:eastAsia="Garamond" w:hAnsi="Garamond" w:cs="Garamond"/>
          <w:color w:val="000000"/>
          <w:sz w:val="22"/>
          <w:szCs w:val="22"/>
        </w:rPr>
        <w:t>of water and 12,000 km of coastline from Cape Cod, Massachusetts, to the Bay of Fundy, Canada. Buzzard’s Bay and the Nantucket Sound are both loca</w:t>
      </w:r>
      <w:r>
        <w:rPr>
          <w:rFonts w:ascii="Garamond" w:eastAsia="Garamond" w:hAnsi="Garamond" w:cs="Garamond"/>
          <w:color w:val="000000"/>
          <w:sz w:val="22"/>
          <w:szCs w:val="22"/>
        </w:rPr>
        <w:t>ted directly south of Massachusetts and cover 650 km</w:t>
      </w:r>
      <w:r>
        <w:rPr>
          <w:rFonts w:ascii="Garamond" w:eastAsia="Garamond" w:hAnsi="Garamond" w:cs="Garamond"/>
          <w:color w:val="000000"/>
          <w:sz w:val="22"/>
          <w:szCs w:val="22"/>
          <w:vertAlign w:val="superscript"/>
        </w:rPr>
        <w:t>2</w:t>
      </w:r>
      <w:r>
        <w:rPr>
          <w:rFonts w:ascii="Garamond" w:eastAsia="Garamond" w:hAnsi="Garamond" w:cs="Garamond"/>
          <w:color w:val="000000"/>
          <w:sz w:val="22"/>
          <w:szCs w:val="22"/>
        </w:rPr>
        <w:t xml:space="preserve"> and 1920 km</w:t>
      </w:r>
      <w:r>
        <w:rPr>
          <w:rFonts w:ascii="Garamond" w:eastAsia="Garamond" w:hAnsi="Garamond" w:cs="Garamond"/>
          <w:color w:val="000000"/>
          <w:sz w:val="22"/>
          <w:szCs w:val="22"/>
          <w:vertAlign w:val="superscript"/>
        </w:rPr>
        <w:t>2</w:t>
      </w:r>
      <w:r>
        <w:rPr>
          <w:rFonts w:ascii="Garamond" w:eastAsia="Garamond" w:hAnsi="Garamond" w:cs="Garamond"/>
          <w:color w:val="000000"/>
          <w:sz w:val="22"/>
          <w:szCs w:val="22"/>
        </w:rPr>
        <w:t xml:space="preserve">, respectively. We selected this region due to the emerging increase of harmful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blooms, rapidly changing oceanic conditions, and the presence of accessible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 in t</w:t>
      </w:r>
      <w:r>
        <w:rPr>
          <w:rFonts w:ascii="Garamond" w:eastAsia="Garamond" w:hAnsi="Garamond" w:cs="Garamond"/>
          <w:color w:val="000000"/>
          <w:sz w:val="22"/>
          <w:szCs w:val="22"/>
        </w:rPr>
        <w:t xml:space="preserve">his region. </w:t>
      </w:r>
    </w:p>
    <w:p w14:paraId="0000002C" w14:textId="77777777" w:rsidR="00E34279" w:rsidRDefault="00E34279">
      <w:pPr>
        <w:rPr>
          <w:rFonts w:ascii="Garamond" w:eastAsia="Garamond" w:hAnsi="Garamond" w:cs="Garamond"/>
          <w:color w:val="000000"/>
          <w:sz w:val="22"/>
          <w:szCs w:val="22"/>
        </w:rPr>
      </w:pPr>
    </w:p>
    <w:p w14:paraId="0000002D" w14:textId="77777777" w:rsidR="00E34279" w:rsidRDefault="009F4114">
      <w:pPr>
        <w:jc w:val="center"/>
      </w:pPr>
      <w:r>
        <w:rPr>
          <w:noProof/>
        </w:rPr>
        <w:drawing>
          <wp:inline distT="0" distB="0" distL="0" distR="0">
            <wp:extent cx="4572000" cy="2705100"/>
            <wp:effectExtent l="0" t="0" r="0" b="0"/>
            <wp:docPr id="19419258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572000" cy="2705100"/>
                    </a:xfrm>
                    <a:prstGeom prst="rect">
                      <a:avLst/>
                    </a:prstGeom>
                    <a:ln/>
                  </pic:spPr>
                </pic:pic>
              </a:graphicData>
            </a:graphic>
          </wp:inline>
        </w:drawing>
      </w:r>
    </w:p>
    <w:p w14:paraId="0000002E" w14:textId="77777777" w:rsidR="00E34279" w:rsidRDefault="00E34279"/>
    <w:p w14:paraId="0000002F" w14:textId="77777777" w:rsidR="00E34279" w:rsidRDefault="009F4114">
      <w:pPr>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Fig. 1. Study area map created in ArcGIS Pro. Image </w:t>
      </w:r>
      <w:proofErr w:type="spellStart"/>
      <w:r>
        <w:rPr>
          <w:rFonts w:ascii="Garamond" w:eastAsia="Garamond" w:hAnsi="Garamond" w:cs="Garamond"/>
          <w:color w:val="000000"/>
          <w:sz w:val="22"/>
          <w:szCs w:val="22"/>
        </w:rPr>
        <w:t>Basemap</w:t>
      </w:r>
      <w:proofErr w:type="spellEnd"/>
      <w:r>
        <w:rPr>
          <w:rFonts w:ascii="Garamond" w:eastAsia="Garamond" w:hAnsi="Garamond" w:cs="Garamond"/>
          <w:color w:val="000000"/>
          <w:sz w:val="22"/>
          <w:szCs w:val="22"/>
        </w:rPr>
        <w:t xml:space="preserve"> Credit: Esri, HERE, Garmin, FAO, NOAA, USGS, © OpenStreetMap contributors, and the GIS User Community</w:t>
      </w:r>
    </w:p>
    <w:p w14:paraId="00000030" w14:textId="77777777" w:rsidR="00E34279" w:rsidRDefault="00E34279">
      <w:pPr>
        <w:rPr>
          <w:rFonts w:ascii="Garamond" w:eastAsia="Garamond" w:hAnsi="Garamond" w:cs="Garamond"/>
          <w:color w:val="000000"/>
          <w:sz w:val="22"/>
          <w:szCs w:val="22"/>
        </w:rPr>
      </w:pPr>
    </w:p>
    <w:p w14:paraId="00000031" w14:textId="77777777" w:rsidR="00E34279" w:rsidRDefault="009F4114">
      <w:pPr>
        <w:rPr>
          <w:rFonts w:ascii="Garamond" w:eastAsia="Garamond" w:hAnsi="Garamond" w:cs="Garamond"/>
          <w:color w:val="000000"/>
          <w:sz w:val="22"/>
          <w:szCs w:val="22"/>
        </w:rPr>
      </w:pPr>
      <w:r>
        <w:rPr>
          <w:rFonts w:ascii="Garamond" w:eastAsia="Garamond" w:hAnsi="Garamond" w:cs="Garamond"/>
          <w:color w:val="000000"/>
          <w:sz w:val="22"/>
          <w:szCs w:val="22"/>
        </w:rPr>
        <w:t xml:space="preserve">We focused on the 2016 and 2020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i/>
          <w:color w:val="000000"/>
          <w:sz w:val="22"/>
          <w:szCs w:val="22"/>
        </w:rPr>
        <w:t xml:space="preserve"> </w:t>
      </w:r>
      <w:r>
        <w:rPr>
          <w:rFonts w:ascii="Garamond" w:eastAsia="Garamond" w:hAnsi="Garamond" w:cs="Garamond"/>
          <w:color w:val="000000"/>
          <w:sz w:val="22"/>
          <w:szCs w:val="22"/>
        </w:rPr>
        <w:t>bloom events and gathered images from August</w:t>
      </w:r>
      <w:r>
        <w:rPr>
          <w:rFonts w:ascii="Garamond" w:eastAsia="Garamond" w:hAnsi="Garamond" w:cs="Garamond"/>
          <w:color w:val="000000"/>
          <w:sz w:val="22"/>
          <w:szCs w:val="22"/>
        </w:rPr>
        <w:t xml:space="preserve"> to December. This study period was chosen because of the large-scale impacts of the blooms, confirmed by ground observations, which are typically present in the late summer and fall. Ground observations, provided by Woods Hole Oceanographic Institution (W</w:t>
      </w:r>
      <w:r>
        <w:rPr>
          <w:rFonts w:ascii="Garamond" w:eastAsia="Garamond" w:hAnsi="Garamond" w:cs="Garamond"/>
          <w:color w:val="000000"/>
          <w:sz w:val="22"/>
          <w:szCs w:val="22"/>
        </w:rPr>
        <w:t xml:space="preserve">HOI), were most complete and accurate in their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concentration recordings throughout the 2016 and 2020 bloom events. According to WHOI and their ground </w:t>
      </w:r>
      <w:r>
        <w:rPr>
          <w:rFonts w:ascii="Garamond" w:eastAsia="Garamond" w:hAnsi="Garamond" w:cs="Garamond"/>
          <w:color w:val="000000"/>
          <w:sz w:val="22"/>
          <w:szCs w:val="22"/>
        </w:rPr>
        <w:lastRenderedPageBreak/>
        <w:t>observations, the 2016 bloom occurred earlier in the year, around August to October, with</w:t>
      </w:r>
      <w:r>
        <w:rPr>
          <w:rFonts w:ascii="Garamond" w:eastAsia="Garamond" w:hAnsi="Garamond" w:cs="Garamond"/>
          <w:color w:val="000000"/>
          <w:sz w:val="22"/>
          <w:szCs w:val="22"/>
        </w:rPr>
        <w:t xml:space="preserve"> high concentrations of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at Martha’s Vineyard. The 2020 bloom occurred later in the year, around October to December, with high concentrations of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near Harpswell, Maine. </w:t>
      </w:r>
    </w:p>
    <w:p w14:paraId="00000032" w14:textId="77777777" w:rsidR="00E34279" w:rsidRDefault="00E34279">
      <w:pPr>
        <w:rPr>
          <w:rFonts w:ascii="Garamond" w:eastAsia="Garamond" w:hAnsi="Garamond" w:cs="Garamond"/>
          <w:color w:val="000000"/>
          <w:sz w:val="22"/>
          <w:szCs w:val="22"/>
        </w:rPr>
      </w:pPr>
    </w:p>
    <w:p w14:paraId="00000033" w14:textId="77777777" w:rsidR="00E34279" w:rsidRDefault="009F4114">
      <w:pPr>
        <w:pBdr>
          <w:top w:val="nil"/>
          <w:left w:val="nil"/>
          <w:bottom w:val="nil"/>
          <w:right w:val="nil"/>
          <w:between w:val="nil"/>
        </w:pBdr>
        <w:rPr>
          <w:rFonts w:ascii="Garamond" w:eastAsia="Garamond" w:hAnsi="Garamond" w:cs="Garamond"/>
          <w:b/>
          <w:i/>
          <w:color w:val="000000"/>
          <w:sz w:val="22"/>
          <w:szCs w:val="22"/>
        </w:rPr>
      </w:pPr>
      <w:r>
        <w:rPr>
          <w:rFonts w:ascii="Garamond" w:eastAsia="Garamond" w:hAnsi="Garamond" w:cs="Garamond"/>
          <w:b/>
          <w:i/>
          <w:color w:val="000000"/>
          <w:sz w:val="22"/>
          <w:szCs w:val="22"/>
        </w:rPr>
        <w:t>2.2 Data Acquisition</w:t>
      </w:r>
    </w:p>
    <w:p w14:paraId="00000034" w14:textId="77777777" w:rsidR="00E34279" w:rsidRDefault="009F4114">
      <w:pPr>
        <w:rPr>
          <w:rFonts w:ascii="Garamond" w:eastAsia="Garamond" w:hAnsi="Garamond" w:cs="Garamond"/>
          <w:i/>
          <w:sz w:val="22"/>
          <w:szCs w:val="22"/>
        </w:rPr>
      </w:pPr>
      <w:r>
        <w:rPr>
          <w:rFonts w:ascii="Garamond" w:eastAsia="Garamond" w:hAnsi="Garamond" w:cs="Garamond"/>
          <w:i/>
          <w:sz w:val="22"/>
          <w:szCs w:val="22"/>
        </w:rPr>
        <w:t>2.2.1 Sentinel-3 OLCI detection</w:t>
      </w:r>
      <w:r>
        <w:rPr>
          <w:rFonts w:ascii="Garamond" w:eastAsia="Garamond" w:hAnsi="Garamond" w:cs="Garamond"/>
          <w:i/>
          <w:sz w:val="22"/>
          <w:szCs w:val="22"/>
        </w:rPr>
        <w:t xml:space="preserve"> </w:t>
      </w:r>
    </w:p>
    <w:p w14:paraId="00000035" w14:textId="77777777" w:rsidR="00E34279" w:rsidRDefault="009F4114">
      <w:pPr>
        <w:rPr>
          <w:rFonts w:ascii="Garamond" w:eastAsia="Garamond" w:hAnsi="Garamond" w:cs="Garamond"/>
          <w:sz w:val="22"/>
          <w:szCs w:val="22"/>
        </w:rPr>
      </w:pPr>
      <w:r>
        <w:rPr>
          <w:rFonts w:ascii="Garamond" w:eastAsia="Garamond" w:hAnsi="Garamond" w:cs="Garamond"/>
          <w:sz w:val="22"/>
          <w:szCs w:val="22"/>
        </w:rPr>
        <w:t xml:space="preserve">Bands generated by Sentinel-3 from NASA’s </w:t>
      </w:r>
      <w:proofErr w:type="spellStart"/>
      <w:r>
        <w:rPr>
          <w:rFonts w:ascii="Garamond" w:eastAsia="Garamond" w:hAnsi="Garamond" w:cs="Garamond"/>
          <w:sz w:val="22"/>
          <w:szCs w:val="22"/>
        </w:rPr>
        <w:t>OceanColor</w:t>
      </w:r>
      <w:proofErr w:type="spellEnd"/>
      <w:r>
        <w:rPr>
          <w:rFonts w:ascii="Garamond" w:eastAsia="Garamond" w:hAnsi="Garamond" w:cs="Garamond"/>
          <w:sz w:val="22"/>
          <w:szCs w:val="22"/>
        </w:rPr>
        <w:t xml:space="preserve"> Web have a spatial resolution of 300 meters and cover 1270-kilometer swaths, achieving full Earth coverage every four days. Sentinel-3 imagery was processed through </w:t>
      </w:r>
      <w:proofErr w:type="spellStart"/>
      <w:r>
        <w:rPr>
          <w:rFonts w:ascii="Garamond" w:eastAsia="Garamond" w:hAnsi="Garamond" w:cs="Garamond"/>
          <w:sz w:val="22"/>
          <w:szCs w:val="22"/>
        </w:rPr>
        <w:t>SeaDAS</w:t>
      </w:r>
      <w:proofErr w:type="spellEnd"/>
      <w:r>
        <w:rPr>
          <w:rFonts w:ascii="Garamond" w:eastAsia="Garamond" w:hAnsi="Garamond" w:cs="Garamond"/>
          <w:sz w:val="22"/>
          <w:szCs w:val="22"/>
        </w:rPr>
        <w:t>, a NASA-generated software sp</w:t>
      </w:r>
      <w:r>
        <w:rPr>
          <w:rFonts w:ascii="Garamond" w:eastAsia="Garamond" w:hAnsi="Garamond" w:cs="Garamond"/>
          <w:sz w:val="22"/>
          <w:szCs w:val="22"/>
        </w:rPr>
        <w:t xml:space="preserve">ecializing in processing ocean color data. We used georeferenced Level 2 images from August to December of 2016 and 2020. </w:t>
      </w:r>
    </w:p>
    <w:p w14:paraId="00000036" w14:textId="77777777" w:rsidR="00E34279" w:rsidRDefault="00E34279">
      <w:pPr>
        <w:rPr>
          <w:rFonts w:ascii="Garamond" w:eastAsia="Garamond" w:hAnsi="Garamond" w:cs="Garamond"/>
          <w:sz w:val="22"/>
          <w:szCs w:val="22"/>
        </w:rPr>
      </w:pPr>
    </w:p>
    <w:p w14:paraId="00000037" w14:textId="77777777" w:rsidR="00E34279" w:rsidRDefault="009F4114">
      <w:pPr>
        <w:rPr>
          <w:rFonts w:ascii="Garamond" w:eastAsia="Garamond" w:hAnsi="Garamond" w:cs="Garamond"/>
          <w:sz w:val="22"/>
          <w:szCs w:val="22"/>
        </w:rPr>
      </w:pPr>
      <w:r>
        <w:rPr>
          <w:rFonts w:ascii="Garamond" w:eastAsia="Garamond" w:hAnsi="Garamond" w:cs="Garamond"/>
          <w:sz w:val="22"/>
          <w:szCs w:val="22"/>
        </w:rPr>
        <w:t xml:space="preserve">We acquired both Ocean Color (OC) and IOP files generated by Sentinel-3 from NASA’s </w:t>
      </w:r>
      <w:proofErr w:type="spellStart"/>
      <w:r>
        <w:rPr>
          <w:rFonts w:ascii="Garamond" w:eastAsia="Garamond" w:hAnsi="Garamond" w:cs="Garamond"/>
          <w:sz w:val="22"/>
          <w:szCs w:val="22"/>
        </w:rPr>
        <w:t>OceanColor</w:t>
      </w:r>
      <w:proofErr w:type="spellEnd"/>
      <w:r>
        <w:rPr>
          <w:rFonts w:ascii="Garamond" w:eastAsia="Garamond" w:hAnsi="Garamond" w:cs="Garamond"/>
          <w:sz w:val="22"/>
          <w:szCs w:val="22"/>
        </w:rPr>
        <w:t xml:space="preserve"> Web. We used the IOP files for their mathematically derived bands that more specifically visualized algal blooms. For our analysis of the OC file, we used the re</w:t>
      </w:r>
      <w:r>
        <w:rPr>
          <w:rFonts w:ascii="Garamond" w:eastAsia="Garamond" w:hAnsi="Garamond" w:cs="Garamond"/>
          <w:sz w:val="22"/>
          <w:szCs w:val="22"/>
        </w:rPr>
        <w:t>mote sensing reflectance (</w:t>
      </w:r>
      <w:proofErr w:type="spellStart"/>
      <w:r>
        <w:rPr>
          <w:rFonts w:ascii="Garamond" w:eastAsia="Garamond" w:hAnsi="Garamond" w:cs="Garamond"/>
          <w:sz w:val="22"/>
          <w:szCs w:val="22"/>
        </w:rPr>
        <w:t>Rrs</w:t>
      </w:r>
      <w:proofErr w:type="spellEnd"/>
      <w:r>
        <w:rPr>
          <w:rFonts w:ascii="Garamond" w:eastAsia="Garamond" w:hAnsi="Garamond" w:cs="Garamond"/>
          <w:sz w:val="22"/>
          <w:szCs w:val="22"/>
        </w:rPr>
        <w:t xml:space="preserve">) bands and interpolated select bands for the </w:t>
      </w:r>
      <w:proofErr w:type="spellStart"/>
      <w:r>
        <w:rPr>
          <w:rFonts w:ascii="Garamond" w:eastAsia="Garamond" w:hAnsi="Garamond" w:cs="Garamond"/>
          <w:sz w:val="22"/>
          <w:szCs w:val="22"/>
        </w:rPr>
        <w:t>nFLH</w:t>
      </w:r>
      <w:proofErr w:type="spellEnd"/>
      <w:r>
        <w:rPr>
          <w:rFonts w:ascii="Garamond" w:eastAsia="Garamond" w:hAnsi="Garamond" w:cs="Garamond"/>
          <w:sz w:val="22"/>
          <w:szCs w:val="22"/>
        </w:rPr>
        <w:t xml:space="preserve"> product, which allowed us to improve distinction between reflectance due to algae and reflectance due to other particles in the water (i.e., substrate). For our analysis of the</w:t>
      </w:r>
      <w:r>
        <w:rPr>
          <w:rFonts w:ascii="Garamond" w:eastAsia="Garamond" w:hAnsi="Garamond" w:cs="Garamond"/>
          <w:sz w:val="22"/>
          <w:szCs w:val="22"/>
        </w:rPr>
        <w:t xml:space="preserve"> IOP file, we used the absorption coefficient due to phytoplankton at 443 nanometers (aph443), which corrects sensor data to reduce absorption caused by inorganic matter and other non-algal organic matter. This product measures the absorption of pigments w</w:t>
      </w:r>
      <w:r>
        <w:rPr>
          <w:rFonts w:ascii="Garamond" w:eastAsia="Garamond" w:hAnsi="Garamond" w:cs="Garamond"/>
          <w:sz w:val="22"/>
          <w:szCs w:val="22"/>
        </w:rPr>
        <w:t xml:space="preserve">ithin phytoplankton and functioned </w:t>
      </w:r>
      <w:proofErr w:type="gramStart"/>
      <w:r>
        <w:rPr>
          <w:rFonts w:ascii="Garamond" w:eastAsia="Garamond" w:hAnsi="Garamond" w:cs="Garamond"/>
          <w:sz w:val="22"/>
          <w:szCs w:val="22"/>
        </w:rPr>
        <w:t>as a way to</w:t>
      </w:r>
      <w:proofErr w:type="gramEnd"/>
      <w:r>
        <w:rPr>
          <w:rFonts w:ascii="Garamond" w:eastAsia="Garamond" w:hAnsi="Garamond" w:cs="Garamond"/>
          <w:sz w:val="22"/>
          <w:szCs w:val="22"/>
        </w:rPr>
        <w:t xml:space="preserve"> observe the presence of algal blooms across multiple images.</w:t>
      </w:r>
    </w:p>
    <w:p w14:paraId="00000038" w14:textId="77777777" w:rsidR="00E34279" w:rsidRDefault="00E34279"/>
    <w:p w14:paraId="00000039" w14:textId="77777777" w:rsidR="00E34279" w:rsidRDefault="009F4114">
      <w:pPr>
        <w:rPr>
          <w:rFonts w:ascii="Garamond" w:eastAsia="Garamond" w:hAnsi="Garamond" w:cs="Garamond"/>
          <w:i/>
          <w:sz w:val="22"/>
          <w:szCs w:val="22"/>
        </w:rPr>
      </w:pPr>
      <w:r>
        <w:rPr>
          <w:rFonts w:ascii="Garamond" w:eastAsia="Garamond" w:hAnsi="Garamond" w:cs="Garamond"/>
          <w:i/>
          <w:sz w:val="22"/>
          <w:szCs w:val="22"/>
        </w:rPr>
        <w:t>2.2.2 Aqua MODIS Detection</w:t>
      </w:r>
    </w:p>
    <w:p w14:paraId="0000003A" w14:textId="77777777" w:rsidR="00E34279" w:rsidRDefault="009F4114">
      <w:pPr>
        <w:rPr>
          <w:rFonts w:ascii="Garamond" w:eastAsia="Garamond" w:hAnsi="Garamond" w:cs="Garamond"/>
          <w:sz w:val="22"/>
          <w:szCs w:val="22"/>
        </w:rPr>
      </w:pPr>
      <w:r>
        <w:rPr>
          <w:rFonts w:ascii="Garamond" w:eastAsia="Garamond" w:hAnsi="Garamond" w:cs="Garamond"/>
          <w:sz w:val="22"/>
          <w:szCs w:val="22"/>
        </w:rPr>
        <w:t xml:space="preserve">The Aqua MODIS sensor generates 36 bands and images the entire surface of the Earth every 1 to 2 days at spatial resolutions of 1000 meters, 500 meters, and 250 meters, depending on the band. We processed Level 2 Aqua MODIS imagery from NASA’s </w:t>
      </w:r>
      <w:proofErr w:type="spellStart"/>
      <w:r>
        <w:rPr>
          <w:rFonts w:ascii="Garamond" w:eastAsia="Garamond" w:hAnsi="Garamond" w:cs="Garamond"/>
          <w:sz w:val="22"/>
          <w:szCs w:val="22"/>
        </w:rPr>
        <w:t>OceanColor</w:t>
      </w:r>
      <w:proofErr w:type="spellEnd"/>
      <w:r>
        <w:rPr>
          <w:rFonts w:ascii="Garamond" w:eastAsia="Garamond" w:hAnsi="Garamond" w:cs="Garamond"/>
          <w:sz w:val="22"/>
          <w:szCs w:val="22"/>
        </w:rPr>
        <w:t xml:space="preserve"> W</w:t>
      </w:r>
      <w:r>
        <w:rPr>
          <w:rFonts w:ascii="Garamond" w:eastAsia="Garamond" w:hAnsi="Garamond" w:cs="Garamond"/>
          <w:sz w:val="22"/>
          <w:szCs w:val="22"/>
        </w:rPr>
        <w:t xml:space="preserve">eb in </w:t>
      </w:r>
      <w:proofErr w:type="spellStart"/>
      <w:r>
        <w:rPr>
          <w:rFonts w:ascii="Garamond" w:eastAsia="Garamond" w:hAnsi="Garamond" w:cs="Garamond"/>
          <w:sz w:val="22"/>
          <w:szCs w:val="22"/>
        </w:rPr>
        <w:t>SeaDAS</w:t>
      </w:r>
      <w:proofErr w:type="spellEnd"/>
      <w:r>
        <w:rPr>
          <w:rFonts w:ascii="Garamond" w:eastAsia="Garamond" w:hAnsi="Garamond" w:cs="Garamond"/>
          <w:sz w:val="22"/>
          <w:szCs w:val="22"/>
        </w:rPr>
        <w:t xml:space="preserve">. We used the OC file generated by MODIS and focused specifically on the </w:t>
      </w:r>
      <w:proofErr w:type="spellStart"/>
      <w:r>
        <w:rPr>
          <w:rFonts w:ascii="Garamond" w:eastAsia="Garamond" w:hAnsi="Garamond" w:cs="Garamond"/>
          <w:sz w:val="22"/>
          <w:szCs w:val="22"/>
        </w:rPr>
        <w:t>nFLH</w:t>
      </w:r>
      <w:proofErr w:type="spellEnd"/>
      <w:r>
        <w:rPr>
          <w:rFonts w:ascii="Garamond" w:eastAsia="Garamond" w:hAnsi="Garamond" w:cs="Garamond"/>
          <w:sz w:val="22"/>
          <w:szCs w:val="22"/>
        </w:rPr>
        <w:t xml:space="preserve"> band. Because the Aqua MODIS sensor has a lower resolution than the Sentinel-3 OLCI sensor, MODIS data was not primarily used in further analyses and functioned </w:t>
      </w:r>
      <w:proofErr w:type="gramStart"/>
      <w:r>
        <w:rPr>
          <w:rFonts w:ascii="Garamond" w:eastAsia="Garamond" w:hAnsi="Garamond" w:cs="Garamond"/>
          <w:sz w:val="22"/>
          <w:szCs w:val="22"/>
        </w:rPr>
        <w:t xml:space="preserve">as a </w:t>
      </w:r>
      <w:r>
        <w:rPr>
          <w:rFonts w:ascii="Garamond" w:eastAsia="Garamond" w:hAnsi="Garamond" w:cs="Garamond"/>
          <w:sz w:val="22"/>
          <w:szCs w:val="22"/>
        </w:rPr>
        <w:t>way to</w:t>
      </w:r>
      <w:proofErr w:type="gramEnd"/>
      <w:r>
        <w:rPr>
          <w:rFonts w:ascii="Garamond" w:eastAsia="Garamond" w:hAnsi="Garamond" w:cs="Garamond"/>
          <w:sz w:val="22"/>
          <w:szCs w:val="22"/>
        </w:rPr>
        <w:t xml:space="preserve"> preliminarily observe HABs. MODIS was also useful in providing imagery when Sentinel-3 data was unusable due to cloud cover or partial spatial extent, as the Aqua satellite images Earth’s surface twice as frequently as Sentinel-3. </w:t>
      </w:r>
    </w:p>
    <w:p w14:paraId="0000003B" w14:textId="77777777" w:rsidR="00E34279" w:rsidRDefault="00E34279"/>
    <w:p w14:paraId="0000003C" w14:textId="77777777" w:rsidR="00E34279" w:rsidRDefault="009F4114">
      <w:pPr>
        <w:rPr>
          <w:rFonts w:ascii="Garamond" w:eastAsia="Garamond" w:hAnsi="Garamond" w:cs="Garamond"/>
          <w:sz w:val="22"/>
          <w:szCs w:val="22"/>
        </w:rPr>
      </w:pPr>
      <w:r>
        <w:rPr>
          <w:rFonts w:ascii="Garamond" w:eastAsia="Garamond" w:hAnsi="Garamond" w:cs="Garamond"/>
          <w:i/>
          <w:sz w:val="22"/>
          <w:szCs w:val="22"/>
        </w:rPr>
        <w:t>2.2.3 In-situ Da</w:t>
      </w:r>
      <w:r>
        <w:rPr>
          <w:rFonts w:ascii="Garamond" w:eastAsia="Garamond" w:hAnsi="Garamond" w:cs="Garamond"/>
          <w:i/>
          <w:sz w:val="22"/>
          <w:szCs w:val="22"/>
        </w:rPr>
        <w:t xml:space="preserve">ta </w:t>
      </w:r>
    </w:p>
    <w:p w14:paraId="0000003D" w14:textId="77777777" w:rsidR="00E34279" w:rsidRDefault="009F4114">
      <w:pPr>
        <w:rPr>
          <w:rFonts w:ascii="Garamond" w:eastAsia="Garamond" w:hAnsi="Garamond" w:cs="Garamond"/>
          <w:i/>
          <w:sz w:val="22"/>
          <w:szCs w:val="22"/>
        </w:rPr>
      </w:pPr>
      <w:r>
        <w:rPr>
          <w:rFonts w:ascii="Garamond" w:eastAsia="Garamond" w:hAnsi="Garamond" w:cs="Garamond"/>
          <w:sz w:val="22"/>
          <w:szCs w:val="22"/>
        </w:rPr>
        <w:t xml:space="preserve">We used </w:t>
      </w:r>
      <w:proofErr w:type="gramStart"/>
      <w:r>
        <w:rPr>
          <w:rFonts w:ascii="Garamond" w:eastAsia="Garamond" w:hAnsi="Garamond" w:cs="Garamond"/>
          <w:sz w:val="22"/>
          <w:szCs w:val="22"/>
        </w:rPr>
        <w:t>select</w:t>
      </w:r>
      <w:proofErr w:type="gramEnd"/>
      <w:r>
        <w:rPr>
          <w:rFonts w:ascii="Garamond" w:eastAsia="Garamond" w:hAnsi="Garamond" w:cs="Garamond"/>
          <w:sz w:val="22"/>
          <w:szCs w:val="22"/>
        </w:rPr>
        <w:t xml:space="preserve"> datasets from WHOI’s</w:t>
      </w:r>
      <w:r>
        <w:rPr>
          <w:rFonts w:ascii="Garamond" w:eastAsia="Garamond" w:hAnsi="Garamond" w:cs="Garamond"/>
          <w:sz w:val="20"/>
          <w:szCs w:val="20"/>
        </w:rPr>
        <w:t xml:space="preserve"> </w:t>
      </w:r>
      <w:r>
        <w:rPr>
          <w:rFonts w:ascii="Garamond" w:eastAsia="Garamond" w:hAnsi="Garamond" w:cs="Garamond"/>
          <w:color w:val="000000"/>
          <w:sz w:val="22"/>
          <w:szCs w:val="22"/>
        </w:rPr>
        <w:t xml:space="preserve">Imaging </w:t>
      </w:r>
      <w:proofErr w:type="spellStart"/>
      <w:r>
        <w:rPr>
          <w:rFonts w:ascii="Garamond" w:eastAsia="Garamond" w:hAnsi="Garamond" w:cs="Garamond"/>
          <w:color w:val="000000"/>
          <w:sz w:val="22"/>
          <w:szCs w:val="22"/>
        </w:rPr>
        <w:t>FlowCytobots</w:t>
      </w:r>
      <w:proofErr w:type="spellEnd"/>
      <w:r>
        <w:rPr>
          <w:rFonts w:ascii="Garamond" w:eastAsia="Garamond" w:hAnsi="Garamond" w:cs="Garamond"/>
          <w:color w:val="000000"/>
          <w:sz w:val="22"/>
          <w:szCs w:val="22"/>
        </w:rPr>
        <w:t xml:space="preserve"> </w:t>
      </w:r>
      <w:r>
        <w:rPr>
          <w:rFonts w:ascii="Garamond" w:eastAsia="Garamond" w:hAnsi="Garamond" w:cs="Garamond"/>
          <w:sz w:val="22"/>
          <w:szCs w:val="22"/>
        </w:rPr>
        <w:t xml:space="preserve">(IFCBs) for reliable </w:t>
      </w:r>
      <w:r>
        <w:rPr>
          <w:rFonts w:ascii="Garamond" w:eastAsia="Garamond" w:hAnsi="Garamond" w:cs="Garamond"/>
          <w:i/>
          <w:sz w:val="22"/>
          <w:szCs w:val="22"/>
        </w:rPr>
        <w:t>in-situ</w:t>
      </w:r>
      <w:r>
        <w:rPr>
          <w:rFonts w:ascii="Garamond" w:eastAsia="Garamond" w:hAnsi="Garamond" w:cs="Garamond"/>
          <w:sz w:val="22"/>
          <w:szCs w:val="22"/>
        </w:rPr>
        <w:t xml:space="preserve"> data of the </w:t>
      </w:r>
      <w:proofErr w:type="spellStart"/>
      <w:r>
        <w:rPr>
          <w:rFonts w:ascii="Garamond" w:eastAsia="Garamond" w:hAnsi="Garamond" w:cs="Garamond"/>
          <w:i/>
          <w:sz w:val="22"/>
          <w:szCs w:val="22"/>
        </w:rPr>
        <w:t>Psuedo-nitzschia</w:t>
      </w:r>
      <w:proofErr w:type="spellEnd"/>
      <w:r>
        <w:rPr>
          <w:rFonts w:ascii="Garamond" w:eastAsia="Garamond" w:hAnsi="Garamond" w:cs="Garamond"/>
          <w:i/>
          <w:sz w:val="22"/>
          <w:szCs w:val="22"/>
        </w:rPr>
        <w:t xml:space="preserve"> </w:t>
      </w:r>
      <w:r>
        <w:rPr>
          <w:rFonts w:ascii="Garamond" w:eastAsia="Garamond" w:hAnsi="Garamond" w:cs="Garamond"/>
          <w:sz w:val="22"/>
          <w:szCs w:val="22"/>
        </w:rPr>
        <w:t>genus. Data from WHOI’s IFCB database was exported as a file with a table of all the samples collected, specified by volume (mL) analyzed</w:t>
      </w:r>
      <w:r>
        <w:rPr>
          <w:rFonts w:ascii="Garamond" w:eastAsia="Garamond" w:hAnsi="Garamond" w:cs="Garamond"/>
          <w:sz w:val="22"/>
          <w:szCs w:val="22"/>
        </w:rPr>
        <w:t xml:space="preserve">, sample time, latitude and longitude coordinates, and a unique process identification (PID) — an identifier for each individual bin of images. </w:t>
      </w:r>
    </w:p>
    <w:p w14:paraId="0000003E" w14:textId="77777777" w:rsidR="00E34279" w:rsidRDefault="00E34279">
      <w:pPr>
        <w:rPr>
          <w:rFonts w:ascii="Garamond" w:eastAsia="Garamond" w:hAnsi="Garamond" w:cs="Garamond"/>
          <w:sz w:val="22"/>
          <w:szCs w:val="22"/>
        </w:rPr>
      </w:pPr>
    </w:p>
    <w:p w14:paraId="0000003F" w14:textId="77777777" w:rsidR="00E34279" w:rsidRDefault="009F4114">
      <w:pPr>
        <w:jc w:val="center"/>
        <w:rPr>
          <w:rFonts w:ascii="Garamond" w:eastAsia="Garamond" w:hAnsi="Garamond" w:cs="Garamond"/>
          <w:i/>
          <w:sz w:val="22"/>
          <w:szCs w:val="22"/>
        </w:rPr>
      </w:pPr>
      <w:r>
        <w:rPr>
          <w:rFonts w:ascii="Garamond" w:eastAsia="Garamond" w:hAnsi="Garamond" w:cs="Garamond"/>
          <w:i/>
          <w:sz w:val="22"/>
          <w:szCs w:val="22"/>
        </w:rPr>
        <w:lastRenderedPageBreak/>
        <w:t xml:space="preserve"> </w:t>
      </w:r>
      <w:r>
        <w:rPr>
          <w:noProof/>
        </w:rPr>
        <w:drawing>
          <wp:inline distT="0" distB="0" distL="0" distR="0">
            <wp:extent cx="4572000" cy="2705100"/>
            <wp:effectExtent l="0" t="0" r="0" b="0"/>
            <wp:docPr id="19419258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572000" cy="2705100"/>
                    </a:xfrm>
                    <a:prstGeom prst="rect">
                      <a:avLst/>
                    </a:prstGeom>
                    <a:ln/>
                  </pic:spPr>
                </pic:pic>
              </a:graphicData>
            </a:graphic>
          </wp:inline>
        </w:drawing>
      </w:r>
    </w:p>
    <w:p w14:paraId="00000040" w14:textId="77777777" w:rsidR="00E34279" w:rsidRDefault="009F4114">
      <w:pPr>
        <w:jc w:val="center"/>
        <w:rPr>
          <w:rFonts w:ascii="Garamond" w:eastAsia="Garamond" w:hAnsi="Garamond" w:cs="Garamond"/>
          <w:sz w:val="22"/>
          <w:szCs w:val="22"/>
        </w:rPr>
      </w:pPr>
      <w:r>
        <w:rPr>
          <w:rFonts w:ascii="Garamond" w:eastAsia="Garamond" w:hAnsi="Garamond" w:cs="Garamond"/>
          <w:sz w:val="22"/>
          <w:szCs w:val="22"/>
        </w:rPr>
        <w:t xml:space="preserve">Fig. 2. Stationary IFCB </w:t>
      </w:r>
      <w:r>
        <w:rPr>
          <w:rFonts w:ascii="Garamond" w:eastAsia="Garamond" w:hAnsi="Garamond" w:cs="Garamond"/>
          <w:i/>
          <w:sz w:val="22"/>
          <w:szCs w:val="22"/>
        </w:rPr>
        <w:t>in-situ</w:t>
      </w:r>
      <w:r>
        <w:rPr>
          <w:rFonts w:ascii="Garamond" w:eastAsia="Garamond" w:hAnsi="Garamond" w:cs="Garamond"/>
          <w:sz w:val="22"/>
          <w:szCs w:val="22"/>
        </w:rPr>
        <w:t xml:space="preserve"> data locations. Image </w:t>
      </w:r>
      <w:proofErr w:type="spellStart"/>
      <w:r>
        <w:rPr>
          <w:rFonts w:ascii="Garamond" w:eastAsia="Garamond" w:hAnsi="Garamond" w:cs="Garamond"/>
          <w:sz w:val="22"/>
          <w:szCs w:val="22"/>
        </w:rPr>
        <w:t>Basemap</w:t>
      </w:r>
      <w:proofErr w:type="spellEnd"/>
      <w:r>
        <w:rPr>
          <w:rFonts w:ascii="Garamond" w:eastAsia="Garamond" w:hAnsi="Garamond" w:cs="Garamond"/>
          <w:sz w:val="22"/>
          <w:szCs w:val="22"/>
        </w:rPr>
        <w:t xml:space="preserve"> Credit: Esri, HERE, Garmin, FAO, NOAA, USGS, </w:t>
      </w:r>
      <w:r>
        <w:rPr>
          <w:rFonts w:ascii="Garamond" w:eastAsia="Garamond" w:hAnsi="Garamond" w:cs="Garamond"/>
          <w:sz w:val="22"/>
          <w:szCs w:val="22"/>
        </w:rPr>
        <w:t>OpenStreetMap contributors, and the GIS User Community</w:t>
      </w:r>
    </w:p>
    <w:p w14:paraId="00000041" w14:textId="77777777" w:rsidR="00E34279" w:rsidRDefault="00E34279">
      <w:pPr>
        <w:rPr>
          <w:rFonts w:ascii="Garamond" w:eastAsia="Garamond" w:hAnsi="Garamond" w:cs="Garamond"/>
          <w:i/>
          <w:sz w:val="22"/>
          <w:szCs w:val="22"/>
        </w:rPr>
      </w:pPr>
    </w:p>
    <w:p w14:paraId="00000042" w14:textId="77777777" w:rsidR="00E34279" w:rsidRDefault="009F4114">
      <w:pPr>
        <w:rPr>
          <w:rFonts w:ascii="Garamond" w:eastAsia="Garamond" w:hAnsi="Garamond" w:cs="Garamond"/>
          <w:b/>
        </w:rPr>
      </w:pPr>
      <w:r>
        <w:rPr>
          <w:rFonts w:ascii="Garamond" w:eastAsia="Garamond" w:hAnsi="Garamond" w:cs="Garamond"/>
          <w:sz w:val="22"/>
          <w:szCs w:val="22"/>
        </w:rPr>
        <w:t xml:space="preserve">We processed </w:t>
      </w:r>
      <w:r>
        <w:rPr>
          <w:rFonts w:ascii="Garamond" w:eastAsia="Garamond" w:hAnsi="Garamond" w:cs="Garamond"/>
          <w:i/>
          <w:sz w:val="22"/>
          <w:szCs w:val="22"/>
        </w:rPr>
        <w:t xml:space="preserve">in-situ </w:t>
      </w:r>
      <w:r>
        <w:rPr>
          <w:rFonts w:ascii="Garamond" w:eastAsia="Garamond" w:hAnsi="Garamond" w:cs="Garamond"/>
          <w:sz w:val="22"/>
          <w:szCs w:val="22"/>
        </w:rPr>
        <w:t xml:space="preserve">data for the observed September to December bloom events of 2016 and 2020. As there were gaps in </w:t>
      </w:r>
      <w:r>
        <w:rPr>
          <w:rFonts w:ascii="Garamond" w:eastAsia="Garamond" w:hAnsi="Garamond" w:cs="Garamond"/>
          <w:i/>
          <w:sz w:val="22"/>
          <w:szCs w:val="22"/>
        </w:rPr>
        <w:t xml:space="preserve">in-situ </w:t>
      </w:r>
      <w:r>
        <w:rPr>
          <w:rFonts w:ascii="Garamond" w:eastAsia="Garamond" w:hAnsi="Garamond" w:cs="Garamond"/>
          <w:sz w:val="22"/>
          <w:szCs w:val="22"/>
        </w:rPr>
        <w:t>data recordings, along with gaps in usable satellite imagery, we processed</w:t>
      </w:r>
      <w:r>
        <w:rPr>
          <w:rFonts w:ascii="Garamond" w:eastAsia="Garamond" w:hAnsi="Garamond" w:cs="Garamond"/>
          <w:sz w:val="22"/>
          <w:szCs w:val="22"/>
        </w:rPr>
        <w:t xml:space="preserve"> </w:t>
      </w:r>
      <w:r>
        <w:rPr>
          <w:rFonts w:ascii="Garamond" w:eastAsia="Garamond" w:hAnsi="Garamond" w:cs="Garamond"/>
          <w:i/>
          <w:sz w:val="22"/>
          <w:szCs w:val="22"/>
        </w:rPr>
        <w:t xml:space="preserve">in-situ </w:t>
      </w:r>
      <w:r>
        <w:rPr>
          <w:rFonts w:ascii="Garamond" w:eastAsia="Garamond" w:hAnsi="Garamond" w:cs="Garamond"/>
          <w:sz w:val="22"/>
          <w:szCs w:val="22"/>
        </w:rPr>
        <w:t xml:space="preserve">data for the time intervals when our datasets aligned. Two stationary coastal monitoring sensors, Martha’s Vineyard Coastal Observatory (MVCO), Massachusetts and Harpswell, Maine, were used for the 2016 and 2020 </w:t>
      </w:r>
      <w:r>
        <w:rPr>
          <w:rFonts w:ascii="Garamond" w:eastAsia="Garamond" w:hAnsi="Garamond" w:cs="Garamond"/>
          <w:i/>
          <w:sz w:val="22"/>
          <w:szCs w:val="22"/>
        </w:rPr>
        <w:t xml:space="preserve">in-situ </w:t>
      </w:r>
      <w:r>
        <w:rPr>
          <w:rFonts w:ascii="Garamond" w:eastAsia="Garamond" w:hAnsi="Garamond" w:cs="Garamond"/>
          <w:sz w:val="22"/>
          <w:szCs w:val="22"/>
        </w:rPr>
        <w:t>data comparison respectivel</w:t>
      </w:r>
      <w:r>
        <w:rPr>
          <w:rFonts w:ascii="Garamond" w:eastAsia="Garamond" w:hAnsi="Garamond" w:cs="Garamond"/>
          <w:sz w:val="22"/>
          <w:szCs w:val="22"/>
        </w:rPr>
        <w:t xml:space="preserve">y. MVCO is shown by the purple marker on Fig. 2, and Harpswell by the red marker. </w:t>
      </w:r>
    </w:p>
    <w:p w14:paraId="00000043" w14:textId="77777777" w:rsidR="00E34279" w:rsidRDefault="00E34279">
      <w:pPr>
        <w:rPr>
          <w:rFonts w:ascii="Garamond" w:eastAsia="Garamond" w:hAnsi="Garamond" w:cs="Garamond"/>
          <w:b/>
          <w:i/>
        </w:rPr>
      </w:pPr>
    </w:p>
    <w:p w14:paraId="00000044" w14:textId="77777777" w:rsidR="00E34279" w:rsidRDefault="009F4114">
      <w:pPr>
        <w:rPr>
          <w:rFonts w:ascii="Garamond" w:eastAsia="Garamond" w:hAnsi="Garamond" w:cs="Garamond"/>
          <w:b/>
        </w:rPr>
      </w:pPr>
      <w:r>
        <w:rPr>
          <w:rFonts w:ascii="Garamond" w:eastAsia="Garamond" w:hAnsi="Garamond" w:cs="Garamond"/>
          <w:b/>
          <w:i/>
        </w:rPr>
        <w:t>2.3 Data Analysis</w:t>
      </w:r>
    </w:p>
    <w:p w14:paraId="00000045" w14:textId="77777777" w:rsidR="00E34279" w:rsidRDefault="009F4114">
      <w:pPr>
        <w:rPr>
          <w:rFonts w:ascii="Garamond" w:eastAsia="Garamond" w:hAnsi="Garamond" w:cs="Garamond"/>
          <w:i/>
          <w:color w:val="000000"/>
          <w:sz w:val="22"/>
          <w:szCs w:val="22"/>
        </w:rPr>
      </w:pPr>
      <w:r>
        <w:rPr>
          <w:rFonts w:ascii="Garamond" w:eastAsia="Garamond" w:hAnsi="Garamond" w:cs="Garamond"/>
          <w:i/>
          <w:color w:val="000000"/>
          <w:sz w:val="22"/>
          <w:szCs w:val="22"/>
        </w:rPr>
        <w:t>2.3.1 Processing Satellite Data</w:t>
      </w:r>
    </w:p>
    <w:p w14:paraId="00000046" w14:textId="77777777" w:rsidR="00E34279" w:rsidRDefault="009F4114">
      <w:pPr>
        <w:rPr>
          <w:rFonts w:ascii="Garamond" w:eastAsia="Garamond" w:hAnsi="Garamond" w:cs="Garamond"/>
          <w:color w:val="000000"/>
          <w:sz w:val="22"/>
          <w:szCs w:val="22"/>
        </w:rPr>
      </w:pPr>
      <w:proofErr w:type="gramStart"/>
      <w:r>
        <w:rPr>
          <w:rFonts w:ascii="Garamond" w:eastAsia="Garamond" w:hAnsi="Garamond" w:cs="Garamond"/>
          <w:color w:val="000000"/>
          <w:sz w:val="22"/>
          <w:szCs w:val="22"/>
        </w:rPr>
        <w:t>In order to</w:t>
      </w:r>
      <w:proofErr w:type="gramEnd"/>
      <w:r>
        <w:rPr>
          <w:rFonts w:ascii="Garamond" w:eastAsia="Garamond" w:hAnsi="Garamond" w:cs="Garamond"/>
          <w:color w:val="000000"/>
          <w:sz w:val="22"/>
          <w:szCs w:val="22"/>
        </w:rPr>
        <w:t xml:space="preserve"> process both Sentinel-3 OLCI and Aqua MODIS data, we cropped viable daily imagery, where our region of interest had roughly greater than 20% coverage, to our study area and reprojected them to the World Geodetic System 1984 (WGS 84) geographic </w:t>
      </w:r>
      <w:r>
        <w:rPr>
          <w:rFonts w:ascii="Garamond" w:eastAsia="Garamond" w:hAnsi="Garamond" w:cs="Garamond"/>
          <w:color w:val="000000"/>
          <w:sz w:val="22"/>
          <w:szCs w:val="22"/>
        </w:rPr>
        <w:t xml:space="preserve">latitude and longitude in </w:t>
      </w:r>
      <w:proofErr w:type="spellStart"/>
      <w:r>
        <w:rPr>
          <w:rFonts w:ascii="Garamond" w:eastAsia="Garamond" w:hAnsi="Garamond" w:cs="Garamond"/>
          <w:color w:val="000000"/>
          <w:sz w:val="22"/>
          <w:szCs w:val="22"/>
        </w:rPr>
        <w:t>SeaDAS</w:t>
      </w:r>
      <w:proofErr w:type="spellEnd"/>
      <w:r>
        <w:rPr>
          <w:rFonts w:ascii="Garamond" w:eastAsia="Garamond" w:hAnsi="Garamond" w:cs="Garamond"/>
          <w:color w:val="000000"/>
          <w:sz w:val="22"/>
          <w:szCs w:val="22"/>
        </w:rPr>
        <w:t xml:space="preserve"> using MATLAB. For our analysis of the Sentinel-3 OC file, we conducted a mathematical interpolation in MATLAB to compute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measurements, which reduce the visual representation of reflectance not caused by phytoplankton. </w:t>
      </w:r>
      <w:proofErr w:type="gramStart"/>
      <w:r>
        <w:rPr>
          <w:rFonts w:ascii="Garamond" w:eastAsia="Garamond" w:hAnsi="Garamond" w:cs="Garamond"/>
          <w:color w:val="000000"/>
          <w:sz w:val="22"/>
          <w:szCs w:val="22"/>
        </w:rPr>
        <w:t>In order to</w:t>
      </w:r>
      <w:proofErr w:type="gramEnd"/>
      <w:r>
        <w:rPr>
          <w:rFonts w:ascii="Garamond" w:eastAsia="Garamond" w:hAnsi="Garamond" w:cs="Garamond"/>
          <w:color w:val="000000"/>
          <w:sz w:val="22"/>
          <w:szCs w:val="22"/>
        </w:rPr>
        <w:t xml:space="preserve"> calculate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we used the following equation and </w:t>
      </w:r>
      <w:proofErr w:type="spellStart"/>
      <w:r>
        <w:rPr>
          <w:rFonts w:ascii="Garamond" w:eastAsia="Garamond" w:hAnsi="Garamond" w:cs="Garamond"/>
          <w:color w:val="000000"/>
          <w:sz w:val="22"/>
          <w:szCs w:val="22"/>
        </w:rPr>
        <w:t>Rrs</w:t>
      </w:r>
      <w:proofErr w:type="spellEnd"/>
      <w:r>
        <w:rPr>
          <w:rFonts w:ascii="Garamond" w:eastAsia="Garamond" w:hAnsi="Garamond" w:cs="Garamond"/>
          <w:color w:val="000000"/>
          <w:sz w:val="22"/>
          <w:szCs w:val="22"/>
        </w:rPr>
        <w:t xml:space="preserve"> bands directly sensed by Sentinel-3 to interpolate for bands in the equation: </w:t>
      </w:r>
    </w:p>
    <w:p w14:paraId="00000047" w14:textId="77777777" w:rsidR="00E34279" w:rsidRDefault="00E34279">
      <w:pPr>
        <w:rPr>
          <w:rFonts w:ascii="Garamond" w:eastAsia="Garamond" w:hAnsi="Garamond" w:cs="Garamond"/>
          <w:color w:val="000000"/>
          <w:sz w:val="22"/>
          <w:szCs w:val="22"/>
        </w:rPr>
      </w:pPr>
    </w:p>
    <w:p w14:paraId="00000048" w14:textId="77777777" w:rsidR="00E34279" w:rsidRDefault="009F4114">
      <w:pPr>
        <w:jc w:val="center"/>
        <w:rPr>
          <w:rFonts w:ascii="Cambria Math" w:eastAsia="Cambria Math" w:hAnsi="Cambria Math" w:cs="Cambria Math"/>
        </w:rPr>
      </w:pPr>
      <m:oMathPara>
        <m:oMath>
          <m:r>
            <w:rPr>
              <w:rFonts w:ascii="Cambria Math" w:eastAsia="Cambria Math" w:hAnsi="Cambria Math" w:cs="Cambria Math"/>
            </w:rPr>
            <m:t>nFLH</m:t>
          </m:r>
          <m:r>
            <w:rPr>
              <w:rFonts w:ascii="Cambria Math" w:eastAsia="Cambria Math" w:hAnsi="Cambria Math" w:cs="Cambria Math"/>
            </w:rPr>
            <m:t>=47.4890×</m:t>
          </m:r>
          <m:d>
            <m:dPr>
              <m:ctrlPr>
                <w:rPr>
                  <w:rFonts w:ascii="Cambria Math" w:eastAsia="Cambria Math" w:hAnsi="Cambria Math" w:cs="Cambria Math"/>
                </w:rPr>
              </m:ctrlPr>
            </m:dPr>
            <m:e>
              <m:r>
                <w:rPr>
                  <w:rFonts w:ascii="Cambria Math" w:eastAsia="Cambria Math" w:hAnsi="Cambria Math" w:cs="Cambria Math"/>
                </w:rPr>
                <m:t>Rrs</m:t>
              </m:r>
              <m:r>
                <w:rPr>
                  <w:rFonts w:ascii="Cambria Math" w:eastAsia="Cambria Math" w:hAnsi="Cambria Math" w:cs="Cambria Math"/>
                </w:rPr>
                <m:t>681-</m:t>
              </m:r>
              <m:d>
                <m:dPr>
                  <m:ctrlPr>
                    <w:rPr>
                      <w:rFonts w:ascii="Cambria Math" w:eastAsia="Cambria Math" w:hAnsi="Cambria Math" w:cs="Cambria Math"/>
                    </w:rPr>
                  </m:ctrlPr>
                </m:d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44</m:t>
                          </m:r>
                        </m:den>
                      </m:f>
                    </m:e>
                  </m:d>
                  <m:r>
                    <w:rPr>
                      <w:rFonts w:ascii="Cambria Math" w:eastAsia="Cambria Math" w:hAnsi="Cambria Math" w:cs="Cambria Math"/>
                    </w:rPr>
                    <m:t>×</m:t>
                  </m:r>
                  <m:r>
                    <w:rPr>
                      <w:rFonts w:ascii="Cambria Math" w:eastAsia="Cambria Math" w:hAnsi="Cambria Math" w:cs="Cambria Math"/>
                    </w:rPr>
                    <m:t>Rrs</m:t>
                  </m:r>
                  <m:r>
                    <w:rPr>
                      <w:rFonts w:ascii="Cambria Math" w:eastAsia="Cambria Math" w:hAnsi="Cambria Math" w:cs="Cambria Math"/>
                    </w:rPr>
                    <m:t>665+</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44</m:t>
                          </m:r>
                        </m:den>
                      </m:f>
                    </m:e>
                  </m:d>
                  <m:r>
                    <w:rPr>
                      <w:rFonts w:ascii="Cambria Math" w:eastAsia="Cambria Math" w:hAnsi="Cambria Math" w:cs="Cambria Math"/>
                    </w:rPr>
                    <m:t>×</m:t>
                  </m:r>
                  <m:r>
                    <w:rPr>
                      <w:rFonts w:ascii="Cambria Math" w:eastAsia="Cambria Math" w:hAnsi="Cambria Math" w:cs="Cambria Math"/>
                    </w:rPr>
                    <m:t>Rrs</m:t>
                  </m:r>
                  <m:r>
                    <w:rPr>
                      <w:rFonts w:ascii="Cambria Math" w:eastAsia="Cambria Math" w:hAnsi="Cambria Math" w:cs="Cambria Math"/>
                    </w:rPr>
                    <m:t>709</m:t>
                  </m:r>
                </m:e>
              </m:d>
            </m:e>
          </m:d>
        </m:oMath>
      </m:oMathPara>
    </w:p>
    <w:p w14:paraId="00000049" w14:textId="77777777" w:rsidR="00E34279" w:rsidRDefault="00E34279">
      <w:pPr>
        <w:jc w:val="center"/>
        <w:rPr>
          <w:rFonts w:ascii="Garamond" w:eastAsia="Garamond" w:hAnsi="Garamond" w:cs="Garamond"/>
          <w:color w:val="242424"/>
          <w:sz w:val="22"/>
          <w:szCs w:val="22"/>
        </w:rPr>
      </w:pPr>
    </w:p>
    <w:p w14:paraId="0000004A" w14:textId="77777777" w:rsidR="00E34279" w:rsidRDefault="009F4114">
      <w:pPr>
        <w:rPr>
          <w:rFonts w:ascii="Garamond" w:eastAsia="Garamond" w:hAnsi="Garamond" w:cs="Garamond"/>
          <w:color w:val="000000"/>
          <w:sz w:val="22"/>
          <w:szCs w:val="22"/>
        </w:rPr>
      </w:pPr>
      <w:r>
        <w:rPr>
          <w:rFonts w:ascii="Garamond" w:eastAsia="Garamond" w:hAnsi="Garamond" w:cs="Garamond"/>
          <w:color w:val="242424"/>
          <w:sz w:val="22"/>
          <w:szCs w:val="22"/>
        </w:rPr>
        <w:t xml:space="preserve">The </w:t>
      </w:r>
      <w:proofErr w:type="spellStart"/>
      <w:r>
        <w:rPr>
          <w:rFonts w:ascii="Garamond" w:eastAsia="Garamond" w:hAnsi="Garamond" w:cs="Garamond"/>
          <w:color w:val="242424"/>
          <w:sz w:val="22"/>
          <w:szCs w:val="22"/>
        </w:rPr>
        <w:t>nFLH</w:t>
      </w:r>
      <w:proofErr w:type="spellEnd"/>
      <w:r>
        <w:rPr>
          <w:rFonts w:ascii="Garamond" w:eastAsia="Garamond" w:hAnsi="Garamond" w:cs="Garamond"/>
          <w:color w:val="242424"/>
          <w:sz w:val="22"/>
          <w:szCs w:val="22"/>
        </w:rPr>
        <w:t xml:space="preserve"> calculation uses the empirical value 47.48</w:t>
      </w:r>
      <w:r>
        <w:rPr>
          <w:rFonts w:ascii="Garamond" w:eastAsia="Garamond" w:hAnsi="Garamond" w:cs="Garamond"/>
          <w:color w:val="242424"/>
          <w:sz w:val="22"/>
          <w:szCs w:val="22"/>
        </w:rPr>
        <w:t xml:space="preserve">90, </w:t>
      </w:r>
      <w:proofErr w:type="spellStart"/>
      <w:proofErr w:type="gramStart"/>
      <w:r>
        <w:rPr>
          <w:rFonts w:ascii="Garamond" w:eastAsia="Garamond" w:hAnsi="Garamond" w:cs="Garamond"/>
          <w:color w:val="242424"/>
          <w:sz w:val="22"/>
          <w:szCs w:val="22"/>
        </w:rPr>
        <w:t>Rrs</w:t>
      </w:r>
      <w:proofErr w:type="spellEnd"/>
      <w:r>
        <w:rPr>
          <w:rFonts w:ascii="Garamond" w:eastAsia="Garamond" w:hAnsi="Garamond" w:cs="Garamond"/>
          <w:color w:val="242424"/>
          <w:sz w:val="22"/>
          <w:szCs w:val="22"/>
        </w:rPr>
        <w:t>(</w:t>
      </w:r>
      <w:proofErr w:type="gramEnd"/>
      <w:r>
        <w:rPr>
          <w:rFonts w:ascii="Garamond" w:eastAsia="Garamond" w:hAnsi="Garamond" w:cs="Garamond"/>
          <w:color w:val="242424"/>
          <w:sz w:val="22"/>
          <w:szCs w:val="22"/>
        </w:rPr>
        <w:t xml:space="preserve">681 nanometers), </w:t>
      </w:r>
      <w:proofErr w:type="spellStart"/>
      <w:r>
        <w:rPr>
          <w:rFonts w:ascii="Garamond" w:eastAsia="Garamond" w:hAnsi="Garamond" w:cs="Garamond"/>
          <w:color w:val="242424"/>
          <w:sz w:val="22"/>
          <w:szCs w:val="22"/>
        </w:rPr>
        <w:t>Rrs</w:t>
      </w:r>
      <w:proofErr w:type="spellEnd"/>
      <w:r>
        <w:rPr>
          <w:rFonts w:ascii="Garamond" w:eastAsia="Garamond" w:hAnsi="Garamond" w:cs="Garamond"/>
          <w:color w:val="242424"/>
          <w:sz w:val="22"/>
          <w:szCs w:val="22"/>
        </w:rPr>
        <w:t xml:space="preserve">(665 nanometers), </w:t>
      </w:r>
      <w:proofErr w:type="spellStart"/>
      <w:r>
        <w:rPr>
          <w:rFonts w:ascii="Garamond" w:eastAsia="Garamond" w:hAnsi="Garamond" w:cs="Garamond"/>
          <w:color w:val="242424"/>
          <w:sz w:val="22"/>
          <w:szCs w:val="22"/>
        </w:rPr>
        <w:t>Rrs</w:t>
      </w:r>
      <w:proofErr w:type="spellEnd"/>
      <w:r>
        <w:rPr>
          <w:rFonts w:ascii="Garamond" w:eastAsia="Garamond" w:hAnsi="Garamond" w:cs="Garamond"/>
          <w:color w:val="242424"/>
          <w:sz w:val="22"/>
          <w:szCs w:val="22"/>
        </w:rPr>
        <w:t xml:space="preserve">(709 nanometers), and a spectral interpolation of </w:t>
      </w:r>
      <w:proofErr w:type="spellStart"/>
      <w:r>
        <w:rPr>
          <w:rFonts w:ascii="Garamond" w:eastAsia="Garamond" w:hAnsi="Garamond" w:cs="Garamond"/>
          <w:color w:val="242424"/>
          <w:sz w:val="22"/>
          <w:szCs w:val="22"/>
        </w:rPr>
        <w:t>Rrs</w:t>
      </w:r>
      <w:proofErr w:type="spellEnd"/>
      <w:r>
        <w:rPr>
          <w:rFonts w:ascii="Garamond" w:eastAsia="Garamond" w:hAnsi="Garamond" w:cs="Garamond"/>
          <w:color w:val="242424"/>
          <w:sz w:val="22"/>
          <w:szCs w:val="22"/>
        </w:rPr>
        <w:t xml:space="preserve">(693 nanometers). As </w:t>
      </w:r>
      <w:proofErr w:type="spellStart"/>
      <w:proofErr w:type="gramStart"/>
      <w:r>
        <w:rPr>
          <w:rFonts w:ascii="Garamond" w:eastAsia="Garamond" w:hAnsi="Garamond" w:cs="Garamond"/>
          <w:color w:val="242424"/>
          <w:sz w:val="22"/>
          <w:szCs w:val="22"/>
        </w:rPr>
        <w:t>Rrs</w:t>
      </w:r>
      <w:proofErr w:type="spellEnd"/>
      <w:r>
        <w:rPr>
          <w:rFonts w:ascii="Garamond" w:eastAsia="Garamond" w:hAnsi="Garamond" w:cs="Garamond"/>
          <w:color w:val="242424"/>
          <w:sz w:val="22"/>
          <w:szCs w:val="22"/>
        </w:rPr>
        <w:t>(</w:t>
      </w:r>
      <w:proofErr w:type="gramEnd"/>
      <w:r>
        <w:rPr>
          <w:rFonts w:ascii="Garamond" w:eastAsia="Garamond" w:hAnsi="Garamond" w:cs="Garamond"/>
          <w:color w:val="242424"/>
          <w:sz w:val="22"/>
          <w:szCs w:val="22"/>
        </w:rPr>
        <w:t xml:space="preserve">693 nanometers) was not a direct product in the Sentinel-3 OC files, we interpolated the </w:t>
      </w:r>
      <w:proofErr w:type="spellStart"/>
      <w:r>
        <w:rPr>
          <w:rFonts w:ascii="Garamond" w:eastAsia="Garamond" w:hAnsi="Garamond" w:cs="Garamond"/>
          <w:color w:val="242424"/>
          <w:sz w:val="22"/>
          <w:szCs w:val="22"/>
        </w:rPr>
        <w:t>Rrs</w:t>
      </w:r>
      <w:proofErr w:type="spellEnd"/>
      <w:r>
        <w:rPr>
          <w:rFonts w:ascii="Garamond" w:eastAsia="Garamond" w:hAnsi="Garamond" w:cs="Garamond"/>
          <w:color w:val="242424"/>
          <w:sz w:val="22"/>
          <w:szCs w:val="22"/>
        </w:rPr>
        <w:t xml:space="preserve"> value using the closest smaller and </w:t>
      </w:r>
      <w:r>
        <w:rPr>
          <w:rFonts w:ascii="Garamond" w:eastAsia="Garamond" w:hAnsi="Garamond" w:cs="Garamond"/>
          <w:color w:val="242424"/>
          <w:sz w:val="22"/>
          <w:szCs w:val="22"/>
        </w:rPr>
        <w:t xml:space="preserve">larger bands, </w:t>
      </w:r>
      <w:proofErr w:type="spellStart"/>
      <w:r>
        <w:rPr>
          <w:rFonts w:ascii="Garamond" w:eastAsia="Garamond" w:hAnsi="Garamond" w:cs="Garamond"/>
          <w:color w:val="242424"/>
          <w:sz w:val="22"/>
          <w:szCs w:val="22"/>
        </w:rPr>
        <w:t>Rrs</w:t>
      </w:r>
      <w:proofErr w:type="spellEnd"/>
      <w:r>
        <w:rPr>
          <w:rFonts w:ascii="Garamond" w:eastAsia="Garamond" w:hAnsi="Garamond" w:cs="Garamond"/>
          <w:color w:val="242424"/>
          <w:sz w:val="22"/>
          <w:szCs w:val="22"/>
        </w:rPr>
        <w:t xml:space="preserve">(665 nanometers) and </w:t>
      </w:r>
      <w:proofErr w:type="spellStart"/>
      <w:r>
        <w:rPr>
          <w:rFonts w:ascii="Garamond" w:eastAsia="Garamond" w:hAnsi="Garamond" w:cs="Garamond"/>
          <w:color w:val="242424"/>
          <w:sz w:val="22"/>
          <w:szCs w:val="22"/>
        </w:rPr>
        <w:t>Rrs</w:t>
      </w:r>
      <w:proofErr w:type="spellEnd"/>
      <w:r>
        <w:rPr>
          <w:rFonts w:ascii="Garamond" w:eastAsia="Garamond" w:hAnsi="Garamond" w:cs="Garamond"/>
          <w:color w:val="242424"/>
          <w:sz w:val="22"/>
          <w:szCs w:val="22"/>
        </w:rPr>
        <w:t xml:space="preserve">(709 nanometers) respectively. High absorption typically occurs at </w:t>
      </w:r>
      <w:proofErr w:type="spellStart"/>
      <w:proofErr w:type="gramStart"/>
      <w:r>
        <w:rPr>
          <w:rFonts w:ascii="Garamond" w:eastAsia="Garamond" w:hAnsi="Garamond" w:cs="Garamond"/>
          <w:color w:val="242424"/>
          <w:sz w:val="22"/>
          <w:szCs w:val="22"/>
        </w:rPr>
        <w:t>Rrs</w:t>
      </w:r>
      <w:proofErr w:type="spellEnd"/>
      <w:r>
        <w:rPr>
          <w:rFonts w:ascii="Garamond" w:eastAsia="Garamond" w:hAnsi="Garamond" w:cs="Garamond"/>
          <w:color w:val="242424"/>
          <w:sz w:val="22"/>
          <w:szCs w:val="22"/>
        </w:rPr>
        <w:t>(</w:t>
      </w:r>
      <w:proofErr w:type="gramEnd"/>
      <w:r>
        <w:rPr>
          <w:rFonts w:ascii="Garamond" w:eastAsia="Garamond" w:hAnsi="Garamond" w:cs="Garamond"/>
          <w:color w:val="242424"/>
          <w:sz w:val="22"/>
          <w:szCs w:val="22"/>
        </w:rPr>
        <w:t xml:space="preserve">681) when there is a large quantity of organic matter. </w:t>
      </w:r>
      <w:r>
        <w:rPr>
          <w:rFonts w:ascii="Garamond" w:eastAsia="Garamond" w:hAnsi="Garamond" w:cs="Garamond"/>
          <w:color w:val="000000"/>
          <w:sz w:val="22"/>
          <w:szCs w:val="22"/>
        </w:rPr>
        <w:t xml:space="preserve">Using the processed daily </w:t>
      </w:r>
      <w:proofErr w:type="spellStart"/>
      <w:r>
        <w:rPr>
          <w:rFonts w:ascii="Garamond" w:eastAsia="Garamond" w:hAnsi="Garamond" w:cs="Garamond"/>
          <w:color w:val="000000"/>
          <w:sz w:val="22"/>
          <w:szCs w:val="22"/>
        </w:rPr>
        <w:t>NetCDF</w:t>
      </w:r>
      <w:proofErr w:type="spellEnd"/>
      <w:r>
        <w:rPr>
          <w:rFonts w:ascii="Garamond" w:eastAsia="Garamond" w:hAnsi="Garamond" w:cs="Garamond"/>
          <w:color w:val="000000"/>
          <w:sz w:val="22"/>
          <w:szCs w:val="22"/>
        </w:rPr>
        <w:t xml:space="preserve"> files, we then utilized the Level-3 binning function in </w:t>
      </w:r>
      <w:proofErr w:type="spellStart"/>
      <w:r>
        <w:rPr>
          <w:rFonts w:ascii="Garamond" w:eastAsia="Garamond" w:hAnsi="Garamond" w:cs="Garamond"/>
          <w:color w:val="000000"/>
          <w:sz w:val="22"/>
          <w:szCs w:val="22"/>
        </w:rPr>
        <w:t>SeaDAS</w:t>
      </w:r>
      <w:proofErr w:type="spellEnd"/>
      <w:r>
        <w:rPr>
          <w:rFonts w:ascii="Garamond" w:eastAsia="Garamond" w:hAnsi="Garamond" w:cs="Garamond"/>
          <w:color w:val="000000"/>
          <w:sz w:val="22"/>
          <w:szCs w:val="22"/>
        </w:rPr>
        <w:t xml:space="preserve"> to create weekly and monthly composite imagery aggregated by average aph443 and average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at a spatial resolution of 2 kilometers per pixel. Weekly composite imagery offered more complete images and provided finer temporal representation, which i</w:t>
      </w:r>
      <w:r>
        <w:rPr>
          <w:rFonts w:ascii="Garamond" w:eastAsia="Garamond" w:hAnsi="Garamond" w:cs="Garamond"/>
          <w:color w:val="000000"/>
          <w:sz w:val="22"/>
          <w:szCs w:val="22"/>
        </w:rPr>
        <w:t xml:space="preserve">s important as algal blooms have the propensity to change and migrate quickly. All timeseries images were saved as </w:t>
      </w:r>
      <w:proofErr w:type="spellStart"/>
      <w:r>
        <w:rPr>
          <w:rFonts w:ascii="Garamond" w:eastAsia="Garamond" w:hAnsi="Garamond" w:cs="Garamond"/>
          <w:color w:val="000000"/>
          <w:sz w:val="22"/>
          <w:szCs w:val="22"/>
        </w:rPr>
        <w:t>NetCDF</w:t>
      </w:r>
      <w:proofErr w:type="spellEnd"/>
      <w:r>
        <w:rPr>
          <w:rFonts w:ascii="Garamond" w:eastAsia="Garamond" w:hAnsi="Garamond" w:cs="Garamond"/>
          <w:color w:val="000000"/>
          <w:sz w:val="22"/>
          <w:szCs w:val="22"/>
        </w:rPr>
        <w:t xml:space="preserve"> files and exported as full scene, full resolution Portable Network Graphics from </w:t>
      </w:r>
      <w:proofErr w:type="spellStart"/>
      <w:r>
        <w:rPr>
          <w:rFonts w:ascii="Garamond" w:eastAsia="Garamond" w:hAnsi="Garamond" w:cs="Garamond"/>
          <w:color w:val="000000"/>
          <w:sz w:val="22"/>
          <w:szCs w:val="22"/>
        </w:rPr>
        <w:t>SeaDAS</w:t>
      </w:r>
      <w:proofErr w:type="spellEnd"/>
      <w:r>
        <w:rPr>
          <w:rFonts w:ascii="Garamond" w:eastAsia="Garamond" w:hAnsi="Garamond" w:cs="Garamond"/>
          <w:color w:val="000000"/>
          <w:sz w:val="22"/>
          <w:szCs w:val="22"/>
        </w:rPr>
        <w:t xml:space="preserve">. For aph443 images, we used the </w:t>
      </w:r>
      <w:r>
        <w:rPr>
          <w:rFonts w:ascii="Garamond" w:eastAsia="Garamond" w:hAnsi="Garamond" w:cs="Garamond"/>
          <w:color w:val="000000"/>
          <w:sz w:val="22"/>
          <w:szCs w:val="22"/>
        </w:rPr>
        <w:lastRenderedPageBreak/>
        <w:t>anomalies2_uni</w:t>
      </w:r>
      <w:r>
        <w:rPr>
          <w:rFonts w:ascii="Garamond" w:eastAsia="Garamond" w:hAnsi="Garamond" w:cs="Garamond"/>
          <w:color w:val="000000"/>
          <w:sz w:val="22"/>
          <w:szCs w:val="22"/>
        </w:rPr>
        <w:t xml:space="preserve">versal color palette and set the color range from 0 to 0.1. For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images, we used the reversed deep color palette and set the color range from 0 to 0.06. All images used gray land and coastal masks and all missing data, i.e., from cloud coverage and inc</w:t>
      </w:r>
      <w:r>
        <w:rPr>
          <w:rFonts w:ascii="Garamond" w:eastAsia="Garamond" w:hAnsi="Garamond" w:cs="Garamond"/>
          <w:color w:val="000000"/>
          <w:sz w:val="22"/>
          <w:szCs w:val="22"/>
        </w:rPr>
        <w:t xml:space="preserve">omplete swath coverage, were classified as the color white. </w:t>
      </w:r>
    </w:p>
    <w:p w14:paraId="0000004B" w14:textId="77777777" w:rsidR="00E34279" w:rsidRDefault="00E34279">
      <w:pPr>
        <w:rPr>
          <w:rFonts w:ascii="Garamond" w:eastAsia="Garamond" w:hAnsi="Garamond" w:cs="Garamond"/>
          <w:color w:val="000000"/>
          <w:sz w:val="22"/>
          <w:szCs w:val="22"/>
        </w:rPr>
      </w:pPr>
    </w:p>
    <w:p w14:paraId="0000004C" w14:textId="77777777" w:rsidR="00E34279" w:rsidRDefault="009F4114">
      <w:pPr>
        <w:rPr>
          <w:rFonts w:ascii="Garamond" w:eastAsia="Garamond" w:hAnsi="Garamond" w:cs="Garamond"/>
          <w:color w:val="000000"/>
          <w:sz w:val="22"/>
          <w:szCs w:val="22"/>
        </w:rPr>
      </w:pPr>
      <w:r>
        <w:rPr>
          <w:rFonts w:ascii="Garamond" w:eastAsia="Garamond" w:hAnsi="Garamond" w:cs="Garamond"/>
          <w:color w:val="000000"/>
          <w:sz w:val="22"/>
          <w:szCs w:val="22"/>
        </w:rPr>
        <w:t xml:space="preserve">To confirm that perceived aph433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bloom reflectance were caused by diatoms, we used a diatom distinction algorithm provided by Emmanuel </w:t>
      </w:r>
      <w:proofErr w:type="spellStart"/>
      <w:r>
        <w:rPr>
          <w:rFonts w:ascii="Garamond" w:eastAsia="Garamond" w:hAnsi="Garamond" w:cs="Garamond"/>
          <w:color w:val="000000"/>
          <w:sz w:val="22"/>
          <w:szCs w:val="22"/>
        </w:rPr>
        <w:t>Devred</w:t>
      </w:r>
      <w:proofErr w:type="spellEnd"/>
      <w:r>
        <w:rPr>
          <w:rFonts w:ascii="Garamond" w:eastAsia="Garamond" w:hAnsi="Garamond" w:cs="Garamond"/>
          <w:color w:val="000000"/>
          <w:sz w:val="22"/>
          <w:szCs w:val="22"/>
        </w:rPr>
        <w:t>, a research scientist with Fisheries and Oc</w:t>
      </w:r>
      <w:r>
        <w:rPr>
          <w:rFonts w:ascii="Garamond" w:eastAsia="Garamond" w:hAnsi="Garamond" w:cs="Garamond"/>
          <w:color w:val="000000"/>
          <w:sz w:val="22"/>
          <w:szCs w:val="22"/>
        </w:rPr>
        <w:t xml:space="preserve">eans Canada. The algorithm was generated based on reflectance ratio curves, calculated based on </w:t>
      </w:r>
      <w:r>
        <w:rPr>
          <w:rFonts w:ascii="Garamond" w:eastAsia="Garamond" w:hAnsi="Garamond" w:cs="Garamond"/>
          <w:i/>
          <w:color w:val="000000"/>
          <w:sz w:val="22"/>
          <w:szCs w:val="22"/>
        </w:rPr>
        <w:t xml:space="preserve">in-situ </w:t>
      </w:r>
      <w:r>
        <w:rPr>
          <w:rFonts w:ascii="Garamond" w:eastAsia="Garamond" w:hAnsi="Garamond" w:cs="Garamond"/>
          <w:color w:val="000000"/>
          <w:sz w:val="22"/>
          <w:szCs w:val="22"/>
        </w:rPr>
        <w:t xml:space="preserve">data from MVCO and tested on </w:t>
      </w:r>
      <w:r>
        <w:rPr>
          <w:rFonts w:ascii="Garamond" w:eastAsia="Garamond" w:hAnsi="Garamond" w:cs="Garamond"/>
          <w:i/>
          <w:color w:val="000000"/>
          <w:sz w:val="22"/>
          <w:szCs w:val="22"/>
        </w:rPr>
        <w:t xml:space="preserve">in-situ </w:t>
      </w:r>
      <w:r>
        <w:rPr>
          <w:rFonts w:ascii="Garamond" w:eastAsia="Garamond" w:hAnsi="Garamond" w:cs="Garamond"/>
          <w:color w:val="000000"/>
          <w:sz w:val="22"/>
          <w:szCs w:val="22"/>
        </w:rPr>
        <w:t>data from Harpswell. We found it unnecessary to reparametrize the algorithm because, although it was created outsid</w:t>
      </w:r>
      <w:r>
        <w:rPr>
          <w:rFonts w:ascii="Garamond" w:eastAsia="Garamond" w:hAnsi="Garamond" w:cs="Garamond"/>
          <w:color w:val="000000"/>
          <w:sz w:val="22"/>
          <w:szCs w:val="22"/>
        </w:rPr>
        <w:t xml:space="preserve">e of our project, it was calibrated using the same </w:t>
      </w:r>
      <w:r>
        <w:rPr>
          <w:rFonts w:ascii="Garamond" w:eastAsia="Garamond" w:hAnsi="Garamond" w:cs="Garamond"/>
          <w:i/>
          <w:color w:val="000000"/>
          <w:sz w:val="22"/>
          <w:szCs w:val="22"/>
        </w:rPr>
        <w:t xml:space="preserve">in-situ </w:t>
      </w:r>
      <w:r>
        <w:rPr>
          <w:rFonts w:ascii="Garamond" w:eastAsia="Garamond" w:hAnsi="Garamond" w:cs="Garamond"/>
          <w:color w:val="000000"/>
          <w:sz w:val="22"/>
          <w:szCs w:val="22"/>
        </w:rPr>
        <w:t xml:space="preserve">datasets and in our region of interest. We applied this algorithm to our satellite imagery and produced images that distinguished if reflectance in each pixel was caused by a diatom. The algorithm </w:t>
      </w:r>
      <w:r>
        <w:rPr>
          <w:rFonts w:ascii="Garamond" w:eastAsia="Garamond" w:hAnsi="Garamond" w:cs="Garamond"/>
          <w:color w:val="000000"/>
          <w:sz w:val="22"/>
          <w:szCs w:val="22"/>
        </w:rPr>
        <w:t xml:space="preserve">outputted a 0 if there was no or little diatom-caused reflectance, and a 1 if the reflectance was in large part caused by a diatom. </w:t>
      </w:r>
    </w:p>
    <w:p w14:paraId="0000004D" w14:textId="77777777" w:rsidR="00E34279" w:rsidRDefault="00E34279">
      <w:pPr>
        <w:pBdr>
          <w:top w:val="nil"/>
          <w:left w:val="nil"/>
          <w:bottom w:val="nil"/>
          <w:right w:val="nil"/>
          <w:between w:val="nil"/>
        </w:pBdr>
        <w:rPr>
          <w:rFonts w:ascii="Garamond" w:eastAsia="Garamond" w:hAnsi="Garamond" w:cs="Garamond"/>
          <w:i/>
          <w:color w:val="000000"/>
          <w:sz w:val="22"/>
          <w:szCs w:val="22"/>
        </w:rPr>
      </w:pPr>
    </w:p>
    <w:p w14:paraId="0000004E"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i/>
          <w:color w:val="000000"/>
          <w:sz w:val="22"/>
          <w:szCs w:val="22"/>
        </w:rPr>
        <w:t>2.3.2 Comparison with in-situ data</w:t>
      </w:r>
    </w:p>
    <w:p w14:paraId="0000004F" w14:textId="77777777" w:rsidR="00E34279" w:rsidRDefault="009F4114">
      <w:pPr>
        <w:rPr>
          <w:rFonts w:ascii="Garamond" w:eastAsia="Garamond" w:hAnsi="Garamond" w:cs="Garamond"/>
          <w:i/>
          <w:sz w:val="22"/>
          <w:szCs w:val="22"/>
        </w:rPr>
      </w:pPr>
      <w:r>
        <w:rPr>
          <w:rFonts w:ascii="Garamond" w:eastAsia="Garamond" w:hAnsi="Garamond" w:cs="Garamond"/>
          <w:sz w:val="22"/>
          <w:szCs w:val="22"/>
        </w:rPr>
        <w:t xml:space="preserve">To calculate a concentration metric for our </w:t>
      </w:r>
      <w:r>
        <w:rPr>
          <w:rFonts w:ascii="Garamond" w:eastAsia="Garamond" w:hAnsi="Garamond" w:cs="Garamond"/>
          <w:i/>
          <w:sz w:val="22"/>
          <w:szCs w:val="22"/>
        </w:rPr>
        <w:t>in-situ</w:t>
      </w:r>
      <w:r>
        <w:rPr>
          <w:rFonts w:ascii="Garamond" w:eastAsia="Garamond" w:hAnsi="Garamond" w:cs="Garamond"/>
          <w:sz w:val="22"/>
          <w:szCs w:val="22"/>
        </w:rPr>
        <w:t xml:space="preserve"> data, we extracted the PIDs in a dataset and generated files for individual classifier results. The class scores file for each bin is a matrix of normalized class scores for each phytoplankton type. The dominant phytoplankton type of a bin was determined </w:t>
      </w:r>
      <w:r>
        <w:rPr>
          <w:rFonts w:ascii="Garamond" w:eastAsia="Garamond" w:hAnsi="Garamond" w:cs="Garamond"/>
          <w:sz w:val="22"/>
          <w:szCs w:val="22"/>
        </w:rPr>
        <w:t xml:space="preserve">using the class score, if that phytoplankton type had the maximum score and if that score was greater than 0.8, </w:t>
      </w:r>
      <w:proofErr w:type="gramStart"/>
      <w:r>
        <w:rPr>
          <w:rFonts w:ascii="Garamond" w:eastAsia="Garamond" w:hAnsi="Garamond" w:cs="Garamond"/>
          <w:sz w:val="22"/>
          <w:szCs w:val="22"/>
        </w:rPr>
        <w:t>in order to</w:t>
      </w:r>
      <w:proofErr w:type="gramEnd"/>
      <w:r>
        <w:rPr>
          <w:rFonts w:ascii="Garamond" w:eastAsia="Garamond" w:hAnsi="Garamond" w:cs="Garamond"/>
          <w:sz w:val="22"/>
          <w:szCs w:val="22"/>
        </w:rPr>
        <w:t xml:space="preserve"> reduce false positive identifications. Using the normalized class score and total image count from the original data set, the concen</w:t>
      </w:r>
      <w:r>
        <w:rPr>
          <w:rFonts w:ascii="Garamond" w:eastAsia="Garamond" w:hAnsi="Garamond" w:cs="Garamond"/>
          <w:sz w:val="22"/>
          <w:szCs w:val="22"/>
        </w:rPr>
        <w:t xml:space="preserve">tration was calculated for samples where the dominant phytoplankton genus was </w:t>
      </w:r>
      <w:proofErr w:type="spellStart"/>
      <w:r>
        <w:rPr>
          <w:rFonts w:ascii="Garamond" w:eastAsia="Garamond" w:hAnsi="Garamond" w:cs="Garamond"/>
          <w:i/>
          <w:sz w:val="22"/>
          <w:szCs w:val="22"/>
        </w:rPr>
        <w:t>Psuedo-nitzschia</w:t>
      </w:r>
      <w:proofErr w:type="spellEnd"/>
      <w:r>
        <w:rPr>
          <w:rFonts w:ascii="Garamond" w:eastAsia="Garamond" w:hAnsi="Garamond" w:cs="Garamond"/>
          <w:i/>
          <w:sz w:val="22"/>
          <w:szCs w:val="22"/>
        </w:rPr>
        <w:t>.</w:t>
      </w:r>
    </w:p>
    <w:p w14:paraId="00000050" w14:textId="77777777" w:rsidR="00E34279" w:rsidRDefault="00E34279">
      <w:pPr>
        <w:pBdr>
          <w:top w:val="nil"/>
          <w:left w:val="nil"/>
          <w:bottom w:val="nil"/>
          <w:right w:val="nil"/>
          <w:between w:val="nil"/>
        </w:pBdr>
        <w:rPr>
          <w:rFonts w:ascii="Garamond" w:eastAsia="Garamond" w:hAnsi="Garamond" w:cs="Garamond"/>
          <w:i/>
          <w:color w:val="000000"/>
          <w:sz w:val="22"/>
          <w:szCs w:val="22"/>
        </w:rPr>
      </w:pPr>
    </w:p>
    <w:p w14:paraId="00000051" w14:textId="77777777" w:rsidR="00E34279" w:rsidRDefault="009F4114">
      <w:pPr>
        <w:rPr>
          <w:rFonts w:ascii="Garamond" w:eastAsia="Garamond" w:hAnsi="Garamond" w:cs="Garamond"/>
          <w:color w:val="000000"/>
          <w:sz w:val="22"/>
          <w:szCs w:val="22"/>
        </w:rPr>
      </w:pPr>
      <w:r>
        <w:rPr>
          <w:rFonts w:ascii="Garamond" w:eastAsia="Garamond" w:hAnsi="Garamond" w:cs="Garamond"/>
          <w:color w:val="000000"/>
          <w:sz w:val="22"/>
          <w:szCs w:val="22"/>
        </w:rPr>
        <w:t xml:space="preserve">We calculated daily average concentrations for all three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datasets — MVCO in 2016 and 2020 and Harpswell in 2020. We created time series plots using the</w:t>
      </w:r>
      <w:r>
        <w:rPr>
          <w:rFonts w:ascii="Garamond" w:eastAsia="Garamond" w:hAnsi="Garamond" w:cs="Garamond"/>
          <w:color w:val="000000"/>
          <w:sz w:val="22"/>
          <w:szCs w:val="22"/>
        </w:rPr>
        <w:t xml:space="preserve"> calculated average concentrations, focusing on MVCO in 2016 and Harpswell in 2020 because the bloom was at its largest at these distinct locations and times. Then, we matched the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 dates with the viable Sentinel-3 imagery. We collected aph443 a</w:t>
      </w:r>
      <w:r>
        <w:rPr>
          <w:rFonts w:ascii="Garamond" w:eastAsia="Garamond" w:hAnsi="Garamond" w:cs="Garamond"/>
          <w:color w:val="000000"/>
          <w:sz w:val="22"/>
          <w:szCs w:val="22"/>
        </w:rPr>
        <w:t xml:space="preserve">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values for the same latitude and longitude coordinates of the two stationary coastal monitoring sensors, using the Sentinel-3 imagery.</w:t>
      </w:r>
    </w:p>
    <w:p w14:paraId="00000052" w14:textId="77777777" w:rsidR="00E34279" w:rsidRDefault="00E34279">
      <w:pPr>
        <w:spacing w:line="259" w:lineRule="auto"/>
        <w:rPr>
          <w:rFonts w:ascii="Garamond" w:eastAsia="Garamond" w:hAnsi="Garamond" w:cs="Garamond"/>
          <w:color w:val="000000"/>
          <w:sz w:val="22"/>
          <w:szCs w:val="22"/>
        </w:rPr>
      </w:pPr>
    </w:p>
    <w:p w14:paraId="00000053"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b/>
          <w:color w:val="366091"/>
          <w:sz w:val="28"/>
          <w:szCs w:val="28"/>
        </w:rPr>
        <w:t xml:space="preserve">3. Results                                                                                                      </w:t>
      </w:r>
      <w:r>
        <w:rPr>
          <w:rFonts w:ascii="Garamond" w:eastAsia="Garamond" w:hAnsi="Garamond" w:cs="Garamond"/>
          <w:b/>
          <w:color w:val="366091"/>
          <w:sz w:val="28"/>
          <w:szCs w:val="28"/>
        </w:rPr>
        <w:t xml:space="preserve">            </w:t>
      </w:r>
      <w:r>
        <w:rPr>
          <w:rFonts w:ascii="Garamond" w:eastAsia="Garamond" w:hAnsi="Garamond" w:cs="Garamond"/>
          <w:color w:val="000000"/>
          <w:sz w:val="22"/>
          <w:szCs w:val="22"/>
        </w:rPr>
        <w:t xml:space="preserve">To visualize trends of the 2016 and 2020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blooms across the Gulf of Maine, we created timeseries plots of our remote sensing products of interest — aph443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We mainly looked at weekly composite imagery because algal bloo</w:t>
      </w:r>
      <w:r>
        <w:rPr>
          <w:rFonts w:ascii="Garamond" w:eastAsia="Garamond" w:hAnsi="Garamond" w:cs="Garamond"/>
          <w:color w:val="000000"/>
          <w:sz w:val="22"/>
          <w:szCs w:val="22"/>
        </w:rPr>
        <w:t xml:space="preserve">m can grow and migrate rapidly. In the 2016 aph443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time series (Fig. 3, Fig. 4), a large algal bloom appeared to be present from August to the end of October, beginning in the Bay of Fundy and making landfall in high concentrations around Martha’s</w:t>
      </w:r>
      <w:r>
        <w:rPr>
          <w:rFonts w:ascii="Garamond" w:eastAsia="Garamond" w:hAnsi="Garamond" w:cs="Garamond"/>
          <w:color w:val="000000"/>
          <w:sz w:val="22"/>
          <w:szCs w:val="22"/>
        </w:rPr>
        <w:t xml:space="preserve"> Vineyard in late October and the first week of November. </w:t>
      </w:r>
    </w:p>
    <w:p w14:paraId="00000054" w14:textId="77777777" w:rsidR="00E34279" w:rsidRDefault="009F4114">
      <w:pPr>
        <w:pBdr>
          <w:top w:val="nil"/>
          <w:left w:val="nil"/>
          <w:bottom w:val="nil"/>
          <w:right w:val="nil"/>
          <w:between w:val="nil"/>
        </w:pBdr>
        <w:spacing w:after="20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4179265" cy="2084455"/>
            <wp:effectExtent l="0" t="0" r="0" b="0"/>
            <wp:docPr id="19419258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l="7097" t="13746" r="1492" b="5201"/>
                    <a:stretch>
                      <a:fillRect/>
                    </a:stretch>
                  </pic:blipFill>
                  <pic:spPr>
                    <a:xfrm>
                      <a:off x="0" y="0"/>
                      <a:ext cx="4179265" cy="2084455"/>
                    </a:xfrm>
                    <a:prstGeom prst="rect">
                      <a:avLst/>
                    </a:prstGeom>
                    <a:ln/>
                  </pic:spPr>
                </pic:pic>
              </a:graphicData>
            </a:graphic>
          </wp:inline>
        </w:drawing>
      </w:r>
    </w:p>
    <w:p w14:paraId="00000055" w14:textId="77777777" w:rsidR="00E34279" w:rsidRDefault="009F4114">
      <w:pPr>
        <w:jc w:val="center"/>
        <w:rPr>
          <w:rFonts w:ascii="Garamond" w:eastAsia="Garamond" w:hAnsi="Garamond" w:cs="Garamond"/>
          <w:color w:val="000000"/>
          <w:sz w:val="22"/>
          <w:szCs w:val="22"/>
        </w:rPr>
      </w:pPr>
      <w:r>
        <w:rPr>
          <w:rFonts w:ascii="Garamond" w:eastAsia="Garamond" w:hAnsi="Garamond" w:cs="Garamond"/>
          <w:color w:val="000000"/>
          <w:sz w:val="22"/>
          <w:szCs w:val="22"/>
        </w:rPr>
        <w:lastRenderedPageBreak/>
        <w:t xml:space="preserve">Fig. 3. Weekly aph443 composite time series of the 2016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from August to December.</w:t>
      </w:r>
    </w:p>
    <w:p w14:paraId="00000056" w14:textId="77777777" w:rsidR="00E34279" w:rsidRDefault="00E34279">
      <w:pPr>
        <w:jc w:val="center"/>
        <w:rPr>
          <w:rFonts w:ascii="Garamond" w:eastAsia="Garamond" w:hAnsi="Garamond" w:cs="Garamond"/>
          <w:color w:val="000000"/>
          <w:sz w:val="22"/>
          <w:szCs w:val="22"/>
        </w:rPr>
      </w:pPr>
    </w:p>
    <w:p w14:paraId="00000057" w14:textId="77777777" w:rsidR="00E34279" w:rsidRDefault="009F4114">
      <w:pPr>
        <w:pBdr>
          <w:top w:val="nil"/>
          <w:left w:val="nil"/>
          <w:bottom w:val="nil"/>
          <w:right w:val="nil"/>
          <w:between w:val="nil"/>
        </w:pBdr>
        <w:spacing w:after="20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4199748" cy="2103408"/>
            <wp:effectExtent l="0" t="0" r="0" b="0"/>
            <wp:docPr id="1941925812" name="image1.jpg" descr="Inserting image..."/>
            <wp:cNvGraphicFramePr/>
            <a:graphic xmlns:a="http://schemas.openxmlformats.org/drawingml/2006/main">
              <a:graphicData uri="http://schemas.openxmlformats.org/drawingml/2006/picture">
                <pic:pic xmlns:pic="http://schemas.openxmlformats.org/drawingml/2006/picture">
                  <pic:nvPicPr>
                    <pic:cNvPr id="0" name="image1.jpg" descr="Inserting image..."/>
                    <pic:cNvPicPr preferRelativeResize="0"/>
                  </pic:nvPicPr>
                  <pic:blipFill>
                    <a:blip r:embed="rId12"/>
                    <a:srcRect l="6876" t="13380" r="1265" b="4830"/>
                    <a:stretch>
                      <a:fillRect/>
                    </a:stretch>
                  </pic:blipFill>
                  <pic:spPr>
                    <a:xfrm>
                      <a:off x="0" y="0"/>
                      <a:ext cx="4199748" cy="2103408"/>
                    </a:xfrm>
                    <a:prstGeom prst="rect">
                      <a:avLst/>
                    </a:prstGeom>
                    <a:ln/>
                  </pic:spPr>
                </pic:pic>
              </a:graphicData>
            </a:graphic>
          </wp:inline>
        </w:drawing>
      </w:r>
    </w:p>
    <w:p w14:paraId="00000058" w14:textId="77777777" w:rsidR="00E34279" w:rsidRDefault="009F4114">
      <w:pPr>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Fig. 4. Weekly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composite time series of the 2016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from August to December.</w:t>
      </w:r>
    </w:p>
    <w:p w14:paraId="00000059" w14:textId="77777777" w:rsidR="00E34279" w:rsidRDefault="00E34279">
      <w:pPr>
        <w:jc w:val="center"/>
        <w:rPr>
          <w:rFonts w:ascii="Garamond" w:eastAsia="Garamond" w:hAnsi="Garamond" w:cs="Garamond"/>
          <w:color w:val="000000"/>
          <w:sz w:val="22"/>
          <w:szCs w:val="22"/>
        </w:rPr>
      </w:pPr>
    </w:p>
    <w:p w14:paraId="0000005A"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t xml:space="preserve">The 2020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had later expansion, around October and November. Based on the 2020 aph443 time series (Fig. 5), the bloom expanded in the second week of </w:t>
      </w:r>
      <w:proofErr w:type="gramStart"/>
      <w:r>
        <w:rPr>
          <w:rFonts w:ascii="Garamond" w:eastAsia="Garamond" w:hAnsi="Garamond" w:cs="Garamond"/>
          <w:color w:val="000000"/>
          <w:sz w:val="22"/>
          <w:szCs w:val="22"/>
        </w:rPr>
        <w:t>October</w:t>
      </w:r>
      <w:proofErr w:type="gramEnd"/>
      <w:r>
        <w:rPr>
          <w:rFonts w:ascii="Garamond" w:eastAsia="Garamond" w:hAnsi="Garamond" w:cs="Garamond"/>
          <w:color w:val="000000"/>
          <w:sz w:val="22"/>
          <w:szCs w:val="22"/>
        </w:rPr>
        <w:t xml:space="preserve"> and we expected to see a similar pattern throughout November and December but satellite imagery was spa</w:t>
      </w:r>
      <w:r>
        <w:rPr>
          <w:rFonts w:ascii="Garamond" w:eastAsia="Garamond" w:hAnsi="Garamond" w:cs="Garamond"/>
          <w:color w:val="000000"/>
          <w:sz w:val="22"/>
          <w:szCs w:val="22"/>
        </w:rPr>
        <w:t xml:space="preserve">rse. The 2020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imagery was more complete (Fig. 6), due to the measurement being calculated via interpolation, thus the bloom expansion in October and November is more clearly visualized. </w:t>
      </w:r>
    </w:p>
    <w:p w14:paraId="0000005B" w14:textId="77777777" w:rsidR="00E34279" w:rsidRDefault="009F4114">
      <w:pPr>
        <w:pBdr>
          <w:top w:val="nil"/>
          <w:left w:val="nil"/>
          <w:bottom w:val="nil"/>
          <w:right w:val="nil"/>
          <w:between w:val="nil"/>
        </w:pBdr>
        <w:spacing w:after="20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4163812" cy="2109118"/>
            <wp:effectExtent l="0" t="0" r="0" b="0"/>
            <wp:docPr id="19419258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l="6696" t="12698" r="2231" b="5291"/>
                    <a:stretch>
                      <a:fillRect/>
                    </a:stretch>
                  </pic:blipFill>
                  <pic:spPr>
                    <a:xfrm>
                      <a:off x="0" y="0"/>
                      <a:ext cx="4163812" cy="2109118"/>
                    </a:xfrm>
                    <a:prstGeom prst="rect">
                      <a:avLst/>
                    </a:prstGeom>
                    <a:ln/>
                  </pic:spPr>
                </pic:pic>
              </a:graphicData>
            </a:graphic>
          </wp:inline>
        </w:drawing>
      </w:r>
    </w:p>
    <w:p w14:paraId="0000005C" w14:textId="77777777" w:rsidR="00E34279" w:rsidRDefault="009F4114">
      <w:pPr>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Fig. 5. Weekly aph443 composite time series of the 2020 </w:t>
      </w:r>
      <w:r>
        <w:rPr>
          <w:rFonts w:ascii="Garamond" w:eastAsia="Garamond" w:hAnsi="Garamond" w:cs="Garamond"/>
          <w:i/>
          <w:color w:val="000000"/>
          <w:sz w:val="22"/>
          <w:szCs w:val="22"/>
        </w:rPr>
        <w:t>Pseudo</w:t>
      </w:r>
      <w:r>
        <w:rPr>
          <w:rFonts w:ascii="Garamond" w:eastAsia="Garamond" w:hAnsi="Garamond" w:cs="Garamond"/>
          <w:i/>
          <w:color w:val="000000"/>
          <w:sz w:val="22"/>
          <w:szCs w:val="22"/>
        </w:rPr>
        <w:t>-</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from August to December.</w:t>
      </w:r>
    </w:p>
    <w:p w14:paraId="0000005D" w14:textId="77777777" w:rsidR="00E34279" w:rsidRDefault="00E34279">
      <w:pPr>
        <w:jc w:val="center"/>
        <w:rPr>
          <w:rFonts w:ascii="Garamond" w:eastAsia="Garamond" w:hAnsi="Garamond" w:cs="Garamond"/>
          <w:color w:val="000000"/>
          <w:sz w:val="22"/>
          <w:szCs w:val="22"/>
        </w:rPr>
      </w:pPr>
    </w:p>
    <w:p w14:paraId="0000005E" w14:textId="77777777" w:rsidR="00E34279" w:rsidRDefault="009F4114">
      <w:pPr>
        <w:jc w:val="center"/>
      </w:pPr>
      <w:r>
        <w:rPr>
          <w:noProof/>
        </w:rPr>
        <w:lastRenderedPageBreak/>
        <w:drawing>
          <wp:inline distT="0" distB="0" distL="0" distR="0">
            <wp:extent cx="4191061" cy="2115959"/>
            <wp:effectExtent l="0" t="0" r="0" b="0"/>
            <wp:docPr id="19419258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l="6398" t="12962" r="1933" b="4761"/>
                    <a:stretch>
                      <a:fillRect/>
                    </a:stretch>
                  </pic:blipFill>
                  <pic:spPr>
                    <a:xfrm>
                      <a:off x="0" y="0"/>
                      <a:ext cx="4191061" cy="2115959"/>
                    </a:xfrm>
                    <a:prstGeom prst="rect">
                      <a:avLst/>
                    </a:prstGeom>
                    <a:ln/>
                  </pic:spPr>
                </pic:pic>
              </a:graphicData>
            </a:graphic>
          </wp:inline>
        </w:drawing>
      </w:r>
    </w:p>
    <w:p w14:paraId="0000005F" w14:textId="77777777" w:rsidR="00E34279" w:rsidRDefault="00E34279">
      <w:pPr>
        <w:jc w:val="center"/>
      </w:pPr>
    </w:p>
    <w:p w14:paraId="00000060" w14:textId="77777777" w:rsidR="00E34279" w:rsidRDefault="009F4114">
      <w:pPr>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Fig. 6. Weekly aph443 composite time series of the 2020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from August to December.</w:t>
      </w:r>
    </w:p>
    <w:p w14:paraId="00000061" w14:textId="77777777" w:rsidR="00E34279" w:rsidRDefault="00E34279">
      <w:pPr>
        <w:jc w:val="center"/>
        <w:rPr>
          <w:rFonts w:ascii="Garamond" w:eastAsia="Garamond" w:hAnsi="Garamond" w:cs="Garamond"/>
          <w:color w:val="000000"/>
          <w:sz w:val="22"/>
          <w:szCs w:val="22"/>
        </w:rPr>
      </w:pPr>
    </w:p>
    <w:p w14:paraId="00000062" w14:textId="77777777" w:rsidR="00E34279" w:rsidRDefault="009F4114">
      <w:pPr>
        <w:pBdr>
          <w:top w:val="nil"/>
          <w:left w:val="nil"/>
          <w:bottom w:val="nil"/>
          <w:right w:val="nil"/>
          <w:between w:val="nil"/>
        </w:pBdr>
        <w:spacing w:after="200"/>
        <w:rPr>
          <w:rFonts w:ascii="Garamond" w:eastAsia="Garamond" w:hAnsi="Garamond" w:cs="Garamond"/>
          <w:color w:val="404040"/>
          <w:sz w:val="22"/>
          <w:szCs w:val="22"/>
        </w:rPr>
      </w:pPr>
      <w:r>
        <w:rPr>
          <w:rFonts w:ascii="Garamond" w:eastAsia="Garamond" w:hAnsi="Garamond" w:cs="Garamond"/>
          <w:color w:val="000000"/>
          <w:sz w:val="22"/>
          <w:szCs w:val="22"/>
        </w:rPr>
        <w:t xml:space="preserve">To visually compare </w:t>
      </w:r>
      <w:r>
        <w:rPr>
          <w:rFonts w:ascii="Garamond" w:eastAsia="Garamond" w:hAnsi="Garamond" w:cs="Garamond"/>
          <w:i/>
          <w:color w:val="000000"/>
          <w:sz w:val="22"/>
          <w:szCs w:val="22"/>
        </w:rPr>
        <w:t xml:space="preserve">in-situ </w:t>
      </w:r>
      <w:r>
        <w:rPr>
          <w:rFonts w:ascii="Garamond" w:eastAsia="Garamond" w:hAnsi="Garamond" w:cs="Garamond"/>
          <w:color w:val="000000"/>
          <w:sz w:val="22"/>
          <w:szCs w:val="22"/>
        </w:rPr>
        <w:t>data with the remote sensing products, we created timeseries plots of calculated concentration for 2016 and 2020. In the 2016 plot (Fig. 7), the concentration peaks in November, and in 2020 (Fig. 8), the concentration peaks in late October and early Novemb</w:t>
      </w:r>
      <w:r>
        <w:rPr>
          <w:rFonts w:ascii="Garamond" w:eastAsia="Garamond" w:hAnsi="Garamond" w:cs="Garamond"/>
          <w:color w:val="000000"/>
          <w:sz w:val="22"/>
          <w:szCs w:val="22"/>
        </w:rPr>
        <w:t>er. The Harpswell sensor did not collect data during the month of September, which is why Fig. 8 has a different time frame than Fig. 7.</w:t>
      </w:r>
    </w:p>
    <w:p w14:paraId="00000063" w14:textId="77777777" w:rsidR="00E34279" w:rsidRDefault="009F4114">
      <w:pPr>
        <w:pBdr>
          <w:top w:val="nil"/>
          <w:left w:val="nil"/>
          <w:bottom w:val="nil"/>
          <w:right w:val="nil"/>
          <w:between w:val="nil"/>
        </w:pBdr>
        <w:spacing w:after="200"/>
        <w:jc w:val="center"/>
        <w:rPr>
          <w:rFonts w:ascii="Garamond" w:eastAsia="Garamond" w:hAnsi="Garamond" w:cs="Garamond"/>
          <w:color w:val="404040"/>
          <w:sz w:val="22"/>
          <w:szCs w:val="22"/>
        </w:rPr>
      </w:pPr>
      <w:r>
        <w:rPr>
          <w:rFonts w:ascii="Arial" w:eastAsia="Arial" w:hAnsi="Arial" w:cs="Arial"/>
          <w:noProof/>
          <w:color w:val="000000"/>
          <w:sz w:val="22"/>
          <w:szCs w:val="22"/>
        </w:rPr>
        <w:drawing>
          <wp:inline distT="0" distB="0" distL="0" distR="0">
            <wp:extent cx="3459238" cy="2724150"/>
            <wp:effectExtent l="0" t="0" r="0" b="0"/>
            <wp:docPr id="19419258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459238" cy="2724150"/>
                    </a:xfrm>
                    <a:prstGeom prst="rect">
                      <a:avLst/>
                    </a:prstGeom>
                    <a:ln/>
                  </pic:spPr>
                </pic:pic>
              </a:graphicData>
            </a:graphic>
          </wp:inline>
        </w:drawing>
      </w:r>
    </w:p>
    <w:p w14:paraId="00000064" w14:textId="77777777" w:rsidR="00E34279" w:rsidRDefault="009F4114">
      <w:pPr>
        <w:pBdr>
          <w:top w:val="nil"/>
          <w:left w:val="nil"/>
          <w:bottom w:val="nil"/>
          <w:right w:val="nil"/>
          <w:between w:val="nil"/>
        </w:pBdr>
        <w:spacing w:after="200"/>
        <w:jc w:val="center"/>
        <w:rPr>
          <w:rFonts w:ascii="Garamond" w:eastAsia="Garamond" w:hAnsi="Garamond" w:cs="Garamond"/>
          <w:color w:val="404040"/>
          <w:sz w:val="22"/>
          <w:szCs w:val="22"/>
        </w:rPr>
      </w:pPr>
      <w:r>
        <w:rPr>
          <w:rFonts w:ascii="Garamond" w:eastAsia="Garamond" w:hAnsi="Garamond" w:cs="Garamond"/>
          <w:color w:val="000000"/>
          <w:sz w:val="22"/>
          <w:szCs w:val="22"/>
        </w:rPr>
        <w:t xml:space="preserve">Fig. 7. </w:t>
      </w:r>
      <w:r>
        <w:rPr>
          <w:rFonts w:ascii="Garamond" w:eastAsia="Garamond" w:hAnsi="Garamond" w:cs="Garamond"/>
          <w:color w:val="404040"/>
          <w:sz w:val="22"/>
          <w:szCs w:val="22"/>
        </w:rPr>
        <w:t xml:space="preserve">Timeseries of </w:t>
      </w:r>
      <w:r>
        <w:rPr>
          <w:rFonts w:ascii="Garamond" w:eastAsia="Garamond" w:hAnsi="Garamond" w:cs="Garamond"/>
          <w:i/>
          <w:color w:val="404040"/>
          <w:sz w:val="22"/>
          <w:szCs w:val="22"/>
        </w:rPr>
        <w:t>Pseudo-</w:t>
      </w:r>
      <w:proofErr w:type="spellStart"/>
      <w:r>
        <w:rPr>
          <w:rFonts w:ascii="Garamond" w:eastAsia="Garamond" w:hAnsi="Garamond" w:cs="Garamond"/>
          <w:i/>
          <w:color w:val="404040"/>
          <w:sz w:val="22"/>
          <w:szCs w:val="22"/>
        </w:rPr>
        <w:t>nitzschia</w:t>
      </w:r>
      <w:proofErr w:type="spellEnd"/>
      <w:r>
        <w:rPr>
          <w:rFonts w:ascii="Garamond" w:eastAsia="Garamond" w:hAnsi="Garamond" w:cs="Garamond"/>
          <w:color w:val="404040"/>
          <w:sz w:val="22"/>
          <w:szCs w:val="22"/>
        </w:rPr>
        <w:t xml:space="preserve"> Concentration</w:t>
      </w:r>
      <w:r>
        <w:rPr>
          <w:rFonts w:ascii="Garamond" w:eastAsia="Garamond" w:hAnsi="Garamond" w:cs="Garamond"/>
          <w:i/>
          <w:color w:val="404040"/>
          <w:sz w:val="22"/>
          <w:szCs w:val="22"/>
        </w:rPr>
        <w:t xml:space="preserve"> </w:t>
      </w:r>
      <w:r>
        <w:rPr>
          <w:rFonts w:ascii="Garamond" w:eastAsia="Garamond" w:hAnsi="Garamond" w:cs="Garamond"/>
          <w:color w:val="404040"/>
          <w:sz w:val="22"/>
          <w:szCs w:val="22"/>
        </w:rPr>
        <w:t>in 2016 at Martha’s Vineyard, MA.</w:t>
      </w:r>
    </w:p>
    <w:p w14:paraId="00000065" w14:textId="77777777" w:rsidR="00E34279" w:rsidRDefault="009F4114">
      <w:pPr>
        <w:pBdr>
          <w:top w:val="nil"/>
          <w:left w:val="nil"/>
          <w:bottom w:val="nil"/>
          <w:right w:val="nil"/>
          <w:between w:val="nil"/>
        </w:pBdr>
        <w:spacing w:after="200"/>
        <w:jc w:val="center"/>
        <w:rPr>
          <w:rFonts w:ascii="Garamond" w:eastAsia="Garamond" w:hAnsi="Garamond" w:cs="Garamond"/>
          <w:color w:val="404040"/>
          <w:sz w:val="22"/>
          <w:szCs w:val="22"/>
        </w:rPr>
      </w:pPr>
      <w:r>
        <w:rPr>
          <w:rFonts w:ascii="Arial" w:eastAsia="Arial" w:hAnsi="Arial" w:cs="Arial"/>
          <w:noProof/>
          <w:color w:val="000000"/>
          <w:sz w:val="22"/>
          <w:szCs w:val="22"/>
        </w:rPr>
        <w:lastRenderedPageBreak/>
        <w:drawing>
          <wp:inline distT="0" distB="0" distL="0" distR="0">
            <wp:extent cx="3364173" cy="2347913"/>
            <wp:effectExtent l="0" t="0" r="0" b="0"/>
            <wp:docPr id="19419258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364173" cy="2347913"/>
                    </a:xfrm>
                    <a:prstGeom prst="rect">
                      <a:avLst/>
                    </a:prstGeom>
                    <a:ln/>
                  </pic:spPr>
                </pic:pic>
              </a:graphicData>
            </a:graphic>
          </wp:inline>
        </w:drawing>
      </w:r>
    </w:p>
    <w:p w14:paraId="00000066" w14:textId="77777777" w:rsidR="00E34279" w:rsidRDefault="009F4114">
      <w:pPr>
        <w:pBdr>
          <w:top w:val="nil"/>
          <w:left w:val="nil"/>
          <w:bottom w:val="nil"/>
          <w:right w:val="nil"/>
          <w:between w:val="nil"/>
        </w:pBdr>
        <w:spacing w:after="200"/>
        <w:jc w:val="center"/>
        <w:rPr>
          <w:rFonts w:ascii="Garamond" w:eastAsia="Garamond" w:hAnsi="Garamond" w:cs="Garamond"/>
          <w:color w:val="404040"/>
          <w:sz w:val="22"/>
          <w:szCs w:val="22"/>
        </w:rPr>
      </w:pPr>
      <w:r>
        <w:rPr>
          <w:rFonts w:ascii="Garamond" w:eastAsia="Garamond" w:hAnsi="Garamond" w:cs="Garamond"/>
          <w:color w:val="404040"/>
          <w:sz w:val="22"/>
          <w:szCs w:val="22"/>
        </w:rPr>
        <w:t xml:space="preserve">Fig. 8. Timeseries of </w:t>
      </w:r>
      <w:r>
        <w:rPr>
          <w:rFonts w:ascii="Garamond" w:eastAsia="Garamond" w:hAnsi="Garamond" w:cs="Garamond"/>
          <w:i/>
          <w:color w:val="404040"/>
          <w:sz w:val="22"/>
          <w:szCs w:val="22"/>
        </w:rPr>
        <w:t>Pseudo-</w:t>
      </w:r>
      <w:proofErr w:type="spellStart"/>
      <w:r>
        <w:rPr>
          <w:rFonts w:ascii="Garamond" w:eastAsia="Garamond" w:hAnsi="Garamond" w:cs="Garamond"/>
          <w:i/>
          <w:color w:val="404040"/>
          <w:sz w:val="22"/>
          <w:szCs w:val="22"/>
        </w:rPr>
        <w:t>nitzschia</w:t>
      </w:r>
      <w:proofErr w:type="spellEnd"/>
      <w:r>
        <w:rPr>
          <w:rFonts w:ascii="Garamond" w:eastAsia="Garamond" w:hAnsi="Garamond" w:cs="Garamond"/>
          <w:color w:val="404040"/>
          <w:sz w:val="22"/>
          <w:szCs w:val="22"/>
        </w:rPr>
        <w:t xml:space="preserve"> Concentration in 2020 at Harpswell, ME.</w:t>
      </w:r>
    </w:p>
    <w:p w14:paraId="1B9EA0AC" w14:textId="77777777" w:rsidR="00907729" w:rsidRDefault="009F4114" w:rsidP="00907729">
      <w:pPr>
        <w:pBdr>
          <w:top w:val="nil"/>
          <w:left w:val="nil"/>
          <w:bottom w:val="nil"/>
          <w:right w:val="nil"/>
          <w:between w:val="nil"/>
        </w:pBdr>
        <w:spacing w:after="200"/>
        <w:rPr>
          <w:rFonts w:ascii="Garamond" w:eastAsia="Garamond" w:hAnsi="Garamond" w:cs="Garamond"/>
          <w:color w:val="000000"/>
          <w:sz w:val="22"/>
          <w:szCs w:val="22"/>
        </w:rPr>
      </w:pPr>
      <w:bookmarkStart w:id="0" w:name="_heading=h.gjdgxs" w:colFirst="0" w:colLast="0"/>
      <w:bookmarkEnd w:id="0"/>
      <w:r>
        <w:rPr>
          <w:rFonts w:ascii="Garamond" w:eastAsia="Garamond" w:hAnsi="Garamond" w:cs="Garamond"/>
          <w:color w:val="000000"/>
          <w:sz w:val="22"/>
          <w:szCs w:val="22"/>
        </w:rPr>
        <w:t xml:space="preserve">Diatom calculations for 2016 and 2020 had mixed agreement with the aph443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imagery. In both years, the number of diatom-dominated pix</w:t>
      </w:r>
      <w:r>
        <w:rPr>
          <w:rFonts w:ascii="Garamond" w:eastAsia="Garamond" w:hAnsi="Garamond" w:cs="Garamond"/>
          <w:color w:val="000000"/>
          <w:sz w:val="22"/>
          <w:szCs w:val="22"/>
        </w:rPr>
        <w:t xml:space="preserve">els increased as time progressed, which aligned with the aph443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imagery. In some cases, the diatoms appeared to </w:t>
      </w:r>
      <w:proofErr w:type="gramStart"/>
      <w:r>
        <w:rPr>
          <w:rFonts w:ascii="Garamond" w:eastAsia="Garamond" w:hAnsi="Garamond" w:cs="Garamond"/>
          <w:color w:val="000000"/>
          <w:sz w:val="22"/>
          <w:szCs w:val="22"/>
        </w:rPr>
        <w:t>be located in</w:t>
      </w:r>
      <w:proofErr w:type="gramEnd"/>
      <w:r>
        <w:rPr>
          <w:rFonts w:ascii="Garamond" w:eastAsia="Garamond" w:hAnsi="Garamond" w:cs="Garamond"/>
          <w:color w:val="000000"/>
          <w:sz w:val="22"/>
          <w:szCs w:val="22"/>
        </w:rPr>
        <w:t xml:space="preserve"> different places than areas of high aph443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reflectance.</w:t>
      </w:r>
    </w:p>
    <w:p w14:paraId="00000068" w14:textId="6A7F3E1F" w:rsidR="00E34279" w:rsidRPr="00907729" w:rsidRDefault="00907729" w:rsidP="00907729">
      <w:pPr>
        <w:pBdr>
          <w:top w:val="nil"/>
          <w:left w:val="nil"/>
          <w:bottom w:val="nil"/>
          <w:right w:val="nil"/>
          <w:between w:val="nil"/>
        </w:pBdr>
        <w:spacing w:after="200"/>
        <w:jc w:val="center"/>
        <w:rPr>
          <w:rFonts w:ascii="Garamond" w:eastAsia="Garamond" w:hAnsi="Garamond" w:cs="Garamond"/>
          <w:color w:val="000000"/>
          <w:sz w:val="22"/>
          <w:szCs w:val="22"/>
        </w:rPr>
      </w:pPr>
      <w:r>
        <w:rPr>
          <w:rFonts w:ascii="Arial" w:eastAsia="Arial" w:hAnsi="Arial" w:cs="Arial"/>
          <w:noProof/>
          <w:color w:val="000000"/>
          <w:sz w:val="22"/>
          <w:szCs w:val="22"/>
        </w:rPr>
        <w:drawing>
          <wp:inline distT="0" distB="0" distL="0" distR="0" wp14:anchorId="02EAF227" wp14:editId="5993BACA">
            <wp:extent cx="5137150" cy="297789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9301" cy="2984942"/>
                    </a:xfrm>
                    <a:prstGeom prst="rect">
                      <a:avLst/>
                    </a:prstGeom>
                    <a:noFill/>
                    <a:ln>
                      <a:noFill/>
                    </a:ln>
                  </pic:spPr>
                </pic:pic>
              </a:graphicData>
            </a:graphic>
          </wp:inline>
        </w:drawing>
      </w:r>
    </w:p>
    <w:p w14:paraId="00000069" w14:textId="77777777" w:rsidR="00E34279" w:rsidRDefault="009F4114">
      <w:pPr>
        <w:pBdr>
          <w:top w:val="nil"/>
          <w:left w:val="nil"/>
          <w:bottom w:val="nil"/>
          <w:right w:val="nil"/>
          <w:between w:val="nil"/>
        </w:pBdr>
        <w:spacing w:after="200"/>
        <w:jc w:val="center"/>
        <w:rPr>
          <w:rFonts w:ascii="Garamond" w:eastAsia="Garamond" w:hAnsi="Garamond" w:cs="Garamond"/>
          <w:color w:val="000000"/>
          <w:sz w:val="22"/>
          <w:szCs w:val="22"/>
        </w:rPr>
      </w:pPr>
      <w:sdt>
        <w:sdtPr>
          <w:tag w:val="goog_rdk_0"/>
          <w:id w:val="-2018384495"/>
        </w:sdtPr>
        <w:sdtEndPr/>
        <w:sdtContent/>
      </w:sdt>
      <w:r>
        <w:rPr>
          <w:rFonts w:ascii="Garamond" w:eastAsia="Garamond" w:hAnsi="Garamond" w:cs="Garamond"/>
          <w:color w:val="000000"/>
          <w:sz w:val="22"/>
          <w:szCs w:val="22"/>
        </w:rPr>
        <w:t xml:space="preserve">Fig. 9. Selected daily diatom, aph443,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com</w:t>
      </w:r>
      <w:r>
        <w:rPr>
          <w:rFonts w:ascii="Garamond" w:eastAsia="Garamond" w:hAnsi="Garamond" w:cs="Garamond"/>
          <w:color w:val="000000"/>
          <w:sz w:val="22"/>
          <w:szCs w:val="22"/>
        </w:rPr>
        <w:t>parison for 2016.</w:t>
      </w:r>
    </w:p>
    <w:p w14:paraId="0000006A" w14:textId="77777777" w:rsidR="00E34279" w:rsidRDefault="009F4114">
      <w:pPr>
        <w:pBdr>
          <w:top w:val="nil"/>
          <w:left w:val="nil"/>
          <w:bottom w:val="nil"/>
          <w:right w:val="nil"/>
          <w:between w:val="nil"/>
        </w:pBdr>
        <w:spacing w:after="200"/>
        <w:jc w:val="center"/>
        <w:rPr>
          <w:rFonts w:ascii="Arial" w:eastAsia="Arial" w:hAnsi="Arial" w:cs="Arial"/>
          <w:color w:val="000000"/>
          <w:sz w:val="22"/>
          <w:szCs w:val="22"/>
        </w:rPr>
      </w:pPr>
      <w:r>
        <w:rPr>
          <w:rFonts w:ascii="Arial" w:eastAsia="Arial" w:hAnsi="Arial" w:cs="Arial"/>
          <w:noProof/>
          <w:color w:val="000000"/>
          <w:sz w:val="22"/>
          <w:szCs w:val="22"/>
        </w:rPr>
        <w:lastRenderedPageBreak/>
        <w:drawing>
          <wp:inline distT="0" distB="0" distL="0" distR="0" wp14:editId="629B5CA1">
            <wp:extent cx="5016500" cy="2952750"/>
            <wp:effectExtent l="0" t="0" r="0" b="0"/>
            <wp:docPr id="19419258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t="735" r="343"/>
                    <a:stretch>
                      <a:fillRect/>
                    </a:stretch>
                  </pic:blipFill>
                  <pic:spPr>
                    <a:xfrm>
                      <a:off x="0" y="0"/>
                      <a:ext cx="5016723" cy="2952881"/>
                    </a:xfrm>
                    <a:prstGeom prst="rect">
                      <a:avLst/>
                    </a:prstGeom>
                    <a:ln/>
                  </pic:spPr>
                </pic:pic>
              </a:graphicData>
            </a:graphic>
          </wp:inline>
        </w:drawing>
      </w:r>
    </w:p>
    <w:p w14:paraId="0000006B" w14:textId="77777777" w:rsidR="00E34279" w:rsidRDefault="009F4114">
      <w:pPr>
        <w:pBdr>
          <w:top w:val="nil"/>
          <w:left w:val="nil"/>
          <w:bottom w:val="nil"/>
          <w:right w:val="nil"/>
          <w:between w:val="nil"/>
        </w:pBdr>
        <w:spacing w:after="200"/>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Fig. 10. Selected daily diatom, aph443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comparison for 2020.</w:t>
      </w:r>
    </w:p>
    <w:p w14:paraId="0000006C" w14:textId="77777777" w:rsidR="00E34279" w:rsidRDefault="009F4114">
      <w:pPr>
        <w:keepNext/>
        <w:keepLines/>
        <w:pBdr>
          <w:top w:val="nil"/>
          <w:left w:val="nil"/>
          <w:bottom w:val="nil"/>
          <w:right w:val="nil"/>
          <w:between w:val="nil"/>
        </w:pBdr>
        <w:rPr>
          <w:rFonts w:ascii="Garamond" w:eastAsia="Garamond" w:hAnsi="Garamond" w:cs="Garamond"/>
          <w:b/>
          <w:color w:val="365F91"/>
          <w:sz w:val="28"/>
          <w:szCs w:val="28"/>
        </w:rPr>
      </w:pPr>
      <w:r>
        <w:rPr>
          <w:rFonts w:ascii="Garamond" w:eastAsia="Garamond" w:hAnsi="Garamond" w:cs="Garamond"/>
          <w:b/>
          <w:color w:val="365F91"/>
          <w:sz w:val="28"/>
          <w:szCs w:val="28"/>
        </w:rPr>
        <w:t>4. Discussion</w:t>
      </w:r>
    </w:p>
    <w:p w14:paraId="0000006D" w14:textId="77777777" w:rsidR="00E34279" w:rsidRDefault="009F4114">
      <w:pPr>
        <w:pBdr>
          <w:top w:val="nil"/>
          <w:left w:val="nil"/>
          <w:bottom w:val="nil"/>
          <w:right w:val="nil"/>
          <w:between w:val="nil"/>
        </w:pBdr>
        <w:rPr>
          <w:rFonts w:ascii="Garamond" w:eastAsia="Garamond" w:hAnsi="Garamond" w:cs="Garamond"/>
          <w:b/>
          <w:i/>
          <w:color w:val="000000"/>
          <w:sz w:val="22"/>
          <w:szCs w:val="22"/>
        </w:rPr>
      </w:pPr>
      <w:r>
        <w:rPr>
          <w:rFonts w:ascii="Garamond" w:eastAsia="Garamond" w:hAnsi="Garamond" w:cs="Garamond"/>
          <w:b/>
          <w:i/>
          <w:color w:val="000000"/>
          <w:sz w:val="22"/>
          <w:szCs w:val="22"/>
        </w:rPr>
        <w:t>4.1 Analysis of Results</w:t>
      </w:r>
    </w:p>
    <w:p w14:paraId="0000006E"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t xml:space="preserve">In regard to validating our satellite imagery, we found that the </w:t>
      </w:r>
      <w:proofErr w:type="gramStart"/>
      <w:r>
        <w:rPr>
          <w:rFonts w:ascii="Garamond" w:eastAsia="Garamond" w:hAnsi="Garamond" w:cs="Garamond"/>
          <w:color w:val="000000"/>
          <w:sz w:val="22"/>
          <w:szCs w:val="22"/>
        </w:rPr>
        <w:t>remotely-sensed</w:t>
      </w:r>
      <w:proofErr w:type="gramEnd"/>
      <w:r>
        <w:rPr>
          <w:rFonts w:ascii="Garamond" w:eastAsia="Garamond" w:hAnsi="Garamond" w:cs="Garamond"/>
          <w:color w:val="000000"/>
          <w:sz w:val="22"/>
          <w:szCs w:val="22"/>
        </w:rPr>
        <w:t xml:space="preserve"> data appeared to align with the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 indicating that Earth observations could be used to track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events in the Gulf of Maine. However, our aph433</w:t>
      </w:r>
      <w:r>
        <w:rPr>
          <w:rFonts w:ascii="Garamond" w:eastAsia="Garamond" w:hAnsi="Garamond" w:cs="Garamond"/>
          <w:color w:val="000000"/>
          <w:sz w:val="22"/>
          <w:szCs w:val="22"/>
        </w:rPr>
        <w:t xml:space="preserve">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satellite measurements visualized broader reflectance due to phytoplankton, thus our analyses required further specification of reflectance due to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For our statistical visualizations, concentration peaked in November 2016 and pea</w:t>
      </w:r>
      <w:r>
        <w:rPr>
          <w:rFonts w:ascii="Garamond" w:eastAsia="Garamond" w:hAnsi="Garamond" w:cs="Garamond"/>
          <w:color w:val="000000"/>
          <w:sz w:val="22"/>
          <w:szCs w:val="22"/>
        </w:rPr>
        <w:t xml:space="preserve">ked in late October and early November of 2020, confirming the general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trends we observed in our satellite imagery.  </w:t>
      </w:r>
    </w:p>
    <w:p w14:paraId="0000006F" w14:textId="77777777" w:rsidR="00E34279" w:rsidRDefault="009F4114">
      <w:pPr>
        <w:pBdr>
          <w:top w:val="nil"/>
          <w:left w:val="nil"/>
          <w:bottom w:val="nil"/>
          <w:right w:val="nil"/>
          <w:between w:val="nil"/>
        </w:pBdr>
        <w:spacing w:after="200"/>
        <w:rPr>
          <w:rFonts w:ascii="Calibri" w:eastAsia="Calibri" w:hAnsi="Calibri" w:cs="Calibri"/>
          <w:color w:val="000000"/>
        </w:rPr>
      </w:pPr>
      <w:r>
        <w:rPr>
          <w:rFonts w:ascii="Garamond" w:eastAsia="Garamond" w:hAnsi="Garamond" w:cs="Garamond"/>
          <w:color w:val="000000"/>
          <w:sz w:val="22"/>
          <w:szCs w:val="22"/>
        </w:rPr>
        <w:t>The outputted diatom images, produced by the algorithm, had varied success. There was greater agreement in open water regions, compared to coastal areas, possibly due to higher interference from increased sediments and other colored dissolved organic matte</w:t>
      </w:r>
      <w:r>
        <w:rPr>
          <w:rFonts w:ascii="Garamond" w:eastAsia="Garamond" w:hAnsi="Garamond" w:cs="Garamond"/>
          <w:color w:val="000000"/>
          <w:sz w:val="22"/>
          <w:szCs w:val="22"/>
        </w:rPr>
        <w:t xml:space="preserve">r near the shore. In Fig. 9, for example, the aph443 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imagery indicated a large bloom in the Bay of Fundy, but the diatom algorithm did not indicate diatoms. In September and October (Fig. 10), the three products are in better agreement as the bloo</w:t>
      </w:r>
      <w:r>
        <w:rPr>
          <w:rFonts w:ascii="Garamond" w:eastAsia="Garamond" w:hAnsi="Garamond" w:cs="Garamond"/>
          <w:color w:val="000000"/>
          <w:sz w:val="22"/>
          <w:szCs w:val="22"/>
        </w:rPr>
        <w:t xml:space="preserve">m migrated into deeper, clearer waters. As Martha's Vineyard and Harpswell are on the coast, we could not directly cross-reference the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 with our diatom products. </w:t>
      </w:r>
    </w:p>
    <w:p w14:paraId="00000070" w14:textId="77777777" w:rsidR="00E34279" w:rsidRDefault="009F4114">
      <w:pPr>
        <w:pBdr>
          <w:top w:val="nil"/>
          <w:left w:val="nil"/>
          <w:bottom w:val="nil"/>
          <w:right w:val="nil"/>
          <w:between w:val="nil"/>
        </w:pBdr>
        <w:rPr>
          <w:rFonts w:ascii="Garamond" w:eastAsia="Garamond" w:hAnsi="Garamond" w:cs="Garamond"/>
          <w:b/>
          <w:color w:val="000000"/>
          <w:sz w:val="22"/>
          <w:szCs w:val="22"/>
        </w:rPr>
      </w:pPr>
      <w:r>
        <w:rPr>
          <w:rFonts w:ascii="Garamond" w:eastAsia="Garamond" w:hAnsi="Garamond" w:cs="Garamond"/>
          <w:b/>
          <w:i/>
          <w:color w:val="000000"/>
          <w:sz w:val="22"/>
          <w:szCs w:val="22"/>
        </w:rPr>
        <w:t>4.2 Limitations</w:t>
      </w:r>
    </w:p>
    <w:p w14:paraId="00000071"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t>While our study presented an important investigation into the use</w:t>
      </w:r>
      <w:r>
        <w:rPr>
          <w:rFonts w:ascii="Garamond" w:eastAsia="Garamond" w:hAnsi="Garamond" w:cs="Garamond"/>
          <w:color w:val="000000"/>
          <w:sz w:val="22"/>
          <w:szCs w:val="22"/>
        </w:rPr>
        <w:t xml:space="preserve"> of remote sensing to track algal blooms in the Gulf of Maine, we encountered some limitations in the process. Using satellite imagery limited the number of viable days within our time frame for data analysis, as neither of the satellites we used imaged th</w:t>
      </w:r>
      <w:r>
        <w:rPr>
          <w:rFonts w:ascii="Garamond" w:eastAsia="Garamond" w:hAnsi="Garamond" w:cs="Garamond"/>
          <w:color w:val="000000"/>
          <w:sz w:val="22"/>
          <w:szCs w:val="22"/>
        </w:rPr>
        <w:t>e entire Gulf of Maine daily. This frequently resulted in partial images or days when the Gulf of Maine was not imaged at all. Additionally, satellites were not able to measure reflectance through cloud cover, which meant that days with heavy cloud cover w</w:t>
      </w:r>
      <w:r>
        <w:rPr>
          <w:rFonts w:ascii="Garamond" w:eastAsia="Garamond" w:hAnsi="Garamond" w:cs="Garamond"/>
          <w:color w:val="000000"/>
          <w:sz w:val="22"/>
          <w:szCs w:val="22"/>
        </w:rPr>
        <w:t>ere also not able to be analyzed. For days with viable data, we were limited in our analysis when specifying reflectance due to algae, as MODIS and OLCI were unable to completely distinguish between reflectance caused by phytoplankton from other organic ce</w:t>
      </w:r>
      <w:r>
        <w:rPr>
          <w:rFonts w:ascii="Garamond" w:eastAsia="Garamond" w:hAnsi="Garamond" w:cs="Garamond"/>
          <w:color w:val="000000"/>
          <w:sz w:val="22"/>
          <w:szCs w:val="22"/>
        </w:rPr>
        <w:t xml:space="preserve">lls and oceanic detritus. While we used multiple algorithms and equations to attempt to isolate diatom reflectance, there was inherent uncertainty introduced by interpolating </w:t>
      </w:r>
      <w:proofErr w:type="spellStart"/>
      <w:r>
        <w:rPr>
          <w:rFonts w:ascii="Garamond" w:eastAsia="Garamond" w:hAnsi="Garamond" w:cs="Garamond"/>
          <w:color w:val="000000"/>
          <w:sz w:val="22"/>
          <w:szCs w:val="22"/>
        </w:rPr>
        <w:t>Rrs</w:t>
      </w:r>
      <w:proofErr w:type="spellEnd"/>
      <w:r>
        <w:rPr>
          <w:rFonts w:ascii="Garamond" w:eastAsia="Garamond" w:hAnsi="Garamond" w:cs="Garamond"/>
          <w:color w:val="000000"/>
          <w:sz w:val="22"/>
          <w:szCs w:val="22"/>
        </w:rPr>
        <w:t xml:space="preserve"> bands for determining the cause of reflectance </w:t>
      </w:r>
      <w:proofErr w:type="gramStart"/>
      <w:r>
        <w:rPr>
          <w:rFonts w:ascii="Garamond" w:eastAsia="Garamond" w:hAnsi="Garamond" w:cs="Garamond"/>
          <w:color w:val="000000"/>
          <w:sz w:val="22"/>
          <w:szCs w:val="22"/>
        </w:rPr>
        <w:t>in a given</w:t>
      </w:r>
      <w:proofErr w:type="gramEnd"/>
      <w:r>
        <w:rPr>
          <w:rFonts w:ascii="Garamond" w:eastAsia="Garamond" w:hAnsi="Garamond" w:cs="Garamond"/>
          <w:color w:val="000000"/>
          <w:sz w:val="22"/>
          <w:szCs w:val="22"/>
        </w:rPr>
        <w:t xml:space="preserve"> image. We used the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 </w:t>
      </w:r>
      <w:proofErr w:type="gramStart"/>
      <w:r>
        <w:rPr>
          <w:rFonts w:ascii="Garamond" w:eastAsia="Garamond" w:hAnsi="Garamond" w:cs="Garamond"/>
          <w:color w:val="000000"/>
          <w:sz w:val="22"/>
          <w:szCs w:val="22"/>
        </w:rPr>
        <w:t>as a way to</w:t>
      </w:r>
      <w:proofErr w:type="gramEnd"/>
      <w:r>
        <w:rPr>
          <w:rFonts w:ascii="Garamond" w:eastAsia="Garamond" w:hAnsi="Garamond" w:cs="Garamond"/>
          <w:color w:val="000000"/>
          <w:sz w:val="22"/>
          <w:szCs w:val="22"/>
        </w:rPr>
        <w:t xml:space="preserve"> confirm our remote sensing results, but our satellite images covered a much broader spatial extent than the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 Finally, because increased monitoring of algae in the Gulf of Maine started in response to the toxic 2016 </w:t>
      </w:r>
      <w:r>
        <w:rPr>
          <w:rFonts w:ascii="Garamond" w:eastAsia="Garamond" w:hAnsi="Garamond" w:cs="Garamond"/>
          <w:i/>
          <w:color w:val="000000"/>
          <w:sz w:val="22"/>
          <w:szCs w:val="22"/>
        </w:rPr>
        <w:t>Pse</w:t>
      </w:r>
      <w:r>
        <w:rPr>
          <w:rFonts w:ascii="Garamond" w:eastAsia="Garamond" w:hAnsi="Garamond" w:cs="Garamond"/>
          <w:i/>
          <w:color w:val="000000"/>
          <w:sz w:val="22"/>
          <w:szCs w:val="22"/>
        </w:rPr>
        <w:t>udo-</w:t>
      </w:r>
      <w:proofErr w:type="spellStart"/>
      <w:r>
        <w:rPr>
          <w:rFonts w:ascii="Garamond" w:eastAsia="Garamond" w:hAnsi="Garamond" w:cs="Garamond"/>
          <w:i/>
          <w:color w:val="000000"/>
          <w:sz w:val="22"/>
          <w:szCs w:val="22"/>
        </w:rPr>
        <w:t>nitzschia</w:t>
      </w:r>
      <w:proofErr w:type="spellEnd"/>
      <w:r>
        <w:rPr>
          <w:rFonts w:ascii="Garamond" w:eastAsia="Garamond" w:hAnsi="Garamond" w:cs="Garamond"/>
          <w:i/>
          <w:color w:val="000000"/>
          <w:sz w:val="22"/>
          <w:szCs w:val="22"/>
        </w:rPr>
        <w:t xml:space="preserve"> </w:t>
      </w:r>
      <w:r>
        <w:rPr>
          <w:rFonts w:ascii="Garamond" w:eastAsia="Garamond" w:hAnsi="Garamond" w:cs="Garamond"/>
          <w:color w:val="000000"/>
          <w:sz w:val="22"/>
          <w:szCs w:val="22"/>
        </w:rPr>
        <w:t xml:space="preserve">bloom, we were limited by the available </w:t>
      </w:r>
      <w:r>
        <w:rPr>
          <w:rFonts w:ascii="Garamond" w:eastAsia="Garamond" w:hAnsi="Garamond" w:cs="Garamond"/>
          <w:i/>
          <w:color w:val="000000"/>
          <w:sz w:val="22"/>
          <w:szCs w:val="22"/>
        </w:rPr>
        <w:t xml:space="preserve">in-situ </w:t>
      </w:r>
      <w:r>
        <w:rPr>
          <w:rFonts w:ascii="Garamond" w:eastAsia="Garamond" w:hAnsi="Garamond" w:cs="Garamond"/>
          <w:color w:val="000000"/>
          <w:sz w:val="22"/>
          <w:szCs w:val="22"/>
        </w:rPr>
        <w:t>data.</w:t>
      </w:r>
    </w:p>
    <w:p w14:paraId="00000072" w14:textId="77777777" w:rsidR="00E34279" w:rsidRDefault="009F4114">
      <w:pPr>
        <w:pBdr>
          <w:top w:val="nil"/>
          <w:left w:val="nil"/>
          <w:bottom w:val="nil"/>
          <w:right w:val="nil"/>
          <w:between w:val="nil"/>
        </w:pBdr>
        <w:rPr>
          <w:rFonts w:ascii="Garamond" w:eastAsia="Garamond" w:hAnsi="Garamond" w:cs="Garamond"/>
          <w:b/>
          <w:i/>
          <w:color w:val="000000"/>
          <w:sz w:val="22"/>
          <w:szCs w:val="22"/>
        </w:rPr>
      </w:pPr>
      <w:r>
        <w:rPr>
          <w:rFonts w:ascii="Garamond" w:eastAsia="Garamond" w:hAnsi="Garamond" w:cs="Garamond"/>
          <w:b/>
          <w:i/>
          <w:color w:val="000000"/>
          <w:sz w:val="22"/>
          <w:szCs w:val="22"/>
        </w:rPr>
        <w:lastRenderedPageBreak/>
        <w:t xml:space="preserve">4.3 Future Work </w:t>
      </w:r>
    </w:p>
    <w:p w14:paraId="00000073"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t xml:space="preserve">While our project specifically focused on the 2016 and 2020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events, our results are promising for future use of satellite imagery in tracking other </w:t>
      </w:r>
      <w:r>
        <w:rPr>
          <w:rFonts w:ascii="Garamond" w:eastAsia="Garamond" w:hAnsi="Garamond" w:cs="Garamond"/>
          <w:color w:val="000000"/>
          <w:sz w:val="22"/>
          <w:szCs w:val="22"/>
        </w:rPr>
        <w:t xml:space="preserve">HABs in the Gulf of Maine. Ergo, many avenues for future research and the implementation of Earth observations are possible. A future goal of our work is to be integrated into WHOI’s open-source algal bloom platform, the </w:t>
      </w:r>
      <w:proofErr w:type="spellStart"/>
      <w:r>
        <w:rPr>
          <w:rFonts w:ascii="Garamond" w:eastAsia="Garamond" w:hAnsi="Garamond" w:cs="Garamond"/>
          <w:color w:val="000000"/>
          <w:sz w:val="22"/>
          <w:szCs w:val="22"/>
        </w:rPr>
        <w:t>HABHub</w:t>
      </w:r>
      <w:proofErr w:type="spellEnd"/>
      <w:r>
        <w:rPr>
          <w:rFonts w:ascii="Garamond" w:eastAsia="Garamond" w:hAnsi="Garamond" w:cs="Garamond"/>
          <w:color w:val="000000"/>
          <w:sz w:val="22"/>
          <w:szCs w:val="22"/>
        </w:rPr>
        <w:t>, so that remotely sensed ima</w:t>
      </w:r>
      <w:r>
        <w:rPr>
          <w:rFonts w:ascii="Garamond" w:eastAsia="Garamond" w:hAnsi="Garamond" w:cs="Garamond"/>
          <w:color w:val="000000"/>
          <w:sz w:val="22"/>
          <w:szCs w:val="22"/>
        </w:rPr>
        <w:t>gery depicting blooms can be configured as a layer. Additionally, expanding the time range and genus or species of focus is a worthwhile continuation of our work. Because we were largely testing the feasibility of using satellite imagery to confirm a known</w:t>
      </w:r>
      <w:r>
        <w:rPr>
          <w:rFonts w:ascii="Garamond" w:eastAsia="Garamond" w:hAnsi="Garamond" w:cs="Garamond"/>
          <w:color w:val="000000"/>
          <w:sz w:val="22"/>
          <w:szCs w:val="22"/>
        </w:rPr>
        <w:t xml:space="preserve">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i/>
          <w:color w:val="000000"/>
          <w:sz w:val="22"/>
          <w:szCs w:val="22"/>
        </w:rPr>
        <w:t xml:space="preserve"> </w:t>
      </w:r>
      <w:r>
        <w:rPr>
          <w:rFonts w:ascii="Garamond" w:eastAsia="Garamond" w:hAnsi="Garamond" w:cs="Garamond"/>
          <w:color w:val="000000"/>
          <w:sz w:val="22"/>
          <w:szCs w:val="22"/>
        </w:rPr>
        <w:t xml:space="preserve">bloom, our processes could be replicated to retrospectively confirm bloom development and migration in other years in the Gulf of Maine. It would also be beneficial to expand the region of interest as currents from the Scotian Shelf have </w:t>
      </w:r>
      <w:r>
        <w:rPr>
          <w:rFonts w:ascii="Garamond" w:eastAsia="Garamond" w:hAnsi="Garamond" w:cs="Garamond"/>
          <w:color w:val="000000"/>
          <w:sz w:val="22"/>
          <w:szCs w:val="22"/>
        </w:rPr>
        <w:t xml:space="preserve">the capacity to transport algal species into the Gulf of Maine, which is particularly important within the context of warming waters as algal composition and sea surface temperatures potentially change. NASA's Plankton, Aerosol, </w:t>
      </w:r>
      <w:proofErr w:type="gramStart"/>
      <w:r>
        <w:rPr>
          <w:rFonts w:ascii="Garamond" w:eastAsia="Garamond" w:hAnsi="Garamond" w:cs="Garamond"/>
          <w:color w:val="000000"/>
          <w:sz w:val="22"/>
          <w:szCs w:val="22"/>
        </w:rPr>
        <w:t>Cloud</w:t>
      </w:r>
      <w:proofErr w:type="gramEnd"/>
      <w:r>
        <w:rPr>
          <w:rFonts w:ascii="Garamond" w:eastAsia="Garamond" w:hAnsi="Garamond" w:cs="Garamond"/>
          <w:color w:val="000000"/>
          <w:sz w:val="22"/>
          <w:szCs w:val="22"/>
        </w:rPr>
        <w:t xml:space="preserve"> and ocean Ecosystems </w:t>
      </w:r>
      <w:r>
        <w:rPr>
          <w:rFonts w:ascii="Garamond" w:eastAsia="Garamond" w:hAnsi="Garamond" w:cs="Garamond"/>
          <w:color w:val="000000"/>
          <w:sz w:val="22"/>
          <w:szCs w:val="22"/>
        </w:rPr>
        <w:t xml:space="preserve">(PACE) satellite mission is scheduled to launch in 2024, which will advance satellite observations of global ocean color and biogeochemistry, providing us much more robust ocean color products that can be used for detailed tracking of future harmful algal </w:t>
      </w:r>
      <w:r>
        <w:rPr>
          <w:rFonts w:ascii="Garamond" w:eastAsia="Garamond" w:hAnsi="Garamond" w:cs="Garamond"/>
          <w:color w:val="000000"/>
          <w:sz w:val="22"/>
          <w:szCs w:val="22"/>
        </w:rPr>
        <w:t xml:space="preserve">blooms. In the future, we hope to explore potential sources of the misalignment in our diatom images. One possible method would be to produce 8-day composite diatom images and determine if greater agreement exists when comparing diatom presence and aph433 </w:t>
      </w:r>
      <w:r>
        <w:rPr>
          <w:rFonts w:ascii="Garamond" w:eastAsia="Garamond" w:hAnsi="Garamond" w:cs="Garamond"/>
          <w:color w:val="000000"/>
          <w:sz w:val="22"/>
          <w:szCs w:val="22"/>
        </w:rPr>
        <w:t xml:space="preserve">and </w:t>
      </w:r>
      <w:proofErr w:type="spellStart"/>
      <w:r>
        <w:rPr>
          <w:rFonts w:ascii="Garamond" w:eastAsia="Garamond" w:hAnsi="Garamond" w:cs="Garamond"/>
          <w:color w:val="000000"/>
          <w:sz w:val="22"/>
          <w:szCs w:val="22"/>
        </w:rPr>
        <w:t>nFLH</w:t>
      </w:r>
      <w:proofErr w:type="spellEnd"/>
      <w:r>
        <w:rPr>
          <w:rFonts w:ascii="Garamond" w:eastAsia="Garamond" w:hAnsi="Garamond" w:cs="Garamond"/>
          <w:color w:val="000000"/>
          <w:sz w:val="22"/>
          <w:szCs w:val="22"/>
        </w:rPr>
        <w:t xml:space="preserve"> satellite products.</w:t>
      </w:r>
    </w:p>
    <w:p w14:paraId="00000074" w14:textId="77777777" w:rsidR="00E34279" w:rsidRDefault="009F4114">
      <w:pPr>
        <w:keepNext/>
        <w:keepLines/>
        <w:pBdr>
          <w:top w:val="nil"/>
          <w:left w:val="nil"/>
          <w:bottom w:val="nil"/>
          <w:right w:val="nil"/>
          <w:between w:val="nil"/>
        </w:pBdr>
        <w:rPr>
          <w:rFonts w:ascii="Garamond" w:eastAsia="Garamond" w:hAnsi="Garamond" w:cs="Garamond"/>
          <w:b/>
          <w:color w:val="365F91"/>
          <w:sz w:val="28"/>
          <w:szCs w:val="28"/>
        </w:rPr>
      </w:pPr>
      <w:r>
        <w:rPr>
          <w:rFonts w:ascii="Garamond" w:eastAsia="Garamond" w:hAnsi="Garamond" w:cs="Garamond"/>
          <w:b/>
          <w:color w:val="365F91"/>
          <w:sz w:val="28"/>
          <w:szCs w:val="28"/>
        </w:rPr>
        <w:t>5. Conclusion</w:t>
      </w:r>
    </w:p>
    <w:p w14:paraId="00000075"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t>We validated that Sentinel-3 products are a viable method of tracking</w:t>
      </w:r>
      <w:r>
        <w:rPr>
          <w:rFonts w:ascii="Garamond" w:eastAsia="Garamond" w:hAnsi="Garamond" w:cs="Garamond"/>
          <w:i/>
          <w:color w:val="000000"/>
          <w:sz w:val="22"/>
          <w:szCs w:val="22"/>
        </w:rPr>
        <w:t xml:space="preserve"> 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blooms in the Gulf of Maine by comparing remote sensing products with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data and corroborating the presence of diatoms in satellite imagery. Generally, the diatom distinction algorithm had high agreement in offshore, open water regions and is worth </w:t>
      </w:r>
      <w:r>
        <w:rPr>
          <w:rFonts w:ascii="Garamond" w:eastAsia="Garamond" w:hAnsi="Garamond" w:cs="Garamond"/>
          <w:color w:val="000000"/>
          <w:sz w:val="22"/>
          <w:szCs w:val="22"/>
        </w:rPr>
        <w:t xml:space="preserve">further exploration. This study can support organizations focused on managing water resources in the Gulf of Maine, such as with their monitoring of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events, and support communities that economically rely on the region. </w:t>
      </w:r>
    </w:p>
    <w:p w14:paraId="00000076" w14:textId="77777777" w:rsidR="00E34279" w:rsidRDefault="009F4114">
      <w:pPr>
        <w:keepNext/>
        <w:keepLines/>
        <w:pBdr>
          <w:top w:val="nil"/>
          <w:left w:val="nil"/>
          <w:bottom w:val="nil"/>
          <w:right w:val="nil"/>
          <w:between w:val="nil"/>
        </w:pBdr>
        <w:rPr>
          <w:rFonts w:ascii="Garamond" w:eastAsia="Garamond" w:hAnsi="Garamond" w:cs="Garamond"/>
          <w:b/>
          <w:color w:val="365F91"/>
          <w:sz w:val="28"/>
          <w:szCs w:val="28"/>
        </w:rPr>
      </w:pPr>
      <w:r>
        <w:rPr>
          <w:rFonts w:ascii="Garamond" w:eastAsia="Garamond" w:hAnsi="Garamond" w:cs="Garamond"/>
          <w:b/>
          <w:color w:val="365F91"/>
          <w:sz w:val="28"/>
          <w:szCs w:val="28"/>
        </w:rPr>
        <w:t>Acknowledgmen</w:t>
      </w:r>
      <w:r>
        <w:rPr>
          <w:rFonts w:ascii="Garamond" w:eastAsia="Garamond" w:hAnsi="Garamond" w:cs="Garamond"/>
          <w:b/>
          <w:color w:val="365F91"/>
          <w:sz w:val="28"/>
          <w:szCs w:val="28"/>
        </w:rPr>
        <w:t>ts</w:t>
      </w:r>
    </w:p>
    <w:p w14:paraId="00000077"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t xml:space="preserve">We would like to thank Michael </w:t>
      </w:r>
      <w:proofErr w:type="spellStart"/>
      <w:r>
        <w:rPr>
          <w:rFonts w:ascii="Garamond" w:eastAsia="Garamond" w:hAnsi="Garamond" w:cs="Garamond"/>
          <w:color w:val="000000"/>
          <w:sz w:val="22"/>
          <w:szCs w:val="22"/>
        </w:rPr>
        <w:t>Brosnahan</w:t>
      </w:r>
      <w:proofErr w:type="spellEnd"/>
      <w:r>
        <w:rPr>
          <w:rFonts w:ascii="Garamond" w:eastAsia="Garamond" w:hAnsi="Garamond" w:cs="Garamond"/>
          <w:color w:val="000000"/>
          <w:sz w:val="22"/>
          <w:szCs w:val="22"/>
        </w:rPr>
        <w:t xml:space="preserve"> and Dave Ralston of Woods Hole Oceanographic Institution, Scott Libby of Battelle’s Environmental Division, and Ben Haskell and Liam Waters of NOAA’s Stellwagen Bank National Marine Sanctuary for providing guidan</w:t>
      </w:r>
      <w:r>
        <w:rPr>
          <w:rFonts w:ascii="Garamond" w:eastAsia="Garamond" w:hAnsi="Garamond" w:cs="Garamond"/>
          <w:color w:val="000000"/>
          <w:sz w:val="22"/>
          <w:szCs w:val="22"/>
        </w:rPr>
        <w:t xml:space="preserve">ce and partnering on this project. We would also like to thank Dr. Cédric </w:t>
      </w:r>
      <w:proofErr w:type="spellStart"/>
      <w:r>
        <w:rPr>
          <w:rFonts w:ascii="Garamond" w:eastAsia="Garamond" w:hAnsi="Garamond" w:cs="Garamond"/>
          <w:color w:val="000000"/>
          <w:sz w:val="22"/>
          <w:szCs w:val="22"/>
        </w:rPr>
        <w:t>Fichot</w:t>
      </w:r>
      <w:proofErr w:type="spellEnd"/>
      <w:r>
        <w:rPr>
          <w:rFonts w:ascii="Garamond" w:eastAsia="Garamond" w:hAnsi="Garamond" w:cs="Garamond"/>
          <w:color w:val="000000"/>
          <w:sz w:val="22"/>
          <w:szCs w:val="22"/>
        </w:rPr>
        <w:t xml:space="preserve"> of Boston University’s Earth &amp; Environment Department, Emmanuel </w:t>
      </w:r>
      <w:proofErr w:type="spellStart"/>
      <w:r>
        <w:rPr>
          <w:rFonts w:ascii="Garamond" w:eastAsia="Garamond" w:hAnsi="Garamond" w:cs="Garamond"/>
          <w:color w:val="000000"/>
          <w:sz w:val="22"/>
          <w:szCs w:val="22"/>
        </w:rPr>
        <w:t>Devred</w:t>
      </w:r>
      <w:proofErr w:type="spellEnd"/>
      <w:r>
        <w:rPr>
          <w:rFonts w:ascii="Garamond" w:eastAsia="Garamond" w:hAnsi="Garamond" w:cs="Garamond"/>
          <w:color w:val="000000"/>
          <w:sz w:val="22"/>
          <w:szCs w:val="22"/>
        </w:rPr>
        <w:t xml:space="preserve"> of Fisheries and Oceans Canada and Tyler </w:t>
      </w:r>
      <w:proofErr w:type="spellStart"/>
      <w:r>
        <w:rPr>
          <w:rFonts w:ascii="Garamond" w:eastAsia="Garamond" w:hAnsi="Garamond" w:cs="Garamond"/>
          <w:color w:val="000000"/>
          <w:sz w:val="22"/>
          <w:szCs w:val="22"/>
        </w:rPr>
        <w:t>Pantle</w:t>
      </w:r>
      <w:proofErr w:type="spellEnd"/>
      <w:r>
        <w:rPr>
          <w:rFonts w:ascii="Garamond" w:eastAsia="Garamond" w:hAnsi="Garamond" w:cs="Garamond"/>
          <w:color w:val="000000"/>
          <w:sz w:val="22"/>
          <w:szCs w:val="22"/>
        </w:rPr>
        <w:t>, NASA DEVELOP Fellow, for their time and consistent supp</w:t>
      </w:r>
      <w:r>
        <w:rPr>
          <w:rFonts w:ascii="Garamond" w:eastAsia="Garamond" w:hAnsi="Garamond" w:cs="Garamond"/>
          <w:color w:val="000000"/>
          <w:sz w:val="22"/>
          <w:szCs w:val="22"/>
        </w:rPr>
        <w:t>ort throughout the project.</w:t>
      </w:r>
    </w:p>
    <w:p w14:paraId="00000078" w14:textId="77777777" w:rsidR="00E34279" w:rsidRDefault="009F4114">
      <w:p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t>This material contains modified Copernicus Sentinel-3 data (2016 &amp; 2020), processed by ESA. Any opinions, findings, and conclusions or recommendations expressed in this material are those of the author(s) and do not necessarily reflect the views of the Nat</w:t>
      </w:r>
      <w:r>
        <w:rPr>
          <w:rFonts w:ascii="Garamond" w:eastAsia="Garamond" w:hAnsi="Garamond" w:cs="Garamond"/>
          <w:color w:val="000000"/>
          <w:sz w:val="22"/>
          <w:szCs w:val="22"/>
        </w:rPr>
        <w:t>ional Aeronautics and Space Administration. This material is based upon work supported by NASA through contract NNL16AA05C.</w:t>
      </w:r>
    </w:p>
    <w:p w14:paraId="00000079" w14:textId="77777777" w:rsidR="00E34279" w:rsidRDefault="009F4114">
      <w:pPr>
        <w:keepNext/>
        <w:keepLines/>
        <w:pBdr>
          <w:top w:val="nil"/>
          <w:left w:val="nil"/>
          <w:bottom w:val="nil"/>
          <w:right w:val="nil"/>
          <w:between w:val="nil"/>
        </w:pBdr>
        <w:rPr>
          <w:rFonts w:ascii="Garamond" w:eastAsia="Garamond" w:hAnsi="Garamond" w:cs="Garamond"/>
          <w:b/>
          <w:color w:val="365F91"/>
          <w:sz w:val="28"/>
          <w:szCs w:val="28"/>
        </w:rPr>
      </w:pPr>
      <w:r>
        <w:rPr>
          <w:rFonts w:ascii="Garamond" w:eastAsia="Garamond" w:hAnsi="Garamond" w:cs="Garamond"/>
          <w:b/>
          <w:color w:val="365F91"/>
          <w:sz w:val="28"/>
          <w:szCs w:val="28"/>
        </w:rPr>
        <w:t>Glossary</w:t>
      </w:r>
    </w:p>
    <w:p w14:paraId="0000007A"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color w:val="000000"/>
          <w:sz w:val="22"/>
          <w:szCs w:val="22"/>
        </w:rPr>
        <w:t>Earth observations</w:t>
      </w:r>
      <w:r>
        <w:rPr>
          <w:rFonts w:ascii="Garamond" w:eastAsia="Garamond" w:hAnsi="Garamond" w:cs="Garamond"/>
          <w:color w:val="000000"/>
          <w:sz w:val="22"/>
          <w:szCs w:val="22"/>
        </w:rPr>
        <w:t xml:space="preserve"> – Satellites and sensors that collect information about the Earth’s physical, chemical, and biological s</w:t>
      </w:r>
      <w:r>
        <w:rPr>
          <w:rFonts w:ascii="Garamond" w:eastAsia="Garamond" w:hAnsi="Garamond" w:cs="Garamond"/>
          <w:color w:val="000000"/>
          <w:sz w:val="22"/>
          <w:szCs w:val="22"/>
        </w:rPr>
        <w:t>ystems over space and time</w:t>
      </w:r>
    </w:p>
    <w:p w14:paraId="0000007B" w14:textId="77777777" w:rsidR="00E34279" w:rsidRDefault="00E34279">
      <w:pPr>
        <w:pBdr>
          <w:top w:val="nil"/>
          <w:left w:val="nil"/>
          <w:bottom w:val="nil"/>
          <w:right w:val="nil"/>
          <w:between w:val="nil"/>
        </w:pBdr>
        <w:rPr>
          <w:rFonts w:ascii="Garamond" w:eastAsia="Garamond" w:hAnsi="Garamond" w:cs="Garamond"/>
          <w:b/>
          <w:color w:val="000000"/>
          <w:sz w:val="22"/>
          <w:szCs w:val="22"/>
        </w:rPr>
      </w:pPr>
    </w:p>
    <w:p w14:paraId="0000007C"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color w:val="000000"/>
          <w:sz w:val="22"/>
          <w:szCs w:val="22"/>
        </w:rPr>
        <w:t>ESA</w:t>
      </w:r>
      <w:r>
        <w:rPr>
          <w:rFonts w:ascii="Garamond" w:eastAsia="Garamond" w:hAnsi="Garamond" w:cs="Garamond"/>
          <w:color w:val="000000"/>
          <w:sz w:val="22"/>
          <w:szCs w:val="22"/>
        </w:rPr>
        <w:t xml:space="preserve"> – European Space Agency</w:t>
      </w:r>
    </w:p>
    <w:p w14:paraId="0000007D" w14:textId="77777777" w:rsidR="00E34279" w:rsidRDefault="00E34279">
      <w:pPr>
        <w:pBdr>
          <w:top w:val="nil"/>
          <w:left w:val="nil"/>
          <w:bottom w:val="nil"/>
          <w:right w:val="nil"/>
          <w:between w:val="nil"/>
        </w:pBdr>
        <w:rPr>
          <w:rFonts w:ascii="Garamond" w:eastAsia="Garamond" w:hAnsi="Garamond" w:cs="Garamond"/>
          <w:b/>
          <w:color w:val="000000"/>
          <w:sz w:val="22"/>
          <w:szCs w:val="22"/>
        </w:rPr>
      </w:pPr>
    </w:p>
    <w:p w14:paraId="0000007E"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color w:val="000000"/>
          <w:sz w:val="22"/>
          <w:szCs w:val="22"/>
        </w:rPr>
        <w:t>HAB</w:t>
      </w:r>
      <w:r>
        <w:rPr>
          <w:rFonts w:ascii="Garamond" w:eastAsia="Garamond" w:hAnsi="Garamond" w:cs="Garamond"/>
          <w:color w:val="000000"/>
          <w:sz w:val="22"/>
          <w:szCs w:val="22"/>
        </w:rPr>
        <w:t xml:space="preserve"> – Harmful algal bloom</w:t>
      </w:r>
    </w:p>
    <w:p w14:paraId="0000007F" w14:textId="77777777" w:rsidR="00E34279" w:rsidRDefault="00E34279">
      <w:pPr>
        <w:pBdr>
          <w:top w:val="nil"/>
          <w:left w:val="nil"/>
          <w:bottom w:val="nil"/>
          <w:right w:val="nil"/>
          <w:between w:val="nil"/>
        </w:pBdr>
        <w:rPr>
          <w:rFonts w:ascii="Garamond" w:eastAsia="Garamond" w:hAnsi="Garamond" w:cs="Garamond"/>
          <w:b/>
          <w:color w:val="000000"/>
          <w:sz w:val="22"/>
          <w:szCs w:val="22"/>
        </w:rPr>
      </w:pPr>
    </w:p>
    <w:p w14:paraId="00000080" w14:textId="77777777" w:rsidR="00E34279" w:rsidRDefault="009F4114">
      <w:pPr>
        <w:pBdr>
          <w:top w:val="nil"/>
          <w:left w:val="nil"/>
          <w:bottom w:val="nil"/>
          <w:right w:val="nil"/>
          <w:between w:val="nil"/>
        </w:pBdr>
        <w:rPr>
          <w:rFonts w:ascii="Garamond" w:eastAsia="Garamond" w:hAnsi="Garamond" w:cs="Garamond"/>
          <w:color w:val="000000"/>
          <w:sz w:val="22"/>
          <w:szCs w:val="22"/>
        </w:rPr>
      </w:pPr>
      <w:proofErr w:type="spellStart"/>
      <w:r>
        <w:rPr>
          <w:rFonts w:ascii="Garamond" w:eastAsia="Garamond" w:hAnsi="Garamond" w:cs="Garamond"/>
          <w:b/>
          <w:color w:val="000000"/>
          <w:sz w:val="22"/>
          <w:szCs w:val="22"/>
        </w:rPr>
        <w:t>HABHub</w:t>
      </w:r>
      <w:proofErr w:type="spellEnd"/>
      <w:r>
        <w:rPr>
          <w:rFonts w:ascii="Garamond" w:eastAsia="Garamond" w:hAnsi="Garamond" w:cs="Garamond"/>
          <w:b/>
          <w:color w:val="000000"/>
          <w:sz w:val="22"/>
          <w:szCs w:val="22"/>
        </w:rPr>
        <w:t xml:space="preserve"> </w:t>
      </w:r>
      <w:r>
        <w:rPr>
          <w:rFonts w:ascii="Garamond" w:eastAsia="Garamond" w:hAnsi="Garamond" w:cs="Garamond"/>
          <w:color w:val="000000"/>
          <w:sz w:val="22"/>
          <w:szCs w:val="22"/>
        </w:rPr>
        <w:t xml:space="preserve">– WHOI </w:t>
      </w:r>
      <w:r>
        <w:rPr>
          <w:rFonts w:ascii="Garamond" w:eastAsia="Garamond" w:hAnsi="Garamond" w:cs="Garamond"/>
          <w:i/>
          <w:color w:val="000000"/>
          <w:sz w:val="22"/>
          <w:szCs w:val="22"/>
        </w:rPr>
        <w:t>in-situ</w:t>
      </w:r>
      <w:r>
        <w:rPr>
          <w:rFonts w:ascii="Garamond" w:eastAsia="Garamond" w:hAnsi="Garamond" w:cs="Garamond"/>
          <w:color w:val="000000"/>
          <w:sz w:val="22"/>
          <w:szCs w:val="22"/>
        </w:rPr>
        <w:t xml:space="preserve"> open-source data portal for regional integration and historic real time sharing of phytoplankton monitoring, shellfish toxicity and closures, and sensor data collected by IFCBs</w:t>
      </w:r>
    </w:p>
    <w:p w14:paraId="00000081" w14:textId="77777777" w:rsidR="00E34279" w:rsidRDefault="00E34279">
      <w:pPr>
        <w:pBdr>
          <w:top w:val="nil"/>
          <w:left w:val="nil"/>
          <w:bottom w:val="nil"/>
          <w:right w:val="nil"/>
          <w:between w:val="nil"/>
        </w:pBdr>
        <w:rPr>
          <w:rFonts w:ascii="Garamond" w:eastAsia="Garamond" w:hAnsi="Garamond" w:cs="Garamond"/>
          <w:color w:val="000000"/>
          <w:sz w:val="22"/>
          <w:szCs w:val="22"/>
        </w:rPr>
      </w:pPr>
    </w:p>
    <w:p w14:paraId="00000082"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color w:val="000000"/>
          <w:sz w:val="22"/>
          <w:szCs w:val="22"/>
        </w:rPr>
        <w:lastRenderedPageBreak/>
        <w:t>IFCBs</w:t>
      </w:r>
      <w:r>
        <w:rPr>
          <w:rFonts w:ascii="Garamond" w:eastAsia="Garamond" w:hAnsi="Garamond" w:cs="Garamond"/>
          <w:color w:val="000000"/>
          <w:sz w:val="22"/>
          <w:szCs w:val="22"/>
        </w:rPr>
        <w:t xml:space="preserve"> – Imaging </w:t>
      </w:r>
      <w:proofErr w:type="spellStart"/>
      <w:r>
        <w:rPr>
          <w:rFonts w:ascii="Garamond" w:eastAsia="Garamond" w:hAnsi="Garamond" w:cs="Garamond"/>
          <w:color w:val="000000"/>
          <w:sz w:val="22"/>
          <w:szCs w:val="22"/>
        </w:rPr>
        <w:t>FlowCytobots</w:t>
      </w:r>
      <w:proofErr w:type="spellEnd"/>
      <w:r>
        <w:rPr>
          <w:rFonts w:ascii="Garamond" w:eastAsia="Garamond" w:hAnsi="Garamond" w:cs="Garamond"/>
          <w:color w:val="000000"/>
          <w:sz w:val="22"/>
          <w:szCs w:val="22"/>
        </w:rPr>
        <w:t>, deployed by WHOI to take regular measurements a</w:t>
      </w:r>
      <w:r>
        <w:rPr>
          <w:rFonts w:ascii="Garamond" w:eastAsia="Garamond" w:hAnsi="Garamond" w:cs="Garamond"/>
          <w:color w:val="000000"/>
          <w:sz w:val="22"/>
          <w:szCs w:val="22"/>
        </w:rPr>
        <w:t>nd microscopic photographs of algae in the Gulf of Maine</w:t>
      </w:r>
    </w:p>
    <w:p w14:paraId="00000083" w14:textId="77777777" w:rsidR="00E34279" w:rsidRDefault="00E34279">
      <w:pPr>
        <w:pBdr>
          <w:top w:val="nil"/>
          <w:left w:val="nil"/>
          <w:bottom w:val="nil"/>
          <w:right w:val="nil"/>
          <w:between w:val="nil"/>
        </w:pBdr>
        <w:rPr>
          <w:rFonts w:ascii="Garamond" w:eastAsia="Garamond" w:hAnsi="Garamond" w:cs="Garamond"/>
          <w:color w:val="000000"/>
          <w:sz w:val="22"/>
          <w:szCs w:val="22"/>
        </w:rPr>
      </w:pPr>
    </w:p>
    <w:p w14:paraId="00000084"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color w:val="000000"/>
          <w:sz w:val="22"/>
          <w:szCs w:val="22"/>
        </w:rPr>
        <w:t>MODIS</w:t>
      </w:r>
      <w:r>
        <w:rPr>
          <w:rFonts w:ascii="Garamond" w:eastAsia="Garamond" w:hAnsi="Garamond" w:cs="Garamond"/>
          <w:color w:val="000000"/>
          <w:sz w:val="22"/>
          <w:szCs w:val="22"/>
        </w:rPr>
        <w:t xml:space="preserve"> – Moderate Resolution Imaging Spectroradiometer. Hyperspectral satellite-based sensor with 36 bands</w:t>
      </w:r>
    </w:p>
    <w:p w14:paraId="00000085" w14:textId="77777777" w:rsidR="00E34279" w:rsidRDefault="00E34279">
      <w:pPr>
        <w:pBdr>
          <w:top w:val="nil"/>
          <w:left w:val="nil"/>
          <w:bottom w:val="nil"/>
          <w:right w:val="nil"/>
          <w:between w:val="nil"/>
        </w:pBdr>
        <w:rPr>
          <w:rFonts w:ascii="Garamond" w:eastAsia="Garamond" w:hAnsi="Garamond" w:cs="Garamond"/>
          <w:b/>
          <w:color w:val="000000"/>
          <w:sz w:val="22"/>
          <w:szCs w:val="22"/>
        </w:rPr>
      </w:pPr>
    </w:p>
    <w:p w14:paraId="00000086"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color w:val="000000"/>
          <w:sz w:val="22"/>
          <w:szCs w:val="22"/>
        </w:rPr>
        <w:t>NOAA</w:t>
      </w:r>
      <w:r>
        <w:rPr>
          <w:rFonts w:ascii="Garamond" w:eastAsia="Garamond" w:hAnsi="Garamond" w:cs="Garamond"/>
          <w:color w:val="000000"/>
          <w:sz w:val="22"/>
          <w:szCs w:val="22"/>
        </w:rPr>
        <w:t xml:space="preserve"> – National Oceanic and Atmospheric Administration</w:t>
      </w:r>
      <w:r>
        <w:rPr>
          <w:rFonts w:ascii="Garamond" w:eastAsia="Garamond" w:hAnsi="Garamond" w:cs="Garamond"/>
          <w:b/>
          <w:color w:val="000000"/>
          <w:sz w:val="22"/>
          <w:szCs w:val="22"/>
        </w:rPr>
        <w:t xml:space="preserve"> </w:t>
      </w:r>
    </w:p>
    <w:p w14:paraId="00000087" w14:textId="77777777" w:rsidR="00E34279" w:rsidRDefault="00E34279">
      <w:pPr>
        <w:pBdr>
          <w:top w:val="nil"/>
          <w:left w:val="nil"/>
          <w:bottom w:val="nil"/>
          <w:right w:val="nil"/>
          <w:between w:val="nil"/>
        </w:pBdr>
        <w:rPr>
          <w:rFonts w:ascii="Garamond" w:eastAsia="Garamond" w:hAnsi="Garamond" w:cs="Garamond"/>
          <w:b/>
          <w:color w:val="000000"/>
          <w:sz w:val="22"/>
          <w:szCs w:val="22"/>
        </w:rPr>
      </w:pPr>
    </w:p>
    <w:p w14:paraId="00000088" w14:textId="77777777" w:rsidR="00E34279" w:rsidRDefault="009F4114">
      <w:pPr>
        <w:pBdr>
          <w:top w:val="nil"/>
          <w:left w:val="nil"/>
          <w:bottom w:val="nil"/>
          <w:right w:val="nil"/>
          <w:between w:val="nil"/>
        </w:pBdr>
        <w:rPr>
          <w:rFonts w:ascii="Garamond" w:eastAsia="Garamond" w:hAnsi="Garamond" w:cs="Garamond"/>
          <w:color w:val="000000"/>
          <w:sz w:val="22"/>
          <w:szCs w:val="22"/>
        </w:rPr>
      </w:pPr>
      <w:proofErr w:type="spellStart"/>
      <w:r>
        <w:rPr>
          <w:rFonts w:ascii="Garamond" w:eastAsia="Garamond" w:hAnsi="Garamond" w:cs="Garamond"/>
          <w:b/>
          <w:color w:val="000000"/>
          <w:sz w:val="22"/>
          <w:szCs w:val="22"/>
        </w:rPr>
        <w:t>Rrs</w:t>
      </w:r>
      <w:proofErr w:type="spellEnd"/>
      <w:r>
        <w:rPr>
          <w:rFonts w:ascii="Garamond" w:eastAsia="Garamond" w:hAnsi="Garamond" w:cs="Garamond"/>
          <w:b/>
          <w:color w:val="000000"/>
          <w:sz w:val="22"/>
          <w:szCs w:val="22"/>
        </w:rPr>
        <w:t xml:space="preserve"> </w:t>
      </w:r>
      <w:r>
        <w:rPr>
          <w:rFonts w:ascii="Garamond" w:eastAsia="Garamond" w:hAnsi="Garamond" w:cs="Garamond"/>
          <w:color w:val="000000"/>
          <w:sz w:val="22"/>
          <w:szCs w:val="22"/>
        </w:rPr>
        <w:t>– Remote sensing reflectance</w:t>
      </w:r>
    </w:p>
    <w:p w14:paraId="00000089" w14:textId="77777777" w:rsidR="00E34279" w:rsidRDefault="00E34279">
      <w:pPr>
        <w:pBdr>
          <w:top w:val="nil"/>
          <w:left w:val="nil"/>
          <w:bottom w:val="nil"/>
          <w:right w:val="nil"/>
          <w:between w:val="nil"/>
        </w:pBdr>
        <w:rPr>
          <w:rFonts w:ascii="Garamond" w:eastAsia="Garamond" w:hAnsi="Garamond" w:cs="Garamond"/>
          <w:b/>
          <w:color w:val="000000"/>
          <w:sz w:val="22"/>
          <w:szCs w:val="22"/>
        </w:rPr>
      </w:pPr>
    </w:p>
    <w:p w14:paraId="0000008A" w14:textId="77777777" w:rsidR="00E34279" w:rsidRDefault="009F4114">
      <w:pPr>
        <w:pBdr>
          <w:top w:val="nil"/>
          <w:left w:val="nil"/>
          <w:bottom w:val="nil"/>
          <w:right w:val="nil"/>
          <w:between w:val="nil"/>
        </w:pBdr>
        <w:rPr>
          <w:rFonts w:ascii="Garamond" w:eastAsia="Garamond" w:hAnsi="Garamond" w:cs="Garamond"/>
          <w:color w:val="000000"/>
          <w:sz w:val="22"/>
          <w:szCs w:val="22"/>
        </w:rPr>
      </w:pPr>
      <w:proofErr w:type="spellStart"/>
      <w:r>
        <w:rPr>
          <w:rFonts w:ascii="Garamond" w:eastAsia="Garamond" w:hAnsi="Garamond" w:cs="Garamond"/>
          <w:b/>
          <w:color w:val="000000"/>
          <w:sz w:val="22"/>
          <w:szCs w:val="22"/>
        </w:rPr>
        <w:t>SeaDAS</w:t>
      </w:r>
      <w:proofErr w:type="spellEnd"/>
      <w:r>
        <w:rPr>
          <w:rFonts w:ascii="Garamond" w:eastAsia="Garamond" w:hAnsi="Garamond" w:cs="Garamond"/>
          <w:color w:val="000000"/>
          <w:sz w:val="22"/>
          <w:szCs w:val="22"/>
        </w:rPr>
        <w:t xml:space="preserve"> – Software produced by NASA for the processing, display, analysis, and quality control of ocean color data</w:t>
      </w:r>
    </w:p>
    <w:p w14:paraId="0000008B" w14:textId="77777777" w:rsidR="00E34279" w:rsidRDefault="00E34279">
      <w:pPr>
        <w:pBdr>
          <w:top w:val="nil"/>
          <w:left w:val="nil"/>
          <w:bottom w:val="nil"/>
          <w:right w:val="nil"/>
          <w:between w:val="nil"/>
        </w:pBdr>
        <w:rPr>
          <w:rFonts w:ascii="Garamond" w:eastAsia="Garamond" w:hAnsi="Garamond" w:cs="Garamond"/>
          <w:b/>
          <w:color w:val="000000"/>
          <w:sz w:val="22"/>
          <w:szCs w:val="22"/>
        </w:rPr>
      </w:pPr>
    </w:p>
    <w:p w14:paraId="0000008C"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color w:val="000000"/>
          <w:sz w:val="22"/>
          <w:szCs w:val="22"/>
        </w:rPr>
        <w:t>Sentinel-3</w:t>
      </w:r>
      <w:r>
        <w:rPr>
          <w:rFonts w:ascii="Garamond" w:eastAsia="Garamond" w:hAnsi="Garamond" w:cs="Garamond"/>
          <w:color w:val="000000"/>
          <w:sz w:val="22"/>
          <w:szCs w:val="22"/>
        </w:rPr>
        <w:t xml:space="preserve"> – European Space Agency Earth observation s</w:t>
      </w:r>
      <w:r>
        <w:rPr>
          <w:rFonts w:ascii="Garamond" w:eastAsia="Garamond" w:hAnsi="Garamond" w:cs="Garamond"/>
          <w:color w:val="000000"/>
          <w:sz w:val="22"/>
          <w:szCs w:val="22"/>
        </w:rPr>
        <w:t>atellite dedicated to oceanography</w:t>
      </w:r>
    </w:p>
    <w:p w14:paraId="0000008D" w14:textId="77777777" w:rsidR="00E34279" w:rsidRDefault="00E34279">
      <w:pPr>
        <w:pBdr>
          <w:top w:val="nil"/>
          <w:left w:val="nil"/>
          <w:bottom w:val="nil"/>
          <w:right w:val="nil"/>
          <w:between w:val="nil"/>
        </w:pBdr>
        <w:rPr>
          <w:rFonts w:ascii="Garamond" w:eastAsia="Garamond" w:hAnsi="Garamond" w:cs="Garamond"/>
          <w:b/>
          <w:color w:val="000000"/>
          <w:sz w:val="22"/>
          <w:szCs w:val="22"/>
        </w:rPr>
      </w:pPr>
    </w:p>
    <w:p w14:paraId="0000008E" w14:textId="77777777" w:rsidR="00E34279" w:rsidRDefault="009F411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color w:val="000000"/>
          <w:sz w:val="22"/>
          <w:szCs w:val="22"/>
        </w:rPr>
        <w:t>WHOI</w:t>
      </w:r>
      <w:r>
        <w:rPr>
          <w:rFonts w:ascii="Garamond" w:eastAsia="Garamond" w:hAnsi="Garamond" w:cs="Garamond"/>
          <w:color w:val="000000"/>
          <w:sz w:val="22"/>
          <w:szCs w:val="22"/>
        </w:rPr>
        <w:t xml:space="preserve"> – Woods Hole Oceanographic Institution</w:t>
      </w:r>
    </w:p>
    <w:p w14:paraId="0000008F" w14:textId="77777777" w:rsidR="00E34279" w:rsidRDefault="00E34279">
      <w:pPr>
        <w:pBdr>
          <w:top w:val="nil"/>
          <w:left w:val="nil"/>
          <w:bottom w:val="nil"/>
          <w:right w:val="nil"/>
          <w:between w:val="nil"/>
        </w:pBdr>
        <w:rPr>
          <w:rFonts w:ascii="Garamond" w:eastAsia="Garamond" w:hAnsi="Garamond" w:cs="Garamond"/>
          <w:b/>
          <w:color w:val="000000"/>
          <w:sz w:val="22"/>
          <w:szCs w:val="22"/>
        </w:rPr>
      </w:pPr>
    </w:p>
    <w:p w14:paraId="00000090" w14:textId="77777777" w:rsidR="00E34279" w:rsidRDefault="009F4114">
      <w:pPr>
        <w:keepNext/>
        <w:keepLines/>
        <w:pBdr>
          <w:top w:val="nil"/>
          <w:left w:val="nil"/>
          <w:bottom w:val="nil"/>
          <w:right w:val="nil"/>
          <w:between w:val="nil"/>
        </w:pBdr>
        <w:rPr>
          <w:rFonts w:ascii="Garamond" w:eastAsia="Garamond" w:hAnsi="Garamond" w:cs="Garamond"/>
          <w:b/>
          <w:color w:val="365F91"/>
          <w:sz w:val="28"/>
          <w:szCs w:val="28"/>
        </w:rPr>
      </w:pPr>
      <w:r>
        <w:rPr>
          <w:rFonts w:ascii="Garamond" w:eastAsia="Garamond" w:hAnsi="Garamond" w:cs="Garamond"/>
          <w:b/>
          <w:color w:val="365F91"/>
          <w:sz w:val="28"/>
          <w:szCs w:val="28"/>
        </w:rPr>
        <w:t>References</w:t>
      </w:r>
    </w:p>
    <w:p w14:paraId="00000091"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Backer, L. C., &amp; </w:t>
      </w:r>
      <w:proofErr w:type="spellStart"/>
      <w:r>
        <w:rPr>
          <w:rFonts w:ascii="Garamond" w:eastAsia="Garamond" w:hAnsi="Garamond" w:cs="Garamond"/>
          <w:color w:val="000000"/>
          <w:sz w:val="22"/>
          <w:szCs w:val="22"/>
        </w:rPr>
        <w:t>McGillicuddy</w:t>
      </w:r>
      <w:proofErr w:type="spellEnd"/>
      <w:r>
        <w:rPr>
          <w:rFonts w:ascii="Garamond" w:eastAsia="Garamond" w:hAnsi="Garamond" w:cs="Garamond"/>
          <w:color w:val="000000"/>
          <w:sz w:val="22"/>
          <w:szCs w:val="22"/>
        </w:rPr>
        <w:t xml:space="preserve">, D. J., Jr. (2006). Harmful algal blooms: At the interface between coastal oceanography and human health. </w:t>
      </w:r>
      <w:r>
        <w:rPr>
          <w:rFonts w:ascii="Garamond" w:eastAsia="Garamond" w:hAnsi="Garamond" w:cs="Garamond"/>
          <w:i/>
          <w:color w:val="000000"/>
          <w:sz w:val="22"/>
          <w:szCs w:val="22"/>
        </w:rPr>
        <w:t>Oceanography</w:t>
      </w:r>
      <w:r>
        <w:rPr>
          <w:rFonts w:ascii="Garamond" w:eastAsia="Garamond" w:hAnsi="Garamond" w:cs="Garamond"/>
          <w:color w:val="000000"/>
          <w:sz w:val="22"/>
          <w:szCs w:val="22"/>
        </w:rPr>
        <w:t xml:space="preserve">, 19(2), 94–106. </w:t>
      </w:r>
      <w:hyperlink r:id="rId19">
        <w:r>
          <w:rPr>
            <w:rFonts w:ascii="Garamond" w:eastAsia="Garamond" w:hAnsi="Garamond" w:cs="Garamond"/>
            <w:color w:val="0563C1"/>
            <w:sz w:val="22"/>
            <w:szCs w:val="22"/>
            <w:u w:val="single"/>
          </w:rPr>
          <w:t>https://doi.org/10.5670/oceanog.</w:t>
        </w:r>
        <w:r>
          <w:rPr>
            <w:rFonts w:ascii="Garamond" w:eastAsia="Garamond" w:hAnsi="Garamond" w:cs="Garamond"/>
            <w:color w:val="0563C1"/>
            <w:sz w:val="22"/>
            <w:szCs w:val="22"/>
            <w:u w:val="single"/>
          </w:rPr>
          <w:t>2006.72</w:t>
        </w:r>
      </w:hyperlink>
      <w:r>
        <w:rPr>
          <w:rFonts w:ascii="Garamond" w:eastAsia="Garamond" w:hAnsi="Garamond" w:cs="Garamond"/>
          <w:color w:val="000000"/>
          <w:sz w:val="22"/>
          <w:szCs w:val="22"/>
        </w:rPr>
        <w:t xml:space="preserve"> </w:t>
      </w:r>
    </w:p>
    <w:p w14:paraId="00000092"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Clark, S., Hubbard K. A., Anderson D. M., </w:t>
      </w:r>
      <w:proofErr w:type="spellStart"/>
      <w:r>
        <w:rPr>
          <w:rFonts w:ascii="Garamond" w:eastAsia="Garamond" w:hAnsi="Garamond" w:cs="Garamond"/>
          <w:color w:val="000000"/>
          <w:sz w:val="22"/>
          <w:szCs w:val="22"/>
        </w:rPr>
        <w:t>McGillicuddy</w:t>
      </w:r>
      <w:proofErr w:type="spellEnd"/>
      <w:r>
        <w:rPr>
          <w:rFonts w:ascii="Garamond" w:eastAsia="Garamond" w:hAnsi="Garamond" w:cs="Garamond"/>
          <w:color w:val="000000"/>
          <w:sz w:val="22"/>
          <w:szCs w:val="22"/>
        </w:rPr>
        <w:t xml:space="preserve">, D. J., Ralston, D. K., &amp; Townsend D. W. (2019).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dynamics in the Gulf of Maine: 2012–2016. </w:t>
      </w:r>
      <w:r>
        <w:rPr>
          <w:rFonts w:ascii="Garamond" w:eastAsia="Garamond" w:hAnsi="Garamond" w:cs="Garamond"/>
          <w:i/>
          <w:color w:val="000000"/>
          <w:sz w:val="22"/>
          <w:szCs w:val="22"/>
        </w:rPr>
        <w:t>Harmful Algae</w:t>
      </w:r>
      <w:r>
        <w:rPr>
          <w:rFonts w:ascii="Garamond" w:eastAsia="Garamond" w:hAnsi="Garamond" w:cs="Garamond"/>
          <w:color w:val="000000"/>
          <w:sz w:val="22"/>
          <w:szCs w:val="22"/>
        </w:rPr>
        <w:t xml:space="preserve">, 88. </w:t>
      </w:r>
      <w:hyperlink r:id="rId20">
        <w:r>
          <w:rPr>
            <w:rFonts w:ascii="Garamond" w:eastAsia="Garamond" w:hAnsi="Garamond" w:cs="Garamond"/>
            <w:color w:val="0563C1"/>
            <w:sz w:val="22"/>
            <w:szCs w:val="22"/>
            <w:u w:val="single"/>
          </w:rPr>
          <w:t>https://doi.org/10.1016/j.hal.2019.101656</w:t>
        </w:r>
      </w:hyperlink>
      <w:r>
        <w:rPr>
          <w:rFonts w:ascii="Garamond" w:eastAsia="Garamond" w:hAnsi="Garamond" w:cs="Garamond"/>
          <w:color w:val="000000"/>
          <w:sz w:val="22"/>
          <w:szCs w:val="22"/>
        </w:rPr>
        <w:t>.</w:t>
      </w:r>
    </w:p>
    <w:p w14:paraId="00000093"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Clark, S., Hubbard, K. A., Ralston, D. K., </w:t>
      </w:r>
      <w:proofErr w:type="spellStart"/>
      <w:r>
        <w:rPr>
          <w:rFonts w:ascii="Garamond" w:eastAsia="Garamond" w:hAnsi="Garamond" w:cs="Garamond"/>
          <w:color w:val="000000"/>
          <w:sz w:val="22"/>
          <w:szCs w:val="22"/>
        </w:rPr>
        <w:t>McGillicuddy</w:t>
      </w:r>
      <w:proofErr w:type="spellEnd"/>
      <w:r>
        <w:rPr>
          <w:rFonts w:ascii="Garamond" w:eastAsia="Garamond" w:hAnsi="Garamond" w:cs="Garamond"/>
          <w:color w:val="000000"/>
          <w:sz w:val="22"/>
          <w:szCs w:val="22"/>
        </w:rPr>
        <w:t xml:space="preserve">, D. J., Stock, C., Alexander, M. A., &amp; </w:t>
      </w:r>
      <w:proofErr w:type="spellStart"/>
      <w:r>
        <w:rPr>
          <w:rFonts w:ascii="Garamond" w:eastAsia="Garamond" w:hAnsi="Garamond" w:cs="Garamond"/>
          <w:color w:val="000000"/>
          <w:sz w:val="22"/>
          <w:szCs w:val="22"/>
        </w:rPr>
        <w:t>Curchitser</w:t>
      </w:r>
      <w:proofErr w:type="spellEnd"/>
      <w:r>
        <w:rPr>
          <w:rFonts w:ascii="Garamond" w:eastAsia="Garamond" w:hAnsi="Garamond" w:cs="Garamond"/>
          <w:color w:val="000000"/>
          <w:sz w:val="22"/>
          <w:szCs w:val="22"/>
        </w:rPr>
        <w:t xml:space="preserve">, E. (2022). Projected effects of climate change on </w:t>
      </w:r>
      <w:r>
        <w:rPr>
          <w:rFonts w:ascii="Garamond" w:eastAsia="Garamond" w:hAnsi="Garamond" w:cs="Garamond"/>
          <w:i/>
          <w:color w:val="000000"/>
          <w:sz w:val="22"/>
          <w:szCs w:val="22"/>
        </w:rPr>
        <w:t>Pseudo-</w:t>
      </w:r>
      <w:proofErr w:type="spellStart"/>
      <w:r>
        <w:rPr>
          <w:rFonts w:ascii="Garamond" w:eastAsia="Garamond" w:hAnsi="Garamond" w:cs="Garamond"/>
          <w:i/>
          <w:color w:val="000000"/>
          <w:sz w:val="22"/>
          <w:szCs w:val="22"/>
        </w:rPr>
        <w:t>nitzschia</w:t>
      </w:r>
      <w:proofErr w:type="spellEnd"/>
      <w:r>
        <w:rPr>
          <w:rFonts w:ascii="Garamond" w:eastAsia="Garamond" w:hAnsi="Garamond" w:cs="Garamond"/>
          <w:color w:val="000000"/>
          <w:sz w:val="22"/>
          <w:szCs w:val="22"/>
        </w:rPr>
        <w:t xml:space="preserve"> bloom dynamics in the Gulf of Maine. </w:t>
      </w:r>
      <w:r>
        <w:rPr>
          <w:rFonts w:ascii="Garamond" w:eastAsia="Garamond" w:hAnsi="Garamond" w:cs="Garamond"/>
          <w:i/>
          <w:color w:val="000000"/>
          <w:sz w:val="22"/>
          <w:szCs w:val="22"/>
        </w:rPr>
        <w:t>Journal of Marine Systems</w:t>
      </w:r>
      <w:r>
        <w:rPr>
          <w:rFonts w:ascii="Garamond" w:eastAsia="Garamond" w:hAnsi="Garamond" w:cs="Garamond"/>
          <w:color w:val="000000"/>
          <w:sz w:val="22"/>
          <w:szCs w:val="22"/>
        </w:rPr>
        <w:t xml:space="preserve">, 230. </w:t>
      </w:r>
      <w:hyperlink r:id="rId21">
        <w:r>
          <w:rPr>
            <w:rFonts w:ascii="Garamond" w:eastAsia="Garamond" w:hAnsi="Garamond" w:cs="Garamond"/>
            <w:color w:val="0563C1"/>
            <w:sz w:val="22"/>
            <w:szCs w:val="22"/>
            <w:u w:val="single"/>
          </w:rPr>
          <w:t>https://doi.org/10.1016/j.jmarsys.2022.103737</w:t>
        </w:r>
      </w:hyperlink>
    </w:p>
    <w:p w14:paraId="00000094"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Copernicus Sentinel-3A OLCI L2 Inherent Optical Properties. [2016-2020]. Processed by ESA. Retrieved November 9, </w:t>
      </w:r>
      <w:proofErr w:type="gramStart"/>
      <w:r>
        <w:rPr>
          <w:rFonts w:ascii="Garamond" w:eastAsia="Garamond" w:hAnsi="Garamond" w:cs="Garamond"/>
          <w:color w:val="000000"/>
          <w:sz w:val="22"/>
          <w:szCs w:val="22"/>
        </w:rPr>
        <w:t>2022</w:t>
      </w:r>
      <w:proofErr w:type="gramEnd"/>
      <w:r>
        <w:rPr>
          <w:rFonts w:ascii="Garamond" w:eastAsia="Garamond" w:hAnsi="Garamond" w:cs="Garamond"/>
          <w:color w:val="000000"/>
          <w:sz w:val="22"/>
          <w:szCs w:val="22"/>
        </w:rPr>
        <w:t xml:space="preserve"> from </w:t>
      </w:r>
      <w:hyperlink r:id="rId22">
        <w:r>
          <w:rPr>
            <w:rFonts w:ascii="Garamond" w:eastAsia="Garamond" w:hAnsi="Garamond" w:cs="Garamond"/>
            <w:color w:val="366091"/>
            <w:sz w:val="22"/>
            <w:szCs w:val="22"/>
            <w:u w:val="single"/>
          </w:rPr>
          <w:t>10.5067/SENTINEL-3A/OLCI/L2/ERR/IOP/2022</w:t>
        </w:r>
      </w:hyperlink>
      <w:r>
        <w:rPr>
          <w:rFonts w:ascii="Garamond" w:eastAsia="Garamond" w:hAnsi="Garamond" w:cs="Garamond"/>
          <w:color w:val="366091"/>
          <w:sz w:val="22"/>
          <w:szCs w:val="22"/>
        </w:rPr>
        <w:t xml:space="preserve"> </w:t>
      </w:r>
    </w:p>
    <w:p w14:paraId="00000095"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Copernicus Sentinel-3A OLCI L2 Ocean Color. [2016-2020]. Processed by ESA. Retrieved November 9, </w:t>
      </w:r>
      <w:proofErr w:type="gramStart"/>
      <w:r>
        <w:rPr>
          <w:rFonts w:ascii="Garamond" w:eastAsia="Garamond" w:hAnsi="Garamond" w:cs="Garamond"/>
          <w:color w:val="000000"/>
          <w:sz w:val="22"/>
          <w:szCs w:val="22"/>
        </w:rPr>
        <w:t>2022</w:t>
      </w:r>
      <w:proofErr w:type="gramEnd"/>
      <w:r>
        <w:rPr>
          <w:rFonts w:ascii="Garamond" w:eastAsia="Garamond" w:hAnsi="Garamond" w:cs="Garamond"/>
          <w:color w:val="000000"/>
          <w:sz w:val="22"/>
          <w:szCs w:val="22"/>
        </w:rPr>
        <w:t xml:space="preserve"> from </w:t>
      </w:r>
      <w:hyperlink r:id="rId23">
        <w:r>
          <w:rPr>
            <w:rFonts w:ascii="Garamond" w:eastAsia="Garamond" w:hAnsi="Garamond" w:cs="Garamond"/>
            <w:color w:val="366091"/>
            <w:sz w:val="22"/>
            <w:szCs w:val="22"/>
            <w:u w:val="single"/>
          </w:rPr>
          <w:t>10.5067/SENTINEL-3A/OLCI/L2/ERR/OC/2022</w:t>
        </w:r>
      </w:hyperlink>
      <w:r>
        <w:rPr>
          <w:rFonts w:ascii="Garamond" w:eastAsia="Garamond" w:hAnsi="Garamond" w:cs="Garamond"/>
          <w:color w:val="366091"/>
          <w:sz w:val="22"/>
          <w:szCs w:val="22"/>
        </w:rPr>
        <w:t xml:space="preserve"> </w:t>
      </w:r>
    </w:p>
    <w:p w14:paraId="00000096"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Copernicus Sentinel-3B OLCI L2 Inherent Optical Properties. [2016-2020]. Processed by ESA. Retrieved November 9, </w:t>
      </w:r>
      <w:proofErr w:type="gramStart"/>
      <w:r>
        <w:rPr>
          <w:rFonts w:ascii="Garamond" w:eastAsia="Garamond" w:hAnsi="Garamond" w:cs="Garamond"/>
          <w:color w:val="000000"/>
          <w:sz w:val="22"/>
          <w:szCs w:val="22"/>
        </w:rPr>
        <w:t>2022</w:t>
      </w:r>
      <w:proofErr w:type="gramEnd"/>
      <w:r>
        <w:rPr>
          <w:rFonts w:ascii="Garamond" w:eastAsia="Garamond" w:hAnsi="Garamond" w:cs="Garamond"/>
          <w:color w:val="000000"/>
          <w:sz w:val="22"/>
          <w:szCs w:val="22"/>
        </w:rPr>
        <w:t xml:space="preserve"> from </w:t>
      </w:r>
      <w:hyperlink r:id="rId24">
        <w:r>
          <w:rPr>
            <w:rFonts w:ascii="Garamond" w:eastAsia="Garamond" w:hAnsi="Garamond" w:cs="Garamond"/>
            <w:color w:val="366091"/>
            <w:sz w:val="22"/>
            <w:szCs w:val="22"/>
            <w:u w:val="single"/>
          </w:rPr>
          <w:t>10.5067/SENTINEL-3B/OLCI/L2/ERR/IOP/2022</w:t>
        </w:r>
      </w:hyperlink>
      <w:r>
        <w:rPr>
          <w:rFonts w:ascii="Garamond" w:eastAsia="Garamond" w:hAnsi="Garamond" w:cs="Garamond"/>
          <w:color w:val="366091"/>
          <w:sz w:val="22"/>
          <w:szCs w:val="22"/>
        </w:rPr>
        <w:t xml:space="preserve"> </w:t>
      </w:r>
    </w:p>
    <w:p w14:paraId="00000097"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Copernicus Sentinel-3B OLCI L2 Ocean Color. [2016-2020]. Pro</w:t>
      </w:r>
      <w:r>
        <w:rPr>
          <w:rFonts w:ascii="Garamond" w:eastAsia="Garamond" w:hAnsi="Garamond" w:cs="Garamond"/>
          <w:color w:val="000000"/>
          <w:sz w:val="22"/>
          <w:szCs w:val="22"/>
        </w:rPr>
        <w:t xml:space="preserve">cessed by ESA. Retrieved November 9, </w:t>
      </w:r>
      <w:proofErr w:type="gramStart"/>
      <w:r>
        <w:rPr>
          <w:rFonts w:ascii="Garamond" w:eastAsia="Garamond" w:hAnsi="Garamond" w:cs="Garamond"/>
          <w:color w:val="000000"/>
          <w:sz w:val="22"/>
          <w:szCs w:val="22"/>
        </w:rPr>
        <w:t>2022</w:t>
      </w:r>
      <w:proofErr w:type="gramEnd"/>
      <w:r>
        <w:rPr>
          <w:rFonts w:ascii="Garamond" w:eastAsia="Garamond" w:hAnsi="Garamond" w:cs="Garamond"/>
          <w:color w:val="000000"/>
          <w:sz w:val="22"/>
          <w:szCs w:val="22"/>
        </w:rPr>
        <w:t xml:space="preserve"> from </w:t>
      </w:r>
      <w:hyperlink r:id="rId25">
        <w:r>
          <w:rPr>
            <w:rFonts w:ascii="Garamond" w:eastAsia="Garamond" w:hAnsi="Garamond" w:cs="Garamond"/>
            <w:color w:val="366091"/>
            <w:sz w:val="22"/>
            <w:szCs w:val="22"/>
            <w:u w:val="single"/>
          </w:rPr>
          <w:t>10.5067/SENTINEL-3B/OLCI/L2/ERR/OC/2022</w:t>
        </w:r>
      </w:hyperlink>
    </w:p>
    <w:p w14:paraId="00000098" w14:textId="77777777" w:rsidR="00E34279" w:rsidRDefault="009F4114">
      <w:pPr>
        <w:spacing w:after="160"/>
        <w:ind w:left="720" w:hanging="720"/>
        <w:rPr>
          <w:rFonts w:ascii="Garamond" w:eastAsia="Garamond" w:hAnsi="Garamond" w:cs="Garamond"/>
          <w:color w:val="000000"/>
          <w:sz w:val="22"/>
          <w:szCs w:val="22"/>
        </w:rPr>
      </w:pPr>
      <w:proofErr w:type="spellStart"/>
      <w:r>
        <w:rPr>
          <w:rFonts w:ascii="Garamond" w:eastAsia="Garamond" w:hAnsi="Garamond" w:cs="Garamond"/>
          <w:color w:val="000000"/>
          <w:sz w:val="22"/>
          <w:szCs w:val="22"/>
        </w:rPr>
        <w:t>Hallegraeff</w:t>
      </w:r>
      <w:proofErr w:type="spellEnd"/>
      <w:r>
        <w:rPr>
          <w:rFonts w:ascii="Garamond" w:eastAsia="Garamond" w:hAnsi="Garamond" w:cs="Garamond"/>
          <w:color w:val="000000"/>
          <w:sz w:val="22"/>
          <w:szCs w:val="22"/>
        </w:rPr>
        <w:t xml:space="preserve">, G. M., Anderson, D. M., Belin, C., </w:t>
      </w:r>
      <w:proofErr w:type="spellStart"/>
      <w:r>
        <w:rPr>
          <w:rFonts w:ascii="Garamond" w:eastAsia="Garamond" w:hAnsi="Garamond" w:cs="Garamond"/>
          <w:color w:val="000000"/>
          <w:sz w:val="22"/>
          <w:szCs w:val="22"/>
        </w:rPr>
        <w:t>Dechraoui</w:t>
      </w:r>
      <w:proofErr w:type="spellEnd"/>
      <w:r>
        <w:rPr>
          <w:rFonts w:ascii="Garamond" w:eastAsia="Garamond" w:hAnsi="Garamond" w:cs="Garamond"/>
          <w:color w:val="000000"/>
          <w:sz w:val="22"/>
          <w:szCs w:val="22"/>
        </w:rPr>
        <w:t xml:space="preserve">, M., Bresnan, E., </w:t>
      </w:r>
      <w:proofErr w:type="spellStart"/>
      <w:r>
        <w:rPr>
          <w:rFonts w:ascii="Garamond" w:eastAsia="Garamond" w:hAnsi="Garamond" w:cs="Garamond"/>
          <w:color w:val="000000"/>
          <w:sz w:val="22"/>
          <w:szCs w:val="22"/>
        </w:rPr>
        <w:t>Chinain</w:t>
      </w:r>
      <w:proofErr w:type="spellEnd"/>
      <w:r>
        <w:rPr>
          <w:rFonts w:ascii="Garamond" w:eastAsia="Garamond" w:hAnsi="Garamond" w:cs="Garamond"/>
          <w:color w:val="000000"/>
          <w:sz w:val="22"/>
          <w:szCs w:val="22"/>
        </w:rPr>
        <w:t xml:space="preserve">, M., Enevoldsen, H., </w:t>
      </w:r>
      <w:proofErr w:type="spellStart"/>
      <w:r>
        <w:rPr>
          <w:rFonts w:ascii="Garamond" w:eastAsia="Garamond" w:hAnsi="Garamond" w:cs="Garamond"/>
          <w:color w:val="000000"/>
          <w:sz w:val="22"/>
          <w:szCs w:val="22"/>
        </w:rPr>
        <w:t>Iwataki</w:t>
      </w:r>
      <w:proofErr w:type="spellEnd"/>
      <w:r>
        <w:rPr>
          <w:rFonts w:ascii="Garamond" w:eastAsia="Garamond" w:hAnsi="Garamond" w:cs="Garamond"/>
          <w:color w:val="000000"/>
          <w:sz w:val="22"/>
          <w:szCs w:val="22"/>
        </w:rPr>
        <w:t>, M., Karlson, B., McKenzi</w:t>
      </w:r>
      <w:r>
        <w:rPr>
          <w:rFonts w:ascii="Garamond" w:eastAsia="Garamond" w:hAnsi="Garamond" w:cs="Garamond"/>
          <w:color w:val="000000"/>
          <w:sz w:val="22"/>
          <w:szCs w:val="22"/>
        </w:rPr>
        <w:t xml:space="preserve">e, C. H., </w:t>
      </w:r>
      <w:proofErr w:type="spellStart"/>
      <w:r>
        <w:rPr>
          <w:rFonts w:ascii="Garamond" w:eastAsia="Garamond" w:hAnsi="Garamond" w:cs="Garamond"/>
          <w:color w:val="000000"/>
          <w:sz w:val="22"/>
          <w:szCs w:val="22"/>
        </w:rPr>
        <w:t>Sunesen</w:t>
      </w:r>
      <w:proofErr w:type="spellEnd"/>
      <w:r>
        <w:rPr>
          <w:rFonts w:ascii="Garamond" w:eastAsia="Garamond" w:hAnsi="Garamond" w:cs="Garamond"/>
          <w:color w:val="000000"/>
          <w:sz w:val="22"/>
          <w:szCs w:val="22"/>
        </w:rPr>
        <w:t xml:space="preserve">, I., Pitcher, G. C., </w:t>
      </w:r>
      <w:proofErr w:type="spellStart"/>
      <w:r>
        <w:rPr>
          <w:rFonts w:ascii="Garamond" w:eastAsia="Garamond" w:hAnsi="Garamond" w:cs="Garamond"/>
          <w:color w:val="000000"/>
          <w:sz w:val="22"/>
          <w:szCs w:val="22"/>
        </w:rPr>
        <w:t>Provoost</w:t>
      </w:r>
      <w:proofErr w:type="spellEnd"/>
      <w:r>
        <w:rPr>
          <w:rFonts w:ascii="Garamond" w:eastAsia="Garamond" w:hAnsi="Garamond" w:cs="Garamond"/>
          <w:color w:val="000000"/>
          <w:sz w:val="22"/>
          <w:szCs w:val="22"/>
        </w:rPr>
        <w:t xml:space="preserve">, P., Richardson, A., </w:t>
      </w:r>
      <w:proofErr w:type="spellStart"/>
      <w:r>
        <w:rPr>
          <w:rFonts w:ascii="Garamond" w:eastAsia="Garamond" w:hAnsi="Garamond" w:cs="Garamond"/>
          <w:color w:val="000000"/>
          <w:sz w:val="22"/>
          <w:szCs w:val="22"/>
        </w:rPr>
        <w:t>Schweibold</w:t>
      </w:r>
      <w:proofErr w:type="spellEnd"/>
      <w:r>
        <w:rPr>
          <w:rFonts w:ascii="Garamond" w:eastAsia="Garamond" w:hAnsi="Garamond" w:cs="Garamond"/>
          <w:color w:val="000000"/>
          <w:sz w:val="22"/>
          <w:szCs w:val="22"/>
        </w:rPr>
        <w:t xml:space="preserve">, L., Tester, P.A., Trainer, V. L., </w:t>
      </w:r>
      <w:proofErr w:type="spellStart"/>
      <w:r>
        <w:rPr>
          <w:rFonts w:ascii="Garamond" w:eastAsia="Garamond" w:hAnsi="Garamond" w:cs="Garamond"/>
          <w:color w:val="000000"/>
          <w:sz w:val="22"/>
          <w:szCs w:val="22"/>
        </w:rPr>
        <w:t>Yniguez</w:t>
      </w:r>
      <w:proofErr w:type="spellEnd"/>
      <w:r>
        <w:rPr>
          <w:rFonts w:ascii="Garamond" w:eastAsia="Garamond" w:hAnsi="Garamond" w:cs="Garamond"/>
          <w:color w:val="000000"/>
          <w:sz w:val="22"/>
          <w:szCs w:val="22"/>
        </w:rPr>
        <w:t xml:space="preserve">, A. T., &amp; </w:t>
      </w:r>
      <w:proofErr w:type="spellStart"/>
      <w:r>
        <w:rPr>
          <w:rFonts w:ascii="Garamond" w:eastAsia="Garamond" w:hAnsi="Garamond" w:cs="Garamond"/>
          <w:color w:val="000000"/>
          <w:sz w:val="22"/>
          <w:szCs w:val="22"/>
        </w:rPr>
        <w:t>Zingone</w:t>
      </w:r>
      <w:proofErr w:type="spellEnd"/>
      <w:r>
        <w:rPr>
          <w:rFonts w:ascii="Garamond" w:eastAsia="Garamond" w:hAnsi="Garamond" w:cs="Garamond"/>
          <w:color w:val="000000"/>
          <w:sz w:val="22"/>
          <w:szCs w:val="22"/>
        </w:rPr>
        <w:t xml:space="preserve">, A. (2021). Perceived global increase in algal blooms is attributable to intensified monitoring and emerging bloom </w:t>
      </w:r>
      <w:r>
        <w:rPr>
          <w:rFonts w:ascii="Garamond" w:eastAsia="Garamond" w:hAnsi="Garamond" w:cs="Garamond"/>
          <w:color w:val="000000"/>
          <w:sz w:val="22"/>
          <w:szCs w:val="22"/>
        </w:rPr>
        <w:t xml:space="preserve">impacts. </w:t>
      </w:r>
      <w:r>
        <w:rPr>
          <w:rFonts w:ascii="Garamond" w:eastAsia="Garamond" w:hAnsi="Garamond" w:cs="Garamond"/>
          <w:i/>
          <w:color w:val="000000"/>
          <w:sz w:val="22"/>
          <w:szCs w:val="22"/>
        </w:rPr>
        <w:t>Communications Earth &amp; Environment,</w:t>
      </w:r>
      <w:r>
        <w:rPr>
          <w:rFonts w:ascii="Garamond" w:eastAsia="Garamond" w:hAnsi="Garamond" w:cs="Garamond"/>
          <w:color w:val="000000"/>
          <w:sz w:val="22"/>
          <w:szCs w:val="22"/>
        </w:rPr>
        <w:t xml:space="preserve"> 2, 117. </w:t>
      </w:r>
      <w:hyperlink r:id="rId26">
        <w:r>
          <w:rPr>
            <w:rFonts w:ascii="Garamond" w:eastAsia="Garamond" w:hAnsi="Garamond" w:cs="Garamond"/>
            <w:color w:val="0563C1"/>
            <w:sz w:val="22"/>
            <w:szCs w:val="22"/>
            <w:u w:val="single"/>
          </w:rPr>
          <w:t>https://doi.org/10.1038/s43247-021-00178-8</w:t>
        </w:r>
      </w:hyperlink>
      <w:r>
        <w:rPr>
          <w:rFonts w:ascii="Garamond" w:eastAsia="Garamond" w:hAnsi="Garamond" w:cs="Garamond"/>
          <w:color w:val="000000"/>
          <w:sz w:val="22"/>
          <w:szCs w:val="22"/>
        </w:rPr>
        <w:t xml:space="preserve"> </w:t>
      </w:r>
    </w:p>
    <w:p w14:paraId="00000099"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Hu, C., &amp; Feng, L. (2016). Modified MODIS fluorescence line height data product to improve image </w:t>
      </w:r>
      <w:r>
        <w:rPr>
          <w:rFonts w:ascii="Garamond" w:eastAsia="Garamond" w:hAnsi="Garamond" w:cs="Garamond"/>
          <w:color w:val="000000"/>
          <w:sz w:val="22"/>
          <w:szCs w:val="22"/>
        </w:rPr>
        <w:t xml:space="preserve">interpretation for red tide monitoring in the eastern Gulf of Mexico. </w:t>
      </w:r>
      <w:r>
        <w:rPr>
          <w:rFonts w:ascii="Garamond" w:eastAsia="Garamond" w:hAnsi="Garamond" w:cs="Garamond"/>
          <w:i/>
          <w:color w:val="000000"/>
          <w:sz w:val="22"/>
          <w:szCs w:val="22"/>
        </w:rPr>
        <w:t>Journal of Applied Remote Sensing</w:t>
      </w:r>
      <w:r>
        <w:rPr>
          <w:rFonts w:ascii="Garamond" w:eastAsia="Garamond" w:hAnsi="Garamond" w:cs="Garamond"/>
          <w:color w:val="000000"/>
          <w:sz w:val="22"/>
          <w:szCs w:val="22"/>
        </w:rPr>
        <w:t xml:space="preserve">, 11(1). </w:t>
      </w:r>
      <w:hyperlink r:id="rId27">
        <w:r>
          <w:rPr>
            <w:rFonts w:ascii="Garamond" w:eastAsia="Garamond" w:hAnsi="Garamond" w:cs="Garamond"/>
            <w:color w:val="0563C1"/>
            <w:sz w:val="22"/>
            <w:szCs w:val="22"/>
            <w:u w:val="single"/>
          </w:rPr>
          <w:t>https://doi.org/10.1117/1.JRS.11.012003</w:t>
        </w:r>
      </w:hyperlink>
      <w:r>
        <w:rPr>
          <w:rFonts w:ascii="Garamond" w:eastAsia="Garamond" w:hAnsi="Garamond" w:cs="Garamond"/>
          <w:color w:val="000000"/>
          <w:sz w:val="22"/>
          <w:szCs w:val="22"/>
        </w:rPr>
        <w:t xml:space="preserve"> </w:t>
      </w:r>
    </w:p>
    <w:p w14:paraId="0000009A"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Li, Y., &amp; He, R. (2014). Spatial and tempora</w:t>
      </w:r>
      <w:r>
        <w:rPr>
          <w:rFonts w:ascii="Garamond" w:eastAsia="Garamond" w:hAnsi="Garamond" w:cs="Garamond"/>
          <w:color w:val="000000"/>
          <w:sz w:val="22"/>
          <w:szCs w:val="22"/>
        </w:rPr>
        <w:t xml:space="preserve">l variability of SST and ocean color in the Gulf of Maine based on cloud-free SST and chlorophyll reconstructions in 2003–2012. </w:t>
      </w:r>
      <w:r>
        <w:rPr>
          <w:rFonts w:ascii="Garamond" w:eastAsia="Garamond" w:hAnsi="Garamond" w:cs="Garamond"/>
          <w:i/>
          <w:color w:val="000000"/>
          <w:sz w:val="22"/>
          <w:szCs w:val="22"/>
        </w:rPr>
        <w:t>Remote Sensing of Environment</w:t>
      </w:r>
      <w:r>
        <w:rPr>
          <w:rFonts w:ascii="Garamond" w:eastAsia="Garamond" w:hAnsi="Garamond" w:cs="Garamond"/>
          <w:color w:val="000000"/>
          <w:sz w:val="22"/>
          <w:szCs w:val="22"/>
        </w:rPr>
        <w:t xml:space="preserve">, 144, 98-108. </w:t>
      </w:r>
      <w:hyperlink r:id="rId28">
        <w:r>
          <w:rPr>
            <w:rFonts w:ascii="Garamond" w:eastAsia="Garamond" w:hAnsi="Garamond" w:cs="Garamond"/>
            <w:color w:val="0563C1"/>
            <w:sz w:val="22"/>
            <w:szCs w:val="22"/>
            <w:u w:val="single"/>
          </w:rPr>
          <w:t>https://doi.org/10.1016</w:t>
        </w:r>
        <w:r>
          <w:rPr>
            <w:rFonts w:ascii="Garamond" w:eastAsia="Garamond" w:hAnsi="Garamond" w:cs="Garamond"/>
            <w:color w:val="0563C1"/>
            <w:sz w:val="22"/>
            <w:szCs w:val="22"/>
            <w:u w:val="single"/>
          </w:rPr>
          <w:t>/j.rse.2014.01.019</w:t>
        </w:r>
      </w:hyperlink>
      <w:r>
        <w:rPr>
          <w:rFonts w:ascii="Garamond" w:eastAsia="Garamond" w:hAnsi="Garamond" w:cs="Garamond"/>
          <w:color w:val="000000"/>
          <w:sz w:val="22"/>
          <w:szCs w:val="22"/>
        </w:rPr>
        <w:t xml:space="preserve">. </w:t>
      </w:r>
    </w:p>
    <w:p w14:paraId="0000009B" w14:textId="77777777" w:rsidR="00E34279" w:rsidRDefault="009F4114">
      <w:pPr>
        <w:ind w:left="720" w:hanging="720"/>
        <w:rPr>
          <w:rFonts w:ascii="Garamond" w:eastAsia="Garamond" w:hAnsi="Garamond" w:cs="Garamond"/>
          <w:color w:val="000000"/>
          <w:sz w:val="22"/>
          <w:szCs w:val="22"/>
        </w:rPr>
      </w:pPr>
      <w:r>
        <w:rPr>
          <w:rFonts w:ascii="Garamond" w:eastAsia="Garamond" w:hAnsi="Garamond" w:cs="Garamond"/>
          <w:color w:val="000000"/>
          <w:sz w:val="22"/>
          <w:szCs w:val="22"/>
        </w:rPr>
        <w:lastRenderedPageBreak/>
        <w:t xml:space="preserve">NASA Goddard Space Flight Center. (2016, 2022). </w:t>
      </w:r>
      <w:r>
        <w:rPr>
          <w:rFonts w:ascii="Garamond" w:eastAsia="Garamond" w:hAnsi="Garamond" w:cs="Garamond"/>
          <w:i/>
          <w:color w:val="000000"/>
          <w:sz w:val="22"/>
          <w:szCs w:val="22"/>
        </w:rPr>
        <w:t>Moderate-resolution Imaging Spectroradiometer (MODIS) Aqua L2 Inherent Optical Properties</w:t>
      </w:r>
      <w:r>
        <w:rPr>
          <w:rFonts w:ascii="Garamond" w:eastAsia="Garamond" w:hAnsi="Garamond" w:cs="Garamond"/>
          <w:color w:val="000000"/>
          <w:sz w:val="22"/>
          <w:szCs w:val="22"/>
        </w:rPr>
        <w:t xml:space="preserve">. [IOP]. NASA GSFC Ocean Color. Retrieved November 9, 2022, from </w:t>
      </w:r>
      <w:hyperlink r:id="rId29">
        <w:r>
          <w:rPr>
            <w:rFonts w:ascii="Garamond" w:eastAsia="Garamond" w:hAnsi="Garamond" w:cs="Garamond"/>
            <w:color w:val="366091"/>
            <w:sz w:val="22"/>
            <w:szCs w:val="22"/>
            <w:u w:val="single"/>
          </w:rPr>
          <w:t>10.5067/AQUA/MODIS/L2/IOP/2022</w:t>
        </w:r>
      </w:hyperlink>
      <w:r>
        <w:rPr>
          <w:rFonts w:ascii="Garamond" w:eastAsia="Garamond" w:hAnsi="Garamond" w:cs="Garamond"/>
          <w:color w:val="366091"/>
          <w:sz w:val="22"/>
          <w:szCs w:val="22"/>
        </w:rPr>
        <w:t xml:space="preserve"> </w:t>
      </w:r>
    </w:p>
    <w:p w14:paraId="0000009C" w14:textId="77777777" w:rsidR="00E34279" w:rsidRDefault="00E34279">
      <w:pPr>
        <w:ind w:left="720" w:hanging="720"/>
        <w:rPr>
          <w:rFonts w:ascii="Garamond" w:eastAsia="Garamond" w:hAnsi="Garamond" w:cs="Garamond"/>
          <w:color w:val="366091"/>
          <w:sz w:val="22"/>
          <w:szCs w:val="22"/>
        </w:rPr>
      </w:pPr>
    </w:p>
    <w:p w14:paraId="0000009D" w14:textId="77777777" w:rsidR="00E34279" w:rsidRDefault="009F4114">
      <w:pPr>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NASA Goddard Space Flight Center. (2016, 2022). </w:t>
      </w:r>
      <w:r>
        <w:rPr>
          <w:rFonts w:ascii="Garamond" w:eastAsia="Garamond" w:hAnsi="Garamond" w:cs="Garamond"/>
          <w:i/>
          <w:color w:val="000000"/>
          <w:sz w:val="22"/>
          <w:szCs w:val="22"/>
        </w:rPr>
        <w:t>Moderate-resolution Imaging Spectroradiometer (MODIS) Aqua L2 Ocean Color L2</w:t>
      </w:r>
      <w:r>
        <w:rPr>
          <w:rFonts w:ascii="Garamond" w:eastAsia="Garamond" w:hAnsi="Garamond" w:cs="Garamond"/>
          <w:color w:val="000000"/>
          <w:sz w:val="22"/>
          <w:szCs w:val="22"/>
        </w:rPr>
        <w:t xml:space="preserve">. [OC]. NASA GSFC Ocean Color. Retrieved November 9, 2022, from </w:t>
      </w:r>
      <w:hyperlink r:id="rId30">
        <w:r>
          <w:rPr>
            <w:rFonts w:ascii="Garamond" w:eastAsia="Garamond" w:hAnsi="Garamond" w:cs="Garamond"/>
            <w:color w:val="366091"/>
            <w:sz w:val="22"/>
            <w:szCs w:val="22"/>
            <w:u w:val="single"/>
          </w:rPr>
          <w:t>10.5067/AQUA/MODIS/L2/OC/2022</w:t>
        </w:r>
      </w:hyperlink>
    </w:p>
    <w:p w14:paraId="0000009E" w14:textId="77777777" w:rsidR="00E34279" w:rsidRDefault="00E34279">
      <w:pPr>
        <w:ind w:left="720" w:hanging="720"/>
        <w:rPr>
          <w:rFonts w:ascii="Garamond" w:eastAsia="Garamond" w:hAnsi="Garamond" w:cs="Garamond"/>
          <w:color w:val="000000"/>
          <w:sz w:val="22"/>
          <w:szCs w:val="22"/>
        </w:rPr>
      </w:pPr>
    </w:p>
    <w:p w14:paraId="0000009F" w14:textId="77777777" w:rsidR="00E34279" w:rsidRDefault="009F4114">
      <w:pPr>
        <w:ind w:left="720" w:hanging="720"/>
        <w:rPr>
          <w:rFonts w:ascii="Garamond" w:eastAsia="Garamond" w:hAnsi="Garamond" w:cs="Garamond"/>
          <w:color w:val="000000"/>
          <w:sz w:val="22"/>
          <w:szCs w:val="22"/>
        </w:rPr>
      </w:pPr>
      <w:proofErr w:type="spellStart"/>
      <w:r>
        <w:rPr>
          <w:rFonts w:ascii="Garamond" w:eastAsia="Garamond" w:hAnsi="Garamond" w:cs="Garamond"/>
          <w:color w:val="000000"/>
          <w:sz w:val="22"/>
          <w:szCs w:val="22"/>
        </w:rPr>
        <w:t>Sathyendranath</w:t>
      </w:r>
      <w:proofErr w:type="spellEnd"/>
      <w:r>
        <w:rPr>
          <w:rFonts w:ascii="Garamond" w:eastAsia="Garamond" w:hAnsi="Garamond" w:cs="Garamond"/>
          <w:color w:val="000000"/>
          <w:sz w:val="22"/>
          <w:szCs w:val="22"/>
        </w:rPr>
        <w:t xml:space="preserve">, S., Watts, L., </w:t>
      </w:r>
      <w:proofErr w:type="spellStart"/>
      <w:r>
        <w:rPr>
          <w:rFonts w:ascii="Garamond" w:eastAsia="Garamond" w:hAnsi="Garamond" w:cs="Garamond"/>
          <w:color w:val="000000"/>
          <w:sz w:val="22"/>
          <w:szCs w:val="22"/>
        </w:rPr>
        <w:t>Devred</w:t>
      </w:r>
      <w:proofErr w:type="spellEnd"/>
      <w:r>
        <w:rPr>
          <w:rFonts w:ascii="Garamond" w:eastAsia="Garamond" w:hAnsi="Garamond" w:cs="Garamond"/>
          <w:color w:val="000000"/>
          <w:sz w:val="22"/>
          <w:szCs w:val="22"/>
        </w:rPr>
        <w:t xml:space="preserve">, E., Platt, T., </w:t>
      </w:r>
      <w:proofErr w:type="spellStart"/>
      <w:r>
        <w:rPr>
          <w:rFonts w:ascii="Garamond" w:eastAsia="Garamond" w:hAnsi="Garamond" w:cs="Garamond"/>
          <w:color w:val="000000"/>
          <w:sz w:val="22"/>
          <w:szCs w:val="22"/>
        </w:rPr>
        <w:t>Caveerhill</w:t>
      </w:r>
      <w:proofErr w:type="spellEnd"/>
      <w:r>
        <w:rPr>
          <w:rFonts w:ascii="Garamond" w:eastAsia="Garamond" w:hAnsi="Garamond" w:cs="Garamond"/>
          <w:color w:val="000000"/>
          <w:sz w:val="22"/>
          <w:szCs w:val="22"/>
        </w:rPr>
        <w:t xml:space="preserve">, C., &amp; </w:t>
      </w:r>
      <w:proofErr w:type="spellStart"/>
      <w:r>
        <w:rPr>
          <w:rFonts w:ascii="Garamond" w:eastAsia="Garamond" w:hAnsi="Garamond" w:cs="Garamond"/>
          <w:color w:val="000000"/>
          <w:sz w:val="22"/>
          <w:szCs w:val="22"/>
        </w:rPr>
        <w:t>Maass</w:t>
      </w:r>
      <w:proofErr w:type="spellEnd"/>
      <w:r>
        <w:rPr>
          <w:rFonts w:ascii="Garamond" w:eastAsia="Garamond" w:hAnsi="Garamond" w:cs="Garamond"/>
          <w:color w:val="000000"/>
          <w:sz w:val="22"/>
          <w:szCs w:val="22"/>
        </w:rPr>
        <w:t>, H. (2004). Discrimination of diatoms from other phytoplankton usi</w:t>
      </w:r>
      <w:r>
        <w:rPr>
          <w:rFonts w:ascii="Garamond" w:eastAsia="Garamond" w:hAnsi="Garamond" w:cs="Garamond"/>
          <w:color w:val="000000"/>
          <w:sz w:val="22"/>
          <w:szCs w:val="22"/>
        </w:rPr>
        <w:t>ng ocean-</w:t>
      </w:r>
      <w:proofErr w:type="spellStart"/>
      <w:r>
        <w:rPr>
          <w:rFonts w:ascii="Garamond" w:eastAsia="Garamond" w:hAnsi="Garamond" w:cs="Garamond"/>
          <w:color w:val="000000"/>
          <w:sz w:val="22"/>
          <w:szCs w:val="22"/>
        </w:rPr>
        <w:t>colour</w:t>
      </w:r>
      <w:proofErr w:type="spellEnd"/>
      <w:r>
        <w:rPr>
          <w:rFonts w:ascii="Garamond" w:eastAsia="Garamond" w:hAnsi="Garamond" w:cs="Garamond"/>
          <w:color w:val="000000"/>
          <w:sz w:val="22"/>
          <w:szCs w:val="22"/>
        </w:rPr>
        <w:t xml:space="preserve"> data. </w:t>
      </w:r>
      <w:r>
        <w:rPr>
          <w:rFonts w:ascii="Garamond" w:eastAsia="Garamond" w:hAnsi="Garamond" w:cs="Garamond"/>
          <w:i/>
          <w:color w:val="000000"/>
          <w:sz w:val="22"/>
          <w:szCs w:val="22"/>
        </w:rPr>
        <w:t>Marine Ecology Progress Series,</w:t>
      </w:r>
      <w:r>
        <w:rPr>
          <w:rFonts w:ascii="Garamond" w:eastAsia="Garamond" w:hAnsi="Garamond" w:cs="Garamond"/>
          <w:color w:val="000000"/>
          <w:sz w:val="22"/>
          <w:szCs w:val="22"/>
        </w:rPr>
        <w:t xml:space="preserve"> </w:t>
      </w:r>
      <w:r>
        <w:rPr>
          <w:rFonts w:ascii="Garamond" w:eastAsia="Garamond" w:hAnsi="Garamond" w:cs="Garamond"/>
          <w:i/>
          <w:color w:val="000000"/>
          <w:sz w:val="22"/>
          <w:szCs w:val="22"/>
        </w:rPr>
        <w:t>272</w:t>
      </w:r>
      <w:r>
        <w:rPr>
          <w:rFonts w:ascii="Garamond" w:eastAsia="Garamond" w:hAnsi="Garamond" w:cs="Garamond"/>
          <w:color w:val="000000"/>
          <w:sz w:val="22"/>
          <w:szCs w:val="22"/>
        </w:rPr>
        <w:t xml:space="preserve">. 59-68. Retrieved from: </w:t>
      </w:r>
      <w:hyperlink r:id="rId31">
        <w:r>
          <w:rPr>
            <w:rFonts w:ascii="Garamond" w:eastAsia="Garamond" w:hAnsi="Garamond" w:cs="Garamond"/>
            <w:color w:val="0000FF"/>
            <w:sz w:val="22"/>
            <w:szCs w:val="22"/>
            <w:u w:val="single"/>
          </w:rPr>
          <w:t>https://doi.org/10.1016/j.rse.2018.08.010</w:t>
        </w:r>
      </w:hyperlink>
    </w:p>
    <w:p w14:paraId="000000A0" w14:textId="77777777" w:rsidR="00E34279" w:rsidRDefault="009F4114">
      <w:pPr>
        <w:spacing w:after="160"/>
        <w:ind w:left="720" w:hanging="720"/>
        <w:rPr>
          <w:rFonts w:ascii="Garamond" w:eastAsia="Garamond" w:hAnsi="Garamond" w:cs="Garamond"/>
          <w:color w:val="000000"/>
          <w:sz w:val="12"/>
          <w:szCs w:val="12"/>
        </w:rPr>
      </w:pPr>
      <w:r>
        <w:rPr>
          <w:rFonts w:ascii="Garamond" w:eastAsia="Garamond" w:hAnsi="Garamond" w:cs="Garamond"/>
          <w:color w:val="000000"/>
          <w:sz w:val="12"/>
          <w:szCs w:val="12"/>
        </w:rPr>
        <w:t xml:space="preserve">   </w:t>
      </w:r>
    </w:p>
    <w:p w14:paraId="000000A1" w14:textId="77777777" w:rsidR="00E34279" w:rsidRDefault="009F4114">
      <w:pPr>
        <w:spacing w:after="160"/>
        <w:ind w:left="720" w:hanging="720"/>
        <w:rPr>
          <w:rFonts w:ascii="Garamond" w:eastAsia="Garamond" w:hAnsi="Garamond" w:cs="Garamond"/>
          <w:color w:val="000000"/>
          <w:sz w:val="22"/>
          <w:szCs w:val="22"/>
        </w:rPr>
      </w:pPr>
      <w:proofErr w:type="spellStart"/>
      <w:r>
        <w:rPr>
          <w:rFonts w:ascii="Garamond" w:eastAsia="Garamond" w:hAnsi="Garamond" w:cs="Garamond"/>
          <w:color w:val="000000"/>
          <w:sz w:val="22"/>
          <w:szCs w:val="22"/>
        </w:rPr>
        <w:t>Seidov</w:t>
      </w:r>
      <w:proofErr w:type="spellEnd"/>
      <w:r>
        <w:rPr>
          <w:rFonts w:ascii="Garamond" w:eastAsia="Garamond" w:hAnsi="Garamond" w:cs="Garamond"/>
          <w:color w:val="000000"/>
          <w:sz w:val="22"/>
          <w:szCs w:val="22"/>
        </w:rPr>
        <w:t xml:space="preserve">, D., </w:t>
      </w:r>
      <w:proofErr w:type="spellStart"/>
      <w:r>
        <w:rPr>
          <w:rFonts w:ascii="Garamond" w:eastAsia="Garamond" w:hAnsi="Garamond" w:cs="Garamond"/>
          <w:color w:val="000000"/>
          <w:sz w:val="22"/>
          <w:szCs w:val="22"/>
        </w:rPr>
        <w:t>Mishonov</w:t>
      </w:r>
      <w:proofErr w:type="spellEnd"/>
      <w:r>
        <w:rPr>
          <w:rFonts w:ascii="Garamond" w:eastAsia="Garamond" w:hAnsi="Garamond" w:cs="Garamond"/>
          <w:color w:val="000000"/>
          <w:sz w:val="22"/>
          <w:szCs w:val="22"/>
        </w:rPr>
        <w:t xml:space="preserve">, A., &amp; Parsons, R. (2021). Recent warming and </w:t>
      </w:r>
      <w:r>
        <w:rPr>
          <w:rFonts w:ascii="Garamond" w:eastAsia="Garamond" w:hAnsi="Garamond" w:cs="Garamond"/>
          <w:color w:val="000000"/>
          <w:sz w:val="22"/>
          <w:szCs w:val="22"/>
        </w:rPr>
        <w:t xml:space="preserve">decadal variability of Gulf of Maine and Slope Water. </w:t>
      </w:r>
      <w:r>
        <w:rPr>
          <w:rFonts w:ascii="Garamond" w:eastAsia="Garamond" w:hAnsi="Garamond" w:cs="Garamond"/>
          <w:i/>
          <w:color w:val="000000"/>
          <w:sz w:val="22"/>
          <w:szCs w:val="22"/>
        </w:rPr>
        <w:t>Limnology and Oceanography,</w:t>
      </w:r>
      <w:r>
        <w:rPr>
          <w:rFonts w:ascii="Garamond" w:eastAsia="Garamond" w:hAnsi="Garamond" w:cs="Garamond"/>
          <w:color w:val="000000"/>
          <w:sz w:val="22"/>
          <w:szCs w:val="22"/>
        </w:rPr>
        <w:t xml:space="preserve"> 66, 3472-3488.</w:t>
      </w:r>
      <w:r>
        <w:rPr>
          <w:rFonts w:ascii="Garamond" w:eastAsia="Garamond" w:hAnsi="Garamond" w:cs="Garamond"/>
          <w:color w:val="1C1D1E"/>
          <w:sz w:val="22"/>
          <w:szCs w:val="22"/>
        </w:rPr>
        <w:t xml:space="preserve"> </w:t>
      </w:r>
      <w:hyperlink r:id="rId32">
        <w:r>
          <w:rPr>
            <w:rFonts w:ascii="Garamond" w:eastAsia="Garamond" w:hAnsi="Garamond" w:cs="Garamond"/>
            <w:color w:val="0563C1"/>
            <w:sz w:val="22"/>
            <w:szCs w:val="22"/>
            <w:u w:val="single"/>
          </w:rPr>
          <w:t>https://doi.org/10.1002/lno.11892</w:t>
        </w:r>
      </w:hyperlink>
      <w:r>
        <w:rPr>
          <w:rFonts w:ascii="Garamond" w:eastAsia="Garamond" w:hAnsi="Garamond" w:cs="Garamond"/>
          <w:color w:val="000000"/>
          <w:sz w:val="22"/>
          <w:szCs w:val="22"/>
        </w:rPr>
        <w:t xml:space="preserve"> </w:t>
      </w:r>
    </w:p>
    <w:p w14:paraId="000000A2" w14:textId="77777777" w:rsidR="00E34279" w:rsidRDefault="009F4114">
      <w:pPr>
        <w:spacing w:after="160"/>
        <w:ind w:left="720" w:hanging="720"/>
        <w:rPr>
          <w:rFonts w:ascii="Calibri" w:eastAsia="Calibri" w:hAnsi="Calibri" w:cs="Calibri"/>
          <w:color w:val="000000"/>
          <w:sz w:val="22"/>
          <w:szCs w:val="22"/>
        </w:rPr>
      </w:pPr>
      <w:r>
        <w:rPr>
          <w:rFonts w:ascii="Garamond" w:eastAsia="Garamond" w:hAnsi="Garamond" w:cs="Garamond"/>
          <w:color w:val="000000"/>
          <w:sz w:val="22"/>
          <w:szCs w:val="22"/>
        </w:rPr>
        <w:t xml:space="preserve">Shen L., Xu H., Guo X. (2012). Satellite remote sensing of harmful algal blooms (HABs) and a potential synthesized framework. </w:t>
      </w:r>
      <w:r>
        <w:rPr>
          <w:rFonts w:ascii="Garamond" w:eastAsia="Garamond" w:hAnsi="Garamond" w:cs="Garamond"/>
          <w:i/>
          <w:color w:val="000000"/>
          <w:sz w:val="22"/>
          <w:szCs w:val="22"/>
        </w:rPr>
        <w:t>Sensors</w:t>
      </w:r>
      <w:r>
        <w:rPr>
          <w:rFonts w:ascii="Garamond" w:eastAsia="Garamond" w:hAnsi="Garamond" w:cs="Garamond"/>
          <w:color w:val="000000"/>
          <w:sz w:val="22"/>
          <w:szCs w:val="22"/>
        </w:rPr>
        <w:t xml:space="preserve">. 2(6), 7778-7803. </w:t>
      </w:r>
      <w:hyperlink r:id="rId33">
        <w:r>
          <w:rPr>
            <w:rFonts w:ascii="Garamond" w:eastAsia="Garamond" w:hAnsi="Garamond" w:cs="Garamond"/>
            <w:color w:val="0563C1"/>
            <w:sz w:val="22"/>
            <w:szCs w:val="22"/>
            <w:u w:val="single"/>
          </w:rPr>
          <w:t>https://doi.org/10.3390/s120607778</w:t>
        </w:r>
      </w:hyperlink>
    </w:p>
    <w:p w14:paraId="000000A3"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Woods Hole Ocea</w:t>
      </w:r>
      <w:r>
        <w:rPr>
          <w:rFonts w:ascii="Garamond" w:eastAsia="Garamond" w:hAnsi="Garamond" w:cs="Garamond"/>
          <w:color w:val="000000"/>
          <w:sz w:val="22"/>
          <w:szCs w:val="22"/>
        </w:rPr>
        <w:t xml:space="preserve">nographic Institution. (n.d.). </w:t>
      </w:r>
      <w:r>
        <w:rPr>
          <w:rFonts w:ascii="Garamond" w:eastAsia="Garamond" w:hAnsi="Garamond" w:cs="Garamond"/>
          <w:i/>
          <w:color w:val="000000"/>
          <w:sz w:val="22"/>
          <w:szCs w:val="22"/>
        </w:rPr>
        <w:t>Harmful Algal Blooms Data Portal.</w:t>
      </w:r>
      <w:r>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HABHub</w:t>
      </w:r>
      <w:proofErr w:type="spellEnd"/>
      <w:r>
        <w:rPr>
          <w:rFonts w:ascii="Garamond" w:eastAsia="Garamond" w:hAnsi="Garamond" w:cs="Garamond"/>
          <w:color w:val="000000"/>
          <w:sz w:val="22"/>
          <w:szCs w:val="22"/>
        </w:rPr>
        <w:t xml:space="preserve">. </w:t>
      </w:r>
      <w:hyperlink r:id="rId34">
        <w:r>
          <w:rPr>
            <w:rFonts w:ascii="Garamond" w:eastAsia="Garamond" w:hAnsi="Garamond" w:cs="Garamond"/>
            <w:color w:val="0563C1"/>
            <w:sz w:val="22"/>
            <w:szCs w:val="22"/>
            <w:u w:val="single"/>
          </w:rPr>
          <w:t>https://habhub.whoi.edu/</w:t>
        </w:r>
      </w:hyperlink>
      <w:r>
        <w:rPr>
          <w:rFonts w:ascii="Garamond" w:eastAsia="Garamond" w:hAnsi="Garamond" w:cs="Garamond"/>
          <w:color w:val="000000"/>
          <w:sz w:val="22"/>
          <w:szCs w:val="22"/>
        </w:rPr>
        <w:t xml:space="preserve"> </w:t>
      </w:r>
    </w:p>
    <w:p w14:paraId="000000A4" w14:textId="77777777" w:rsidR="00E34279" w:rsidRDefault="009F4114">
      <w:pPr>
        <w:spacing w:after="160"/>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Woods Hole Oceanographic Institution. (n.d.). IFCB Dashboard. </w:t>
      </w:r>
      <w:hyperlink r:id="rId35">
        <w:r>
          <w:rPr>
            <w:rFonts w:ascii="Garamond" w:eastAsia="Garamond" w:hAnsi="Garamond" w:cs="Garamond"/>
            <w:color w:val="0563C1"/>
            <w:sz w:val="22"/>
            <w:szCs w:val="22"/>
            <w:u w:val="single"/>
          </w:rPr>
          <w:t>https://habon-ifcb.whoi.edu/dashboard</w:t>
        </w:r>
      </w:hyperlink>
      <w:r>
        <w:rPr>
          <w:rFonts w:ascii="Garamond" w:eastAsia="Garamond" w:hAnsi="Garamond" w:cs="Garamond"/>
          <w:color w:val="000000"/>
          <w:sz w:val="22"/>
          <w:szCs w:val="22"/>
        </w:rPr>
        <w:t xml:space="preserve"> </w:t>
      </w:r>
    </w:p>
    <w:p w14:paraId="000000A5" w14:textId="77777777" w:rsidR="00E34279" w:rsidRDefault="009F4114">
      <w:pPr>
        <w:spacing w:after="160"/>
        <w:ind w:left="720" w:hanging="720"/>
      </w:pPr>
      <w:r>
        <w:rPr>
          <w:rFonts w:ascii="Garamond" w:eastAsia="Garamond" w:hAnsi="Garamond" w:cs="Garamond"/>
          <w:color w:val="000000"/>
          <w:sz w:val="22"/>
          <w:szCs w:val="22"/>
        </w:rPr>
        <w:t>Zhao, D., Xing, X., Liu, Y., Yang, J., &amp; Wang, L. (2010). The relation of chlorophyll-</w:t>
      </w:r>
      <w:r>
        <w:rPr>
          <w:rFonts w:ascii="Garamond" w:eastAsia="Garamond" w:hAnsi="Garamond" w:cs="Garamond"/>
          <w:i/>
          <w:color w:val="000000"/>
          <w:sz w:val="22"/>
          <w:szCs w:val="22"/>
        </w:rPr>
        <w:t>a</w:t>
      </w:r>
      <w:r>
        <w:rPr>
          <w:rFonts w:ascii="Garamond" w:eastAsia="Garamond" w:hAnsi="Garamond" w:cs="Garamond"/>
          <w:color w:val="000000"/>
          <w:sz w:val="22"/>
          <w:szCs w:val="22"/>
        </w:rPr>
        <w:t xml:space="preserve"> concentration with the reflectance peak near 700 nm in algae-dominated waters and sensitivity of fluorescence algorithms fo</w:t>
      </w:r>
      <w:r>
        <w:rPr>
          <w:rFonts w:ascii="Garamond" w:eastAsia="Garamond" w:hAnsi="Garamond" w:cs="Garamond"/>
          <w:color w:val="000000"/>
          <w:sz w:val="22"/>
          <w:szCs w:val="22"/>
        </w:rPr>
        <w:t xml:space="preserve">r detecting algal bloom. </w:t>
      </w:r>
      <w:r>
        <w:rPr>
          <w:rFonts w:ascii="Garamond" w:eastAsia="Garamond" w:hAnsi="Garamond" w:cs="Garamond"/>
          <w:i/>
          <w:color w:val="000000"/>
          <w:sz w:val="22"/>
          <w:szCs w:val="22"/>
        </w:rPr>
        <w:t>International Journal of Remote Sensing</w:t>
      </w:r>
      <w:r>
        <w:rPr>
          <w:rFonts w:ascii="Garamond" w:eastAsia="Garamond" w:hAnsi="Garamond" w:cs="Garamond"/>
          <w:color w:val="000000"/>
          <w:sz w:val="22"/>
          <w:szCs w:val="22"/>
        </w:rPr>
        <w:t>, 31(1), 39-48.</w:t>
      </w:r>
      <w:r>
        <w:rPr>
          <w:rFonts w:ascii="Garamond" w:eastAsia="Garamond" w:hAnsi="Garamond" w:cs="Garamond"/>
          <w:color w:val="333333"/>
          <w:sz w:val="22"/>
          <w:szCs w:val="22"/>
        </w:rPr>
        <w:t xml:space="preserve"> </w:t>
      </w:r>
      <w:hyperlink r:id="rId36">
        <w:r>
          <w:rPr>
            <w:rFonts w:ascii="Garamond" w:eastAsia="Garamond" w:hAnsi="Garamond" w:cs="Garamond"/>
            <w:color w:val="0563C1"/>
            <w:sz w:val="22"/>
            <w:szCs w:val="22"/>
            <w:u w:val="single"/>
          </w:rPr>
          <w:t>https://doi.org/10.1080/01431160902882512</w:t>
        </w:r>
      </w:hyperlink>
    </w:p>
    <w:sectPr w:rsidR="00E34279">
      <w:headerReference w:type="default" r:id="rId37"/>
      <w:footerReference w:type="default" r:id="rId38"/>
      <w:headerReference w:type="first" r:id="rId3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1ECA8" w14:textId="77777777" w:rsidR="009F4114" w:rsidRDefault="009F4114">
      <w:r>
        <w:separator/>
      </w:r>
    </w:p>
  </w:endnote>
  <w:endnote w:type="continuationSeparator" w:id="0">
    <w:p w14:paraId="1C48FB07" w14:textId="77777777" w:rsidR="009F4114" w:rsidRDefault="009F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B" w14:textId="43424A56" w:rsidR="00E34279" w:rsidRDefault="009F4114">
    <w:pPr>
      <w:pBdr>
        <w:top w:val="nil"/>
        <w:left w:val="nil"/>
        <w:bottom w:val="nil"/>
        <w:right w:val="nil"/>
        <w:between w:val="nil"/>
      </w:pBdr>
      <w:tabs>
        <w:tab w:val="center" w:pos="4680"/>
        <w:tab w:val="right" w:pos="9360"/>
        <w:tab w:val="right" w:pos="9340"/>
      </w:tabs>
      <w:jc w:val="center"/>
      <w:rPr>
        <w:rFonts w:ascii="Arial" w:eastAsia="Arial" w:hAnsi="Arial" w:cs="Arial"/>
        <w:color w:val="000000"/>
        <w:sz w:val="22"/>
        <w:szCs w:val="22"/>
      </w:rPr>
    </w:pP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907729">
      <w:rPr>
        <w:rFonts w:ascii="Garamond" w:eastAsia="Garamond" w:hAnsi="Garamond" w:cs="Garamond"/>
        <w:noProof/>
        <w:color w:val="000000"/>
        <w:sz w:val="22"/>
        <w:szCs w:val="22"/>
      </w:rPr>
      <w:t>1</w:t>
    </w:r>
    <w:r>
      <w:rPr>
        <w:rFonts w:ascii="Garamond" w:eastAsia="Garamond" w:hAnsi="Garamond" w:cs="Garamond"/>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421AB" w14:textId="77777777" w:rsidR="009F4114" w:rsidRDefault="009F4114">
      <w:r>
        <w:separator/>
      </w:r>
    </w:p>
  </w:footnote>
  <w:footnote w:type="continuationSeparator" w:id="0">
    <w:p w14:paraId="1DDF0557" w14:textId="77777777" w:rsidR="009F4114" w:rsidRDefault="009F4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A" w14:textId="77777777" w:rsidR="00E34279" w:rsidRDefault="009F4114">
    <w:pPr>
      <w:pBdr>
        <w:top w:val="nil"/>
        <w:left w:val="nil"/>
        <w:bottom w:val="nil"/>
        <w:right w:val="nil"/>
        <w:between w:val="nil"/>
      </w:pBdr>
      <w:tabs>
        <w:tab w:val="center" w:pos="4680"/>
        <w:tab w:val="right" w:pos="9360"/>
      </w:tabs>
      <w:jc w:val="right"/>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6" w14:textId="77777777" w:rsidR="00E34279" w:rsidRDefault="009F4114">
    <w:pPr>
      <w:pBdr>
        <w:top w:val="nil"/>
        <w:left w:val="nil"/>
        <w:bottom w:val="nil"/>
        <w:right w:val="nil"/>
        <w:between w:val="nil"/>
      </w:pBdr>
      <w:jc w:val="right"/>
      <w:rPr>
        <w:rFonts w:ascii="Garamond" w:eastAsia="Garamond" w:hAnsi="Garamond" w:cs="Garamond"/>
        <w:b/>
        <w:color w:val="000000"/>
        <w:sz w:val="28"/>
        <w:szCs w:val="28"/>
      </w:rPr>
    </w:pPr>
    <w:r>
      <w:rPr>
        <w:rFonts w:ascii="Garamond" w:eastAsia="Garamond" w:hAnsi="Garamond" w:cs="Garamond"/>
        <w:b/>
        <w:color w:val="000000"/>
        <w:sz w:val="32"/>
        <w:szCs w:val="32"/>
      </w:rPr>
      <w:t>NASA DEVELOP National Program</w:t>
    </w:r>
  </w:p>
  <w:p w14:paraId="000000A7" w14:textId="77777777" w:rsidR="00E34279" w:rsidRDefault="009F4114">
    <w:pPr>
      <w:pBdr>
        <w:top w:val="nil"/>
        <w:left w:val="nil"/>
        <w:bottom w:val="nil"/>
        <w:right w:val="nil"/>
        <w:between w:val="nil"/>
      </w:pBdr>
      <w:jc w:val="right"/>
      <w:rPr>
        <w:rFonts w:ascii="Garamond" w:eastAsia="Garamond" w:hAnsi="Garamond" w:cs="Garamond"/>
        <w:b/>
        <w:color w:val="000000"/>
        <w:sz w:val="32"/>
        <w:szCs w:val="32"/>
      </w:rPr>
    </w:pPr>
    <w:r>
      <w:rPr>
        <w:rFonts w:ascii="Arial" w:eastAsia="Arial" w:hAnsi="Arial" w:cs="Arial"/>
        <w:noProof/>
        <w:color w:val="000000"/>
        <w:sz w:val="22"/>
        <w:szCs w:val="22"/>
      </w:rPr>
      <w:drawing>
        <wp:anchor distT="0" distB="0" distL="0" distR="0" simplePos="0" relativeHeight="251658240" behindDoc="1" locked="0" layoutInCell="1" hidden="0" allowOverlap="1">
          <wp:simplePos x="0" y="0"/>
          <wp:positionH relativeFrom="page">
            <wp:posOffset>914400</wp:posOffset>
          </wp:positionH>
          <wp:positionV relativeFrom="page">
            <wp:posOffset>831214</wp:posOffset>
          </wp:positionV>
          <wp:extent cx="5943600" cy="297180"/>
          <wp:effectExtent l="0" t="0" r="0" b="0"/>
          <wp:wrapNone/>
          <wp:docPr id="1941925809" name="image11.png" descr="Picture 15"/>
          <wp:cNvGraphicFramePr/>
          <a:graphic xmlns:a="http://schemas.openxmlformats.org/drawingml/2006/main">
            <a:graphicData uri="http://schemas.openxmlformats.org/drawingml/2006/picture">
              <pic:pic xmlns:pic="http://schemas.openxmlformats.org/drawingml/2006/picture">
                <pic:nvPicPr>
                  <pic:cNvPr id="0" name="image11.png" descr="Picture 15"/>
                  <pic:cNvPicPr preferRelativeResize="0"/>
                </pic:nvPicPr>
                <pic:blipFill>
                  <a:blip r:embed="rId1"/>
                  <a:srcRect/>
                  <a:stretch>
                    <a:fillRect/>
                  </a:stretch>
                </pic:blipFill>
                <pic:spPr>
                  <a:xfrm>
                    <a:off x="0" y="0"/>
                    <a:ext cx="5943600" cy="297180"/>
                  </a:xfrm>
                  <a:prstGeom prst="rect">
                    <a:avLst/>
                  </a:prstGeom>
                  <a:ln/>
                </pic:spPr>
              </pic:pic>
            </a:graphicData>
          </a:graphic>
        </wp:anchor>
      </w:drawing>
    </w:r>
    <w:r>
      <w:rPr>
        <w:rFonts w:ascii="Garamond" w:eastAsia="Garamond" w:hAnsi="Garamond" w:cs="Garamond"/>
        <w:b/>
        <w:color w:val="000000"/>
        <w:sz w:val="32"/>
        <w:szCs w:val="32"/>
      </w:rPr>
      <w:t>Massachusetts – Boston</w:t>
    </w:r>
  </w:p>
  <w:p w14:paraId="000000A8" w14:textId="77777777" w:rsidR="00E34279" w:rsidRDefault="00E34279">
    <w:pPr>
      <w:pBdr>
        <w:top w:val="nil"/>
        <w:left w:val="nil"/>
        <w:bottom w:val="nil"/>
        <w:right w:val="nil"/>
        <w:between w:val="nil"/>
      </w:pBdr>
      <w:jc w:val="right"/>
      <w:rPr>
        <w:rFonts w:ascii="Garamond" w:eastAsia="Garamond" w:hAnsi="Garamond" w:cs="Garamond"/>
        <w:b/>
        <w:color w:val="000000"/>
        <w:sz w:val="32"/>
        <w:szCs w:val="32"/>
      </w:rPr>
    </w:pPr>
  </w:p>
  <w:p w14:paraId="000000A9" w14:textId="77777777" w:rsidR="00E34279" w:rsidRDefault="009F4114">
    <w:pPr>
      <w:pBdr>
        <w:top w:val="nil"/>
        <w:left w:val="nil"/>
        <w:bottom w:val="nil"/>
        <w:right w:val="nil"/>
        <w:between w:val="nil"/>
      </w:pBdr>
      <w:tabs>
        <w:tab w:val="center" w:pos="4680"/>
        <w:tab w:val="right" w:pos="9360"/>
        <w:tab w:val="right" w:pos="9340"/>
      </w:tabs>
      <w:jc w:val="right"/>
      <w:rPr>
        <w:rFonts w:ascii="Arial" w:eastAsia="Arial" w:hAnsi="Arial" w:cs="Arial"/>
        <w:color w:val="000000"/>
        <w:sz w:val="20"/>
        <w:szCs w:val="20"/>
      </w:rPr>
    </w:pPr>
    <w:r>
      <w:rPr>
        <w:rFonts w:ascii="Garamond" w:eastAsia="Garamond" w:hAnsi="Garamond" w:cs="Garamond"/>
        <w:i/>
        <w:color w:val="000000"/>
        <w:sz w:val="32"/>
        <w:szCs w:val="32"/>
      </w:rPr>
      <w:t>Fall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F2A8C"/>
    <w:multiLevelType w:val="multilevel"/>
    <w:tmpl w:val="06A2E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279"/>
    <w:rsid w:val="00907729"/>
    <w:rsid w:val="009F4114"/>
    <w:rsid w:val="00E3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8A14"/>
  <w15:docId w15:val="{411FB088-4F5D-45B7-8AA2-5F426FCC2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CA06E64"/>
  </w:style>
  <w:style w:type="paragraph" w:styleId="Heading1">
    <w:name w:val="heading 1"/>
    <w:basedOn w:val="Normal"/>
    <w:next w:val="Normal"/>
    <w:link w:val="Heading1Char"/>
    <w:uiPriority w:val="9"/>
    <w:qFormat/>
    <w:rsid w:val="7CA06E64"/>
    <w:pPr>
      <w:keepNext/>
      <w:keepLines/>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7CA06E64"/>
    <w:pPr>
      <w:keepNext/>
      <w:keepLines/>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7CA06E64"/>
    <w:pPr>
      <w:keepNext/>
      <w:keepLines/>
      <w:outlineLvl w:val="2"/>
    </w:pPr>
    <w:rPr>
      <w:rFonts w:asciiTheme="majorHAnsi" w:eastAsiaTheme="majorEastAsia" w:hAnsiTheme="majorHAnsi" w:cstheme="majorBidi"/>
      <w:color w:val="243F60"/>
    </w:rPr>
  </w:style>
  <w:style w:type="paragraph" w:styleId="Heading4">
    <w:name w:val="heading 4"/>
    <w:basedOn w:val="Normal"/>
    <w:next w:val="Normal"/>
    <w:link w:val="Heading4Char"/>
    <w:uiPriority w:val="9"/>
    <w:semiHidden/>
    <w:unhideWhenUsed/>
    <w:qFormat/>
    <w:rsid w:val="7CA06E64"/>
    <w:pPr>
      <w:keepNext/>
      <w:keepLines/>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7CA06E64"/>
    <w:pPr>
      <w:keepNext/>
      <w:keepLines/>
      <w:outlineLvl w:val="4"/>
    </w:pPr>
    <w:rPr>
      <w:rFonts w:asciiTheme="majorHAnsi" w:eastAsiaTheme="majorEastAsia" w:hAnsiTheme="majorHAnsi" w:cstheme="majorBidi"/>
      <w:color w:val="365F91" w:themeColor="accent1" w:themeShade="BF"/>
    </w:rPr>
  </w:style>
  <w:style w:type="paragraph" w:styleId="Heading6">
    <w:name w:val="heading 6"/>
    <w:next w:val="Body"/>
    <w:uiPriority w:val="9"/>
    <w:semiHidden/>
    <w:unhideWhenUsed/>
    <w:qFormat/>
    <w:pPr>
      <w:keepNext/>
      <w:keepLines/>
      <w:spacing w:before="40" w:line="276" w:lineRule="auto"/>
      <w:outlineLvl w:val="5"/>
    </w:pPr>
    <w:rPr>
      <w:rFonts w:ascii="Arial" w:hAnsi="Arial" w:cs="Arial Unicode MS"/>
      <w:color w:val="243F60"/>
      <w:sz w:val="22"/>
      <w:szCs w:val="22"/>
      <w:u w:color="243F60"/>
    </w:rPr>
  </w:style>
  <w:style w:type="paragraph" w:styleId="Heading7">
    <w:name w:val="heading 7"/>
    <w:basedOn w:val="Normal"/>
    <w:next w:val="Normal"/>
    <w:link w:val="Heading7Char"/>
    <w:uiPriority w:val="9"/>
    <w:unhideWhenUsed/>
    <w:qFormat/>
    <w:rsid w:val="7CA06E64"/>
    <w:pPr>
      <w:keepNext/>
      <w:keepLines/>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7CA06E64"/>
    <w:pPr>
      <w:keepNext/>
      <w:keepLines/>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7CA06E64"/>
    <w:pPr>
      <w:keepNext/>
      <w:keepLines/>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7CA06E64"/>
    <w:pPr>
      <w:contextualSpacing/>
    </w:pPr>
    <w:rPr>
      <w:rFonts w:asciiTheme="majorHAnsi" w:eastAsiaTheme="majorEastAsia" w:hAnsiTheme="majorHAnsi" w:cstheme="majorBidi"/>
      <w:sz w:val="56"/>
      <w:szCs w:val="56"/>
    </w:rPr>
  </w:style>
  <w:style w:type="character" w:styleId="Hyperlink">
    <w:name w:val="Hyperlink"/>
    <w:rPr>
      <w:u w:val="single"/>
    </w:rPr>
  </w:style>
  <w:style w:type="paragraph" w:styleId="Header">
    <w:name w:val="header"/>
    <w:pPr>
      <w:tabs>
        <w:tab w:val="center" w:pos="4680"/>
        <w:tab w:val="right" w:pos="9360"/>
      </w:tabs>
    </w:pPr>
    <w:rPr>
      <w:rFonts w:ascii="Arial" w:hAnsi="Arial" w:cs="Arial Unicode MS"/>
      <w:color w:val="000000"/>
      <w:sz w:val="22"/>
      <w:szCs w:val="22"/>
      <w:u w:color="000000"/>
    </w:rPr>
  </w:style>
  <w:style w:type="paragraph" w:styleId="Footer">
    <w:name w:val="footer"/>
    <w:pPr>
      <w:tabs>
        <w:tab w:val="center" w:pos="4680"/>
        <w:tab w:val="right" w:pos="9360"/>
      </w:tabs>
    </w:pPr>
    <w:rPr>
      <w:rFonts w:ascii="Arial" w:hAnsi="Arial" w:cs="Arial Unicode MS"/>
      <w:color w:val="000000"/>
      <w:sz w:val="22"/>
      <w:szCs w:val="22"/>
      <w:u w:color="000000"/>
    </w:rPr>
  </w:style>
  <w:style w:type="paragraph" w:customStyle="1" w:styleId="Body">
    <w:name w:val="Body"/>
    <w:pPr>
      <w:spacing w:after="200"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Heading">
    <w:name w:val="Heading"/>
    <w:next w:val="Body"/>
    <w:pPr>
      <w:keepNext/>
      <w:keepLines/>
      <w:spacing w:before="480" w:line="276" w:lineRule="auto"/>
      <w:outlineLvl w:val="0"/>
    </w:pPr>
    <w:rPr>
      <w:rFonts w:ascii="Arial" w:hAnsi="Arial" w:cs="Arial Unicode MS"/>
      <w:b/>
      <w:bCs/>
      <w:color w:val="365F91"/>
      <w:sz w:val="28"/>
      <w:szCs w:val="28"/>
      <w:u w:color="365F91"/>
      <w:lang w:val="de-DE"/>
      <w14:textOutline w14:w="0" w14:cap="flat" w14:cmpd="sng" w14:algn="ctr">
        <w14:noFill/>
        <w14:prstDash w14:val="solid"/>
        <w14:bevel/>
      </w14:textOutline>
    </w:rPr>
  </w:style>
  <w:style w:type="paragraph" w:styleId="Caption">
    <w:name w:val="caption"/>
    <w:next w:val="Body"/>
    <w:pPr>
      <w:spacing w:after="200"/>
    </w:pPr>
    <w:rPr>
      <w:rFonts w:ascii="Arial" w:hAnsi="Arial" w:cs="Arial Unicode MS"/>
      <w:i/>
      <w:iCs/>
      <w:color w:val="1F497D"/>
      <w:sz w:val="18"/>
      <w:szCs w:val="18"/>
      <w:u w:color="1F497D"/>
      <w14:textOutline w14:w="0" w14:cap="flat" w14:cmpd="sng" w14:algn="ctr">
        <w14:noFill/>
        <w14:prstDash w14:val="solid"/>
        <w14:bevel/>
      </w14:textOutline>
    </w:rPr>
  </w:style>
  <w:style w:type="paragraph" w:styleId="NoSpacing">
    <w:name w:val="No Spacing"/>
    <w:rPr>
      <w:rFonts w:ascii="Arial" w:hAnsi="Arial" w:cs="Arial Unicode MS"/>
      <w:color w:val="000000"/>
      <w:sz w:val="22"/>
      <w:szCs w:val="22"/>
      <w:u w:color="000000"/>
    </w:rPr>
  </w:style>
  <w:style w:type="paragraph" w:styleId="ListParagraph">
    <w:name w:val="List Paragraph"/>
    <w:pPr>
      <w:spacing w:after="200" w:line="276" w:lineRule="auto"/>
      <w:ind w:left="720"/>
    </w:pPr>
    <w:rPr>
      <w:rFonts w:ascii="Arial" w:hAnsi="Arial" w:cs="Arial Unicode MS"/>
      <w:color w:val="000000"/>
      <w:sz w:val="22"/>
      <w:szCs w:val="22"/>
      <w:u w:color="000000"/>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numbering" w:customStyle="1" w:styleId="ImportedStyle8">
    <w:name w:val="Imported Style 8"/>
  </w:style>
  <w:style w:type="numbering" w:customStyle="1" w:styleId="ImportedStyle9">
    <w:name w:val="Imported Style 9"/>
  </w:style>
  <w:style w:type="numbering" w:customStyle="1" w:styleId="ImportedStyle10">
    <w:name w:val="Imported Style 10"/>
  </w:style>
  <w:style w:type="numbering" w:customStyle="1" w:styleId="ImportedStyle11">
    <w:name w:val="Imported Style 11"/>
  </w:style>
  <w:style w:type="numbering" w:customStyle="1" w:styleId="ImportedStyle12">
    <w:name w:val="Imported Style 12"/>
  </w:style>
  <w:style w:type="numbering" w:customStyle="1" w:styleId="ImportedStyle13">
    <w:name w:val="Imported Style 13"/>
  </w:style>
  <w:style w:type="numbering" w:customStyle="1" w:styleId="ImportedStyle14">
    <w:name w:val="Imported Style 14"/>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7CA06E64"/>
    <w:pPr>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7CA06E64"/>
    <w:pPr>
      <w:ind w:left="864" w:right="864"/>
      <w:jc w:val="center"/>
    </w:pPr>
    <w:rPr>
      <w:i/>
      <w:iCs/>
      <w:color w:val="4F81BD" w:themeColor="accent1"/>
    </w:rPr>
  </w:style>
  <w:style w:type="character" w:customStyle="1" w:styleId="Heading1Char">
    <w:name w:val="Heading 1 Char"/>
    <w:basedOn w:val="DefaultParagraphFont"/>
    <w:link w:val="Heading1"/>
    <w:uiPriority w:val="9"/>
    <w:rsid w:val="7CA06E64"/>
    <w:rPr>
      <w:rFonts w:asciiTheme="majorHAnsi" w:eastAsiaTheme="majorEastAsia" w:hAnsiTheme="majorHAnsi" w:cstheme="majorBidi"/>
      <w:noProof w:val="0"/>
      <w:color w:val="365F91" w:themeColor="accent1" w:themeShade="BF"/>
      <w:sz w:val="32"/>
      <w:szCs w:val="32"/>
      <w:lang w:val="en-US"/>
    </w:rPr>
  </w:style>
  <w:style w:type="character" w:customStyle="1" w:styleId="Heading2Char">
    <w:name w:val="Heading 2 Char"/>
    <w:basedOn w:val="DefaultParagraphFont"/>
    <w:link w:val="Heading2"/>
    <w:uiPriority w:val="9"/>
    <w:rsid w:val="7CA06E64"/>
    <w:rPr>
      <w:rFonts w:asciiTheme="majorHAnsi" w:eastAsiaTheme="majorEastAsia" w:hAnsiTheme="majorHAnsi" w:cstheme="majorBidi"/>
      <w:noProof w:val="0"/>
      <w:color w:val="365F91" w:themeColor="accent1" w:themeShade="BF"/>
      <w:sz w:val="26"/>
      <w:szCs w:val="26"/>
      <w:lang w:val="en-US"/>
    </w:rPr>
  </w:style>
  <w:style w:type="character" w:customStyle="1" w:styleId="Heading3Char">
    <w:name w:val="Heading 3 Char"/>
    <w:basedOn w:val="DefaultParagraphFont"/>
    <w:link w:val="Heading3"/>
    <w:uiPriority w:val="9"/>
    <w:rsid w:val="7CA06E64"/>
    <w:rPr>
      <w:rFonts w:asciiTheme="majorHAnsi" w:eastAsiaTheme="majorEastAsia" w:hAnsiTheme="majorHAnsi" w:cstheme="majorBidi"/>
      <w:noProof w:val="0"/>
      <w:color w:val="243F60"/>
      <w:sz w:val="24"/>
      <w:szCs w:val="24"/>
      <w:lang w:val="en-US"/>
    </w:rPr>
  </w:style>
  <w:style w:type="character" w:customStyle="1" w:styleId="Heading4Char">
    <w:name w:val="Heading 4 Char"/>
    <w:basedOn w:val="DefaultParagraphFont"/>
    <w:link w:val="Heading4"/>
    <w:uiPriority w:val="9"/>
    <w:rsid w:val="7CA06E64"/>
    <w:rPr>
      <w:rFonts w:asciiTheme="majorHAnsi" w:eastAsiaTheme="majorEastAsia" w:hAnsiTheme="majorHAnsi" w:cstheme="majorBidi"/>
      <w:i/>
      <w:iCs/>
      <w:noProof w:val="0"/>
      <w:color w:val="365F91" w:themeColor="accent1" w:themeShade="BF"/>
      <w:lang w:val="en-US"/>
    </w:rPr>
  </w:style>
  <w:style w:type="character" w:customStyle="1" w:styleId="Heading5Char">
    <w:name w:val="Heading 5 Char"/>
    <w:basedOn w:val="DefaultParagraphFont"/>
    <w:link w:val="Heading5"/>
    <w:uiPriority w:val="9"/>
    <w:rsid w:val="7CA06E64"/>
    <w:rPr>
      <w:rFonts w:asciiTheme="majorHAnsi" w:eastAsiaTheme="majorEastAsia" w:hAnsiTheme="majorHAnsi" w:cstheme="majorBidi"/>
      <w:noProof w:val="0"/>
      <w:color w:val="365F91" w:themeColor="accent1" w:themeShade="BF"/>
      <w:lang w:val="en-US"/>
    </w:rPr>
  </w:style>
  <w:style w:type="character" w:customStyle="1" w:styleId="Heading7Char">
    <w:name w:val="Heading 7 Char"/>
    <w:basedOn w:val="DefaultParagraphFont"/>
    <w:link w:val="Heading7"/>
    <w:uiPriority w:val="9"/>
    <w:rsid w:val="7CA06E64"/>
    <w:rPr>
      <w:rFonts w:asciiTheme="majorHAnsi" w:eastAsiaTheme="majorEastAsia" w:hAnsiTheme="majorHAnsi" w:cstheme="majorBidi"/>
      <w:i/>
      <w:iCs/>
      <w:noProof w:val="0"/>
      <w:color w:val="243F60"/>
      <w:lang w:val="en-US"/>
    </w:rPr>
  </w:style>
  <w:style w:type="character" w:customStyle="1" w:styleId="Heading8Char">
    <w:name w:val="Heading 8 Char"/>
    <w:basedOn w:val="DefaultParagraphFont"/>
    <w:link w:val="Heading8"/>
    <w:uiPriority w:val="9"/>
    <w:rsid w:val="7CA06E64"/>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7CA06E64"/>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7CA06E64"/>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7CA06E64"/>
    <w:rPr>
      <w:rFonts w:ascii="Times New Roman" w:eastAsiaTheme="minorEastAsia" w:hAnsi="Times New Roman" w:cs="Times New Roman"/>
      <w:noProof w:val="0"/>
      <w:color w:val="5A5A5A"/>
      <w:lang w:val="en-US"/>
    </w:rPr>
  </w:style>
  <w:style w:type="character" w:customStyle="1" w:styleId="QuoteChar">
    <w:name w:val="Quote Char"/>
    <w:basedOn w:val="DefaultParagraphFont"/>
    <w:link w:val="Quote"/>
    <w:uiPriority w:val="29"/>
    <w:rsid w:val="7CA06E64"/>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7CA06E64"/>
    <w:rPr>
      <w:i/>
      <w:iCs/>
      <w:noProof w:val="0"/>
      <w:color w:val="4F81BD" w:themeColor="accent1"/>
      <w:lang w:val="en-US"/>
    </w:rPr>
  </w:style>
  <w:style w:type="paragraph" w:styleId="TOC1">
    <w:name w:val="toc 1"/>
    <w:basedOn w:val="Normal"/>
    <w:next w:val="Normal"/>
    <w:uiPriority w:val="39"/>
    <w:unhideWhenUsed/>
    <w:rsid w:val="7CA06E64"/>
  </w:style>
  <w:style w:type="paragraph" w:styleId="TOC2">
    <w:name w:val="toc 2"/>
    <w:basedOn w:val="Normal"/>
    <w:next w:val="Normal"/>
    <w:uiPriority w:val="39"/>
    <w:unhideWhenUsed/>
    <w:rsid w:val="7CA06E64"/>
    <w:pPr>
      <w:ind w:left="220"/>
    </w:pPr>
  </w:style>
  <w:style w:type="paragraph" w:styleId="TOC3">
    <w:name w:val="toc 3"/>
    <w:basedOn w:val="Normal"/>
    <w:next w:val="Normal"/>
    <w:uiPriority w:val="39"/>
    <w:unhideWhenUsed/>
    <w:rsid w:val="7CA06E64"/>
    <w:pPr>
      <w:ind w:left="440"/>
    </w:pPr>
  </w:style>
  <w:style w:type="paragraph" w:styleId="TOC4">
    <w:name w:val="toc 4"/>
    <w:basedOn w:val="Normal"/>
    <w:next w:val="Normal"/>
    <w:uiPriority w:val="39"/>
    <w:unhideWhenUsed/>
    <w:rsid w:val="7CA06E64"/>
    <w:pPr>
      <w:ind w:left="660"/>
    </w:pPr>
  </w:style>
  <w:style w:type="paragraph" w:styleId="TOC5">
    <w:name w:val="toc 5"/>
    <w:basedOn w:val="Normal"/>
    <w:next w:val="Normal"/>
    <w:uiPriority w:val="39"/>
    <w:unhideWhenUsed/>
    <w:rsid w:val="7CA06E64"/>
    <w:pPr>
      <w:ind w:left="880"/>
    </w:pPr>
  </w:style>
  <w:style w:type="paragraph" w:styleId="TOC6">
    <w:name w:val="toc 6"/>
    <w:basedOn w:val="Normal"/>
    <w:next w:val="Normal"/>
    <w:uiPriority w:val="39"/>
    <w:unhideWhenUsed/>
    <w:rsid w:val="7CA06E64"/>
    <w:pPr>
      <w:ind w:left="1100"/>
    </w:pPr>
  </w:style>
  <w:style w:type="paragraph" w:styleId="TOC7">
    <w:name w:val="toc 7"/>
    <w:basedOn w:val="Normal"/>
    <w:next w:val="Normal"/>
    <w:uiPriority w:val="39"/>
    <w:unhideWhenUsed/>
    <w:rsid w:val="7CA06E64"/>
    <w:pPr>
      <w:ind w:left="1320"/>
    </w:pPr>
  </w:style>
  <w:style w:type="paragraph" w:styleId="TOC8">
    <w:name w:val="toc 8"/>
    <w:basedOn w:val="Normal"/>
    <w:next w:val="Normal"/>
    <w:uiPriority w:val="39"/>
    <w:unhideWhenUsed/>
    <w:rsid w:val="7CA06E64"/>
    <w:pPr>
      <w:ind w:left="1540"/>
    </w:pPr>
  </w:style>
  <w:style w:type="paragraph" w:styleId="TOC9">
    <w:name w:val="toc 9"/>
    <w:basedOn w:val="Normal"/>
    <w:next w:val="Normal"/>
    <w:uiPriority w:val="39"/>
    <w:unhideWhenUsed/>
    <w:rsid w:val="7CA06E64"/>
    <w:pPr>
      <w:ind w:left="1760"/>
    </w:pPr>
  </w:style>
  <w:style w:type="paragraph" w:styleId="EndnoteText">
    <w:name w:val="endnote text"/>
    <w:basedOn w:val="Normal"/>
    <w:link w:val="EndnoteTextChar"/>
    <w:uiPriority w:val="99"/>
    <w:semiHidden/>
    <w:unhideWhenUsed/>
    <w:rsid w:val="7CA06E64"/>
    <w:rPr>
      <w:sz w:val="20"/>
      <w:szCs w:val="20"/>
    </w:rPr>
  </w:style>
  <w:style w:type="character" w:customStyle="1" w:styleId="EndnoteTextChar">
    <w:name w:val="Endnote Text Char"/>
    <w:basedOn w:val="DefaultParagraphFont"/>
    <w:link w:val="EndnoteText"/>
    <w:uiPriority w:val="99"/>
    <w:semiHidden/>
    <w:rsid w:val="7CA06E64"/>
    <w:rPr>
      <w:noProof w:val="0"/>
      <w:sz w:val="20"/>
      <w:szCs w:val="20"/>
      <w:lang w:val="en-US"/>
    </w:rPr>
  </w:style>
  <w:style w:type="paragraph" w:styleId="FootnoteText">
    <w:name w:val="footnote text"/>
    <w:basedOn w:val="Normal"/>
    <w:link w:val="FootnoteTextChar"/>
    <w:uiPriority w:val="99"/>
    <w:semiHidden/>
    <w:unhideWhenUsed/>
    <w:rsid w:val="7CA06E64"/>
    <w:rPr>
      <w:sz w:val="20"/>
      <w:szCs w:val="20"/>
    </w:rPr>
  </w:style>
  <w:style w:type="character" w:customStyle="1" w:styleId="FootnoteTextChar">
    <w:name w:val="Footnote Text Char"/>
    <w:basedOn w:val="DefaultParagraphFont"/>
    <w:link w:val="FootnoteText"/>
    <w:uiPriority w:val="99"/>
    <w:semiHidden/>
    <w:rsid w:val="7CA06E64"/>
    <w:rPr>
      <w:noProof w:val="0"/>
      <w:sz w:val="20"/>
      <w:szCs w:val="20"/>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92397"/>
    <w:rPr>
      <w:sz w:val="18"/>
      <w:szCs w:val="18"/>
    </w:rPr>
  </w:style>
  <w:style w:type="character" w:customStyle="1" w:styleId="BalloonTextChar">
    <w:name w:val="Balloon Text Char"/>
    <w:basedOn w:val="DefaultParagraphFont"/>
    <w:link w:val="BalloonText"/>
    <w:uiPriority w:val="99"/>
    <w:semiHidden/>
    <w:rsid w:val="00B92397"/>
    <w:rPr>
      <w:sz w:val="18"/>
      <w:szCs w:val="18"/>
    </w:rPr>
  </w:style>
  <w:style w:type="paragraph" w:styleId="CommentSubject">
    <w:name w:val="annotation subject"/>
    <w:basedOn w:val="CommentText"/>
    <w:next w:val="CommentText"/>
    <w:link w:val="CommentSubjectChar"/>
    <w:uiPriority w:val="99"/>
    <w:semiHidden/>
    <w:unhideWhenUsed/>
    <w:rsid w:val="00B92397"/>
    <w:rPr>
      <w:b/>
      <w:bCs/>
    </w:rPr>
  </w:style>
  <w:style w:type="character" w:customStyle="1" w:styleId="CommentSubjectChar">
    <w:name w:val="Comment Subject Char"/>
    <w:basedOn w:val="CommentTextChar"/>
    <w:link w:val="CommentSubject"/>
    <w:uiPriority w:val="99"/>
    <w:semiHidden/>
    <w:rsid w:val="00B92397"/>
    <w:rPr>
      <w:b/>
      <w:bCs/>
    </w:rPr>
  </w:style>
  <w:style w:type="character" w:styleId="FollowedHyperlink">
    <w:name w:val="FollowedHyperlink"/>
    <w:basedOn w:val="DefaultParagraphFont"/>
    <w:uiPriority w:val="99"/>
    <w:semiHidden/>
    <w:unhideWhenUsed/>
    <w:rsid w:val="00564A6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doi.org/10.1038/s43247-021-00178-8" TargetMode="External"/><Relationship Id="rId39" Type="http://schemas.openxmlformats.org/officeDocument/2006/relationships/header" Target="header2.xml"/><Relationship Id="rId21" Type="http://schemas.openxmlformats.org/officeDocument/2006/relationships/hyperlink" Target="https://doi.org/10.1016/j.jmarsys.2022.103737" TargetMode="External"/><Relationship Id="rId34" Type="http://schemas.openxmlformats.org/officeDocument/2006/relationships/hyperlink" Target="https://habhub.whoi.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hal.2019.101656" TargetMode="External"/><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about:blank" TargetMode="External"/><Relationship Id="rId32" Type="http://schemas.openxmlformats.org/officeDocument/2006/relationships/hyperlink" Target="https://doi.org/10.1002/lno.11892"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about:blank" TargetMode="External"/><Relationship Id="rId28" Type="http://schemas.openxmlformats.org/officeDocument/2006/relationships/hyperlink" Target="https://doi.org/10.1016/j.rse.2014.01.019" TargetMode="External"/><Relationship Id="rId36" Type="http://schemas.openxmlformats.org/officeDocument/2006/relationships/hyperlink" Target="https://doi.org/10.1080/01431160902882512" TargetMode="External"/><Relationship Id="rId10" Type="http://schemas.openxmlformats.org/officeDocument/2006/relationships/image" Target="media/image3.png"/><Relationship Id="rId19" Type="http://schemas.openxmlformats.org/officeDocument/2006/relationships/hyperlink" Target="https://doi.org/10.5670/oceanog.2006.72" TargetMode="External"/><Relationship Id="rId31" Type="http://schemas.openxmlformats.org/officeDocument/2006/relationships/hyperlink" Target="https://doi.org/10.1016/j.rse.2018.08.0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about:blank" TargetMode="External"/><Relationship Id="rId27" Type="http://schemas.openxmlformats.org/officeDocument/2006/relationships/hyperlink" Target="https://doi.org/10.1117/1.JRS.11.012003" TargetMode="External"/><Relationship Id="rId30" Type="http://schemas.openxmlformats.org/officeDocument/2006/relationships/hyperlink" Target="https://oceancolor.gsfc.nasa.gov/data/10.5067/AQUA/MODIS/L2/OC/2022" TargetMode="External"/><Relationship Id="rId35" Type="http://schemas.openxmlformats.org/officeDocument/2006/relationships/hyperlink" Target="https://habon-ifcb.whoi.edu/dashboard"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about:blank" TargetMode="External"/><Relationship Id="rId33" Type="http://schemas.openxmlformats.org/officeDocument/2006/relationships/hyperlink" Target="https://doi.org/10.3390/s120607778"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9XwWtOk/Dr17c6omW2c4QDjPNQ==">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4455</Words>
  <Characters>25398</Characters>
  <Application>Microsoft Office Word</Application>
  <DocSecurity>0</DocSecurity>
  <Lines>211</Lines>
  <Paragraphs>59</Paragraphs>
  <ScaleCrop>false</ScaleCrop>
  <Company/>
  <LinksUpToDate>false</LinksUpToDate>
  <CharactersWithSpaces>29794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Plott, Laramie D. (LARC-E3)[SSAI DEVELOP]</cp:lastModifiedBy>
  <cp:revision>2</cp:revision>
  <dcterms:created xsi:type="dcterms:W3CDTF">2023-04-06T20:37:00Z</dcterms:created>
  <dcterms:modified xsi:type="dcterms:W3CDTF">2023-04-26T19:09:00Z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0x010100EF4CCD0343698549B98E059D25E82EB4</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11300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