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DD0D2D" w14:textId="1B7AE8EB" w:rsidR="00114E42" w:rsidRPr="00B11B1C" w:rsidRDefault="00530DD3" w:rsidP="00B11B1C">
      <w:pPr>
        <w:pStyle w:val="Title"/>
      </w:pPr>
      <w:r w:rsidRPr="00B11B1C">
        <w:t>Effects of Debulking on the Fiber microstructure and void distribution in carbon fiber reinforced plastics</w:t>
      </w:r>
    </w:p>
    <w:p w14:paraId="6406BCF3" w14:textId="77777777" w:rsidR="00B831FD" w:rsidRPr="00B11B1C" w:rsidRDefault="00B831FD" w:rsidP="00B831FD">
      <w:pPr>
        <w:jc w:val="center"/>
      </w:pPr>
      <w:r w:rsidRPr="00B11B1C">
        <w:t>Mathew Schey</w:t>
      </w:r>
      <w:r w:rsidRPr="00B11B1C">
        <w:rPr>
          <w:vertAlign w:val="superscript"/>
        </w:rPr>
        <w:t>1,</w:t>
      </w:r>
      <w:r w:rsidRPr="00B11B1C">
        <w:rPr>
          <w:rStyle w:val="FootnoteReference"/>
        </w:rPr>
        <w:footnoteReference w:customMarkFollows="1" w:id="1"/>
        <w:t>*</w:t>
      </w:r>
      <w:r w:rsidRPr="00B11B1C">
        <w:rPr>
          <w:szCs w:val="20"/>
        </w:rPr>
        <w:t xml:space="preserve">, </w:t>
      </w:r>
      <w:r w:rsidRPr="00B11B1C">
        <w:t>Tibor Beke</w:t>
      </w:r>
      <w:r w:rsidRPr="00B11B1C">
        <w:rPr>
          <w:vertAlign w:val="superscript"/>
        </w:rPr>
        <w:t>1</w:t>
      </w:r>
      <w:r w:rsidRPr="00B11B1C">
        <w:rPr>
          <w:szCs w:val="20"/>
        </w:rPr>
        <w:t>, Kyle Owens</w:t>
      </w:r>
      <w:r w:rsidRPr="00B11B1C">
        <w:rPr>
          <w:vertAlign w:val="superscript"/>
        </w:rPr>
        <w:t xml:space="preserve"> 2</w:t>
      </w:r>
      <w:r w:rsidRPr="00B11B1C">
        <w:rPr>
          <w:szCs w:val="20"/>
        </w:rPr>
        <w:t xml:space="preserve">, </w:t>
      </w:r>
      <w:r w:rsidRPr="00B11B1C">
        <w:t>Andy George</w:t>
      </w:r>
      <w:r w:rsidRPr="00B11B1C">
        <w:rPr>
          <w:vertAlign w:val="superscript"/>
        </w:rPr>
        <w:t>2</w:t>
      </w:r>
      <w:r w:rsidRPr="00B11B1C">
        <w:rPr>
          <w:szCs w:val="20"/>
        </w:rPr>
        <w:t>,</w:t>
      </w:r>
      <w:r w:rsidRPr="00B11B1C">
        <w:t xml:space="preserve"> Evan Pineda</w:t>
      </w:r>
      <w:r w:rsidRPr="00B11B1C">
        <w:rPr>
          <w:vertAlign w:val="superscript"/>
        </w:rPr>
        <w:t>3</w:t>
      </w:r>
      <w:r w:rsidRPr="00B11B1C">
        <w:rPr>
          <w:szCs w:val="20"/>
        </w:rPr>
        <w:t xml:space="preserve">, </w:t>
      </w:r>
      <w:r w:rsidRPr="00B11B1C">
        <w:t>and Scott Stapleton</w:t>
      </w:r>
      <w:r w:rsidRPr="00B11B1C">
        <w:rPr>
          <w:vertAlign w:val="superscript"/>
        </w:rPr>
        <w:t>1</w:t>
      </w:r>
      <w:r w:rsidRPr="00B11B1C">
        <w:rPr>
          <w:szCs w:val="20"/>
        </w:rPr>
        <w:t xml:space="preserve"> </w:t>
      </w:r>
    </w:p>
    <w:p w14:paraId="718BA159" w14:textId="77777777" w:rsidR="00B831FD" w:rsidRPr="00B11B1C" w:rsidRDefault="00B831FD" w:rsidP="00B831FD"/>
    <w:p w14:paraId="14B9C2D4" w14:textId="6437C6A4" w:rsidR="00B831FD" w:rsidRPr="00B11B1C" w:rsidRDefault="00B831FD" w:rsidP="00B831FD">
      <w:pPr>
        <w:jc w:val="left"/>
        <w:rPr>
          <w:rStyle w:val="Hyperlink"/>
          <w:sz w:val="20"/>
          <w:szCs w:val="20"/>
        </w:rPr>
      </w:pPr>
      <w:r w:rsidRPr="00B11B1C">
        <w:rPr>
          <w:sz w:val="20"/>
          <w:szCs w:val="20"/>
          <w:vertAlign w:val="superscript"/>
        </w:rPr>
        <w:t>1</w:t>
      </w:r>
      <w:r w:rsidRPr="00B11B1C">
        <w:rPr>
          <w:sz w:val="20"/>
          <w:szCs w:val="20"/>
        </w:rPr>
        <w:t xml:space="preserve">Universtiy of Massachusetts Lowell, Lowell, MA, 01854, USA, Emails: </w:t>
      </w:r>
      <w:hyperlink r:id="rId11" w:history="1">
        <w:r w:rsidRPr="00B11B1C">
          <w:rPr>
            <w:rStyle w:val="Hyperlink"/>
            <w:sz w:val="20"/>
            <w:szCs w:val="20"/>
          </w:rPr>
          <w:t>Mathew_Schey@student.uml.edu</w:t>
        </w:r>
      </w:hyperlink>
      <w:r w:rsidRPr="00B11B1C">
        <w:rPr>
          <w:sz w:val="20"/>
          <w:szCs w:val="20"/>
        </w:rPr>
        <w:t xml:space="preserve">, </w:t>
      </w:r>
      <w:hyperlink r:id="rId12" w:history="1">
        <w:r w:rsidRPr="00B11B1C">
          <w:rPr>
            <w:rStyle w:val="Hyperlink"/>
            <w:sz w:val="20"/>
            <w:szCs w:val="20"/>
          </w:rPr>
          <w:t>Tibor_Beke@uml.edu</w:t>
        </w:r>
      </w:hyperlink>
      <w:r w:rsidRPr="00B11B1C">
        <w:rPr>
          <w:sz w:val="20"/>
          <w:szCs w:val="20"/>
        </w:rPr>
        <w:t xml:space="preserve">, and </w:t>
      </w:r>
      <w:hyperlink r:id="rId13">
        <w:r w:rsidRPr="00B11B1C">
          <w:rPr>
            <w:rStyle w:val="Hyperlink"/>
            <w:sz w:val="20"/>
            <w:szCs w:val="20"/>
          </w:rPr>
          <w:t>Scott_Stapleton@uml.edu</w:t>
        </w:r>
      </w:hyperlink>
    </w:p>
    <w:p w14:paraId="3573FD48" w14:textId="4ACC7664" w:rsidR="00B831FD" w:rsidRPr="00B11B1C" w:rsidRDefault="00B831FD" w:rsidP="00B831FD">
      <w:pPr>
        <w:jc w:val="left"/>
        <w:rPr>
          <w:sz w:val="20"/>
        </w:rPr>
      </w:pPr>
      <w:r w:rsidRPr="00B11B1C">
        <w:rPr>
          <w:sz w:val="20"/>
          <w:vertAlign w:val="superscript"/>
        </w:rPr>
        <w:t>2</w:t>
      </w:r>
      <w:r w:rsidRPr="00B11B1C">
        <w:rPr>
          <w:sz w:val="20"/>
        </w:rPr>
        <w:t xml:space="preserve">Brigham Young University, Provo, UT, 84602, Email: </w:t>
      </w:r>
      <w:hyperlink r:id="rId14" w:history="1">
        <w:r w:rsidRPr="00B11B1C">
          <w:rPr>
            <w:rStyle w:val="Hyperlink"/>
            <w:sz w:val="20"/>
          </w:rPr>
          <w:t>Andy_George@byu.edu</w:t>
        </w:r>
      </w:hyperlink>
      <w:r w:rsidRPr="00B11B1C">
        <w:rPr>
          <w:sz w:val="20"/>
        </w:rPr>
        <w:t xml:space="preserve">  </w:t>
      </w:r>
    </w:p>
    <w:p w14:paraId="3DC88AD3" w14:textId="20E6BAFD" w:rsidR="00B831FD" w:rsidRPr="00B11B1C" w:rsidRDefault="00B831FD" w:rsidP="00B831FD">
      <w:pPr>
        <w:jc w:val="left"/>
        <w:rPr>
          <w:sz w:val="20"/>
        </w:rPr>
      </w:pPr>
      <w:r w:rsidRPr="00B11B1C">
        <w:rPr>
          <w:sz w:val="20"/>
        </w:rPr>
        <w:t xml:space="preserve">NASA Glenn Research Center, Cleveland, OH, 44135, Email: </w:t>
      </w:r>
      <w:hyperlink r:id="rId15" w:history="1">
        <w:r w:rsidRPr="00B11B1C">
          <w:rPr>
            <w:rStyle w:val="Hyperlink"/>
            <w:sz w:val="20"/>
          </w:rPr>
          <w:t>Evan.j.pineda@nasa.gov</w:t>
        </w:r>
      </w:hyperlink>
      <w:r w:rsidRPr="00B11B1C">
        <w:rPr>
          <w:sz w:val="20"/>
        </w:rPr>
        <w:t xml:space="preserve"> </w:t>
      </w:r>
    </w:p>
    <w:p w14:paraId="505EE0A6" w14:textId="77777777" w:rsidR="001E7671" w:rsidRPr="00B11B1C" w:rsidRDefault="72E09976" w:rsidP="00B831FD">
      <w:pPr>
        <w:pStyle w:val="Heading1"/>
      </w:pPr>
      <w:r w:rsidRPr="00B11B1C">
        <w:t>ABSTRACT</w:t>
      </w:r>
    </w:p>
    <w:p w14:paraId="1EBA735D" w14:textId="3D23C196" w:rsidR="00114E42" w:rsidRPr="00B11B1C" w:rsidRDefault="00D91C87" w:rsidP="009F4EB3">
      <w:pPr>
        <w:rPr>
          <w:szCs w:val="22"/>
        </w:rPr>
      </w:pPr>
      <w:r w:rsidRPr="00B11B1C">
        <w:t>Carbon Fiber Reinforced Plastics (</w:t>
      </w:r>
      <w:r w:rsidR="00CD0D06" w:rsidRPr="00B11B1C">
        <w:t>CFRP</w:t>
      </w:r>
      <w:r w:rsidR="00204F33" w:rsidRPr="00B11B1C">
        <w:t>s</w:t>
      </w:r>
      <w:r w:rsidRPr="00B11B1C">
        <w:t>) are widely used due to their high stiffness to weight ratios. A common process manufacturers use to increase the strength to weight ratio is debulking. Debulking is the process of compacting a dry fibrous reinforcement prior to resin infusion</w:t>
      </w:r>
      <w:r w:rsidR="008F668A" w:rsidRPr="00B11B1C">
        <w:t>. This process is meant to decrease the average inter-fiber distance,</w:t>
      </w:r>
      <w:r w:rsidRPr="00B11B1C">
        <w:t xml:space="preserve"> effectively increasing the fiber volume fraction of the sample. While this process is widely understood macroscopically its effects on fibrous microstructures have not yet been well characterized. The aim of this work is to compare the microstructures of three </w:t>
      </w:r>
      <w:r w:rsidR="00CD0D06" w:rsidRPr="00B11B1C">
        <w:t>CFRP</w:t>
      </w:r>
      <w:r w:rsidRPr="00B11B1C">
        <w:t xml:space="preserve"> laminates, varying only the debulking step in the manufacturing process.  High resolution serial sections of all three laminates were taken</w:t>
      </w:r>
      <w:r w:rsidR="009D528E" w:rsidRPr="00B11B1C">
        <w:t xml:space="preserve"> for analysis. </w:t>
      </w:r>
      <w:r w:rsidRPr="00B11B1C">
        <w:t xml:space="preserve">Using these scans, the fiber positions were reconstructed. Statistical descriptors such as local fiber and void volume fractions, fiber orientation, and void distribution and morphology were then generated for each sample. </w:t>
      </w:r>
      <w:r w:rsidR="00530DD3" w:rsidRPr="00B11B1C">
        <w:t xml:space="preserve"> </w:t>
      </w:r>
      <w:r w:rsidR="00E027D5" w:rsidRPr="00B11B1C">
        <w:t>F</w:t>
      </w:r>
      <w:r w:rsidR="00530DD3" w:rsidRPr="00B11B1C">
        <w:t>iber clusters present within the material were identified and analyzed for each level of debulking applied.</w:t>
      </w:r>
      <w:r w:rsidR="00784E43" w:rsidRPr="00B11B1C">
        <w:t xml:space="preserve"> </w:t>
      </w:r>
      <w:r w:rsidRPr="00B11B1C">
        <w:t>Using these descriptors, the effects of debulking on the</w:t>
      </w:r>
      <w:r w:rsidR="008F668A" w:rsidRPr="00B11B1C">
        <w:t xml:space="preserve"> morphology and organization of the</w:t>
      </w:r>
      <w:r w:rsidRPr="00B11B1C">
        <w:t xml:space="preserve"> composite microstructure was evaluated. </w:t>
      </w:r>
    </w:p>
    <w:p w14:paraId="5B071239" w14:textId="27D83AFF" w:rsidR="00114E42" w:rsidRPr="00B11B1C" w:rsidRDefault="05C82F7B" w:rsidP="009F4EB3">
      <w:r w:rsidRPr="00B11B1C">
        <w:rPr>
          <w:b/>
          <w:bCs/>
        </w:rPr>
        <w:t>KEY WORDS</w:t>
      </w:r>
      <w:r w:rsidRPr="00B11B1C">
        <w:t xml:space="preserve">: </w:t>
      </w:r>
      <w:r w:rsidR="00D91C87" w:rsidRPr="00B11B1C">
        <w:t>carbon fiber, serial section, voids, clusters, textiles, debulking</w:t>
      </w:r>
    </w:p>
    <w:p w14:paraId="75051C5F" w14:textId="35854925" w:rsidR="001E7671" w:rsidRPr="00B11B1C" w:rsidRDefault="72E09976" w:rsidP="00B831FD">
      <w:pPr>
        <w:pStyle w:val="Heading1"/>
      </w:pPr>
      <w:r w:rsidRPr="00B11B1C">
        <w:t>INTRODUCTION</w:t>
      </w:r>
    </w:p>
    <w:p w14:paraId="0B16CE75" w14:textId="036F6FDA" w:rsidR="00D91C87" w:rsidRPr="00B11B1C" w:rsidRDefault="00D91C87" w:rsidP="00D91C87">
      <w:r w:rsidRPr="00B11B1C">
        <w:t>Carbon Fiber Reinforced Plastics (</w:t>
      </w:r>
      <w:r w:rsidR="00CD0D06" w:rsidRPr="00B11B1C">
        <w:t>CFRP</w:t>
      </w:r>
      <w:r w:rsidRPr="00B11B1C">
        <w:t xml:space="preserve">s) are widely used as a high-performance material due to their high strength to weight ratios. Traditionally, such </w:t>
      </w:r>
      <w:r w:rsidR="00CD0D06" w:rsidRPr="00B11B1C">
        <w:t>CFRP</w:t>
      </w:r>
      <w:r w:rsidR="00310344" w:rsidRPr="00B11B1C">
        <w:t>s</w:t>
      </w:r>
      <w:r w:rsidRPr="00B11B1C">
        <w:t xml:space="preserve"> are manufactured with a carbon fiber textile reinforcement, pre-impregnated with matrix resin (i.e., “prepreg”). To reduce costs, the industry has been moving towards molding with dry reinforcements using a family of processes known as Liquid Composite Molding (LCM). Compared to prepreg materials, working with dry reinforcements incurs fewer material costs, less material waste from both trim and expiration, less freezer storage energy, and more flexibility with complex part geometries. In LCM, the dry reinforcement is laid on the tool, and the fibers are subsequently wet</w:t>
      </w:r>
      <w:r w:rsidR="00310344" w:rsidRPr="00B11B1C">
        <w:t>-</w:t>
      </w:r>
      <w:r w:rsidRPr="00B11B1C">
        <w:t xml:space="preserve">out with the resin, either by over-pressure in Resin Transfer Molding (RTM) or vacuum draw in Vacuum Infusion (VI). VI is more cost effective for larger parts as the mold consists of one-sided tooling, only rigid enough to support vacuum pressure, and a vacuum bag covering the other side of the reinforcement </w:t>
      </w:r>
      <w:r w:rsidRPr="00B11B1C">
        <w:fldChar w:fldCharType="begin"/>
      </w:r>
      <w:r w:rsidR="00A739B7" w:rsidRPr="00B11B1C">
        <w:instrText xml:space="preserve"> ADDIN ZOTERO_ITEM CSL_CITATION {"citationID":"7OYp0a6p","properties":{"formattedCitation":"[1]","plainCitation":"[1]","noteIndex":0},"citationItems":[{"id":218,"uris":["http://zotero.org/users/6222105/items/IAUA6ZJY"],"itemData":{"id":218,"type":"article-journal","abstract":"Increasing legislation to limit styrene emissions (mainly from polyester resin systems) into the work place has been the key factor in promoting new technology in the manufacture of fibre reinforced plastics composites. Styrene emissions can be reduced by the development of: resin systems with low styrene emission; improved ventilation and air filtering systems; closed moulding techniques. It is the final area on which this paper concentrates. RIFT is a variant of vacuum-driven RTM in which one of the solid tool faces is replaced by a flexible polymeric film. The process is known by several acronyms—in this paper it is referred to as RIFT (Resin Infusion under Flexible Tooling). Potentially a very clean and economical composites manufacturing method, the process draws resin into a dry reinforcement on an evacuated vacuum bagged tool using only the partial vacuum to drive the resin. It reduces worker contact with liquid resin whilst increasing component mechanical properties and fibre content by reducing voidage compared to hand lay-up. For higher performance composites, RIFT offers the potential for reduced tooling costs where matched tooling (RTM or compression moulding) is currently used. This paper reviews the progress of RIFT from its first development as the Marco method in 1950 to the Seemann Composites Resin Infusion Manufacture Process (SCRIMP) today. Development of the process has been slow (compared to RTM) and generally lacking in scientific rigour. Current research is reviewed and the potential for scientific development is discussed.","container-title":"Composites Part A: Applied Science and Manufacturing","DOI":"10.1016/1359-835X(96)00008-5","ISSN":"1359-835X","issue":"7","journalAbbreviation":"Composites Part A: Applied Science and Manufacturing","language":"en","page":"517-524","source":"ScienceDirect","title":"Resin Infusion under Flexible Tooling (RIFT): a review","title-short":"Resin Infusion under Flexible Tooling (RIFT)","volume":"27","author":[{"family":"Williams","given":"Christopher"},{"family":"Summerscales","given":"John"},{"family":"Grove","given":"Stephen"}],"issued":{"date-parts":[["1996",1,1]]}}}],"schema":"https://github.com/citation-style-language/schema/raw/master/csl-citation.json"} </w:instrText>
      </w:r>
      <w:r w:rsidRPr="00B11B1C">
        <w:fldChar w:fldCharType="separate"/>
      </w:r>
      <w:r w:rsidRPr="00B11B1C">
        <w:t>[1]</w:t>
      </w:r>
      <w:r w:rsidRPr="00B11B1C">
        <w:fldChar w:fldCharType="end"/>
      </w:r>
      <w:r w:rsidRPr="00B11B1C">
        <w:t xml:space="preserve">. </w:t>
      </w:r>
    </w:p>
    <w:p w14:paraId="04FB2085" w14:textId="1AD0017A" w:rsidR="00D91C87" w:rsidRPr="00B11B1C" w:rsidRDefault="00D91C87" w:rsidP="00D91C87">
      <w:r w:rsidRPr="00B11B1C">
        <w:t>Due to the use of a flexible vacuum bag, the driving force for the resin</w:t>
      </w:r>
      <w:r w:rsidR="00CD0D06" w:rsidRPr="00B11B1C">
        <w:t xml:space="preserve"> infusion </w:t>
      </w:r>
      <w:r w:rsidRPr="00B11B1C">
        <w:t xml:space="preserve">of the fibers in VI is limited to vacuum pressure only, whereas wet-out in RTM may be performed at whatever pressure the equipment is capable of. The ability to consolidate the </w:t>
      </w:r>
      <w:r w:rsidR="00CD0D06" w:rsidRPr="00B11B1C">
        <w:t>CFRP</w:t>
      </w:r>
      <w:r w:rsidRPr="00B11B1C">
        <w:t xml:space="preserve"> is limited as vacuum pressure by itself </w:t>
      </w:r>
      <w:r w:rsidR="3D94638F" w:rsidRPr="00B11B1C">
        <w:t xml:space="preserve">will result in </w:t>
      </w:r>
      <w:r w:rsidR="665AA314" w:rsidRPr="00B11B1C">
        <w:t xml:space="preserve">a higher porosity and thus </w:t>
      </w:r>
      <w:r w:rsidR="3D94638F" w:rsidRPr="00B11B1C">
        <w:t>more</w:t>
      </w:r>
      <w:r w:rsidR="6D45E9B8" w:rsidRPr="00B11B1C">
        <w:t xml:space="preserve"> </w:t>
      </w:r>
      <w:r w:rsidRPr="00B11B1C">
        <w:t>resin</w:t>
      </w:r>
      <w:r w:rsidR="4C326C3B" w:rsidRPr="00B11B1C">
        <w:t xml:space="preserve"> content</w:t>
      </w:r>
      <w:r w:rsidRPr="00B11B1C">
        <w:t xml:space="preserve">, compared to applying over-pressure to the bag in an autoclave </w:t>
      </w:r>
      <w:r w:rsidRPr="00B11B1C">
        <w:lastRenderedPageBreak/>
        <w:t xml:space="preserve">cure, or the high pressures usually involved in RTM. This in turn limits the achievable fiber volume </w:t>
      </w:r>
      <w:r w:rsidR="00202C62" w:rsidRPr="00B11B1C">
        <w:t xml:space="preserve">fraction </w:t>
      </w:r>
      <w:r w:rsidRPr="00B11B1C">
        <w:t xml:space="preserve">which can be directly tied to the part’s mechanical performance. The lower pressures involved in VI can also result in higher void content. </w:t>
      </w:r>
      <w:r w:rsidR="00310344" w:rsidRPr="00B11B1C">
        <w:t>Air</w:t>
      </w:r>
      <w:r w:rsidRPr="00B11B1C">
        <w:t xml:space="preserve"> bubbles trapped in the part after resin cure are then known as voids and act as a further detriment to mechanical performance </w:t>
      </w:r>
      <w:r w:rsidRPr="00B11B1C">
        <w:fldChar w:fldCharType="begin"/>
      </w:r>
      <w:r w:rsidR="00A739B7" w:rsidRPr="00B11B1C">
        <w:instrText xml:space="preserve"> ADDIN ZOTERO_ITEM CSL_CITATION {"citationID":"UyOUpJGE","properties":{"formattedCitation":"[2\\uc0\\u8211{}7]","plainCitation":"[2–7]","dontUpdate":true,"noteIndex":0},"citationItems":[{"id":204,"uris":["http://zotero.org/users/6222105/items/3FX46FUH"],"itemData":{"id":204,"type":"article-journal","abstract":"An experimental program was conducted to assess the effect of void content on the static strength and fatigue life of composite laminates under flexural loading. The fabrication procedure used to produce carbon/epoxy laminates with reasonably uniform void content and constant fiber fraction is described. A fracture criterion correlating the ultrasonic attenuation to the strength of composite laminates is presented. Good correlation with experimental results of interlaminar shear and flexural strength was obtained. The fatigue test results and the proposed theory indicate that voids have a strong detrimental effect on the fatigue life of composite structures if the void content is above a critical value. The proposed theory provides the basis of an experimental program aimed at determining the maximum allowable ultrasonic attenuation of a composite laminate for a specific loading condition.","container-title":"Composite Structures","DOI":"10.1016/0263-8223(94)90044-2","ISSN":"0263-8223","issue":"2","journalAbbreviation":"Composite Structures","language":"en","page":"139-148","source":"ScienceDirect","title":"Effect of void content on the strength of composite laminates","volume":"28","author":[{"family":"Almeida","given":"Sérgio Frascino Müller","non-dropping-particle":"de"},{"family":"Neto","given":"Zabulon dos Santos Nogueira"}],"issued":{"date-parts":[["1994",1,1]]}}},{"id":206,"uris":["http://zotero.org/users/6222105/items/6SU7FT76"],"itemData":{"id":206,"type":"article-journal","abstract":"Various curing cycles were designed to evaluate the effects of different pressure induced voids on some mechanical properties of carbon/epoxy laminates and optimum cure pressure time. A series of [0/90]3s laminates with varying void contents were fabricated and a characterization of void distribution, size, and shape within the laminates was obtained using ultrasonic c-scan and optical metallography techniques. Short beam shear, three-point flexure and tensile testing were used for mechanical evaluation and the results correlated to void volume fraction and ultrasonic absorption coefficient. The experimental results have shown that there exists an optimum time for applying pressure. The proposed grading evaluation method of ultrasonic inspection is helpful for the nondestructive examination of composites. Also, changes in mechanical performance due to porosity are consistent with previously published studies.","container-title":"Composite Structures","DOI":"10.1016/j.compstruct.2005.02.001","ISSN":"0263-8223","issue":"3","journalAbbreviation":"Composite Structures","language":"en","page":"303-309","source":"ScienceDirect","title":"Effects of cure cycles on void content and mechanical properties of composite laminates","volume":"73","author":[{"family":"Liu","given":"Ling"},{"family":"Zhang","given":"Bo-Ming"},{"family":"Wang","given":"Dian-Fu"},{"family":"Wu","given":"Zhan-Jun"}],"issued":{"date-parts":[["2006",6,1]]}}},{"id":202,"uris":["http://zotero.org/users/6222105/items/AL8ZEUPY"],"itemData":{"id":202,"type":"article-journal","abstract":"The fatigue mechanisms of Glass Fibre Reinforced Polymer (GFRP) used in wind turbine blades were examined using computed tomography (CT). Prior to mechanical testing, as-manufactured [+45/−45/0]3,s glass/epoxy specimens were CT scanned to provide 3-dimensional images of their internal microstructure, including voids. Voids were segmented and extracted, and individual characteristics and volumetric distributions were quantified. The coupons were then fatigue tested in uniaxial loading at R=−1% to 40% of the nominal tensile failure stress. Some tests were conducted to failure for correlation with the initial void analysis and to establish failure modes. Other tests were stopped at various life fractions and examined using CT to identify key damage mechanisms. These scans revealed transverse matrix cracking in the surface layer, occurring predominantly at free edges. These free-edge cracks then appeared to facilitate edge delamination at the 45/−45° interface. Propagation from sub-critical, surface ply damage to critical, inner ply damage was identified with either a −45/0° delamination, or a 0° fibre tow failure allowing a crack to propagate into the specimen bulk. Final failure occurred in compression and was characterised by total delamination between all the 45/−45° plies. A quantitative void analysis, taken from the pre-test CT scans, was also performed and compared against the specimens’ fatigue lives. This analysis, to the authors’ knowledge the first of its kind, measured and plotted approximately 10,000 voids within the gauge length of each specimen. The global void measurement parameters and distributions showed no correlation with fatigue life. A local ply-level investigation revealed a significant correlation between the largest void and fatigue life in the region of the laminate associated with the crack propagation from sub-critical to critical damage.","container-title":"Composites Science and Technology","DOI":"10.1016/j.compscitech.2011.11.023","ISSN":"0266-3538","issue":"2","journalAbbreviation":"Composites Science and Technology","language":"en","page":"337-343","source":"ScienceDirect","title":"3D damage characterisation and the role of voids in the fatigue of wind turbine blade materials","volume":"72","author":[{"family":"Lambert","given":"J."},{"family":"Chambers","given":"A. R."},{"family":"Sinclair","given":"I."},{"family":"Spearing","given":"S. M."}],"issued":{"date-parts":[["2012",1,18]]}}},{"id":188,"uris":["http://zotero.org/users/6222105/items/ZS3AXNM9"],"itemData":{"id":188,"type":"article-journal","abstract":"Defects, such as voids and delaminations, may significantly reduce the mechanical performance of components made of composite laminates. Distributed voids and porosity are generated during composite processing and are influenced by prepreg characteristics as well as by curing cycle parameters. On the basis of rheological and thermal analyses, as well as observations of laminates produced by different processing conditions, curing pressure appears the most influent factor affecting the void content. This work compares different methods for void analysis and quantitative evaluation (ultrasonic scan, micro-computed tomography, acid digestion, SEM image analysis) evidencing their applicative limitations. Carbon/epoxy laminates were produced in autoclave or oven by vacuum bag technique, using different processing conditions, so that void contents ranging from 0% to 7% volume were obtained. Effects of porosity over laminates mechanical performances are analysed. The results of tensile and compressive tests are discussed, considering the effect that different curing cycles have over void content as well as over fibre/resin fraction. Interlaminar strength, as measured by short beam shear tests, which is a matrix-dominated property, exhibits a reduction of failure strength up to 25% in laminates with the highest void content, compared to laminates with no porosity.","container-title":"Polymers and Polymer Composites","DOI":"10.1177/096739111702500506","ISSN":"0967-3911","issue":"5","journalAbbreviation":"Polymers and Polymer Composites","language":"en","note":"publisher: SAGE Publications Ltd STM","page":"371-380","source":"SAGE Journals","title":"Detection of Voids in Carbon/Epoxy Laminates and Their Influence on Mechanical Properties","volume":"25","author":[{"family":"Di Landro","given":"Luca"},{"family":"Montalto","given":"Aurelio"},{"family":"Bettini","given":"Paolo"},{"family":"Guerra","given":"Stefania"},{"family":"Montagnoli","given":"Fabrizio"},{"family":"Rigamonti","given":"Marco"}],"issued":{"date-parts":[["2017",6,1]]}}},{"id":205,"uris":["http://zotero.org/users/6222105/items/KMKILPR2"],"itemData":{"id":205,"type":"article-journal","abstract":"The focus of this study is the influence of voids on the damage behaviour in quasi-static loading of resin-infused carbon fibre-reinforced polymers. Experimental results are presented for quasi-static loading in combination with high-resolution tomographic imaging and statistical analysis (homology of pores or voids and induced cracks). Three distinct mechanisms were observed to control delamination growth in the presence of sharp and blunt voids. Delamination cracks interact with the supporting yarns, especially in combination with air pockets trapped in the resin in the form of long, sharp voids. This resulted in crack growth that coalesces with delamination cracks from neighbouring yarn-voids during increased out-of-plane load–displacement, with almost no presence of intralaminar transverse cracks. This highlights the benefits and drawbacks of the supporting yarn during out-of-plane loading.","container-title":"Journal of Composite Materials","DOI":"10.1177/0021998319858024","ISSN":"0021-9983","issue":"28-30","journalAbbreviation":"Journal of Composite Materials","language":"en","note":"publisher: SAGE Publications Ltd STM","page":"4399-4410","source":"SAGE Journals","title":"The effects of voids in quasi-static indentation of resin-infused reinforced polymers","volume":"53","author":[{"family":"Sisodia","given":"SM"},{"family":"Bull","given":"DJ"},{"family":"George","given":"AR"},{"family":"Gamstedt","given":"EK"},{"family":"Mavrogordato","given":"MN"},{"family":"Fullwood","given":"DT"},{"family":"Spearing","given":"SM"}],"issued":{"date-parts":[["2019",12,1]]}}},{"id":201,"uris":["http://zotero.org/users/6222105/items/QVNPK9IT"],"itemData":{"id":201,"type":"article-journal","abstract":"Voids, the most studied type of manufacturing defects, form very often in processing of fiber-reinforced composites. Due to their considerable influence on physical and thermomechanical properties of composites, they have been extensively studied, with the focus on three research tracks: void formation, characteristics, and mechanical effects. Investigation of voids in composites started around half a century ago and is still an active research field in composites community. This is because of remaining unknowns and uncertainties about voids as well as difficulties in their suppression in modern manufacturing techniques like out-of-autoclave curing and parts with high complexity, further complicated by increased viscosity of modified resins. Finally, this is because of the increasing interest in realization of more accurate void rejection limits that would tolerate some voidage. The current study reviews the research on formation, characterization, and mechanical effects of voids, which has been conducted over the past five decades. Investigation and control of void formation, using experimental and modeling approaches, in liquid composite molding as well as in prepreg composite processing are surveyed. Techniques for void characterization with their advantages and disadvantages are described. Finally, the effect of voids on a broad range of mechanical properties, including inter-laminar shear, tensile, compressive, and flexural strength as well as fracture toughness and fatigue life, is appraised. Both experimental and simulation approaches and results, concerning voids' effects, are reviewed.","container-title":"Journal of Composite Materials","DOI":"10.1177/0021998318772152","ISSN":"0021-9983","issue":"12","journalAbbreviation":"Journal of Composite Materials","language":"en","note":"publisher: SAGE Publications Ltd STM","page":"1579-1669","source":"SAGE Journals","title":"Voids in fiber-reinforced polymer composites: A review on their formation, characteristics, and effects on mechanical performance","title-short":"Voids in fiber-reinforced polymer composites","volume":"53","author":[{"family":"Mehdikhani","given":"Mahoor"},{"family":"Gorbatikh","given":"Larissa"},{"family":"Verpoest","given":"Ignaas"},{"family":"Lomov","given":"Stepan V"}],"issued":{"date-parts":[["2019",5,1]]}}}],"schema":"https://github.com/citation-style-language/schema/raw/master/csl-citation.json"} </w:instrText>
      </w:r>
      <w:r w:rsidRPr="00B11B1C">
        <w:fldChar w:fldCharType="separate"/>
      </w:r>
      <w:r w:rsidRPr="00B11B1C">
        <w:rPr>
          <w:sz w:val="24"/>
        </w:rPr>
        <w:t>[2]–[7]</w:t>
      </w:r>
      <w:r w:rsidRPr="00B11B1C">
        <w:t xml:space="preserve"> </w:t>
      </w:r>
      <w:r w:rsidRPr="00B11B1C">
        <w:fldChar w:fldCharType="end"/>
      </w:r>
      <w:r w:rsidRPr="00B11B1C">
        <w:t xml:space="preserve">. In comparison with prepreg, all forms of LCM processing also suffer from a less homogeneous distribution of voids due to the in-plane pressure gradient applied during resin wet-out </w:t>
      </w:r>
      <w:r w:rsidRPr="00B11B1C">
        <w:fldChar w:fldCharType="begin"/>
      </w:r>
      <w:r w:rsidR="00A739B7" w:rsidRPr="00B11B1C">
        <w:instrText xml:space="preserve"> ADDIN ZOTERO_ITEM CSL_CITATION {"citationID":"YNcuCPRw","properties":{"formattedCitation":"[8]\\uc0\\u8211{}[10]","plainCitation":"[8]–[10]","noteIndex":0},"citationItems":[{"id":196,"uris":["http://zotero.org/users/6222105/items/V234RNWR"],"itemData":{"id":196,"type":"article-journal","abstract":"Pressure gradients that drive the resin flow during liquid composite moulding (LCM) processes can be very low while manufacturing large composite parts. Capillary pressure becomes the predominant force for tow impregnation and thus meso-scale-voids can be generated, reducing the part quality. In contrast, micro-voids are created at high resin pressure gradients. In this work, a numerical method is presented to predict the creation of meso-scale-voids and their evolution. Experimental validation is conducted by measuring void content of produced composite parts with micro-computed tomography (μ-CT). Additionally, the void content as a function of the modified capillary number Ca</w:instrText>
      </w:r>
      <w:r w:rsidR="00A739B7" w:rsidRPr="00B11B1C">
        <w:rPr>
          <w:rFonts w:ascii="Cambria Math" w:hAnsi="Cambria Math" w:cs="Cambria Math"/>
        </w:rPr>
        <w:instrText>∗</w:instrText>
      </w:r>
      <w:r w:rsidR="00A739B7" w:rsidRPr="00B11B1C">
        <w:instrText xml:space="preserve"> is determined and the influence of the fibre volume content in the bundles on the meso-scale- and micro-void content is studied.","container-title":"Composites Part A: Applied Science and Manufacturing","DOI":"10.1016/j.compositesa.2007.08.005","ISSN":"1359-835X","issue":"12","journalAbbreviation":"Composites Part A: Applied Science and Manufacturing","language":"en","page":"2460-2470","source":"ScienceDirect","title":"Numerical prediction and experimental characterisation of meso-scale-voids in liquid composite moulding","volume":"38","author":[{"family":"Schell","given":"J. S. U."},{"family":"Deleglise","given":"M."},{"family":"Binetruy","given":"C."},{"family":"Krawczak","given":"P."},{"family":"Ermanni","given":"P."}],"issued":{"date-parts":[["2007",12,1]]}}},{"id":200,"uris":["http://zotero.org/users/6222105/items/TR2C8UVY"],"itemData":{"id":200,"type":"article-journal","abstract":"Effects of applying a packing pressure on void content, void morphology, and void spatial distribution were investigated for resin transfer molding (RTM) E-glass/epoxy composites. Packing pressures of zero and 570 kPa were respectively applied to center-gated composites containing 17.5% randomly oriented, E-glass fiber preform. Radial samples of these disk-shaped composites were utilized to evaluate voidage via microscopic image analysis. Two adjacent surfaces were cut from each molded disk in order to evaluate void presence from both through-the-thickness and planar views. The packed composite was found to contain almost 92% less void content than the unpacked composite. While void fractions of 2.2 and 2.6% were measured, respectively, from the through-the-thickness and planar surfaces of the unpacked composite, only 0.2% void content was observed in the packed composite from both surfaces. Digital images obtained from through-the-thickness surface showed that average void size dropped from 59.3 μm in the unpacked composite to 31.7 μm in the packed composite. A similar reduction in average void size from 66.7 to 41.1 μm was observed from the planar surfaces. Circular voids were found to experience higher removal rates at 99%, followed by cylindrical and elliptical voids at 83 and 81%, respectively; while irregular voids show slightly lower void removal rates at 67%. Void proximity to fiber bundles was also observed to affect void reduction as voids located inside fiber tows experience lower void reduction rates. Along the radial direction of the molded disks, removal of voids with different proximities to fibers seems to depend on their arrangement at the end of the filling stage. These findings are believed to ascertain packing as an effective void removal method for RTM and similar liquid composite molding processes. POLYM. COMPOS., 26:614–627, 2005. © 2005 Society of Plastics Engineers","container-title":"Polymer Composites","DOI":"10.1002/pc.20132","ISSN":"1548-0569","issue":"5","language":"en","note":"_eprint: https://onlinelibrary.wiley.com/doi/pdf/10.1002/pc.20132","page":"614-627","source":"Wiley Online Library","title":"Effect of packing on void morphology in resin transfer molded E-glass/epoxy composites","volume":"26","author":[{"family":"Hamidi","given":"Youssef K."},{"family":"Aktas","given":"Levent"},{"family":"Altan","given":"M. Cengiz"}],"issued":{"date-parts":[["2005"]]}}},{"id":198,"uris":["http://zotero.org/users/6222105/items/8AV36E8B"],"itemData":{"id":198,"type":"article-journal","abstract":"A strategy is presented to optimize out-of-autoclave processing of quasi-isotropic carbon fiber-reinforced laminates. Square panels of 4.6mm nominal thickness with very low porosity (</w:instrText>
      </w:r>
      <w:r w:rsidR="00A739B7" w:rsidRPr="00B11B1C">
        <w:rPr>
          <w:rFonts w:ascii="Cambria Math" w:hAnsi="Cambria Math" w:cs="Cambria Math"/>
        </w:rPr>
        <w:instrText>⩽</w:instrText>
      </w:r>
      <w:r w:rsidR="00A739B7" w:rsidRPr="00B11B1C">
        <w:instrText xml:space="preserve">0.2%) were manufactured by compression molding at low pressure (0.2MPa) by careful design of the temperature cycle to maximize the processing window. The mechanisms of void migration during processing were ascertained by means of X-ray microtomography and the effect of ply clustering on porosity and on void shape was explained. Finally, the effect of porosity and ply clustering on the compressive strength before and after impact was studied.","container-title":"Composites Science and Technology","DOI":"10.1016/j.compscitech.2013.06.005","ISSN":"0266-3538","journalAbbreviation":"Composites Science and Technology","language":"en","page":"73-82","source":"ScienceDirect","title":"Optimization of curing cycle in carbon fiber-reinforced laminates: Void distribution and mechanical properties","title-short":"Optimization of curing cycle in carbon fiber-reinforced laminates","volume":"85","author":[{"family":"Hernández","given":"S."},{"family":"Sket","given":"F."},{"family":"González","given":"C."},{"family":"LLorca","given":"J."}],"issued":{"date-parts":[["2013",8,21]]}}}],"schema":"https://github.com/citation-style-language/schema/raw/master/csl-citation.json"} </w:instrText>
      </w:r>
      <w:r w:rsidRPr="00B11B1C">
        <w:fldChar w:fldCharType="separate"/>
      </w:r>
      <w:r w:rsidRPr="00B11B1C">
        <w:t>[8]–[10]</w:t>
      </w:r>
      <w:r w:rsidRPr="00B11B1C">
        <w:fldChar w:fldCharType="end"/>
      </w:r>
      <w:r w:rsidR="00310344" w:rsidRPr="00B11B1C">
        <w:t>.</w:t>
      </w:r>
      <w:r w:rsidR="0A7B3847" w:rsidRPr="00B11B1C">
        <w:t xml:space="preserve"> Some prepreg materials, specifically unidirectional tapes, will have less of</w:t>
      </w:r>
      <w:r w:rsidR="49DC1400" w:rsidRPr="00B11B1C">
        <w:t xml:space="preserve"> a tow structure, and thus less of the capillary-viscous flow differences exhibited by textile reinforcements</w:t>
      </w:r>
      <w:r w:rsidR="78CD3592" w:rsidRPr="00B11B1C">
        <w:t xml:space="preserve"> </w:t>
      </w:r>
      <w:r w:rsidR="00204068" w:rsidRPr="00B11B1C">
        <w:fldChar w:fldCharType="begin"/>
      </w:r>
      <w:r w:rsidR="00204068" w:rsidRPr="00B11B1C">
        <w:instrText xml:space="preserve"> ADDIN ZOTERO_ITEM CSL_CITATION {"citationID":"o0vdVCiS","properties":{"formattedCitation":"[11]","plainCitation":"[11]","noteIndex":0},"citationItems":[{"id":280,"uris":["http://zotero.org/users/6222105/items/YWJ7TZEL"],"itemData":{"id":280,"type":"article-journal","abstract":"Capillarity plays a crucial role in many natural and engineered systems, ranging from nutrient delivery in plants to functional textiles for wear comfort or thermal heat pipes for heat dissipation. Unlike nano- or microfluidic systems with well-defined pore network geometries and well-understood capillary flow, fiber textiles or preforms used in composite structures exhibit highly anisotropic pore networks that span from micron scale pores between fibers to millimeter scale pores between fiber yarns that are woven or stitched into a textile preform. Owing to the nature of the composite manufacturing processes, capillary action taking place in the complex network is usually coupled with hydrodynamics as well as the (chemo) rheology of the polymer matrices; these phenomena are known to play a crucial role in producing high quality composites. Despite its importance, the role of capillary effects in composite processing largely remained overlooked. Their magnitude is indeed rather low as compared to hydrodynamic effects, and it is difficult to characterize them due to a lack of adequate monitoring techniques to capture the time and spatial scale on which the capillary effects take place. There is a renewed interest in this topic, due to a combination of increasing demand for high performance composites and recent advances in experimental techniques as well as numerical modeling methods. The present review covers the developments in the identification, measurement and exploitation of capillary effects in composite manufacturing. A special focus is placed on Liquid Composite Molding processes, where a dry stack is impregnated with a low viscosity thermoset resin mainly via in-plane flow, thus exacerbating the capillary effects within the anisotropic pore network of the reinforcements. Experimental techniques to investigate the capillary effects and their evolution from post-mortem analyses to in-situ/rapid techniques compatible with both translucent and non-translucent reinforcements are reviewed. Approaches to control and enhance the capillary effects for improving composite quality are then introduced. This is complemented by a survey of numerical techniques to incorporate capillary effects in process simulation, material characterization and by the remaining challenges in the study of capillary effects in composite manufacturing.","container-title":"Frontiers in Materials","ISSN":"2296-8016","source":"Frontiers","title":"Capillary Effects in Fiber Reinforced Polymer Composite Processing: A Review","title-short":"Capillary Effects in Fiber Reinforced Polymer Composite Processing","URL":"https://www.frontiersin.org/articles/10.3389/fmats.2022.809226","volume":"9","author":[{"family":"Teixidó","given":"Helena"},{"family":"Staal","given":"Jeroen"},{"family":"Caglar","given":"Baris"},{"family":"Michaud","given":"Véronique"}],"accessed":{"date-parts":[["2022",11,28]]},"issued":{"date-parts":[["2022"]]}}}],"schema":"https://github.com/citation-style-language/schema/raw/master/csl-citation.json"} </w:instrText>
      </w:r>
      <w:r w:rsidR="00204068" w:rsidRPr="00B11B1C">
        <w:fldChar w:fldCharType="separate"/>
      </w:r>
      <w:r w:rsidR="00204068" w:rsidRPr="00B11B1C">
        <w:t>[11]</w:t>
      </w:r>
      <w:r w:rsidR="00204068" w:rsidRPr="00B11B1C">
        <w:fldChar w:fldCharType="end"/>
      </w:r>
      <w:r w:rsidR="001B60FC" w:rsidRPr="00B11B1C">
        <w:t xml:space="preserve">, </w:t>
      </w:r>
      <w:r w:rsidR="6B92F11E" w:rsidRPr="00B11B1C">
        <w:t xml:space="preserve">thus </w:t>
      </w:r>
      <w:r w:rsidR="02DEE90D" w:rsidRPr="00B11B1C">
        <w:t>further</w:t>
      </w:r>
      <w:r w:rsidR="6B92F11E" w:rsidRPr="00B11B1C">
        <w:t xml:space="preserve"> promoting void microstructural homogeneity</w:t>
      </w:r>
      <w:r w:rsidR="49DC1400" w:rsidRPr="00B11B1C">
        <w:t xml:space="preserve">. </w:t>
      </w:r>
    </w:p>
    <w:p w14:paraId="311B42C4" w14:textId="6F0C55A1" w:rsidR="00D91C87" w:rsidRPr="00B11B1C" w:rsidRDefault="00D91C87" w:rsidP="00D91C87">
      <w:r w:rsidRPr="00B11B1C">
        <w:t xml:space="preserve">A common process manufacturers use to mitigate the thickness gradient and low fiber content in VI is debulking. </w:t>
      </w:r>
      <w:r w:rsidR="5EEB1C03" w:rsidRPr="00B11B1C">
        <w:t xml:space="preserve">In the context of LCM processing, </w:t>
      </w:r>
      <w:r w:rsidR="298F9B80" w:rsidRPr="00B11B1C">
        <w:t>d</w:t>
      </w:r>
      <w:r w:rsidRPr="00B11B1C">
        <w:t>ebulking is the process of compacting a dry fibrous reinforcement</w:t>
      </w:r>
      <w:r w:rsidR="005C1E2E" w:rsidRPr="00B11B1C">
        <w:t>, via cyclic loading,</w:t>
      </w:r>
      <w:r w:rsidRPr="00B11B1C">
        <w:t xml:space="preserve"> prior to </w:t>
      </w:r>
      <w:r w:rsidR="005C1E2E" w:rsidRPr="00B11B1C">
        <w:t>infusion</w:t>
      </w:r>
      <w:r w:rsidRPr="00B11B1C">
        <w:t xml:space="preserve"> </w:t>
      </w:r>
      <w:r w:rsidR="005D623D" w:rsidRPr="00B11B1C">
        <w:t>to</w:t>
      </w:r>
      <w:r w:rsidRPr="00B11B1C">
        <w:t xml:space="preserve"> induce fiber nesting.</w:t>
      </w:r>
      <w:r w:rsidR="005C1E2E" w:rsidRPr="00B11B1C">
        <w:t xml:space="preserve"> </w:t>
      </w:r>
      <w:r w:rsidR="6B8A9C69" w:rsidRPr="00B11B1C">
        <w:t>The term “debulking” is also used with prepreg materials</w:t>
      </w:r>
      <w:r w:rsidR="199DC967" w:rsidRPr="00B11B1C">
        <w:t>, where compaction is used not as much to induce fiber nesting</w:t>
      </w:r>
      <w:r w:rsidR="6B8A9C69" w:rsidRPr="00B11B1C">
        <w:t xml:space="preserve"> </w:t>
      </w:r>
      <w:r w:rsidR="3B54A685" w:rsidRPr="00B11B1C">
        <w:t xml:space="preserve">but </w:t>
      </w:r>
      <w:r w:rsidR="6B8A9C69" w:rsidRPr="00B11B1C">
        <w:t xml:space="preserve">to </w:t>
      </w:r>
      <w:r w:rsidR="2F61F8EA" w:rsidRPr="00B11B1C">
        <w:t>squeeze out excess resin.</w:t>
      </w:r>
      <w:r w:rsidR="6B8A9C69" w:rsidRPr="00B11B1C">
        <w:t xml:space="preserve"> </w:t>
      </w:r>
      <w:r w:rsidR="1181D856" w:rsidRPr="00B11B1C">
        <w:t xml:space="preserve">In </w:t>
      </w:r>
      <w:r w:rsidR="35D13A6E" w:rsidRPr="00B11B1C">
        <w:t xml:space="preserve">the context of LCM i.e. </w:t>
      </w:r>
      <w:r w:rsidR="1181D856" w:rsidRPr="00B11B1C">
        <w:t xml:space="preserve">debulking of dry reinforcements, </w:t>
      </w:r>
      <w:r w:rsidR="7E2929F0" w:rsidRPr="00B11B1C">
        <w:t>a</w:t>
      </w:r>
      <w:r w:rsidRPr="00B11B1C">
        <w:t xml:space="preserve"> hysteresis is seen through repetition of the compaction, where the reinforcement moves to a more nested and compressed state </w:t>
      </w:r>
      <w:r w:rsidRPr="00B11B1C">
        <w:fldChar w:fldCharType="begin"/>
      </w:r>
      <w:r w:rsidR="00204068" w:rsidRPr="00B11B1C">
        <w:instrText xml:space="preserve"> ADDIN ZOTERO_ITEM CSL_CITATION {"citationID":"kJwOHarP","properties":{"formattedCitation":"[12]\\uc0\\u8211{}[17]","plainCitation":"[12]–[17]","noteIndex":0},"citationItems":[{"id":215,"uris":["http://zotero.org/users/6222105/items/FCBSDW5Q"],"itemData":{"id":215,"type":"article-journal","abstract":"In many reinforced composite manufacturing processes it is necessary to compact the fiber materials to obtain the desired fiber/resin ratio in the finished part. Detailed knowledge of applied surface force versus material fiber volume is particularly important in processes such as pultrusion, resin transfer molding, and compression molding. The force required to compact a stack of reinforcing material is strongly dependent on the type of fiber used and its material form. Complicated interactions are possible, particularly when mixtures of unidirectional, oriented cloth and random fiber mats are used. This paper will present results of an experimental and analytical investigation of the response of various dry reinforcing materials subjected to compressive forces applied normal to their principle plane. Experiments were conducted by applying up to 8.6 MPa normal force to thick stacks of E-glass, graphite cloth, mat and unidirectional material and combinations of two different fiber orientation. Pressure versus fiber volume data were generated for both individual materials and various combinations. Experimental results were compared to analytical predictions. Data showed that the force versus deformation is very strongly dependent on the details of the fiber form or forms being used. There is structural relaxation during fiber compression. Relaxation is very related to fiber orientation, span length, and fiber breakage during compaction. Relaxation behavior decreases with fiber alignment. Random mats and 0/90 cloth show much more relaxation than unidirectional fibers. Data of relaxation is very well fitted with a Maxwell-Wiechert viscoelastic model.","container-title":"Polymer Composites","DOI":"10.1002/pc.750120104","ISSN":"1548-0569","issue":"1","language":"en","note":"_eprint: https://onlinelibrary.wiley.com/doi/pdf/10.1002/pc.750120104","page":"13-19","source":"Wiley Online Library","title":"Compressibility and relaxation of fiber reinforcements during composite processing","volume":"12","author":[{"family":"Kim","given":"Young Roak"},{"family":"McCarthy","given":"Stephen P."},{"family":"Fanucci","given":"Jerome P."}],"issued":{"date-parts":[["1991"]]}}},{"id":214,"uris":["http://zotero.org/users/6222105/items/IMNW26J2"],"itemData":{"id":214,"type":"article-journal","abstract":"The objectives of this series of papers are to describe the mechanical behavior of textile reinforcements under normal load and to quantify the effects of diverse processing parameters on that behavior. In the first and second papers of the series, experimental compaction and relaxation results were reported; general trends were identified and the effects of changes in the processing parameters were analyzed. In this paper, the results of sequences of successive compaction cycles applied to dry textiles and to textiles saturated in distilled H2O and silicone oil are presented. The reinforcements investigated are produced by assembling tows or rovings following different patterns; it is shown that the resulting heterogeneity, or regular variation of the local fiber volume fraction, can be associated to some particular elements of the mechanical behavior of the reinforcements. The reorganization of the fiber network and the effect of friction at the fiber contacts are demonstrated. Different stages in the reorganization process are identified; each stage is controlled by different parameters and corresponds to a precise behavior. Successive compaction cycles applied to a preform can reduce the void content of the final part.","container-title":"Polymer Composites","DOI":"10.1002/pc.10334","ISSN":"1548-0569","issue":"1","language":"en","note":"_eprint: https://onlinelibrary.wiley.com/doi/pdf/10.1002/pc.10334","page":"48-61","source":"Wiley Online Library","title":"Compaction of textile reinforcements for composites manufacturing. III: Reorganization of the fiber network","title-short":"Compaction of textile reinforcements for composites manufacturing. III","volume":"20","author":[{"family":"Robitaille","given":"François"},{"family":"Gauvin","given":"Raymond"}],"issued":{"date-parts":[["1999"]]}}},{"id":211,"uris":["http://zotero.org/users/6222105/items/B3Q7LZHS"],"itemData":{"id":211,"type":"article-journal","abstract":"This paper describes the experimental investigation of the compaction behavior of dry single-ply and multi-ply fabric stacks (preforms). Utilizing four biaxial (two 0°/90° and two ±45°) and one triaxial (0°±45°) carbon fiber NCF, differing in weight (300 g/m2, 600 g/m2) and type of stitching (tricot, pillar, hybrid), the influence of compaction speed, pre-compaction cycles, number of layers, and stacking sequence on compaction force was examined. In contrast to other studies, the area of interest is limited to 40–50% fiber volume content (FVC), which is based on current continuous preforming conditions. The results showed that higher testing speeds result in increased compaction forces. Pre-compaction cycles (up to 8) significantly reduce (up to 69%) the required compaction forces of preforms for continuous preforming. Furthermore, at an equal total superficial density (1800 g/m2), 6-ply preforms (300 g/m2 each ply) require 75–88% higher compaction forces than 3-ply preforms (600 g/m2 each ply). This relation remains constant with decreasing or increasing total superficial density (ply number). Also the stacking sequence of 6-ply preforms (300 g/m2 each ply) remarkably influences the compaction force, whereby the stitching seam pattern and their alignment (superposition) to each other were the main influencing factors. POLYM. COMPOS., 38:2609–2625, 2017. © 2015 Society of Plastics Engineers","container-title":"Polymer Composites","DOI":"10.1002/pc.23854","ISSN":"1548-0569","issue":"11","language":"en","note":"_eprint: https://onlinelibrary.wiley.com/doi/pdf/10.1002/pc.23854","page":"2609-2625","source":"Wiley Online Library","title":"Investigation of the compaction behavior of carbon fiber NCF for continuous preforming processes","volume":"38","author":[{"family":"Grieser","given":"T."},{"family":"Mitschang","given":"P."}],"issued":{"date-parts":[["2017"]]}}},{"id":176,"uris":["http://zotero.org/users/6222105/items/SKCGJ3GB"],"itemData":{"id":176,"type":"article-journal","abstract":"Characterizing the response of compressed dry fibrous reinforcements is a key feature to control liquid composite molding processes. Considering preforms manufactured by automated dry fiber placement, supplementary information are needed, since cyclic loading occurs, during which the mechanical properties of tows evolve. In this way, an extensive characterization procedure is proposed in this article. Each mechanical feature, such as nonlinearity, springback, irreversibility, stabilization, and strain rate dependence, is analyzed, and when possible, related to microstructural observations. Particular attention is paid to the response in other directions than the compressed one. Finally, from this characterization, a route to modeling is drawn: analogies with other classes of materials are proposed, leading to choices on the modeling of each mechanical property.","container-title":"Journal of Composite Materials","DOI":"10.1177/0021998317752229","ISSN":"0021-9983, 1530-793X","issue":"19","journalAbbreviation":"Journal of Composite Materials","language":"en","page":"2661-2677","source":"DOI.org (Crossref)","title":"Three-dimensional mechanical properties of dry carbon fiber tows subjected to cyclic compressive loading","volume":"52","author":[{"family":"Lectez","given":"Anne-Sophie"},{"family":"El Azzouzi","given":"Khalid"},{"family":"Binetruy","given":"Christophe"},{"family":"Comas-Cardona","given":"Sébastien"},{"family":"Verron","given":"Erwan"},{"family":"Lebrun","given":"Jean-Michel"}],"issued":{"date-parts":[["2018",8]]}}},{"id":174,"uris":["http://zotero.org/users/6222105/items/WG9T4KRM"],"itemData":{"id":174,"type":"article-journal","abstract":"The resin transfer moulding (RTM) process involves the loading of dry reinforcement into a mould. After the mould is closed, resin is flowed into the mould cavity and cured. The RTM process has traditionally been used to produce low fibre volume fraction composites. There is now increasing interest in using the process to manufacture high fibre volume fraction composites for structural applications. Experiments have been conducted to monitor the force required to compress a typical plain-woven glass fibre reinforcement. The load displacement curves for monotonic loading, and for relaxation after repeated reloading cycles to a maximum load are presented. The loading cycle responses for the fabric have been fitted to power-law relationships, and the relaxation cycles have been fitted to exponential decay functions.","container-title":"Composites Manufacturing","DOI":"10.1016/0956-7143(95)93709-S","ISSN":"0956-7143","issue":"1","journalAbbreviation":"Composites Manufacturing","language":"en","page":"15-21","source":"ScienceDirect","title":"The compressibility of a reinforcement fabric","volume":"6","author":[{"family":"Pearce","given":"Neil"},{"family":"Summerscales","given":"John"}],"issued":{"date-parts":[["1995",1,1]]}}},{"id":212,"uris":["http://zotero.org/users/6222105/items/W6SYN5VB"],"itemData":{"id":212,"type":"article-journal","abstract":"Controlled atmospheric pressure resin infusion (CAPRI) is a variation of the vacuum-assisted resin transfer molding (VARTM) process. The CAPRI process increases the fiber volume fraction of the preform prior to infusion via debulking and applies a reduced pressure gradient during infusion to minimize thickness gradients during processing. This study experimentally investigates the effect of debulking and reduced pressure gradient on the incoming material parameters, process behavior and final dimensional tolerances. The effect of debulking on fabric permeability and compaction behavior has been investigated and shows a significant impact on the infusion time and final fiber volume fraction. Several E-glass plain weave preforms have been infused and flow, pressure and thickness data has been recorded and compared to traditional VARTM processing. A previously developed model uses the experimentally obtained permeability data and good agreement of the flow behavior is observed, the CAPRI process decreases thickness gradients to less than 1% while increasing fiber volume fraction by 5% in the composite part.","container-title":"Journal of Composite Materials","DOI":"10.1177/0021998308090650","ISSN":"0021-9983","issue":"11","journalAbbreviation":"Journal of Composite Materials","note":"publisher: SAGE Publications Ltd STM","page":"1049-1061","source":"SAGE Journals","title":"Experimental Investigation of the Controlled Atmospheric Pressure Resin Infusion (CAPRI) Process","volume":"42","author":[{"family":"Niggemann","given":"Christian"},{"family":"Song","given":"Young Seok"},{"family":"Gillespie","given":"John W."},{"family":"Heider","given":"Dirk"}],"issued":{"date-parts":[["2008",6,1]]}}}],"schema":"https://github.com/citation-style-language/schema/raw/master/csl-citation.json"} </w:instrText>
      </w:r>
      <w:r w:rsidRPr="00B11B1C">
        <w:fldChar w:fldCharType="separate"/>
      </w:r>
      <w:r w:rsidR="00204068" w:rsidRPr="00B11B1C">
        <w:t>[12]–[17]</w:t>
      </w:r>
      <w:r w:rsidRPr="00B11B1C">
        <w:fldChar w:fldCharType="end"/>
      </w:r>
      <w:r w:rsidRPr="00B11B1C">
        <w:t xml:space="preserve">. Upon VI processing of such a debulked reinforcement, the same vacuum application and ambient pressure will result in a higher fiber volume fraction than without the debulking </w:t>
      </w:r>
      <w:r w:rsidRPr="00B11B1C">
        <w:fldChar w:fldCharType="begin"/>
      </w:r>
      <w:r w:rsidR="00204068" w:rsidRPr="00B11B1C">
        <w:instrText xml:space="preserve"> ADDIN ZOTERO_ITEM CSL_CITATION {"citationID":"dVSzcek9","properties":{"formattedCitation":"[17]","plainCitation":"[17]","noteIndex":0},"citationItems":[{"id":212,"uris":["http://zotero.org/users/6222105/items/W6SYN5VB"],"itemData":{"id":212,"type":"article-journal","abstract":"Controlled atmospheric pressure resin infusion (CAPRI) is a variation of the vacuum-assisted resin transfer molding (VARTM) process. The CAPRI process increases the fiber volume fraction of the preform prior to infusion via debulking and applies a reduced pressure gradient during infusion to minimize thickness gradients during processing. This study experimentally investigates the effect of debulking and reduced pressure gradient on the incoming material parameters, process behavior and final dimensional tolerances. The effect of debulking on fabric permeability and compaction behavior has been investigated and shows a significant impact on the infusion time and final fiber volume fraction. Several E-glass plain weave preforms have been infused and flow, pressure and thickness data has been recorded and compared to traditional VARTM processing. A previously developed model uses the experimentally obtained permeability data and good agreement of the flow behavior is observed, the CAPRI process decreases thickness gradients to less than 1% while increasing fiber volume fraction by 5% in the composite part.","container-title":"Journal of Composite Materials","DOI":"10.1177/0021998308090650","ISSN":"0021-9983","issue":"11","journalAbbreviation":"Journal of Composite Materials","note":"publisher: SAGE Publications Ltd STM","page":"1049-1061","source":"SAGE Journals","title":"Experimental Investigation of the Controlled Atmospheric Pressure Resin Infusion (CAPRI) Process","volume":"42","author":[{"family":"Niggemann","given":"Christian"},{"family":"Song","given":"Young Seok"},{"family":"Gillespie","given":"John W."},{"family":"Heider","given":"Dirk"}],"issued":{"date-parts":[["2008",6,1]]}}}],"schema":"https://github.com/citation-style-language/schema/raw/master/csl-citation.json"} </w:instrText>
      </w:r>
      <w:r w:rsidRPr="00B11B1C">
        <w:fldChar w:fldCharType="separate"/>
      </w:r>
      <w:r w:rsidR="00204068" w:rsidRPr="00B11B1C">
        <w:t>[17]</w:t>
      </w:r>
      <w:r w:rsidRPr="00B11B1C">
        <w:fldChar w:fldCharType="end"/>
      </w:r>
      <w:r w:rsidRPr="00B11B1C">
        <w:t xml:space="preserve">. In addition, a debulked reinforcement exhibits less compliance, and thus less of a thickness gradient along the resin flow path </w:t>
      </w:r>
      <w:r w:rsidRPr="00B11B1C">
        <w:fldChar w:fldCharType="begin"/>
      </w:r>
      <w:r w:rsidR="00204068" w:rsidRPr="00B11B1C">
        <w:instrText xml:space="preserve"> ADDIN ZOTERO_ITEM CSL_CITATION {"citationID":"tbHgR8cC","properties":{"formattedCitation":"[17]","plainCitation":"[17]","noteIndex":0},"citationItems":[{"id":212,"uris":["http://zotero.org/users/6222105/items/W6SYN5VB"],"itemData":{"id":212,"type":"article-journal","abstract":"Controlled atmospheric pressure resin infusion (CAPRI) is a variation of the vacuum-assisted resin transfer molding (VARTM) process. The CAPRI process increases the fiber volume fraction of the preform prior to infusion via debulking and applies a reduced pressure gradient during infusion to minimize thickness gradients during processing. This study experimentally investigates the effect of debulking and reduced pressure gradient on the incoming material parameters, process behavior and final dimensional tolerances. The effect of debulking on fabric permeability and compaction behavior has been investigated and shows a significant impact on the infusion time and final fiber volume fraction. Several E-glass plain weave preforms have been infused and flow, pressure and thickness data has been recorded and compared to traditional VARTM processing. A previously developed model uses the experimentally obtained permeability data and good agreement of the flow behavior is observed, the CAPRI process decreases thickness gradients to less than 1% while increasing fiber volume fraction by 5% in the composite part.","container-title":"Journal of Composite Materials","DOI":"10.1177/0021998308090650","ISSN":"0021-9983","issue":"11","journalAbbreviation":"Journal of Composite Materials","note":"publisher: SAGE Publications Ltd STM","page":"1049-1061","source":"SAGE Journals","title":"Experimental Investigation of the Controlled Atmospheric Pressure Resin Infusion (CAPRI) Process","volume":"42","author":[{"family":"Niggemann","given":"Christian"},{"family":"Song","given":"Young Seok"},{"family":"Gillespie","given":"John W."},{"family":"Heider","given":"Dirk"}],"issued":{"date-parts":[["2008",6,1]]}}}],"schema":"https://github.com/citation-style-language/schema/raw/master/csl-citation.json"} </w:instrText>
      </w:r>
      <w:r w:rsidRPr="00B11B1C">
        <w:fldChar w:fldCharType="separate"/>
      </w:r>
      <w:r w:rsidR="00204068" w:rsidRPr="00B11B1C">
        <w:t>[17]</w:t>
      </w:r>
      <w:r w:rsidRPr="00B11B1C">
        <w:fldChar w:fldCharType="end"/>
      </w:r>
      <w:r w:rsidRPr="00B11B1C">
        <w:t xml:space="preserve">. </w:t>
      </w:r>
    </w:p>
    <w:p w14:paraId="7DDD38BC" w14:textId="6F0B0B7E" w:rsidR="00D91C87" w:rsidRPr="00B11B1C" w:rsidRDefault="00D91C87" w:rsidP="00D91C87">
      <w:r w:rsidRPr="00B11B1C">
        <w:t xml:space="preserve">The literature on debulking has focused on experimental determination of the changes in required </w:t>
      </w:r>
      <w:r w:rsidR="005C1E2E" w:rsidRPr="00B11B1C">
        <w:t xml:space="preserve">material thickness </w:t>
      </w:r>
      <w:r w:rsidRPr="00B11B1C">
        <w:t xml:space="preserve">to reach a target pressure, or vice-versa, while iterating parameters such as compaction rate, ply count, and reinforcement material </w:t>
      </w:r>
      <w:r w:rsidRPr="00B11B1C">
        <w:fldChar w:fldCharType="begin"/>
      </w:r>
      <w:r w:rsidR="00204068" w:rsidRPr="00B11B1C">
        <w:instrText xml:space="preserve"> ADDIN ZOTERO_ITEM CSL_CITATION {"citationID":"KApvWYGw","properties":{"formattedCitation":"[12]\\uc0\\u8211{}[17]","plainCitation":"[12]–[17]","noteIndex":0},"citationItems":[{"id":215,"uris":["http://zotero.org/users/6222105/items/FCBSDW5Q"],"itemData":{"id":215,"type":"article-journal","abstract":"In many reinforced composite manufacturing processes it is necessary to compact the fiber materials to obtain the desired fiber/resin ratio in the finished part. Detailed knowledge of applied surface force versus material fiber volume is particularly important in processes such as pultrusion, resin transfer molding, and compression molding. The force required to compact a stack of reinforcing material is strongly dependent on the type of fiber used and its material form. Complicated interactions are possible, particularly when mixtures of unidirectional, oriented cloth and random fiber mats are used. This paper will present results of an experimental and analytical investigation of the response of various dry reinforcing materials subjected to compressive forces applied normal to their principle plane. Experiments were conducted by applying up to 8.6 MPa normal force to thick stacks of E-glass, graphite cloth, mat and unidirectional material and combinations of two different fiber orientation. Pressure versus fiber volume data were generated for both individual materials and various combinations. Experimental results were compared to analytical predictions. Data showed that the force versus deformation is very strongly dependent on the details of the fiber form or forms being used. There is structural relaxation during fiber compression. Relaxation is very related to fiber orientation, span length, and fiber breakage during compaction. Relaxation behavior decreases with fiber alignment. Random mats and 0/90 cloth show much more relaxation than unidirectional fibers. Data of relaxation is very well fitted with a Maxwell-Wiechert viscoelastic model.","container-title":"Polymer Composites","DOI":"10.1002/pc.750120104","ISSN":"1548-0569","issue":"1","language":"en","note":"_eprint: https://onlinelibrary.wiley.com/doi/pdf/10.1002/pc.750120104","page":"13-19","source":"Wiley Online Library","title":"Compressibility and relaxation of fiber reinforcements during composite processing","volume":"12","author":[{"family":"Kim","given":"Young Roak"},{"family":"McCarthy","given":"Stephen P."},{"family":"Fanucci","given":"Jerome P."}],"issued":{"date-parts":[["1991"]]}}},{"id":214,"uris":["http://zotero.org/users/6222105/items/IMNW26J2"],"itemData":{"id":214,"type":"article-journal","abstract":"The objectives of this series of papers are to describe the mechanical behavior of textile reinforcements under normal load and to quantify the effects of diverse processing parameters on that behavior. In the first and second papers of the series, experimental compaction and relaxation results were reported; general trends were identified and the effects of changes in the processing parameters were analyzed. In this paper, the results of sequences of successive compaction cycles applied to dry textiles and to textiles saturated in distilled H2O and silicone oil are presented. The reinforcements investigated are produced by assembling tows or rovings following different patterns; it is shown that the resulting heterogeneity, or regular variation of the local fiber volume fraction, can be associated to some particular elements of the mechanical behavior of the reinforcements. The reorganization of the fiber network and the effect of friction at the fiber contacts are demonstrated. Different stages in the reorganization process are identified; each stage is controlled by different parameters and corresponds to a precise behavior. Successive compaction cycles applied to a preform can reduce the void content of the final part.","container-title":"Polymer Composites","DOI":"10.1002/pc.10334","ISSN":"1548-0569","issue":"1","language":"en","note":"_eprint: https://onlinelibrary.wiley.com/doi/pdf/10.1002/pc.10334","page":"48-61","source":"Wiley Online Library","title":"Compaction of textile reinforcements for composites manufacturing. III: Reorganization of the fiber network","title-short":"Compaction of textile reinforcements for composites manufacturing. III","volume":"20","author":[{"family":"Robitaille","given":"François"},{"family":"Gauvin","given":"Raymond"}],"issued":{"date-parts":[["1999"]]}}},{"id":211,"uris":["http://zotero.org/users/6222105/items/B3Q7LZHS"],"itemData":{"id":211,"type":"article-journal","abstract":"This paper describes the experimental investigation of the compaction behavior of dry single-ply and multi-ply fabric stacks (preforms). Utilizing four biaxial (two 0°/90° and two ±45°) and one triaxial (0°±45°) carbon fiber NCF, differing in weight (300 g/m2, 600 g/m2) and type of stitching (tricot, pillar, hybrid), the influence of compaction speed, pre-compaction cycles, number of layers, and stacking sequence on compaction force was examined. In contrast to other studies, the area of interest is limited to 40–50% fiber volume content (FVC), which is based on current continuous preforming conditions. The results showed that higher testing speeds result in increased compaction forces. Pre-compaction cycles (up to 8) significantly reduce (up to 69%) the required compaction forces of preforms for continuous preforming. Furthermore, at an equal total superficial density (1800 g/m2), 6-ply preforms (300 g/m2 each ply) require 75–88% higher compaction forces than 3-ply preforms (600 g/m2 each ply). This relation remains constant with decreasing or increasing total superficial density (ply number). Also the stacking sequence of 6-ply preforms (300 g/m2 each ply) remarkably influences the compaction force, whereby the stitching seam pattern and their alignment (superposition) to each other were the main influencing factors. POLYM. COMPOS., 38:2609–2625, 2017. © 2015 Society of Plastics Engineers","container-title":"Polymer Composites","DOI":"10.1002/pc.23854","ISSN":"1548-0569","issue":"11","language":"en","note":"_eprint: https://onlinelibrary.wiley.com/doi/pdf/10.1002/pc.23854","page":"2609-2625","source":"Wiley Online Library","title":"Investigation of the compaction behavior of carbon fiber NCF for continuous preforming processes","volume":"38","author":[{"family":"Grieser","given":"T."},{"family":"Mitschang","given":"P."}],"issued":{"date-parts":[["2017"]]}}},{"id":176,"uris":["http://zotero.org/users/6222105/items/SKCGJ3GB"],"itemData":{"id":176,"type":"article-journal","abstract":"Characterizing the response of compressed dry fibrous reinforcements is a key feature to control liquid composite molding processes. Considering preforms manufactured by automated dry fiber placement, supplementary information are needed, since cyclic loading occurs, during which the mechanical properties of tows evolve. In this way, an extensive characterization procedure is proposed in this article. Each mechanical feature, such as nonlinearity, springback, irreversibility, stabilization, and strain rate dependence, is analyzed, and when possible, related to microstructural observations. Particular attention is paid to the response in other directions than the compressed one. Finally, from this characterization, a route to modeling is drawn: analogies with other classes of materials are proposed, leading to choices on the modeling of each mechanical property.","container-title":"Journal of Composite Materials","DOI":"10.1177/0021998317752229","ISSN":"0021-9983, 1530-793X","issue":"19","journalAbbreviation":"Journal of Composite Materials","language":"en","page":"2661-2677","source":"DOI.org (Crossref)","title":"Three-dimensional mechanical properties of dry carbon fiber tows subjected to cyclic compressive loading","volume":"52","author":[{"family":"Lectez","given":"Anne-Sophie"},{"family":"El Azzouzi","given":"Khalid"},{"family":"Binetruy","given":"Christophe"},{"family":"Comas-Cardona","given":"Sébastien"},{"family":"Verron","given":"Erwan"},{"family":"Lebrun","given":"Jean-Michel"}],"issued":{"date-parts":[["2018",8]]}}},{"id":174,"uris":["http://zotero.org/users/6222105/items/WG9T4KRM"],"itemData":{"id":174,"type":"article-journal","abstract":"The resin transfer moulding (RTM) process involves the loading of dry reinforcement into a mould. After the mould is closed, resin is flowed into the mould cavity and cured. The RTM process has traditionally been used to produce low fibre volume fraction composites. There is now increasing interest in using the process to manufacture high fibre volume fraction composites for structural applications. Experiments have been conducted to monitor the force required to compress a typical plain-woven glass fibre reinforcement. The load displacement curves for monotonic loading, and for relaxation after repeated reloading cycles to a maximum load are presented. The loading cycle responses for the fabric have been fitted to power-law relationships, and the relaxation cycles have been fitted to exponential decay functions.","container-title":"Composites Manufacturing","DOI":"10.1016/0956-7143(95)93709-S","ISSN":"0956-7143","issue":"1","journalAbbreviation":"Composites Manufacturing","language":"en","page":"15-21","source":"ScienceDirect","title":"The compressibility of a reinforcement fabric","volume":"6","author":[{"family":"Pearce","given":"Neil"},{"family":"Summerscales","given":"John"}],"issued":{"date-parts":[["1995",1,1]]}}},{"id":212,"uris":["http://zotero.org/users/6222105/items/W6SYN5VB"],"itemData":{"id":212,"type":"article-journal","abstract":"Controlled atmospheric pressure resin infusion (CAPRI) is a variation of the vacuum-assisted resin transfer molding (VARTM) process. The CAPRI process increases the fiber volume fraction of the preform prior to infusion via debulking and applies a reduced pressure gradient during infusion to minimize thickness gradients during processing. This study experimentally investigates the effect of debulking and reduced pressure gradient on the incoming material parameters, process behavior and final dimensional tolerances. The effect of debulking on fabric permeability and compaction behavior has been investigated and shows a significant impact on the infusion time and final fiber volume fraction. Several E-glass plain weave preforms have been infused and flow, pressure and thickness data has been recorded and compared to traditional VARTM processing. A previously developed model uses the experimentally obtained permeability data and good agreement of the flow behavior is observed, the CAPRI process decreases thickness gradients to less than 1% while increasing fiber volume fraction by 5% in the composite part.","container-title":"Journal of Composite Materials","DOI":"10.1177/0021998308090650","ISSN":"0021-9983","issue":"11","journalAbbreviation":"Journal of Composite Materials","note":"publisher: SAGE Publications Ltd STM","page":"1049-1061","source":"SAGE Journals","title":"Experimental Investigation of the Controlled Atmospheric Pressure Resin Infusion (CAPRI) Process","volume":"42","author":[{"family":"Niggemann","given":"Christian"},{"family":"Song","given":"Young Seok"},{"family":"Gillespie","given":"John W."},{"family":"Heider","given":"Dirk"}],"issued":{"date-parts":[["2008",6,1]]}}}],"schema":"https://github.com/citation-style-language/schema/raw/master/csl-citation.json"} </w:instrText>
      </w:r>
      <w:r w:rsidRPr="00B11B1C">
        <w:fldChar w:fldCharType="separate"/>
      </w:r>
      <w:r w:rsidR="00204068" w:rsidRPr="00B11B1C">
        <w:t>[12]–[17]</w:t>
      </w:r>
      <w:r w:rsidRPr="00B11B1C">
        <w:fldChar w:fldCharType="end"/>
      </w:r>
      <w:r w:rsidRPr="00B11B1C">
        <w:t>. Such studies have shown that 1) higher</w:t>
      </w:r>
      <w:r w:rsidR="006F5141" w:rsidRPr="00B11B1C">
        <w:t xml:space="preserve"> compaction</w:t>
      </w:r>
      <w:r w:rsidRPr="00B11B1C">
        <w:t xml:space="preserve"> rate causes less compliance </w:t>
      </w:r>
      <w:r w:rsidRPr="00B11B1C">
        <w:fldChar w:fldCharType="begin"/>
      </w:r>
      <w:r w:rsidR="00204068" w:rsidRPr="00B11B1C">
        <w:instrText xml:space="preserve"> ADDIN ZOTERO_ITEM CSL_CITATION {"citationID":"vqCcSpmh","properties":{"formattedCitation":"[14], [15]","plainCitation":"[14], [15]","noteIndex":0},"citationItems":[{"id":211,"uris":["http://zotero.org/users/6222105/items/B3Q7LZHS"],"itemData":{"id":211,"type":"article-journal","abstract":"This paper describes the experimental investigation of the compaction behavior of dry single-ply and multi-ply fabric stacks (preforms). Utilizing four biaxial (two 0°/90° and two ±45°) and one triaxial (0°±45°) carbon fiber NCF, differing in weight (300 g/m2, 600 g/m2) and type of stitching (tricot, pillar, hybrid), the influence of compaction speed, pre-compaction cycles, number of layers, and stacking sequence on compaction force was examined. In contrast to other studies, the area of interest is limited to 40–50% fiber volume content (FVC), which is based on current continuous preforming conditions. The results showed that higher testing speeds result in increased compaction forces. Pre-compaction cycles (up to 8) significantly reduce (up to 69%) the required compaction forces of preforms for continuous preforming. Furthermore, at an equal total superficial density (1800 g/m2), 6-ply preforms (300 g/m2 each ply) require 75–88% higher compaction forces than 3-ply preforms (600 g/m2 each ply). This relation remains constant with decreasing or increasing total superficial density (ply number). Also the stacking sequence of 6-ply preforms (300 g/m2 each ply) remarkably influences the compaction force, whereby the stitching seam pattern and their alignment (superposition) to each other were the main influencing factors. POLYM. COMPOS., 38:2609–2625, 2017. © 2015 Society of Plastics Engineers","container-title":"Polymer Composites","DOI":"10.1002/pc.23854","ISSN":"1548-0569","issue":"11","language":"en","note":"_eprint: https://onlinelibrary.wiley.com/doi/pdf/10.1002/pc.23854","page":"2609-2625","source":"Wiley Online Library","title":"Investigation of the compaction behavior of carbon fiber NCF for continuous preforming processes","volume":"38","author":[{"family":"Grieser","given":"T."},{"family":"Mitschang","given":"P."}],"issued":{"date-parts":[["2017"]]}}},{"id":176,"uris":["http://zotero.org/users/6222105/items/SKCGJ3GB"],"itemData":{"id":176,"type":"article-journal","abstract":"Characterizing the response of compressed dry fibrous reinforcements is a key feature to control liquid composite molding processes. Considering preforms manufactured by automated dry fiber placement, supplementary information are needed, since cyclic loading occurs, during which the mechanical properties of tows evolve. In this way, an extensive characterization procedure is proposed in this article. Each mechanical feature, such as nonlinearity, springback, irreversibility, stabilization, and strain rate dependence, is analyzed, and when possible, related to microstructural observations. Particular attention is paid to the response in other directions than the compressed one. Finally, from this characterization, a route to modeling is drawn: analogies with other classes of materials are proposed, leading to choices on the modeling of each mechanical property.","container-title":"Journal of Composite Materials","DOI":"10.1177/0021998317752229","ISSN":"0021-9983, 1530-793X","issue":"19","journalAbbreviation":"Journal of Composite Materials","language":"en","page":"2661-2677","source":"DOI.org (Crossref)","title":"Three-dimensional mechanical properties of dry carbon fiber tows subjected to cyclic compressive loading","volume":"52","author":[{"family":"Lectez","given":"Anne-Sophie"},{"family":"El Azzouzi","given":"Khalid"},{"family":"Binetruy","given":"Christophe"},{"family":"Comas-Cardona","given":"Sébastien"},{"family":"Verron","given":"Erwan"},{"family":"Lebrun","given":"Jean-Michel"}],"issued":{"date-parts":[["2018",8]]}}}],"schema":"https://github.com/citation-style-language/schema/raw/master/csl-citation.json"} </w:instrText>
      </w:r>
      <w:r w:rsidRPr="00B11B1C">
        <w:fldChar w:fldCharType="separate"/>
      </w:r>
      <w:r w:rsidR="00204068" w:rsidRPr="00B11B1C">
        <w:t>[14], [15]</w:t>
      </w:r>
      <w:r w:rsidRPr="00B11B1C">
        <w:fldChar w:fldCharType="end"/>
      </w:r>
      <w:r w:rsidRPr="00B11B1C">
        <w:t xml:space="preserve">, 2) varying the ply count causes a significant difference in compressibility for only very low ply counts </w:t>
      </w:r>
      <w:r w:rsidRPr="00B11B1C">
        <w:fldChar w:fldCharType="begin"/>
      </w:r>
      <w:r w:rsidR="00204068" w:rsidRPr="00B11B1C">
        <w:instrText xml:space="preserve"> ADDIN ZOTERO_ITEM CSL_CITATION {"citationID":"VIHj04Vx","properties":{"formattedCitation":"[16]","plainCitation":"[16]","noteIndex":0},"citationItems":[{"id":174,"uris":["http://zotero.org/users/6222105/items/WG9T4KRM"],"itemData":{"id":174,"type":"article-journal","abstract":"The resin transfer moulding (RTM) process involves the loading of dry reinforcement into a mould. After the mould is closed, resin is flowed into the mould cavity and cured. The RTM process has traditionally been used to produce low fibre volume fraction composites. There is now increasing interest in using the process to manufacture high fibre volume fraction composites for structural applications. Experiments have been conducted to monitor the force required to compress a typical plain-woven glass fibre reinforcement. The load displacement curves for monotonic loading, and for relaxation after repeated reloading cycles to a maximum load are presented. The loading cycle responses for the fabric have been fitted to power-law relationships, and the relaxation cycles have been fitted to exponential decay functions.","container-title":"Composites Manufacturing","DOI":"10.1016/0956-7143(95)93709-S","ISSN":"0956-7143","issue":"1","journalAbbreviation":"Composites Manufacturing","language":"en","page":"15-21","source":"ScienceDirect","title":"The compressibility of a reinforcement fabric","volume":"6","author":[{"family":"Pearce","given":"Neil"},{"family":"Summerscales","given":"John"}],"issued":{"date-parts":[["1995",1,1]]}}}],"schema":"https://github.com/citation-style-language/schema/raw/master/csl-citation.json"} </w:instrText>
      </w:r>
      <w:r w:rsidRPr="00B11B1C">
        <w:fldChar w:fldCharType="separate"/>
      </w:r>
      <w:r w:rsidR="00204068" w:rsidRPr="00B11B1C">
        <w:t>[16]</w:t>
      </w:r>
      <w:r w:rsidRPr="00B11B1C">
        <w:fldChar w:fldCharType="end"/>
      </w:r>
      <w:r w:rsidRPr="00B11B1C">
        <w:t xml:space="preserve">, and 3) the increase in nesting between cycles decreases with each subsequent cycle </w:t>
      </w:r>
      <w:r w:rsidRPr="00B11B1C">
        <w:fldChar w:fldCharType="begin"/>
      </w:r>
      <w:r w:rsidR="00204068" w:rsidRPr="00B11B1C">
        <w:instrText xml:space="preserve"> ADDIN ZOTERO_ITEM CSL_CITATION {"citationID":"91agSVSE","properties":{"formattedCitation":"[12], [13], [15], [17], [18]","plainCitation":"[12], [13], [15], [17], [18]","noteIndex":0},"citationItems":[{"id":215,"uris":["http://zotero.org/users/6222105/items/FCBSDW5Q"],"itemData":{"id":215,"type":"article-journal","abstract":"In many reinforced composite manufacturing processes it is necessary to compact the fiber materials to obtain the desired fiber/resin ratio in the finished part. Detailed knowledge of applied surface force versus material fiber volume is particularly important in processes such as pultrusion, resin transfer molding, and compression molding. The force required to compact a stack of reinforcing material is strongly dependent on the type of fiber used and its material form. Complicated interactions are possible, particularly when mixtures of unidirectional, oriented cloth and random fiber mats are used. This paper will present results of an experimental and analytical investigation of the response of various dry reinforcing materials subjected to compressive forces applied normal to their principle plane. Experiments were conducted by applying up to 8.6 MPa normal force to thick stacks of E-glass, graphite cloth, mat and unidirectional material and combinations of two different fiber orientation. Pressure versus fiber volume data were generated for both individual materials and various combinations. Experimental results were compared to analytical predictions. Data showed that the force versus deformation is very strongly dependent on the details of the fiber form or forms being used. There is structural relaxation during fiber compression. Relaxation is very related to fiber orientation, span length, and fiber breakage during compaction. Relaxation behavior decreases with fiber alignment. Random mats and 0/90 cloth show much more relaxation than unidirectional fibers. Data of relaxation is very well fitted with a Maxwell-Wiechert viscoelastic model.","container-title":"Polymer Composites","DOI":"10.1002/pc.750120104","ISSN":"1548-0569","issue":"1","language":"en","note":"_eprint: https://onlinelibrary.wiley.com/doi/pdf/10.1002/pc.750120104","page":"13-19","source":"Wiley Online Library","title":"Compressibility and relaxation of fiber reinforcements during composite processing","volume":"12","author":[{"family":"Kim","given":"Young Roak"},{"family":"McCarthy","given":"Stephen P."},{"family":"Fanucci","given":"Jerome P."}],"issued":{"date-parts":[["1991"]]}}},{"id":214,"uris":["http://zotero.org/users/6222105/items/IMNW26J2"],"itemData":{"id":214,"type":"article-journal","abstract":"The objectives of this series of papers are to describe the mechanical behavior of textile reinforcements under normal load and to quantify the effects of diverse processing parameters on that behavior. In the first and second papers of the series, experimental compaction and relaxation results were reported; general trends were identified and the effects of changes in the processing parameters were analyzed. In this paper, the results of sequences of successive compaction cycles applied to dry textiles and to textiles saturated in distilled H2O and silicone oil are presented. The reinforcements investigated are produced by assembling tows or rovings following different patterns; it is shown that the resulting heterogeneity, or regular variation of the local fiber volume fraction, can be associated to some particular elements of the mechanical behavior of the reinforcements. The reorganization of the fiber network and the effect of friction at the fiber contacts are demonstrated. Different stages in the reorganization process are identified; each stage is controlled by different parameters and corresponds to a precise behavior. Successive compaction cycles applied to a preform can reduce the void content of the final part.","container-title":"Polymer Composites","DOI":"10.1002/pc.10334","ISSN":"1548-0569","issue":"1","language":"en","note":"_eprint: https://onlinelibrary.wiley.com/doi/pdf/10.1002/pc.10334","page":"48-61","source":"Wiley Online Library","title":"Compaction of textile reinforcements for composites manufacturing. III: Reorganization of the fiber network","title-short":"Compaction of textile reinforcements for composites manufacturing. III","volume":"20","author":[{"family":"Robitaille","given":"François"},{"family":"Gauvin","given":"Raymond"}],"issued":{"date-parts":[["1999"]]}}},{"id":176,"uris":["http://zotero.org/users/6222105/items/SKCGJ3GB"],"itemData":{"id":176,"type":"article-journal","abstract":"Characterizing the response of compressed dry fibrous reinforcements is a key feature to control liquid composite molding processes. Considering preforms manufactured by automated dry fiber placement, supplementary information are needed, since cyclic loading occurs, during which the mechanical properties of tows evolve. In this way, an extensive characterization procedure is proposed in this article. Each mechanical feature, such as nonlinearity, springback, irreversibility, stabilization, and strain rate dependence, is analyzed, and when possible, related to microstructural observations. Particular attention is paid to the response in other directions than the compressed one. Finally, from this characterization, a route to modeling is drawn: analogies with other classes of materials are proposed, leading to choices on the modeling of each mechanical property.","container-title":"Journal of Composite Materials","DOI":"10.1177/0021998317752229","ISSN":"0021-9983, 1530-793X","issue":"19","journalAbbreviation":"Journal of Composite Materials","language":"en","page":"2661-2677","source":"DOI.org (Crossref)","title":"Three-dimensional mechanical properties of dry carbon fiber tows subjected to cyclic compressive loading","volume":"52","author":[{"family":"Lectez","given":"Anne-Sophie"},{"family":"El Azzouzi","given":"Khalid"},{"family":"Binetruy","given":"Christophe"},{"family":"Comas-Cardona","given":"Sébastien"},{"family":"Verron","given":"Erwan"},{"family":"Lebrun","given":"Jean-Michel"}],"issued":{"date-parts":[["2018",8]]}}},{"id":212,"uris":["http://zotero.org/users/6222105/items/W6SYN5VB"],"itemData":{"id":212,"type":"article-journal","abstract":"Controlled atmospheric pressure resin infusion (CAPRI) is a variation of the vacuum-assisted resin transfer molding (VARTM) process. The CAPRI process increases the fiber volume fraction of the preform prior to infusion via debulking and applies a reduced pressure gradient during infusion to minimize thickness gradients during processing. This study experimentally investigates the effect of debulking and reduced pressure gradient on the incoming material parameters, process behavior and final dimensional tolerances. The effect of debulking on fabric permeability and compaction behavior has been investigated and shows a significant impact on the infusion time and final fiber volume fraction. Several E-glass plain weave preforms have been infused and flow, pressure and thickness data has been recorded and compared to traditional VARTM processing. A previously developed model uses the experimentally obtained permeability data and good agreement of the flow behavior is observed, the CAPRI process decreases thickness gradients to less than 1% while increasing fiber volume fraction by 5% in the composite part.","container-title":"Journal of Composite Materials","DOI":"10.1177/0021998308090650","ISSN":"0021-9983","issue":"11","journalAbbreviation":"Journal of Composite Materials","note":"publisher: SAGE Publications Ltd STM","page":"1049-1061","source":"SAGE Journals","title":"Experimental Investigation of the Controlled Atmospheric Pressure Resin Infusion (CAPRI) Process","volume":"42","author":[{"family":"Niggemann","given":"Christian"},{"family":"Song","given":"Young Seok"},{"family":"Gillespie","given":"John W."},{"family":"Heider","given":"Dirk"}],"issued":{"date-parts":[["2008",6,1]]}}},{"id":213,"uris":["http://zotero.org/users/6222105/items/KQJPJXVD"],"itemData":{"id":213,"type":"article-journal","abstract":"Fibre-reinforced polymer (FRP) composite products find application in industries like automotive, marine, aerospace and infrastructure. They can be manufactured using a variety of techniques. The fibrous reinforcement is first compacted to the required final fibre volume fraction, to achieve the desired material composition. For modelling reinforcement compaction behaviour, it is usually assumed that its compression deformation response is non-linear elastic. Some researchers have developed viscoelastic models of compression deformation of fibrous reinforcement networks. However, previous research has demonstrated the presence of considerable permanent deformation, and in some cases, significant time-dependent recovery. These non-elastic effects have been investigated by a series of experiments on three very different types of glass fibre reinforcements. The aim is to quantify these identified components of deformation, and to establish their relative importance. The results highlight that significant permanent deformation occurs in all cases. This factor must be considered in the development of realistic deformation models. This knowledge also contributes to improved composite product quality with regards residual stresses, delamination and distortion after curing.","collection-title":"Modelling and Characterization of Composites","container-title":"Composites Science and Technology","DOI":"10.1016/j.compscitech.2006.07.032","ISSN":"0266-3538","issue":"2","journalAbbreviation":"Composites Science and Technology","language":"en","page":"183-200","source":"ScienceDirect","title":"Exploring the non-elastic compression deformation of dry glass fibre reinforcements","volume":"67","author":[{"family":"Somashekar","given":"A. A."},{"family":"Bickerton","given":"S."},{"family":"Bhattacharyya","given":"D."}],"issued":{"date-parts":[["2007",2,1]]}}}],"schema":"https://github.com/citation-style-language/schema/raw/master/csl-citation.json"} </w:instrText>
      </w:r>
      <w:r w:rsidRPr="00B11B1C">
        <w:fldChar w:fldCharType="separate"/>
      </w:r>
      <w:r w:rsidR="00204068" w:rsidRPr="00B11B1C">
        <w:t>[12], [13], [15], [17], [18]</w:t>
      </w:r>
      <w:r w:rsidRPr="00B11B1C">
        <w:fldChar w:fldCharType="end"/>
      </w:r>
      <w:r w:rsidRPr="00B11B1C">
        <w:t>. Similar reinforcement compaction studies have focused on the compressibility of the reinforcement during</w:t>
      </w:r>
      <w:r w:rsidR="006F5141" w:rsidRPr="00B11B1C">
        <w:t xml:space="preserve"> VI</w:t>
      </w:r>
      <w:r w:rsidRPr="00B11B1C">
        <w:t xml:space="preserve"> processing </w:t>
      </w:r>
      <w:r w:rsidRPr="00B11B1C">
        <w:fldChar w:fldCharType="begin"/>
      </w:r>
      <w:r w:rsidR="00204068" w:rsidRPr="00B11B1C">
        <w:instrText xml:space="preserve"> ADDIN ZOTERO_ITEM CSL_CITATION {"citationID":"GQ5OutbR","properties":{"formattedCitation":"[19]\\uc0\\u8211{}[22]","plainCitation":"[19]–[22]","noteIndex":0},"citationItems":[{"id":208,"uris":["http://zotero.org/users/6222105/items/BZXVIT89"],"itemData":{"id":208,"type":"article-journal","abstract":"In flow simulation of liquid composite molding under a flexible cover, such as vacuum infusion (VI), the accuracy can be improved by accounting for the compressibility of the reinforcement. The compressibility has been predominately measured using a universal testing machine (UTM) but discrepancies have been observed between the compressibility determined by UTM testing and that in situ during VI processing. The differences between the two are thought to be due to (1) differences in hydrodynamic loading and (2) precision difficulties related to the small displacements being measured. In situ VI compressibility characterization is more difficult and requires specialized equipment. This study aims to validate the use of UTM-measured compressibility in VI flow simulation, by investigating the agreement between the two measurement methods, and to develop an experimental methodology to optimize that agreement. Wet UTM testing was instrumented with pressure sensors, which allowed for a thorough investigation of the validity of model predictions of the fluid pressure. Matching the test conditions, as well as careful thickness calibration, resulted in good agreement between dry UTM and VI compressibility. Dry UTM testing resulted in better agreement with VI than wet UTM testing. This suggests that dry UTM measurement of the compressibility is sufficient and wet testing is ultimately unnecessary for the purposes of flow simulation. POLYM. COMPOS., 40:961–973, 2019. © 2018 Society of Plastics Engineers","container-title":"Polymer Composites","DOI":"10.1002/pc.24770","ISSN":"1548-0569","issue":"3","language":"en","note":"_eprint: https://onlinelibrary.wiley.com/doi/pdf/10.1002/pc.24770","page":"961-973","source":"Wiley Online Library","title":"Compressibility measurement of composite reinforcements for flow simulation of vacuum infusion","volume":"40","author":[{"family":"George","given":"Andrew"},{"family":"Hannibal","given":"Paul"},{"family":"Morgan","given":"Michael"},{"family":"Hoagland","given":"David"},{"family":"Stapleton","given":"Scott E."}],"issued":{"date-parts":[["2019"]]}}},{"id":177,"uris":["http://zotero.org/users/6222105/items/TILMGQ5Q"],"itemData":{"id":177,"type":"article-journal","abstract":"In this paper, a reliable and reproducible experimental procedure for the study of the through-thickness flow induced by the compaction of a saturated porous media is presented. Experimental fluid pressure data are exploited in the validation of a fully coupled fluid-mechanical model and the verification of the related material parameters. The experimental results show overall good agreement with the numerical solution, for all three configurations tested. In addition, up-scaling rules have been identified, which relate the consolidation time with the fluid viscosity and the number of layers.","container-title":"Journal of Composite Materials","DOI":"10.1177/0021998316671574","ISSN":"0021-9983, 1530-793X","issue":"17","journalAbbreviation":"Journal of Composite Materials","language":"en","page":"2467-2475","source":"DOI.org (Crossref)","title":"Experimental validation of through-thickness resin flow model in the consolidation of saturated porous media","volume":"51","author":[{"family":"Danzi","given":"Mario"},{"family":"Klunker","given":"Florian"},{"family":"Ermanni","given":"Paolo"}],"issued":{"date-parts":[["2017",7]]}}},{"id":175,"uris":["http://zotero.org/users/6222105/items/6JJQWKJR"],"itemData":{"id":175,"type":"article-journal","abstract":"A woven fabric’s compaction was modeled by using five viscoelastic models – Maxwell, Kelvin-Voigt, Zener, Burgers, and Generalized Maxwell – to reveal the capabilities and limitations of the models. The model parameters were optimized by minimizing the deviation between the model results and experimental data collected in our previous material characterization study mimicking different compaction stages (loading, fiber settling, wetting, unloading, and fiber relaxation) that a fiber structure undergoes during vacuum infusion process. Although Burgers and Generalized Maxwell models have the highest performance due to their almost equal coefficient of determination values, they have diverse characteristics in terms of modeling different stages of compaction. Burgers model allowed modeling the permanent deformation in relaxation stage, but failed in modeling permanent deformation in settling stage. Generalized Maxwell model could do the opposite, i.e. failed in the former and could handle the latter. This study’s major contribution is a holistic numerical approach and its conclusions by modeling all stages of the vacuum infusion process instead of one stage at a time, and thus optimizing only one set of model parameters (constants of springs and dampers) since they do not change with time. The numerical results of different models were fit to the results of a specially designed compaction characterization experiments conducted in our complementary study.","container-title":"Journal of Composite Materials","DOI":"10.1177/0021998317699983","ISSN":"0021-9983, 1530-793X","issue":"30","journalAbbreviation":"Journal of Composite Materials","language":"en","page":"4189-4203","source":"DOI.org (Crossref)","title":"Viscoelastic modeling of fiber preform compaction in vacuum infusion process","volume":"51","author":[{"family":"Yenilmez","given":"Bekir"},{"family":"Caglar","given":"Baris"},{"family":"Sozer","given":"E Murat"}],"issued":{"date-parts":[["2017",12]]}}},{"id":279,"uris":["http://zotero.org/users/6222105/items/U68ZV6F7"],"itemData":{"id":279,"type":"article-journal","abstract":"A woven fabric?s compaction in the vacuum infusion process is characterized by applying an initial settling under a minor load, compaction, settling under a major load, decompaction and relaxation. The effects of compaction rate, relaxation pressure, wetting and debulking cycles are all investigated. Although wetting helps by increasing fiber volume fraction insignificantly, its contribution is more significant during debulking cycles by increasing the fiber volume fraction to 57.4% as compared to 55.4% for the debulked dry specimens. Recovery during decompaction is much less than the deformation during compaction, and thinning/thickening of the specimens with time under constant pressure, so called settling/relaxation pressures, indicates that fabric specimens are not elastic materials, but viscoelastic. The experimental data of this study will be valuable to compare different viscoelastic and elastic compaction models in our next study.","container-title":"Journal of Composite Materials","DOI":"10.1177/0021998316685164","ISSN":"0021-9983","issue":"9","language":"en","note":"publisher: SAGE Publications Ltd STM","page":"1209-1224","source":"SAGE Journals","title":"Pressure-controlled compaction characterization of fiber preforms suitable for viscoelastic modeling in the vacuum infusion process","volume":"51","author":[{"family":"Yenilmez","given":"Bekir"},{"family":"Caglar","given":"Baris"},{"family":"Sozer","given":"E Murat"}],"issued":{"date-parts":[["2017",4,1]]}}}],"schema":"https://github.com/citation-style-language/schema/raw/master/csl-citation.json"} </w:instrText>
      </w:r>
      <w:r w:rsidRPr="00B11B1C">
        <w:fldChar w:fldCharType="separate"/>
      </w:r>
      <w:r w:rsidR="00204068" w:rsidRPr="00B11B1C">
        <w:t>[19]–[22]</w:t>
      </w:r>
      <w:r w:rsidRPr="00B11B1C">
        <w:fldChar w:fldCharType="end"/>
      </w:r>
      <w:r w:rsidRPr="00B11B1C">
        <w:t xml:space="preserve">, without examining the effects of pre-infusion debulking. </w:t>
      </w:r>
    </w:p>
    <w:p w14:paraId="260EF33F" w14:textId="473DE6CB" w:rsidR="007B369F" w:rsidRPr="00B11B1C" w:rsidRDefault="007B369F" w:rsidP="014D097B">
      <w:r w:rsidRPr="00B11B1C">
        <w:t xml:space="preserve">One common observation on both micro-CT scans and serial sections of </w:t>
      </w:r>
      <w:r w:rsidR="00CD0D06" w:rsidRPr="00B11B1C">
        <w:t>CFRP</w:t>
      </w:r>
      <w:r w:rsidRPr="00B11B1C">
        <w:t xml:space="preserve">s is the presence of voids. Voids appear as extremely dark regions that lay in between individual fibers as well as in between other fibrous structures such as tows and plies. During LCM processing including VI, small amounts of gas are mechanically trapped as bubbles due to the dual scale flow including flow between the fiber tows, and flow within the fiber tows </w:t>
      </w:r>
      <w:r w:rsidRPr="00B11B1C">
        <w:fldChar w:fldCharType="begin"/>
      </w:r>
      <w:r w:rsidR="00802A1F" w:rsidRPr="00B11B1C">
        <w:instrText xml:space="preserve"> ADDIN ZOTERO_ITEM CSL_CITATION {"citationID":"WlWBQDLY","properties":{"formattedCitation":"[23]\\uc0\\u8211{}[25]","plainCitation":"[23]–[25]","noteIndex":0},"citationItems":[{"id":207,"uris":["http://zotero.org/users/6222105/items/AY58KH3L"],"itemData":{"id":207,"type":"article-journal","abstract":"When geometry–anisotropic fabrics, in which the thickness and width of fiber bundles differ in the warp direction and weft direction, respectively, are used for resin transfer molding (RTM), microscopic porous structures along a flow path may depend on the resin flow direction. This study investigated the influence of woven fabrics’ geometric anisotropy on inter-bundle void formation due to air entrapment at the flow front during RTM. The void content–resin flow velocity relationship was measured in warp (narrow and thick bundle) and weft (wide and thin bundle) directional impregnation. In experiments, warp directional impregnation indicated higher critical resin flow velocity of void formation and void content under a given resin flow velocity than in weft directional impregnation. Void formation was also largely affected by capillary fingering, where warp directional impregnation indicated a higher critical flow velocity of fingering formation. This may be because the gap between the fiber bundle and the mold surface is smaller in the warp direction; thus, the capillary force is higher, and fingering is facilitated compared with weft directional impregnation. Additionally, this may lead to a higher critical velocity of void formation and higher void content at a given flow velocity in warp directional impregnation.","container-title":"Advanced Composite Materials","DOI":"10.1080/09243046.2013.832829","ISSN":"0924-3046","issue":"2","note":"publisher: Taylor &amp; Francis\n_eprint: https://doi.org/10.1080/09243046.2013.832829","page":"99-114","source":"Taylor and Francis+NEJM","title":"Void formation in geometry–anisotropic woven fabrics in resin transfer molding","volume":"23","author":[{"family":"Matsuzaki","given":"Ryosuke"},{"family":"Seto","given":"Daigo"},{"family":"Todoroki","given":"Akira"},{"family":"Mizutani","given":"Yoshihiro"}],"issued":{"date-parts":[["2014",3,4]]}}},{"id":190,"uris":["http://zotero.org/users/6222105/items/P6IIKSFI"],"itemData":{"id":190,"type":"article-journal","abstract":"The influence of different process variables on the void content in resin transfer modling (RTM) has been investigated experimentally. The moldings were made in a flat mold filled by a parallel flow from one edge of the laminate to the other. The viods were found concentrated in a narrow region close to the ventilation side of the laminate. The void volume fraction in this region was almost constant and dropped over a short distance to basically no voids in the rest of the laminate. Micrographs from cross sections in different directions revealed that the voids were of two different types, long cylinderical bubbles inside the fiber bundles. An efficient way of reducing the void content was to use vacuum assistance during mold filling. This technique was benefical both for the magnitude of the void content and for the extent of the void region. The void content with the highest level of vacuum assistance (≈︁ 1 kPa absolute pressure), was practically negligible. Strong indications for void generation by mechanical entrapment at the flow front was found. The lowering of the void content with vacuum assistance can be interpreted as aresult of compression of voids when the vacuum is released and a higher mobility of voids created at a lower pressure.","container-title":"Polymer Composites","DOI":"10.1002/pc.750150105","ISSN":"1548-0569","issue":"1","language":"en","note":"_eprint: https://onlinelibrary.wiley.com/doi/pdf/10.1002/pc.750150105","page":"25-33","source":"Wiley Online Library","title":"Influence from process parameters on void formation in resin transfer molding","volume":"15","author":[{"family":"Lundström","given":"T. Staffan"},{"family":"Gebart","given":"B. Rikard"}],"issued":{"date-parts":[["1994"]]}}},{"id":282,"uris":["http://zotero.org/users/6222105/items/XTPREXYF"],"itemData":{"id":282,"type":"article-journal","abstract":"Analysis of the impregnation process during injection experiments in fibre-reinforced polymer composites has been carried out via a three-dimensional in-situ imaging method, namely Synchrotron Radiation Computed Laminography (SR-CL). A resin transfer moulding device was designed to perform injection experiments at different flow rates while, at the same time, the evolution of the flow front was inspected by SR-CL. Injections with flow rates of 50 μL/min and 300 μL/min in plain woven E-glass fabrics were carried out, resulting in small capillary number fluid propagation with capillary forces dominant over viscous ones. Intratow and intertow voids were accurately segmented by using a machine learning algorithm that enabled the direct measurement of their time and spatial distribution from the raw XCT volumes. The saturation evolution, void content, shape and spatial distribution quantification are reported. Intratow void formation and transport mechanisms were accurately described, in particular those related with large void splitting including the subsequent flow dragging. Advantages and limitations of the use of SR-CL for the analysis of the impregnation process of dry preforms in liquid moulding are discussed in detail, and in particular, those aspects related with the time acquisition limitations.","container-title":"Composites Science and Technology","DOI":"10.1016/j.compscitech.2021.108999","ISSN":"0266-3538","journalAbbreviation":"Composites Science and Technology","language":"en","page":"108999","source":"ScienceDirect","title":"In situ local imaging and analysis of impregnation during liquid moulding of composite materials using synchrotron radiation computed laminography","volume":"215","author":[{"family":"Castro","given":"J."},{"family":"Sket","given":"F."},{"family":"Helfen","given":"L."},{"family":"González","given":"C."}],"issued":{"date-parts":[["2021",10,20]]}}}],"schema":"https://github.com/citation-style-language/schema/raw/master/csl-citation.json"} </w:instrText>
      </w:r>
      <w:r w:rsidRPr="00B11B1C">
        <w:fldChar w:fldCharType="separate"/>
      </w:r>
      <w:r w:rsidR="00802A1F" w:rsidRPr="00B11B1C">
        <w:t>[23]–[25]</w:t>
      </w:r>
      <w:r w:rsidRPr="00B11B1C">
        <w:fldChar w:fldCharType="end"/>
      </w:r>
      <w:r w:rsidRPr="00B11B1C">
        <w:t xml:space="preserve">.The trapped gas comes from either the resin itself, or from lingering atmospheric gas amid the fibers. Inter-tow macro-voids are formed when the flow front velocity is low and the intra-tow capillary flow outpaces the inter-tow bulk flow </w:t>
      </w:r>
      <w:r w:rsidRPr="00B11B1C">
        <w:fldChar w:fldCharType="begin"/>
      </w:r>
      <w:r w:rsidR="00204068" w:rsidRPr="00B11B1C">
        <w:instrText xml:space="preserve"> ADDIN ZOTERO_ITEM CSL_CITATION {"citationID":"MGj4RmIA","properties":{"formattedCitation":"[23]","plainCitation":"[23]","noteIndex":0},"citationItems":[{"id":207,"uris":["http://zotero.org/users/6222105/items/AY58KH3L"],"itemData":{"id":207,"type":"article-journal","abstract":"When geometry–anisotropic fabrics, in which the thickness and width of fiber bundles differ in the warp direction and weft direction, respectively, are used for resin transfer molding (RTM), microscopic porous structures along a flow path may depend on the resin flow direction. This study investigated the influence of woven fabrics’ geometric anisotropy on inter-bundle void formation due to air entrapment at the flow front during RTM. The void content–resin flow velocity relationship was measured in warp (narrow and thick bundle) and weft (wide and thin bundle) directional impregnation. In experiments, warp directional impregnation indicated higher critical resin flow velocity of void formation and void content under a given resin flow velocity than in weft directional impregnation. Void formation was also largely affected by capillary fingering, where warp directional impregnation indicated a higher critical flow velocity of fingering formation. This may be because the gap between the fiber bundle and the mold surface is smaller in the warp direction; thus, the capillary force is higher, and fingering is facilitated compared with weft directional impregnation. Additionally, this may lead to a higher critical velocity of void formation and higher void content at a given flow velocity in warp directional impregnation.","container-title":"Advanced Composite Materials","DOI":"10.1080/09243046.2013.832829","ISSN":"0924-3046","issue":"2","note":"publisher: Taylor &amp; Francis\n_eprint: https://doi.org/10.1080/09243046.2013.832829","page":"99-114","source":"Taylor and Francis+NEJM","title":"Void formation in geometry–anisotropic woven fabrics in resin transfer molding","volume":"23","author":[{"family":"Matsuzaki","given":"Ryosuke"},{"family":"Seto","given":"Daigo"},{"family":"Todoroki","given":"Akira"},{"family":"Mizutani","given":"Yoshihiro"}],"issued":{"date-parts":[["2014",3,4]]}}}],"schema":"https://github.com/citation-style-language/schema/raw/master/csl-citation.json"} </w:instrText>
      </w:r>
      <w:r w:rsidRPr="00B11B1C">
        <w:fldChar w:fldCharType="separate"/>
      </w:r>
      <w:r w:rsidR="00204068" w:rsidRPr="00B11B1C">
        <w:t>[23]</w:t>
      </w:r>
      <w:r w:rsidRPr="00B11B1C">
        <w:fldChar w:fldCharType="end"/>
      </w:r>
      <w:r w:rsidRPr="00B11B1C">
        <w:t xml:space="preserve">. Intra-tow micro-voids may be formed in the opposite case when the flow front velocity is high and outpaces capillary flow </w:t>
      </w:r>
      <w:r w:rsidRPr="00B11B1C">
        <w:fldChar w:fldCharType="begin"/>
      </w:r>
      <w:r w:rsidR="00802A1F" w:rsidRPr="00B11B1C">
        <w:instrText xml:space="preserve"> ADDIN ZOTERO_ITEM CSL_CITATION {"citationID":"MWYTj1TN","properties":{"formattedCitation":"[26], [27]","plainCitation":"[26], [27]","noteIndex":0},"citationItems":[{"id":186,"uris":["http://zotero.org/users/6222105/items/Z8SSGM6F"],"itemData":{"id":186,"type":"article-journal","abstract":"Liquid composite molding (LCM) processes such as resin transfer molding and structural reaction injection molding are considered to be high potential processes for the mass production of composite parts. The resin injection step in LCM consists of two simultaneous flows: bulk mold filling and tow wetting. This complexity often results in the entrapment of air in the composite part, which is known to result in degradation of part performance, In this work, systematic investigation of the resin flow behavior through various types of glass fiber reinforcements is carried out by flow visualization. The objective is to relate the fiber mat architecture to the micro scale flow pattern and void formation, movement, and removal. An optical image analysis and processing technique is developed to help quantify void formation. Void formation is related to liquid properties and fiber-liquid contact angle. Although the focus of the study is LCM, the results can be directly applied to other composite manufacturing processes that involve advancement of resin in a dry fiber reinforcement.","container-title":"Polymer Composites","DOI":"10.1002/pc.750160507","ISSN":"1548-0569","issue":"5","language":"en","note":"_eprint: https://onlinelibrary.wiley.com/doi/pdf/10.1002/pc.750160507","page":"386-399","source":"Wiley Online Library","title":"Effects of fiber mat architecture on void formation and removal in liquid composite molding","volume":"16","author":[{"family":"Patel","given":"N."},{"family":"Lee","given":"L. James"}],"issued":{"date-parts":[["1995"]]}}},{"id":187,"uris":["http://zotero.org/users/6222105/items/JNL9DSR8"],"itemData":{"id":187,"type":"article-journal","abstract":"In this study, we present a review of the modeling of void formation and unsaturated flow in liquid composite molding processes. We examine modeling efforts considering all the mechanisms involved such as void formation and transport, bubble compression, and gas dissolution. In particular, the capillary number is identified as a key parameter for void formation and transport. Numerical simulation studies are reviewed, and a state-of-the-art is presented. The influence of microvoids on the global resin flow is also investigated. To model the unsaturated flow more accurately, we suggest considering the surface tension or capillary pressure, variation in permeability in terms of saturation and fiber displacement, as well as tow saturation. From this investigation, the apparent permeability and pressure profile in saturated and unsaturated flows are compared.","container-title":"Journal of Reinforced Plastics and Composites","DOI":"10.1177/0731684411411338","ISSN":"0731-6844","issue":"11","journalAbbreviation":"Journal of Reinforced Plastics and Composites","note":"publisher: SAGE Publications Ltd STM","page":"957-977","source":"SAGE Journals","title":"Modeling void formation and unsaturated flow in liquid composite molding processes: a survey and review","title-short":"Modeling void formation and unsaturated flow in liquid composite molding processes","volume":"30","author":[{"family":"Park","given":"Chung Hae"},{"family":"Woo","given":"Lee"}],"issued":{"date-parts":[["2011",6,1]]}}}],"schema":"https://github.com/citation-style-language/schema/raw/master/csl-citation.json"} </w:instrText>
      </w:r>
      <w:r w:rsidRPr="00B11B1C">
        <w:fldChar w:fldCharType="separate"/>
      </w:r>
      <w:r w:rsidR="00802A1F" w:rsidRPr="00B11B1C">
        <w:t>[26], [27]</w:t>
      </w:r>
      <w:r w:rsidRPr="00B11B1C">
        <w:fldChar w:fldCharType="end"/>
      </w:r>
      <w:r w:rsidRPr="00B11B1C">
        <w:t>.</w:t>
      </w:r>
      <w:r w:rsidR="00520169" w:rsidRPr="00B11B1C">
        <w:t xml:space="preserve"> </w:t>
      </w:r>
      <w:r w:rsidR="00702FB8" w:rsidRPr="00B11B1C">
        <w:t xml:space="preserve">Although debulking may result in enhanced mechanics, it comes at the cost of processability. Greater debulking causes an increase in the fiber volume content, and thus slower filling velocities. As per the dual scale void formation theory outlined above, this should result in more formation of macro-bubbles, i.e., those formed between the tows. With the tighter fiber packing, this will also result in less ability for the trapped bubbles to be flushed to the flow front and out of the resin </w:t>
      </w:r>
      <w:r w:rsidRPr="00B11B1C">
        <w:fldChar w:fldCharType="begin"/>
      </w:r>
      <w:r w:rsidR="00802A1F" w:rsidRPr="00B11B1C">
        <w:instrText xml:space="preserve"> ADDIN ZOTERO_ITEM CSL_CITATION {"citationID":"5iZfs7Au","properties":{"formattedCitation":"[28]","plainCitation":"[28]","noteIndex":0},"citationItems":[{"id":180,"uris":["http://zotero.org/users/6222105/items/K3GPL6BI"],"itemData":{"id":180,"type":"article-journal","abstract":"The motion of the liquid front during impregnation of non-crimp fabrics has been considered by using Sethian’s level set method. Particular attention is put on the creation of bubbles at the liquid front and a virtual 3D model mimicking biaxial fabrics has been built for this purpose. The saturated fluid flow is governed by the Navier–Stokes Equations and Darcy law, while capillary pressure has been accounted for at the liquid flow front and continuity maintained. The influence of perturbation in the bundle geometry has been investigated. Local correlations of the dimensions of neighbouring gaps formed between the bundles are of paramount importance. Focus is on inter-bundle bubbles. An existing model for bubble dynamics is used based on a probabilistic approach for bubbles moving, splitting, merging, and dissolving. The same approach was used for intra-bundle bubbles, the difference being that their motion appears to be much slower. The obtained void fractions of inter-bundle bubbles at different vacuum levels applied at the liquid flow front are compared to those from real mouldings with a high degree of conformity.","collection-title":"Special Issue: Flow Processes in Composite Materials","container-title":"Composites Part A: Applied Science and Manufacturing","DOI":"10.1016/j.compositesa.2009.05.012","ISSN":"1359-835X","issue":"1","journalAbbreviation":"Composites Part A: Applied Science and Manufacturing","language":"en","page":"83-92","source":"ScienceDirect","title":"Bubble formation and motion in non-crimp fabrics with perturbed bundle geometry","volume":"41","author":[{"family":"Staffan Lundström","given":"T."},{"family":"Frishfelds","given":"Vilnis"},{"family":"Jakovics","given":"Andris"}],"issued":{"date-parts":[["2010",1,1]]}}}],"schema":"https://github.com/citation-style-language/schema/raw/master/csl-citation.json"} </w:instrText>
      </w:r>
      <w:r w:rsidRPr="00B11B1C">
        <w:fldChar w:fldCharType="separate"/>
      </w:r>
      <w:r w:rsidR="00802A1F" w:rsidRPr="00B11B1C">
        <w:t>[28]</w:t>
      </w:r>
      <w:r w:rsidRPr="00B11B1C">
        <w:fldChar w:fldCharType="end"/>
      </w:r>
      <w:r w:rsidR="00702FB8" w:rsidRPr="00B11B1C">
        <w:t>, thus</w:t>
      </w:r>
      <w:r w:rsidR="005C1E2E" w:rsidRPr="00B11B1C">
        <w:t xml:space="preserve"> increasing </w:t>
      </w:r>
      <w:r w:rsidR="00702FB8" w:rsidRPr="00B11B1C">
        <w:t>the final void content. No previous studies have investigated this trade-off, namely, how much of an increase in filling time and void content result from a particular amount of debulking.</w:t>
      </w:r>
    </w:p>
    <w:p w14:paraId="2AD674D7" w14:textId="597E1E2D" w:rsidR="00D91C87" w:rsidRPr="00B11B1C" w:rsidRDefault="00D91C87" w:rsidP="00D91C87">
      <w:r w:rsidRPr="00B11B1C">
        <w:t xml:space="preserve">The effects of debulking on </w:t>
      </w:r>
      <w:r w:rsidR="00314DEF" w:rsidRPr="00B11B1C">
        <w:t xml:space="preserve">the organization of </w:t>
      </w:r>
      <w:r w:rsidRPr="00B11B1C">
        <w:t>fibrous microstructures have not yet been well characterized. The one known study on this subject showed a lateral spreading of the fiber tows during the first compaction cycle, leading to a significant rise in the maximum fiber volume fraction</w:t>
      </w:r>
      <w:r w:rsidR="00B81AFC" w:rsidRPr="00B11B1C">
        <w:t xml:space="preserve"> </w:t>
      </w:r>
      <w:r w:rsidRPr="00B11B1C">
        <w:t xml:space="preserve">and a dependence on the frictional characteristics of the fiber contacts for </w:t>
      </w:r>
      <w:r w:rsidR="00D9625A" w:rsidRPr="00B11B1C">
        <w:t>later cycles</w:t>
      </w:r>
      <w:r w:rsidRPr="00B11B1C">
        <w:t xml:space="preserve"> </w:t>
      </w:r>
      <w:r w:rsidRPr="00B11B1C">
        <w:fldChar w:fldCharType="begin"/>
      </w:r>
      <w:r w:rsidR="00204068" w:rsidRPr="00B11B1C">
        <w:instrText xml:space="preserve"> ADDIN ZOTERO_ITEM CSL_CITATION {"citationID":"EVxXu9ia","properties":{"formattedCitation":"[13]","plainCitation":"[13]","noteIndex":0},"citationItems":[{"id":214,"uris":["http://zotero.org/users/6222105/items/IMNW26J2"],"itemData":{"id":214,"type":"article-journal","abstract":"The objectives of this series of papers are to describe the mechanical behavior of textile reinforcements under normal load and to quantify the effects of diverse processing parameters on that behavior. In the first and second papers of the series, experimental compaction and relaxation results were reported; general trends were identified and the effects of changes in the processing parameters were analyzed. In this paper, the results of sequences of successive compaction cycles applied to dry textiles and to textiles saturated in distilled H2O and silicone oil are presented. The reinforcements investigated are produced by assembling tows or rovings following different patterns; it is shown that the resulting heterogeneity, or regular variation of the local fiber volume fraction, can be associated to some particular elements of the mechanical behavior of the reinforcements. The reorganization of the fiber network and the effect of friction at the fiber contacts are demonstrated. Different stages in the reorganization process are identified; each stage is controlled by different parameters and corresponds to a precise behavior. Successive compaction cycles applied to a preform can reduce the void content of the final part.","container-title":"Polymer Composites","DOI":"10.1002/pc.10334","ISSN":"1548-0569","issue":"1","language":"en","note":"_eprint: https://onlinelibrary.wiley.com/doi/pdf/10.1002/pc.10334","page":"48-61","source":"Wiley Online Library","title":"Compaction of textile reinforcements for composites manufacturing. III: Reorganization of the fiber network","title-short":"Compaction of textile reinforcements for composites manufacturing. III","volume":"20","author":[{"family":"Robitaille","given":"François"},{"family":"Gauvin","given":"Raymond"}],"issued":{"date-parts":[["1999"]]}}}],"schema":"https://github.com/citation-style-language/schema/raw/master/csl-citation.json"} </w:instrText>
      </w:r>
      <w:r w:rsidRPr="00B11B1C">
        <w:fldChar w:fldCharType="separate"/>
      </w:r>
      <w:r w:rsidR="00204068" w:rsidRPr="00B11B1C">
        <w:t>[13]</w:t>
      </w:r>
      <w:r w:rsidRPr="00B11B1C">
        <w:fldChar w:fldCharType="end"/>
      </w:r>
      <w:r w:rsidRPr="00B11B1C">
        <w:t xml:space="preserve">. This difference in mechanisms between the first compaction and later ones suggests that the models developed for the compaction occurring during VI processing, based on no debulking </w:t>
      </w:r>
      <w:r w:rsidRPr="00B11B1C">
        <w:fldChar w:fldCharType="begin"/>
      </w:r>
      <w:r w:rsidR="00204068" w:rsidRPr="00B11B1C">
        <w:instrText xml:space="preserve"> ADDIN ZOTERO_ITEM CSL_CITATION {"citationID":"2spK7Vyi","properties":{"formattedCitation":"[21]","plainCitation":"[21]","noteIndex":0},"citationItems":[{"id":175,"uris":["http://zotero.org/users/6222105/items/6JJQWKJR"],"itemData":{"id":175,"type":"article-journal","abstract":"A woven fabric’s compaction was modeled by using five viscoelastic models – Maxwell, Kelvin-Voigt, Zener, Burgers, and Generalized Maxwell – to reveal the capabilities and limitations of the models. The model parameters were optimized by minimizing the deviation between the model results and experimental data collected in our previous material characterization study mimicking different compaction stages (loading, fiber settling, wetting, unloading, and fiber relaxation) that a fiber structure undergoes during vacuum infusion process. Although Burgers and Generalized Maxwell models have the highest performance due to their almost equal coefficient of determination values, they have diverse characteristics in terms of modeling different stages of compaction. Burgers model allowed modeling the permanent deformation in relaxation stage, but failed in modeling permanent deformation in settling stage. Generalized Maxwell model could do the opposite, i.e. failed in the former and could handle the latter. This study’s major contribution is a holistic numerical approach and its conclusions by modeling all stages of the vacuum infusion process instead of one stage at a time, and thus optimizing only one set of model parameters (constants of springs and dampers) since they do not change with time. The numerical results of different models were fit to the results of a specially designed compaction characterization experiments conducted in our complementary study.","container-title":"Journal of Composite Materials","DOI":"10.1177/0021998317699983","ISSN":"0021-9983, 1530-793X","issue":"30","journalAbbreviation":"Journal of Composite Materials","language":"en","page":"4189-4203","source":"DOI.org (Crossref)","title":"Viscoelastic modeling of fiber preform compaction in vacuum infusion process","volume":"51","author":[{"family":"Yenilmez","given":"Bekir"},{"family":"Caglar","given":"Baris"},{"family":"Sozer","given":"E Murat"}],"issued":{"date-parts":[["2017",12]]}}}],"schema":"https://github.com/citation-style-language/schema/raw/master/csl-citation.json"} </w:instrText>
      </w:r>
      <w:r w:rsidRPr="00B11B1C">
        <w:fldChar w:fldCharType="separate"/>
      </w:r>
      <w:r w:rsidR="00204068" w:rsidRPr="00B11B1C">
        <w:t>[21]</w:t>
      </w:r>
      <w:r w:rsidRPr="00B11B1C">
        <w:fldChar w:fldCharType="end"/>
      </w:r>
      <w:r w:rsidRPr="00B11B1C">
        <w:t xml:space="preserve">, cannot accurately predict </w:t>
      </w:r>
      <w:r w:rsidR="00B81AFC" w:rsidRPr="00B11B1C">
        <w:t xml:space="preserve">the </w:t>
      </w:r>
      <w:r w:rsidRPr="00B11B1C">
        <w:t xml:space="preserve">behavior </w:t>
      </w:r>
      <w:r w:rsidR="00B81AFC" w:rsidRPr="00B11B1C">
        <w:t xml:space="preserve">of </w:t>
      </w:r>
      <w:r w:rsidRPr="00B11B1C">
        <w:t xml:space="preserve">a debulked reinforcement. While the microstructural mechanisms of reinforcement compaction have thus been studied for low cycle counts, only more empirical results have been presented for true debulking practice involving several cycles. Industrial debulking practice is typically developed in a trial-and-error process by individual </w:t>
      </w:r>
      <w:r w:rsidRPr="00B11B1C">
        <w:lastRenderedPageBreak/>
        <w:t>companies or even individual operators, and usually involves many cycles. This study aims to investigate the actual microstructural mechanism that leads to increased compaction during several cycles of debulking, to enable a better understanding of what process parameters lead to the fastest and most effective debulking practice.</w:t>
      </w:r>
    </w:p>
    <w:p w14:paraId="0E68C8AA" w14:textId="25A13161" w:rsidR="00B5666A" w:rsidRPr="00B11B1C" w:rsidRDefault="00985FF0" w:rsidP="00D91C87">
      <w:r w:rsidRPr="00B11B1C">
        <w:fldChar w:fldCharType="begin"/>
      </w:r>
      <w:r w:rsidR="00204068" w:rsidRPr="00B11B1C">
        <w:instrText xml:space="preserve"> ADDIN ZOTERO_ITEM CSL_CITATION {"citationID":"YPh06Oew","properties":{"formattedCitation":"[26]","plainCitation":"[26]","dontUpdate":true,"noteIndex":0},"citationItems":[{"id":180,"uris":["http://zotero.org/users/6222105/items/K3GPL6BI"],"itemData":{"id":180,"type":"article-journal","abstract":"The motion of the liquid front during impregnation of non-crimp fabrics has been considered by using Sethian’s level set method. Particular attention is put on the creation of bubbles at the liquid front and a virtual 3D model mimicking biaxial fabrics has been built for this purpose. The saturated fluid flow is governed by the Navier–Stokes Equations and Darcy law, while capillary pressure has been accounted for at the liquid flow front and continuity maintained. The influence of perturbation in the bundle geometry has been investigated. Local correlations of the dimensions of neighbouring gaps formed between the bundles are of paramount importance. Focus is on inter-bundle bubbles. An existing model for bubble dynamics is used based on a probabilistic approach for bubbles moving, splitting, merging, and dissolving. The same approach was used for intra-bundle bubbles, the difference being that their motion appears to be much slower. The obtained void fractions of inter-bundle bubbles at different vacuum levels applied at the liquid flow front are compared to those from real mouldings with a high degree of conformity.","collection-title":"Special Issue: Flow Processes in Composite Materials","container-title":"Composites Part A: Applied Science and Manufacturing","DOI":"10.1016/j.compositesa.2009.05.012","ISSN":"1359-835X","issue":"1","journalAbbreviation":"Composites Part A: Applied Science and Manufacturing","language":"en","page":"83-92","source":"ScienceDirect","title":"Bubble formation and motion in non-crimp fabrics with perturbed bundle geometry","volume":"41","author":[{"family":"Staffan Lundström","given":"T."},{"family":"Frishfelds","given":"Vilnis"},{"family":"Jakovics","given":"Andris"}],"issued":{"date-parts":[["2010",1,1]]}}}],"schema":"https://github.com/citation-style-language/schema/raw/master/csl-citation.json"} </w:instrText>
      </w:r>
      <w:r w:rsidRPr="00B11B1C">
        <w:fldChar w:fldCharType="end"/>
      </w:r>
      <w:r w:rsidR="00A739B7" w:rsidRPr="00B11B1C">
        <w:t>[26]</w:t>
      </w:r>
      <w:r w:rsidR="00D91C87" w:rsidRPr="00B11B1C">
        <w:t xml:space="preserve">One of the many aspects of </w:t>
      </w:r>
      <w:r w:rsidR="00CD0D06" w:rsidRPr="00B11B1C">
        <w:t>CFRP</w:t>
      </w:r>
      <w:r w:rsidR="00D91C87" w:rsidRPr="00B11B1C">
        <w:t>s that has been studied is entanglement. Entanglement is a phenomenon that occurs when fibers cross over and nest inside one each other. While numerous methods exist for quantifying the entanglement of fiber reinforced composites, little is known about the actual effect of debulking on the entanglement within a microstructure</w:t>
      </w:r>
      <w:r w:rsidR="00D91C87" w:rsidRPr="00B11B1C">
        <w:fldChar w:fldCharType="begin"/>
      </w:r>
      <w:r w:rsidR="00802A1F" w:rsidRPr="00B11B1C">
        <w:instrText xml:space="preserve"> ADDIN ZOTERO_ITEM CSL_CITATION {"citationID":"4fXNlVXe","properties":{"formattedCitation":"[29]\\uc0\\u8211{}[35]","plainCitation":"[29]–[35]","noteIndex":0},"citationItems":[{"id":41,"uris":["http://zotero.org/users/6222105/items/JW8IPL7D"],"itemData":{"id":41,"type":"article-journal","abstract":"Data acquired from synchrotron-based X-ray computed tomography provide complete descriptions of the stochastic positions of each fiber in large bundles within composite samples. The data can be accumulated for distances along the nominal fiber direction that are long enough to reveal meandering or misalignment. Data are analyzed for a single fiber bundle consolidated as a mini-composite specimen and a block of fibers embedded within a single ply in a tape laminate specimen. The fibers in these materials differ markedly in their departure from alignment and the patterns formed by fiber deviations. The tape laminate specimen exhibits evidence of fibers that have slipped laterally through the bundle in narrow shear bands, which may be a mechanism of bundle deformation under transverse compression and shear. This pattern is absent in the single-tow specimen, which was not subject to transverse loads in processing. We propose a combination of topological and Euclidean metrics to quantify these and other stochastic bundle characteristics. Topological metrics are based on the neighbor map of fibers, which is constructed on cross-sections of the bundle by Delaunay triangulation (or Voronoi tessellation). Variations of the neighbor map along the fiber direction describe fiber meandering, twist, etc. Euclidean metrics include factors such as local fiber density and fiber orientation. The metrics distinguish bundle types, enable quantification of the effects of the manufacturing history of bundles, and provide target statistics to be matched by virtual specimens that might be generated for use in fiber-scale virtual tests.","container-title":"Journal of Materials Science","DOI":"10.1007/s10853-014-8766-2","ISSN":"1573-4803","issue":"6","journalAbbreviation":"J Mater Sci","language":"en","page":"2370-2398","source":"Springer Link","title":"Topological and Euclidean metrics reveal spatially nonuniform structure in the entanglement of stochastic fiber bundles","volume":"50","author":[{"family":"Fast","given":"T."},{"family":"Scott","given":"A. E."},{"family":"Bale","given":"H. A."},{"family":"Cox","given":"B. N."}],"issued":{"date-parts":[["2015",3,1]]}}},{"id":42,"uris":["http://zotero.org/users/6222105/items/BQSVF6K9"],"itemData":{"id":42,"type":"article-journal","abstract":"This study presents a combined experimental and computational effort aimed at high-resolution 3D imaging, visualization, and numerical reconstruction of a fiber-reinforced polymer (FRP) composite microstructure at the constituent-level length scale. A unidirectional sample of graphite/epoxy composite is imaged at sub-micron resolution using a 3D X-ray computed tomography microscope. The numerical reconstruction is enabled by a novel segmentation algorithm, which is developed using concepts adopted from computer vision and multi-target tracking, to detect and estimate with high accuracy the position of individual fibers in a volume of the imaged composite. Results from the segmentation algorithm are compared qualitatively to the tomographic data and suggest high accuracy of the numerical reconstruction. The segmentation data are also used to quantify the relative distribution of fibers within the imaged cross sections of the volume and the local fiber misorientation relative to the global fiber axis. Finally, the segmentation data are converted into a solid model of fibers and surrounding resin, which is then meshed using commercially available finite element (FE) software. A static, linear elastic simulation is performed on NASA’s Pleiades supercomputer to quantify the computational cost associated with the high-fidelity, constituent-level, 3D numerical model. The high-fidelity simulation is an important step towards demonstrating the feasibility of an FE-based simulation framework for FRP composites at the constituent length scale.","container-title":"Composites Science and Technology","DOI":"10.1016/j.compscitech.2014.10.017","ISSN":"0266-3538","journalAbbreviation":"Composites Science and Technology","language":"en","page":"174-182","source":"ScienceDirect","title":"Numerical reconstruction of graphite/epoxy composite microstructure based on sub-micron resolution X-ray computed tomography","volume":"105","author":[{"family":"Czabaj","given":"Michael W."},{"family":"Riccio","given":"Mark L."},{"family":"Whitacre","given":"William W."}],"issued":{"date-parts":[["2014",12,10]]}}},{"id":21,"uris":["http://zotero.org/users/6222105/items/VS7GAV2H"],"itemData":{"id":21,"type":"article-journal","abstract":"This study proposes a new algorithm for three-dimensional segmentation of fibers in multi-directional fiber-reinforced composites (FRCs) imaged using X-ray microtomography (µCT). The proposed algorithm uses synthetic fiber-templates and template matching to detect fibers in 2D. Detections are used to track individual fibers in 3D using a Kalman-filter estimator. Validation of the algorithm was performed using synthetic image stacks, which mimicked the quality and resolution of existing state-of-the-art X-ray systems. Segmentation of synthetic images revealed that the proposed algorithm estimates the total number of fibers, the 3D positions of fiber cross-sectional centroids, and fiber lengths with an error less than 7% when the image resolution is greater than 9 pixels per average fiber diameter. However, the segmentation algorithm was found to underestimate fiber cross-sectional areas due to beam-hardening artifacts. This study concludes by demonstrating the versatility of the algorithm on a multi-directional FRC imaged using X-ray µCT.","container-title":"Composites Part A: Applied Science and Manufacturing","DOI":"10.1016/j.compositesa.2019.105606","ISSN":"1359-835X","journalAbbreviation":"Composites Part A: Applied Science and Manufacturing","language":"en","page":"105606","source":"ScienceDirect","title":"A fiber-segmentation algorithm for composites imaged using X-ray microtomography: Development and validation","title-short":"A fiber-segmentation algorithm for composites imaged using X-ray microtomography","volume":"126","author":[{"family":"Creveling","given":"Peter J."},{"family":"Whitacre","given":"William W."},{"family":"Czabaj","given":"Michael W."}],"issued":{"date-parts":[["2019",11,1]]}}},{"id":24,"uris":["http://zotero.org/users/6222105/items/H9CC2VC6"],"itemData":{"id":24,"type":"article-journal","abstract":"In recent years, advanced composite materials such as carbon fiber reinforced polymers (CFRP) are used in many fields of application (e.g., automotive, aeronautic and leisure industry). These materials are characterized by their high stiffness and strength, while having low weight. Especially, woven carbon fiber reinforced materials have outstanding mechanical properties due to their fabric structure. To analyze and develop the fabrics, it is important to understand the course of the individual fiber bundles. Industrial 3D X-ray computed tomography (XCT) as a nondestructive testing method allows resolving these individual fiber bundles. In this paper, we show our findings when applying the method of Bhattacharya et al. [6] for extracting fiber bundles on two new types of CFRP specimens. One specimen contains triaxial braided plies in an RTM6 resin and another specimen woven bi-diagonal layers. Furthermore, we show the required steps to separate the individual bundles and the calculation of the individual fiber bundles characteristics which are essential for the posterior visual analysis and exploration. We further demonstrate the classification of the individual fiber bundles within the fabrics to support the domain experts in perceiving the weaving structure of XCT scanned specimens.","collection-title":"Special Issue: Industrial computed tomography","container-title":"Case Studies in Nondestructive Testing and Evaluation","DOI":"10.1016/j.csndt.2016.05.006","ISSN":"2214-6571","journalAbbreviation":"Case Studies in Nondestructive Testing and Evaluation","language":"en","page":"39-46","source":"ScienceDirect","title":"Visual classification of braided and woven fiber bundles in X-ray computed tomography scanned carbon fiber reinforced polymer specimens","volume":"6","author":[{"family":"Weissenböck","given":"Johannes"},{"family":"Bhattacharya","given":"Arindam"},{"family":"Plank","given":"Bernhard"},{"family":"Heinzl","given":"Christoph"},{"family":"Kastner","given":"Johann"}],"issued":{"date-parts":[["2016",11,1]]}}},{"id":34,"uris":["http://zotero.org/users/6222105/items/JG838KZQ"],"itemData":{"id":34,"type":"article-journal","abstract":"This paper develops a new fibre tracking algorithm to efficiently locate fibre centrelines (skeletons), from X-ray Computed Tomography (X-ray CT) images of carbon fibre reinforced polymer (CFRP), which are then used to generate micro-scale finite element models. Three-dimensional images with 330nmvoxel resolution of multidirectional [+45/90/−45/0] CFRP specimens were obtained by fast synchrotron X-ray CT scanning. Conventional image processing techniques, such as a combination of filters, delineation of plies, binarisation of images, and fibre identification by local maxima and ultimate eroding points, were tried first but found insufficient to produce continuous fibre centrelines for segmentation, especially in regions with highly congested fibres. The new algorithm uses a global overlapping stack filtering step followed by a local fibre tracking step. Both steps are based on the Bayesian inference theory. The new algorithm is found capable of efficiently define fibre centrelines for the generation of micro-scale finite element models with high fidelity.","container-title":"Composites Part A: Applied Science and Manufacturing","DOI":"10.1016/j.compositesa.2016.09.010","ISSN":"1359-835X","journalAbbreviation":"Composites Part A: Applied Science and Manufacturing","language":"en","page":"85-95","source":"ScienceDirect","title":"Generation of micro-scale finite element models from synchrotron X-ray CT images for multidirectional carbon fibre reinforced composites","volume":"91","author":[{"family":"Sencu","given":"R. M."},{"family":"Yang","given":"Z."},{"family":"Wang","given":"Y. C."},{"family":"Withers","given":"P. J."},{"family":"Rau","given":"C."},{"family":"Parson","given":"A."},{"family":"Soutis","given":"C."}],"issued":{"date-parts":[["2016",12,1]]}}},{"id":33,"uris":["http://zotero.org/users/6222105/items/TSCY7HJJ"],"itemData":{"id":33,"type":"article-journal","abstract":"High-resolution computed tomography has been carried out for carbon/epoxy laminates loaded in situ to failure. The experimental data allows major damage mechanisms to be quantified in 3D, in an unambiguous and mechanically representative way, where previous experimental analysis is limited. A multi-scale model that predicts damage accumulation in tensile loaded composites is compared to the experimental analysis, to validate the underpinning assumptions within the model and overall performance. The model considers the random nature of fibre-strengths, stress transfer resulting from fibre breaks, fibre/matrix debonding and viscosity of the matrix. Assumptions within the model are made to reduce computational times whilst considering the microscopic behaviour of the whole structure. Both model and experimental results indicate failure of the composite progresses via single fibre breaks, which, at higher loads, evolve into clusters of broken fibres. The model resulted in reasonable predictions of the preceding damage accumulation and final failure load of the structure.","container-title":"Composites Part A: Applied Science and Manufacturing","DOI":"10.1016/j.compositesa.2012.03.011","ISSN":"1359-835X","issue":"9","journalAbbreviation":"Composites Part A: Applied Science and Manufacturing","language":"en","page":"1514-1522","source":"ScienceDirect","title":"Damage accumulation in a carbon/epoxy composite: Comparison between a multiscale model and computed tomography experimental results","title-short":"Damage accumulation in a carbon/epoxy composite","volume":"43","author":[{"family":"Scott","given":"A. E."},{"family":"Sinclair","given":"I."},{"family":"Spearing","given":"S. M."},{"family":"Thionnet","given":"A."},{"family":"Bunsell","given":"A. R."}],"issued":{"date-parts":[["2012",9,1]]}}},{"id":10,"uris":["http://zotero.org/users/6222105/items/VARYLAQU"],"itemData":{"id":10,"type":"article-journal","abstract":"This paper proposes a methodology for measurement of fibre misalignment in composite laminates based on the structure tensor of fibre orientations extracted from X-ray micro-computed tomography (micro-CT) images. The methodology is applied to carbon fibre/epoxy composites manufactured with two technologies: (1) by prepregging and consolidation in an autoclave and (2) by vacuum assisted resin transfer moulding. The results show that the in-plane inter-ply misalignment of fibres in the prepreg laminate and in the infusion-produced laminate is within 2–4° and 1–2°, respectively. The misalignment results allow better understanding of the manufacturing typical fibre orientation precision level for the low pressure (vacuum assisted resin transfer moulding) and high pressure (autoclave) manufacturing.","container-title":"Composites Part A: Applied Science and Manufacturing","DOI":"10.1016/j.compositesa.2017.10.018","ISSN":"1359-835X","journalAbbreviation":"Composites Part A: Applied Science and Manufacturing","language":"en","page":"14-23","source":"ScienceDirect","title":"Micro-CT measurement of fibre misalignment: Application to carbon/epoxy laminates manufactured in autoclave and by vacuum assisted resin transfer moulding","title-short":"Micro-CT measurement of fibre misalignment","volume":"104","author":[{"family":"Nguyen","given":"Nghi Q."},{"family":"Mehdikhani","given":"Mahoor"},{"family":"Straumit","given":"Ilya"},{"family":"Gorbatikh","given":"Larissa"},{"family":"Lessard","given":"Larry"},{"family":"Lomov","given":"Stepan V."}],"issued":{"date-parts":[["2018",1,1]]}}}],"schema":"https://github.com/citation-style-language/schema/raw/master/csl-citation.json"} </w:instrText>
      </w:r>
      <w:r w:rsidR="00D91C87" w:rsidRPr="00B11B1C">
        <w:fldChar w:fldCharType="separate"/>
      </w:r>
      <w:r w:rsidR="00802A1F" w:rsidRPr="00B11B1C">
        <w:t>[29]–[35]</w:t>
      </w:r>
      <w:r w:rsidR="00D91C87" w:rsidRPr="00B11B1C">
        <w:fldChar w:fldCharType="end"/>
      </w:r>
      <w:r w:rsidR="00D91C87" w:rsidRPr="00B11B1C">
        <w:t xml:space="preserve">. One of the methods for studying entanglement is looking at micrographs of unidirectional </w:t>
      </w:r>
      <w:r w:rsidR="00CD0D06" w:rsidRPr="00B11B1C">
        <w:t>CFRP</w:t>
      </w:r>
      <w:r w:rsidR="00D91C87" w:rsidRPr="00B11B1C">
        <w:t>s at sub-micron resolution</w:t>
      </w:r>
      <w:r w:rsidR="00182129" w:rsidRPr="00B11B1C">
        <w:t xml:space="preserve"> </w:t>
      </w:r>
      <w:r w:rsidR="00182129" w:rsidRPr="00B11B1C">
        <w:fldChar w:fldCharType="begin"/>
      </w:r>
      <w:r w:rsidR="00802A1F" w:rsidRPr="00B11B1C">
        <w:instrText xml:space="preserve"> ADDIN ZOTERO_ITEM CSL_CITATION {"citationID":"rpgXjuzn","properties":{"formattedCitation":"[31]","plainCitation":"[31]","noteIndex":0},"citationItems":[{"id":21,"uris":["http://zotero.org/users/6222105/items/VS7GAV2H"],"itemData":{"id":21,"type":"article-journal","abstract":"This study proposes a new algorithm for three-dimensional segmentation of fibers in multi-directional fiber-reinforced composites (FRCs) imaged using X-ray microtomography (µCT). The proposed algorithm uses synthetic fiber-templates and template matching to detect fibers in 2D. Detections are used to track individual fibers in 3D using a Kalman-filter estimator. Validation of the algorithm was performed using synthetic image stacks, which mimicked the quality and resolution of existing state-of-the-art X-ray systems. Segmentation of synthetic images revealed that the proposed algorithm estimates the total number of fibers, the 3D positions of fiber cross-sectional centroids, and fiber lengths with an error less than 7% when the image resolution is greater than 9 pixels per average fiber diameter. However, the segmentation algorithm was found to underestimate fiber cross-sectional areas due to beam-hardening artifacts. This study concludes by demonstrating the versatility of the algorithm on a multi-directional FRC imaged using X-ray µCT.","container-title":"Composites Part A: Applied Science and Manufacturing","DOI":"10.1016/j.compositesa.2019.105606","ISSN":"1359-835X","journalAbbreviation":"Composites Part A: Applied Science and Manufacturing","language":"en","page":"105606","source":"ScienceDirect","title":"A fiber-segmentation algorithm for composites imaged using X-ray microtomography: Development and validation","title-short":"A fiber-segmentation algorithm for composites imaged using X-ray microtomography","volume":"126","author":[{"family":"Creveling","given":"Peter J."},{"family":"Whitacre","given":"William W."},{"family":"Czabaj","given":"Michael W."}],"issued":{"date-parts":[["2019",11,1]]}}}],"schema":"https://github.com/citation-style-language/schema/raw/master/csl-citation.json"} </w:instrText>
      </w:r>
      <w:r w:rsidR="00182129" w:rsidRPr="00B11B1C">
        <w:fldChar w:fldCharType="separate"/>
      </w:r>
      <w:r w:rsidR="00802A1F" w:rsidRPr="00B11B1C">
        <w:t>[31]</w:t>
      </w:r>
      <w:r w:rsidR="00182129" w:rsidRPr="00B11B1C">
        <w:fldChar w:fldCharType="end"/>
      </w:r>
      <w:r w:rsidR="00D91C87" w:rsidRPr="00B11B1C">
        <w:t xml:space="preserve">. Using these images, fiber paths can be </w:t>
      </w:r>
      <w:r w:rsidR="00795C4B" w:rsidRPr="00B11B1C">
        <w:t>reconstructed,</w:t>
      </w:r>
      <w:r w:rsidR="00D91C87" w:rsidRPr="00B11B1C">
        <w:t xml:space="preserve"> and various measurements can be made.</w:t>
      </w:r>
      <w:r w:rsidR="003E037F" w:rsidRPr="00B11B1C">
        <w:t xml:space="preserve"> </w:t>
      </w:r>
    </w:p>
    <w:p w14:paraId="004D2F5B" w14:textId="1CCDEAD7" w:rsidR="00D91C87" w:rsidRPr="00B11B1C" w:rsidRDefault="003E037F" w:rsidP="00D91C87">
      <w:r w:rsidRPr="00B11B1C">
        <w:t xml:space="preserve">Fast et al., </w:t>
      </w:r>
      <w:r w:rsidR="00194B1C" w:rsidRPr="00B11B1C">
        <w:t xml:space="preserve">observed that the microstructure underwent deformation that was potentially indicative of the loads the composite was subjected to </w:t>
      </w:r>
      <w:r w:rsidR="005F05D3" w:rsidRPr="00B11B1C">
        <w:t>during</w:t>
      </w:r>
      <w:r w:rsidR="00194B1C" w:rsidRPr="00B11B1C">
        <w:t xml:space="preserve"> manufacturing</w:t>
      </w:r>
      <w:r w:rsidR="00A97BC3" w:rsidRPr="00B11B1C">
        <w:t xml:space="preserve"> [26]</w:t>
      </w:r>
      <w:r w:rsidR="00194B1C" w:rsidRPr="00B11B1C">
        <w:t>. One of the major conjectures in this paper was that the final formation of a fiber bundle</w:t>
      </w:r>
      <w:r w:rsidR="004128F2" w:rsidRPr="00B11B1C">
        <w:t>, from manufacturing,</w:t>
      </w:r>
      <w:r w:rsidR="00194B1C" w:rsidRPr="00B11B1C">
        <w:t xml:space="preserve"> was likely to </w:t>
      </w:r>
      <w:r w:rsidR="005F05D3" w:rsidRPr="00B11B1C">
        <w:t>influence</w:t>
      </w:r>
      <w:r w:rsidR="00194B1C" w:rsidRPr="00B11B1C">
        <w:t xml:space="preserve"> the distribution of resin during infusion and, consequently, the </w:t>
      </w:r>
      <w:r w:rsidR="005F05D3" w:rsidRPr="00B11B1C">
        <w:t>distribution of cracks during failure.</w:t>
      </w:r>
      <w:r w:rsidR="00194B1C" w:rsidRPr="00B11B1C">
        <w:t xml:space="preserve"> </w:t>
      </w:r>
      <w:r w:rsidR="00D91C87" w:rsidRPr="00B11B1C">
        <w:t xml:space="preserve"> </w:t>
      </w:r>
      <w:r w:rsidR="004128F2" w:rsidRPr="00B11B1C">
        <w:t xml:space="preserve">This led to the question of whether </w:t>
      </w:r>
      <w:r w:rsidR="00223AEF" w:rsidRPr="00B11B1C">
        <w:t>studying the microstructure itself could provide any information on how the composite was manufactured.</w:t>
      </w:r>
      <w:r w:rsidR="00B5666A" w:rsidRPr="00B11B1C">
        <w:t xml:space="preserve"> </w:t>
      </w:r>
      <w:r w:rsidR="005D623D" w:rsidRPr="00B11B1C">
        <w:t>T</w:t>
      </w:r>
      <w:r w:rsidR="00702FB8" w:rsidRPr="00B11B1C">
        <w:t xml:space="preserve">he question remains whether the effects of a single manufacturing step could be seen </w:t>
      </w:r>
      <w:r w:rsidR="00CE32C5" w:rsidRPr="00B11B1C">
        <w:t>b</w:t>
      </w:r>
      <w:r w:rsidR="00702FB8" w:rsidRPr="00B11B1C">
        <w:t>y observing the microstructure using a series of metrics.</w:t>
      </w:r>
      <w:r w:rsidR="004128F2" w:rsidRPr="00B11B1C">
        <w:t xml:space="preserve"> </w:t>
      </w:r>
      <w:r w:rsidR="00D91C87" w:rsidRPr="00B11B1C">
        <w:t xml:space="preserve">These include spatial measurements </w:t>
      </w:r>
      <w:r w:rsidR="005C4C5B" w:rsidRPr="00B11B1C">
        <w:t>such as</w:t>
      </w:r>
      <w:r w:rsidR="00D91C87" w:rsidRPr="00B11B1C">
        <w:t xml:space="preserve"> local </w:t>
      </w:r>
      <w:r w:rsidR="00795C4B" w:rsidRPr="00B11B1C">
        <w:t xml:space="preserve">fiber </w:t>
      </w:r>
      <w:r w:rsidR="00D91C87" w:rsidRPr="00B11B1C">
        <w:t xml:space="preserve">volume fraction and </w:t>
      </w:r>
      <w:r w:rsidRPr="00B11B1C">
        <w:t xml:space="preserve">unique </w:t>
      </w:r>
      <w:r w:rsidR="00D91C87" w:rsidRPr="00B11B1C">
        <w:t xml:space="preserve">neighbor change rate, as well as </w:t>
      </w:r>
      <w:r w:rsidR="00795C4B" w:rsidRPr="00B11B1C">
        <w:t>measurements of the orientation of the fiber with respect to the axial direction</w:t>
      </w:r>
      <w:r w:rsidR="00D91C87" w:rsidRPr="00B11B1C">
        <w:t>.</w:t>
      </w:r>
      <w:r w:rsidR="005D623D" w:rsidRPr="00B11B1C">
        <w:t xml:space="preserve"> </w:t>
      </w:r>
      <w:r w:rsidR="00D91C87" w:rsidRPr="00B11B1C">
        <w:t>Additionally, observations of key features such fiber cluster can be made. Fiber metrics can also be studied inside these clusters, to get a sense for how clustered fibers behave.</w:t>
      </w:r>
      <w:r w:rsidR="005D623D" w:rsidRPr="00B11B1C">
        <w:t xml:space="preserve"> </w:t>
      </w:r>
      <w:r w:rsidR="00327396" w:rsidRPr="00B11B1C">
        <w:t xml:space="preserve">Numerous works have been done </w:t>
      </w:r>
      <w:r w:rsidR="00CE32C5" w:rsidRPr="00B11B1C">
        <w:t xml:space="preserve">with </w:t>
      </w:r>
      <w:r w:rsidR="00327396" w:rsidRPr="00B11B1C">
        <w:t xml:space="preserve">the goal of understanding the microstructures using a series of metrics </w:t>
      </w:r>
      <w:r w:rsidR="00327396" w:rsidRPr="00B11B1C">
        <w:fldChar w:fldCharType="begin"/>
      </w:r>
      <w:r w:rsidR="00802A1F" w:rsidRPr="00B11B1C">
        <w:instrText xml:space="preserve"> ADDIN ZOTERO_ITEM CSL_CITATION {"citationID":"oBDw4wv1","properties":{"formattedCitation":"[36], [37]","plainCitation":"[36], [37]","noteIndex":0},"citationItems":[{"id":43,"uris":["http://zotero.org/users/6222105/items/N2NHWW7T"],"itemData":{"id":43,"type":"article-journal","container-title":"Journal of Composite Materials","DOI":"10.1177/0021998316662133","title":"Characterization, synthetic generation, and statistical equivalence of composite microstructures","volume":"51","author":[{"family":"Sanei","given":"Seyed Hamid Reza"},{"family":"Barsotti","given":"Ercole"},{"family":"Leonhardt","given":"David"},{"family":"Fertig III","given":"Ray"}],"issued":{"date-parts":[["2016"]]}}},{"id":13,"uris":["http://zotero.org/users/6222105/items/6V2N8ZP2"],"itemData":{"id":13,"type":"article-journal","abstract":"This paper presents an efficient multiscale approach for high fidelity virtual testing of highly aligned short fiber reinforced composites (SFRCs), based solely on constituent material and interface properties with no need of calibration data. The method is based on a hierarchical, bottom-up characterization of SFRCs and the link of mechanical behaviors of materials and microstructures from a lower scale to a higher scale. It starts with a microscopic unit cell model to estimate the transverse and shear properties of the aligned short fiber composites. Next, two types of mesoscale models with explicit consideration of fiber discontinuity and possible local fiber misalignments are employed to obtain effective properties of material domains with such morphologies. Such obtained meso-scale mechanical properties and damage behaviors are then integrated into the macroscale virtual laminar via the stochastically integrating of possible material defects. Results indicate that for perfectly aligned SFRCs the strength reduction is about 25% as compared to that of the continuously reinforced composites. However, misalignment of short fibers can cause a further strength reduction of 20–35% with the volume fraction of the misalign regions varying from 1% to 10%.","container-title":"Composite Structures","DOI":"10.1016/j.compstruct.2019.111462","ISSN":"0263-8223","journalAbbreviation":"Composite Structures","language":"en","page":"111462","source":"ScienceDirect","title":"A multiscale approach for virtual testing of highly aligned short carbon fiber composites","volume":"230","author":[{"family":"Wang","given":"Liang"},{"family":"Nygren","given":"Garrett"},{"family":"Karkkainen","given":"Ryan L."},{"family":"Yang","given":"Qingda"}],"issued":{"date-parts":[["2019",12,15]]}}}],"schema":"https://github.com/citation-style-language/schema/raw/master/csl-citation.json"} </w:instrText>
      </w:r>
      <w:r w:rsidR="00327396" w:rsidRPr="00B11B1C">
        <w:fldChar w:fldCharType="separate"/>
      </w:r>
      <w:r w:rsidR="00802A1F" w:rsidRPr="00B11B1C">
        <w:t>[36], [37]</w:t>
      </w:r>
      <w:r w:rsidR="00327396" w:rsidRPr="00B11B1C">
        <w:fldChar w:fldCharType="end"/>
      </w:r>
      <w:r w:rsidR="00327396" w:rsidRPr="00B11B1C">
        <w:t xml:space="preserve">. </w:t>
      </w:r>
      <w:r w:rsidR="005C1E2E" w:rsidRPr="00B11B1C">
        <w:t xml:space="preserve">However, the current state of the art has not fully linked the </w:t>
      </w:r>
      <w:r w:rsidR="00FB546A" w:rsidRPr="00B11B1C">
        <w:t>manufacturing process used to create a composite to the resulting organization of the microstructure.</w:t>
      </w:r>
    </w:p>
    <w:p w14:paraId="5553CE1B" w14:textId="70CE2E8B" w:rsidR="00D91C87" w:rsidRPr="00B11B1C" w:rsidRDefault="00D91C87" w:rsidP="00D91C87">
      <w:r w:rsidRPr="00B11B1C">
        <w:t xml:space="preserve">The aim of this work is to compare the microstructures of three </w:t>
      </w:r>
      <w:r w:rsidR="00CD0D06" w:rsidRPr="00B11B1C">
        <w:t>CFRP</w:t>
      </w:r>
      <w:r w:rsidRPr="00B11B1C">
        <w:t xml:space="preserve"> laminates, varying only the debulking step in the manufacturing process. High resolution serial sections of all three laminates were taken using the UES ROBO-MET at the NASA Glenn Research Center in Cleveland, Ohio </w:t>
      </w:r>
      <w:r w:rsidRPr="00B11B1C">
        <w:fldChar w:fldCharType="begin"/>
      </w:r>
      <w:r w:rsidR="00802A1F" w:rsidRPr="00B11B1C">
        <w:instrText xml:space="preserve"> ADDIN ZOTERO_ITEM CSL_CITATION {"citationID":"bQwvcmm3","properties":{"formattedCitation":"[38]","plainCitation":"[38]","noteIndex":0},"citationItems":[{"id":172,"uris":["http://zotero.org/users/6222105/items/KR5F9CDH"],"itemData":{"id":172,"type":"webpage","title":"Robo-Met Materials Characterization | UES, Inc.","URL":"https://www.ues.com/robomet","accessed":{"date-parts":[["2021",11,24]]}}}],"schema":"https://github.com/citation-style-language/schema/raw/master/csl-citation.json"} </w:instrText>
      </w:r>
      <w:r w:rsidRPr="00B11B1C">
        <w:fldChar w:fldCharType="separate"/>
      </w:r>
      <w:r w:rsidR="00802A1F" w:rsidRPr="00B11B1C">
        <w:t>[38]</w:t>
      </w:r>
      <w:r w:rsidRPr="00B11B1C">
        <w:fldChar w:fldCharType="end"/>
      </w:r>
      <w:r w:rsidRPr="00B11B1C">
        <w:t xml:space="preserve">. Using these scans, the fiber positions were measured and connected to make fiber paths. Statistical descriptors such as local fiber </w:t>
      </w:r>
      <w:r w:rsidR="00182129" w:rsidRPr="00B11B1C">
        <w:t xml:space="preserve">volume fraction, unique neighbor change rate, </w:t>
      </w:r>
      <w:r w:rsidRPr="00B11B1C">
        <w:t>and void volume fraction and void distribution and morphology, were then generated for each sample and compared.</w:t>
      </w:r>
      <w:r w:rsidR="00182129" w:rsidRPr="00B11B1C">
        <w:t xml:space="preserve"> Fiber clusters were also detected in each of the three laminates and analyzed by measuring aspects of their shape and distribution.</w:t>
      </w:r>
      <w:r w:rsidRPr="00B11B1C">
        <w:t xml:space="preserve"> </w:t>
      </w:r>
      <w:r w:rsidR="00D56A5E" w:rsidRPr="00B11B1C">
        <w:t xml:space="preserve">Additionally, a study on the presence and characteristics of voids was also performed. </w:t>
      </w:r>
      <w:r w:rsidRPr="00B11B1C">
        <w:t xml:space="preserve">Using these descriptors, the effects of debulking on the composite microstructure can be measured. </w:t>
      </w:r>
    </w:p>
    <w:p w14:paraId="1E0B7305" w14:textId="085233E9" w:rsidR="00E25968" w:rsidRPr="00B11B1C" w:rsidRDefault="72E09976" w:rsidP="00B831FD">
      <w:pPr>
        <w:pStyle w:val="Heading1"/>
      </w:pPr>
      <w:r w:rsidRPr="00B11B1C">
        <w:t>Method</w:t>
      </w:r>
    </w:p>
    <w:p w14:paraId="549E3168" w14:textId="39AE423E" w:rsidR="00116C41" w:rsidRPr="00B11B1C" w:rsidRDefault="00116C41" w:rsidP="00116C41">
      <w:r w:rsidRPr="00B11B1C">
        <w:t>Three four-ply stacks of</w:t>
      </w:r>
      <w:r w:rsidR="000649C0" w:rsidRPr="00B11B1C">
        <w:t xml:space="preserve"> unidirectional</w:t>
      </w:r>
      <w:r w:rsidRPr="00B11B1C">
        <w:t xml:space="preserve"> dry carbon fiber textile were prepared, with each ply cut to a 254 mm x 254 mm square.</w:t>
      </w:r>
      <w:r w:rsidR="00402D60" w:rsidRPr="00B11B1C">
        <w:t xml:space="preserve"> The reinforcement used for all samples was a 24K fiber/tow carbon unidirectional weave. This weave has an areal weight of 756 g/m</w:t>
      </w:r>
      <w:r w:rsidR="00402D60" w:rsidRPr="00B11B1C">
        <w:rPr>
          <w:vertAlign w:val="superscript"/>
        </w:rPr>
        <w:t>2</w:t>
      </w:r>
      <w:r w:rsidR="00402D60" w:rsidRPr="00B11B1C">
        <w:t xml:space="preserve"> and fiber density of 1770 kg/m</w:t>
      </w:r>
      <w:r w:rsidR="00402D60" w:rsidRPr="00B11B1C">
        <w:rPr>
          <w:vertAlign w:val="superscript"/>
        </w:rPr>
        <w:t>3</w:t>
      </w:r>
      <w:r w:rsidR="00402D60" w:rsidRPr="00B11B1C">
        <w:t xml:space="preserve">. The resin used was RIMR-135 epoxy resin with RIMH-1366 curing agent. </w:t>
      </w:r>
      <w:r w:rsidRPr="00B11B1C">
        <w:t>Two of these ply-stacks were subjected to three different levels of debulking before infusion. The third ply-stack was not subjected to any pre-infusion debulking. During the debulking procedure various measurements, such as thickness and pressure, were made and recorded. The ply stacks were each infused separately with resin and cured, and then samples were taken from all three laminates and prepared for imaging. After imaging</w:t>
      </w:r>
      <w:r w:rsidR="000649C0" w:rsidRPr="00B11B1C">
        <w:t>,</w:t>
      </w:r>
      <w:r w:rsidRPr="00B11B1C">
        <w:t xml:space="preserve"> the scans were analyzed and fiber paths</w:t>
      </w:r>
      <w:r w:rsidR="000649C0" w:rsidRPr="00B11B1C">
        <w:t>,</w:t>
      </w:r>
      <w:r w:rsidRPr="00B11B1C">
        <w:t xml:space="preserve"> void locations and statistics were measured. Metrics describing the density distribution, clustering, and orientation for both the fibers and voids were then generated.</w:t>
      </w:r>
    </w:p>
    <w:p w14:paraId="4389DD9E" w14:textId="75466B25" w:rsidR="00F832BA" w:rsidRPr="00B11B1C" w:rsidRDefault="00D91C87" w:rsidP="003B5D55">
      <w:pPr>
        <w:pStyle w:val="Heading2"/>
      </w:pPr>
      <w:r w:rsidRPr="00B11B1C">
        <w:t>Debulking and Compressibility Testing</w:t>
      </w:r>
    </w:p>
    <w:p w14:paraId="26D76E4E" w14:textId="1C164469" w:rsidR="00D91C87" w:rsidRPr="00B11B1C" w:rsidRDefault="00D91C87" w:rsidP="5FDB9B39">
      <w:r w:rsidRPr="00B11B1C">
        <w:t xml:space="preserve">Various amounts of debulking were performed by compressing the dry reinforcement samples in a universal testing machine (UTM), between flat metal surfaces, at different cycle counts, displacement rates, and </w:t>
      </w:r>
      <w:r w:rsidRPr="00B11B1C">
        <w:lastRenderedPageBreak/>
        <w:t xml:space="preserve">durations of compression (“dwell times”). </w:t>
      </w:r>
      <w:r w:rsidR="0B5870E2" w:rsidRPr="00B11B1C">
        <w:t xml:space="preserve">The debulking could also be performed under a vacuum bag, but UTM is more commonly used in debulking studies </w:t>
      </w:r>
      <w:r w:rsidR="0ADB6F1E" w:rsidRPr="00B11B1C">
        <w:t xml:space="preserve">[11-15,17] </w:t>
      </w:r>
      <w:r w:rsidR="0B5870E2" w:rsidRPr="00B11B1C">
        <w:t>due to the greater control and repeatability</w:t>
      </w:r>
      <w:r w:rsidR="3DB45B6D" w:rsidRPr="00B11B1C">
        <w:t xml:space="preserve">. The compressibility of a </w:t>
      </w:r>
      <w:r w:rsidR="2B88FC85" w:rsidRPr="00B11B1C">
        <w:t>reinforcement</w:t>
      </w:r>
      <w:r w:rsidR="3DB45B6D" w:rsidRPr="00B11B1C">
        <w:t xml:space="preserve"> has been shown to be </w:t>
      </w:r>
      <w:r w:rsidR="261560ED" w:rsidRPr="00B11B1C">
        <w:t xml:space="preserve">nearly </w:t>
      </w:r>
      <w:r w:rsidR="3DB45B6D" w:rsidRPr="00B11B1C">
        <w:t>identical for a UTM-pressed</w:t>
      </w:r>
      <w:r w:rsidR="0B5870E2" w:rsidRPr="00B11B1C">
        <w:t xml:space="preserve"> </w:t>
      </w:r>
      <w:r w:rsidR="5E2C67CF" w:rsidRPr="00B11B1C">
        <w:t xml:space="preserve">dry reinforcement and the same undergoing VI processing [18]. </w:t>
      </w:r>
    </w:p>
    <w:p w14:paraId="25E57688" w14:textId="22B70C01" w:rsidR="00D91C87" w:rsidRPr="00B11B1C" w:rsidRDefault="00834C3F" w:rsidP="00D91C87">
      <w:r w:rsidRPr="00B11B1C">
        <w:t xml:space="preserve">The </w:t>
      </w:r>
      <w:r w:rsidR="003531CB" w:rsidRPr="00B11B1C">
        <w:t>thickness of the sample</w:t>
      </w:r>
      <w:r w:rsidR="000649C0" w:rsidRPr="00B11B1C">
        <w:t>s</w:t>
      </w:r>
      <w:r w:rsidR="004720EE" w:rsidRPr="00B11B1C">
        <w:t xml:space="preserve"> and applied pressure</w:t>
      </w:r>
      <w:r w:rsidR="003531CB" w:rsidRPr="00B11B1C">
        <w:t xml:space="preserve"> w</w:t>
      </w:r>
      <w:r w:rsidR="004720EE" w:rsidRPr="00B11B1C">
        <w:t>ere</w:t>
      </w:r>
      <w:r w:rsidR="003531CB" w:rsidRPr="00B11B1C">
        <w:t xml:space="preserve"> measu</w:t>
      </w:r>
      <w:r w:rsidR="00914024" w:rsidRPr="00B11B1C">
        <w:t xml:space="preserve">red over </w:t>
      </w:r>
      <w:r w:rsidR="00935C69" w:rsidRPr="00B11B1C">
        <w:t xml:space="preserve">the entire debulking process. </w:t>
      </w:r>
      <w:r w:rsidR="33D413F5" w:rsidRPr="00B11B1C">
        <w:t xml:space="preserve">All thicknesses were measured from the machine </w:t>
      </w:r>
      <w:r w:rsidR="000E6A6F" w:rsidRPr="00B11B1C">
        <w:t>extension and</w:t>
      </w:r>
      <w:r w:rsidR="33D413F5" w:rsidRPr="00B11B1C">
        <w:t xml:space="preserve"> corrected for machine flexibility from similar testing with no sample. </w:t>
      </w:r>
      <w:r w:rsidR="00935C69" w:rsidRPr="00B11B1C">
        <w:t xml:space="preserve">From the thickness measurements the volume fraction of the sample </w:t>
      </w:r>
      <w:r w:rsidR="00DA4434" w:rsidRPr="00B11B1C">
        <w:t>was calculated</w:t>
      </w:r>
      <w:r w:rsidR="00935C69" w:rsidRPr="00B11B1C">
        <w:t xml:space="preserve">. </w:t>
      </w:r>
      <w:r w:rsidR="009966EF" w:rsidRPr="00B11B1C">
        <w:t>It was observed that the thickness of the fibers would decrease with debulking steps and then relax</w:t>
      </w:r>
      <w:r w:rsidR="00407412" w:rsidRPr="00B11B1C">
        <w:t xml:space="preserve"> </w:t>
      </w:r>
      <w:r w:rsidR="00942343" w:rsidRPr="00B11B1C">
        <w:t xml:space="preserve">back to a </w:t>
      </w:r>
      <w:r w:rsidR="00434B4C" w:rsidRPr="00B11B1C">
        <w:t>fraction of the original thickness.</w:t>
      </w:r>
      <w:r w:rsidR="00942343" w:rsidRPr="00B11B1C">
        <w:t xml:space="preserve"> </w:t>
      </w:r>
      <w:r w:rsidR="004720EE" w:rsidRPr="00B11B1C">
        <w:t xml:space="preserve">The </w:t>
      </w:r>
      <w:r w:rsidR="00DA4434" w:rsidRPr="00B11B1C">
        <w:t xml:space="preserve">pressure versus thickness results are shown in the </w:t>
      </w:r>
      <w:r w:rsidR="00E22CA4" w:rsidRPr="00B11B1C">
        <w:t>appendix.</w:t>
      </w:r>
      <w:r w:rsidR="000E6A6F" w:rsidRPr="00B11B1C">
        <w:t xml:space="preserve"> </w:t>
      </w:r>
      <w:r w:rsidR="004720EE" w:rsidRPr="00B11B1C">
        <w:t xml:space="preserve">The </w:t>
      </w:r>
      <w:r w:rsidR="00DA4434" w:rsidRPr="00B11B1C">
        <w:t xml:space="preserve">pressure versus thickness results are shown in the </w:t>
      </w:r>
      <w:r w:rsidR="00E22CA4" w:rsidRPr="00B11B1C">
        <w:t>appendix.</w:t>
      </w:r>
    </w:p>
    <w:p w14:paraId="6F0113FF" w14:textId="4FE470B0" w:rsidR="00D91C87" w:rsidRPr="00B11B1C" w:rsidRDefault="00D91C87" w:rsidP="00D91C87">
      <w:r w:rsidRPr="00B11B1C">
        <w:t>Three different debulking cycle types were performed (</w:t>
      </w:r>
      <w:r w:rsidRPr="00B11B1C">
        <w:fldChar w:fldCharType="begin"/>
      </w:r>
      <w:r w:rsidRPr="00B11B1C">
        <w:instrText xml:space="preserve"> REF _Ref90459197 \h </w:instrText>
      </w:r>
      <w:r w:rsidR="00B11B1C">
        <w:instrText xml:space="preserve"> \* MERGEFORMAT </w:instrText>
      </w:r>
      <w:r w:rsidRPr="00B11B1C">
        <w:fldChar w:fldCharType="separate"/>
      </w:r>
      <w:r w:rsidR="00531B5C" w:rsidRPr="00B11B1C">
        <w:t xml:space="preserve">Figure </w:t>
      </w:r>
      <w:r w:rsidR="00531B5C" w:rsidRPr="00B11B1C">
        <w:rPr>
          <w:noProof/>
        </w:rPr>
        <w:t>1</w:t>
      </w:r>
      <w:r w:rsidRPr="00B11B1C">
        <w:fldChar w:fldCharType="end"/>
      </w:r>
      <w:r w:rsidRPr="00B11B1C">
        <w:t>)</w:t>
      </w:r>
      <w:r w:rsidR="009168FF" w:rsidRPr="00B11B1C">
        <w:t>:</w:t>
      </w:r>
    </w:p>
    <w:p w14:paraId="1769209D" w14:textId="4222ECCA" w:rsidR="00D91C87" w:rsidRPr="00B11B1C" w:rsidRDefault="00D91C87" w:rsidP="00D91C87">
      <w:pPr>
        <w:pStyle w:val="ListParagraph"/>
        <w:numPr>
          <w:ilvl w:val="0"/>
          <w:numId w:val="41"/>
        </w:numPr>
        <w:spacing w:before="0" w:after="160" w:line="259" w:lineRule="auto"/>
        <w:jc w:val="left"/>
      </w:pPr>
      <w:r w:rsidRPr="00B11B1C">
        <w:t>Cycle A: 100 kPa pressure applied in 2 second periods</w:t>
      </w:r>
      <w:r w:rsidR="00D92869" w:rsidRPr="00B11B1C">
        <w:t>.</w:t>
      </w:r>
    </w:p>
    <w:p w14:paraId="3714EDFE" w14:textId="589B980C" w:rsidR="00D91C87" w:rsidRPr="00B11B1C" w:rsidRDefault="00D91C87" w:rsidP="00D91C87">
      <w:pPr>
        <w:pStyle w:val="ListParagraph"/>
        <w:numPr>
          <w:ilvl w:val="0"/>
          <w:numId w:val="41"/>
        </w:numPr>
        <w:spacing w:before="0" w:after="160" w:line="259" w:lineRule="auto"/>
        <w:jc w:val="left"/>
        <w:rPr>
          <w:szCs w:val="22"/>
        </w:rPr>
      </w:pPr>
      <w:r w:rsidRPr="00B11B1C">
        <w:rPr>
          <w:szCs w:val="22"/>
        </w:rPr>
        <w:t>Cycle B: 3.5 kPa/s compression to 100 kPa, five minute dwell, and 3.5 kPa relaxation over a total of 6 minutes.</w:t>
      </w:r>
    </w:p>
    <w:p w14:paraId="38FB03A3" w14:textId="761C744F" w:rsidR="00D91C87" w:rsidRPr="00B11B1C" w:rsidRDefault="00D91C87" w:rsidP="00D91C87">
      <w:pPr>
        <w:pStyle w:val="ListParagraph"/>
        <w:numPr>
          <w:ilvl w:val="0"/>
          <w:numId w:val="41"/>
        </w:numPr>
        <w:spacing w:before="0" w:after="160" w:line="259" w:lineRule="auto"/>
        <w:jc w:val="left"/>
        <w:rPr>
          <w:sz w:val="24"/>
        </w:rPr>
      </w:pPr>
      <w:r w:rsidRPr="00B11B1C">
        <w:t xml:space="preserve">Cycle C: </w:t>
      </w:r>
      <w:r w:rsidRPr="00B11B1C">
        <w:rPr>
          <w:sz w:val="24"/>
        </w:rPr>
        <w:t>4 mm/min compression to 86 kPa, 15 minute dwell, and 0.04 mm/minute relaxation of a 25 minute period.</w:t>
      </w:r>
    </w:p>
    <w:p w14:paraId="10C7604E" w14:textId="09C3FEC3" w:rsidR="00D91C87" w:rsidRPr="00B11B1C" w:rsidRDefault="00D91C87" w:rsidP="5FDB9B39">
      <w:pPr>
        <w:keepNext/>
        <w:spacing w:before="0" w:after="160" w:line="259" w:lineRule="auto"/>
      </w:pPr>
      <w:r w:rsidRPr="00B11B1C">
        <w:t>The sequence of debulking for each of the samples is summarized in</w:t>
      </w:r>
      <w:r w:rsidR="00CB083D" w:rsidRPr="00B11B1C">
        <w:rPr>
          <w:szCs w:val="22"/>
        </w:rPr>
        <w:t xml:space="preserve"> </w:t>
      </w:r>
      <w:r w:rsidR="00CB083D" w:rsidRPr="00B11B1C">
        <w:rPr>
          <w:szCs w:val="22"/>
        </w:rPr>
        <w:fldChar w:fldCharType="begin"/>
      </w:r>
      <w:r w:rsidR="00CB083D" w:rsidRPr="00B11B1C">
        <w:rPr>
          <w:szCs w:val="22"/>
        </w:rPr>
        <w:instrText xml:space="preserve"> REF _Ref90459197 \h </w:instrText>
      </w:r>
      <w:r w:rsidR="00CB083D" w:rsidRPr="00B11B1C">
        <w:rPr>
          <w:szCs w:val="22"/>
        </w:rPr>
      </w:r>
      <w:r w:rsidR="00B11B1C">
        <w:rPr>
          <w:szCs w:val="22"/>
        </w:rPr>
        <w:instrText xml:space="preserve"> \* MERGEFORMAT </w:instrText>
      </w:r>
      <w:r w:rsidR="00CB083D" w:rsidRPr="00B11B1C">
        <w:rPr>
          <w:szCs w:val="22"/>
        </w:rPr>
        <w:fldChar w:fldCharType="separate"/>
      </w:r>
      <w:r w:rsidR="00CB083D" w:rsidRPr="00B11B1C">
        <w:t xml:space="preserve">Figure </w:t>
      </w:r>
      <w:r w:rsidR="00CB083D" w:rsidRPr="00B11B1C">
        <w:rPr>
          <w:noProof/>
        </w:rPr>
        <w:t>1</w:t>
      </w:r>
      <w:r w:rsidR="00CB083D" w:rsidRPr="00B11B1C">
        <w:rPr>
          <w:szCs w:val="22"/>
        </w:rPr>
        <w:fldChar w:fldCharType="end"/>
      </w:r>
      <w:r w:rsidRPr="00B11B1C">
        <w:t>. The sequence of debulking steps did not change for both samples, while the number of cycles per step did vary at steps 1 and 6. The fibers that underwent the most cycles of debulking per step were deemed the “High” debulking sample, while the other fibers were deemed the “low” debulking</w:t>
      </w:r>
      <w:r w:rsidR="00B023B9" w:rsidRPr="00B11B1C">
        <w:rPr>
          <w:szCs w:val="22"/>
        </w:rPr>
        <w:t>.</w:t>
      </w:r>
      <w:r w:rsidR="04CF82F6" w:rsidRPr="00B11B1C">
        <w:rPr>
          <w:szCs w:val="22"/>
        </w:rPr>
        <w:t xml:space="preserve"> </w:t>
      </w:r>
      <w:r w:rsidR="04CF82F6" w:rsidRPr="00B11B1C">
        <w:t xml:space="preserve">All sample handling was done with care to minimize fabric shear or anything else that could influence the </w:t>
      </w:r>
      <w:r w:rsidR="7C3EC5A2" w:rsidRPr="00B11B1C">
        <w:t xml:space="preserve">microstructure between </w:t>
      </w:r>
      <w:r w:rsidR="04CF82F6" w:rsidRPr="00B11B1C">
        <w:t>the</w:t>
      </w:r>
      <w:r w:rsidR="0BD5B384" w:rsidRPr="00B11B1C">
        <w:t xml:space="preserve"> debulking steps.</w:t>
      </w:r>
    </w:p>
    <w:p w14:paraId="4BC64CE1" w14:textId="77777777" w:rsidR="00D91C87" w:rsidRPr="00B11B1C" w:rsidRDefault="00D91C87" w:rsidP="00D91C87">
      <w:pPr>
        <w:keepNext/>
        <w:spacing w:before="0" w:after="160" w:line="259" w:lineRule="auto"/>
        <w:jc w:val="center"/>
      </w:pPr>
      <w:r w:rsidRPr="00B11B1C">
        <w:rPr>
          <w:noProof/>
        </w:rPr>
        <w:drawing>
          <wp:inline distT="0" distB="0" distL="0" distR="0" wp14:anchorId="7C0867F4" wp14:editId="6988F732">
            <wp:extent cx="5943600" cy="28505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850515"/>
                    </a:xfrm>
                    <a:prstGeom prst="rect">
                      <a:avLst/>
                    </a:prstGeom>
                    <a:noFill/>
                    <a:ln>
                      <a:noFill/>
                    </a:ln>
                  </pic:spPr>
                </pic:pic>
              </a:graphicData>
            </a:graphic>
          </wp:inline>
        </w:drawing>
      </w:r>
    </w:p>
    <w:p w14:paraId="6082BE3D" w14:textId="0064C317" w:rsidR="009810FE" w:rsidRPr="00B11B1C" w:rsidRDefault="00D91C87" w:rsidP="00B11B1C">
      <w:pPr>
        <w:pStyle w:val="Caption"/>
      </w:pPr>
      <w:bookmarkStart w:id="0" w:name="_Ref90459197"/>
      <w:r w:rsidRPr="00B11B1C">
        <w:t xml:space="preserve">Figure </w:t>
      </w:r>
      <w:fldSimple w:instr=" SEQ Figure \* ARABIC ">
        <w:r w:rsidR="00531B5C" w:rsidRPr="00B11B1C">
          <w:rPr>
            <w:noProof/>
          </w:rPr>
          <w:t>1</w:t>
        </w:r>
      </w:fldSimple>
      <w:bookmarkEnd w:id="0"/>
      <w:r w:rsidRPr="00B11B1C">
        <w:t>. Diagrams of the three basic debulking cycle types with a table of the applications of each process for both the Low and High debulk samples</w:t>
      </w:r>
      <w:r w:rsidR="0057655D" w:rsidRPr="00B11B1C">
        <w:t>.</w:t>
      </w:r>
    </w:p>
    <w:p w14:paraId="28A44488" w14:textId="11204D7E" w:rsidR="000D0623" w:rsidRPr="00B11B1C" w:rsidRDefault="00D10DDB" w:rsidP="003B5D55">
      <w:pPr>
        <w:pStyle w:val="Heading2"/>
      </w:pPr>
      <w:r w:rsidRPr="00B11B1C">
        <w:t>Sample Preparation and Imaging</w:t>
      </w:r>
    </w:p>
    <w:p w14:paraId="71B41D43" w14:textId="05612678" w:rsidR="00D10DDB" w:rsidRPr="00B11B1C" w:rsidRDefault="000D0623" w:rsidP="00FB4E74">
      <w:r w:rsidRPr="00B11B1C">
        <w:t xml:space="preserve">Three laminates were manufactured by vacuum infusion under a vacuum bag, using a layer of flow media over the top to accelerate the filling time. Two of the laminates were prepared from the "low debulk” and “high debulk” samples from the debulking experiments, which were infused shortly after the last debulking </w:t>
      </w:r>
      <w:r w:rsidRPr="00B11B1C">
        <w:lastRenderedPageBreak/>
        <w:t>cycle. The third laminate was prepared from a ply-stack straight from the fabric roll, with no debulking, referred to as the “benchmark” sample. Details of the resin infusion process can be found in the appendix.</w:t>
      </w:r>
      <w:r w:rsidR="00357A46" w:rsidRPr="00B11B1C">
        <w:t xml:space="preserve"> </w:t>
      </w:r>
      <w:r w:rsidR="00D10DDB" w:rsidRPr="00B11B1C">
        <w:t>Rectangular 3mm x 20 mm x 50 mm samples were c</w:t>
      </w:r>
      <w:r w:rsidR="00E40213" w:rsidRPr="00B11B1C">
        <w:t>ut</w:t>
      </w:r>
      <w:r w:rsidR="00D10DDB" w:rsidRPr="00B11B1C">
        <w:t xml:space="preserve"> from each of the three cured laminates</w:t>
      </w:r>
      <w:r w:rsidR="00FB4EF4" w:rsidRPr="00B11B1C">
        <w:t xml:space="preserve"> using a wet diamond-tipped saw</w:t>
      </w:r>
      <w:r w:rsidR="00D10DDB" w:rsidRPr="00B11B1C">
        <w:t>.</w:t>
      </w:r>
      <w:r w:rsidR="00A97BC3" w:rsidRPr="00B11B1C">
        <w:t xml:space="preserve"> Samples were cut from the resin inlet corner of each plate, after the edges of the plates had been squared off.</w:t>
      </w:r>
      <w:r w:rsidR="00D10DDB" w:rsidRPr="00B11B1C">
        <w:t xml:space="preserve"> The samples were sanded to remove the peel ply texture from the bag-side of the laminate and to a consistent, uniform thickness</w:t>
      </w:r>
      <w:r w:rsidR="00DB77A8" w:rsidRPr="00B11B1C">
        <w:t xml:space="preserve"> of </w:t>
      </w:r>
      <w:r w:rsidR="00787314" w:rsidRPr="00B11B1C">
        <w:t>2.8 mm</w:t>
      </w:r>
      <w:r w:rsidR="00D10DDB" w:rsidRPr="00B11B1C">
        <w:t xml:space="preserve">. </w:t>
      </w:r>
      <w:r w:rsidR="00101099" w:rsidRPr="00B11B1C">
        <w:t>The peel ply was removed so that the images would consist entirely of fibers.</w:t>
      </w:r>
    </w:p>
    <w:p w14:paraId="50CF9114" w14:textId="0978C829" w:rsidR="00D10DDB" w:rsidRPr="00B11B1C" w:rsidRDefault="00D10DDB" w:rsidP="00D10DDB">
      <w:r w:rsidRPr="00B11B1C">
        <w:t>Serial sections were taken using the UES Robo-Met.3D machine at the NASA Glenn Research Center in Cleveland, Ohio. All three samples were stacked on top of each other and potted in resin as a single sample.</w:t>
      </w:r>
      <w:r w:rsidR="000D0623" w:rsidRPr="00B11B1C">
        <w:t xml:space="preserve"> </w:t>
      </w:r>
      <w:r w:rsidRPr="00B11B1C">
        <w:t>The unified sample was placed in the Robo-Met</w:t>
      </w:r>
      <w:r w:rsidR="00101099" w:rsidRPr="00B11B1C">
        <w:t xml:space="preserve"> for polishing and imaging. </w:t>
      </w:r>
      <w:r w:rsidRPr="00B11B1C">
        <w:t xml:space="preserve">The serial sectioning process consists of a series of polishing steps outlined in Table </w:t>
      </w:r>
      <w:r w:rsidR="00A30BAC" w:rsidRPr="00B11B1C">
        <w:t>1</w:t>
      </w:r>
      <w:r w:rsidRPr="00B11B1C">
        <w:t>. The resulting images were mosaics made up of</w:t>
      </w:r>
      <w:r w:rsidR="00896366" w:rsidRPr="00B11B1C">
        <w:t xml:space="preserve"> </w:t>
      </w:r>
      <w:r w:rsidR="008351FE" w:rsidRPr="00B11B1C">
        <w:t xml:space="preserve">231 </w:t>
      </w:r>
      <w:r w:rsidR="00A76D24" w:rsidRPr="00B11B1C">
        <w:t>(33 x 7)</w:t>
      </w:r>
      <w:r w:rsidRPr="00B11B1C">
        <w:t xml:space="preserve"> individually captured tiles at an in-plane resolution of 0.51 </w:t>
      </w:r>
      <m:oMath>
        <m:r>
          <w:rPr>
            <w:rFonts w:ascii="Cambria Math" w:hAnsi="Cambria Math"/>
          </w:rPr>
          <m:t>μ</m:t>
        </m:r>
      </m:oMath>
      <w:r w:rsidRPr="00B11B1C">
        <w:t xml:space="preserve">m/px, and an average spacing of 2.5 </w:t>
      </w:r>
      <m:oMath>
        <m:r>
          <w:rPr>
            <w:rFonts w:ascii="Cambria Math" w:hAnsi="Cambria Math"/>
          </w:rPr>
          <m:t>μ</m:t>
        </m:r>
      </m:oMath>
      <w:r w:rsidRPr="00B11B1C">
        <w:t>m/image. The tiles were stitched together using the accompanying software for the Robo-Met machine.</w:t>
      </w:r>
      <w:r w:rsidR="008351FE" w:rsidRPr="00B11B1C">
        <w:t xml:space="preserve"> In total the process completed after approximately 2 weeks of continuous operation.</w:t>
      </w:r>
    </w:p>
    <w:p w14:paraId="2819580E" w14:textId="282DBEA9" w:rsidR="00D10DDB" w:rsidRPr="00B11B1C" w:rsidRDefault="00D10DDB" w:rsidP="004C136C">
      <w:pPr>
        <w:pStyle w:val="Caption"/>
      </w:pPr>
      <w:r w:rsidRPr="00B11B1C">
        <w:t xml:space="preserve">Table </w:t>
      </w:r>
      <w:r w:rsidRPr="00B11B1C">
        <w:fldChar w:fldCharType="begin"/>
      </w:r>
      <w:r w:rsidRPr="00B11B1C">
        <w:instrText>SEQ Table \* ARABIC</w:instrText>
      </w:r>
      <w:r w:rsidRPr="00B11B1C">
        <w:fldChar w:fldCharType="separate"/>
      </w:r>
      <w:r w:rsidR="00531B5C" w:rsidRPr="00B11B1C">
        <w:rPr>
          <w:noProof/>
        </w:rPr>
        <w:t>1</w:t>
      </w:r>
      <w:r w:rsidRPr="00B11B1C">
        <w:fldChar w:fldCharType="end"/>
      </w:r>
      <w:r w:rsidRPr="00B11B1C">
        <w:t>. Breakdown of polishing steps for serial sectioning procedure, including the pad and solution combinations used at each step</w:t>
      </w:r>
      <w:r w:rsidR="00EE140D" w:rsidRPr="00B11B1C">
        <w:t xml:space="preserve">. </w:t>
      </w:r>
    </w:p>
    <w:tbl>
      <w:tblPr>
        <w:tblStyle w:val="TableGrid"/>
        <w:tblW w:w="8006" w:type="dxa"/>
        <w:jc w:val="center"/>
        <w:tblLook w:val="04A0" w:firstRow="1" w:lastRow="0" w:firstColumn="1" w:lastColumn="0" w:noHBand="0" w:noVBand="1"/>
      </w:tblPr>
      <w:tblGrid>
        <w:gridCol w:w="1280"/>
        <w:gridCol w:w="1701"/>
        <w:gridCol w:w="1154"/>
        <w:gridCol w:w="1800"/>
        <w:gridCol w:w="2071"/>
      </w:tblGrid>
      <w:tr w:rsidR="00357A46" w:rsidRPr="00B11B1C" w14:paraId="198B35C8" w14:textId="77777777" w:rsidTr="00C06DA0">
        <w:trPr>
          <w:jc w:val="center"/>
        </w:trPr>
        <w:tc>
          <w:tcPr>
            <w:tcW w:w="1280" w:type="dxa"/>
          </w:tcPr>
          <w:p w14:paraId="58D9F977" w14:textId="44BEB1CF" w:rsidR="00357A46" w:rsidRPr="00B11B1C" w:rsidRDefault="00357A46" w:rsidP="00D10DDB">
            <w:pPr>
              <w:jc w:val="center"/>
            </w:pPr>
            <w:r w:rsidRPr="00B11B1C">
              <w:t>Pad/Cloth</w:t>
            </w:r>
          </w:p>
        </w:tc>
        <w:tc>
          <w:tcPr>
            <w:tcW w:w="1701" w:type="dxa"/>
          </w:tcPr>
          <w:p w14:paraId="3D44336E" w14:textId="56A941B6" w:rsidR="00357A46" w:rsidRPr="00B11B1C" w:rsidRDefault="00357A46" w:rsidP="00D10DDB">
            <w:pPr>
              <w:jc w:val="center"/>
            </w:pPr>
            <w:r w:rsidRPr="00B11B1C">
              <w:t>Solution</w:t>
            </w:r>
          </w:p>
        </w:tc>
        <w:tc>
          <w:tcPr>
            <w:tcW w:w="1154" w:type="dxa"/>
          </w:tcPr>
          <w:p w14:paraId="7C75DDB2" w14:textId="6D9A3F11" w:rsidR="00357A46" w:rsidRPr="00B11B1C" w:rsidRDefault="00357A46" w:rsidP="00D10DDB">
            <w:pPr>
              <w:jc w:val="center"/>
            </w:pPr>
            <w:r w:rsidRPr="00B11B1C">
              <w:t>Time (s)</w:t>
            </w:r>
          </w:p>
        </w:tc>
        <w:tc>
          <w:tcPr>
            <w:tcW w:w="1800" w:type="dxa"/>
          </w:tcPr>
          <w:p w14:paraId="50C6F498" w14:textId="4E40282C" w:rsidR="00357A46" w:rsidRPr="00B11B1C" w:rsidRDefault="00357A46" w:rsidP="00D10DDB">
            <w:pPr>
              <w:jc w:val="center"/>
            </w:pPr>
            <w:r w:rsidRPr="00B11B1C">
              <w:t>Swap Speed (</w:t>
            </w:r>
            <w:r w:rsidR="001F3B87" w:rsidRPr="00B11B1C">
              <w:t>⁰</w:t>
            </w:r>
            <w:r w:rsidRPr="00B11B1C">
              <w:t>/S)</w:t>
            </w:r>
          </w:p>
        </w:tc>
        <w:tc>
          <w:tcPr>
            <w:tcW w:w="2071" w:type="dxa"/>
          </w:tcPr>
          <w:p w14:paraId="7BA239AA" w14:textId="75DF2855" w:rsidR="00357A46" w:rsidRPr="00B11B1C" w:rsidRDefault="00357A46" w:rsidP="00D10DDB">
            <w:pPr>
              <w:jc w:val="center"/>
            </w:pPr>
            <w:r w:rsidRPr="00B11B1C">
              <w:t xml:space="preserve">Rotation Speed </w:t>
            </w:r>
            <w:r w:rsidR="00C06DA0" w:rsidRPr="00B11B1C">
              <w:t>(⁰/S</w:t>
            </w:r>
            <w:r w:rsidRPr="00B11B1C">
              <w:t>)</w:t>
            </w:r>
          </w:p>
        </w:tc>
      </w:tr>
      <w:tr w:rsidR="00357A46" w:rsidRPr="00B11B1C" w14:paraId="6B94E9E5" w14:textId="77777777" w:rsidTr="00C06DA0">
        <w:trPr>
          <w:jc w:val="center"/>
        </w:trPr>
        <w:tc>
          <w:tcPr>
            <w:tcW w:w="1280" w:type="dxa"/>
          </w:tcPr>
          <w:p w14:paraId="305F6DD1" w14:textId="65A421B7" w:rsidR="00357A46" w:rsidRPr="00B11B1C" w:rsidRDefault="00357A46" w:rsidP="00D10DDB">
            <w:pPr>
              <w:jc w:val="center"/>
            </w:pPr>
            <w:r w:rsidRPr="00B11B1C">
              <w:t>Largo</w:t>
            </w:r>
          </w:p>
        </w:tc>
        <w:tc>
          <w:tcPr>
            <w:tcW w:w="1701" w:type="dxa"/>
          </w:tcPr>
          <w:p w14:paraId="5804ACA3" w14:textId="49746661" w:rsidR="00357A46" w:rsidRPr="00B11B1C" w:rsidRDefault="00357A46" w:rsidP="00D10DDB">
            <w:pPr>
              <w:jc w:val="center"/>
            </w:pPr>
            <w:r w:rsidRPr="00B11B1C">
              <w:t xml:space="preserve">6 </w:t>
            </w:r>
            <m:oMath>
              <m:r>
                <w:rPr>
                  <w:rFonts w:ascii="Cambria Math" w:hAnsi="Cambria Math"/>
                </w:rPr>
                <m:t>μ</m:t>
              </m:r>
            </m:oMath>
            <w:r w:rsidRPr="00B11B1C">
              <w:t>m Diamond</w:t>
            </w:r>
          </w:p>
        </w:tc>
        <w:tc>
          <w:tcPr>
            <w:tcW w:w="1154" w:type="dxa"/>
          </w:tcPr>
          <w:p w14:paraId="465FCE85" w14:textId="4186A1B3" w:rsidR="00357A46" w:rsidRPr="00B11B1C" w:rsidRDefault="00357A46" w:rsidP="00D10DDB">
            <w:pPr>
              <w:jc w:val="center"/>
            </w:pPr>
            <w:r w:rsidRPr="00B11B1C">
              <w:t>180</w:t>
            </w:r>
          </w:p>
        </w:tc>
        <w:tc>
          <w:tcPr>
            <w:tcW w:w="1800" w:type="dxa"/>
          </w:tcPr>
          <w:p w14:paraId="64828DF8" w14:textId="63253819" w:rsidR="00357A46" w:rsidRPr="00B11B1C" w:rsidRDefault="00357A46" w:rsidP="00D10DDB">
            <w:pPr>
              <w:jc w:val="center"/>
            </w:pPr>
            <w:r w:rsidRPr="00B11B1C">
              <w:t>60</w:t>
            </w:r>
          </w:p>
        </w:tc>
        <w:tc>
          <w:tcPr>
            <w:tcW w:w="2071" w:type="dxa"/>
          </w:tcPr>
          <w:p w14:paraId="7F8D5222" w14:textId="6161217D" w:rsidR="00357A46" w:rsidRPr="00B11B1C" w:rsidRDefault="00357A46" w:rsidP="00D10DDB">
            <w:pPr>
              <w:jc w:val="center"/>
            </w:pPr>
            <w:r w:rsidRPr="00B11B1C">
              <w:t>30</w:t>
            </w:r>
          </w:p>
        </w:tc>
      </w:tr>
      <w:tr w:rsidR="00357A46" w:rsidRPr="00B11B1C" w14:paraId="238BCA95" w14:textId="77777777" w:rsidTr="00C06DA0">
        <w:trPr>
          <w:jc w:val="center"/>
        </w:trPr>
        <w:tc>
          <w:tcPr>
            <w:tcW w:w="1280" w:type="dxa"/>
          </w:tcPr>
          <w:p w14:paraId="3DE6AD99" w14:textId="77BEFB83" w:rsidR="00357A46" w:rsidRPr="00B11B1C" w:rsidRDefault="00357A46" w:rsidP="00D10DDB">
            <w:pPr>
              <w:jc w:val="center"/>
            </w:pPr>
            <w:r w:rsidRPr="00B11B1C">
              <w:t>DAC</w:t>
            </w:r>
          </w:p>
        </w:tc>
        <w:tc>
          <w:tcPr>
            <w:tcW w:w="1701" w:type="dxa"/>
          </w:tcPr>
          <w:p w14:paraId="559E9601" w14:textId="286A8B56" w:rsidR="00357A46" w:rsidRPr="00B11B1C" w:rsidRDefault="00357A46" w:rsidP="00D10DDB">
            <w:pPr>
              <w:jc w:val="center"/>
            </w:pPr>
            <w:r w:rsidRPr="00B11B1C">
              <w:t xml:space="preserve">3 </w:t>
            </w:r>
            <m:oMath>
              <m:r>
                <w:rPr>
                  <w:rFonts w:ascii="Cambria Math" w:hAnsi="Cambria Math"/>
                </w:rPr>
                <m:t>μ</m:t>
              </m:r>
            </m:oMath>
            <w:r w:rsidRPr="00B11B1C">
              <w:t>m Diamond</w:t>
            </w:r>
          </w:p>
        </w:tc>
        <w:tc>
          <w:tcPr>
            <w:tcW w:w="1154" w:type="dxa"/>
          </w:tcPr>
          <w:p w14:paraId="3FED92E2" w14:textId="7815ABBB" w:rsidR="00357A46" w:rsidRPr="00B11B1C" w:rsidRDefault="00357A46" w:rsidP="00D10DDB">
            <w:pPr>
              <w:jc w:val="center"/>
            </w:pPr>
            <w:r w:rsidRPr="00B11B1C">
              <w:t>180</w:t>
            </w:r>
          </w:p>
        </w:tc>
        <w:tc>
          <w:tcPr>
            <w:tcW w:w="1800" w:type="dxa"/>
          </w:tcPr>
          <w:p w14:paraId="1828BEDF" w14:textId="05ADED7E" w:rsidR="00357A46" w:rsidRPr="00B11B1C" w:rsidRDefault="00357A46" w:rsidP="00D10DDB">
            <w:pPr>
              <w:jc w:val="center"/>
            </w:pPr>
            <w:r w:rsidRPr="00B11B1C">
              <w:t>60</w:t>
            </w:r>
          </w:p>
        </w:tc>
        <w:tc>
          <w:tcPr>
            <w:tcW w:w="2071" w:type="dxa"/>
          </w:tcPr>
          <w:p w14:paraId="6E2F3186" w14:textId="6FCBED3B" w:rsidR="00357A46" w:rsidRPr="00B11B1C" w:rsidRDefault="00357A46" w:rsidP="00D10DDB">
            <w:pPr>
              <w:jc w:val="center"/>
            </w:pPr>
            <w:r w:rsidRPr="00B11B1C">
              <w:t>30</w:t>
            </w:r>
          </w:p>
        </w:tc>
      </w:tr>
      <w:tr w:rsidR="00357A46" w:rsidRPr="00B11B1C" w14:paraId="655FB023" w14:textId="77777777" w:rsidTr="00C06DA0">
        <w:trPr>
          <w:jc w:val="center"/>
        </w:trPr>
        <w:tc>
          <w:tcPr>
            <w:tcW w:w="1280" w:type="dxa"/>
          </w:tcPr>
          <w:p w14:paraId="7E801D52" w14:textId="72F2DC88" w:rsidR="00357A46" w:rsidRPr="00B11B1C" w:rsidRDefault="00357A46" w:rsidP="00D10DDB">
            <w:pPr>
              <w:jc w:val="center"/>
            </w:pPr>
            <w:r w:rsidRPr="00B11B1C">
              <w:t>DAC</w:t>
            </w:r>
          </w:p>
        </w:tc>
        <w:tc>
          <w:tcPr>
            <w:tcW w:w="1701" w:type="dxa"/>
          </w:tcPr>
          <w:p w14:paraId="13F1C5F5" w14:textId="1B4699B1" w:rsidR="00357A46" w:rsidRPr="00B11B1C" w:rsidRDefault="00357A46" w:rsidP="00D10DDB">
            <w:pPr>
              <w:jc w:val="center"/>
            </w:pPr>
            <w:r w:rsidRPr="00B11B1C">
              <w:t xml:space="preserve">1 </w:t>
            </w:r>
            <m:oMath>
              <m:r>
                <w:rPr>
                  <w:rFonts w:ascii="Cambria Math" w:hAnsi="Cambria Math"/>
                </w:rPr>
                <m:t>μ</m:t>
              </m:r>
            </m:oMath>
            <w:r w:rsidRPr="00B11B1C">
              <w:t>m Diamond</w:t>
            </w:r>
          </w:p>
        </w:tc>
        <w:tc>
          <w:tcPr>
            <w:tcW w:w="1154" w:type="dxa"/>
          </w:tcPr>
          <w:p w14:paraId="3D440286" w14:textId="51997EFA" w:rsidR="00357A46" w:rsidRPr="00B11B1C" w:rsidRDefault="00357A46" w:rsidP="00D10DDB">
            <w:pPr>
              <w:jc w:val="center"/>
            </w:pPr>
            <w:r w:rsidRPr="00B11B1C">
              <w:t>180</w:t>
            </w:r>
          </w:p>
        </w:tc>
        <w:tc>
          <w:tcPr>
            <w:tcW w:w="1800" w:type="dxa"/>
          </w:tcPr>
          <w:p w14:paraId="7521A332" w14:textId="53783E7A" w:rsidR="00357A46" w:rsidRPr="00B11B1C" w:rsidRDefault="00357A46" w:rsidP="00D10DDB">
            <w:pPr>
              <w:jc w:val="center"/>
            </w:pPr>
            <w:r w:rsidRPr="00B11B1C">
              <w:t>60</w:t>
            </w:r>
          </w:p>
        </w:tc>
        <w:tc>
          <w:tcPr>
            <w:tcW w:w="2071" w:type="dxa"/>
          </w:tcPr>
          <w:p w14:paraId="267EB12C" w14:textId="4EDD23E6" w:rsidR="00357A46" w:rsidRPr="00B11B1C" w:rsidRDefault="00357A46" w:rsidP="00D10DDB">
            <w:pPr>
              <w:jc w:val="center"/>
            </w:pPr>
            <w:r w:rsidRPr="00B11B1C">
              <w:t>30</w:t>
            </w:r>
          </w:p>
        </w:tc>
      </w:tr>
      <w:tr w:rsidR="00357A46" w:rsidRPr="00B11B1C" w14:paraId="732D8CC9" w14:textId="77777777" w:rsidTr="00C06DA0">
        <w:trPr>
          <w:jc w:val="center"/>
        </w:trPr>
        <w:tc>
          <w:tcPr>
            <w:tcW w:w="1280" w:type="dxa"/>
          </w:tcPr>
          <w:p w14:paraId="2E6714F9" w14:textId="0B7A4637" w:rsidR="00357A46" w:rsidRPr="00B11B1C" w:rsidRDefault="00357A46" w:rsidP="00D10DDB">
            <w:pPr>
              <w:jc w:val="center"/>
            </w:pPr>
            <w:r w:rsidRPr="00B11B1C">
              <w:t>MD-Chem</w:t>
            </w:r>
          </w:p>
        </w:tc>
        <w:tc>
          <w:tcPr>
            <w:tcW w:w="1701" w:type="dxa"/>
          </w:tcPr>
          <w:p w14:paraId="439C65FB" w14:textId="48ED11A9" w:rsidR="00357A46" w:rsidRPr="00B11B1C" w:rsidRDefault="00357A46" w:rsidP="00D10DDB">
            <w:pPr>
              <w:jc w:val="center"/>
            </w:pPr>
            <w:r w:rsidRPr="00B11B1C">
              <w:t>Colloidal Silica</w:t>
            </w:r>
          </w:p>
        </w:tc>
        <w:tc>
          <w:tcPr>
            <w:tcW w:w="1154" w:type="dxa"/>
          </w:tcPr>
          <w:p w14:paraId="620119A2" w14:textId="66256CCE" w:rsidR="00357A46" w:rsidRPr="00B11B1C" w:rsidRDefault="00357A46" w:rsidP="00D10DDB">
            <w:pPr>
              <w:jc w:val="center"/>
            </w:pPr>
            <w:r w:rsidRPr="00B11B1C">
              <w:t>180</w:t>
            </w:r>
          </w:p>
        </w:tc>
        <w:tc>
          <w:tcPr>
            <w:tcW w:w="1800" w:type="dxa"/>
          </w:tcPr>
          <w:p w14:paraId="5F4158AE" w14:textId="26C7F11E" w:rsidR="00357A46" w:rsidRPr="00B11B1C" w:rsidRDefault="00357A46" w:rsidP="00D10DDB">
            <w:pPr>
              <w:jc w:val="center"/>
            </w:pPr>
            <w:r w:rsidRPr="00B11B1C">
              <w:t>60</w:t>
            </w:r>
          </w:p>
        </w:tc>
        <w:tc>
          <w:tcPr>
            <w:tcW w:w="2071" w:type="dxa"/>
          </w:tcPr>
          <w:p w14:paraId="68F3FC93" w14:textId="53D5DFD9" w:rsidR="00357A46" w:rsidRPr="00B11B1C" w:rsidRDefault="00357A46" w:rsidP="00D10DDB">
            <w:pPr>
              <w:jc w:val="center"/>
            </w:pPr>
            <w:r w:rsidRPr="00B11B1C">
              <w:t>30</w:t>
            </w:r>
          </w:p>
        </w:tc>
      </w:tr>
    </w:tbl>
    <w:p w14:paraId="1353F9E0" w14:textId="78417344" w:rsidR="00E25968" w:rsidRPr="00B11B1C" w:rsidRDefault="009E0A85" w:rsidP="003B5D55">
      <w:pPr>
        <w:pStyle w:val="Heading2"/>
      </w:pPr>
      <w:r w:rsidRPr="00B11B1C">
        <w:t>Image Analysis</w:t>
      </w:r>
    </w:p>
    <w:p w14:paraId="6B4EB053" w14:textId="0F665211" w:rsidR="009E0A85" w:rsidRPr="00B11B1C" w:rsidRDefault="0027494B" w:rsidP="009E0A85">
      <w:r w:rsidRPr="00B11B1C">
        <w:t>Analysis of the images involved the extraction of fiber p</w:t>
      </w:r>
      <w:r w:rsidR="009168FF" w:rsidRPr="00B11B1C">
        <w:t>ositions</w:t>
      </w:r>
      <w:r w:rsidRPr="00B11B1C">
        <w:t xml:space="preserve"> from each </w:t>
      </w:r>
      <w:r w:rsidR="00CF2B0B" w:rsidRPr="00B11B1C">
        <w:t>cross-section, then connecting these positions to create fiber paths.</w:t>
      </w:r>
      <w:r w:rsidRPr="00B11B1C">
        <w:t xml:space="preserve"> </w:t>
      </w:r>
      <w:r w:rsidR="009E0A85" w:rsidRPr="00B11B1C">
        <w:t xml:space="preserve">Three factors added to the complexity of </w:t>
      </w:r>
      <w:r w:rsidR="00873B9E" w:rsidRPr="00B11B1C">
        <w:t>recognizing fibers in each cross-section</w:t>
      </w:r>
      <w:r w:rsidR="009E0A85" w:rsidRPr="00B11B1C">
        <w:t xml:space="preserve">. </w:t>
      </w:r>
      <w:r w:rsidR="00CF2B0B" w:rsidRPr="00B11B1C">
        <w:t>First, t</w:t>
      </w:r>
      <w:r w:rsidR="009E0A85" w:rsidRPr="00B11B1C">
        <w:t xml:space="preserve">he </w:t>
      </w:r>
      <w:r w:rsidR="00CF2B0B" w:rsidRPr="00B11B1C">
        <w:t>serial sections</w:t>
      </w:r>
      <w:r w:rsidR="009E0A85" w:rsidRPr="00B11B1C">
        <w:t xml:space="preserve"> corresponding to successive layers were imperfectly aligned, which</w:t>
      </w:r>
      <w:r w:rsidR="009E0A85" w:rsidRPr="00B11B1C">
        <w:rPr>
          <w:rStyle w:val="CommentReference"/>
        </w:rPr>
        <w:t xml:space="preserve"> </w:t>
      </w:r>
      <w:r w:rsidR="009E0A85" w:rsidRPr="00B11B1C">
        <w:rPr>
          <w:rStyle w:val="CommentReference"/>
          <w:sz w:val="22"/>
          <w:szCs w:val="22"/>
        </w:rPr>
        <w:t xml:space="preserve">was attributed to inaccuracies in the motion of the kinematic sample holder. </w:t>
      </w:r>
      <w:r w:rsidR="00CF2B0B" w:rsidRPr="00B11B1C">
        <w:rPr>
          <w:rStyle w:val="CommentReference"/>
          <w:sz w:val="22"/>
          <w:szCs w:val="22"/>
        </w:rPr>
        <w:t xml:space="preserve">Second, </w:t>
      </w:r>
      <w:r w:rsidR="00CF2B0B" w:rsidRPr="00B11B1C">
        <w:t>a</w:t>
      </w:r>
      <w:r w:rsidR="009E0A85" w:rsidRPr="00B11B1C">
        <w:t>s the optical microscope scanned the specimen, uneven lighting created intensity variations within the 64 square-shaped sub-images that formed the total mosaic image. Finally, the optical images were often marred by what appear</w:t>
      </w:r>
      <w:r w:rsidR="00CF2B0B" w:rsidRPr="00B11B1C">
        <w:t>ed</w:t>
      </w:r>
      <w:r w:rsidR="009E0A85" w:rsidRPr="00B11B1C">
        <w:t xml:space="preserve"> to be films of liquid, presumably left over from the cleaning step of the polishing process. The frame misalignments were corrected with the help of ImageJ image stabilization software </w:t>
      </w:r>
      <w:r w:rsidR="009E0A85" w:rsidRPr="00B11B1C">
        <w:fldChar w:fldCharType="begin"/>
      </w:r>
      <w:r w:rsidR="00802A1F" w:rsidRPr="00B11B1C">
        <w:instrText xml:space="preserve"> ADDIN ZOTERO_ITEM CSL_CITATION {"citationID":"8A5Y7sfb","properties":{"formattedCitation":"[39]","plainCitation":"[39]","noteIndex":0},"citationItems":[{"id":169,"uris":["http://zotero.org/users/6222105/items/Y6VEHV8I"],"itemData":{"id":169,"type":"article-journal","container-title":"Nature Methods","DOI":"10.1038/nmeth.2089","ISSN":"1548-7091, 1548-7105","issue":"7","journalAbbreviation":"Nat Methods","language":"en","page":"671-675","source":"DOI.org (Crossref)","title":"NIH Image to ImageJ: 25 years of image analysis","title-short":"NIH Image to ImageJ","volume":"9","author":[{"family":"Schneider","given":"Caroline A"},{"family":"Rasband","given":"Wayne S"},{"family":"Eliceiri","given":"Kevin W"}],"issued":{"date-parts":[["2012",7]]}}}],"schema":"https://github.com/citation-style-language/schema/raw/master/csl-citation.json"} </w:instrText>
      </w:r>
      <w:r w:rsidR="009E0A85" w:rsidRPr="00B11B1C">
        <w:fldChar w:fldCharType="separate"/>
      </w:r>
      <w:r w:rsidR="00802A1F" w:rsidRPr="00B11B1C">
        <w:t>[39]</w:t>
      </w:r>
      <w:r w:rsidR="009E0A85" w:rsidRPr="00B11B1C">
        <w:fldChar w:fldCharType="end"/>
      </w:r>
      <w:r w:rsidR="009E0A85" w:rsidRPr="00B11B1C">
        <w:t xml:space="preserve">. The disk and void detection algorithms, described below, were able to handle the local intensity changes due to uneven lighting. </w:t>
      </w:r>
    </w:p>
    <w:p w14:paraId="5DE50307" w14:textId="3F1124C1" w:rsidR="009E0A85" w:rsidRPr="00B11B1C" w:rsidRDefault="009E0A85" w:rsidP="009E0A85">
      <w:pPr>
        <w:spacing w:line="259" w:lineRule="auto"/>
        <w:rPr>
          <w:szCs w:val="22"/>
        </w:rPr>
      </w:pPr>
      <w:r w:rsidRPr="00B11B1C">
        <w:t xml:space="preserve">The correction of irregular hue variations due to liquid spills is illustrated in </w:t>
      </w:r>
      <w:r w:rsidRPr="00B11B1C">
        <w:fldChar w:fldCharType="begin"/>
      </w:r>
      <w:r w:rsidRPr="00B11B1C">
        <w:instrText xml:space="preserve"> REF _Ref77013293 \h </w:instrText>
      </w:r>
      <w:r w:rsidR="00B11B1C">
        <w:instrText xml:space="preserve"> \* MERGEFORMAT </w:instrText>
      </w:r>
      <w:r w:rsidRPr="00B11B1C">
        <w:fldChar w:fldCharType="separate"/>
      </w:r>
      <w:r w:rsidR="00531B5C" w:rsidRPr="00B11B1C">
        <w:t xml:space="preserve">Figure </w:t>
      </w:r>
      <w:r w:rsidR="00531B5C" w:rsidRPr="00B11B1C">
        <w:rPr>
          <w:noProof/>
        </w:rPr>
        <w:t>2</w:t>
      </w:r>
      <w:r w:rsidRPr="00B11B1C">
        <w:fldChar w:fldCharType="end"/>
      </w:r>
      <w:r w:rsidRPr="00B11B1C">
        <w:t xml:space="preserve">. The fiber cross-sections in the image foreground consist of disks with soft, often partially overlapping boundaries. Grayscale images underwent a morphological erosion operation in MATLAB, with a disk structuring element of radius one half of the average fiber radius (3 pixels or 1.51 </w:t>
      </w:r>
      <m:oMath>
        <m:r>
          <w:rPr>
            <w:rFonts w:ascii="Cambria Math" w:hAnsi="Cambria Math"/>
          </w:rPr>
          <m:t>μ</m:t>
        </m:r>
      </m:oMath>
      <w:r w:rsidRPr="00B11B1C">
        <w:t xml:space="preserve">m). The images were then binarized, and Gaussian smoothing was applied, with a Gaussian kernel of radius equal to the average fiber radius. This replaces each convex disk by a locally convex function with a unique maximum. To detect the fiber centers, the MATLAB </w:t>
      </w:r>
      <w:r w:rsidR="00101099" w:rsidRPr="00B11B1C">
        <w:t xml:space="preserve">image processing </w:t>
      </w:r>
      <w:r w:rsidRPr="00B11B1C">
        <w:t xml:space="preserve">functions “imregionalmax” and “regionprops” were used to locate the centers of each fiber cross-section. </w:t>
      </w:r>
      <w:r w:rsidR="009168FF" w:rsidRPr="00B11B1C">
        <w:rPr>
          <w:szCs w:val="22"/>
        </w:rPr>
        <w:t xml:space="preserve"> </w:t>
      </w:r>
    </w:p>
    <w:p w14:paraId="0CEFD520" w14:textId="46E54E4D" w:rsidR="009E0A85" w:rsidRPr="00B11B1C" w:rsidRDefault="009E0A85" w:rsidP="00B11B1C">
      <w:pPr>
        <w:keepNext/>
      </w:pPr>
    </w:p>
    <w:p w14:paraId="2CEC4BD1" w14:textId="05CA3CB2" w:rsidR="006828B6" w:rsidRPr="00B11B1C" w:rsidRDefault="00C800F7" w:rsidP="009E0A85">
      <w:pPr>
        <w:keepNext/>
        <w:jc w:val="center"/>
      </w:pPr>
      <w:r w:rsidRPr="00B11B1C">
        <w:rPr>
          <w:noProof/>
        </w:rPr>
        <w:drawing>
          <wp:inline distT="0" distB="0" distL="0" distR="0" wp14:anchorId="2985355F" wp14:editId="50F637F3">
            <wp:extent cx="5943600" cy="29235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923540"/>
                    </a:xfrm>
                    <a:prstGeom prst="rect">
                      <a:avLst/>
                    </a:prstGeom>
                    <a:noFill/>
                    <a:ln>
                      <a:noFill/>
                    </a:ln>
                  </pic:spPr>
                </pic:pic>
              </a:graphicData>
            </a:graphic>
          </wp:inline>
        </w:drawing>
      </w:r>
    </w:p>
    <w:p w14:paraId="67CFD9E1" w14:textId="44833BB7" w:rsidR="009E0A85" w:rsidRPr="00B11B1C" w:rsidRDefault="009E0A85" w:rsidP="004C136C">
      <w:pPr>
        <w:pStyle w:val="Caption"/>
      </w:pPr>
      <w:bookmarkStart w:id="1" w:name="_Ref77013293"/>
      <w:r w:rsidRPr="00B11B1C">
        <w:t xml:space="preserve">Figure </w:t>
      </w:r>
      <w:r w:rsidRPr="00B11B1C">
        <w:fldChar w:fldCharType="begin"/>
      </w:r>
      <w:r w:rsidRPr="00B11B1C">
        <w:instrText>SEQ Figure \* ARABIC</w:instrText>
      </w:r>
      <w:r w:rsidRPr="00B11B1C">
        <w:fldChar w:fldCharType="separate"/>
      </w:r>
      <w:r w:rsidR="00531B5C" w:rsidRPr="00B11B1C">
        <w:rPr>
          <w:noProof/>
        </w:rPr>
        <w:t>2</w:t>
      </w:r>
      <w:r w:rsidRPr="00B11B1C">
        <w:fldChar w:fldCharType="end"/>
      </w:r>
      <w:bookmarkEnd w:id="1"/>
      <w:r w:rsidRPr="00B11B1C">
        <w:t>. Image processing method</w:t>
      </w:r>
      <w:r w:rsidR="00873B9E" w:rsidRPr="00B11B1C">
        <w:t xml:space="preserve"> to find fibers despite water droplets on the surface</w:t>
      </w:r>
      <w:r w:rsidRPr="00B11B1C">
        <w:t>: a) cross section with distortion and sampled region for circle detection, b) eroded greyscale image, c) image with Gaussian filter, d) regional maxima, and e) resulting fibers detected</w:t>
      </w:r>
    </w:p>
    <w:p w14:paraId="2BE681DA" w14:textId="04F178B1" w:rsidR="009E0A85" w:rsidRPr="00B11B1C" w:rsidRDefault="009E0A85" w:rsidP="009E0A85">
      <w:r w:rsidRPr="00B11B1C">
        <w:t xml:space="preserve">Due to the stiffness of the fibers and the relatively short spacing between images (compared with the fiber diameter), the fiber positions did not vary significantly between sequential cross-sections. This permitted the use of a nearest-neighbor search algorithm from one cross-section to the next to link fibers. The process for detecting and filtering fibers is documented in full </w:t>
      </w:r>
      <w:r w:rsidR="00873B9E" w:rsidRPr="00B11B1C">
        <w:t>within</w:t>
      </w:r>
      <w:r w:rsidRPr="00B11B1C">
        <w:t xml:space="preserve"> </w:t>
      </w:r>
      <w:r w:rsidRPr="00B11B1C">
        <w:fldChar w:fldCharType="begin"/>
      </w:r>
      <w:r w:rsidR="00802A1F" w:rsidRPr="00B11B1C">
        <w:instrText xml:space="preserve"> ADDIN ZOTERO_ITEM CSL_CITATION {"citationID":"IiT9xm41","properties":{"formattedCitation":"[40]","plainCitation":"[40]","noteIndex":0},"citationItems":[{"id":178,"uris":["http://zotero.org/users/6222105/items/EUK83G6K"],"itemData":{"id":178,"type":"article-journal","container-title":"JOM","DOI":"10.1007/s11837-021-04703-0","ISSN":"1047-4838, 1543-1851","issue":"7","journalAbbreviation":"JOM","language":"en","page":"2129-2142","source":"DOI.org (Crossref)","title":"Identification and Quantification of 3D Fiber Clusters in Fiber-Reinforced Composite Materials","volume":"73","author":[{"family":"Schey","given":"Mathew J."},{"family":"Beke","given":"Tibor"},{"family":"Appel","given":"Lars"},{"family":"Zabler","given":"Simon"},{"family":"Shah","given":"Sagar"},{"family":"Hu","given":"Jie"},{"family":"Liu","given":"Fuqiang"},{"family":"Maiaru","given":"Marianna"},{"family":"Stapleton","given":"Scott"}],"issued":{"date-parts":[["2021",7]]}}}],"schema":"https://github.com/citation-style-language/schema/raw/master/csl-citation.json"} </w:instrText>
      </w:r>
      <w:r w:rsidRPr="00B11B1C">
        <w:fldChar w:fldCharType="separate"/>
      </w:r>
      <w:r w:rsidR="00802A1F" w:rsidRPr="00B11B1C">
        <w:t>[40]</w:t>
      </w:r>
      <w:r w:rsidRPr="00B11B1C">
        <w:fldChar w:fldCharType="end"/>
      </w:r>
      <w:r w:rsidRPr="00B11B1C">
        <w:t>.</w:t>
      </w:r>
    </w:p>
    <w:p w14:paraId="45105E5D" w14:textId="6FD47E69" w:rsidR="009E0A85" w:rsidRPr="00B11B1C" w:rsidRDefault="00873B9E" w:rsidP="009E0A85">
      <w:r w:rsidRPr="00B11B1C">
        <w:t>For each laminate, two types of samples were cropped: regions within a tow and global laminate samples</w:t>
      </w:r>
      <w:r w:rsidR="001F6316" w:rsidRPr="00B11B1C">
        <w:t xml:space="preserve">, cropped to exclude regions where fiber locations could not be resolved. </w:t>
      </w:r>
      <w:r w:rsidR="009E0A85" w:rsidRPr="00B11B1C">
        <w:t>In each sample, fiber paths were extracted from both individual tows and macro-scale regions large enough to capture multiple tow parts, referred to here as “laminate” samples (</w:t>
      </w:r>
      <w:r w:rsidR="009E0A85" w:rsidRPr="00B11B1C">
        <w:fldChar w:fldCharType="begin"/>
      </w:r>
      <w:r w:rsidR="009E0A85" w:rsidRPr="00B11B1C">
        <w:instrText xml:space="preserve"> REF _Ref77085256 \h  \* MERGEFORMAT </w:instrText>
      </w:r>
      <w:r w:rsidR="009E0A85" w:rsidRPr="00B11B1C">
        <w:fldChar w:fldCharType="separate"/>
      </w:r>
      <w:r w:rsidR="00531B5C" w:rsidRPr="00B11B1C">
        <w:t xml:space="preserve">Figure </w:t>
      </w:r>
      <w:r w:rsidR="00531B5C" w:rsidRPr="00B11B1C">
        <w:rPr>
          <w:noProof/>
        </w:rPr>
        <w:t>3</w:t>
      </w:r>
      <w:r w:rsidR="009E0A85" w:rsidRPr="00B11B1C">
        <w:fldChar w:fldCharType="end"/>
      </w:r>
      <w:r w:rsidR="009E0A85" w:rsidRPr="00B11B1C">
        <w:t>).</w:t>
      </w:r>
      <w:r w:rsidR="009E0A85" w:rsidRPr="00B11B1C">
        <w:rPr>
          <w:sz w:val="28"/>
          <w:szCs w:val="28"/>
        </w:rPr>
        <w:t xml:space="preserve"> </w:t>
      </w:r>
      <w:r w:rsidR="009E0A85" w:rsidRPr="00B11B1C">
        <w:t xml:space="preserve">The purpose of this distinction was to compare metrics of fibers within tows to sample fibers representative of the laminate as a whole.  </w:t>
      </w:r>
    </w:p>
    <w:p w14:paraId="2000EB48" w14:textId="77777777" w:rsidR="009E0A85" w:rsidRPr="00B11B1C" w:rsidRDefault="009E0A85" w:rsidP="009E0A85">
      <w:pPr>
        <w:keepNext/>
        <w:jc w:val="center"/>
      </w:pPr>
      <w:r w:rsidRPr="00B11B1C">
        <w:rPr>
          <w:noProof/>
        </w:rPr>
        <w:drawing>
          <wp:inline distT="0" distB="0" distL="0" distR="0" wp14:anchorId="651084EB" wp14:editId="45C823A2">
            <wp:extent cx="5943600" cy="15836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1583690"/>
                    </a:xfrm>
                    <a:prstGeom prst="rect">
                      <a:avLst/>
                    </a:prstGeom>
                    <a:noFill/>
                    <a:ln>
                      <a:noFill/>
                    </a:ln>
                  </pic:spPr>
                </pic:pic>
              </a:graphicData>
            </a:graphic>
          </wp:inline>
        </w:drawing>
      </w:r>
    </w:p>
    <w:p w14:paraId="5E4EE64C" w14:textId="4E93CDD7" w:rsidR="009E0A85" w:rsidRPr="00B11B1C" w:rsidRDefault="009E0A85" w:rsidP="004C136C">
      <w:pPr>
        <w:pStyle w:val="Caption"/>
      </w:pPr>
      <w:bookmarkStart w:id="2" w:name="_Ref77085256"/>
      <w:r w:rsidRPr="00B11B1C">
        <w:t xml:space="preserve">Figure </w:t>
      </w:r>
      <w:r w:rsidRPr="00B11B1C">
        <w:fldChar w:fldCharType="begin"/>
      </w:r>
      <w:r w:rsidRPr="00B11B1C">
        <w:instrText>SEQ Figure \* ARABIC</w:instrText>
      </w:r>
      <w:r w:rsidRPr="00B11B1C">
        <w:fldChar w:fldCharType="separate"/>
      </w:r>
      <w:r w:rsidR="00531B5C" w:rsidRPr="00B11B1C">
        <w:rPr>
          <w:noProof/>
        </w:rPr>
        <w:t>3</w:t>
      </w:r>
      <w:r w:rsidRPr="00B11B1C">
        <w:fldChar w:fldCharType="end"/>
      </w:r>
      <w:bookmarkEnd w:id="2"/>
      <w:r w:rsidRPr="00B11B1C">
        <w:t>. Cross-sections of the three samples imaged showing the analyzed tows (top) and laminate samples (bottom) used to compare inter-tow to intra-tow fiber behavior. These sections were chosen to avoid the occurrence of blurry regions within the scans</w:t>
      </w:r>
    </w:p>
    <w:p w14:paraId="01EFE5C7" w14:textId="77777777" w:rsidR="009E0A85" w:rsidRPr="00B11B1C" w:rsidRDefault="009E0A85" w:rsidP="009E0A85"/>
    <w:p w14:paraId="31B29C3D" w14:textId="0BDF09FE" w:rsidR="00E25968" w:rsidRPr="00B11B1C" w:rsidRDefault="009E0A85" w:rsidP="00402D60">
      <w:pPr>
        <w:pStyle w:val="Heading2"/>
      </w:pPr>
      <w:r w:rsidRPr="00B11B1C">
        <w:lastRenderedPageBreak/>
        <w:t>Metrics</w:t>
      </w:r>
    </w:p>
    <w:p w14:paraId="4B11DFA9" w14:textId="77777777" w:rsidR="009E0A85" w:rsidRPr="00B11B1C" w:rsidRDefault="009E0A85" w:rsidP="009E0A85">
      <w:r w:rsidRPr="00B11B1C">
        <w:t>Spatial fiber metrics were measured from the extracted fiber paths in order to observe the effects of debulking on each sample. Additionally, fiber clusters were detected from the extracted fibers and metrics on the shape and size of the clusters were calculated.</w:t>
      </w:r>
    </w:p>
    <w:p w14:paraId="2D5A2EB2" w14:textId="4E1632B7" w:rsidR="00E25968" w:rsidRPr="00B11B1C" w:rsidRDefault="009168FF" w:rsidP="00402D60">
      <w:pPr>
        <w:pStyle w:val="Heading3"/>
      </w:pPr>
      <w:r w:rsidRPr="00B11B1C">
        <w:t xml:space="preserve">Local </w:t>
      </w:r>
      <w:r w:rsidR="001E49E2" w:rsidRPr="00B11B1C">
        <w:t>Fiber</w:t>
      </w:r>
      <w:r w:rsidRPr="00B11B1C">
        <w:t xml:space="preserve"> </w:t>
      </w:r>
      <w:r w:rsidR="009E0A85" w:rsidRPr="00B11B1C">
        <w:t>Volume Fraction</w:t>
      </w:r>
    </w:p>
    <w:p w14:paraId="03AB27BB" w14:textId="0FBBD682" w:rsidR="009E0A85" w:rsidRPr="00B11B1C" w:rsidRDefault="009E0A85" w:rsidP="009E0A85">
      <w:r w:rsidRPr="00B11B1C">
        <w:t xml:space="preserve">The local volume fraction, </w:t>
      </w:r>
      <m:oMath>
        <m:sSubSup>
          <m:sSubSupPr>
            <m:ctrlPr>
              <w:rPr>
                <w:rFonts w:ascii="Cambria Math" w:hAnsi="Cambria Math"/>
                <w:i/>
              </w:rPr>
            </m:ctrlPr>
          </m:sSubSupPr>
          <m:e>
            <m:r>
              <w:rPr>
                <w:rFonts w:ascii="Cambria Math" w:hAnsi="Cambria Math"/>
              </w:rPr>
              <m:t>v</m:t>
            </m:r>
          </m:e>
          <m:sub>
            <m:r>
              <w:rPr>
                <w:rFonts w:ascii="Cambria Math" w:hAnsi="Cambria Math"/>
              </w:rPr>
              <m:t>f</m:t>
            </m:r>
          </m:sub>
          <m:sup>
            <m:r>
              <w:rPr>
                <w:rFonts w:ascii="Cambria Math" w:hAnsi="Cambria Math"/>
              </w:rPr>
              <m:t>i</m:t>
            </m:r>
          </m:sup>
        </m:sSubSup>
      </m:oMath>
      <w:r w:rsidRPr="00B11B1C">
        <w:t>, is the ratio of a fiber’s cross-sectional area to the area of that fiber’s Voronoi cell in a cross-section (</w:t>
      </w:r>
      <w:r w:rsidRPr="00B11B1C">
        <w:fldChar w:fldCharType="begin"/>
      </w:r>
      <w:r w:rsidRPr="00B11B1C">
        <w:instrText xml:space="preserve"> REF _Ref77161814 \h </w:instrText>
      </w:r>
      <w:r w:rsidR="00B11B1C">
        <w:instrText xml:space="preserve"> \* MERGEFORMAT </w:instrText>
      </w:r>
      <w:r w:rsidRPr="00B11B1C">
        <w:fldChar w:fldCharType="separate"/>
      </w:r>
      <w:r w:rsidR="00531B5C" w:rsidRPr="00B11B1C">
        <w:t xml:space="preserve">Figure </w:t>
      </w:r>
      <w:r w:rsidR="00531B5C" w:rsidRPr="00B11B1C">
        <w:rPr>
          <w:noProof/>
        </w:rPr>
        <w:t>4</w:t>
      </w:r>
      <w:r w:rsidRPr="00B11B1C">
        <w:fldChar w:fldCharType="end"/>
      </w:r>
      <w:r w:rsidRPr="00B11B1C">
        <w:t>). Unlike the global volume fraction, the local metric provides information on localized regions of high fiber density or sparsity within the sample. The local volume fraction</w:t>
      </w:r>
      <w:r w:rsidR="006B20B2" w:rsidRPr="00B11B1C">
        <w:t xml:space="preserve"> (</w:t>
      </w:r>
      <w:r w:rsidR="009168FF" w:rsidRPr="00B11B1C">
        <w:t>E</w:t>
      </w:r>
      <w:r w:rsidR="006B20B2" w:rsidRPr="00B11B1C">
        <w:t>quation 1) can</w:t>
      </w:r>
      <w:r w:rsidRPr="00B11B1C">
        <w:t xml:space="preserve"> be calculated </w:t>
      </w:r>
      <w:r w:rsidR="000C26C3" w:rsidRPr="00B11B1C">
        <w:t>as</w:t>
      </w:r>
      <w:r w:rsidRPr="00B11B1C">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
        <w:gridCol w:w="8337"/>
        <w:gridCol w:w="557"/>
      </w:tblGrid>
      <w:tr w:rsidR="009E0A85" w:rsidRPr="00B11B1C" w14:paraId="3F0B23BC" w14:textId="77777777" w:rsidTr="00CE32C5">
        <w:tc>
          <w:tcPr>
            <w:tcW w:w="360" w:type="dxa"/>
          </w:tcPr>
          <w:p w14:paraId="581FD666" w14:textId="77777777" w:rsidR="009E0A85" w:rsidRPr="00B11B1C" w:rsidRDefault="009E0A85" w:rsidP="00CE32C5"/>
        </w:tc>
        <w:tc>
          <w:tcPr>
            <w:tcW w:w="8460" w:type="dxa"/>
          </w:tcPr>
          <w:p w14:paraId="5870DA00" w14:textId="77777777" w:rsidR="009E0A85" w:rsidRPr="00B11B1C" w:rsidRDefault="00713879" w:rsidP="00CE32C5">
            <w:pPr>
              <w:jc w:val="center"/>
            </w:pPr>
            <m:oMath>
              <m:sSubSup>
                <m:sSubSupPr>
                  <m:ctrlPr>
                    <w:rPr>
                      <w:rFonts w:ascii="Cambria Math" w:hAnsi="Cambria Math"/>
                      <w:i/>
                    </w:rPr>
                  </m:ctrlPr>
                </m:sSubSupPr>
                <m:e>
                  <m:r>
                    <w:rPr>
                      <w:rFonts w:ascii="Cambria Math" w:hAnsi="Cambria Math"/>
                    </w:rPr>
                    <m:t>v</m:t>
                  </m:r>
                </m:e>
                <m:sub>
                  <m:r>
                    <w:rPr>
                      <w:rFonts w:ascii="Cambria Math" w:hAnsi="Cambria Math"/>
                    </w:rPr>
                    <m:t>f</m:t>
                  </m:r>
                </m:sub>
                <m:sup>
                  <m:r>
                    <w:rPr>
                      <w:rFonts w:ascii="Cambria Math" w:hAnsi="Cambria Math"/>
                    </w:rPr>
                    <m:t>i</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f>
                <m:fPr>
                  <m:ctrlPr>
                    <w:rPr>
                      <w:rFonts w:ascii="Cambria Math" w:hAnsi="Cambria Math"/>
                      <w:i/>
                    </w:rPr>
                  </m:ctrlPr>
                </m:fPr>
                <m:num>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num>
                <m:den>
                  <m:sSubSup>
                    <m:sSubSupPr>
                      <m:ctrlPr>
                        <w:rPr>
                          <w:rFonts w:ascii="Cambria Math" w:hAnsi="Cambria Math"/>
                          <w:i/>
                        </w:rPr>
                      </m:ctrlPr>
                    </m:sSubSupPr>
                    <m:e>
                      <m:r>
                        <w:rPr>
                          <w:rFonts w:ascii="Cambria Math" w:hAnsi="Cambria Math"/>
                        </w:rPr>
                        <m:t>A</m:t>
                      </m:r>
                    </m:e>
                    <m:sub>
                      <m:r>
                        <w:rPr>
                          <w:rFonts w:ascii="Cambria Math" w:hAnsi="Cambria Math"/>
                        </w:rPr>
                        <m:t>v</m:t>
                      </m:r>
                    </m:sub>
                    <m:sup>
                      <m:r>
                        <w:rPr>
                          <w:rFonts w:ascii="Cambria Math" w:hAnsi="Cambria Math"/>
                        </w:rPr>
                        <m:t>i</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den>
              </m:f>
            </m:oMath>
            <w:r w:rsidR="009E0A85" w:rsidRPr="00B11B1C">
              <w:t xml:space="preserve"> </w:t>
            </w:r>
          </w:p>
        </w:tc>
        <w:tc>
          <w:tcPr>
            <w:tcW w:w="563" w:type="dxa"/>
          </w:tcPr>
          <w:p w14:paraId="7C680EC2" w14:textId="77777777" w:rsidR="009E0A85" w:rsidRPr="00B11B1C" w:rsidRDefault="009E0A85" w:rsidP="00CE32C5">
            <w:pPr>
              <w:pStyle w:val="EqtnNum"/>
              <w:contextualSpacing/>
            </w:pPr>
          </w:p>
        </w:tc>
      </w:tr>
    </w:tbl>
    <w:p w14:paraId="2966B57F" w14:textId="3DEA432F" w:rsidR="009E0A85" w:rsidRPr="00B11B1C" w:rsidRDefault="009E0A85" w:rsidP="009E0A85">
      <w:r w:rsidRPr="00B11B1C">
        <w:t xml:space="preserve">where r is the </w:t>
      </w:r>
      <w:r w:rsidR="009168FF" w:rsidRPr="00B11B1C">
        <w:t xml:space="preserve">average </w:t>
      </w:r>
      <w:r w:rsidRPr="00B11B1C">
        <w:t xml:space="preserve">fiber radius of </w:t>
      </w:r>
      <w:r w:rsidR="009168FF" w:rsidRPr="00B11B1C">
        <w:t xml:space="preserve">all </w:t>
      </w:r>
      <w:r w:rsidRPr="00B11B1C">
        <w:t>fiber</w:t>
      </w:r>
      <w:r w:rsidR="009168FF" w:rsidRPr="00B11B1C">
        <w:t>s</w:t>
      </w:r>
      <w:r w:rsidRPr="00B11B1C">
        <w:t xml:space="preserve"> and </w:t>
      </w:r>
      <m:oMath>
        <m:sSubSup>
          <m:sSubSupPr>
            <m:ctrlPr>
              <w:rPr>
                <w:rFonts w:ascii="Cambria Math" w:hAnsi="Cambria Math"/>
                <w:i/>
              </w:rPr>
            </m:ctrlPr>
          </m:sSubSupPr>
          <m:e>
            <m:r>
              <w:rPr>
                <w:rFonts w:ascii="Cambria Math" w:hAnsi="Cambria Math"/>
              </w:rPr>
              <m:t>A</m:t>
            </m:r>
          </m:e>
          <m:sub>
            <m:r>
              <w:rPr>
                <w:rFonts w:ascii="Cambria Math" w:hAnsi="Cambria Math"/>
              </w:rPr>
              <m:t>v</m:t>
            </m:r>
          </m:sub>
          <m:sup>
            <m:r>
              <w:rPr>
                <w:rFonts w:ascii="Cambria Math" w:hAnsi="Cambria Math"/>
              </w:rPr>
              <m:t>i</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oMath>
      <w:r w:rsidRPr="00B11B1C">
        <w:t xml:space="preserve"> is the area of the Voronoi cell of fiber </w:t>
      </w:r>
      <m:oMath>
        <m:r>
          <w:rPr>
            <w:rFonts w:ascii="Cambria Math" w:hAnsi="Cambria Math"/>
          </w:rPr>
          <m:t>i</m:t>
        </m:r>
      </m:oMath>
      <w:r w:rsidRPr="00B11B1C">
        <w:t xml:space="preserve"> at the cross-section </w:t>
      </w:r>
      <m:oMath>
        <m:sSub>
          <m:sSubPr>
            <m:ctrlPr>
              <w:rPr>
                <w:rFonts w:ascii="Cambria Math" w:hAnsi="Cambria Math"/>
                <w:i/>
              </w:rPr>
            </m:ctrlPr>
          </m:sSubPr>
          <m:e>
            <m:r>
              <w:rPr>
                <w:rFonts w:ascii="Cambria Math" w:hAnsi="Cambria Math"/>
              </w:rPr>
              <m:t>x</m:t>
            </m:r>
          </m:e>
          <m:sub>
            <m:r>
              <w:rPr>
                <w:rFonts w:ascii="Cambria Math" w:hAnsi="Cambria Math"/>
              </w:rPr>
              <m:t>n</m:t>
            </m:r>
          </m:sub>
        </m:sSub>
      </m:oMath>
      <w:r w:rsidRPr="00B11B1C">
        <w:t xml:space="preserve">. </w:t>
      </w:r>
    </w:p>
    <w:p w14:paraId="644D8693" w14:textId="77777777" w:rsidR="009E0A85" w:rsidRPr="00B11B1C" w:rsidRDefault="009E0A85" w:rsidP="009E0A85">
      <w:pPr>
        <w:keepNext/>
        <w:jc w:val="center"/>
      </w:pPr>
      <w:r w:rsidRPr="00B11B1C">
        <w:rPr>
          <w:noProof/>
        </w:rPr>
        <w:drawing>
          <wp:inline distT="0" distB="0" distL="0" distR="0" wp14:anchorId="2063509B" wp14:editId="1D17FDA3">
            <wp:extent cx="2625906" cy="2184330"/>
            <wp:effectExtent l="0" t="0" r="3175" b="6985"/>
            <wp:docPr id="20" name="Picture 2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ackground patter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625906" cy="2184330"/>
                    </a:xfrm>
                    <a:prstGeom prst="rect">
                      <a:avLst/>
                    </a:prstGeom>
                  </pic:spPr>
                </pic:pic>
              </a:graphicData>
            </a:graphic>
          </wp:inline>
        </w:drawing>
      </w:r>
    </w:p>
    <w:p w14:paraId="0D30B383" w14:textId="35DEEED1" w:rsidR="009E0A85" w:rsidRPr="00B11B1C" w:rsidRDefault="009E0A85" w:rsidP="004C136C">
      <w:pPr>
        <w:pStyle w:val="Caption"/>
      </w:pPr>
      <w:bookmarkStart w:id="3" w:name="_Ref77161814"/>
      <w:r w:rsidRPr="00B11B1C">
        <w:t xml:space="preserve">Figure </w:t>
      </w:r>
      <w:r w:rsidRPr="00B11B1C">
        <w:fldChar w:fldCharType="begin"/>
      </w:r>
      <w:r w:rsidRPr="00B11B1C">
        <w:instrText>SEQ Figure \* ARABIC</w:instrText>
      </w:r>
      <w:r w:rsidRPr="00B11B1C">
        <w:fldChar w:fldCharType="separate"/>
      </w:r>
      <w:r w:rsidR="00531B5C" w:rsidRPr="00B11B1C">
        <w:rPr>
          <w:noProof/>
        </w:rPr>
        <w:t>4</w:t>
      </w:r>
      <w:r w:rsidRPr="00B11B1C">
        <w:fldChar w:fldCharType="end"/>
      </w:r>
      <w:bookmarkEnd w:id="3"/>
      <w:r w:rsidRPr="00B11B1C">
        <w:t xml:space="preserve">. Cropped section of a </w:t>
      </w:r>
      <w:r w:rsidR="00E3748B" w:rsidRPr="00B11B1C">
        <w:t xml:space="preserve">micrograph of carbon fibers </w:t>
      </w:r>
      <w:r w:rsidRPr="00B11B1C">
        <w:t>showing the Voronoi tessellation</w:t>
      </w:r>
      <w:r w:rsidR="00101099" w:rsidRPr="00B11B1C">
        <w:t xml:space="preserve"> (yellow lines)</w:t>
      </w:r>
      <w:r w:rsidRPr="00B11B1C">
        <w:t xml:space="preserve"> of the fiber centers</w:t>
      </w:r>
      <w:r w:rsidR="00101099" w:rsidRPr="00B11B1C">
        <w:t xml:space="preserve"> (yellow dots)</w:t>
      </w:r>
      <w:r w:rsidRPr="00B11B1C">
        <w:t xml:space="preserve"> used to calculate the local volume fraction</w:t>
      </w:r>
      <w:r w:rsidR="001E49E2" w:rsidRPr="00B11B1C">
        <w:t xml:space="preserve">, </w:t>
      </w:r>
      <m:oMath>
        <m:sSubSup>
          <m:sSubSupPr>
            <m:ctrlPr>
              <w:rPr>
                <w:rFonts w:ascii="Cambria Math" w:hAnsi="Cambria Math"/>
                <w:i/>
              </w:rPr>
            </m:ctrlPr>
          </m:sSubSupPr>
          <m:e>
            <m:r>
              <m:rPr>
                <m:sty m:val="bi"/>
              </m:rPr>
              <w:rPr>
                <w:rFonts w:ascii="Cambria Math" w:hAnsi="Cambria Math"/>
              </w:rPr>
              <m:t>v</m:t>
            </m:r>
          </m:e>
          <m:sub>
            <m:r>
              <m:rPr>
                <m:sty m:val="bi"/>
              </m:rPr>
              <w:rPr>
                <w:rFonts w:ascii="Cambria Math" w:hAnsi="Cambria Math"/>
              </w:rPr>
              <m:t>f</m:t>
            </m:r>
          </m:sub>
          <m:sup>
            <m:r>
              <m:rPr>
                <m:sty m:val="bi"/>
              </m:rPr>
              <w:rPr>
                <w:rFonts w:ascii="Cambria Math" w:hAnsi="Cambria Math"/>
              </w:rPr>
              <m:t>i</m:t>
            </m:r>
          </m:sup>
        </m:sSubSup>
      </m:oMath>
      <w:r w:rsidR="001E49E2" w:rsidRPr="00B11B1C">
        <w:t>,</w:t>
      </w:r>
      <w:r w:rsidRPr="00B11B1C">
        <w:t xml:space="preserve"> of each fiber</w:t>
      </w:r>
    </w:p>
    <w:p w14:paraId="7F877F3F" w14:textId="679608B5" w:rsidR="0094044C" w:rsidRPr="00B11B1C" w:rsidRDefault="0094044C" w:rsidP="009E0A85"/>
    <w:p w14:paraId="232ACF77" w14:textId="440FF05E" w:rsidR="00E25968" w:rsidRPr="00B11B1C" w:rsidRDefault="001E49E2" w:rsidP="00402D60">
      <w:pPr>
        <w:pStyle w:val="Heading3"/>
      </w:pPr>
      <w:r w:rsidRPr="00B11B1C">
        <w:t xml:space="preserve">Fiber </w:t>
      </w:r>
      <w:r w:rsidR="009E0A85" w:rsidRPr="00B11B1C">
        <w:t>Unique Neighbor Change Rate</w:t>
      </w:r>
    </w:p>
    <w:p w14:paraId="1BD6F80A" w14:textId="4451D8C2" w:rsidR="009E0A85" w:rsidRPr="00B11B1C" w:rsidRDefault="009E0A85" w:rsidP="009E0A85">
      <w:r w:rsidRPr="00B11B1C">
        <w:t>The neighbor change rate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ξ</m:t>
                </m:r>
              </m:e>
            </m:acc>
          </m:e>
          <m:sub>
            <m:r>
              <w:rPr>
                <w:rFonts w:ascii="Cambria Math" w:hAnsi="Cambria Math"/>
              </w:rPr>
              <m:t>i</m:t>
            </m:r>
          </m:sub>
        </m:sSub>
      </m:oMath>
      <w:r w:rsidRPr="00B11B1C">
        <w:t xml:space="preserve">) is a measure of how often the nearest neighbors of fiber </w:t>
      </w:r>
      <m:oMath>
        <m:r>
          <w:rPr>
            <w:rFonts w:ascii="Cambria Math" w:hAnsi="Cambria Math"/>
          </w:rPr>
          <m:t>i</m:t>
        </m:r>
      </m:oMath>
      <w:r w:rsidRPr="00B11B1C">
        <w:t xml:space="preserve"> change along the fiber direction</w:t>
      </w:r>
      <w:r w:rsidR="003848DA" w:rsidRPr="00B11B1C">
        <w:t xml:space="preserve"> </w:t>
      </w:r>
      <w:r w:rsidR="003848DA" w:rsidRPr="00B11B1C">
        <w:fldChar w:fldCharType="begin"/>
      </w:r>
      <w:r w:rsidR="00802A1F" w:rsidRPr="00B11B1C">
        <w:instrText xml:space="preserve"> ADDIN ZOTERO_ITEM CSL_CITATION {"citationID":"tXN7WCOz","properties":{"formattedCitation":"[29]","plainCitation":"[29]","noteIndex":0},"citationItems":[{"id":41,"uris":["http://zotero.org/users/6222105/items/JW8IPL7D"],"itemData":{"id":41,"type":"article-journal","abstract":"Data acquired from synchrotron-based X-ray computed tomography provide complete descriptions of the stochastic positions of each fiber in large bundles within composite samples. The data can be accumulated for distances along the nominal fiber direction that are long enough to reveal meandering or misalignment. Data are analyzed for a single fiber bundle consolidated as a mini-composite specimen and a block of fibers embedded within a single ply in a tape laminate specimen. The fibers in these materials differ markedly in their departure from alignment and the patterns formed by fiber deviations. The tape laminate specimen exhibits evidence of fibers that have slipped laterally through the bundle in narrow shear bands, which may be a mechanism of bundle deformation under transverse compression and shear. This pattern is absent in the single-tow specimen, which was not subject to transverse loads in processing. We propose a combination of topological and Euclidean metrics to quantify these and other stochastic bundle characteristics. Topological metrics are based on the neighbor map of fibers, which is constructed on cross-sections of the bundle by Delaunay triangulation (or Voronoi tessellation). Variations of the neighbor map along the fiber direction describe fiber meandering, twist, etc. Euclidean metrics include factors such as local fiber density and fiber orientation. The metrics distinguish bundle types, enable quantification of the effects of the manufacturing history of bundles, and provide target statistics to be matched by virtual specimens that might be generated for use in fiber-scale virtual tests.","container-title":"Journal of Materials Science","DOI":"10.1007/s10853-014-8766-2","ISSN":"1573-4803","issue":"6","journalAbbreviation":"J Mater Sci","language":"en","page":"2370-2398","source":"Springer Link","title":"Topological and Euclidean metrics reveal spatially nonuniform structure in the entanglement of stochastic fiber bundles","volume":"50","author":[{"family":"Fast","given":"T."},{"family":"Scott","given":"A. E."},{"family":"Bale","given":"H. A."},{"family":"Cox","given":"B. N."}],"issued":{"date-parts":[["2015",3,1]]}}}],"schema":"https://github.com/citation-style-language/schema/raw/master/csl-citation.json"} </w:instrText>
      </w:r>
      <w:r w:rsidR="003848DA" w:rsidRPr="00B11B1C">
        <w:fldChar w:fldCharType="separate"/>
      </w:r>
      <w:r w:rsidR="00802A1F" w:rsidRPr="00B11B1C">
        <w:t>[29]</w:t>
      </w:r>
      <w:r w:rsidR="003848DA" w:rsidRPr="00B11B1C">
        <w:fldChar w:fldCharType="end"/>
      </w:r>
      <w:r w:rsidRPr="00B11B1C">
        <w:t>. The neighbor change rate was calculated using the Delaunay triangulation to get each fiber’s nearest neighbor in each cross-section. From there</w:t>
      </w:r>
      <w:r w:rsidR="000649C0" w:rsidRPr="00B11B1C">
        <w:t>,</w:t>
      </w:r>
      <w:r w:rsidRPr="00B11B1C">
        <w:t xml:space="preserve"> the changes in connectivity from section to section were counted for each fiber. </w:t>
      </w:r>
    </w:p>
    <w:p w14:paraId="279775B6" w14:textId="3D4C1628" w:rsidR="009E0A85" w:rsidRPr="00B11B1C" w:rsidRDefault="009E0A85" w:rsidP="009E0A85">
      <w:r w:rsidRPr="00B11B1C">
        <w:t>The pixel error in the fiber detection software employed in this study</w:t>
      </w:r>
      <w:r w:rsidR="00FD006F" w:rsidRPr="00B11B1C">
        <w:t xml:space="preserve"> led </w:t>
      </w:r>
      <w:r w:rsidRPr="00B11B1C">
        <w:t>to oscillations in the nearest neighbor connectivity from cross-section to cross-section. As a result, certain fibers contain erroneously high total neighbor change counts.</w:t>
      </w:r>
      <w:r w:rsidR="003848DA" w:rsidRPr="00B11B1C">
        <w:t xml:space="preserve"> </w:t>
      </w:r>
      <w:r w:rsidRPr="00B11B1C">
        <w:t xml:space="preserve">To curb this issue, the unique neighbor change rate (UNCR,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i</m:t>
            </m:r>
          </m:sub>
        </m:sSub>
      </m:oMath>
      <w:r w:rsidRPr="00B11B1C">
        <w:t>) metric was defined. The UNCR is</w:t>
      </w:r>
      <w:r w:rsidR="000649C0" w:rsidRPr="00B11B1C">
        <w:t xml:space="preserve"> </w:t>
      </w:r>
      <w:r w:rsidRPr="00B11B1C">
        <w:t xml:space="preserve">the neighbor change rate where every unique change in nearest neighbor connectivity is only counted once. That is, once a fiber leaves the connectivity array it cannot return. </w:t>
      </w:r>
    </w:p>
    <w:p w14:paraId="76D5FB99" w14:textId="06D66C51" w:rsidR="009E0A85" w:rsidRPr="00B11B1C" w:rsidRDefault="001E49E2" w:rsidP="00402D60">
      <w:pPr>
        <w:pStyle w:val="Heading3"/>
      </w:pPr>
      <w:r w:rsidRPr="00B11B1C">
        <w:t xml:space="preserve">Fiber </w:t>
      </w:r>
      <w:r w:rsidR="009E0A85" w:rsidRPr="00B11B1C">
        <w:t>Off-A</w:t>
      </w:r>
      <w:r w:rsidRPr="00B11B1C">
        <w:t>ngle</w:t>
      </w:r>
    </w:p>
    <w:p w14:paraId="00D0DF18" w14:textId="3420FD43" w:rsidR="009E0A85" w:rsidRPr="00B11B1C" w:rsidRDefault="009E0A85" w:rsidP="00AB0652">
      <w:r w:rsidRPr="00B11B1C">
        <w:t>The off-</w:t>
      </w:r>
      <w:r w:rsidR="001E49E2" w:rsidRPr="00B11B1C">
        <w:t>angle</w:t>
      </w:r>
      <w:r w:rsidRPr="00B11B1C">
        <w:t xml:space="preserve">, </w:t>
      </w:r>
      <m:oMath>
        <m:sSub>
          <m:sSubPr>
            <m:ctrlPr>
              <w:rPr>
                <w:rFonts w:ascii="Cambria Math" w:hAnsi="Cambria Math"/>
                <w:i/>
              </w:rPr>
            </m:ctrlPr>
          </m:sSubPr>
          <m:e>
            <m:r>
              <w:rPr>
                <w:rFonts w:ascii="Cambria Math" w:hAnsi="Cambria Math"/>
              </w:rPr>
              <m:t>α</m:t>
            </m:r>
          </m:e>
          <m:sub>
            <m:r>
              <w:rPr>
                <w:rFonts w:ascii="Cambria Math" w:hAnsi="Cambria Math"/>
              </w:rPr>
              <m:t>xl</m:t>
            </m:r>
          </m:sub>
        </m:sSub>
      </m:oMath>
      <w:r w:rsidRPr="00B11B1C">
        <w:t>, of a fiber is a measure of the fiber’s angular deviation from its intended manufactured direction</w:t>
      </w:r>
      <w:r w:rsidR="000649C0" w:rsidRPr="00B11B1C">
        <w:t xml:space="preserve"> (x-direction)</w:t>
      </w:r>
      <w:r w:rsidRPr="00B11B1C">
        <w:t xml:space="preserve">, measured in both the xy and the </w:t>
      </w:r>
      <w:proofErr w:type="spellStart"/>
      <w:r w:rsidRPr="00B11B1C">
        <w:t>xz</w:t>
      </w:r>
      <w:proofErr w:type="spellEnd"/>
      <w:r w:rsidRPr="00B11B1C">
        <w:t xml:space="preserve"> plane (</w:t>
      </w:r>
      <w:r w:rsidR="001E49E2" w:rsidRPr="00B11B1C">
        <w:fldChar w:fldCharType="begin"/>
      </w:r>
      <w:r w:rsidR="001E49E2" w:rsidRPr="00B11B1C">
        <w:instrText xml:space="preserve"> REF _Ref101258512 \h </w:instrText>
      </w:r>
      <w:r w:rsidR="00B11B1C">
        <w:instrText xml:space="preserve"> \* MERGEFORMAT </w:instrText>
      </w:r>
      <w:r w:rsidR="001E49E2" w:rsidRPr="00B11B1C">
        <w:fldChar w:fldCharType="separate"/>
      </w:r>
      <w:r w:rsidR="001E49E2" w:rsidRPr="00B11B1C">
        <w:t xml:space="preserve">Figure </w:t>
      </w:r>
      <w:r w:rsidR="001E49E2" w:rsidRPr="00B11B1C">
        <w:rPr>
          <w:noProof/>
        </w:rPr>
        <w:t>5</w:t>
      </w:r>
      <w:r w:rsidR="001E49E2" w:rsidRPr="00B11B1C">
        <w:fldChar w:fldCharType="end"/>
      </w:r>
      <w:r w:rsidRPr="00B11B1C">
        <w:t xml:space="preserve">). Measurements taken in the yz </w:t>
      </w:r>
      <w:r w:rsidRPr="00B11B1C">
        <w:lastRenderedPageBreak/>
        <w:t xml:space="preserve">plane are omitted from this metric. The process of calculating </w:t>
      </w:r>
      <m:oMath>
        <m:sSub>
          <m:sSubPr>
            <m:ctrlPr>
              <w:rPr>
                <w:rFonts w:ascii="Cambria Math" w:hAnsi="Cambria Math"/>
                <w:i/>
              </w:rPr>
            </m:ctrlPr>
          </m:sSubPr>
          <m:e>
            <m:r>
              <w:rPr>
                <w:rFonts w:ascii="Cambria Math" w:hAnsi="Cambria Math"/>
              </w:rPr>
              <m:t>α</m:t>
            </m:r>
          </m:e>
          <m:sub>
            <m:r>
              <w:rPr>
                <w:rFonts w:ascii="Cambria Math" w:hAnsi="Cambria Math"/>
              </w:rPr>
              <m:t>xl</m:t>
            </m:r>
          </m:sub>
        </m:sSub>
      </m:oMath>
      <w:r w:rsidRPr="00B11B1C">
        <w:t xml:space="preserve"> starts with first linearizing each fiber path by its best linear approximation in 3D. </w:t>
      </w:r>
      <w:r w:rsidR="00AB0652" w:rsidRPr="00B11B1C">
        <w:t xml:space="preserve">Once linearized, </w:t>
      </w:r>
      <m:oMath>
        <m:sSub>
          <m:sSubPr>
            <m:ctrlPr>
              <w:rPr>
                <w:rFonts w:ascii="Cambria Math" w:hAnsi="Cambria Math"/>
                <w:i/>
              </w:rPr>
            </m:ctrlPr>
          </m:sSubPr>
          <m:e>
            <m:r>
              <w:rPr>
                <w:rFonts w:ascii="Cambria Math" w:hAnsi="Cambria Math"/>
              </w:rPr>
              <m:t>α</m:t>
            </m:r>
          </m:e>
          <m:sub>
            <m:r>
              <w:rPr>
                <w:rFonts w:ascii="Cambria Math" w:hAnsi="Cambria Math"/>
              </w:rPr>
              <m:t>xy</m:t>
            </m:r>
          </m:sub>
        </m:sSub>
      </m:oMath>
      <w:r w:rsidR="00AB0652" w:rsidRPr="00B11B1C">
        <w:t xml:space="preserve"> is the angle of the linearized fiber from the x-axis in the xy plane, while </w:t>
      </w:r>
      <m:oMath>
        <m:sSub>
          <m:sSubPr>
            <m:ctrlPr>
              <w:rPr>
                <w:rFonts w:ascii="Cambria Math" w:hAnsi="Cambria Math"/>
                <w:i/>
              </w:rPr>
            </m:ctrlPr>
          </m:sSubPr>
          <m:e>
            <m:r>
              <w:rPr>
                <w:rFonts w:ascii="Cambria Math" w:hAnsi="Cambria Math"/>
              </w:rPr>
              <m:t>α</m:t>
            </m:r>
          </m:e>
          <m:sub>
            <m:r>
              <w:rPr>
                <w:rFonts w:ascii="Cambria Math" w:hAnsi="Cambria Math"/>
              </w:rPr>
              <m:t>xz</m:t>
            </m:r>
          </m:sub>
        </m:sSub>
      </m:oMath>
      <w:r w:rsidR="00AB0652" w:rsidRPr="00B11B1C">
        <w:t xml:space="preserve"> is the angle of the linearized fiber from the x-axis in the xz plane. </w:t>
      </w:r>
    </w:p>
    <w:p w14:paraId="680B54E3" w14:textId="77777777" w:rsidR="009E0A85" w:rsidRPr="00B11B1C" w:rsidRDefault="009E0A85" w:rsidP="009E0A85">
      <w:pPr>
        <w:keepNext/>
        <w:jc w:val="center"/>
      </w:pPr>
      <w:r w:rsidRPr="00B11B1C">
        <w:rPr>
          <w:noProof/>
        </w:rPr>
        <w:drawing>
          <wp:inline distT="0" distB="0" distL="0" distR="0" wp14:anchorId="4EDA7333" wp14:editId="2D824DD6">
            <wp:extent cx="2428473" cy="2209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5971"/>
                    <a:stretch/>
                  </pic:blipFill>
                  <pic:spPr bwMode="auto">
                    <a:xfrm>
                      <a:off x="0" y="0"/>
                      <a:ext cx="2429954" cy="2211147"/>
                    </a:xfrm>
                    <a:prstGeom prst="rect">
                      <a:avLst/>
                    </a:prstGeom>
                    <a:noFill/>
                    <a:ln>
                      <a:noFill/>
                    </a:ln>
                    <a:extLst>
                      <a:ext uri="{53640926-AAD7-44D8-BBD7-CCE9431645EC}">
                        <a14:shadowObscured xmlns:a14="http://schemas.microsoft.com/office/drawing/2010/main"/>
                      </a:ext>
                    </a:extLst>
                  </pic:spPr>
                </pic:pic>
              </a:graphicData>
            </a:graphic>
          </wp:inline>
        </w:drawing>
      </w:r>
    </w:p>
    <w:p w14:paraId="15C47903" w14:textId="2721679B" w:rsidR="009E0A85" w:rsidRPr="00B11B1C" w:rsidRDefault="009E0A85" w:rsidP="004C136C">
      <w:pPr>
        <w:pStyle w:val="Caption"/>
      </w:pPr>
      <w:bookmarkStart w:id="4" w:name="_Ref101258512"/>
      <w:r w:rsidRPr="00B11B1C">
        <w:t xml:space="preserve">Figure </w:t>
      </w:r>
      <w:r w:rsidRPr="00B11B1C">
        <w:fldChar w:fldCharType="begin"/>
      </w:r>
      <w:r w:rsidRPr="00B11B1C">
        <w:instrText>SEQ Figure \* ARABIC</w:instrText>
      </w:r>
      <w:r w:rsidRPr="00B11B1C">
        <w:fldChar w:fldCharType="separate"/>
      </w:r>
      <w:r w:rsidR="00531B5C" w:rsidRPr="00B11B1C">
        <w:rPr>
          <w:noProof/>
        </w:rPr>
        <w:t>5</w:t>
      </w:r>
      <w:r w:rsidRPr="00B11B1C">
        <w:fldChar w:fldCharType="end"/>
      </w:r>
      <w:bookmarkEnd w:id="4"/>
      <w:r w:rsidRPr="00B11B1C">
        <w:t>. Diagram of a fiber showing the xz and xy planes in which the off-axiality is measured on</w:t>
      </w:r>
      <w:r w:rsidR="00FD006F" w:rsidRPr="00B11B1C">
        <w:t>, as well as the compaction direction in the z-direction</w:t>
      </w:r>
    </w:p>
    <w:p w14:paraId="057A4679" w14:textId="6BCD6581" w:rsidR="009E0A85" w:rsidRPr="00B11B1C" w:rsidRDefault="009E0A85" w:rsidP="009E0A85">
      <w:r w:rsidRPr="00B11B1C">
        <w:t xml:space="preserve">When a sample is potted in resin for serial sectioning, the orientation of the sample is often not exactly normal to the viewing plane. This means that the angles of the fibers have an inherent bias in them towards some direction. To remove this bias, the average values for </w:t>
      </w:r>
      <m:oMath>
        <m:sSub>
          <m:sSubPr>
            <m:ctrlPr>
              <w:rPr>
                <w:rFonts w:ascii="Cambria Math" w:hAnsi="Cambria Math"/>
                <w:i/>
              </w:rPr>
            </m:ctrlPr>
          </m:sSubPr>
          <m:e>
            <m:r>
              <w:rPr>
                <w:rFonts w:ascii="Cambria Math" w:hAnsi="Cambria Math"/>
              </w:rPr>
              <m:t>α</m:t>
            </m:r>
          </m:e>
          <m:sub>
            <m:r>
              <w:rPr>
                <w:rFonts w:ascii="Cambria Math" w:hAnsi="Cambria Math"/>
              </w:rPr>
              <m:t>XY</m:t>
            </m:r>
          </m:sub>
        </m:sSub>
      </m:oMath>
      <w:r w:rsidRPr="00B11B1C">
        <w:t xml:space="preserve"> and </w:t>
      </w:r>
      <m:oMath>
        <m:sSub>
          <m:sSubPr>
            <m:ctrlPr>
              <w:rPr>
                <w:rFonts w:ascii="Cambria Math" w:hAnsi="Cambria Math"/>
                <w:i/>
              </w:rPr>
            </m:ctrlPr>
          </m:sSubPr>
          <m:e>
            <m:r>
              <w:rPr>
                <w:rFonts w:ascii="Cambria Math" w:hAnsi="Cambria Math"/>
              </w:rPr>
              <m:t>α</m:t>
            </m:r>
          </m:e>
          <m:sub>
            <m:r>
              <w:rPr>
                <w:rFonts w:ascii="Cambria Math" w:hAnsi="Cambria Math"/>
              </w:rPr>
              <m:t>XZ</m:t>
            </m:r>
          </m:sub>
        </m:sSub>
      </m:oMath>
      <w:r w:rsidRPr="00B11B1C">
        <w:t xml:space="preserve"> were measured and the rotation matrix was used to remove the bias from each sample. This effectively centers the distributions of both </w:t>
      </w:r>
      <m:oMath>
        <m:sSub>
          <m:sSubPr>
            <m:ctrlPr>
              <w:rPr>
                <w:rFonts w:ascii="Cambria Math" w:hAnsi="Cambria Math"/>
                <w:i/>
              </w:rPr>
            </m:ctrlPr>
          </m:sSubPr>
          <m:e>
            <m:r>
              <w:rPr>
                <w:rFonts w:ascii="Cambria Math" w:hAnsi="Cambria Math"/>
              </w:rPr>
              <m:t>α</m:t>
            </m:r>
          </m:e>
          <m:sub>
            <m:r>
              <w:rPr>
                <w:rFonts w:ascii="Cambria Math" w:hAnsi="Cambria Math"/>
              </w:rPr>
              <m:t>XY</m:t>
            </m:r>
          </m:sub>
        </m:sSub>
      </m:oMath>
      <w:r w:rsidRPr="00B11B1C">
        <w:t xml:space="preserve"> and </w:t>
      </w:r>
      <m:oMath>
        <m:sSub>
          <m:sSubPr>
            <m:ctrlPr>
              <w:rPr>
                <w:rFonts w:ascii="Cambria Math" w:hAnsi="Cambria Math"/>
                <w:i/>
              </w:rPr>
            </m:ctrlPr>
          </m:sSubPr>
          <m:e>
            <m:r>
              <w:rPr>
                <w:rFonts w:ascii="Cambria Math" w:hAnsi="Cambria Math"/>
              </w:rPr>
              <m:t>α</m:t>
            </m:r>
          </m:e>
          <m:sub>
            <m:r>
              <w:rPr>
                <w:rFonts w:ascii="Cambria Math" w:hAnsi="Cambria Math"/>
              </w:rPr>
              <m:t>XZ</m:t>
            </m:r>
          </m:sub>
        </m:sSub>
      </m:oMath>
      <w:r w:rsidRPr="00B11B1C">
        <w:t xml:space="preserve"> about </w:t>
      </w:r>
      <w:r w:rsidR="00AB0652" w:rsidRPr="00B11B1C">
        <w:t>the x-axis</w:t>
      </w:r>
      <w:r w:rsidRPr="00B11B1C">
        <w:t>.</w:t>
      </w:r>
    </w:p>
    <w:p w14:paraId="77A7F2E7" w14:textId="7371ADC7" w:rsidR="009E0A85" w:rsidRPr="00B11B1C" w:rsidRDefault="009E68B9" w:rsidP="00402D60">
      <w:pPr>
        <w:pStyle w:val="Heading3"/>
      </w:pPr>
      <w:r w:rsidRPr="00B11B1C">
        <w:t xml:space="preserve">Fiber </w:t>
      </w:r>
      <w:r w:rsidR="009E0A85" w:rsidRPr="00B11B1C">
        <w:t>Clusters</w:t>
      </w:r>
    </w:p>
    <w:p w14:paraId="57C7DC90" w14:textId="6834C058" w:rsidR="009E0A85" w:rsidRPr="00B11B1C" w:rsidRDefault="009E0A85" w:rsidP="009E0A85">
      <w:pPr>
        <w:rPr>
          <w:color w:val="000000" w:themeColor="text1"/>
        </w:rPr>
      </w:pPr>
      <w:r w:rsidRPr="00B11B1C">
        <w:t>The cluster analysis is a method of describing the tendency for groups of fibers to remain together throughout the volume of fiber reinforced composites. In this study, fiber triads were found using the triangulation of all fiber centers in the first cross-section of an image stack</w:t>
      </w:r>
      <w:r w:rsidR="002A5ECE" w:rsidRPr="00B11B1C">
        <w:t xml:space="preserve"> </w:t>
      </w:r>
      <w:r w:rsidRPr="00B11B1C">
        <w:fldChar w:fldCharType="begin"/>
      </w:r>
      <w:r w:rsidR="00802A1F" w:rsidRPr="00B11B1C">
        <w:instrText xml:space="preserve"> ADDIN ZOTERO_ITEM CSL_CITATION {"citationID":"XLuueVcW","properties":{"formattedCitation":"[40]","plainCitation":"[40]","noteIndex":0},"citationItems":[{"id":178,"uris":["http://zotero.org/users/6222105/items/EUK83G6K"],"itemData":{"id":178,"type":"article-journal","container-title":"JOM","DOI":"10.1007/s11837-021-04703-0","ISSN":"1047-4838, 1543-1851","issue":"7","journalAbbreviation":"JOM","language":"en","page":"2129-2142","source":"DOI.org (Crossref)","title":"Identification and Quantification of 3D Fiber Clusters in Fiber-Reinforced Composite Materials","volume":"73","author":[{"family":"Schey","given":"Mathew J."},{"family":"Beke","given":"Tibor"},{"family":"Appel","given":"Lars"},{"family":"Zabler","given":"Simon"},{"family":"Shah","given":"Sagar"},{"family":"Hu","given":"Jie"},{"family":"Liu","given":"Fuqiang"},{"family":"Maiaru","given":"Marianna"},{"family":"Stapleton","given":"Scott"}],"issued":{"date-parts":[["2021",7]]}}}],"schema":"https://github.com/citation-style-language/schema/raw/master/csl-citation.json"} </w:instrText>
      </w:r>
      <w:r w:rsidRPr="00B11B1C">
        <w:fldChar w:fldCharType="separate"/>
      </w:r>
      <w:r w:rsidR="00802A1F" w:rsidRPr="00B11B1C">
        <w:t>[40]</w:t>
      </w:r>
      <w:r w:rsidRPr="00B11B1C">
        <w:fldChar w:fldCharType="end"/>
      </w:r>
      <w:r w:rsidRPr="00B11B1C">
        <w:t xml:space="preserve">. The cluster metric was defined in terms of the total variation of certain geometric measurements of fiber triads. The total variation of the area, </w:t>
      </w:r>
      <m:oMath>
        <m:sSubSup>
          <m:sSubSupPr>
            <m:ctrlPr>
              <w:rPr>
                <w:rFonts w:ascii="Cambria Math" w:hAnsi="Cambria Math"/>
                <w:i/>
              </w:rPr>
            </m:ctrlPr>
          </m:sSubSupPr>
          <m:e>
            <m:r>
              <w:rPr>
                <w:rFonts w:ascii="Cambria Math" w:hAnsi="Cambria Math"/>
              </w:rPr>
              <m:t>V</m:t>
            </m:r>
          </m:e>
          <m:sub>
            <m:r>
              <w:rPr>
                <w:rFonts w:ascii="Cambria Math" w:hAnsi="Cambria Math"/>
              </w:rPr>
              <m:t>A</m:t>
            </m:r>
          </m:sub>
          <m:sup>
            <m:r>
              <w:rPr>
                <w:rFonts w:ascii="Cambria Math" w:hAnsi="Cambria Math"/>
              </w:rPr>
              <m:t>l</m:t>
            </m:r>
          </m:sup>
        </m:sSubSup>
        <m:r>
          <w:rPr>
            <w:rFonts w:ascii="Cambria Math" w:hAnsi="Cambria Math"/>
          </w:rPr>
          <m:t>,</m:t>
        </m:r>
      </m:oMath>
      <w:r w:rsidRPr="00B11B1C">
        <w:t xml:space="preserve"> is used here to measure the 3D variation of triad areas within the sample</w:t>
      </w:r>
      <w:r w:rsidR="00C07082" w:rsidRPr="00B11B1C">
        <w:rPr>
          <w:color w:val="000000" w:themeColor="text1"/>
        </w:rPr>
        <w:t xml:space="preserve"> and can be calculated as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
        <w:gridCol w:w="8338"/>
        <w:gridCol w:w="556"/>
      </w:tblGrid>
      <w:tr w:rsidR="009E0A85" w:rsidRPr="00B11B1C" w14:paraId="029645DA" w14:textId="77777777" w:rsidTr="00CE32C5">
        <w:tc>
          <w:tcPr>
            <w:tcW w:w="358" w:type="dxa"/>
          </w:tcPr>
          <w:p w14:paraId="29657786" w14:textId="77777777" w:rsidR="009E0A85" w:rsidRPr="00B11B1C" w:rsidRDefault="009E0A85" w:rsidP="00CE32C5"/>
        </w:tc>
        <w:tc>
          <w:tcPr>
            <w:tcW w:w="8338" w:type="dxa"/>
          </w:tcPr>
          <w:p w14:paraId="34A72925" w14:textId="77777777" w:rsidR="009E0A85" w:rsidRPr="00B11B1C" w:rsidRDefault="00713879" w:rsidP="00CE32C5">
            <m:oMathPara>
              <m:oMath>
                <m:sSubSup>
                  <m:sSubSupPr>
                    <m:ctrlPr>
                      <w:rPr>
                        <w:rFonts w:ascii="Cambria Math" w:hAnsi="Cambria Math"/>
                        <w:i/>
                      </w:rPr>
                    </m:ctrlPr>
                  </m:sSubSupPr>
                  <m:e>
                    <m:r>
                      <w:rPr>
                        <w:rFonts w:ascii="Cambria Math" w:hAnsi="Cambria Math"/>
                      </w:rPr>
                      <m:t>V</m:t>
                    </m:r>
                  </m:e>
                  <m:sub>
                    <m:r>
                      <w:rPr>
                        <w:rFonts w:ascii="Cambria Math" w:hAnsi="Cambria Math"/>
                      </w:rPr>
                      <m:t>A</m:t>
                    </m:r>
                  </m:sub>
                  <m:sup>
                    <m:r>
                      <w:rPr>
                        <w:rFonts w:ascii="Cambria Math" w:hAnsi="Cambria Math"/>
                      </w:rPr>
                      <m:t>l</m:t>
                    </m:r>
                  </m:sup>
                </m:sSubSup>
                <m:r>
                  <w:rPr>
                    <w:rFonts w:ascii="Cambria Math" w:hAnsi="Cambria Math"/>
                  </w:rPr>
                  <m:t xml:space="preserve">= </m:t>
                </m:r>
                <m:nary>
                  <m:naryPr>
                    <m:chr m:val="∑"/>
                    <m:limLoc m:val="undOvr"/>
                    <m:ctrlPr>
                      <w:rPr>
                        <w:rFonts w:ascii="Cambria Math" w:hAnsi="Cambria Math"/>
                        <w:i/>
                      </w:rPr>
                    </m:ctrlPr>
                  </m:naryPr>
                  <m:sub>
                    <m:r>
                      <w:rPr>
                        <w:rFonts w:ascii="Cambria Math" w:hAnsi="Cambria Math"/>
                      </w:rPr>
                      <m:t>n</m:t>
                    </m:r>
                    <m:r>
                      <w:rPr>
                        <w:rFonts w:ascii="Cambria Math" w:hAnsi="Cambria Math"/>
                      </w:rPr>
                      <m:t>=2</m:t>
                    </m:r>
                  </m:sub>
                  <m:sup>
                    <m:r>
                      <w:rPr>
                        <w:rFonts w:ascii="Cambria Math" w:hAnsi="Cambria Math"/>
                      </w:rPr>
                      <m:t>N</m:t>
                    </m:r>
                  </m:sup>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l</m:t>
                            </m:r>
                          </m:sup>
                        </m:s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l</m:t>
                            </m:r>
                          </m:sup>
                        </m:s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r>
                              <w:rPr>
                                <w:rFonts w:ascii="Cambria Math" w:hAnsi="Cambria Math"/>
                              </w:rPr>
                              <m:t>-1</m:t>
                            </m:r>
                          </m:sub>
                        </m:sSub>
                        <m:r>
                          <w:rPr>
                            <w:rFonts w:ascii="Cambria Math" w:hAnsi="Cambria Math"/>
                          </w:rPr>
                          <m:t>)</m:t>
                        </m:r>
                      </m:e>
                    </m:d>
                  </m:e>
                </m:nary>
              </m:oMath>
            </m:oMathPara>
          </w:p>
        </w:tc>
        <w:tc>
          <w:tcPr>
            <w:tcW w:w="556" w:type="dxa"/>
            <w:vAlign w:val="center"/>
          </w:tcPr>
          <w:p w14:paraId="0BE245A3" w14:textId="77777777" w:rsidR="009E0A85" w:rsidRPr="00B11B1C" w:rsidRDefault="009E0A85" w:rsidP="00CE32C5">
            <w:pPr>
              <w:pStyle w:val="EqtnNum"/>
              <w:contextualSpacing/>
            </w:pPr>
          </w:p>
        </w:tc>
      </w:tr>
    </w:tbl>
    <w:p w14:paraId="5A02622F" w14:textId="33243D5D" w:rsidR="009E0A85" w:rsidRPr="00B11B1C" w:rsidRDefault="009E0A85" w:rsidP="009E0A85">
      <w:pPr>
        <w:rPr>
          <w:color w:val="000000" w:themeColor="text1"/>
        </w:rPr>
      </w:pPr>
      <w:r w:rsidRPr="00B11B1C">
        <w:t xml:space="preserve">where </w:t>
      </w:r>
      <m:oMath>
        <m:r>
          <w:rPr>
            <w:rFonts w:ascii="Cambria Math" w:hAnsi="Cambria Math"/>
          </w:rPr>
          <m:t>N</m:t>
        </m:r>
      </m:oMath>
      <w:r w:rsidRPr="00B11B1C">
        <w:t xml:space="preserve"> is the total number of cross-sections and </w:t>
      </w:r>
      <m:oMath>
        <m:sSup>
          <m:sSupPr>
            <m:ctrlPr>
              <w:rPr>
                <w:rFonts w:ascii="Cambria Math" w:hAnsi="Cambria Math"/>
                <w:i/>
              </w:rPr>
            </m:ctrlPr>
          </m:sSupPr>
          <m:e>
            <m:r>
              <w:rPr>
                <w:rFonts w:ascii="Cambria Math" w:hAnsi="Cambria Math"/>
              </w:rPr>
              <m:t>A</m:t>
            </m:r>
          </m:e>
          <m:sup>
            <m:r>
              <w:rPr>
                <w:rFonts w:ascii="Cambria Math" w:hAnsi="Cambria Math"/>
              </w:rPr>
              <m:t>l</m:t>
            </m:r>
          </m:sup>
        </m:sSup>
      </m:oMath>
      <w:r w:rsidRPr="00B11B1C">
        <w:t xml:space="preserve"> is the area of triad </w:t>
      </w:r>
      <m:oMath>
        <m:r>
          <w:rPr>
            <w:rFonts w:ascii="Cambria Math" w:hAnsi="Cambria Math"/>
          </w:rPr>
          <m:t>l</m:t>
        </m:r>
      </m:oMath>
      <w:r w:rsidRPr="00B11B1C">
        <w:t xml:space="preserve"> at a particular cross-section. It was discovered, however, that it was possible for three fibers to bound a relatively small area but still be spread out. To handle such cases, the total variation of the perimeter, </w:t>
      </w:r>
      <m:oMath>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l</m:t>
            </m:r>
          </m:sup>
        </m:sSubSup>
      </m:oMath>
      <w:r w:rsidRPr="00B11B1C">
        <w:t>, was added as a second criterion</w:t>
      </w:r>
      <w:r w:rsidR="00C07082" w:rsidRPr="00B11B1C">
        <w:t xml:space="preserve"> and can be calculated as</w:t>
      </w:r>
      <w:r w:rsidRPr="00B11B1C">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
        <w:gridCol w:w="8338"/>
        <w:gridCol w:w="556"/>
      </w:tblGrid>
      <w:tr w:rsidR="009E0A85" w:rsidRPr="00B11B1C" w14:paraId="18193C36" w14:textId="77777777" w:rsidTr="00CE32C5">
        <w:tc>
          <w:tcPr>
            <w:tcW w:w="358" w:type="dxa"/>
          </w:tcPr>
          <w:p w14:paraId="287D8270" w14:textId="77777777" w:rsidR="009E0A85" w:rsidRPr="00B11B1C" w:rsidRDefault="009E0A85" w:rsidP="00CE32C5"/>
        </w:tc>
        <w:tc>
          <w:tcPr>
            <w:tcW w:w="8338" w:type="dxa"/>
          </w:tcPr>
          <w:p w14:paraId="7201D99A" w14:textId="77777777" w:rsidR="009E0A85" w:rsidRPr="00B11B1C" w:rsidRDefault="00713879" w:rsidP="00CE32C5">
            <m:oMathPara>
              <m:oMath>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l</m:t>
                    </m:r>
                  </m:sup>
                </m:sSubSup>
                <m:r>
                  <w:rPr>
                    <w:rFonts w:ascii="Cambria Math" w:hAnsi="Cambria Math"/>
                  </w:rPr>
                  <m:t xml:space="preserve">= </m:t>
                </m:r>
                <m:nary>
                  <m:naryPr>
                    <m:chr m:val="∑"/>
                    <m:limLoc m:val="undOvr"/>
                    <m:ctrlPr>
                      <w:rPr>
                        <w:rFonts w:ascii="Cambria Math" w:hAnsi="Cambria Math"/>
                        <w:i/>
                      </w:rPr>
                    </m:ctrlPr>
                  </m:naryPr>
                  <m:sub>
                    <m:r>
                      <w:rPr>
                        <w:rFonts w:ascii="Cambria Math" w:hAnsi="Cambria Math"/>
                      </w:rPr>
                      <m:t>n</m:t>
                    </m:r>
                    <m:r>
                      <w:rPr>
                        <w:rFonts w:ascii="Cambria Math" w:hAnsi="Cambria Math"/>
                      </w:rPr>
                      <m:t>=2</m:t>
                    </m:r>
                  </m:sub>
                  <m:sup>
                    <m:r>
                      <w:rPr>
                        <w:rFonts w:ascii="Cambria Math" w:hAnsi="Cambria Math"/>
                      </w:rPr>
                      <m:t>N</m:t>
                    </m:r>
                  </m:sup>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l</m:t>
                            </m:r>
                          </m:sup>
                        </m:s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p>
                          <m:sSupPr>
                            <m:ctrlPr>
                              <w:rPr>
                                <w:rFonts w:ascii="Cambria Math" w:hAnsi="Cambria Math"/>
                                <w:i/>
                              </w:rPr>
                            </m:ctrlPr>
                          </m:sSupPr>
                          <m:e>
                            <m:r>
                              <w:rPr>
                                <w:rFonts w:ascii="Cambria Math" w:hAnsi="Cambria Math"/>
                              </w:rPr>
                              <m:t>P</m:t>
                            </m:r>
                          </m:e>
                          <m:sup>
                            <m:r>
                              <w:rPr>
                                <w:rFonts w:ascii="Cambria Math" w:hAnsi="Cambria Math"/>
                              </w:rPr>
                              <m:t>l</m:t>
                            </m:r>
                          </m:sup>
                        </m:s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r>
                              <w:rPr>
                                <w:rFonts w:ascii="Cambria Math" w:hAnsi="Cambria Math"/>
                              </w:rPr>
                              <m:t>-1</m:t>
                            </m:r>
                          </m:sub>
                        </m:sSub>
                        <m:r>
                          <w:rPr>
                            <w:rFonts w:ascii="Cambria Math" w:hAnsi="Cambria Math"/>
                          </w:rPr>
                          <m:t>)</m:t>
                        </m:r>
                      </m:e>
                    </m:d>
                  </m:e>
                </m:nary>
              </m:oMath>
            </m:oMathPara>
          </w:p>
        </w:tc>
        <w:tc>
          <w:tcPr>
            <w:tcW w:w="556" w:type="dxa"/>
            <w:vAlign w:val="center"/>
          </w:tcPr>
          <w:p w14:paraId="4C05DDC2" w14:textId="77777777" w:rsidR="009E0A85" w:rsidRPr="00B11B1C" w:rsidRDefault="009E0A85" w:rsidP="00CE32C5">
            <w:pPr>
              <w:pStyle w:val="EqtnNum"/>
              <w:contextualSpacing/>
            </w:pPr>
          </w:p>
        </w:tc>
      </w:tr>
    </w:tbl>
    <w:p w14:paraId="1B27AA34" w14:textId="77777777" w:rsidR="009E0A85" w:rsidRPr="00B11B1C" w:rsidRDefault="009E0A85" w:rsidP="009E0A85">
      <w:r w:rsidRPr="00B11B1C">
        <w:t xml:space="preserve">where </w:t>
      </w:r>
      <m:oMath>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l</m:t>
            </m:r>
          </m:sup>
        </m:sSubSup>
      </m:oMath>
      <w:r w:rsidRPr="00B11B1C">
        <w:t xml:space="preserve"> is the total variation of the perimeter, and </w:t>
      </w:r>
      <m:oMath>
        <m:sSup>
          <m:sSupPr>
            <m:ctrlPr>
              <w:rPr>
                <w:rFonts w:ascii="Cambria Math" w:hAnsi="Cambria Math"/>
                <w:i/>
              </w:rPr>
            </m:ctrlPr>
          </m:sSupPr>
          <m:e>
            <m:r>
              <w:rPr>
                <w:rFonts w:ascii="Cambria Math" w:hAnsi="Cambria Math"/>
              </w:rPr>
              <m:t>P</m:t>
            </m:r>
          </m:e>
          <m:sup>
            <m:r>
              <w:rPr>
                <w:rFonts w:ascii="Cambria Math" w:hAnsi="Cambria Math"/>
              </w:rPr>
              <m:t>l</m:t>
            </m:r>
          </m:sup>
        </m:sSup>
      </m:oMath>
      <w:r w:rsidRPr="00B11B1C">
        <w:t xml:space="preserve"> is the perimeter of triad </w:t>
      </w:r>
      <m:oMath>
        <m:r>
          <w:rPr>
            <w:rFonts w:ascii="Cambria Math" w:hAnsi="Cambria Math"/>
          </w:rPr>
          <m:t>l</m:t>
        </m:r>
      </m:oMath>
      <w:r w:rsidRPr="00B11B1C">
        <w:t xml:space="preserve"> at a particular cross-section. The final cluster determination is made using the histogram distributions of both criteria. Otsu’s method with three bins was then used to threshold </w:t>
      </w:r>
      <m:oMath>
        <m:sSubSup>
          <m:sSubSupPr>
            <m:ctrlPr>
              <w:rPr>
                <w:rFonts w:ascii="Cambria Math" w:hAnsi="Cambria Math"/>
                <w:i/>
              </w:rPr>
            </m:ctrlPr>
          </m:sSubSupPr>
          <m:e>
            <m:r>
              <w:rPr>
                <w:rFonts w:ascii="Cambria Math" w:hAnsi="Cambria Math"/>
              </w:rPr>
              <m:t>V</m:t>
            </m:r>
          </m:e>
          <m:sub>
            <m:r>
              <w:rPr>
                <w:rFonts w:ascii="Cambria Math" w:hAnsi="Cambria Math"/>
              </w:rPr>
              <m:t>A</m:t>
            </m:r>
          </m:sub>
          <m:sup>
            <m:r>
              <w:rPr>
                <w:rFonts w:ascii="Cambria Math" w:hAnsi="Cambria Math"/>
              </w:rPr>
              <m:t>l</m:t>
            </m:r>
          </m:sup>
        </m:sSubSup>
      </m:oMath>
      <w:r w:rsidRPr="00B11B1C">
        <w:t xml:space="preserve"> and </w:t>
      </w:r>
      <m:oMath>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l</m:t>
            </m:r>
          </m:sup>
        </m:sSubSup>
      </m:oMath>
      <w:r w:rsidRPr="00B11B1C">
        <w:t xml:space="preserve"> independently. In this method bin boundaries are set such that the variance within each bin is minimized. In the end, the determination of whether a triad is </w:t>
      </w:r>
      <w:r w:rsidRPr="00B11B1C">
        <w:lastRenderedPageBreak/>
        <w:t xml:space="preserve">clustered or not depends solely on the triad’s relative location in the distribution of all triads rather than its specific value. The threshold is also invariant of a length scale. The lower thresholds for the area and perimeter variance are then combined in a Boolean operation. For each triad, the values of </w:t>
      </w:r>
      <m:oMath>
        <m:sSubSup>
          <m:sSubSupPr>
            <m:ctrlPr>
              <w:rPr>
                <w:rFonts w:ascii="Cambria Math" w:hAnsi="Cambria Math"/>
                <w:i/>
              </w:rPr>
            </m:ctrlPr>
          </m:sSubSupPr>
          <m:e>
            <m:r>
              <w:rPr>
                <w:rFonts w:ascii="Cambria Math" w:hAnsi="Cambria Math"/>
              </w:rPr>
              <m:t>V</m:t>
            </m:r>
          </m:e>
          <m:sub>
            <m:r>
              <w:rPr>
                <w:rFonts w:ascii="Cambria Math" w:hAnsi="Cambria Math"/>
              </w:rPr>
              <m:t>A</m:t>
            </m:r>
          </m:sub>
          <m:sup>
            <m:r>
              <w:rPr>
                <w:rFonts w:ascii="Cambria Math" w:hAnsi="Cambria Math"/>
              </w:rPr>
              <m:t>l</m:t>
            </m:r>
          </m:sup>
        </m:sSubSup>
      </m:oMath>
      <w:r w:rsidRPr="00B11B1C">
        <w:t xml:space="preserve"> and </w:t>
      </w:r>
      <m:oMath>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l</m:t>
            </m:r>
          </m:sup>
        </m:sSubSup>
      </m:oMath>
      <w:r w:rsidRPr="00B11B1C">
        <w:t xml:space="preserve"> must be below their respective thresholds to be deemed clusters. </w:t>
      </w:r>
    </w:p>
    <w:p w14:paraId="5BB94469" w14:textId="77777777" w:rsidR="009E0A85" w:rsidRPr="00B11B1C" w:rsidRDefault="009E0A85" w:rsidP="009E0A85">
      <w:r w:rsidRPr="00B11B1C">
        <w:t xml:space="preserve">Thresholding typically results in a noisy mix of threshold-passing triads, but clusters should be a unique subset of these triads which are aggregated together. To isolate the fiber clusters, a filtering algorithm was created. The intent of filtering is to remove passed triads which were not part of a larger cluster, and include fiber triads which are surrounded by a cluster but did not pass the thresholding. This results in a convergence of fiber clusters, where feature size can be controlled with the filtering method. The basic filtering operation checks whether the neighbors of each triad also passed the thresholds. The algorithm then changes the designation of each triad according to the designation of its neighbors. </w:t>
      </w:r>
    </w:p>
    <w:p w14:paraId="6D8260D6" w14:textId="0DA04BF3" w:rsidR="009E0A85" w:rsidRPr="00B11B1C" w:rsidRDefault="009E0A85" w:rsidP="009E0A85">
      <w:r w:rsidRPr="00B11B1C">
        <w:t>Several cluster metrics have been developed to characterize the shape and size of each cluster, as well as the behavior of the fibers within each cluster. For this study</w:t>
      </w:r>
      <w:r w:rsidR="00C07082" w:rsidRPr="00B11B1C">
        <w:t>,</w:t>
      </w:r>
      <w:r w:rsidRPr="00B11B1C">
        <w:t xml:space="preserve"> </w:t>
      </w:r>
      <w:r w:rsidR="00C07082" w:rsidRPr="00B11B1C">
        <w:t xml:space="preserve">two </w:t>
      </w:r>
      <w:r w:rsidRPr="00B11B1C">
        <w:t>metrics have been chosen which describe the shape and size of the clusters in the debulk samples. The first of these metrics i</w:t>
      </w:r>
      <w:r w:rsidR="00C07082" w:rsidRPr="00B11B1C">
        <w:t xml:space="preserve">s </w:t>
      </w:r>
      <w:r w:rsidRPr="00B11B1C">
        <w:t xml:space="preserve">the cluster area, which provides info on the size of each cluster in each cross-section. </w:t>
      </w:r>
    </w:p>
    <w:p w14:paraId="3DC9D2C6" w14:textId="598E6FC9" w:rsidR="009E0A85" w:rsidRPr="00B11B1C" w:rsidRDefault="009E0A85" w:rsidP="009E0A85">
      <w:r w:rsidRPr="00B11B1C">
        <w:t>The second of these metrics is the</w:t>
      </w:r>
      <w:r w:rsidR="00C07082" w:rsidRPr="00B11B1C">
        <w:t xml:space="preserve"> cluster anisotropy, </w:t>
      </w:r>
      <m:oMath>
        <m:r>
          <w:rPr>
            <w:rFonts w:ascii="Cambria Math" w:hAnsi="Cambria Math"/>
          </w:rPr>
          <m:t>K</m:t>
        </m:r>
      </m:oMath>
      <w:r w:rsidRPr="00B11B1C">
        <w:t xml:space="preserve">, which is calculated from the second moments of area of each cluster. The second moments of area, </w:t>
      </w:r>
      <m:oMath>
        <m:sSub>
          <m:sSubPr>
            <m:ctrlPr>
              <w:rPr>
                <w:rFonts w:ascii="Cambria Math" w:hAnsi="Cambria Math"/>
                <w:i/>
              </w:rPr>
            </m:ctrlPr>
          </m:sSubPr>
          <m:e>
            <m:r>
              <w:rPr>
                <w:rFonts w:ascii="Cambria Math" w:hAnsi="Cambria Math"/>
              </w:rPr>
              <m:t>I</m:t>
            </m:r>
          </m:e>
          <m:sub>
            <m:r>
              <w:rPr>
                <w:rFonts w:ascii="Cambria Math" w:hAnsi="Cambria Math"/>
              </w:rPr>
              <m:t>yy</m:t>
            </m:r>
          </m:sub>
        </m:sSub>
      </m:oMath>
      <w:r w:rsidRPr="00B11B1C">
        <w:t xml:space="preserve"> and </w:t>
      </w:r>
      <m:oMath>
        <m:sSub>
          <m:sSubPr>
            <m:ctrlPr>
              <w:rPr>
                <w:rFonts w:ascii="Cambria Math" w:hAnsi="Cambria Math"/>
                <w:i/>
              </w:rPr>
            </m:ctrlPr>
          </m:sSubPr>
          <m:e>
            <m:r>
              <w:rPr>
                <w:rFonts w:ascii="Cambria Math" w:hAnsi="Cambria Math"/>
              </w:rPr>
              <m:t>I</m:t>
            </m:r>
          </m:e>
          <m:sub>
            <m:r>
              <w:rPr>
                <w:rFonts w:ascii="Cambria Math" w:hAnsi="Cambria Math"/>
              </w:rPr>
              <m:t>zz</m:t>
            </m:r>
          </m:sub>
        </m:sSub>
      </m:oMath>
      <w:r w:rsidRPr="00B11B1C">
        <w:t xml:space="preserve">, can be calculated for each cross-section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oMath>
      <w:r w:rsidRPr="00B11B1C">
        <w:t xml:space="preserve"> of a cluster using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
        <w:gridCol w:w="8338"/>
        <w:gridCol w:w="556"/>
      </w:tblGrid>
      <w:tr w:rsidR="009E0A85" w:rsidRPr="00B11B1C" w14:paraId="77B9A0F8" w14:textId="77777777" w:rsidTr="00CE32C5">
        <w:tc>
          <w:tcPr>
            <w:tcW w:w="358" w:type="dxa"/>
          </w:tcPr>
          <w:p w14:paraId="02A7D877" w14:textId="77777777" w:rsidR="009E0A85" w:rsidRPr="00B11B1C" w:rsidRDefault="009E0A85" w:rsidP="00CE32C5"/>
        </w:tc>
        <w:tc>
          <w:tcPr>
            <w:tcW w:w="8338" w:type="dxa"/>
          </w:tcPr>
          <w:p w14:paraId="7C27FB3C" w14:textId="77777777" w:rsidR="009E0A85" w:rsidRPr="00B11B1C" w:rsidRDefault="00713879" w:rsidP="00CE32C5">
            <w:pPr>
              <w:jc w:val="center"/>
            </w:pPr>
            <m:oMathPara>
              <m:oMath>
                <m:sSub>
                  <m:sSubPr>
                    <m:ctrlPr>
                      <w:rPr>
                        <w:rFonts w:ascii="Cambria Math" w:hAnsi="Cambria Math"/>
                        <w:i/>
                      </w:rPr>
                    </m:ctrlPr>
                  </m:sSubPr>
                  <m:e>
                    <m:r>
                      <w:rPr>
                        <w:rFonts w:ascii="Cambria Math" w:hAnsi="Cambria Math"/>
                      </w:rPr>
                      <m:t>I</m:t>
                    </m:r>
                  </m:e>
                  <m:sub>
                    <m:r>
                      <w:rPr>
                        <w:rFonts w:ascii="Cambria Math" w:hAnsi="Cambria Math"/>
                      </w:rPr>
                      <m:t>ii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l</m:t>
                    </m:r>
                    <m:r>
                      <w:rPr>
                        <w:rFonts w:ascii="Cambria Math" w:hAnsi="Cambria Math"/>
                      </w:rPr>
                      <m:t>=1</m:t>
                    </m:r>
                  </m:sub>
                  <m:sup>
                    <m:sSubSup>
                      <m:sSubSupPr>
                        <m:ctrlPr>
                          <w:rPr>
                            <w:rFonts w:ascii="Cambria Math" w:hAnsi="Cambria Math"/>
                            <w:i/>
                          </w:rPr>
                        </m:ctrlPr>
                      </m:sSubSupPr>
                      <m:e>
                        <m:r>
                          <w:rPr>
                            <w:rFonts w:ascii="Cambria Math" w:hAnsi="Cambria Math"/>
                          </w:rPr>
                          <m:t>N</m:t>
                        </m:r>
                      </m:e>
                      <m:sub>
                        <m:r>
                          <w:rPr>
                            <w:rFonts w:ascii="Cambria Math" w:hAnsi="Cambria Math"/>
                          </w:rPr>
                          <m:t>t</m:t>
                        </m:r>
                      </m:sub>
                      <m:sup>
                        <m:r>
                          <w:rPr>
                            <w:rFonts w:ascii="Cambria Math" w:hAnsi="Cambria Math"/>
                          </w:rPr>
                          <m:t>m</m:t>
                        </m:r>
                      </m:sup>
                    </m:sSubSup>
                  </m:sup>
                  <m:e>
                    <m:sSup>
                      <m:sSupPr>
                        <m:ctrlPr>
                          <w:rPr>
                            <w:rFonts w:ascii="Cambria Math" w:hAnsi="Cambria Math"/>
                            <w:i/>
                          </w:rPr>
                        </m:ctrlPr>
                      </m:sSupPr>
                      <m:e>
                        <m:r>
                          <w:rPr>
                            <w:rFonts w:ascii="Cambria Math" w:hAnsi="Cambria Math"/>
                          </w:rPr>
                          <m:t>A</m:t>
                        </m:r>
                      </m:e>
                      <m:sup>
                        <m:r>
                          <w:rPr>
                            <w:rFonts w:ascii="Cambria Math" w:hAnsi="Cambria Math"/>
                          </w:rPr>
                          <m:t>l</m:t>
                        </m:r>
                      </m:sup>
                    </m:s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Sup>
                      <m:sSubSupPr>
                        <m:ctrlPr>
                          <w:rPr>
                            <w:rFonts w:ascii="Cambria Math" w:hAnsi="Cambria Math"/>
                            <w:i/>
                          </w:rPr>
                        </m:ctrlPr>
                      </m:sSubSupPr>
                      <m:e>
                        <m:r>
                          <w:rPr>
                            <w:rFonts w:ascii="Cambria Math" w:hAnsi="Cambria Math"/>
                          </w:rPr>
                          <m:t>d</m:t>
                        </m:r>
                      </m:e>
                      <m:sub>
                        <m:r>
                          <w:rPr>
                            <w:rFonts w:ascii="Cambria Math" w:hAnsi="Cambria Math"/>
                          </w:rPr>
                          <m:t>ii</m:t>
                        </m:r>
                      </m:sub>
                      <m:sup>
                        <m:r>
                          <w:rPr>
                            <w:rFonts w:ascii="Cambria Math" w:hAnsi="Cambria Math"/>
                          </w:rPr>
                          <m:t>l</m:t>
                        </m:r>
                      </m:sup>
                    </m:sSubSup>
                  </m:e>
                </m:nary>
                <m:r>
                  <w:rPr>
                    <w:rFonts w:ascii="Cambria Math" w:hAnsi="Cambria Math"/>
                  </w:rPr>
                  <m:t xml:space="preserve"> </m:t>
                </m:r>
                <m:r>
                  <m:rPr>
                    <m:sty m:val="p"/>
                  </m:rPr>
                  <w:rPr>
                    <w:rFonts w:ascii="Cambria Math" w:hAnsi="Cambria Math"/>
                  </w:rPr>
                  <m:t>where</m:t>
                </m:r>
                <m:r>
                  <w:rPr>
                    <w:rFonts w:ascii="Cambria Math" w:hAnsi="Cambria Math"/>
                  </w:rPr>
                  <m:t xml:space="preserve"> </m:t>
                </m:r>
                <m:r>
                  <w:rPr>
                    <w:rFonts w:ascii="Cambria Math" w:hAnsi="Cambria Math"/>
                  </w:rPr>
                  <m:t>i</m:t>
                </m:r>
                <m:r>
                  <w:rPr>
                    <w:rFonts w:ascii="Cambria Math" w:hAnsi="Cambria Math"/>
                  </w:rPr>
                  <m:t>=</m:t>
                </m:r>
                <m:r>
                  <w:rPr>
                    <w:rFonts w:ascii="Cambria Math" w:hAnsi="Cambria Math"/>
                  </w:rPr>
                  <m:t>y</m:t>
                </m:r>
                <m:r>
                  <w:rPr>
                    <w:rFonts w:ascii="Cambria Math" w:hAnsi="Cambria Math"/>
                  </w:rPr>
                  <m:t>,</m:t>
                </m:r>
                <m:r>
                  <w:rPr>
                    <w:rFonts w:ascii="Cambria Math" w:hAnsi="Cambria Math"/>
                  </w:rPr>
                  <m:t>z</m:t>
                </m:r>
              </m:oMath>
            </m:oMathPara>
          </w:p>
        </w:tc>
        <w:tc>
          <w:tcPr>
            <w:tcW w:w="556" w:type="dxa"/>
            <w:vAlign w:val="center"/>
          </w:tcPr>
          <w:p w14:paraId="24DE1ADF" w14:textId="77777777" w:rsidR="009E0A85" w:rsidRPr="00B11B1C" w:rsidRDefault="009E0A85" w:rsidP="00CE32C5">
            <w:pPr>
              <w:pStyle w:val="EqtnNum"/>
              <w:contextualSpacing/>
            </w:pPr>
          </w:p>
        </w:tc>
      </w:tr>
    </w:tbl>
    <w:p w14:paraId="276140A2" w14:textId="77777777" w:rsidR="009E0A85" w:rsidRPr="00B11B1C" w:rsidRDefault="009E0A85" w:rsidP="009E0A85"/>
    <w:p w14:paraId="58F9481D" w14:textId="77777777" w:rsidR="009E0A85" w:rsidRPr="00B11B1C" w:rsidRDefault="009E0A85" w:rsidP="009E0A85">
      <w:r w:rsidRPr="00B11B1C">
        <w:t xml:space="preserve">where </w:t>
      </w:r>
      <m:oMath>
        <m:sSubSup>
          <m:sSubSupPr>
            <m:ctrlPr>
              <w:rPr>
                <w:rFonts w:ascii="Cambria Math" w:hAnsi="Cambria Math"/>
                <w:i/>
              </w:rPr>
            </m:ctrlPr>
          </m:sSubSupPr>
          <m:e>
            <m:r>
              <w:rPr>
                <w:rFonts w:ascii="Cambria Math" w:hAnsi="Cambria Math"/>
              </w:rPr>
              <m:t>N</m:t>
            </m:r>
          </m:e>
          <m:sub>
            <m:r>
              <w:rPr>
                <w:rFonts w:ascii="Cambria Math" w:hAnsi="Cambria Math"/>
              </w:rPr>
              <m:t>t</m:t>
            </m:r>
          </m:sub>
          <m:sup>
            <m:r>
              <w:rPr>
                <w:rFonts w:ascii="Cambria Math" w:hAnsi="Cambria Math"/>
              </w:rPr>
              <m:t>m</m:t>
            </m:r>
          </m:sup>
        </m:sSubSup>
      </m:oMath>
      <w:r w:rsidRPr="00B11B1C">
        <w:t xml:space="preserve"> is the number of triads in cluster </w:t>
      </w:r>
      <m:oMath>
        <m:r>
          <w:rPr>
            <w:rFonts w:ascii="Cambria Math" w:hAnsi="Cambria Math"/>
          </w:rPr>
          <m:t>m</m:t>
        </m:r>
      </m:oMath>
      <w:r w:rsidRPr="00B11B1C">
        <w:t xml:space="preserve">, </w:t>
      </w:r>
      <m:oMath>
        <m:sSup>
          <m:sSupPr>
            <m:ctrlPr>
              <w:rPr>
                <w:rFonts w:ascii="Cambria Math" w:hAnsi="Cambria Math"/>
                <w:i/>
              </w:rPr>
            </m:ctrlPr>
          </m:sSupPr>
          <m:e>
            <m:r>
              <w:rPr>
                <w:rFonts w:ascii="Cambria Math" w:hAnsi="Cambria Math"/>
              </w:rPr>
              <m:t>A</m:t>
            </m:r>
          </m:e>
          <m:sup>
            <m:r>
              <w:rPr>
                <w:rFonts w:ascii="Cambria Math" w:hAnsi="Cambria Math"/>
              </w:rPr>
              <m:t>l</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n</m:t>
                </m:r>
              </m:sub>
            </m:sSub>
          </m:e>
        </m:d>
      </m:oMath>
      <w:r w:rsidRPr="00B11B1C">
        <w:t xml:space="preserve"> is the area of triad </w:t>
      </w:r>
      <m:oMath>
        <m:r>
          <w:rPr>
            <w:rFonts w:ascii="Cambria Math" w:hAnsi="Cambria Math"/>
          </w:rPr>
          <m:t>l</m:t>
        </m:r>
      </m:oMath>
      <w:r w:rsidRPr="00B11B1C">
        <w:t xml:space="preserve"> at section </w:t>
      </w:r>
      <m:oMath>
        <m:sSub>
          <m:sSubPr>
            <m:ctrlPr>
              <w:rPr>
                <w:rFonts w:ascii="Cambria Math" w:hAnsi="Cambria Math"/>
                <w:i/>
              </w:rPr>
            </m:ctrlPr>
          </m:sSubPr>
          <m:e>
            <m:r>
              <w:rPr>
                <w:rFonts w:ascii="Cambria Math" w:hAnsi="Cambria Math"/>
              </w:rPr>
              <m:t>x</m:t>
            </m:r>
          </m:e>
          <m:sub>
            <m:r>
              <w:rPr>
                <w:rFonts w:ascii="Cambria Math" w:hAnsi="Cambria Math"/>
              </w:rPr>
              <m:t>n</m:t>
            </m:r>
          </m:sub>
        </m:sSub>
      </m:oMath>
      <w:r w:rsidRPr="00B11B1C">
        <w:t xml:space="preserve">, and </w:t>
      </w:r>
      <m:oMath>
        <m:sSubSup>
          <m:sSubSupPr>
            <m:ctrlPr>
              <w:rPr>
                <w:rFonts w:ascii="Cambria Math" w:hAnsi="Cambria Math"/>
                <w:i/>
              </w:rPr>
            </m:ctrlPr>
          </m:sSubSupPr>
          <m:e>
            <m:r>
              <w:rPr>
                <w:rFonts w:ascii="Cambria Math" w:hAnsi="Cambria Math"/>
              </w:rPr>
              <m:t>d</m:t>
            </m:r>
          </m:e>
          <m:sub>
            <m:r>
              <w:rPr>
                <w:rFonts w:ascii="Cambria Math" w:hAnsi="Cambria Math"/>
              </w:rPr>
              <m:t>ii</m:t>
            </m:r>
          </m:sub>
          <m:sup>
            <m:r>
              <w:rPr>
                <w:rFonts w:ascii="Cambria Math" w:hAnsi="Cambria Math"/>
              </w:rPr>
              <m:t>l</m:t>
            </m:r>
          </m:sup>
        </m:sSubSup>
      </m:oMath>
      <w:r w:rsidRPr="00B11B1C">
        <w:t xml:space="preserve"> is the distance of the cluster centroid to the center of the triads within the cluster in either the </w:t>
      </w:r>
      <m:oMath>
        <m:r>
          <w:rPr>
            <w:rFonts w:ascii="Cambria Math" w:hAnsi="Cambria Math"/>
          </w:rPr>
          <m:t>y</m:t>
        </m:r>
      </m:oMath>
      <w:r w:rsidRPr="00B11B1C">
        <w:t xml:space="preserve"> or </w:t>
      </w:r>
      <m:oMath>
        <m:r>
          <w:rPr>
            <w:rFonts w:ascii="Cambria Math" w:hAnsi="Cambria Math"/>
          </w:rPr>
          <m:t>z</m:t>
        </m:r>
      </m:oMath>
      <w:r w:rsidRPr="00B11B1C">
        <w:t xml:space="preserve"> directions. Like the radius of gyration, the moments of inertia are used to understand the geometry of clusters. </w:t>
      </w:r>
    </w:p>
    <w:p w14:paraId="6E506264" w14:textId="77777777" w:rsidR="009E0A85" w:rsidRPr="00B11B1C" w:rsidRDefault="009E0A85" w:rsidP="009E0A85">
      <w:r w:rsidRPr="00B11B1C">
        <w:t xml:space="preserve">The value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n</m:t>
                </m:r>
              </m:sub>
            </m:sSub>
          </m:e>
        </m:d>
      </m:oMath>
      <w:r w:rsidRPr="00B11B1C">
        <w:t xml:space="preserve"> is used to determine how symmetric the clusters are about both axes, defined as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
        <w:gridCol w:w="8338"/>
        <w:gridCol w:w="556"/>
      </w:tblGrid>
      <w:tr w:rsidR="009E0A85" w:rsidRPr="00B11B1C" w14:paraId="33CB2572" w14:textId="77777777" w:rsidTr="00CE32C5">
        <w:tc>
          <w:tcPr>
            <w:tcW w:w="358" w:type="dxa"/>
          </w:tcPr>
          <w:p w14:paraId="1CDB78B6" w14:textId="77777777" w:rsidR="009E0A85" w:rsidRPr="00B11B1C" w:rsidRDefault="009E0A85" w:rsidP="00CE32C5"/>
        </w:tc>
        <w:tc>
          <w:tcPr>
            <w:tcW w:w="8338" w:type="dxa"/>
          </w:tcPr>
          <w:p w14:paraId="2AB2A4A0" w14:textId="77777777" w:rsidR="009E0A85" w:rsidRPr="00B11B1C" w:rsidRDefault="009E0A85" w:rsidP="00CE32C5">
            <w:pPr>
              <w:jc w:val="center"/>
            </w:pPr>
            <m:oMath>
              <m:r>
                <w:rPr>
                  <w:rFonts w:ascii="Cambria Math" w:hAnsi="Cambria Math"/>
                </w:rPr>
                <m:t>K(</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yy</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n</m:t>
                              </m:r>
                            </m:sub>
                          </m:sSub>
                        </m:e>
                      </m:d>
                    </m:num>
                    <m:den>
                      <m:sSub>
                        <m:sSubPr>
                          <m:ctrlPr>
                            <w:rPr>
                              <w:rFonts w:ascii="Cambria Math" w:hAnsi="Cambria Math"/>
                              <w:i/>
                            </w:rPr>
                          </m:ctrlPr>
                        </m:sSubPr>
                        <m:e>
                          <m:r>
                            <w:rPr>
                              <w:rFonts w:ascii="Cambria Math" w:hAnsi="Cambria Math"/>
                            </w:rPr>
                            <m:t>I</m:t>
                          </m:r>
                        </m:e>
                        <m:sub>
                          <m:r>
                            <w:rPr>
                              <w:rFonts w:ascii="Cambria Math" w:hAnsi="Cambria Math"/>
                            </w:rPr>
                            <m:t>zz</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n</m:t>
                              </m:r>
                            </m:sub>
                          </m:sSub>
                        </m:e>
                      </m:d>
                    </m:den>
                  </m:f>
                </m:e>
              </m:rad>
            </m:oMath>
            <w:r w:rsidRPr="00B11B1C">
              <w:t>.</w:t>
            </w:r>
          </w:p>
        </w:tc>
        <w:tc>
          <w:tcPr>
            <w:tcW w:w="556" w:type="dxa"/>
            <w:vAlign w:val="center"/>
          </w:tcPr>
          <w:p w14:paraId="2262650B" w14:textId="77777777" w:rsidR="009E0A85" w:rsidRPr="00B11B1C" w:rsidRDefault="009E0A85" w:rsidP="00CE32C5">
            <w:pPr>
              <w:pStyle w:val="EqtnNum"/>
              <w:contextualSpacing/>
            </w:pPr>
          </w:p>
        </w:tc>
      </w:tr>
    </w:tbl>
    <w:p w14:paraId="13686713" w14:textId="77777777" w:rsidR="009E0A85" w:rsidRPr="00B11B1C" w:rsidRDefault="009E0A85" w:rsidP="009E0A85">
      <w:pPr>
        <w:rPr>
          <w:rStyle w:val="CommentReference"/>
        </w:rPr>
      </w:pPr>
      <w:r w:rsidRPr="00B11B1C">
        <w:t xml:space="preserve">When the values for the moments of inertia are very similar, the value of </w:t>
      </w:r>
      <w:r w:rsidRPr="00B11B1C">
        <w:rPr>
          <w:i/>
          <w:iCs/>
        </w:rPr>
        <w:t>K</w:t>
      </w:r>
      <w:r w:rsidRPr="00B11B1C">
        <w:t xml:space="preserve"> is close to one, indicating the clusters are near symmetric about the </w:t>
      </w:r>
      <m:oMath>
        <m:r>
          <w:rPr>
            <w:rFonts w:ascii="Cambria Math" w:hAnsi="Cambria Math"/>
          </w:rPr>
          <m:t>y</m:t>
        </m:r>
      </m:oMath>
      <w:r w:rsidRPr="00B11B1C">
        <w:t xml:space="preserve"> and </w:t>
      </w:r>
      <m:oMath>
        <m:r>
          <w:rPr>
            <w:rFonts w:ascii="Cambria Math" w:hAnsi="Cambria Math"/>
          </w:rPr>
          <m:t>z</m:t>
        </m:r>
      </m:oMath>
      <w:r w:rsidRPr="00B11B1C">
        <w:t xml:space="preserve"> axes. When </w:t>
      </w:r>
      <m:oMath>
        <m:sSub>
          <m:sSubPr>
            <m:ctrlPr>
              <w:rPr>
                <w:rFonts w:ascii="Cambria Math" w:hAnsi="Cambria Math"/>
                <w:i/>
              </w:rPr>
            </m:ctrlPr>
          </m:sSubPr>
          <m:e>
            <m:r>
              <w:rPr>
                <w:rFonts w:ascii="Cambria Math" w:hAnsi="Cambria Math"/>
              </w:rPr>
              <m:t>I</m:t>
            </m:r>
          </m:e>
          <m:sub>
            <m:r>
              <w:rPr>
                <w:rFonts w:ascii="Cambria Math" w:hAnsi="Cambria Math"/>
              </w:rPr>
              <m:t>yy</m:t>
            </m:r>
          </m:sub>
        </m:sSub>
      </m:oMath>
      <w:r w:rsidRPr="00B11B1C">
        <w:t xml:space="preserve"> is larger than </w:t>
      </w:r>
      <m:oMath>
        <m:sSub>
          <m:sSubPr>
            <m:ctrlPr>
              <w:rPr>
                <w:rFonts w:ascii="Cambria Math" w:hAnsi="Cambria Math"/>
                <w:i/>
              </w:rPr>
            </m:ctrlPr>
          </m:sSubPr>
          <m:e>
            <m:r>
              <w:rPr>
                <w:rFonts w:ascii="Cambria Math" w:hAnsi="Cambria Math"/>
              </w:rPr>
              <m:t>I</m:t>
            </m:r>
          </m:e>
          <m:sub>
            <m:r>
              <w:rPr>
                <w:rFonts w:ascii="Cambria Math" w:hAnsi="Cambria Math"/>
              </w:rPr>
              <m:t>zz</m:t>
            </m:r>
          </m:sub>
        </m:sSub>
      </m:oMath>
      <w:r w:rsidRPr="00B11B1C">
        <w:t xml:space="preserve">, it means that the cluster is longer in the </w:t>
      </w:r>
      <m:oMath>
        <m:r>
          <w:rPr>
            <w:rFonts w:ascii="Cambria Math" w:hAnsi="Cambria Math"/>
          </w:rPr>
          <m:t>z</m:t>
        </m:r>
      </m:oMath>
      <w:r w:rsidRPr="00B11B1C">
        <w:t xml:space="preserve"> direction than in the </w:t>
      </w:r>
      <m:oMath>
        <m:r>
          <w:rPr>
            <w:rFonts w:ascii="Cambria Math" w:hAnsi="Cambria Math"/>
          </w:rPr>
          <m:t>y</m:t>
        </m:r>
      </m:oMath>
      <w:r w:rsidRPr="00B11B1C">
        <w:t xml:space="preserve"> direction, and vice versa. The values for </w:t>
      </w:r>
      <m:oMath>
        <m:r>
          <w:rPr>
            <w:rFonts w:ascii="Cambria Math" w:hAnsi="Cambria Math"/>
          </w:rPr>
          <m:t>K</m:t>
        </m:r>
      </m:oMath>
      <w:r w:rsidRPr="00B11B1C">
        <w:t>, therefore, give a sense of how symmetric the clusters are about both axes.</w:t>
      </w:r>
    </w:p>
    <w:p w14:paraId="27E4559F" w14:textId="78AC8430" w:rsidR="009E0A85" w:rsidRPr="00B11B1C" w:rsidRDefault="009E0A85" w:rsidP="00402D60">
      <w:pPr>
        <w:pStyle w:val="Heading3"/>
      </w:pPr>
      <w:r w:rsidRPr="00B11B1C">
        <w:t>Voids</w:t>
      </w:r>
    </w:p>
    <w:p w14:paraId="3E15AB77" w14:textId="70A0CA7B" w:rsidR="009E0A85" w:rsidRPr="00B11B1C" w:rsidRDefault="009E0A85" w:rsidP="009E0A85">
      <w:r w:rsidRPr="00B11B1C">
        <w:t xml:space="preserve">The void content and distribution of the three samples were computed and contrasted. Voids appear on the grayscale image as regions of low </w:t>
      </w:r>
      <w:r w:rsidR="00C07082" w:rsidRPr="00B11B1C">
        <w:t xml:space="preserve">pixel </w:t>
      </w:r>
      <w:r w:rsidRPr="00B11B1C">
        <w:t>intensity (lower than either the matrix or the fibers) with sharp boundaries (</w:t>
      </w:r>
      <w:r w:rsidRPr="00B11B1C">
        <w:fldChar w:fldCharType="begin"/>
      </w:r>
      <w:r w:rsidRPr="00B11B1C">
        <w:instrText xml:space="preserve"> REF _Ref86051352 \h </w:instrText>
      </w:r>
      <w:r w:rsidR="00B11B1C">
        <w:instrText xml:space="preserve"> \* MERGEFORMAT </w:instrText>
      </w:r>
      <w:r w:rsidRPr="00B11B1C">
        <w:fldChar w:fldCharType="separate"/>
      </w:r>
      <w:r w:rsidR="00531B5C" w:rsidRPr="00B11B1C">
        <w:t xml:space="preserve">Figure </w:t>
      </w:r>
      <w:r w:rsidR="00531B5C" w:rsidRPr="00B11B1C">
        <w:rPr>
          <w:noProof/>
        </w:rPr>
        <w:t>6</w:t>
      </w:r>
      <w:r w:rsidRPr="00B11B1C">
        <w:fldChar w:fldCharType="end"/>
      </w:r>
      <w:r w:rsidRPr="00B11B1C">
        <w:t>). They were identified by thresholding the grayscale image and isolating the connected components of regions formed by pixels of low intensity. The center of mass of each void cross-section was computed, and centers on successive layers were joined. These computations, as well as voxel-based 3D reconstructions of selected voids, were performed through [27].</w:t>
      </w:r>
    </w:p>
    <w:p w14:paraId="605FBE2F" w14:textId="77777777" w:rsidR="009E0A85" w:rsidRPr="00B11B1C" w:rsidRDefault="009E0A85" w:rsidP="009E0A85">
      <w:pPr>
        <w:keepNext/>
        <w:jc w:val="center"/>
      </w:pPr>
      <w:r w:rsidRPr="00B11B1C">
        <w:rPr>
          <w:noProof/>
        </w:rPr>
        <w:lastRenderedPageBreak/>
        <w:drawing>
          <wp:inline distT="0" distB="0" distL="0" distR="0" wp14:anchorId="06ADE6F8" wp14:editId="58826F2B">
            <wp:extent cx="1914525" cy="192634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17986" cy="1929826"/>
                    </a:xfrm>
                    <a:prstGeom prst="rect">
                      <a:avLst/>
                    </a:prstGeom>
                    <a:noFill/>
                    <a:ln>
                      <a:noFill/>
                    </a:ln>
                  </pic:spPr>
                </pic:pic>
              </a:graphicData>
            </a:graphic>
          </wp:inline>
        </w:drawing>
      </w:r>
    </w:p>
    <w:p w14:paraId="540FF5A1" w14:textId="117EE385" w:rsidR="009E0A85" w:rsidRPr="00B11B1C" w:rsidRDefault="009E0A85" w:rsidP="004C136C">
      <w:pPr>
        <w:pStyle w:val="Caption"/>
      </w:pPr>
      <w:bookmarkStart w:id="5" w:name="_Ref86051352"/>
      <w:r w:rsidRPr="00B11B1C">
        <w:t xml:space="preserve">Figure </w:t>
      </w:r>
      <w:fldSimple w:instr=" SEQ Figure \* ARABIC ">
        <w:r w:rsidR="00531B5C" w:rsidRPr="00B11B1C">
          <w:rPr>
            <w:noProof/>
          </w:rPr>
          <w:t>6</w:t>
        </w:r>
      </w:fldSimple>
      <w:bookmarkEnd w:id="5"/>
      <w:r w:rsidRPr="00B11B1C">
        <w:t xml:space="preserve">. Picture of a typical void showing sharp contrast between the whitish/gray fibers, gray resin, and black void. </w:t>
      </w:r>
    </w:p>
    <w:p w14:paraId="034EF231" w14:textId="5C412E8F" w:rsidR="009E0A85" w:rsidRPr="00B11B1C" w:rsidRDefault="00E645A6" w:rsidP="009E0A85">
      <w:pPr>
        <w:rPr>
          <w:rStyle w:val="CommentReference"/>
        </w:rPr>
      </w:pPr>
      <w:r w:rsidRPr="00B11B1C" w:rsidDel="00E645A6">
        <w:t xml:space="preserve"> </w:t>
      </w:r>
      <w:r w:rsidRPr="00B11B1C">
        <w:t>M</w:t>
      </w:r>
      <w:r w:rsidR="009E0A85" w:rsidRPr="00B11B1C">
        <w:t xml:space="preserve">icro-abrasions and voids whose major axes are shorter than </w:t>
      </w:r>
      <w:r w:rsidRPr="00B11B1C">
        <w:t xml:space="preserve">five </w:t>
      </w:r>
      <w:r w:rsidR="009E0A85" w:rsidRPr="00B11B1C">
        <w:t xml:space="preserve">microns are not included in the volumetric and morphological data. As regards structural morphology, the </w:t>
      </w:r>
      <w:r w:rsidR="00CD0D06" w:rsidRPr="00B11B1C">
        <w:t>CFRP</w:t>
      </w:r>
      <w:r w:rsidR="009E0A85" w:rsidRPr="00B11B1C">
        <w:t xml:space="preserve"> specimens contain three distinct regimes: intra-tow; inter-tow; and regions surrounding stitches.</w:t>
      </w:r>
      <w:r w:rsidR="009E0A85" w:rsidRPr="00B11B1C">
        <w:rPr>
          <w:color w:val="000000" w:themeColor="text1"/>
        </w:rPr>
        <w:t xml:space="preserve"> For the purposes of this investigation, attention was focused on voids within the same tow (intra-tow). The results collected correspond to 2,000 x 5,000 pixel</w:t>
      </w:r>
      <w:r w:rsidR="00CE32C5" w:rsidRPr="00B11B1C">
        <w:rPr>
          <w:color w:val="000000" w:themeColor="text1"/>
        </w:rPr>
        <w:t>s</w:t>
      </w:r>
      <w:r w:rsidR="009E0A85" w:rsidRPr="00B11B1C">
        <w:rPr>
          <w:color w:val="000000" w:themeColor="text1"/>
        </w:rPr>
        <w:t xml:space="preserve">, that is, 1.02mm x 2.55mm image segments from each of the high debulk, low debulk, and benchmark samples, comprising intra-tow regions with no inter-tow interfaces or stitches.  The depth of each sample was 199 cross-sections or 500 </w:t>
      </w:r>
      <m:oMath>
        <m:r>
          <w:rPr>
            <w:rFonts w:ascii="Cambria Math" w:hAnsi="Cambria Math"/>
            <w:color w:val="000000" w:themeColor="text1"/>
          </w:rPr>
          <m:t>μ</m:t>
        </m:r>
      </m:oMath>
      <w:r w:rsidR="009E0A85" w:rsidRPr="00B11B1C">
        <w:rPr>
          <w:color w:val="000000" w:themeColor="text1"/>
        </w:rPr>
        <w:t>m. The void content was found by adding up the total volume of all detected voids and dividing it by the volume of the sample.</w:t>
      </w:r>
    </w:p>
    <w:p w14:paraId="374CA039" w14:textId="77777777" w:rsidR="0061789D" w:rsidRPr="00B11B1C" w:rsidRDefault="0061789D" w:rsidP="0061789D"/>
    <w:p w14:paraId="629DEAF0" w14:textId="47999726" w:rsidR="00F832BA" w:rsidRPr="00B11B1C" w:rsidRDefault="72E09976" w:rsidP="00B831FD">
      <w:pPr>
        <w:pStyle w:val="Heading1"/>
      </w:pPr>
      <w:r w:rsidRPr="00B11B1C">
        <w:t>Results</w:t>
      </w:r>
      <w:r w:rsidR="009810FE" w:rsidRPr="00B11B1C">
        <w:t xml:space="preserve"> and Discussion</w:t>
      </w:r>
    </w:p>
    <w:p w14:paraId="31850F18" w14:textId="7169A9ED" w:rsidR="009E0A85" w:rsidRPr="00B11B1C" w:rsidRDefault="009E0A85" w:rsidP="009E0A85">
      <w:r w:rsidRPr="00B11B1C">
        <w:t>Results of each metric were compared across the three levels of debulking to understand the effect of debulking on the resulting microstructure and void content.</w:t>
      </w:r>
      <w:r w:rsidR="00FD006F" w:rsidRPr="00B11B1C">
        <w:t xml:space="preserve"> Visualizations of these metrics were also created by coloring each fiber in the samples by the results of each metric. A cluster analysis of each sample was also performed.</w:t>
      </w:r>
    </w:p>
    <w:p w14:paraId="3E2B38D8" w14:textId="662B9F89" w:rsidR="00111114" w:rsidRPr="00B11B1C" w:rsidRDefault="009E0A85" w:rsidP="00402D60">
      <w:pPr>
        <w:pStyle w:val="Heading2"/>
      </w:pPr>
      <w:r w:rsidRPr="00B11B1C">
        <w:t>Fiber Metrics</w:t>
      </w:r>
    </w:p>
    <w:p w14:paraId="3294297B" w14:textId="29155EFE" w:rsidR="009E0A85" w:rsidRPr="00B11B1C" w:rsidRDefault="009E0A85" w:rsidP="00402D60">
      <w:pPr>
        <w:pStyle w:val="Heading3"/>
      </w:pPr>
      <w:r w:rsidRPr="00B11B1C">
        <w:t>Local</w:t>
      </w:r>
      <w:r w:rsidR="00E645A6" w:rsidRPr="00B11B1C">
        <w:t xml:space="preserve"> Fiber </w:t>
      </w:r>
      <w:r w:rsidRPr="00B11B1C">
        <w:t>Volume Fraction</w:t>
      </w:r>
    </w:p>
    <w:p w14:paraId="31B2FB5B" w14:textId="4519F865" w:rsidR="009E0A85" w:rsidRPr="00B11B1C" w:rsidRDefault="009E0A85" w:rsidP="00B11B1C">
      <w:r w:rsidRPr="00B11B1C">
        <w:t xml:space="preserve">The local </w:t>
      </w:r>
      <w:r w:rsidR="00E645A6" w:rsidRPr="00B11B1C">
        <w:t xml:space="preserve">fiber </w:t>
      </w:r>
      <w:r w:rsidRPr="00B11B1C">
        <w:t>volume fraction</w:t>
      </w:r>
      <w:r w:rsidR="00E645A6" w:rsidRPr="00B11B1C">
        <w:t xml:space="preserve">, </w:t>
      </w:r>
      <m:oMath>
        <m:sSubSup>
          <m:sSubSupPr>
            <m:ctrlPr>
              <w:rPr>
                <w:rFonts w:ascii="Cambria Math" w:hAnsi="Cambria Math"/>
                <w:i/>
              </w:rPr>
            </m:ctrlPr>
          </m:sSubSupPr>
          <m:e>
            <m:r>
              <w:rPr>
                <w:rFonts w:ascii="Cambria Math" w:hAnsi="Cambria Math"/>
              </w:rPr>
              <m:t>v</m:t>
            </m:r>
          </m:e>
          <m:sub>
            <m:r>
              <w:rPr>
                <w:rFonts w:ascii="Cambria Math" w:hAnsi="Cambria Math"/>
              </w:rPr>
              <m:t>f</m:t>
            </m:r>
          </m:sub>
          <m:sup>
            <m:r>
              <w:rPr>
                <w:rFonts w:ascii="Cambria Math" w:hAnsi="Cambria Math"/>
              </w:rPr>
              <m:t>i</m:t>
            </m:r>
          </m:sup>
        </m:sSubSup>
      </m:oMath>
      <w:r w:rsidR="00E645A6" w:rsidRPr="00B11B1C">
        <w:t>,</w:t>
      </w:r>
      <w:r w:rsidRPr="00B11B1C">
        <w:t xml:space="preserve"> is a measure of the area of a fiber to the area of its Voronoi cell. This formulation of volume fraction can be used to obtain local data for each fiber in every cross-section, and gain insight into the spatial density of the fibers. Reconstructions of the laminate samples, colored by local volume fraction, can be seen in </w:t>
      </w:r>
      <w:r w:rsidRPr="00B11B1C">
        <w:fldChar w:fldCharType="begin"/>
      </w:r>
      <w:r w:rsidRPr="00B11B1C">
        <w:instrText xml:space="preserve"> REF _Ref88143183 \h </w:instrText>
      </w:r>
      <w:r w:rsidR="00B11B1C">
        <w:instrText xml:space="preserve"> \* MERGEFORMAT </w:instrText>
      </w:r>
      <w:r w:rsidRPr="00B11B1C">
        <w:fldChar w:fldCharType="separate"/>
      </w:r>
      <w:r w:rsidR="00531B5C" w:rsidRPr="00B11B1C">
        <w:t xml:space="preserve">Figure </w:t>
      </w:r>
      <w:r w:rsidR="00531B5C" w:rsidRPr="00B11B1C">
        <w:rPr>
          <w:noProof/>
        </w:rPr>
        <w:t>7</w:t>
      </w:r>
      <w:r w:rsidRPr="00B11B1C">
        <w:fldChar w:fldCharType="end"/>
      </w:r>
      <w:r w:rsidRPr="00B11B1C">
        <w:t>. These reconstructions show visually how the fibers manifest themselves into tight islands</w:t>
      </w:r>
      <w:r w:rsidR="00FD006F" w:rsidRPr="00B11B1C">
        <w:t xml:space="preserve"> (red regions)</w:t>
      </w:r>
      <w:r w:rsidRPr="00B11B1C">
        <w:t xml:space="preserve"> surrounded by more matrix rich regions</w:t>
      </w:r>
      <w:r w:rsidR="00FD006F" w:rsidRPr="00B11B1C">
        <w:t xml:space="preserve"> (gray fibers)</w:t>
      </w:r>
      <w:r w:rsidRPr="00B11B1C">
        <w:t xml:space="preserve"> in all three samples. It can also be seen that the number of more matrix rich regions is clearly higher in the benchmark sample than the other two. </w:t>
      </w:r>
    </w:p>
    <w:p w14:paraId="2583BB14" w14:textId="20957885" w:rsidR="00DA43E0" w:rsidRPr="00B11B1C" w:rsidRDefault="00DA43E0" w:rsidP="009E0A85">
      <w:pPr>
        <w:keepNext/>
        <w:jc w:val="center"/>
      </w:pPr>
      <w:r w:rsidRPr="00B11B1C">
        <w:rPr>
          <w:noProof/>
        </w:rPr>
        <w:lastRenderedPageBreak/>
        <w:drawing>
          <wp:inline distT="0" distB="0" distL="0" distR="0" wp14:anchorId="12E08859" wp14:editId="7065C52E">
            <wp:extent cx="5943600" cy="289433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894330"/>
                    </a:xfrm>
                    <a:prstGeom prst="rect">
                      <a:avLst/>
                    </a:prstGeom>
                    <a:noFill/>
                    <a:ln>
                      <a:noFill/>
                    </a:ln>
                  </pic:spPr>
                </pic:pic>
              </a:graphicData>
            </a:graphic>
          </wp:inline>
        </w:drawing>
      </w:r>
    </w:p>
    <w:p w14:paraId="3A61A767" w14:textId="68DAF235" w:rsidR="009E0A85" w:rsidRPr="00B11B1C" w:rsidRDefault="009E0A85" w:rsidP="004C136C">
      <w:pPr>
        <w:pStyle w:val="Caption"/>
      </w:pPr>
      <w:bookmarkStart w:id="6" w:name="_Ref88143183"/>
      <w:r w:rsidRPr="00B11B1C">
        <w:t xml:space="preserve">Figure </w:t>
      </w:r>
      <w:fldSimple w:instr=" SEQ Figure \* ARABIC ">
        <w:r w:rsidR="00531B5C" w:rsidRPr="00B11B1C">
          <w:rPr>
            <w:noProof/>
          </w:rPr>
          <w:t>7</w:t>
        </w:r>
      </w:fldSimple>
      <w:bookmarkEnd w:id="6"/>
      <w:r w:rsidRPr="00B11B1C">
        <w:t>. Select quadrants of the</w:t>
      </w:r>
      <w:r w:rsidR="00A3603C" w:rsidRPr="00B11B1C">
        <w:t xml:space="preserve"> High, Low, and Benchmark debulking</w:t>
      </w:r>
      <w:r w:rsidRPr="00B11B1C">
        <w:t xml:space="preserve"> laminate samples showing the fibers colored by local </w:t>
      </w:r>
      <w:r w:rsidR="00A42900" w:rsidRPr="00B11B1C">
        <w:t xml:space="preserve">fiber </w:t>
      </w:r>
      <w:r w:rsidRPr="00B11B1C">
        <w:t>volume fraction</w:t>
      </w:r>
    </w:p>
    <w:p w14:paraId="4F5FEFFC" w14:textId="74FBB813" w:rsidR="009E0A85" w:rsidRPr="00B11B1C" w:rsidRDefault="009E0A85" w:rsidP="009E0A85">
      <w:r w:rsidRPr="00B11B1C">
        <w:t xml:space="preserve">The histograms for the local volume fraction in each analyzed tow and the laminate samples are shown in </w:t>
      </w:r>
      <w:r w:rsidRPr="00B11B1C">
        <w:fldChar w:fldCharType="begin"/>
      </w:r>
      <w:r w:rsidRPr="00B11B1C">
        <w:instrText xml:space="preserve"> REF _Ref77162424 \h </w:instrText>
      </w:r>
      <w:r w:rsidR="00B11B1C">
        <w:instrText xml:space="preserve"> \* MERGEFORMAT </w:instrText>
      </w:r>
      <w:r w:rsidRPr="00B11B1C">
        <w:fldChar w:fldCharType="separate"/>
      </w:r>
      <w:r w:rsidR="00531B5C" w:rsidRPr="00B11B1C">
        <w:t xml:space="preserve">Figure </w:t>
      </w:r>
      <w:r w:rsidR="00531B5C" w:rsidRPr="00B11B1C">
        <w:rPr>
          <w:noProof/>
        </w:rPr>
        <w:t>8</w:t>
      </w:r>
      <w:r w:rsidRPr="00B11B1C">
        <w:fldChar w:fldCharType="end"/>
      </w:r>
      <w:r w:rsidRPr="00B11B1C">
        <w:t xml:space="preserve">. The shapes of the high debulk and low debulk tow histograms are similar in terms of magnitude at the mode and distribution. The benchmark tows, however, have a slightly lower probability density than any of the tows in the other laminates. The location of the modes for the benchmark tows all occurred below 0.6, while the modes of the other laminates occurred above 0.6 fiber volume fraction. The histograms of the laminate samples show a similar trend, with the high and low debulk distributions being similar and the benchmark sample being lower at the mode. </w:t>
      </w:r>
    </w:p>
    <w:p w14:paraId="2E868105" w14:textId="77777777" w:rsidR="009E0A85" w:rsidRPr="00B11B1C" w:rsidRDefault="009E0A85" w:rsidP="009E0A85">
      <w:pPr>
        <w:keepNext/>
        <w:jc w:val="center"/>
      </w:pPr>
      <w:r w:rsidRPr="00B11B1C">
        <w:rPr>
          <w:noProof/>
        </w:rPr>
        <w:lastRenderedPageBreak/>
        <w:drawing>
          <wp:inline distT="0" distB="0" distL="0" distR="0" wp14:anchorId="78FB5EE9" wp14:editId="5E751019">
            <wp:extent cx="4391025" cy="3781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91025" cy="3781160"/>
                    </a:xfrm>
                    <a:prstGeom prst="rect">
                      <a:avLst/>
                    </a:prstGeom>
                  </pic:spPr>
                </pic:pic>
              </a:graphicData>
            </a:graphic>
          </wp:inline>
        </w:drawing>
      </w:r>
    </w:p>
    <w:p w14:paraId="79107AEC" w14:textId="33E9F1EB" w:rsidR="009E0A85" w:rsidRPr="00B11B1C" w:rsidRDefault="009E0A85" w:rsidP="004C136C">
      <w:pPr>
        <w:pStyle w:val="Caption"/>
      </w:pPr>
      <w:bookmarkStart w:id="7" w:name="_Ref77162424"/>
      <w:r w:rsidRPr="00B11B1C">
        <w:t xml:space="preserve">Figure </w:t>
      </w:r>
      <w:r w:rsidRPr="00B11B1C">
        <w:fldChar w:fldCharType="begin"/>
      </w:r>
      <w:r w:rsidRPr="00B11B1C">
        <w:instrText>SEQ Figure \* ARABIC</w:instrText>
      </w:r>
      <w:r w:rsidRPr="00B11B1C">
        <w:fldChar w:fldCharType="separate"/>
      </w:r>
      <w:r w:rsidR="00531B5C" w:rsidRPr="00B11B1C">
        <w:rPr>
          <w:noProof/>
        </w:rPr>
        <w:t>8</w:t>
      </w:r>
      <w:r w:rsidRPr="00B11B1C">
        <w:fldChar w:fldCharType="end"/>
      </w:r>
      <w:bookmarkEnd w:id="7"/>
      <w:r w:rsidRPr="00B11B1C">
        <w:t xml:space="preserve">. Local volume fraction, </w:t>
      </w:r>
      <m:oMath>
        <m:sSub>
          <m:sSubPr>
            <m:ctrlPr>
              <w:rPr>
                <w:rFonts w:ascii="Cambria Math" w:hAnsi="Cambria Math"/>
                <w:i/>
              </w:rPr>
            </m:ctrlPr>
          </m:sSubPr>
          <m:e>
            <m:sSup>
              <m:sSupPr>
                <m:ctrlPr>
                  <w:rPr>
                    <w:rFonts w:ascii="Cambria Math" w:hAnsi="Cambria Math"/>
                    <w:i/>
                  </w:rPr>
                </m:ctrlPr>
              </m:sSupPr>
              <m:e>
                <m:r>
                  <m:rPr>
                    <m:sty m:val="bi"/>
                  </m:rPr>
                  <w:rPr>
                    <w:rFonts w:ascii="Cambria Math" w:hAnsi="Cambria Math"/>
                  </w:rPr>
                  <m:t>v</m:t>
                </m:r>
              </m:e>
              <m:sup>
                <m:r>
                  <m:rPr>
                    <m:sty m:val="bi"/>
                  </m:rPr>
                  <w:rPr>
                    <w:rFonts w:ascii="Cambria Math" w:hAnsi="Cambria Math"/>
                  </w:rPr>
                  <m:t>i</m:t>
                </m:r>
              </m:sup>
            </m:sSup>
          </m:e>
          <m:sub>
            <m:r>
              <m:rPr>
                <m:sty m:val="bi"/>
              </m:rPr>
              <w:rPr>
                <w:rFonts w:ascii="Cambria Math" w:hAnsi="Cambria Math"/>
              </w:rPr>
              <m:t>f</m:t>
            </m:r>
          </m:sub>
        </m:sSub>
      </m:oMath>
      <w:r w:rsidRPr="00B11B1C">
        <w:t>,  probability density functions of a) high debulk tows, b) low debulk tows, c) benchmark tows, and d) laminate samples from each laminate</w:t>
      </w:r>
    </w:p>
    <w:p w14:paraId="0848B556" w14:textId="77D1A5F0" w:rsidR="009E0A85" w:rsidRPr="00B11B1C" w:rsidRDefault="009E0A85" w:rsidP="009E0A85">
      <w:r w:rsidRPr="00B11B1C">
        <w:t>The average</w:t>
      </w:r>
      <w:r w:rsidR="00FD006F" w:rsidRPr="00B11B1C">
        <w:t xml:space="preserve"> local fiber volume fractions </w:t>
      </w:r>
      <w:r w:rsidRPr="00B11B1C">
        <w:t xml:space="preserve">of the three tows and laminate samples analyzed in each laminate are shown in </w:t>
      </w:r>
      <w:r w:rsidRPr="00B11B1C">
        <w:fldChar w:fldCharType="begin"/>
      </w:r>
      <w:r w:rsidRPr="00B11B1C">
        <w:instrText xml:space="preserve"> REF _Ref77162449 \h </w:instrText>
      </w:r>
      <w:r w:rsidR="00B11B1C">
        <w:instrText xml:space="preserve"> \* MERGEFORMAT </w:instrText>
      </w:r>
      <w:r w:rsidRPr="00B11B1C">
        <w:fldChar w:fldCharType="separate"/>
      </w:r>
      <w:r w:rsidR="00531B5C" w:rsidRPr="00B11B1C">
        <w:t xml:space="preserve">Figure </w:t>
      </w:r>
      <w:r w:rsidR="00531B5C" w:rsidRPr="00B11B1C">
        <w:rPr>
          <w:noProof/>
        </w:rPr>
        <w:t>9</w:t>
      </w:r>
      <w:r w:rsidRPr="00B11B1C">
        <w:fldChar w:fldCharType="end"/>
      </w:r>
      <w:r w:rsidRPr="00B11B1C">
        <w:t xml:space="preserve">, with standard deviations. Results suggest that the debulking procedure was most </w:t>
      </w:r>
      <w:r w:rsidR="004C03E5" w:rsidRPr="00B11B1C">
        <w:t>noticeable</w:t>
      </w:r>
      <w:r w:rsidRPr="00B11B1C">
        <w:t xml:space="preserve"> </w:t>
      </w:r>
      <w:r w:rsidR="004C03E5" w:rsidRPr="00B11B1C">
        <w:t>between</w:t>
      </w:r>
      <w:r w:rsidRPr="00B11B1C">
        <w:t xml:space="preserve"> the benchmark sample to the low debulking steps</w:t>
      </w:r>
      <w:r w:rsidR="007E61E3" w:rsidRPr="00B11B1C">
        <w:t xml:space="preserve"> in terms of increasing compaction</w:t>
      </w:r>
      <w:r w:rsidRPr="00B11B1C">
        <w:t xml:space="preserve">. The overlap of the standard deviations is </w:t>
      </w:r>
      <w:r w:rsidR="006A1031" w:rsidRPr="00B11B1C">
        <w:t>large</w:t>
      </w:r>
      <w:r w:rsidRPr="00B11B1C">
        <w:t>, however</w:t>
      </w:r>
      <w:r w:rsidR="0010235E" w:rsidRPr="00B11B1C">
        <w:t>,</w:t>
      </w:r>
      <w:r w:rsidR="006A1031" w:rsidRPr="00B11B1C">
        <w:t xml:space="preserve"> </w:t>
      </w:r>
      <w:r w:rsidR="005B43A7" w:rsidRPr="00B11B1C">
        <w:t xml:space="preserve">which suggests that </w:t>
      </w:r>
      <w:r w:rsidR="00B7584D" w:rsidRPr="00B11B1C">
        <w:t>the differences in the mean local volume fraction are minimal. One of the areas</w:t>
      </w:r>
      <w:r w:rsidR="0045169F" w:rsidRPr="00B11B1C">
        <w:t xml:space="preserve"> where a difference might occur is at the tails of the distributions, specifically the lower end, where fibers </w:t>
      </w:r>
      <w:r w:rsidR="009D5B64" w:rsidRPr="00B11B1C">
        <w:t xml:space="preserve">have more resin surrounding them and thus more space </w:t>
      </w:r>
      <w:r w:rsidR="00C43CE1" w:rsidRPr="00B11B1C">
        <w:t>to meander prior to infusion. The fibers at the tails of the distributions are referred to here as outliers.</w:t>
      </w:r>
    </w:p>
    <w:p w14:paraId="6861529F" w14:textId="1750955E" w:rsidR="009E0A85" w:rsidRPr="00B11B1C" w:rsidRDefault="00A925BE" w:rsidP="00A925BE">
      <w:pPr>
        <w:jc w:val="center"/>
      </w:pPr>
      <w:r w:rsidRPr="00B11B1C">
        <w:rPr>
          <w:noProof/>
        </w:rPr>
        <w:drawing>
          <wp:inline distT="0" distB="0" distL="0" distR="0" wp14:anchorId="4852855F" wp14:editId="6382BF5D">
            <wp:extent cx="5772150" cy="223485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76957" cy="2236719"/>
                    </a:xfrm>
                    <a:prstGeom prst="rect">
                      <a:avLst/>
                    </a:prstGeom>
                    <a:noFill/>
                    <a:ln>
                      <a:noFill/>
                    </a:ln>
                  </pic:spPr>
                </pic:pic>
              </a:graphicData>
            </a:graphic>
          </wp:inline>
        </w:drawing>
      </w:r>
    </w:p>
    <w:p w14:paraId="78AB884E" w14:textId="44A39606" w:rsidR="009E0A85" w:rsidRPr="00B11B1C" w:rsidRDefault="009E0A85" w:rsidP="004C136C">
      <w:pPr>
        <w:pStyle w:val="Caption"/>
      </w:pPr>
      <w:bookmarkStart w:id="8" w:name="_Ref77162449"/>
      <w:r w:rsidRPr="00B11B1C">
        <w:t xml:space="preserve">Figure </w:t>
      </w:r>
      <w:r w:rsidRPr="00B11B1C">
        <w:fldChar w:fldCharType="begin"/>
      </w:r>
      <w:r w:rsidRPr="00B11B1C">
        <w:instrText>SEQ Figure \* ARABIC</w:instrText>
      </w:r>
      <w:r w:rsidRPr="00B11B1C">
        <w:fldChar w:fldCharType="separate"/>
      </w:r>
      <w:r w:rsidR="00531B5C" w:rsidRPr="00B11B1C">
        <w:rPr>
          <w:noProof/>
        </w:rPr>
        <w:t>9</w:t>
      </w:r>
      <w:r w:rsidRPr="00B11B1C">
        <w:fldChar w:fldCharType="end"/>
      </w:r>
      <w:bookmarkEnd w:id="8"/>
      <w:r w:rsidRPr="00B11B1C">
        <w:t>. Average local</w:t>
      </w:r>
      <w:r w:rsidR="00A3603C" w:rsidRPr="00B11B1C">
        <w:t xml:space="preserve"> fiber</w:t>
      </w:r>
      <w:r w:rsidRPr="00B11B1C">
        <w:t xml:space="preserve"> volume fraction</w:t>
      </w:r>
      <w:r w:rsidR="00A3603C" w:rsidRPr="00B11B1C">
        <w:t>,</w:t>
      </w:r>
      <w:r w:rsidRPr="00B11B1C">
        <w:t xml:space="preserve"> </w:t>
      </w:r>
      <m:oMath>
        <m:sSubSup>
          <m:sSubSupPr>
            <m:ctrlPr>
              <w:rPr>
                <w:rFonts w:ascii="Cambria Math" w:hAnsi="Cambria Math"/>
                <w:i/>
              </w:rPr>
            </m:ctrlPr>
          </m:sSubSupPr>
          <m:e>
            <m:r>
              <m:rPr>
                <m:sty m:val="bi"/>
              </m:rPr>
              <w:rPr>
                <w:rFonts w:ascii="Cambria Math" w:hAnsi="Cambria Math"/>
              </w:rPr>
              <m:t>v</m:t>
            </m:r>
          </m:e>
          <m:sub>
            <m:r>
              <m:rPr>
                <m:sty m:val="bi"/>
              </m:rPr>
              <w:rPr>
                <w:rFonts w:ascii="Cambria Math" w:hAnsi="Cambria Math"/>
              </w:rPr>
              <m:t>f</m:t>
            </m:r>
          </m:sub>
          <m:sup>
            <m:r>
              <m:rPr>
                <m:sty m:val="bi"/>
              </m:rPr>
              <w:rPr>
                <w:rFonts w:ascii="Cambria Math" w:hAnsi="Cambria Math"/>
              </w:rPr>
              <m:t>i</m:t>
            </m:r>
          </m:sup>
        </m:sSubSup>
      </m:oMath>
      <w:r w:rsidR="00A3603C" w:rsidRPr="00B11B1C">
        <w:t>,</w:t>
      </w:r>
      <w:r w:rsidRPr="00B11B1C">
        <w:t xml:space="preserve">values for a) </w:t>
      </w:r>
      <w:r w:rsidR="00375B7F" w:rsidRPr="00B11B1C">
        <w:t>tows and</w:t>
      </w:r>
      <w:r w:rsidRPr="00B11B1C">
        <w:t xml:space="preserve"> b) laminate samples, from each laminate</w:t>
      </w:r>
      <w:r w:rsidR="00A3603C" w:rsidRPr="00B11B1C">
        <w:t xml:space="preserve"> showing standard deviation bars for each </w:t>
      </w:r>
    </w:p>
    <w:p w14:paraId="6A7EBFA9" w14:textId="2E08CE92" w:rsidR="003A2D23" w:rsidRPr="00B11B1C" w:rsidRDefault="009E0A85" w:rsidP="009E0A85">
      <w:pPr>
        <w:keepNext/>
      </w:pPr>
      <w:r w:rsidRPr="00B11B1C">
        <w:lastRenderedPageBreak/>
        <w:t>Looking at the colored reconstructions of the fibers shows that the volume fraction appears to decrease around the tow boundaries, which is not captured in the cropped tow sample images</w:t>
      </w:r>
      <w:r w:rsidR="00375B7F" w:rsidRPr="00B11B1C">
        <w:t xml:space="preserve"> (</w:t>
      </w:r>
      <w:r w:rsidRPr="00B11B1C">
        <w:fldChar w:fldCharType="begin"/>
      </w:r>
      <w:r w:rsidRPr="00B11B1C">
        <w:instrText xml:space="preserve"> REF _Ref88143183 \h </w:instrText>
      </w:r>
      <w:r w:rsidR="00B11B1C">
        <w:instrText xml:space="preserve"> \* MERGEFORMAT </w:instrText>
      </w:r>
      <w:r w:rsidRPr="00B11B1C">
        <w:fldChar w:fldCharType="separate"/>
      </w:r>
      <w:r w:rsidR="00531B5C" w:rsidRPr="00B11B1C">
        <w:t xml:space="preserve">Figure </w:t>
      </w:r>
      <w:r w:rsidR="00531B5C" w:rsidRPr="00B11B1C">
        <w:rPr>
          <w:noProof/>
        </w:rPr>
        <w:t>7</w:t>
      </w:r>
      <w:r w:rsidRPr="00B11B1C">
        <w:fldChar w:fldCharType="end"/>
      </w:r>
      <w:r w:rsidR="00375B7F" w:rsidRPr="00B11B1C">
        <w:t>)</w:t>
      </w:r>
      <w:r w:rsidRPr="00B11B1C">
        <w:t>. This could partially account for the slightly higher fiber contents in the tow data compared to the laminate samples. Similarly, looking at the kurtosis of the tows does not provide much insight int</w:t>
      </w:r>
      <w:r w:rsidR="003A2D23" w:rsidRPr="00B11B1C">
        <w:t>o the actual effects of debulking on the samples (</w:t>
      </w:r>
      <w:r w:rsidR="003A2D23" w:rsidRPr="00B11B1C">
        <w:fldChar w:fldCharType="begin"/>
      </w:r>
      <w:r w:rsidR="003A2D23" w:rsidRPr="00B11B1C">
        <w:instrText xml:space="preserve"> REF _Ref97804315 \h </w:instrText>
      </w:r>
      <w:r w:rsidR="00B11B1C">
        <w:instrText xml:space="preserve"> \* MERGEFORMAT </w:instrText>
      </w:r>
      <w:r w:rsidR="003A2D23" w:rsidRPr="00B11B1C">
        <w:fldChar w:fldCharType="separate"/>
      </w:r>
      <w:r w:rsidR="00531B5C" w:rsidRPr="00B11B1C">
        <w:t xml:space="preserve">Figure </w:t>
      </w:r>
      <w:r w:rsidR="00531B5C" w:rsidRPr="00B11B1C">
        <w:rPr>
          <w:noProof/>
        </w:rPr>
        <w:t>10</w:t>
      </w:r>
      <w:r w:rsidR="003A2D23" w:rsidRPr="00B11B1C">
        <w:fldChar w:fldCharType="end"/>
      </w:r>
      <w:r w:rsidR="008B1906" w:rsidRPr="00B11B1C">
        <w:t>a</w:t>
      </w:r>
      <w:r w:rsidR="003A2D23" w:rsidRPr="00B11B1C">
        <w:t xml:space="preserve">). Fibers inside each tow were clumped together prior to debulking or infusion, which could have lessened the amount of outliers that </w:t>
      </w:r>
      <w:r w:rsidR="00E1369A" w:rsidRPr="00B11B1C">
        <w:t>exist within the sample. The laminate scale, however, shows a clear trend of increasing kurtosis with decreasing amounts of debulking</w:t>
      </w:r>
      <w:r w:rsidR="008B1906" w:rsidRPr="00B11B1C">
        <w:t xml:space="preserve"> (</w:t>
      </w:r>
      <w:r w:rsidR="008B1906" w:rsidRPr="00B11B1C">
        <w:fldChar w:fldCharType="begin"/>
      </w:r>
      <w:r w:rsidR="008B1906" w:rsidRPr="00B11B1C">
        <w:instrText xml:space="preserve"> REF _Ref97804315 \h </w:instrText>
      </w:r>
      <w:r w:rsidR="00B11B1C">
        <w:instrText xml:space="preserve"> \* MERGEFORMAT </w:instrText>
      </w:r>
      <w:r w:rsidR="008B1906" w:rsidRPr="00B11B1C">
        <w:fldChar w:fldCharType="separate"/>
      </w:r>
      <w:r w:rsidR="00531B5C" w:rsidRPr="00B11B1C">
        <w:t xml:space="preserve">Figure </w:t>
      </w:r>
      <w:r w:rsidR="00531B5C" w:rsidRPr="00B11B1C">
        <w:rPr>
          <w:noProof/>
        </w:rPr>
        <w:t>10</w:t>
      </w:r>
      <w:r w:rsidR="008B1906" w:rsidRPr="00B11B1C">
        <w:fldChar w:fldCharType="end"/>
      </w:r>
      <w:r w:rsidR="008B1906" w:rsidRPr="00B11B1C">
        <w:t xml:space="preserve">b). </w:t>
      </w:r>
      <w:r w:rsidR="00E50F44" w:rsidRPr="00B11B1C">
        <w:t>In the laminate sample pictures</w:t>
      </w:r>
      <w:r w:rsidR="00A3603C" w:rsidRPr="00B11B1C">
        <w:t>,</w:t>
      </w:r>
      <w:r w:rsidR="00E50F44" w:rsidRPr="00B11B1C">
        <w:t xml:space="preserve"> many areas of lower volume fraction can be seen around the boundaries of tows. This result suggests that, while debulking </w:t>
      </w:r>
      <w:r w:rsidR="005047FB" w:rsidRPr="00B11B1C">
        <w:t>influences</w:t>
      </w:r>
      <w:r w:rsidR="00E50F44" w:rsidRPr="00B11B1C">
        <w:t xml:space="preserve"> the average local volume fraction for the three samples, it also has noticeable effect on the outlier fibers in each sample. </w:t>
      </w:r>
    </w:p>
    <w:p w14:paraId="679923C7" w14:textId="79E91D0C" w:rsidR="009E0A85" w:rsidRPr="00B11B1C" w:rsidRDefault="00EC5ED0" w:rsidP="00804AD0">
      <w:pPr>
        <w:keepNext/>
        <w:jc w:val="center"/>
      </w:pPr>
      <w:r w:rsidRPr="00B11B1C">
        <w:rPr>
          <w:noProof/>
        </w:rPr>
        <w:drawing>
          <wp:inline distT="0" distB="0" distL="0" distR="0" wp14:anchorId="59EE7705" wp14:editId="28C8F1DB">
            <wp:extent cx="5943600" cy="22510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251075"/>
                    </a:xfrm>
                    <a:prstGeom prst="rect">
                      <a:avLst/>
                    </a:prstGeom>
                    <a:noFill/>
                    <a:ln>
                      <a:noFill/>
                    </a:ln>
                  </pic:spPr>
                </pic:pic>
              </a:graphicData>
            </a:graphic>
          </wp:inline>
        </w:drawing>
      </w:r>
    </w:p>
    <w:p w14:paraId="78FE647A" w14:textId="0E51CA79" w:rsidR="009E0A85" w:rsidRPr="00B11B1C" w:rsidRDefault="009E0A85" w:rsidP="004C136C">
      <w:pPr>
        <w:pStyle w:val="Caption"/>
      </w:pPr>
      <w:bookmarkStart w:id="9" w:name="_Ref97804315"/>
      <w:r w:rsidRPr="00B11B1C">
        <w:t xml:space="preserve">Figure </w:t>
      </w:r>
      <w:r w:rsidRPr="00B11B1C">
        <w:fldChar w:fldCharType="begin"/>
      </w:r>
      <w:r w:rsidRPr="00B11B1C">
        <w:instrText>SEQ Figure \* ARABIC</w:instrText>
      </w:r>
      <w:r w:rsidRPr="00B11B1C">
        <w:fldChar w:fldCharType="separate"/>
      </w:r>
      <w:r w:rsidR="00531B5C" w:rsidRPr="00B11B1C">
        <w:rPr>
          <w:noProof/>
        </w:rPr>
        <w:t>10</w:t>
      </w:r>
      <w:r w:rsidRPr="00B11B1C">
        <w:fldChar w:fldCharType="end"/>
      </w:r>
      <w:bookmarkEnd w:id="9"/>
      <w:r w:rsidRPr="00B11B1C">
        <w:t>. Average kurtosis for the a) tow and b) laminate samples for each laminate</w:t>
      </w:r>
    </w:p>
    <w:p w14:paraId="76049363" w14:textId="2F6BEF60" w:rsidR="009E0A85" w:rsidRPr="00B11B1C" w:rsidRDefault="00E50F44" w:rsidP="00402D60">
      <w:pPr>
        <w:pStyle w:val="Heading3"/>
      </w:pPr>
      <w:r w:rsidRPr="00B11B1C">
        <w:t>Unique Neighbor Change Rate</w:t>
      </w:r>
    </w:p>
    <w:p w14:paraId="4ADE9AD6" w14:textId="70EFCCE1" w:rsidR="00E50F44" w:rsidRPr="00B11B1C" w:rsidRDefault="00E50F44" w:rsidP="00E50F44">
      <w:r w:rsidRPr="00B11B1C">
        <w:t>The unique neighbor change rate</w:t>
      </w:r>
      <w:r w:rsidR="00A3603C" w:rsidRPr="00B11B1C">
        <w:t xml:space="preserve">, </w:t>
      </w:r>
      <m:oMath>
        <m:acc>
          <m:accPr>
            <m:chr m:val="̇"/>
            <m:ctrlPr>
              <w:rPr>
                <w:rFonts w:ascii="Cambria Math" w:hAnsi="Cambria Math"/>
                <w:i/>
              </w:rPr>
            </m:ctrlPr>
          </m:accPr>
          <m:e>
            <m:r>
              <w:rPr>
                <w:rFonts w:ascii="Cambria Math" w:hAnsi="Cambria Math"/>
              </w:rPr>
              <m:t>X</m:t>
            </m:r>
          </m:e>
        </m:acc>
      </m:oMath>
      <w:r w:rsidR="00A3603C" w:rsidRPr="00B11B1C">
        <w:t>,</w:t>
      </w:r>
      <w:r w:rsidRPr="00B11B1C">
        <w:t xml:space="preserve"> is a measure of the number of unique changes in a fiber’s nearest neighbors along the fiber’s length. Unique changes refer to the fact that each neighbor change is only counted once. Straight fibers surrounded by misaligned fibers may have just as many neighbor changes as misaligned fibers surrounded by straight fibers. Reconstructions of the laminate samples, colored by unique neighbor change rate, are shown in </w:t>
      </w:r>
      <w:r w:rsidRPr="00B11B1C">
        <w:fldChar w:fldCharType="begin"/>
      </w:r>
      <w:r w:rsidRPr="00B11B1C">
        <w:instrText xml:space="preserve"> REF _Ref87541294 \h </w:instrText>
      </w:r>
      <w:r w:rsidR="00B11B1C">
        <w:instrText xml:space="preserve"> \* MERGEFORMAT </w:instrText>
      </w:r>
      <w:r w:rsidRPr="00B11B1C">
        <w:fldChar w:fldCharType="separate"/>
      </w:r>
      <w:r w:rsidR="00531B5C" w:rsidRPr="00B11B1C">
        <w:t xml:space="preserve">Figure </w:t>
      </w:r>
      <w:r w:rsidR="00531B5C" w:rsidRPr="00B11B1C">
        <w:rPr>
          <w:noProof/>
        </w:rPr>
        <w:t>11</w:t>
      </w:r>
      <w:r w:rsidRPr="00B11B1C">
        <w:fldChar w:fldCharType="end"/>
      </w:r>
      <w:r w:rsidRPr="00B11B1C">
        <w:t>. These figures show that the unique neighbor change rates are highest at the boundaries between tows. Within the tows</w:t>
      </w:r>
      <w:r w:rsidR="00A3603C" w:rsidRPr="00B11B1C">
        <w:t>,</w:t>
      </w:r>
      <w:r w:rsidRPr="00B11B1C">
        <w:t xml:space="preserve"> the uniformity of the </w:t>
      </w:r>
      <w:r w:rsidR="00B8449E" w:rsidRPr="00B11B1C">
        <w:t xml:space="preserve">unique neighbor change rate for </w:t>
      </w:r>
      <w:r w:rsidR="00365026" w:rsidRPr="00B11B1C">
        <w:t xml:space="preserve">the </w:t>
      </w:r>
      <w:r w:rsidRPr="00B11B1C">
        <w:t>fibers is much higher.</w:t>
      </w:r>
      <w:r w:rsidR="00365026" w:rsidRPr="00B11B1C">
        <w:t xml:space="preserve"> The main reason for this is that the orientation of the tows themselves are not </w:t>
      </w:r>
      <w:r w:rsidR="00EA0F28" w:rsidRPr="00B11B1C">
        <w:t>uniform, but the orientation of the fibers within each tow</w:t>
      </w:r>
      <w:r w:rsidR="00933806" w:rsidRPr="00B11B1C">
        <w:t xml:space="preserve"> is </w:t>
      </w:r>
      <w:r w:rsidR="004C03E5" w:rsidRPr="00B11B1C">
        <w:t>consistent</w:t>
      </w:r>
      <w:r w:rsidR="00C73120" w:rsidRPr="00B11B1C">
        <w:t xml:space="preserve"> as illustrated by the off axiality metric later on</w:t>
      </w:r>
      <w:r w:rsidR="00933806" w:rsidRPr="00B11B1C">
        <w:t xml:space="preserve"> (</w:t>
      </w:r>
      <w:r w:rsidR="00C73120" w:rsidRPr="00B11B1C">
        <w:fldChar w:fldCharType="begin"/>
      </w:r>
      <w:r w:rsidR="00C73120" w:rsidRPr="00B11B1C">
        <w:instrText xml:space="preserve"> REF _Ref87527444 \h </w:instrText>
      </w:r>
      <w:r w:rsidR="00B11B1C">
        <w:instrText xml:space="preserve"> \* MERGEFORMAT </w:instrText>
      </w:r>
      <w:r w:rsidR="00C73120" w:rsidRPr="00B11B1C">
        <w:fldChar w:fldCharType="separate"/>
      </w:r>
      <w:r w:rsidR="00531B5C" w:rsidRPr="00B11B1C">
        <w:t xml:space="preserve">Figure </w:t>
      </w:r>
      <w:r w:rsidR="00531B5C" w:rsidRPr="00B11B1C">
        <w:rPr>
          <w:noProof/>
        </w:rPr>
        <w:t>15</w:t>
      </w:r>
      <w:r w:rsidR="00C73120" w:rsidRPr="00B11B1C">
        <w:fldChar w:fldCharType="end"/>
      </w:r>
      <w:r w:rsidR="00C73120" w:rsidRPr="00B11B1C">
        <w:t>).</w:t>
      </w:r>
    </w:p>
    <w:p w14:paraId="58E6D111" w14:textId="105B0B2B" w:rsidR="00E50F44" w:rsidRPr="00B11B1C" w:rsidRDefault="005076C2" w:rsidP="00B11B1C">
      <w:pPr>
        <w:keepNext/>
      </w:pPr>
      <w:r w:rsidRPr="00B11B1C">
        <w:rPr>
          <w:noProof/>
        </w:rPr>
        <w:lastRenderedPageBreak/>
        <w:drawing>
          <wp:inline distT="0" distB="0" distL="0" distR="0" wp14:anchorId="6169F1A1" wp14:editId="32F03039">
            <wp:extent cx="5943600" cy="34353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435350"/>
                    </a:xfrm>
                    <a:prstGeom prst="rect">
                      <a:avLst/>
                    </a:prstGeom>
                    <a:noFill/>
                    <a:ln>
                      <a:noFill/>
                    </a:ln>
                  </pic:spPr>
                </pic:pic>
              </a:graphicData>
            </a:graphic>
          </wp:inline>
        </w:drawing>
      </w:r>
    </w:p>
    <w:p w14:paraId="29EF6466" w14:textId="31294828" w:rsidR="00E50F44" w:rsidRPr="00B11B1C" w:rsidRDefault="00E50F44" w:rsidP="004C136C">
      <w:pPr>
        <w:pStyle w:val="Caption"/>
      </w:pPr>
      <w:bookmarkStart w:id="10" w:name="_Ref87541294"/>
      <w:r w:rsidRPr="00B11B1C">
        <w:t xml:space="preserve">Figure </w:t>
      </w:r>
      <w:fldSimple w:instr=" SEQ Figure \* ARABIC ">
        <w:r w:rsidR="00531B5C" w:rsidRPr="00B11B1C">
          <w:rPr>
            <w:noProof/>
          </w:rPr>
          <w:t>11</w:t>
        </w:r>
      </w:fldSimple>
      <w:bookmarkEnd w:id="10"/>
      <w:r w:rsidRPr="00B11B1C">
        <w:t>. Select quadrants of the laminate samples showing the fibers colored by unique neighbor change rate</w:t>
      </w:r>
      <w:r w:rsidR="00A3603C" w:rsidRPr="00B11B1C">
        <w:t xml:space="preserve">, </w:t>
      </w:r>
      <m:oMath>
        <m:acc>
          <m:accPr>
            <m:chr m:val="̇"/>
            <m:ctrlPr>
              <w:rPr>
                <w:rFonts w:ascii="Cambria Math" w:hAnsi="Cambria Math"/>
                <w:i/>
              </w:rPr>
            </m:ctrlPr>
          </m:accPr>
          <m:e>
            <m:r>
              <m:rPr>
                <m:sty m:val="bi"/>
              </m:rPr>
              <w:rPr>
                <w:rFonts w:ascii="Cambria Math" w:hAnsi="Cambria Math"/>
              </w:rPr>
              <m:t>X</m:t>
            </m:r>
          </m:e>
        </m:acc>
      </m:oMath>
    </w:p>
    <w:p w14:paraId="5FEB741F" w14:textId="3A93CA0D" w:rsidR="00E50F44" w:rsidRPr="00B11B1C" w:rsidRDefault="00E50F44" w:rsidP="00E50F44">
      <w:r w:rsidRPr="00B11B1C">
        <w:t xml:space="preserve">The </w:t>
      </w:r>
      <w:r w:rsidR="0004223C" w:rsidRPr="00B11B1C">
        <w:t>probability density function for the unique neighbor change rate</w:t>
      </w:r>
      <w:r w:rsidR="00563297" w:rsidRPr="00B11B1C">
        <w:t xml:space="preserve"> was consistent across all tows and laminate samples</w:t>
      </w:r>
      <w:r w:rsidR="007355C9" w:rsidRPr="00B11B1C">
        <w:t>, and across the levels of debulking</w:t>
      </w:r>
      <w:r w:rsidRPr="00B11B1C">
        <w:t xml:space="preserve"> </w:t>
      </w:r>
      <w:r w:rsidR="009B65E9" w:rsidRPr="00B11B1C">
        <w:t>(</w:t>
      </w:r>
      <w:r w:rsidRPr="00B11B1C">
        <w:fldChar w:fldCharType="begin"/>
      </w:r>
      <w:r w:rsidRPr="00B11B1C">
        <w:instrText xml:space="preserve"> REF _Ref77029137 \h </w:instrText>
      </w:r>
      <w:r w:rsidR="00B11B1C">
        <w:instrText xml:space="preserve"> \* MERGEFORMAT </w:instrText>
      </w:r>
      <w:r w:rsidRPr="00B11B1C">
        <w:fldChar w:fldCharType="separate"/>
      </w:r>
      <w:r w:rsidR="00531B5C" w:rsidRPr="00B11B1C">
        <w:t xml:space="preserve">Figure </w:t>
      </w:r>
      <w:r w:rsidR="00531B5C" w:rsidRPr="00B11B1C">
        <w:rPr>
          <w:noProof/>
        </w:rPr>
        <w:t>12</w:t>
      </w:r>
      <w:r w:rsidRPr="00B11B1C">
        <w:fldChar w:fldCharType="end"/>
      </w:r>
      <w:r w:rsidR="009B65E9" w:rsidRPr="00B11B1C">
        <w:t>)</w:t>
      </w:r>
      <w:r w:rsidR="007355C9" w:rsidRPr="00B11B1C">
        <w:t xml:space="preserve">. </w:t>
      </w:r>
      <w:r w:rsidR="006039FE" w:rsidRPr="00B11B1C">
        <w:t>The similarities seen across tows</w:t>
      </w:r>
      <w:r w:rsidR="00253952" w:rsidRPr="00B11B1C">
        <w:t xml:space="preserve"> and laminate samples</w:t>
      </w:r>
      <w:r w:rsidR="006039FE" w:rsidRPr="00B11B1C">
        <w:t xml:space="preserve"> for each level of debulking suggest that the </w:t>
      </w:r>
      <w:r w:rsidR="00E10BEB" w:rsidRPr="00B11B1C">
        <w:t xml:space="preserve">level of entanglement </w:t>
      </w:r>
      <w:r w:rsidR="00253952" w:rsidRPr="00B11B1C">
        <w:t xml:space="preserve">is </w:t>
      </w:r>
      <w:r w:rsidR="002F32A8" w:rsidRPr="00B11B1C">
        <w:t>a</w:t>
      </w:r>
      <w:r w:rsidR="00253952" w:rsidRPr="00B11B1C">
        <w:t xml:space="preserve"> constant throughout </w:t>
      </w:r>
      <w:r w:rsidR="00407643" w:rsidRPr="00B11B1C">
        <w:t>the sample if the population size is at least as large as the smallest tow</w:t>
      </w:r>
      <w:r w:rsidR="00987F24" w:rsidRPr="00B11B1C">
        <w:t xml:space="preserve"> used in this analysis. It is unknown whether the unique neighbor change rate distribution would change significantly at </w:t>
      </w:r>
      <w:r w:rsidR="00F27F2B" w:rsidRPr="00B11B1C">
        <w:t xml:space="preserve">smaller scales, or what this minimum size would be. </w:t>
      </w:r>
    </w:p>
    <w:p w14:paraId="1160B6AB" w14:textId="19EBCD06" w:rsidR="005C5DAC" w:rsidRPr="00B11B1C" w:rsidRDefault="005C5DAC" w:rsidP="00E50F44">
      <w:r w:rsidRPr="00B11B1C">
        <w:t xml:space="preserve">Regarding the level of debulking, the similarity of the unique neighbor change rate </w:t>
      </w:r>
      <w:r w:rsidR="00767F7F" w:rsidRPr="00B11B1C">
        <w:t xml:space="preserve">across all levels of debulking suggests that the entanglement (as measured by the unique neighbor change rate) </w:t>
      </w:r>
      <w:r w:rsidR="00816E71" w:rsidRPr="00B11B1C">
        <w:t>is unaffected by the level of debulking applied to the fibers.</w:t>
      </w:r>
      <w:r w:rsidR="00027CAB" w:rsidRPr="00B11B1C">
        <w:t xml:space="preserve"> Given this finding and the finding that local volume fraction is </w:t>
      </w:r>
      <w:r w:rsidR="0048517F" w:rsidRPr="00B11B1C">
        <w:t>affected by the level of debulking suggests that relative fiber positions, i.e. a fiber’s location relative to it’s neighbors, remains</w:t>
      </w:r>
      <w:r w:rsidR="00716DCD" w:rsidRPr="00B11B1C">
        <w:t xml:space="preserve"> unaffected while the spatial distance between neighbors decreases as a function of debulking. </w:t>
      </w:r>
    </w:p>
    <w:p w14:paraId="66D2A5A5" w14:textId="685BB7B0" w:rsidR="00E50F44" w:rsidRPr="00B11B1C" w:rsidRDefault="005B0086" w:rsidP="00713879">
      <w:pPr>
        <w:pStyle w:val="Heading2"/>
        <w:jc w:val="center"/>
      </w:pPr>
      <w:r w:rsidRPr="00B11B1C">
        <w:rPr>
          <w:noProof/>
        </w:rPr>
        <w:lastRenderedPageBreak/>
        <mc:AlternateContent>
          <mc:Choice Requires="wps">
            <w:drawing>
              <wp:anchor distT="0" distB="0" distL="114300" distR="114300" simplePos="0" relativeHeight="251655168" behindDoc="0" locked="0" layoutInCell="1" allowOverlap="1" wp14:anchorId="7E8DFAD7" wp14:editId="1CCBF1BC">
                <wp:simplePos x="0" y="0"/>
                <wp:positionH relativeFrom="column">
                  <wp:posOffset>3086100</wp:posOffset>
                </wp:positionH>
                <wp:positionV relativeFrom="paragraph">
                  <wp:posOffset>3238500</wp:posOffset>
                </wp:positionV>
                <wp:extent cx="914400" cy="32385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46940967" w14:textId="77777777" w:rsidR="00CE32C5" w:rsidRPr="002500A1" w:rsidRDefault="00CE32C5" w:rsidP="00E50F44">
                            <w:pPr>
                              <w:rPr>
                                <w:rFonts w:ascii="Arial" w:hAnsi="Arial" w:cs="Arial"/>
                                <w:sz w:val="24"/>
                                <w:szCs w:val="28"/>
                              </w:rPr>
                            </w:pPr>
                            <w:r>
                              <w:rPr>
                                <w:rFonts w:ascii="Arial" w:hAnsi="Arial" w:cs="Arial"/>
                                <w:sz w:val="24"/>
                                <w:szCs w:val="28"/>
                              </w:rPr>
                              <w:t>c</w:t>
                            </w:r>
                            <w:r w:rsidRPr="002500A1">
                              <w:rPr>
                                <w:rFonts w:ascii="Arial" w:hAnsi="Arial" w:cs="Arial"/>
                                <w:sz w:val="24"/>
                                <w:szCs w:val="2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E8DFAD7" id="_x0000_t202" coordsize="21600,21600" o:spt="202" path="m,l,21600r21600,l21600,xe">
                <v:stroke joinstyle="miter"/>
                <v:path gradientshapeok="t" o:connecttype="rect"/>
              </v:shapetype>
              <v:shape id="Text Box 33" o:spid="_x0000_s1026" type="#_x0000_t202" style="position:absolute;left:0;text-align:left;margin-left:243pt;margin-top:255pt;width:1in;height:25.5pt;z-index:251655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" filled="f" stroked="f" strokeweight=".5pt">
                <v:textbox>
                  <w:txbxContent>
                    <w:p w14:paraId="46940967" w14:textId="77777777" w:rsidR="00CE32C5" w:rsidRPr="002500A1" w:rsidRDefault="00CE32C5" w:rsidP="00E50F44">
                      <w:pPr>
                        <w:rPr>
                          <w:rFonts w:ascii="Arial" w:hAnsi="Arial" w:cs="Arial"/>
                          <w:sz w:val="24"/>
                          <w:szCs w:val="28"/>
                        </w:rPr>
                      </w:pPr>
                      <w:r>
                        <w:rPr>
                          <w:rFonts w:ascii="Arial" w:hAnsi="Arial" w:cs="Arial"/>
                          <w:sz w:val="24"/>
                          <w:szCs w:val="28"/>
                        </w:rPr>
                        <w:t>c</w:t>
                      </w:r>
                      <w:r w:rsidRPr="002500A1">
                        <w:rPr>
                          <w:rFonts w:ascii="Arial" w:hAnsi="Arial" w:cs="Arial"/>
                          <w:sz w:val="24"/>
                          <w:szCs w:val="28"/>
                        </w:rPr>
                        <w:t>)</w:t>
                      </w:r>
                    </w:p>
                  </w:txbxContent>
                </v:textbox>
              </v:shape>
            </w:pict>
          </mc:Fallback>
        </mc:AlternateContent>
      </w:r>
      <w:r w:rsidRPr="00B11B1C">
        <w:rPr>
          <w:noProof/>
        </w:rPr>
        <mc:AlternateContent>
          <mc:Choice Requires="wps">
            <w:drawing>
              <wp:anchor distT="0" distB="0" distL="114300" distR="114300" simplePos="0" relativeHeight="251659264" behindDoc="0" locked="0" layoutInCell="1" allowOverlap="1" wp14:anchorId="6E0BEDB7" wp14:editId="4468E6CB">
                <wp:simplePos x="0" y="0"/>
                <wp:positionH relativeFrom="column">
                  <wp:posOffset>752475</wp:posOffset>
                </wp:positionH>
                <wp:positionV relativeFrom="paragraph">
                  <wp:posOffset>3257550</wp:posOffset>
                </wp:positionV>
                <wp:extent cx="914400" cy="3238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37129A30" w14:textId="77777777" w:rsidR="00CE32C5" w:rsidRPr="002500A1" w:rsidRDefault="00CE32C5" w:rsidP="00E50F44">
                            <w:pPr>
                              <w:rPr>
                                <w:rFonts w:ascii="Arial" w:hAnsi="Arial" w:cs="Arial"/>
                                <w:sz w:val="24"/>
                                <w:szCs w:val="28"/>
                              </w:rPr>
                            </w:pPr>
                            <w:r>
                              <w:rPr>
                                <w:rFonts w:ascii="Arial" w:hAnsi="Arial" w:cs="Arial"/>
                                <w:sz w:val="24"/>
                                <w:szCs w:val="28"/>
                              </w:rPr>
                              <w:t>d</w:t>
                            </w:r>
                            <w:r w:rsidRPr="002500A1">
                              <w:rPr>
                                <w:rFonts w:ascii="Arial" w:hAnsi="Arial" w:cs="Arial"/>
                                <w:sz w:val="24"/>
                                <w:szCs w:val="2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0BEDB7" id="Text Box 34" o:spid="_x0000_s1027" type="#_x0000_t202" style="position:absolute;left:0;text-align:left;margin-left:59.25pt;margin-top:256.5pt;width:1in;height:25.5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" filled="f" stroked="f" strokeweight=".5pt">
                <v:textbox>
                  <w:txbxContent>
                    <w:p w14:paraId="37129A30" w14:textId="77777777" w:rsidR="00CE32C5" w:rsidRPr="002500A1" w:rsidRDefault="00CE32C5" w:rsidP="00E50F44">
                      <w:pPr>
                        <w:rPr>
                          <w:rFonts w:ascii="Arial" w:hAnsi="Arial" w:cs="Arial"/>
                          <w:sz w:val="24"/>
                          <w:szCs w:val="28"/>
                        </w:rPr>
                      </w:pPr>
                      <w:r>
                        <w:rPr>
                          <w:rFonts w:ascii="Arial" w:hAnsi="Arial" w:cs="Arial"/>
                          <w:sz w:val="24"/>
                          <w:szCs w:val="28"/>
                        </w:rPr>
                        <w:t>d</w:t>
                      </w:r>
                      <w:r w:rsidRPr="002500A1">
                        <w:rPr>
                          <w:rFonts w:ascii="Arial" w:hAnsi="Arial" w:cs="Arial"/>
                          <w:sz w:val="24"/>
                          <w:szCs w:val="28"/>
                        </w:rPr>
                        <w:t>)</w:t>
                      </w:r>
                    </w:p>
                  </w:txbxContent>
                </v:textbox>
              </v:shape>
            </w:pict>
          </mc:Fallback>
        </mc:AlternateContent>
      </w:r>
      <w:r w:rsidRPr="00B11B1C">
        <w:rPr>
          <w:noProof/>
        </w:rPr>
        <mc:AlternateContent>
          <mc:Choice Requires="wps">
            <w:drawing>
              <wp:anchor distT="0" distB="0" distL="114300" distR="114300" simplePos="0" relativeHeight="251651072" behindDoc="0" locked="0" layoutInCell="1" allowOverlap="1" wp14:anchorId="63210A34" wp14:editId="75CE2E89">
                <wp:simplePos x="0" y="0"/>
                <wp:positionH relativeFrom="column">
                  <wp:posOffset>3095625</wp:posOffset>
                </wp:positionH>
                <wp:positionV relativeFrom="paragraph">
                  <wp:posOffset>1381125</wp:posOffset>
                </wp:positionV>
                <wp:extent cx="914400" cy="3238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1113A2AC" w14:textId="77777777" w:rsidR="00CE32C5" w:rsidRPr="002500A1" w:rsidRDefault="00CE32C5" w:rsidP="00E50F44">
                            <w:pPr>
                              <w:rPr>
                                <w:rFonts w:ascii="Arial" w:hAnsi="Arial" w:cs="Arial"/>
                                <w:sz w:val="24"/>
                                <w:szCs w:val="28"/>
                              </w:rPr>
                            </w:pPr>
                            <w:r>
                              <w:rPr>
                                <w:rFonts w:ascii="Arial" w:hAnsi="Arial" w:cs="Arial"/>
                                <w:sz w:val="24"/>
                                <w:szCs w:val="28"/>
                              </w:rPr>
                              <w:t>b</w:t>
                            </w:r>
                            <w:r w:rsidRPr="002500A1">
                              <w:rPr>
                                <w:rFonts w:ascii="Arial" w:hAnsi="Arial" w:cs="Arial"/>
                                <w:sz w:val="24"/>
                                <w:szCs w:val="2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210A34" id="Text Box 32" o:spid="_x0000_s1028" type="#_x0000_t202" style="position:absolute;left:0;text-align:left;margin-left:243.75pt;margin-top:108.75pt;width:1in;height:25.5pt;z-index:251651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" filled="f" stroked="f" strokeweight=".5pt">
                <v:textbox>
                  <w:txbxContent>
                    <w:p w14:paraId="1113A2AC" w14:textId="77777777" w:rsidR="00CE32C5" w:rsidRPr="002500A1" w:rsidRDefault="00CE32C5" w:rsidP="00E50F44">
                      <w:pPr>
                        <w:rPr>
                          <w:rFonts w:ascii="Arial" w:hAnsi="Arial" w:cs="Arial"/>
                          <w:sz w:val="24"/>
                          <w:szCs w:val="28"/>
                        </w:rPr>
                      </w:pPr>
                      <w:r>
                        <w:rPr>
                          <w:rFonts w:ascii="Arial" w:hAnsi="Arial" w:cs="Arial"/>
                          <w:sz w:val="24"/>
                          <w:szCs w:val="28"/>
                        </w:rPr>
                        <w:t>b</w:t>
                      </w:r>
                      <w:r w:rsidRPr="002500A1">
                        <w:rPr>
                          <w:rFonts w:ascii="Arial" w:hAnsi="Arial" w:cs="Arial"/>
                          <w:sz w:val="24"/>
                          <w:szCs w:val="28"/>
                        </w:rPr>
                        <w:t>)</w:t>
                      </w:r>
                    </w:p>
                  </w:txbxContent>
                </v:textbox>
              </v:shape>
            </w:pict>
          </mc:Fallback>
        </mc:AlternateContent>
      </w:r>
      <w:r w:rsidRPr="00B11B1C">
        <w:rPr>
          <w:noProof/>
        </w:rPr>
        <mc:AlternateContent>
          <mc:Choice Requires="wps">
            <w:drawing>
              <wp:anchor distT="0" distB="0" distL="114300" distR="114300" simplePos="0" relativeHeight="251646976" behindDoc="0" locked="0" layoutInCell="1" allowOverlap="1" wp14:anchorId="352D393F" wp14:editId="514C914A">
                <wp:simplePos x="0" y="0"/>
                <wp:positionH relativeFrom="column">
                  <wp:posOffset>733425</wp:posOffset>
                </wp:positionH>
                <wp:positionV relativeFrom="paragraph">
                  <wp:posOffset>1381125</wp:posOffset>
                </wp:positionV>
                <wp:extent cx="914400" cy="3238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73C6CECB" w14:textId="77777777" w:rsidR="00CE32C5" w:rsidRPr="002500A1" w:rsidRDefault="00CE32C5" w:rsidP="00E50F44">
                            <w:pPr>
                              <w:rPr>
                                <w:rFonts w:ascii="Arial" w:hAnsi="Arial" w:cs="Arial"/>
                                <w:sz w:val="24"/>
                                <w:szCs w:val="28"/>
                              </w:rPr>
                            </w:pPr>
                            <w:r w:rsidRPr="002500A1">
                              <w:rPr>
                                <w:rFonts w:ascii="Arial" w:hAnsi="Arial" w:cs="Arial"/>
                                <w:sz w:val="24"/>
                                <w:szCs w:val="28"/>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D393F" id="Text Box 31" o:spid="_x0000_s1029" type="#_x0000_t202" style="position:absolute;left:0;text-align:left;margin-left:57.75pt;margin-top:108.75pt;width:1in;height:25.5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" filled="f" stroked="f" strokeweight=".5pt">
                <v:textbox>
                  <w:txbxContent>
                    <w:p w14:paraId="73C6CECB" w14:textId="77777777" w:rsidR="00CE32C5" w:rsidRPr="002500A1" w:rsidRDefault="00CE32C5" w:rsidP="00E50F44">
                      <w:pPr>
                        <w:rPr>
                          <w:rFonts w:ascii="Arial" w:hAnsi="Arial" w:cs="Arial"/>
                          <w:sz w:val="24"/>
                          <w:szCs w:val="28"/>
                        </w:rPr>
                      </w:pPr>
                      <w:r w:rsidRPr="002500A1">
                        <w:rPr>
                          <w:rFonts w:ascii="Arial" w:hAnsi="Arial" w:cs="Arial"/>
                          <w:sz w:val="24"/>
                          <w:szCs w:val="28"/>
                        </w:rPr>
                        <w:t>a)</w:t>
                      </w:r>
                    </w:p>
                  </w:txbxContent>
                </v:textbox>
              </v:shape>
            </w:pict>
          </mc:Fallback>
        </mc:AlternateContent>
      </w:r>
      <w:r w:rsidR="00E50F44" w:rsidRPr="00B11B1C">
        <w:rPr>
          <w:noProof/>
        </w:rPr>
        <w:drawing>
          <wp:inline distT="0" distB="0" distL="0" distR="0" wp14:anchorId="6CA62ACD" wp14:editId="3DC4D9EF">
            <wp:extent cx="4533900" cy="364943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39068" cy="3653591"/>
                    </a:xfrm>
                    <a:prstGeom prst="rect">
                      <a:avLst/>
                    </a:prstGeom>
                    <a:noFill/>
                    <a:ln>
                      <a:noFill/>
                    </a:ln>
                  </pic:spPr>
                </pic:pic>
              </a:graphicData>
            </a:graphic>
          </wp:inline>
        </w:drawing>
      </w:r>
    </w:p>
    <w:p w14:paraId="3A29A9B9" w14:textId="68917BC2" w:rsidR="00E50F44" w:rsidRPr="00B11B1C" w:rsidRDefault="00E50F44" w:rsidP="004C136C">
      <w:pPr>
        <w:pStyle w:val="Caption"/>
      </w:pPr>
      <w:bookmarkStart w:id="11" w:name="_Ref77029137"/>
      <w:r w:rsidRPr="00B11B1C">
        <w:t xml:space="preserve">Figure </w:t>
      </w:r>
      <w:r w:rsidRPr="00B11B1C">
        <w:fldChar w:fldCharType="begin"/>
      </w:r>
      <w:r w:rsidRPr="00B11B1C">
        <w:instrText>SEQ Figure \* ARABIC</w:instrText>
      </w:r>
      <w:r w:rsidRPr="00B11B1C">
        <w:fldChar w:fldCharType="separate"/>
      </w:r>
      <w:r w:rsidR="00531B5C" w:rsidRPr="00B11B1C">
        <w:rPr>
          <w:noProof/>
        </w:rPr>
        <w:t>12</w:t>
      </w:r>
      <w:r w:rsidRPr="00B11B1C">
        <w:fldChar w:fldCharType="end"/>
      </w:r>
      <w:bookmarkEnd w:id="11"/>
      <w:r w:rsidRPr="00B11B1C">
        <w:t xml:space="preserve">. Unique neighbor change rate, </w:t>
      </w:r>
      <m:oMath>
        <m:acc>
          <m:accPr>
            <m:chr m:val="̇"/>
            <m:ctrlPr>
              <w:rPr>
                <w:rFonts w:ascii="Cambria Math" w:hAnsi="Cambria Math"/>
                <w:i/>
              </w:rPr>
            </m:ctrlPr>
          </m:accPr>
          <m:e>
            <m:r>
              <m:rPr>
                <m:sty m:val="bi"/>
              </m:rPr>
              <w:rPr>
                <w:rFonts w:ascii="Cambria Math" w:hAnsi="Cambria Math"/>
              </w:rPr>
              <m:t>X</m:t>
            </m:r>
          </m:e>
        </m:acc>
      </m:oMath>
      <w:r w:rsidRPr="00B11B1C">
        <w:t>, distributions of a) high debulk tows, b) low debulk tows, c) benchmark tows, and d) laminate samples from each laminate</w:t>
      </w:r>
    </w:p>
    <w:p w14:paraId="6B60DE91" w14:textId="52BB275E" w:rsidR="00E50F44" w:rsidRPr="00B11B1C" w:rsidRDefault="00E50F44" w:rsidP="00E50F44">
      <w:r w:rsidRPr="00B11B1C">
        <w:t xml:space="preserve">The average values of the unique neighbor change rate are shown in </w:t>
      </w:r>
      <w:r w:rsidRPr="00B11B1C">
        <w:fldChar w:fldCharType="begin"/>
      </w:r>
      <w:r w:rsidRPr="00B11B1C">
        <w:instrText xml:space="preserve"> REF _Ref77162537 \h </w:instrText>
      </w:r>
      <w:r w:rsidR="00B11B1C">
        <w:instrText xml:space="preserve"> \* MERGEFORMAT </w:instrText>
      </w:r>
      <w:r w:rsidRPr="00B11B1C">
        <w:fldChar w:fldCharType="separate"/>
      </w:r>
      <w:r w:rsidR="00531B5C" w:rsidRPr="00B11B1C">
        <w:t xml:space="preserve">Figure </w:t>
      </w:r>
      <w:r w:rsidR="00531B5C" w:rsidRPr="00B11B1C">
        <w:rPr>
          <w:noProof/>
        </w:rPr>
        <w:t>13</w:t>
      </w:r>
      <w:r w:rsidRPr="00B11B1C">
        <w:fldChar w:fldCharType="end"/>
      </w:r>
      <w:r w:rsidRPr="00B11B1C">
        <w:t>, with standard deviations. Across each layer the tows seem to show no clear trend in terms of the debulking level versus the number of neighbor changes. The standard deviations for each sample are very large when compared to the averages, and overlap greatly from tow to tow.</w:t>
      </w:r>
    </w:p>
    <w:p w14:paraId="7E476200" w14:textId="0CEC33C3" w:rsidR="00E50F44" w:rsidRPr="00B11B1C" w:rsidRDefault="00CA785F" w:rsidP="00E50F44">
      <w:pPr>
        <w:keepNext/>
        <w:jc w:val="center"/>
      </w:pPr>
      <w:r w:rsidRPr="00B11B1C">
        <w:rPr>
          <w:noProof/>
        </w:rPr>
        <w:drawing>
          <wp:inline distT="0" distB="0" distL="0" distR="0" wp14:anchorId="1692BBFA" wp14:editId="369A9EA9">
            <wp:extent cx="5943600" cy="22739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2273935"/>
                    </a:xfrm>
                    <a:prstGeom prst="rect">
                      <a:avLst/>
                    </a:prstGeom>
                    <a:noFill/>
                    <a:ln>
                      <a:noFill/>
                    </a:ln>
                  </pic:spPr>
                </pic:pic>
              </a:graphicData>
            </a:graphic>
          </wp:inline>
        </w:drawing>
      </w:r>
    </w:p>
    <w:p w14:paraId="138787A0" w14:textId="1E739DDC" w:rsidR="00E50F44" w:rsidRPr="00B11B1C" w:rsidRDefault="00E50F44" w:rsidP="004C136C">
      <w:pPr>
        <w:pStyle w:val="Caption"/>
      </w:pPr>
      <w:bookmarkStart w:id="12" w:name="_Ref77162537"/>
      <w:r w:rsidRPr="00B11B1C">
        <w:t xml:space="preserve">Figure </w:t>
      </w:r>
      <w:r w:rsidRPr="00B11B1C">
        <w:fldChar w:fldCharType="begin"/>
      </w:r>
      <w:r w:rsidRPr="00B11B1C">
        <w:instrText>SEQ Figure \* ARABIC</w:instrText>
      </w:r>
      <w:r w:rsidRPr="00B11B1C">
        <w:fldChar w:fldCharType="separate"/>
      </w:r>
      <w:r w:rsidR="00531B5C" w:rsidRPr="00B11B1C">
        <w:rPr>
          <w:noProof/>
        </w:rPr>
        <w:t>13</w:t>
      </w:r>
      <w:r w:rsidRPr="00B11B1C">
        <w:fldChar w:fldCharType="end"/>
      </w:r>
      <w:bookmarkEnd w:id="12"/>
      <w:r w:rsidRPr="00B11B1C">
        <w:t>. Average unique neighbor change</w:t>
      </w:r>
      <w:r w:rsidR="00A3603C" w:rsidRPr="00B11B1C">
        <w:t xml:space="preserve">, </w:t>
      </w:r>
      <m:oMath>
        <m:acc>
          <m:accPr>
            <m:chr m:val="̇"/>
            <m:ctrlPr>
              <w:rPr>
                <w:rFonts w:ascii="Cambria Math" w:hAnsi="Cambria Math"/>
                <w:i/>
              </w:rPr>
            </m:ctrlPr>
          </m:accPr>
          <m:e>
            <m:r>
              <m:rPr>
                <m:sty m:val="bi"/>
              </m:rPr>
              <w:rPr>
                <w:rFonts w:ascii="Cambria Math" w:hAnsi="Cambria Math"/>
              </w:rPr>
              <m:t>X</m:t>
            </m:r>
          </m:e>
        </m:acc>
      </m:oMath>
      <w:r w:rsidR="00A3603C" w:rsidRPr="00B11B1C">
        <w:t>,</w:t>
      </w:r>
      <w:r w:rsidRPr="00B11B1C">
        <w:t xml:space="preserve"> rate values for a) tows and b) laminate samples, in each laminate, with standard deviations shown</w:t>
      </w:r>
    </w:p>
    <w:p w14:paraId="11EA4ED2" w14:textId="70E22866" w:rsidR="009B65E9" w:rsidRPr="00B11B1C" w:rsidRDefault="009B65E9" w:rsidP="009B65E9">
      <w:r w:rsidRPr="00B11B1C">
        <w:t xml:space="preserve">The </w:t>
      </w:r>
      <w:r w:rsidR="006D4CC4" w:rsidRPr="00B11B1C">
        <w:t>kurtosis</w:t>
      </w:r>
      <w:r w:rsidRPr="00B11B1C">
        <w:t xml:space="preserve"> for the UNCR was much higher than for the fiber content (</w:t>
      </w:r>
      <w:r w:rsidR="006D4CC4" w:rsidRPr="00B11B1C">
        <w:fldChar w:fldCharType="begin"/>
      </w:r>
      <w:r w:rsidR="006D4CC4" w:rsidRPr="00B11B1C">
        <w:instrText xml:space="preserve"> REF _Ref97809362 \h </w:instrText>
      </w:r>
      <w:r w:rsidR="00B11B1C">
        <w:instrText xml:space="preserve"> \* MERGEFORMAT </w:instrText>
      </w:r>
      <w:r w:rsidR="006D4CC4" w:rsidRPr="00B11B1C">
        <w:fldChar w:fldCharType="separate"/>
      </w:r>
      <w:r w:rsidR="00531B5C" w:rsidRPr="00B11B1C">
        <w:rPr>
          <w:noProof/>
        </w:rPr>
        <w:t xml:space="preserve"> </w:t>
      </w:r>
      <w:r w:rsidR="00531B5C" w:rsidRPr="00B11B1C">
        <w:t xml:space="preserve">Figure </w:t>
      </w:r>
      <w:r w:rsidR="00531B5C" w:rsidRPr="00B11B1C">
        <w:rPr>
          <w:noProof/>
        </w:rPr>
        <w:t>14</w:t>
      </w:r>
      <w:r w:rsidR="006D4CC4" w:rsidRPr="00B11B1C">
        <w:fldChar w:fldCharType="end"/>
      </w:r>
      <w:r w:rsidRPr="00B11B1C">
        <w:t xml:space="preserve">). Unlike the local volume fraction, which is bounded by the maximum and minimum fiber density of the sample, the UNCR is controlled by the relative orientation of each fiber to its nearest neighbors. This means that the upper bound of the UNCR metric is not as physically restricted as the local volume fraction (which is restricted to ~0.9, </w:t>
      </w:r>
      <w:r w:rsidRPr="00B11B1C">
        <w:lastRenderedPageBreak/>
        <w:t xml:space="preserve">in the tightest fiber packing possible). It is feasible that a fiber’s path could cut across many different fibers from the beginning to the end of the scanned section. This permits outlier fibers to be more numerous, which could explain the increased number of outliers. The absence of any relationship between debulking magnitude and UNCR suggests that debulking does not change the entanglement of the fibers, but instead increases the density while holding the entanglement the same. </w:t>
      </w:r>
    </w:p>
    <w:p w14:paraId="03E26436" w14:textId="51075861" w:rsidR="00F11380" w:rsidRPr="00B11B1C" w:rsidRDefault="00F11380" w:rsidP="009B65E9">
      <w:r w:rsidRPr="00B11B1C">
        <w:rPr>
          <w:noProof/>
        </w:rPr>
        <w:drawing>
          <wp:inline distT="0" distB="0" distL="0" distR="0" wp14:anchorId="5CAF7760" wp14:editId="7C9D288D">
            <wp:extent cx="5943600" cy="225996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2259965"/>
                    </a:xfrm>
                    <a:prstGeom prst="rect">
                      <a:avLst/>
                    </a:prstGeom>
                    <a:noFill/>
                    <a:ln>
                      <a:noFill/>
                    </a:ln>
                  </pic:spPr>
                </pic:pic>
              </a:graphicData>
            </a:graphic>
          </wp:inline>
        </w:drawing>
      </w:r>
    </w:p>
    <w:p w14:paraId="516AAEB6" w14:textId="76AE36DB" w:rsidR="00E50F44" w:rsidRPr="00B11B1C" w:rsidRDefault="00E50F44" w:rsidP="004C136C">
      <w:pPr>
        <w:pStyle w:val="Caption"/>
      </w:pPr>
      <w:bookmarkStart w:id="13" w:name="_Ref97809362"/>
      <w:r w:rsidRPr="00B11B1C">
        <w:rPr>
          <w:noProof/>
        </w:rPr>
        <w:t xml:space="preserve"> </w:t>
      </w:r>
      <w:bookmarkStart w:id="14" w:name="_Ref89942022"/>
      <w:r w:rsidRPr="00B11B1C">
        <w:t xml:space="preserve">Figure </w:t>
      </w:r>
      <w:r w:rsidRPr="00B11B1C">
        <w:fldChar w:fldCharType="begin"/>
      </w:r>
      <w:r w:rsidRPr="00B11B1C">
        <w:instrText>SEQ Figure \* ARABIC</w:instrText>
      </w:r>
      <w:r w:rsidRPr="00B11B1C">
        <w:fldChar w:fldCharType="separate"/>
      </w:r>
      <w:r w:rsidR="00531B5C" w:rsidRPr="00B11B1C">
        <w:rPr>
          <w:noProof/>
        </w:rPr>
        <w:t>14</w:t>
      </w:r>
      <w:r w:rsidRPr="00B11B1C">
        <w:fldChar w:fldCharType="end"/>
      </w:r>
      <w:bookmarkEnd w:id="13"/>
      <w:bookmarkEnd w:id="14"/>
      <w:r w:rsidRPr="00B11B1C">
        <w:t>. Kurtosis and average kurtosis of unique neighbor change rate</w:t>
      </w:r>
      <w:r w:rsidR="00A3603C" w:rsidRPr="00B11B1C">
        <w:t xml:space="preserve">, </w:t>
      </w:r>
      <m:oMath>
        <m:acc>
          <m:accPr>
            <m:chr m:val="̇"/>
            <m:ctrlPr>
              <w:rPr>
                <w:rFonts w:ascii="Cambria Math" w:hAnsi="Cambria Math"/>
                <w:i/>
              </w:rPr>
            </m:ctrlPr>
          </m:accPr>
          <m:e>
            <m:r>
              <m:rPr>
                <m:sty m:val="bi"/>
              </m:rPr>
              <w:rPr>
                <w:rFonts w:ascii="Cambria Math" w:hAnsi="Cambria Math"/>
              </w:rPr>
              <m:t>X</m:t>
            </m:r>
          </m:e>
        </m:acc>
      </m:oMath>
      <w:r w:rsidR="00A3603C" w:rsidRPr="00B11B1C">
        <w:t>,</w:t>
      </w:r>
      <w:r w:rsidRPr="00B11B1C">
        <w:t xml:space="preserve"> for a) tow and b) laminate scale samples showing no clear trend between the entanglement of the fibers and the level of debulking</w:t>
      </w:r>
    </w:p>
    <w:p w14:paraId="5ACB0286" w14:textId="1B0B3330" w:rsidR="00E50F44" w:rsidRPr="00B11B1C" w:rsidRDefault="00557DE5" w:rsidP="00402D60">
      <w:pPr>
        <w:pStyle w:val="Heading3"/>
      </w:pPr>
      <w:r w:rsidRPr="00B11B1C">
        <w:t>Off Axiality</w:t>
      </w:r>
    </w:p>
    <w:p w14:paraId="2598EBD3" w14:textId="2F34B66F" w:rsidR="00557DE5" w:rsidRPr="00B11B1C" w:rsidRDefault="00557DE5" w:rsidP="00557DE5">
      <w:r w:rsidRPr="00B11B1C">
        <w:t>The off-axiality of a fiber in a laminate is a measure of that fiber’s deviation from the intended (0</w:t>
      </w:r>
      <w:r w:rsidRPr="00B11B1C">
        <w:rPr>
          <w:vertAlign w:val="superscript"/>
        </w:rPr>
        <w:t>o</w:t>
      </w:r>
      <w:r w:rsidRPr="00B11B1C">
        <w:t xml:space="preserve"> for the debulk samples) direction for the layer it belongs to. Coloring the fibers in 3D using the values for off-axiality shows that the laminate samples in all three plates are not uniform in their orientation (</w:t>
      </w:r>
      <w:r w:rsidRPr="00B11B1C">
        <w:fldChar w:fldCharType="begin"/>
      </w:r>
      <w:r w:rsidRPr="00B11B1C">
        <w:instrText xml:space="preserve"> REF _Ref87527444 \h </w:instrText>
      </w:r>
      <w:r w:rsidR="00B11B1C">
        <w:instrText xml:space="preserve"> \* MERGEFORMAT </w:instrText>
      </w:r>
      <w:r w:rsidRPr="00B11B1C">
        <w:fldChar w:fldCharType="separate"/>
      </w:r>
      <w:r w:rsidR="00531B5C" w:rsidRPr="00B11B1C">
        <w:t xml:space="preserve">Figure </w:t>
      </w:r>
      <w:r w:rsidR="00531B5C" w:rsidRPr="00B11B1C">
        <w:rPr>
          <w:noProof/>
        </w:rPr>
        <w:t>15</w:t>
      </w:r>
      <w:r w:rsidRPr="00B11B1C">
        <w:fldChar w:fldCharType="end"/>
      </w:r>
      <w:r w:rsidRPr="00B11B1C">
        <w:t xml:space="preserve">). </w:t>
      </w:r>
    </w:p>
    <w:p w14:paraId="769BB938" w14:textId="77777777" w:rsidR="00557DE5" w:rsidRPr="00B11B1C" w:rsidRDefault="00557DE5" w:rsidP="00557DE5">
      <w:pPr>
        <w:keepNext/>
      </w:pPr>
      <w:r w:rsidRPr="00B11B1C">
        <w:rPr>
          <w:noProof/>
        </w:rPr>
        <w:lastRenderedPageBreak/>
        <w:drawing>
          <wp:inline distT="0" distB="0" distL="0" distR="0" wp14:anchorId="23945990" wp14:editId="0D3CB1B2">
            <wp:extent cx="5943600" cy="34150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415030"/>
                    </a:xfrm>
                    <a:prstGeom prst="rect">
                      <a:avLst/>
                    </a:prstGeom>
                    <a:noFill/>
                    <a:ln>
                      <a:noFill/>
                    </a:ln>
                  </pic:spPr>
                </pic:pic>
              </a:graphicData>
            </a:graphic>
          </wp:inline>
        </w:drawing>
      </w:r>
    </w:p>
    <w:p w14:paraId="4F1D8E32" w14:textId="2D29AAA6" w:rsidR="00557DE5" w:rsidRPr="00B11B1C" w:rsidRDefault="00557DE5" w:rsidP="004C136C">
      <w:pPr>
        <w:pStyle w:val="Caption"/>
      </w:pPr>
      <w:bookmarkStart w:id="15" w:name="_Ref87527444"/>
      <w:r w:rsidRPr="00B11B1C">
        <w:t xml:space="preserve">Figure </w:t>
      </w:r>
      <w:fldSimple w:instr=" SEQ Figure \* ARABIC ">
        <w:r w:rsidR="00531B5C" w:rsidRPr="00B11B1C">
          <w:rPr>
            <w:noProof/>
          </w:rPr>
          <w:t>15</w:t>
        </w:r>
      </w:fldSimple>
      <w:bookmarkEnd w:id="15"/>
      <w:r w:rsidRPr="00B11B1C">
        <w:t>. Select quadrants of the laminate samples showing the fibers colored by off-axiality</w:t>
      </w:r>
      <w:r w:rsidR="00CF1C8D" w:rsidRPr="00B11B1C">
        <w:t xml:space="preserve"> in both the xz and xy plane</w:t>
      </w:r>
      <w:r w:rsidRPr="00B11B1C">
        <w:t>, with unusually high values (outliers) colored in black. Tow boundaries can be spotted by looking at the sharp gradients in off- axiality values</w:t>
      </w:r>
    </w:p>
    <w:p w14:paraId="3BE4E52A" w14:textId="3D350A78" w:rsidR="00557DE5" w:rsidRPr="00B11B1C" w:rsidRDefault="00557DE5" w:rsidP="00557DE5">
      <w:r w:rsidRPr="00B11B1C">
        <w:t>In many cases, clear boundaries between tows and even plies can be seen due to the sharp gradients seen in the sample. This shows that the tows in each sample are not necessarily oriented the same way in a given plane. Individual plies also appear to orient themselves differently from other plies.</w:t>
      </w:r>
      <w:r w:rsidR="00047701" w:rsidRPr="00B11B1C">
        <w:t xml:space="preserve"> </w:t>
      </w:r>
      <w:r w:rsidR="004C03E5" w:rsidRPr="00B11B1C">
        <w:t xml:space="preserve">It is possible that, </w:t>
      </w:r>
      <w:r w:rsidR="00060708" w:rsidRPr="00B11B1C">
        <w:t>with the results from the kurtosis of the local volume fraction distribution in mind, the rise in</w:t>
      </w:r>
      <w:r w:rsidR="00F45EFC" w:rsidRPr="00B11B1C">
        <w:t xml:space="preserve"> volume fraction outliers is in part due to the misorientation of the tows to one another. </w:t>
      </w:r>
      <w:r w:rsidR="0044680E" w:rsidRPr="00B11B1C">
        <w:t>Tows being oriented at differing angles likely prevents the fibers from neighboring tows to nest within each other, creating regions of low density between them.</w:t>
      </w:r>
    </w:p>
    <w:p w14:paraId="57383D4B" w14:textId="13C39B22" w:rsidR="00557DE5" w:rsidRPr="00B11B1C" w:rsidRDefault="00557DE5" w:rsidP="00557DE5">
      <w:r w:rsidRPr="00B11B1C">
        <w:t xml:space="preserve">Comparing the two planes, it can be seen that the fibers are oriented more homogeneously in the </w:t>
      </w:r>
      <w:r w:rsidRPr="00B11B1C">
        <w:rPr>
          <w:i/>
          <w:iCs/>
        </w:rPr>
        <w:t xml:space="preserve">xz </w:t>
      </w:r>
      <w:r w:rsidRPr="00B11B1C">
        <w:t xml:space="preserve">plane than in the </w:t>
      </w:r>
      <w:r w:rsidRPr="00B11B1C">
        <w:rPr>
          <w:i/>
          <w:iCs/>
        </w:rPr>
        <w:t xml:space="preserve">xy </w:t>
      </w:r>
      <w:r w:rsidRPr="00B11B1C">
        <w:t xml:space="preserve">plane. In other words, the </w:t>
      </w:r>
      <w:r w:rsidRPr="00B11B1C">
        <w:rPr>
          <w:i/>
          <w:iCs/>
        </w:rPr>
        <w:t xml:space="preserve">xz </w:t>
      </w:r>
      <w:r w:rsidRPr="00B11B1C">
        <w:t xml:space="preserve">plane has a narrower distribution of angles (i.e. the extremes are closer together) and contains fewer outlier fibers, or fibers outside the plotted bounds. This result suggests that fiber meandering is most typically restricted to the </w:t>
      </w:r>
      <w:r w:rsidRPr="00B11B1C">
        <w:rPr>
          <w:i/>
          <w:iCs/>
        </w:rPr>
        <w:t xml:space="preserve">xy </w:t>
      </w:r>
      <w:r w:rsidRPr="00B11B1C">
        <w:t>plane, meaning that large fiber misorientation occurs in the direction normal to the direction of compaction. There does not appear to be, however, any indication that the level of off-axiality is affected by the level of debulking applied.</w:t>
      </w:r>
    </w:p>
    <w:p w14:paraId="52232085" w14:textId="643083EA" w:rsidR="00557DE5" w:rsidRPr="00B11B1C" w:rsidRDefault="00557DE5" w:rsidP="00402D60">
      <w:pPr>
        <w:pStyle w:val="Heading3"/>
      </w:pPr>
      <w:r w:rsidRPr="00B11B1C">
        <w:t>Cluster Metrics</w:t>
      </w:r>
    </w:p>
    <w:p w14:paraId="76D4D607" w14:textId="4DB2EAC9" w:rsidR="00557DE5" w:rsidRPr="00B11B1C" w:rsidRDefault="00557DE5" w:rsidP="00557DE5">
      <w:r w:rsidRPr="00B11B1C">
        <w:t xml:space="preserve">The cluster analysis is used to identify bundles of fibers that are oriented together within a given sample. The results of the cluster analysis for all three tows in the high debulk, low debulk, and benchmark laminates are shown in </w:t>
      </w:r>
      <w:r w:rsidRPr="00B11B1C">
        <w:fldChar w:fldCharType="begin"/>
      </w:r>
      <w:r w:rsidRPr="00B11B1C">
        <w:instrText xml:space="preserve"> REF _Ref76998201 \h  \* MERGEFORMAT </w:instrText>
      </w:r>
      <w:r w:rsidRPr="00B11B1C">
        <w:fldChar w:fldCharType="separate"/>
      </w:r>
      <w:r w:rsidR="00531B5C" w:rsidRPr="00B11B1C">
        <w:t xml:space="preserve">Figure </w:t>
      </w:r>
      <w:r w:rsidR="00531B5C" w:rsidRPr="00B11B1C">
        <w:rPr>
          <w:noProof/>
        </w:rPr>
        <w:t>16</w:t>
      </w:r>
      <w:r w:rsidRPr="00B11B1C">
        <w:fldChar w:fldCharType="end"/>
      </w:r>
      <w:r w:rsidRPr="00B11B1C">
        <w:t>. In these plots, each cluster is colored differently depending on the order in which the cluster was detected. Looking at the plots of the clusters it can be seen that, in general, the clusters are longer in the direction normal to compaction (</w:t>
      </w:r>
      <m:oMath>
        <m:r>
          <w:rPr>
            <w:rFonts w:ascii="Cambria Math" w:hAnsi="Cambria Math"/>
          </w:rPr>
          <m:t>y</m:t>
        </m:r>
      </m:oMath>
      <w:r w:rsidRPr="00B11B1C">
        <w:t xml:space="preserve"> direction). </w:t>
      </w:r>
    </w:p>
    <w:p w14:paraId="5E23BC0F" w14:textId="77777777" w:rsidR="00557DE5" w:rsidRPr="00B11B1C" w:rsidRDefault="00557DE5" w:rsidP="00557DE5">
      <w:pPr>
        <w:keepNext/>
        <w:jc w:val="center"/>
      </w:pPr>
      <w:r w:rsidRPr="00B11B1C">
        <w:rPr>
          <w:noProof/>
        </w:rPr>
        <w:lastRenderedPageBreak/>
        <w:drawing>
          <wp:inline distT="0" distB="0" distL="0" distR="0" wp14:anchorId="04593ED2" wp14:editId="6ECBB7AE">
            <wp:extent cx="5943600" cy="15278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1527810"/>
                    </a:xfrm>
                    <a:prstGeom prst="rect">
                      <a:avLst/>
                    </a:prstGeom>
                    <a:noFill/>
                    <a:ln>
                      <a:noFill/>
                    </a:ln>
                  </pic:spPr>
                </pic:pic>
              </a:graphicData>
            </a:graphic>
          </wp:inline>
        </w:drawing>
      </w:r>
    </w:p>
    <w:p w14:paraId="1BF26C7C" w14:textId="644AEAB4" w:rsidR="00557DE5" w:rsidRPr="00B11B1C" w:rsidRDefault="00557DE5" w:rsidP="004C136C">
      <w:pPr>
        <w:pStyle w:val="Caption"/>
      </w:pPr>
      <w:bookmarkStart w:id="16" w:name="_Ref76998201"/>
      <w:r w:rsidRPr="00B11B1C">
        <w:t xml:space="preserve">Figure </w:t>
      </w:r>
      <w:r w:rsidRPr="00B11B1C">
        <w:fldChar w:fldCharType="begin"/>
      </w:r>
      <w:r w:rsidRPr="00B11B1C">
        <w:instrText>SEQ Figure \* ARABIC</w:instrText>
      </w:r>
      <w:r w:rsidRPr="00B11B1C">
        <w:fldChar w:fldCharType="separate"/>
      </w:r>
      <w:r w:rsidR="00531B5C" w:rsidRPr="00B11B1C">
        <w:rPr>
          <w:noProof/>
        </w:rPr>
        <w:t>16</w:t>
      </w:r>
      <w:r w:rsidRPr="00B11B1C">
        <w:fldChar w:fldCharType="end"/>
      </w:r>
      <w:bookmarkEnd w:id="16"/>
      <w:r w:rsidRPr="00B11B1C">
        <w:t xml:space="preserve">. Results of the of the </w:t>
      </w:r>
      <w:r w:rsidR="00F47974" w:rsidRPr="00B11B1C">
        <w:t xml:space="preserve">fiber </w:t>
      </w:r>
      <w:r w:rsidRPr="00B11B1C">
        <w:t>cluster analysis within three tows each in the three different composite samples</w:t>
      </w:r>
      <w:r w:rsidR="00B801F1" w:rsidRPr="00B11B1C">
        <w:t xml:space="preserve">. Clusters have been colored </w:t>
      </w:r>
      <w:r w:rsidR="00F47974" w:rsidRPr="00B11B1C">
        <w:t xml:space="preserve">based on the order they were detected in </w:t>
      </w:r>
      <w:r w:rsidR="00B801F1" w:rsidRPr="00B11B1C">
        <w:t>while non</w:t>
      </w:r>
      <w:r w:rsidR="00F47974" w:rsidRPr="00B11B1C">
        <w:t>-</w:t>
      </w:r>
      <w:r w:rsidR="00B801F1" w:rsidRPr="00B11B1C">
        <w:t>clustered triangles remain grey</w:t>
      </w:r>
    </w:p>
    <w:p w14:paraId="3E388D24" w14:textId="32B65196" w:rsidR="00557DE5" w:rsidRPr="00B11B1C" w:rsidRDefault="00557DE5" w:rsidP="00557DE5">
      <w:r w:rsidRPr="00B11B1C">
        <w:t xml:space="preserve">The histograms for the log of the cluster area and the </w:t>
      </w:r>
      <m:oMath>
        <m:r>
          <w:rPr>
            <w:rFonts w:ascii="Cambria Math" w:hAnsi="Cambria Math"/>
          </w:rPr>
          <m:t>K</m:t>
        </m:r>
      </m:oMath>
      <w:r w:rsidRPr="00B11B1C">
        <w:t xml:space="preserve"> ratio are shown in </w:t>
      </w:r>
      <w:r w:rsidRPr="00B11B1C">
        <w:fldChar w:fldCharType="begin"/>
      </w:r>
      <w:r w:rsidRPr="00B11B1C">
        <w:instrText xml:space="preserve"> REF _Ref76998757 \h  \* MERGEFORMAT </w:instrText>
      </w:r>
      <w:r w:rsidRPr="00B11B1C">
        <w:fldChar w:fldCharType="separate"/>
      </w:r>
      <w:r w:rsidR="00531B5C" w:rsidRPr="00B11B1C">
        <w:t xml:space="preserve">Figure </w:t>
      </w:r>
      <w:r w:rsidR="00531B5C" w:rsidRPr="00B11B1C">
        <w:rPr>
          <w:noProof/>
        </w:rPr>
        <w:t>17</w:t>
      </w:r>
      <w:r w:rsidRPr="00B11B1C">
        <w:fldChar w:fldCharType="end"/>
      </w:r>
      <w:r w:rsidRPr="00B11B1C">
        <w:t>. The cluster areas most often occur on the order of 10</w:t>
      </w:r>
      <w:r w:rsidRPr="00B11B1C">
        <w:rPr>
          <w:vertAlign w:val="superscript"/>
        </w:rPr>
        <w:t>2</w:t>
      </w:r>
      <w:r w:rsidRPr="00B11B1C">
        <w:t xml:space="preserve"> to 10</w:t>
      </w:r>
      <w:r w:rsidRPr="00B11B1C">
        <w:rPr>
          <w:vertAlign w:val="superscript"/>
        </w:rPr>
        <w:t>3</w:t>
      </w:r>
      <w:r w:rsidRPr="00B11B1C">
        <w:t xml:space="preserve"> </w:t>
      </w:r>
      <m:oMath>
        <m:r>
          <w:rPr>
            <w:rFonts w:ascii="Cambria Math" w:hAnsi="Cambria Math"/>
          </w:rPr>
          <m:t>μ</m:t>
        </m:r>
      </m:oMath>
      <w:r w:rsidRPr="00B11B1C">
        <w:t>m</w:t>
      </w:r>
      <w:r w:rsidRPr="00B11B1C">
        <w:rPr>
          <w:vertAlign w:val="superscript"/>
        </w:rPr>
        <w:t>2</w:t>
      </w:r>
      <w:r w:rsidRPr="00B11B1C">
        <w:t xml:space="preserve"> for all tows in all samples. One observation about the area of the clusters is that the larger samples tended to have larger clusters. This makes sense </w:t>
      </w:r>
      <w:r w:rsidR="00B801F1" w:rsidRPr="00B11B1C">
        <w:t>because</w:t>
      </w:r>
      <w:r w:rsidRPr="00B11B1C">
        <w:t xml:space="preserve"> larger samples have more fibers and thus more potential to be part of a cluster. Despite this, the mode of the cluster areas seems to not depend on the size of the sample at all. That is, the most common cluster size range appears constant across both large and small tows. </w:t>
      </w:r>
    </w:p>
    <w:p w14:paraId="1A8B6B7B" w14:textId="77777777" w:rsidR="00557DE5" w:rsidRPr="00B11B1C" w:rsidRDefault="00557DE5" w:rsidP="003B5D55">
      <w:pPr>
        <w:pStyle w:val="Heading2"/>
      </w:pPr>
      <w:r w:rsidRPr="00B11B1C">
        <w:rPr>
          <w:noProof/>
        </w:rPr>
        <w:lastRenderedPageBreak/>
        <w:drawing>
          <wp:inline distT="0" distB="0" distL="0" distR="0" wp14:anchorId="185293A9" wp14:editId="41AB9922">
            <wp:extent cx="4296679" cy="501015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04408" cy="5019163"/>
                    </a:xfrm>
                    <a:prstGeom prst="rect">
                      <a:avLst/>
                    </a:prstGeom>
                    <a:noFill/>
                    <a:ln>
                      <a:noFill/>
                    </a:ln>
                  </pic:spPr>
                </pic:pic>
              </a:graphicData>
            </a:graphic>
          </wp:inline>
        </w:drawing>
      </w:r>
    </w:p>
    <w:p w14:paraId="71A71982" w14:textId="1E0FBAB2" w:rsidR="00557DE5" w:rsidRPr="00B11B1C" w:rsidRDefault="00557DE5" w:rsidP="004C136C">
      <w:pPr>
        <w:pStyle w:val="Caption"/>
      </w:pPr>
      <w:bookmarkStart w:id="17" w:name="_Ref76998757"/>
      <w:r w:rsidRPr="00B11B1C">
        <w:t xml:space="preserve">Figure </w:t>
      </w:r>
      <w:r w:rsidRPr="00B11B1C">
        <w:fldChar w:fldCharType="begin"/>
      </w:r>
      <w:r w:rsidRPr="00B11B1C">
        <w:instrText>SEQ Figure \* ARABIC</w:instrText>
      </w:r>
      <w:r w:rsidRPr="00B11B1C">
        <w:fldChar w:fldCharType="separate"/>
      </w:r>
      <w:r w:rsidR="00531B5C" w:rsidRPr="00B11B1C">
        <w:rPr>
          <w:noProof/>
        </w:rPr>
        <w:t>17</w:t>
      </w:r>
      <w:r w:rsidRPr="00B11B1C">
        <w:fldChar w:fldCharType="end"/>
      </w:r>
      <w:bookmarkEnd w:id="17"/>
      <w:r w:rsidRPr="00B11B1C">
        <w:t xml:space="preserve">. Log of cluster area, </w:t>
      </w:r>
      <m:oMath>
        <m:sSub>
          <m:sSubPr>
            <m:ctrlPr>
              <w:rPr>
                <w:rFonts w:ascii="Cambria Math" w:hAnsi="Cambria Math"/>
                <w:i/>
              </w:rPr>
            </m:ctrlPr>
          </m:sSubPr>
          <m:e>
            <m:r>
              <m:rPr>
                <m:sty m:val="bi"/>
              </m:rPr>
              <w:rPr>
                <w:rFonts w:ascii="Cambria Math" w:hAnsi="Cambria Math"/>
              </w:rPr>
              <m:t>A</m:t>
            </m:r>
          </m:e>
          <m:sub>
            <m:r>
              <m:rPr>
                <m:sty m:val="bi"/>
              </m:rPr>
              <w:rPr>
                <w:rFonts w:ascii="Cambria Math" w:hAnsi="Cambria Math"/>
              </w:rPr>
              <m:t>c</m:t>
            </m:r>
          </m:sub>
        </m:sSub>
      </m:oMath>
      <w:r w:rsidRPr="00B11B1C">
        <w:t xml:space="preserve">, and ratio </w:t>
      </w:r>
      <w:r w:rsidRPr="00B11B1C">
        <w:rPr>
          <w:i/>
          <w:iCs/>
        </w:rPr>
        <w:t>K</w:t>
      </w:r>
      <w:r w:rsidRPr="00B11B1C">
        <w:t xml:space="preserve"> representing the symmetry of each cluster for a) high debulk, b) low debulk, and c) benchmark tows</w:t>
      </w:r>
    </w:p>
    <w:p w14:paraId="328A8989" w14:textId="66520821" w:rsidR="00557DE5" w:rsidRPr="00B11B1C" w:rsidRDefault="00557DE5" w:rsidP="00557DE5">
      <w:r w:rsidRPr="00B11B1C">
        <w:t xml:space="preserve">The </w:t>
      </w:r>
      <m:oMath>
        <m:r>
          <w:rPr>
            <w:rFonts w:ascii="Cambria Math" w:hAnsi="Cambria Math"/>
          </w:rPr>
          <m:t>K</m:t>
        </m:r>
      </m:oMath>
      <w:r w:rsidRPr="00B11B1C">
        <w:t xml:space="preserve"> ratio is a measure of the symmetry of a cluster about both the </w:t>
      </w:r>
      <m:oMath>
        <m:r>
          <w:rPr>
            <w:rFonts w:ascii="Cambria Math" w:hAnsi="Cambria Math"/>
          </w:rPr>
          <m:t>y</m:t>
        </m:r>
      </m:oMath>
      <w:r w:rsidRPr="00B11B1C">
        <w:t xml:space="preserve"> and </w:t>
      </w:r>
      <m:oMath>
        <m:r>
          <w:rPr>
            <w:rFonts w:ascii="Cambria Math" w:hAnsi="Cambria Math"/>
          </w:rPr>
          <m:t>z</m:t>
        </m:r>
      </m:oMath>
      <w:r w:rsidRPr="00B11B1C">
        <w:t xml:space="preserve"> axes. When </w:t>
      </w:r>
      <m:oMath>
        <m:r>
          <w:rPr>
            <w:rFonts w:ascii="Cambria Math" w:hAnsi="Cambria Math"/>
          </w:rPr>
          <m:t>K</m:t>
        </m:r>
      </m:oMath>
      <w:r w:rsidRPr="00B11B1C">
        <w:t xml:space="preserve"> is below 1 the cluster is longer in the </w:t>
      </w:r>
      <m:oMath>
        <m:r>
          <w:rPr>
            <w:rFonts w:ascii="Cambria Math" w:hAnsi="Cambria Math"/>
          </w:rPr>
          <m:t>y</m:t>
        </m:r>
      </m:oMath>
      <w:r w:rsidRPr="00B11B1C">
        <w:t xml:space="preserve"> direction, and when </w:t>
      </w:r>
      <m:oMath>
        <m:r>
          <w:rPr>
            <w:rFonts w:ascii="Cambria Math" w:hAnsi="Cambria Math"/>
          </w:rPr>
          <m:t>K</m:t>
        </m:r>
      </m:oMath>
      <w:r w:rsidRPr="00B11B1C">
        <w:t xml:space="preserve"> is above 1 the cluster is longer in the </w:t>
      </w:r>
      <m:oMath>
        <m:r>
          <w:rPr>
            <w:rFonts w:ascii="Cambria Math" w:hAnsi="Cambria Math"/>
          </w:rPr>
          <m:t>z</m:t>
        </m:r>
      </m:oMath>
      <w:r w:rsidRPr="00B11B1C">
        <w:t xml:space="preserve"> direction. </w:t>
      </w:r>
      <w:r w:rsidR="008A68D8" w:rsidRPr="00B11B1C">
        <w:t>T</w:t>
      </w:r>
      <w:r w:rsidRPr="00B11B1C">
        <w:t xml:space="preserve">he histograms for the </w:t>
      </w:r>
      <m:oMath>
        <m:r>
          <w:rPr>
            <w:rFonts w:ascii="Cambria Math" w:hAnsi="Cambria Math"/>
          </w:rPr>
          <m:t>K</m:t>
        </m:r>
      </m:oMath>
      <w:r w:rsidRPr="00B11B1C">
        <w:t xml:space="preserve"> ratio show that the majority of clusters in each tow have a </w:t>
      </w:r>
      <m:oMath>
        <m:r>
          <w:rPr>
            <w:rFonts w:ascii="Cambria Math" w:hAnsi="Cambria Math"/>
          </w:rPr>
          <m:t>K</m:t>
        </m:r>
      </m:oMath>
      <w:r w:rsidRPr="00B11B1C">
        <w:t xml:space="preserve"> value lower than 1, further confirming that the clusters tend to be longer in the </w:t>
      </w:r>
      <m:oMath>
        <m:r>
          <w:rPr>
            <w:rFonts w:ascii="Cambria Math" w:hAnsi="Cambria Math"/>
          </w:rPr>
          <m:t>y</m:t>
        </m:r>
      </m:oMath>
      <w:r w:rsidRPr="00B11B1C">
        <w:t xml:space="preserve"> direction, i.e. normal to the compaction direction. </w:t>
      </w:r>
    </w:p>
    <w:p w14:paraId="07CB299C" w14:textId="26EF59FD" w:rsidR="00557DE5" w:rsidRPr="00B11B1C" w:rsidRDefault="00557DE5" w:rsidP="00557DE5">
      <w:r w:rsidRPr="00B11B1C">
        <w:t xml:space="preserve">The average values for cluster area are shown in </w:t>
      </w:r>
      <w:r w:rsidRPr="00B11B1C">
        <w:fldChar w:fldCharType="begin"/>
      </w:r>
      <w:r w:rsidRPr="00B11B1C">
        <w:instrText xml:space="preserve"> REF _Ref77015804 \h  \* MERGEFORMAT </w:instrText>
      </w:r>
      <w:r w:rsidRPr="00B11B1C">
        <w:fldChar w:fldCharType="separate"/>
      </w:r>
      <w:r w:rsidR="00531B5C" w:rsidRPr="00B11B1C">
        <w:t xml:space="preserve">Figure </w:t>
      </w:r>
      <w:r w:rsidR="00531B5C" w:rsidRPr="00B11B1C">
        <w:rPr>
          <w:noProof/>
        </w:rPr>
        <w:t>18</w:t>
      </w:r>
      <w:r w:rsidRPr="00B11B1C">
        <w:fldChar w:fldCharType="end"/>
      </w:r>
      <w:r w:rsidRPr="00B11B1C">
        <w:t>a. The</w:t>
      </w:r>
      <w:r w:rsidR="008A68D8" w:rsidRPr="00B11B1C">
        <w:t xml:space="preserve"> </w:t>
      </w:r>
      <w:r w:rsidRPr="00B11B1C">
        <w:t xml:space="preserve">clusters in the high and low debulk tows tended to be larger than the clusters in the benchmark sample. The standard deviations were also extremely low for each measurement when compared to the average value. This result suggests that the size of the clusters in each tow could be related to the level of debulking applied. </w:t>
      </w:r>
      <w:r w:rsidR="008A68D8" w:rsidRPr="00B11B1C">
        <w:t>I</w:t>
      </w:r>
      <w:r w:rsidRPr="00B11B1C">
        <w:t xml:space="preserve">t would make sense that the size of fiber clusters would be larger with the more debulking steps. The increased debulking steps, in theory, should decrease the distance between neighboring fibers. This decrease in distance would directly affect the variation in area and perimeter for each cluster, causing more fiber triads to pass as clusters. </w:t>
      </w:r>
    </w:p>
    <w:p w14:paraId="1807FB2C" w14:textId="7F5C14CB" w:rsidR="00557DE5" w:rsidRPr="00B11B1C" w:rsidRDefault="00010536" w:rsidP="00557DE5">
      <w:pPr>
        <w:keepNext/>
        <w:jc w:val="center"/>
      </w:pPr>
      <w:r w:rsidRPr="00B11B1C">
        <w:rPr>
          <w:noProof/>
        </w:rPr>
        <w:lastRenderedPageBreak/>
        <w:drawing>
          <wp:inline distT="0" distB="0" distL="0" distR="0" wp14:anchorId="367E99ED" wp14:editId="1E657D76">
            <wp:extent cx="5943600" cy="21399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2139950"/>
                    </a:xfrm>
                    <a:prstGeom prst="rect">
                      <a:avLst/>
                    </a:prstGeom>
                    <a:noFill/>
                    <a:ln>
                      <a:noFill/>
                    </a:ln>
                  </pic:spPr>
                </pic:pic>
              </a:graphicData>
            </a:graphic>
          </wp:inline>
        </w:drawing>
      </w:r>
    </w:p>
    <w:p w14:paraId="053B94FD" w14:textId="52652A56" w:rsidR="00557DE5" w:rsidRPr="00B11B1C" w:rsidRDefault="00557DE5" w:rsidP="004C136C">
      <w:pPr>
        <w:pStyle w:val="Caption"/>
      </w:pPr>
      <w:bookmarkStart w:id="18" w:name="_Ref77015804"/>
      <w:r w:rsidRPr="00B11B1C">
        <w:t xml:space="preserve">Figure </w:t>
      </w:r>
      <w:r w:rsidRPr="00B11B1C">
        <w:fldChar w:fldCharType="begin"/>
      </w:r>
      <w:r w:rsidRPr="00B11B1C">
        <w:instrText>SEQ Figure \* ARABIC</w:instrText>
      </w:r>
      <w:r w:rsidRPr="00B11B1C">
        <w:fldChar w:fldCharType="separate"/>
      </w:r>
      <w:r w:rsidR="00531B5C" w:rsidRPr="00B11B1C">
        <w:rPr>
          <w:noProof/>
        </w:rPr>
        <w:t>18</w:t>
      </w:r>
      <w:r w:rsidRPr="00B11B1C">
        <w:fldChar w:fldCharType="end"/>
      </w:r>
      <w:bookmarkEnd w:id="18"/>
      <w:r w:rsidRPr="00B11B1C">
        <w:t xml:space="preserve">. Bar plots of a) average cluster size and b) average </w:t>
      </w:r>
      <m:oMath>
        <m:r>
          <m:rPr>
            <m:sty m:val="bi"/>
          </m:rPr>
          <w:rPr>
            <w:rFonts w:ascii="Cambria Math" w:hAnsi="Cambria Math"/>
          </w:rPr>
          <m:t>K</m:t>
        </m:r>
      </m:oMath>
      <w:r w:rsidRPr="00B11B1C">
        <w:t xml:space="preserve"> value representing the symmetry of each cluster for each tow in each laminate, showing standard deviations</w:t>
      </w:r>
    </w:p>
    <w:p w14:paraId="344190D5" w14:textId="4BB61F03" w:rsidR="00557DE5" w:rsidRPr="00B11B1C" w:rsidRDefault="00557DE5" w:rsidP="00557DE5">
      <w:r w:rsidRPr="00B11B1C">
        <w:t xml:space="preserve">The average values for ratio </w:t>
      </w:r>
      <m:oMath>
        <m:r>
          <w:rPr>
            <w:rFonts w:ascii="Cambria Math" w:hAnsi="Cambria Math"/>
          </w:rPr>
          <m:t>K</m:t>
        </m:r>
      </m:oMath>
      <w:r w:rsidRPr="00B11B1C">
        <w:t xml:space="preserve"> are shown in </w:t>
      </w:r>
      <w:r w:rsidRPr="00B11B1C">
        <w:fldChar w:fldCharType="begin"/>
      </w:r>
      <w:r w:rsidRPr="00B11B1C">
        <w:instrText xml:space="preserve"> REF _Ref77015804 \h  \* MERGEFORMAT </w:instrText>
      </w:r>
      <w:r w:rsidRPr="00B11B1C">
        <w:fldChar w:fldCharType="separate"/>
      </w:r>
      <w:r w:rsidR="00531B5C" w:rsidRPr="00B11B1C">
        <w:t xml:space="preserve">Figure </w:t>
      </w:r>
      <w:r w:rsidR="00531B5C" w:rsidRPr="00B11B1C">
        <w:rPr>
          <w:noProof/>
        </w:rPr>
        <w:t>18</w:t>
      </w:r>
      <w:r w:rsidRPr="00B11B1C">
        <w:fldChar w:fldCharType="end"/>
      </w:r>
      <w:r w:rsidRPr="00B11B1C">
        <w:t xml:space="preserve">b. Again, the vast majority of clusters have a </w:t>
      </w:r>
      <m:oMath>
        <m:r>
          <w:rPr>
            <w:rFonts w:ascii="Cambria Math" w:hAnsi="Cambria Math"/>
          </w:rPr>
          <m:t>K</m:t>
        </m:r>
      </m:oMath>
      <w:r w:rsidRPr="00B11B1C">
        <w:t xml:space="preserve"> ratio lower than </w:t>
      </w:r>
      <w:r w:rsidR="00B45B2A" w:rsidRPr="00B11B1C">
        <w:t>one.</w:t>
      </w:r>
      <w:r w:rsidRPr="00B11B1C">
        <w:t xml:space="preserve"> There is no apparent trend with respect to the level of debulking, besides the fact that all debulked samples have an average below 1, even when the standard deviation is considered. This suggests that  the shape of the fiber clusters within tows is independent of the level of debulking.</w:t>
      </w:r>
    </w:p>
    <w:p w14:paraId="17B77DE6" w14:textId="5F5FA214" w:rsidR="00557DE5" w:rsidRPr="00B11B1C" w:rsidRDefault="007C15B4" w:rsidP="00402D60">
      <w:pPr>
        <w:pStyle w:val="Heading3"/>
      </w:pPr>
      <w:r w:rsidRPr="00B11B1C">
        <w:t>Voids</w:t>
      </w:r>
    </w:p>
    <w:p w14:paraId="2CED9B59" w14:textId="0FC8273F" w:rsidR="007C15B4" w:rsidRPr="00B11B1C" w:rsidRDefault="007C15B4" w:rsidP="007C15B4">
      <w:r w:rsidRPr="00B11B1C">
        <w:t xml:space="preserve">Voids form within fiber reinforced materials during the resin infusion process. Results of the void analysis are shown in </w:t>
      </w:r>
      <w:r w:rsidRPr="00B11B1C">
        <w:fldChar w:fldCharType="begin"/>
      </w:r>
      <w:r w:rsidRPr="00B11B1C">
        <w:instrText xml:space="preserve"> REF _Ref86051936 \h </w:instrText>
      </w:r>
      <w:r w:rsidR="00B11B1C">
        <w:instrText xml:space="preserve"> \* MERGEFORMAT </w:instrText>
      </w:r>
      <w:r w:rsidRPr="00B11B1C">
        <w:fldChar w:fldCharType="separate"/>
      </w:r>
      <w:r w:rsidR="00531B5C" w:rsidRPr="00B11B1C">
        <w:t xml:space="preserve">Table </w:t>
      </w:r>
      <w:r w:rsidR="00531B5C" w:rsidRPr="00B11B1C">
        <w:rPr>
          <w:noProof/>
        </w:rPr>
        <w:t>2</w:t>
      </w:r>
      <w:r w:rsidRPr="00B11B1C">
        <w:fldChar w:fldCharType="end"/>
      </w:r>
      <w:r w:rsidRPr="00B11B1C">
        <w:rPr>
          <w:noProof/>
        </w:rPr>
        <w:t xml:space="preserve"> including the quantity of voids in the image, as well as various size metrics</w:t>
      </w:r>
      <w:r w:rsidRPr="00B11B1C">
        <w:t xml:space="preserve">. </w:t>
      </w:r>
    </w:p>
    <w:p w14:paraId="326D7488" w14:textId="393BF0B9" w:rsidR="007C15B4" w:rsidRPr="00B11B1C" w:rsidRDefault="007C15B4" w:rsidP="004C136C">
      <w:pPr>
        <w:pStyle w:val="Caption"/>
      </w:pPr>
      <w:bookmarkStart w:id="19" w:name="_Ref86051936"/>
      <w:r w:rsidRPr="00B11B1C">
        <w:t xml:space="preserve">Table </w:t>
      </w:r>
      <w:fldSimple w:instr=" SEQ Table \* ARABIC ">
        <w:r w:rsidR="00531B5C" w:rsidRPr="00B11B1C">
          <w:rPr>
            <w:noProof/>
          </w:rPr>
          <w:t>2</w:t>
        </w:r>
      </w:fldSimple>
      <w:bookmarkEnd w:id="19"/>
      <w:r w:rsidRPr="00B11B1C">
        <w:t xml:space="preserve">. Results of void analysis </w:t>
      </w:r>
    </w:p>
    <w:tbl>
      <w:tblPr>
        <w:tblStyle w:val="TableGrid"/>
        <w:tblW w:w="9175" w:type="dxa"/>
        <w:jc w:val="center"/>
        <w:tblBorders>
          <w:insideH w:val="none" w:sz="0" w:space="0" w:color="auto"/>
          <w:insideV w:val="none" w:sz="0" w:space="0" w:color="auto"/>
        </w:tblBorders>
        <w:tblLayout w:type="fixed"/>
        <w:tblLook w:val="0480" w:firstRow="0" w:lastRow="0" w:firstColumn="1" w:lastColumn="0" w:noHBand="0" w:noVBand="1"/>
      </w:tblPr>
      <w:tblGrid>
        <w:gridCol w:w="1075"/>
        <w:gridCol w:w="810"/>
        <w:gridCol w:w="1080"/>
        <w:gridCol w:w="990"/>
        <w:gridCol w:w="990"/>
        <w:gridCol w:w="990"/>
        <w:gridCol w:w="995"/>
        <w:gridCol w:w="1165"/>
        <w:gridCol w:w="1080"/>
      </w:tblGrid>
      <w:tr w:rsidR="007C15B4" w:rsidRPr="00B11B1C" w14:paraId="4C3A9315" w14:textId="77777777" w:rsidTr="00CE32C5">
        <w:trPr>
          <w:trHeight w:val="1043"/>
          <w:jc w:val="center"/>
        </w:trPr>
        <w:tc>
          <w:tcPr>
            <w:tcW w:w="1075" w:type="dxa"/>
            <w:tcBorders>
              <w:top w:val="single" w:sz="4" w:space="0" w:color="auto"/>
              <w:bottom w:val="single" w:sz="4" w:space="0" w:color="auto"/>
              <w:right w:val="nil"/>
            </w:tcBorders>
          </w:tcPr>
          <w:p w14:paraId="2C1C5F06" w14:textId="77777777" w:rsidR="007C15B4" w:rsidRPr="00B11B1C" w:rsidRDefault="007C15B4" w:rsidP="00CE32C5">
            <w:pPr>
              <w:pStyle w:val="NoSpacing"/>
              <w:jc w:val="center"/>
              <w:rPr>
                <w:szCs w:val="22"/>
              </w:rPr>
            </w:pPr>
            <w:r w:rsidRPr="00B11B1C">
              <w:t>Laminate</w:t>
            </w:r>
          </w:p>
        </w:tc>
        <w:tc>
          <w:tcPr>
            <w:tcW w:w="810" w:type="dxa"/>
            <w:tcBorders>
              <w:top w:val="single" w:sz="4" w:space="0" w:color="auto"/>
              <w:left w:val="nil"/>
              <w:bottom w:val="single" w:sz="4" w:space="0" w:color="auto"/>
            </w:tcBorders>
          </w:tcPr>
          <w:p w14:paraId="577625F2" w14:textId="77777777" w:rsidR="007C15B4" w:rsidRPr="00B11B1C" w:rsidRDefault="007C15B4" w:rsidP="00CE32C5">
            <w:pPr>
              <w:pStyle w:val="NoSpacing"/>
              <w:jc w:val="center"/>
            </w:pPr>
            <w:r w:rsidRPr="00B11B1C">
              <w:t># Voids</w:t>
            </w:r>
          </w:p>
        </w:tc>
        <w:tc>
          <w:tcPr>
            <w:tcW w:w="1080" w:type="dxa"/>
            <w:tcBorders>
              <w:top w:val="single" w:sz="4" w:space="0" w:color="auto"/>
              <w:bottom w:val="single" w:sz="4" w:space="0" w:color="auto"/>
            </w:tcBorders>
          </w:tcPr>
          <w:p w14:paraId="6A9A9AAA" w14:textId="77777777" w:rsidR="007C15B4" w:rsidRPr="00B11B1C" w:rsidRDefault="007C15B4" w:rsidP="00CE32C5">
            <w:pPr>
              <w:pStyle w:val="NoSpacing"/>
              <w:jc w:val="center"/>
            </w:pPr>
            <w:r w:rsidRPr="00B11B1C">
              <w:t>Max  Volume</w:t>
            </w:r>
          </w:p>
          <w:p w14:paraId="482C5F39" w14:textId="77777777" w:rsidR="007C15B4" w:rsidRPr="00B11B1C" w:rsidRDefault="007C15B4" w:rsidP="00CE32C5">
            <w:pPr>
              <w:pStyle w:val="NoSpacing"/>
              <w:jc w:val="center"/>
              <w:rPr>
                <w:vertAlign w:val="superscript"/>
              </w:rPr>
            </w:pPr>
            <w:r w:rsidRPr="00B11B1C">
              <w:t>(</w:t>
            </w:r>
            <m:oMath>
              <m:r>
                <w:rPr>
                  <w:rFonts w:ascii="Cambria Math" w:hAnsi="Cambria Math"/>
                </w:rPr>
                <m:t>μ</m:t>
              </m:r>
            </m:oMath>
            <w:r w:rsidRPr="00B11B1C">
              <w:t>m</w:t>
            </w:r>
            <w:r w:rsidRPr="00B11B1C">
              <w:rPr>
                <w:vertAlign w:val="superscript"/>
              </w:rPr>
              <w:t>3</w:t>
            </w:r>
            <w:r w:rsidRPr="00B11B1C">
              <w:t>) x10</w:t>
            </w:r>
            <w:r w:rsidRPr="00B11B1C">
              <w:rPr>
                <w:vertAlign w:val="superscript"/>
              </w:rPr>
              <w:t>4</w:t>
            </w:r>
          </w:p>
        </w:tc>
        <w:tc>
          <w:tcPr>
            <w:tcW w:w="990" w:type="dxa"/>
            <w:tcBorders>
              <w:top w:val="single" w:sz="4" w:space="0" w:color="auto"/>
              <w:bottom w:val="single" w:sz="4" w:space="0" w:color="auto"/>
            </w:tcBorders>
          </w:tcPr>
          <w:p w14:paraId="694DE406" w14:textId="77777777" w:rsidR="007C15B4" w:rsidRPr="00B11B1C" w:rsidRDefault="007C15B4" w:rsidP="00CE32C5">
            <w:pPr>
              <w:pStyle w:val="NoSpacing"/>
              <w:jc w:val="center"/>
            </w:pPr>
            <w:r w:rsidRPr="00B11B1C">
              <w:t>Min Volume</w:t>
            </w:r>
          </w:p>
          <w:p w14:paraId="6C319D9B" w14:textId="77777777" w:rsidR="007C15B4" w:rsidRPr="00B11B1C" w:rsidRDefault="007C15B4" w:rsidP="00CE32C5">
            <w:pPr>
              <w:pStyle w:val="NoSpacing"/>
              <w:jc w:val="center"/>
            </w:pPr>
            <w:r w:rsidRPr="00B11B1C">
              <w:t>(</w:t>
            </w:r>
            <m:oMath>
              <m:r>
                <w:rPr>
                  <w:rFonts w:ascii="Cambria Math" w:hAnsi="Cambria Math"/>
                </w:rPr>
                <m:t>μ</m:t>
              </m:r>
            </m:oMath>
            <w:r w:rsidRPr="00B11B1C">
              <w:t>m</w:t>
            </w:r>
            <w:r w:rsidRPr="00B11B1C">
              <w:rPr>
                <w:vertAlign w:val="superscript"/>
              </w:rPr>
              <w:t>3</w:t>
            </w:r>
            <w:r w:rsidRPr="00B11B1C">
              <w:t>)</w:t>
            </w:r>
          </w:p>
        </w:tc>
        <w:tc>
          <w:tcPr>
            <w:tcW w:w="990" w:type="dxa"/>
            <w:tcBorders>
              <w:top w:val="single" w:sz="4" w:space="0" w:color="auto"/>
              <w:bottom w:val="single" w:sz="4" w:space="0" w:color="auto"/>
            </w:tcBorders>
          </w:tcPr>
          <w:p w14:paraId="467844EF" w14:textId="77777777" w:rsidR="007C15B4" w:rsidRPr="00B11B1C" w:rsidRDefault="007C15B4" w:rsidP="00CE32C5">
            <w:pPr>
              <w:pStyle w:val="NoSpacing"/>
              <w:jc w:val="center"/>
            </w:pPr>
            <w:r w:rsidRPr="00B11B1C">
              <w:t>Average Volume</w:t>
            </w:r>
          </w:p>
          <w:p w14:paraId="0EF967F5" w14:textId="77777777" w:rsidR="007C15B4" w:rsidRPr="00B11B1C" w:rsidRDefault="007C15B4" w:rsidP="00CE32C5">
            <w:pPr>
              <w:pStyle w:val="NoSpacing"/>
              <w:jc w:val="center"/>
            </w:pPr>
            <w:r w:rsidRPr="00B11B1C">
              <w:t>(</w:t>
            </w:r>
            <m:oMath>
              <m:r>
                <w:rPr>
                  <w:rFonts w:ascii="Cambria Math" w:hAnsi="Cambria Math"/>
                </w:rPr>
                <m:t>μ</m:t>
              </m:r>
            </m:oMath>
            <w:r w:rsidRPr="00B11B1C">
              <w:t>m</w:t>
            </w:r>
            <w:r w:rsidRPr="00B11B1C">
              <w:rPr>
                <w:vertAlign w:val="superscript"/>
              </w:rPr>
              <w:t>3</w:t>
            </w:r>
            <w:r w:rsidRPr="00B11B1C">
              <w:t>) x10</w:t>
            </w:r>
            <w:r w:rsidRPr="00B11B1C">
              <w:rPr>
                <w:vertAlign w:val="superscript"/>
              </w:rPr>
              <w:t>4</w:t>
            </w:r>
          </w:p>
        </w:tc>
        <w:tc>
          <w:tcPr>
            <w:tcW w:w="990" w:type="dxa"/>
            <w:tcBorders>
              <w:top w:val="single" w:sz="4" w:space="0" w:color="auto"/>
              <w:bottom w:val="single" w:sz="4" w:space="0" w:color="auto"/>
            </w:tcBorders>
          </w:tcPr>
          <w:p w14:paraId="1115E165" w14:textId="77777777" w:rsidR="007C15B4" w:rsidRPr="00B11B1C" w:rsidRDefault="007C15B4" w:rsidP="00CE32C5">
            <w:pPr>
              <w:pStyle w:val="NoSpacing"/>
              <w:jc w:val="center"/>
            </w:pPr>
            <w:r w:rsidRPr="00B11B1C">
              <w:t>Median Volume</w:t>
            </w:r>
          </w:p>
          <w:p w14:paraId="0F74ACCC" w14:textId="77777777" w:rsidR="007C15B4" w:rsidRPr="00B11B1C" w:rsidRDefault="007C15B4" w:rsidP="00CE32C5">
            <w:pPr>
              <w:pStyle w:val="NoSpacing"/>
              <w:jc w:val="center"/>
            </w:pPr>
            <w:r w:rsidRPr="00B11B1C">
              <w:t>(</w:t>
            </w:r>
            <m:oMath>
              <m:r>
                <w:rPr>
                  <w:rFonts w:ascii="Cambria Math" w:hAnsi="Cambria Math"/>
                </w:rPr>
                <m:t>μ</m:t>
              </m:r>
            </m:oMath>
            <w:r w:rsidRPr="00B11B1C">
              <w:t>m</w:t>
            </w:r>
            <w:r w:rsidRPr="00B11B1C">
              <w:rPr>
                <w:vertAlign w:val="superscript"/>
              </w:rPr>
              <w:t>3</w:t>
            </w:r>
            <w:r w:rsidRPr="00B11B1C">
              <w:t>)</w:t>
            </w:r>
          </w:p>
        </w:tc>
        <w:tc>
          <w:tcPr>
            <w:tcW w:w="995" w:type="dxa"/>
            <w:tcBorders>
              <w:top w:val="single" w:sz="4" w:space="0" w:color="auto"/>
              <w:bottom w:val="single" w:sz="4" w:space="0" w:color="auto"/>
            </w:tcBorders>
          </w:tcPr>
          <w:p w14:paraId="0A15BE11" w14:textId="77777777" w:rsidR="007C15B4" w:rsidRPr="00B11B1C" w:rsidRDefault="007C15B4" w:rsidP="00CE32C5">
            <w:pPr>
              <w:pStyle w:val="NoSpacing"/>
              <w:jc w:val="center"/>
            </w:pPr>
            <w:r w:rsidRPr="00B11B1C">
              <w:t>Volume</w:t>
            </w:r>
          </w:p>
          <w:p w14:paraId="7F294F3D" w14:textId="77777777" w:rsidR="007C15B4" w:rsidRPr="00B11B1C" w:rsidRDefault="007C15B4" w:rsidP="00CE32C5">
            <w:pPr>
              <w:pStyle w:val="NoSpacing"/>
              <w:jc w:val="center"/>
            </w:pPr>
            <w:r w:rsidRPr="00B11B1C">
              <w:t>STD</w:t>
            </w:r>
          </w:p>
          <w:p w14:paraId="6ED1D8C9" w14:textId="77777777" w:rsidR="007C15B4" w:rsidRPr="00B11B1C" w:rsidRDefault="007C15B4" w:rsidP="00CE32C5">
            <w:pPr>
              <w:pStyle w:val="NoSpacing"/>
              <w:jc w:val="center"/>
            </w:pPr>
            <w:r w:rsidRPr="00B11B1C">
              <w:t>(</w:t>
            </w:r>
            <m:oMath>
              <m:r>
                <w:rPr>
                  <w:rFonts w:ascii="Cambria Math" w:hAnsi="Cambria Math"/>
                </w:rPr>
                <m:t>μ</m:t>
              </m:r>
            </m:oMath>
            <w:r w:rsidRPr="00B11B1C">
              <w:t>m</w:t>
            </w:r>
            <w:r w:rsidRPr="00B11B1C">
              <w:rPr>
                <w:vertAlign w:val="superscript"/>
              </w:rPr>
              <w:t>3</w:t>
            </w:r>
            <w:r w:rsidRPr="00B11B1C">
              <w:t>) x10</w:t>
            </w:r>
            <w:r w:rsidRPr="00B11B1C">
              <w:rPr>
                <w:vertAlign w:val="superscript"/>
              </w:rPr>
              <w:t>4</w:t>
            </w:r>
          </w:p>
        </w:tc>
        <w:tc>
          <w:tcPr>
            <w:tcW w:w="1165" w:type="dxa"/>
            <w:tcBorders>
              <w:top w:val="single" w:sz="4" w:space="0" w:color="auto"/>
              <w:bottom w:val="single" w:sz="4" w:space="0" w:color="auto"/>
            </w:tcBorders>
          </w:tcPr>
          <w:p w14:paraId="03767A27" w14:textId="77777777" w:rsidR="007C15B4" w:rsidRPr="00B11B1C" w:rsidRDefault="007C15B4" w:rsidP="00CE32C5">
            <w:pPr>
              <w:pStyle w:val="NoSpacing"/>
              <w:jc w:val="center"/>
            </w:pPr>
            <w:r w:rsidRPr="00B11B1C">
              <w:t>Longest</w:t>
            </w:r>
          </w:p>
          <w:p w14:paraId="7338E9A1" w14:textId="77777777" w:rsidR="007C15B4" w:rsidRPr="00B11B1C" w:rsidRDefault="007C15B4" w:rsidP="00CE32C5">
            <w:pPr>
              <w:pStyle w:val="NoSpacing"/>
              <w:jc w:val="center"/>
            </w:pPr>
            <w:r w:rsidRPr="00B11B1C">
              <w:t>Void (µm)</w:t>
            </w:r>
          </w:p>
        </w:tc>
        <w:tc>
          <w:tcPr>
            <w:tcW w:w="1080" w:type="dxa"/>
            <w:tcBorders>
              <w:top w:val="single" w:sz="4" w:space="0" w:color="auto"/>
              <w:bottom w:val="single" w:sz="4" w:space="0" w:color="auto"/>
            </w:tcBorders>
          </w:tcPr>
          <w:p w14:paraId="6967BFEB" w14:textId="77777777" w:rsidR="007C15B4" w:rsidRPr="00B11B1C" w:rsidRDefault="007C15B4" w:rsidP="00CE32C5">
            <w:pPr>
              <w:pStyle w:val="NoSpacing"/>
              <w:jc w:val="center"/>
            </w:pPr>
            <w:r w:rsidRPr="00B11B1C">
              <w:t xml:space="preserve">Void Content </w:t>
            </w:r>
            <m:oMath>
              <m:d>
                <m:dPr>
                  <m:ctrlPr>
                    <w:rPr>
                      <w:rFonts w:ascii="Cambria Math" w:hAnsi="Cambria Math"/>
                      <w:i/>
                    </w:rPr>
                  </m:ctrlPr>
                </m:dPr>
                <m:e>
                  <m:f>
                    <m:fPr>
                      <m:ctrlPr>
                        <w:rPr>
                          <w:rFonts w:ascii="Cambria Math" w:hAnsi="Cambria Math"/>
                          <w:i/>
                        </w:rPr>
                      </m:ctrlPr>
                    </m:fPr>
                    <m:num>
                      <m:r>
                        <w:rPr>
                          <w:rFonts w:ascii="Cambria Math" w:hAnsi="Cambria Math"/>
                        </w:rPr>
                        <m:t>μ</m:t>
                      </m:r>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μ</m:t>
                      </m:r>
                      <m:sSup>
                        <m:sSupPr>
                          <m:ctrlPr>
                            <w:rPr>
                              <w:rFonts w:ascii="Cambria Math" w:hAnsi="Cambria Math"/>
                              <w:i/>
                            </w:rPr>
                          </m:ctrlPr>
                        </m:sSupPr>
                        <m:e>
                          <m:r>
                            <w:rPr>
                              <w:rFonts w:ascii="Cambria Math" w:hAnsi="Cambria Math"/>
                            </w:rPr>
                            <m:t>m</m:t>
                          </m:r>
                        </m:e>
                        <m:sup>
                          <m:r>
                            <w:rPr>
                              <w:rFonts w:ascii="Cambria Math" w:hAnsi="Cambria Math"/>
                            </w:rPr>
                            <m:t>3</m:t>
                          </m:r>
                        </m:sup>
                      </m:sSup>
                      <m:r>
                        <w:rPr>
                          <w:rFonts w:ascii="Cambria Math" w:hAnsi="Cambria Math"/>
                        </w:rPr>
                        <m:t>x</m:t>
                      </m:r>
                      <m:sSup>
                        <m:sSupPr>
                          <m:ctrlPr>
                            <w:rPr>
                              <w:rFonts w:ascii="Cambria Math" w:hAnsi="Cambria Math"/>
                              <w:i/>
                            </w:rPr>
                          </m:ctrlPr>
                        </m:sSupPr>
                        <m:e>
                          <m:r>
                            <w:rPr>
                              <w:rFonts w:ascii="Cambria Math" w:hAnsi="Cambria Math"/>
                            </w:rPr>
                            <m:t>10</m:t>
                          </m:r>
                        </m:e>
                        <m:sup>
                          <m:r>
                            <w:rPr>
                              <w:rFonts w:ascii="Cambria Math" w:hAnsi="Cambria Math"/>
                            </w:rPr>
                            <m:t>6</m:t>
                          </m:r>
                        </m:sup>
                      </m:sSup>
                    </m:den>
                  </m:f>
                </m:e>
              </m:d>
            </m:oMath>
          </w:p>
        </w:tc>
      </w:tr>
      <w:tr w:rsidR="007C15B4" w:rsidRPr="00B11B1C" w14:paraId="57201EDF" w14:textId="77777777" w:rsidTr="00CE32C5">
        <w:trPr>
          <w:jc w:val="center"/>
        </w:trPr>
        <w:tc>
          <w:tcPr>
            <w:tcW w:w="1075" w:type="dxa"/>
            <w:tcBorders>
              <w:top w:val="single" w:sz="4" w:space="0" w:color="auto"/>
              <w:bottom w:val="nil"/>
            </w:tcBorders>
          </w:tcPr>
          <w:p w14:paraId="7E295801" w14:textId="77777777" w:rsidR="007C15B4" w:rsidRPr="00B11B1C" w:rsidRDefault="007C15B4" w:rsidP="00CE32C5">
            <w:pPr>
              <w:pStyle w:val="NoSpacing"/>
              <w:jc w:val="center"/>
            </w:pPr>
            <w:r w:rsidRPr="00B11B1C">
              <w:t>High</w:t>
            </w:r>
          </w:p>
        </w:tc>
        <w:tc>
          <w:tcPr>
            <w:tcW w:w="810" w:type="dxa"/>
            <w:tcBorders>
              <w:top w:val="single" w:sz="4" w:space="0" w:color="auto"/>
            </w:tcBorders>
          </w:tcPr>
          <w:p w14:paraId="1322143B" w14:textId="77777777" w:rsidR="007C15B4" w:rsidRPr="00B11B1C" w:rsidRDefault="007C15B4" w:rsidP="00CE32C5">
            <w:pPr>
              <w:pStyle w:val="NoSpacing"/>
              <w:jc w:val="center"/>
            </w:pPr>
            <w:r w:rsidRPr="00B11B1C">
              <w:t>496</w:t>
            </w:r>
          </w:p>
        </w:tc>
        <w:tc>
          <w:tcPr>
            <w:tcW w:w="1080" w:type="dxa"/>
            <w:tcBorders>
              <w:top w:val="single" w:sz="4" w:space="0" w:color="auto"/>
            </w:tcBorders>
          </w:tcPr>
          <w:p w14:paraId="1D6EC446" w14:textId="77777777" w:rsidR="007C15B4" w:rsidRPr="00B11B1C" w:rsidRDefault="007C15B4" w:rsidP="00CE32C5">
            <w:pPr>
              <w:pStyle w:val="NoSpacing"/>
              <w:jc w:val="center"/>
            </w:pPr>
            <w:r w:rsidRPr="00B11B1C">
              <w:t>86.9</w:t>
            </w:r>
          </w:p>
        </w:tc>
        <w:tc>
          <w:tcPr>
            <w:tcW w:w="990" w:type="dxa"/>
            <w:tcBorders>
              <w:top w:val="single" w:sz="4" w:space="0" w:color="auto"/>
            </w:tcBorders>
          </w:tcPr>
          <w:p w14:paraId="3D6C64AE" w14:textId="77777777" w:rsidR="007C15B4" w:rsidRPr="00B11B1C" w:rsidRDefault="007C15B4" w:rsidP="00CE32C5">
            <w:pPr>
              <w:pStyle w:val="NoSpacing"/>
              <w:jc w:val="center"/>
            </w:pPr>
            <w:r w:rsidRPr="00B11B1C">
              <w:t>9.10</w:t>
            </w:r>
          </w:p>
        </w:tc>
        <w:tc>
          <w:tcPr>
            <w:tcW w:w="990" w:type="dxa"/>
            <w:tcBorders>
              <w:top w:val="single" w:sz="4" w:space="0" w:color="auto"/>
            </w:tcBorders>
          </w:tcPr>
          <w:p w14:paraId="025F4A58" w14:textId="77777777" w:rsidR="007C15B4" w:rsidRPr="00B11B1C" w:rsidRDefault="007C15B4" w:rsidP="00CE32C5">
            <w:pPr>
              <w:pStyle w:val="NoSpacing"/>
              <w:jc w:val="center"/>
            </w:pPr>
            <w:r w:rsidRPr="00B11B1C">
              <w:rPr>
                <w:color w:val="000000" w:themeColor="text1"/>
              </w:rPr>
              <w:t>1.51</w:t>
            </w:r>
          </w:p>
        </w:tc>
        <w:tc>
          <w:tcPr>
            <w:tcW w:w="990" w:type="dxa"/>
            <w:tcBorders>
              <w:top w:val="single" w:sz="4" w:space="0" w:color="auto"/>
            </w:tcBorders>
          </w:tcPr>
          <w:p w14:paraId="1CB3D15C" w14:textId="77777777" w:rsidR="007C15B4" w:rsidRPr="00B11B1C" w:rsidRDefault="007C15B4" w:rsidP="00CE32C5">
            <w:pPr>
              <w:pStyle w:val="NoSpacing"/>
              <w:jc w:val="center"/>
            </w:pPr>
            <w:r w:rsidRPr="00B11B1C">
              <w:t>95.6</w:t>
            </w:r>
          </w:p>
        </w:tc>
        <w:tc>
          <w:tcPr>
            <w:tcW w:w="995" w:type="dxa"/>
            <w:tcBorders>
              <w:top w:val="single" w:sz="4" w:space="0" w:color="auto"/>
            </w:tcBorders>
          </w:tcPr>
          <w:p w14:paraId="39738387" w14:textId="77777777" w:rsidR="007C15B4" w:rsidRPr="00B11B1C" w:rsidRDefault="007C15B4" w:rsidP="00CE32C5">
            <w:pPr>
              <w:pStyle w:val="NoSpacing"/>
              <w:jc w:val="center"/>
            </w:pPr>
            <w:r w:rsidRPr="00B11B1C">
              <w:t>6.25</w:t>
            </w:r>
          </w:p>
        </w:tc>
        <w:tc>
          <w:tcPr>
            <w:tcW w:w="1165" w:type="dxa"/>
            <w:tcBorders>
              <w:top w:val="single" w:sz="4" w:space="0" w:color="auto"/>
            </w:tcBorders>
          </w:tcPr>
          <w:p w14:paraId="1F899901" w14:textId="77777777" w:rsidR="007C15B4" w:rsidRPr="00B11B1C" w:rsidRDefault="007C15B4" w:rsidP="00CE32C5">
            <w:pPr>
              <w:pStyle w:val="NoSpacing"/>
              <w:jc w:val="center"/>
            </w:pPr>
            <w:r w:rsidRPr="00B11B1C">
              <w:t>442.5</w:t>
            </w:r>
          </w:p>
        </w:tc>
        <w:tc>
          <w:tcPr>
            <w:tcW w:w="1080" w:type="dxa"/>
            <w:tcBorders>
              <w:top w:val="single" w:sz="4" w:space="0" w:color="auto"/>
            </w:tcBorders>
          </w:tcPr>
          <w:p w14:paraId="7CBF6F5C" w14:textId="77777777" w:rsidR="007C15B4" w:rsidRPr="00B11B1C" w:rsidRDefault="007C15B4" w:rsidP="00CE32C5">
            <w:pPr>
              <w:pStyle w:val="NoSpacing"/>
              <w:jc w:val="center"/>
            </w:pPr>
            <w:r w:rsidRPr="00B11B1C">
              <w:t>5831.36</w:t>
            </w:r>
          </w:p>
        </w:tc>
      </w:tr>
      <w:tr w:rsidR="007C15B4" w:rsidRPr="00B11B1C" w14:paraId="2EDB231F" w14:textId="77777777" w:rsidTr="00CE32C5">
        <w:trPr>
          <w:jc w:val="center"/>
        </w:trPr>
        <w:tc>
          <w:tcPr>
            <w:tcW w:w="1075" w:type="dxa"/>
            <w:tcBorders>
              <w:top w:val="nil"/>
              <w:bottom w:val="nil"/>
              <w:right w:val="nil"/>
            </w:tcBorders>
          </w:tcPr>
          <w:p w14:paraId="064D33FF" w14:textId="77777777" w:rsidR="007C15B4" w:rsidRPr="00B11B1C" w:rsidRDefault="007C15B4" w:rsidP="00CE32C5">
            <w:pPr>
              <w:pStyle w:val="NoSpacing"/>
              <w:jc w:val="center"/>
            </w:pPr>
            <w:r w:rsidRPr="00B11B1C">
              <w:t>Low</w:t>
            </w:r>
          </w:p>
        </w:tc>
        <w:tc>
          <w:tcPr>
            <w:tcW w:w="810" w:type="dxa"/>
            <w:tcBorders>
              <w:left w:val="nil"/>
            </w:tcBorders>
          </w:tcPr>
          <w:p w14:paraId="5AD06F17" w14:textId="77777777" w:rsidR="007C15B4" w:rsidRPr="00B11B1C" w:rsidRDefault="007C15B4" w:rsidP="00CE32C5">
            <w:pPr>
              <w:pStyle w:val="NoSpacing"/>
              <w:jc w:val="center"/>
            </w:pPr>
            <w:r w:rsidRPr="00B11B1C">
              <w:t>301</w:t>
            </w:r>
          </w:p>
        </w:tc>
        <w:tc>
          <w:tcPr>
            <w:tcW w:w="1080" w:type="dxa"/>
          </w:tcPr>
          <w:p w14:paraId="09429AB4" w14:textId="77777777" w:rsidR="007C15B4" w:rsidRPr="00B11B1C" w:rsidRDefault="007C15B4" w:rsidP="00CE32C5">
            <w:pPr>
              <w:pStyle w:val="NoSpacing"/>
              <w:jc w:val="center"/>
            </w:pPr>
            <w:r w:rsidRPr="00B11B1C">
              <w:t>13.5</w:t>
            </w:r>
          </w:p>
        </w:tc>
        <w:tc>
          <w:tcPr>
            <w:tcW w:w="990" w:type="dxa"/>
          </w:tcPr>
          <w:p w14:paraId="5B359A98" w14:textId="77777777" w:rsidR="007C15B4" w:rsidRPr="00B11B1C" w:rsidRDefault="007C15B4" w:rsidP="00CE32C5">
            <w:pPr>
              <w:pStyle w:val="NoSpacing"/>
              <w:jc w:val="center"/>
            </w:pPr>
            <w:r w:rsidRPr="00B11B1C">
              <w:t>7.80</w:t>
            </w:r>
          </w:p>
        </w:tc>
        <w:tc>
          <w:tcPr>
            <w:tcW w:w="990" w:type="dxa"/>
          </w:tcPr>
          <w:p w14:paraId="3278A3B1" w14:textId="77777777" w:rsidR="007C15B4" w:rsidRPr="00B11B1C" w:rsidRDefault="007C15B4" w:rsidP="00CE32C5">
            <w:pPr>
              <w:pStyle w:val="NoSpacing"/>
              <w:jc w:val="center"/>
            </w:pPr>
            <w:r w:rsidRPr="00B11B1C">
              <w:t>0.521</w:t>
            </w:r>
          </w:p>
        </w:tc>
        <w:tc>
          <w:tcPr>
            <w:tcW w:w="990" w:type="dxa"/>
          </w:tcPr>
          <w:p w14:paraId="592C9B69" w14:textId="77777777" w:rsidR="007C15B4" w:rsidRPr="00B11B1C" w:rsidRDefault="007C15B4" w:rsidP="00CE32C5">
            <w:pPr>
              <w:pStyle w:val="NoSpacing"/>
              <w:jc w:val="center"/>
            </w:pPr>
            <w:r w:rsidRPr="00B11B1C">
              <w:t>48.8</w:t>
            </w:r>
          </w:p>
        </w:tc>
        <w:tc>
          <w:tcPr>
            <w:tcW w:w="995" w:type="dxa"/>
          </w:tcPr>
          <w:p w14:paraId="1F52EA61" w14:textId="77777777" w:rsidR="007C15B4" w:rsidRPr="00B11B1C" w:rsidRDefault="007C15B4" w:rsidP="00CE32C5">
            <w:pPr>
              <w:pStyle w:val="NoSpacing"/>
              <w:jc w:val="center"/>
            </w:pPr>
            <w:r w:rsidRPr="00B11B1C">
              <w:t>1.73</w:t>
            </w:r>
          </w:p>
        </w:tc>
        <w:tc>
          <w:tcPr>
            <w:tcW w:w="1165" w:type="dxa"/>
          </w:tcPr>
          <w:p w14:paraId="4AF65FE8" w14:textId="77777777" w:rsidR="007C15B4" w:rsidRPr="00B11B1C" w:rsidRDefault="007C15B4" w:rsidP="00CE32C5">
            <w:pPr>
              <w:pStyle w:val="NoSpacing"/>
              <w:jc w:val="center"/>
            </w:pPr>
            <w:r w:rsidRPr="00B11B1C">
              <w:t>232.5</w:t>
            </w:r>
          </w:p>
        </w:tc>
        <w:tc>
          <w:tcPr>
            <w:tcW w:w="1080" w:type="dxa"/>
          </w:tcPr>
          <w:p w14:paraId="68CA2ADC" w14:textId="77777777" w:rsidR="007C15B4" w:rsidRPr="00B11B1C" w:rsidRDefault="007C15B4" w:rsidP="00CE32C5">
            <w:pPr>
              <w:pStyle w:val="NoSpacing"/>
              <w:jc w:val="center"/>
            </w:pPr>
            <w:r w:rsidRPr="00B11B1C">
              <w:t>1236.70</w:t>
            </w:r>
          </w:p>
        </w:tc>
      </w:tr>
      <w:tr w:rsidR="007C15B4" w:rsidRPr="00B11B1C" w14:paraId="70547039" w14:textId="77777777" w:rsidTr="00CE32C5">
        <w:trPr>
          <w:jc w:val="center"/>
        </w:trPr>
        <w:tc>
          <w:tcPr>
            <w:tcW w:w="1075" w:type="dxa"/>
            <w:tcBorders>
              <w:top w:val="nil"/>
            </w:tcBorders>
          </w:tcPr>
          <w:p w14:paraId="27DF3700" w14:textId="77777777" w:rsidR="007C15B4" w:rsidRPr="00B11B1C" w:rsidRDefault="007C15B4" w:rsidP="00CE32C5">
            <w:pPr>
              <w:pStyle w:val="NoSpacing"/>
              <w:jc w:val="center"/>
            </w:pPr>
            <w:r w:rsidRPr="00B11B1C">
              <w:t>Bench</w:t>
            </w:r>
          </w:p>
        </w:tc>
        <w:tc>
          <w:tcPr>
            <w:tcW w:w="810" w:type="dxa"/>
          </w:tcPr>
          <w:p w14:paraId="394DD391" w14:textId="77777777" w:rsidR="007C15B4" w:rsidRPr="00B11B1C" w:rsidRDefault="007C15B4" w:rsidP="00CE32C5">
            <w:pPr>
              <w:pStyle w:val="NoSpacing"/>
              <w:jc w:val="center"/>
            </w:pPr>
            <w:r w:rsidRPr="00B11B1C">
              <w:t>347</w:t>
            </w:r>
          </w:p>
        </w:tc>
        <w:tc>
          <w:tcPr>
            <w:tcW w:w="1080" w:type="dxa"/>
          </w:tcPr>
          <w:p w14:paraId="79BA2FF9" w14:textId="77777777" w:rsidR="007C15B4" w:rsidRPr="00B11B1C" w:rsidRDefault="007C15B4" w:rsidP="00CE32C5">
            <w:pPr>
              <w:pStyle w:val="NoSpacing"/>
              <w:jc w:val="center"/>
            </w:pPr>
            <w:r w:rsidRPr="00B11B1C">
              <w:t>8.93</w:t>
            </w:r>
          </w:p>
        </w:tc>
        <w:tc>
          <w:tcPr>
            <w:tcW w:w="990" w:type="dxa"/>
          </w:tcPr>
          <w:p w14:paraId="76CF5C8A" w14:textId="77777777" w:rsidR="007C15B4" w:rsidRPr="00B11B1C" w:rsidRDefault="007C15B4" w:rsidP="00CE32C5">
            <w:pPr>
              <w:pStyle w:val="NoSpacing"/>
              <w:jc w:val="center"/>
            </w:pPr>
            <w:r w:rsidRPr="00B11B1C">
              <w:t>7.80</w:t>
            </w:r>
          </w:p>
        </w:tc>
        <w:tc>
          <w:tcPr>
            <w:tcW w:w="990" w:type="dxa"/>
          </w:tcPr>
          <w:p w14:paraId="0C1E085B" w14:textId="77777777" w:rsidR="007C15B4" w:rsidRPr="00B11B1C" w:rsidRDefault="007C15B4" w:rsidP="00CE32C5">
            <w:pPr>
              <w:pStyle w:val="NoSpacing"/>
              <w:jc w:val="center"/>
            </w:pPr>
            <w:r w:rsidRPr="00B11B1C">
              <w:t>0.00541</w:t>
            </w:r>
          </w:p>
        </w:tc>
        <w:tc>
          <w:tcPr>
            <w:tcW w:w="990" w:type="dxa"/>
          </w:tcPr>
          <w:p w14:paraId="77334606" w14:textId="77777777" w:rsidR="007C15B4" w:rsidRPr="00B11B1C" w:rsidRDefault="007C15B4" w:rsidP="00CE32C5">
            <w:pPr>
              <w:pStyle w:val="NoSpacing"/>
              <w:jc w:val="center"/>
            </w:pPr>
            <w:r w:rsidRPr="00B11B1C">
              <w:t>27.3</w:t>
            </w:r>
          </w:p>
        </w:tc>
        <w:tc>
          <w:tcPr>
            <w:tcW w:w="995" w:type="dxa"/>
          </w:tcPr>
          <w:p w14:paraId="05125283" w14:textId="77777777" w:rsidR="007C15B4" w:rsidRPr="00B11B1C" w:rsidRDefault="007C15B4" w:rsidP="00CE32C5">
            <w:pPr>
              <w:pStyle w:val="NoSpacing"/>
              <w:jc w:val="center"/>
            </w:pPr>
            <w:r w:rsidRPr="00B11B1C">
              <w:t>0.0087</w:t>
            </w:r>
          </w:p>
        </w:tc>
        <w:tc>
          <w:tcPr>
            <w:tcW w:w="1165" w:type="dxa"/>
          </w:tcPr>
          <w:p w14:paraId="2AF428A8" w14:textId="77777777" w:rsidR="007C15B4" w:rsidRPr="00B11B1C" w:rsidRDefault="007C15B4" w:rsidP="00CE32C5">
            <w:pPr>
              <w:pStyle w:val="NoSpacing"/>
              <w:jc w:val="center"/>
            </w:pPr>
            <w:r w:rsidRPr="00B11B1C">
              <w:t>12.5</w:t>
            </w:r>
          </w:p>
        </w:tc>
        <w:tc>
          <w:tcPr>
            <w:tcW w:w="1080" w:type="dxa"/>
          </w:tcPr>
          <w:p w14:paraId="73C8904B" w14:textId="77777777" w:rsidR="007C15B4" w:rsidRPr="00B11B1C" w:rsidRDefault="007C15B4" w:rsidP="00CE32C5">
            <w:pPr>
              <w:pStyle w:val="NoSpacing"/>
              <w:jc w:val="center"/>
            </w:pPr>
            <w:r w:rsidRPr="00B11B1C">
              <w:t>14.58</w:t>
            </w:r>
          </w:p>
        </w:tc>
      </w:tr>
    </w:tbl>
    <w:p w14:paraId="726238F5" w14:textId="6D83B389" w:rsidR="007C15B4" w:rsidRPr="00B11B1C" w:rsidRDefault="007C15B4" w:rsidP="007C15B4">
      <w:pPr>
        <w:rPr>
          <w:color w:val="000000" w:themeColor="text1"/>
          <w:szCs w:val="22"/>
          <w:u w:val="single"/>
        </w:rPr>
      </w:pPr>
      <w:r w:rsidRPr="00B11B1C">
        <w:rPr>
          <w:color w:val="000000" w:themeColor="text1"/>
        </w:rPr>
        <w:t>The data c</w:t>
      </w:r>
      <w:r w:rsidR="00B45B2A" w:rsidRPr="00B11B1C">
        <w:rPr>
          <w:color w:val="000000" w:themeColor="text1"/>
        </w:rPr>
        <w:t>onfirms</w:t>
      </w:r>
      <w:r w:rsidRPr="00B11B1C">
        <w:rPr>
          <w:color w:val="000000" w:themeColor="text1"/>
        </w:rPr>
        <w:t xml:space="preserve"> the hypothesis that increased debulking increases both the void content and the average void size of VI-manufactured </w:t>
      </w:r>
      <w:r w:rsidR="00CD0D06" w:rsidRPr="00B11B1C">
        <w:rPr>
          <w:color w:val="000000" w:themeColor="text1"/>
        </w:rPr>
        <w:t>CFRP</w:t>
      </w:r>
      <w:r w:rsidRPr="00B11B1C">
        <w:rPr>
          <w:color w:val="000000" w:themeColor="text1"/>
        </w:rPr>
        <w:t xml:space="preserve">.  Moreover, with increased debulking, the growth in the number of voids, while noticeable, is dwarfed by the effect of increased void size. The overall increase in void content seems to be entirely due to increases in the mean void volume and the appearance of </w:t>
      </w:r>
      <w:r w:rsidR="004C03E5" w:rsidRPr="00B11B1C">
        <w:rPr>
          <w:color w:val="000000" w:themeColor="text1"/>
        </w:rPr>
        <w:t>larger</w:t>
      </w:r>
      <w:r w:rsidRPr="00B11B1C">
        <w:rPr>
          <w:color w:val="000000" w:themeColor="text1"/>
        </w:rPr>
        <w:t xml:space="preserve"> voids. This can also be seen visually by plotting the centerline plots of the voids for each laminate (</w:t>
      </w:r>
      <w:r w:rsidRPr="00B11B1C">
        <w:rPr>
          <w:color w:val="000000" w:themeColor="text1"/>
        </w:rPr>
        <w:fldChar w:fldCharType="begin"/>
      </w:r>
      <w:r w:rsidRPr="00B11B1C">
        <w:rPr>
          <w:color w:val="000000" w:themeColor="text1"/>
        </w:rPr>
        <w:instrText xml:space="preserve"> REF _Ref77024897 \h  \* MERGEFORMAT </w:instrText>
      </w:r>
      <w:r w:rsidRPr="00B11B1C">
        <w:rPr>
          <w:color w:val="000000" w:themeColor="text1"/>
        </w:rPr>
      </w:r>
      <w:r w:rsidRPr="00B11B1C">
        <w:rPr>
          <w:color w:val="000000" w:themeColor="text1"/>
        </w:rPr>
        <w:fldChar w:fldCharType="separate"/>
      </w:r>
      <w:r w:rsidR="00531B5C" w:rsidRPr="00B11B1C">
        <w:t xml:space="preserve">Figure </w:t>
      </w:r>
      <w:r w:rsidR="00531B5C" w:rsidRPr="00B11B1C">
        <w:rPr>
          <w:noProof/>
        </w:rPr>
        <w:t>19</w:t>
      </w:r>
      <w:r w:rsidRPr="00B11B1C">
        <w:rPr>
          <w:color w:val="000000" w:themeColor="text1"/>
        </w:rPr>
        <w:fldChar w:fldCharType="end"/>
      </w:r>
      <w:r w:rsidRPr="00B11B1C">
        <w:rPr>
          <w:color w:val="000000" w:themeColor="text1"/>
        </w:rPr>
        <w:t>).</w:t>
      </w:r>
      <w:r w:rsidRPr="00B11B1C">
        <w:t xml:space="preserve"> </w:t>
      </w:r>
      <w:r w:rsidRPr="00B11B1C">
        <w:rPr>
          <w:szCs w:val="22"/>
        </w:rPr>
        <w:t>High aspect ratio, i.e. long voids begin to appear with a moderate amount of debulking, and are common with the higher degree of debulking.</w:t>
      </w:r>
    </w:p>
    <w:p w14:paraId="3D3011C1" w14:textId="77777777" w:rsidR="007C15B4" w:rsidRPr="00B11B1C" w:rsidRDefault="007C15B4" w:rsidP="007C15B4"/>
    <w:p w14:paraId="7825F19A" w14:textId="77777777" w:rsidR="007C15B4" w:rsidRPr="00B11B1C" w:rsidRDefault="007C15B4" w:rsidP="007C15B4">
      <w:pPr>
        <w:keepNext/>
        <w:jc w:val="center"/>
      </w:pPr>
      <w:r w:rsidRPr="00B11B1C">
        <w:rPr>
          <w:noProof/>
        </w:rPr>
        <w:lastRenderedPageBreak/>
        <mc:AlternateContent>
          <mc:Choice Requires="wps">
            <w:drawing>
              <wp:anchor distT="0" distB="0" distL="114300" distR="114300" simplePos="0" relativeHeight="251671552" behindDoc="0" locked="0" layoutInCell="1" allowOverlap="1" wp14:anchorId="6AF468FA" wp14:editId="3D6C373B">
                <wp:simplePos x="0" y="0"/>
                <wp:positionH relativeFrom="column">
                  <wp:posOffset>3212465</wp:posOffset>
                </wp:positionH>
                <wp:positionV relativeFrom="paragraph">
                  <wp:posOffset>1590675</wp:posOffset>
                </wp:positionV>
                <wp:extent cx="914400" cy="338295"/>
                <wp:effectExtent l="0" t="0" r="0" b="5080"/>
                <wp:wrapNone/>
                <wp:docPr id="29" name="Text Box 29"/>
                <wp:cNvGraphicFramePr/>
                <a:graphic xmlns:a="http://schemas.openxmlformats.org/drawingml/2006/main">
                  <a:graphicData uri="http://schemas.microsoft.com/office/word/2010/wordprocessingShape">
                    <wps:wsp>
                      <wps:cNvSpPr txBox="1"/>
                      <wps:spPr>
                        <a:xfrm>
                          <a:off x="0" y="0"/>
                          <a:ext cx="914400" cy="338295"/>
                        </a:xfrm>
                        <a:prstGeom prst="rect">
                          <a:avLst/>
                        </a:prstGeom>
                        <a:noFill/>
                        <a:ln w="6350">
                          <a:noFill/>
                        </a:ln>
                      </wps:spPr>
                      <wps:txbx>
                        <w:txbxContent>
                          <w:p w14:paraId="5880EFD2" w14:textId="77777777" w:rsidR="00CE32C5" w:rsidRPr="002500A1" w:rsidRDefault="00CE32C5" w:rsidP="007C15B4">
                            <w:pPr>
                              <w:rPr>
                                <w:rFonts w:ascii="Arial" w:hAnsi="Arial" w:cs="Arial"/>
                                <w:sz w:val="24"/>
                                <w:szCs w:val="28"/>
                              </w:rPr>
                            </w:pPr>
                            <w:r w:rsidRPr="002500A1">
                              <w:rPr>
                                <w:rFonts w:ascii="Arial" w:hAnsi="Arial" w:cs="Arial"/>
                                <w:sz w:val="24"/>
                                <w:szCs w:val="28"/>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F468FA" id="Text Box 29" o:spid="_x0000_s1030" type="#_x0000_t202" style="position:absolute;left:0;text-align:left;margin-left:252.95pt;margin-top:125.25pt;width:1in;height:26.65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" filled="f" stroked="f" strokeweight=".5pt">
                <v:textbox>
                  <w:txbxContent>
                    <w:p w14:paraId="5880EFD2" w14:textId="77777777" w:rsidR="00CE32C5" w:rsidRPr="002500A1" w:rsidRDefault="00CE32C5" w:rsidP="007C15B4">
                      <w:pPr>
                        <w:rPr>
                          <w:rFonts w:ascii="Arial" w:hAnsi="Arial" w:cs="Arial"/>
                          <w:sz w:val="24"/>
                          <w:szCs w:val="28"/>
                        </w:rPr>
                      </w:pPr>
                      <w:r w:rsidRPr="002500A1">
                        <w:rPr>
                          <w:rFonts w:ascii="Arial" w:hAnsi="Arial" w:cs="Arial"/>
                          <w:sz w:val="24"/>
                          <w:szCs w:val="28"/>
                        </w:rPr>
                        <w:t>b)</w:t>
                      </w:r>
                    </w:p>
                  </w:txbxContent>
                </v:textbox>
              </v:shape>
            </w:pict>
          </mc:Fallback>
        </mc:AlternateContent>
      </w:r>
      <w:r w:rsidRPr="00B11B1C">
        <w:rPr>
          <w:noProof/>
        </w:rPr>
        <mc:AlternateContent>
          <mc:Choice Requires="wps">
            <w:drawing>
              <wp:anchor distT="0" distB="0" distL="114300" distR="114300" simplePos="0" relativeHeight="251666432" behindDoc="0" locked="0" layoutInCell="1" allowOverlap="1" wp14:anchorId="7B8FA85F" wp14:editId="513B51D3">
                <wp:simplePos x="0" y="0"/>
                <wp:positionH relativeFrom="column">
                  <wp:posOffset>764540</wp:posOffset>
                </wp:positionH>
                <wp:positionV relativeFrom="paragraph">
                  <wp:posOffset>1590675</wp:posOffset>
                </wp:positionV>
                <wp:extent cx="914400" cy="338295"/>
                <wp:effectExtent l="0" t="0" r="0" b="5080"/>
                <wp:wrapNone/>
                <wp:docPr id="26" name="Text Box 26"/>
                <wp:cNvGraphicFramePr/>
                <a:graphic xmlns:a="http://schemas.openxmlformats.org/drawingml/2006/main">
                  <a:graphicData uri="http://schemas.microsoft.com/office/word/2010/wordprocessingShape">
                    <wps:wsp>
                      <wps:cNvSpPr txBox="1"/>
                      <wps:spPr>
                        <a:xfrm>
                          <a:off x="0" y="0"/>
                          <a:ext cx="914400" cy="338295"/>
                        </a:xfrm>
                        <a:prstGeom prst="rect">
                          <a:avLst/>
                        </a:prstGeom>
                        <a:noFill/>
                        <a:ln w="6350">
                          <a:noFill/>
                        </a:ln>
                      </wps:spPr>
                      <wps:txbx>
                        <w:txbxContent>
                          <w:p w14:paraId="0FC3951C" w14:textId="77777777" w:rsidR="00CE32C5" w:rsidRPr="002500A1" w:rsidRDefault="00CE32C5" w:rsidP="007C15B4">
                            <w:pPr>
                              <w:rPr>
                                <w:rFonts w:ascii="Arial" w:hAnsi="Arial" w:cs="Arial"/>
                                <w:sz w:val="24"/>
                                <w:szCs w:val="28"/>
                              </w:rPr>
                            </w:pPr>
                            <w:r w:rsidRPr="002500A1">
                              <w:rPr>
                                <w:rFonts w:ascii="Arial" w:hAnsi="Arial" w:cs="Arial"/>
                                <w:sz w:val="24"/>
                                <w:szCs w:val="28"/>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8FA85F" id="Text Box 26" o:spid="_x0000_s1031" type="#_x0000_t202" style="position:absolute;left:0;text-align:left;margin-left:60.2pt;margin-top:125.25pt;width:1in;height:26.65pt;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" filled="f" stroked="f" strokeweight=".5pt">
                <v:textbox>
                  <w:txbxContent>
                    <w:p w14:paraId="0FC3951C" w14:textId="77777777" w:rsidR="00CE32C5" w:rsidRPr="002500A1" w:rsidRDefault="00CE32C5" w:rsidP="007C15B4">
                      <w:pPr>
                        <w:rPr>
                          <w:rFonts w:ascii="Arial" w:hAnsi="Arial" w:cs="Arial"/>
                          <w:sz w:val="24"/>
                          <w:szCs w:val="28"/>
                        </w:rPr>
                      </w:pPr>
                      <w:r w:rsidRPr="002500A1">
                        <w:rPr>
                          <w:rFonts w:ascii="Arial" w:hAnsi="Arial" w:cs="Arial"/>
                          <w:sz w:val="24"/>
                          <w:szCs w:val="28"/>
                        </w:rPr>
                        <w:t>a)</w:t>
                      </w:r>
                    </w:p>
                  </w:txbxContent>
                </v:textbox>
              </v:shape>
            </w:pict>
          </mc:Fallback>
        </mc:AlternateContent>
      </w:r>
      <w:r w:rsidRPr="00B11B1C">
        <w:rPr>
          <w:noProof/>
        </w:rPr>
        <mc:AlternateContent>
          <mc:Choice Requires="wps">
            <w:drawing>
              <wp:anchor distT="0" distB="0" distL="114300" distR="114300" simplePos="0" relativeHeight="251669504" behindDoc="0" locked="0" layoutInCell="1" allowOverlap="1" wp14:anchorId="6BBEFBAB" wp14:editId="18C9BE2B">
                <wp:simplePos x="0" y="0"/>
                <wp:positionH relativeFrom="column">
                  <wp:posOffset>1869440</wp:posOffset>
                </wp:positionH>
                <wp:positionV relativeFrom="paragraph">
                  <wp:posOffset>3314700</wp:posOffset>
                </wp:positionV>
                <wp:extent cx="914400" cy="338295"/>
                <wp:effectExtent l="0" t="0" r="0" b="5080"/>
                <wp:wrapNone/>
                <wp:docPr id="28" name="Text Box 28"/>
                <wp:cNvGraphicFramePr/>
                <a:graphic xmlns:a="http://schemas.openxmlformats.org/drawingml/2006/main">
                  <a:graphicData uri="http://schemas.microsoft.com/office/word/2010/wordprocessingShape">
                    <wps:wsp>
                      <wps:cNvSpPr txBox="1"/>
                      <wps:spPr>
                        <a:xfrm>
                          <a:off x="0" y="0"/>
                          <a:ext cx="914400" cy="338295"/>
                        </a:xfrm>
                        <a:prstGeom prst="rect">
                          <a:avLst/>
                        </a:prstGeom>
                        <a:noFill/>
                        <a:ln w="6350">
                          <a:noFill/>
                        </a:ln>
                      </wps:spPr>
                      <wps:txbx>
                        <w:txbxContent>
                          <w:p w14:paraId="61902EB8" w14:textId="77777777" w:rsidR="00CE32C5" w:rsidRPr="002500A1" w:rsidRDefault="00CE32C5" w:rsidP="007C15B4">
                            <w:pPr>
                              <w:rPr>
                                <w:rFonts w:ascii="Arial" w:hAnsi="Arial" w:cs="Arial"/>
                                <w:sz w:val="24"/>
                                <w:szCs w:val="28"/>
                              </w:rPr>
                            </w:pPr>
                            <w:r w:rsidRPr="002500A1">
                              <w:rPr>
                                <w:rFonts w:ascii="Arial" w:hAnsi="Arial" w:cs="Arial"/>
                                <w:sz w:val="24"/>
                                <w:szCs w:val="28"/>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BEFBAB" id="Text Box 28" o:spid="_x0000_s1032" type="#_x0000_t202" style="position:absolute;left:0;text-align:left;margin-left:147.2pt;margin-top:261pt;width:1in;height:26.65pt;z-index:251669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" filled="f" stroked="f" strokeweight=".5pt">
                <v:textbox>
                  <w:txbxContent>
                    <w:p w14:paraId="61902EB8" w14:textId="77777777" w:rsidR="00CE32C5" w:rsidRPr="002500A1" w:rsidRDefault="00CE32C5" w:rsidP="007C15B4">
                      <w:pPr>
                        <w:rPr>
                          <w:rFonts w:ascii="Arial" w:hAnsi="Arial" w:cs="Arial"/>
                          <w:sz w:val="24"/>
                          <w:szCs w:val="28"/>
                        </w:rPr>
                      </w:pPr>
                      <w:r w:rsidRPr="002500A1">
                        <w:rPr>
                          <w:rFonts w:ascii="Arial" w:hAnsi="Arial" w:cs="Arial"/>
                          <w:sz w:val="24"/>
                          <w:szCs w:val="28"/>
                        </w:rPr>
                        <w:t>c)</w:t>
                      </w:r>
                    </w:p>
                  </w:txbxContent>
                </v:textbox>
              </v:shape>
            </w:pict>
          </mc:Fallback>
        </mc:AlternateContent>
      </w:r>
      <w:r w:rsidRPr="00B11B1C">
        <w:rPr>
          <w:noProof/>
        </w:rPr>
        <w:drawing>
          <wp:inline distT="0" distB="0" distL="0" distR="0" wp14:anchorId="0E913298" wp14:editId="734EA2D2">
            <wp:extent cx="4819650" cy="3676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19650" cy="3676650"/>
                    </a:xfrm>
                    <a:prstGeom prst="rect">
                      <a:avLst/>
                    </a:prstGeom>
                    <a:noFill/>
                    <a:ln>
                      <a:noFill/>
                    </a:ln>
                  </pic:spPr>
                </pic:pic>
              </a:graphicData>
            </a:graphic>
          </wp:inline>
        </w:drawing>
      </w:r>
    </w:p>
    <w:p w14:paraId="62B28EA3" w14:textId="225A2BE0" w:rsidR="007C15B4" w:rsidRPr="00B11B1C" w:rsidRDefault="007C15B4" w:rsidP="004C136C">
      <w:pPr>
        <w:pStyle w:val="Caption"/>
      </w:pPr>
      <w:bookmarkStart w:id="20" w:name="_Ref77024897"/>
      <w:r w:rsidRPr="00B11B1C">
        <w:t xml:space="preserve">Figure </w:t>
      </w:r>
      <w:r w:rsidRPr="00B11B1C">
        <w:fldChar w:fldCharType="begin"/>
      </w:r>
      <w:r w:rsidRPr="00B11B1C">
        <w:instrText>SEQ Figure \* ARABIC</w:instrText>
      </w:r>
      <w:r w:rsidRPr="00B11B1C">
        <w:fldChar w:fldCharType="separate"/>
      </w:r>
      <w:r w:rsidR="00531B5C" w:rsidRPr="00B11B1C">
        <w:rPr>
          <w:noProof/>
        </w:rPr>
        <w:t>19</w:t>
      </w:r>
      <w:r w:rsidRPr="00B11B1C">
        <w:fldChar w:fldCharType="end"/>
      </w:r>
      <w:bookmarkEnd w:id="20"/>
      <w:r w:rsidRPr="00B11B1C">
        <w:t>. 3D scatter plots of voids in a) high debulk, b) low debulk, and c) benchmark laminates</w:t>
      </w:r>
    </w:p>
    <w:p w14:paraId="7717006B" w14:textId="6749076C" w:rsidR="007C15B4" w:rsidRPr="00B11B1C" w:rsidRDefault="007C15B4" w:rsidP="007C15B4">
      <w:pPr>
        <w:rPr>
          <w:color w:val="000000" w:themeColor="text1"/>
        </w:rPr>
      </w:pPr>
      <w:r w:rsidRPr="00B11B1C">
        <w:rPr>
          <w:color w:val="000000" w:themeColor="text1"/>
        </w:rPr>
        <w:t>The histogram of logarithms of void volumes suggests that the distribution of void volumes is approximately lognormal around its mode, but there is insufficient data to ascertain the nature of tail distributions and outliers (</w:t>
      </w:r>
      <w:r w:rsidRPr="00B11B1C">
        <w:rPr>
          <w:color w:val="000000" w:themeColor="text1"/>
        </w:rPr>
        <w:fldChar w:fldCharType="begin"/>
      </w:r>
      <w:r w:rsidRPr="00B11B1C">
        <w:rPr>
          <w:color w:val="000000" w:themeColor="text1"/>
        </w:rPr>
        <w:instrText xml:space="preserve"> REF _Ref77024933 \h  \* MERGEFORMAT </w:instrText>
      </w:r>
      <w:r w:rsidRPr="00B11B1C">
        <w:rPr>
          <w:color w:val="000000" w:themeColor="text1"/>
        </w:rPr>
      </w:r>
      <w:r w:rsidRPr="00B11B1C">
        <w:rPr>
          <w:color w:val="000000" w:themeColor="text1"/>
        </w:rPr>
        <w:fldChar w:fldCharType="separate"/>
      </w:r>
      <w:r w:rsidR="00531B5C" w:rsidRPr="00B11B1C">
        <w:t xml:space="preserve">Figure </w:t>
      </w:r>
      <w:r w:rsidR="00531B5C" w:rsidRPr="00B11B1C">
        <w:rPr>
          <w:noProof/>
        </w:rPr>
        <w:t>20</w:t>
      </w:r>
      <w:r w:rsidRPr="00B11B1C">
        <w:rPr>
          <w:color w:val="000000" w:themeColor="text1"/>
        </w:rPr>
        <w:fldChar w:fldCharType="end"/>
      </w:r>
      <w:r w:rsidRPr="00B11B1C">
        <w:rPr>
          <w:color w:val="000000" w:themeColor="text1"/>
        </w:rPr>
        <w:t>). Microvoids</w:t>
      </w:r>
      <w:r w:rsidR="00DB1C1F" w:rsidRPr="00B11B1C">
        <w:rPr>
          <w:color w:val="000000" w:themeColor="text1"/>
        </w:rPr>
        <w:t>, which are defined here as voids smaller than the diameter of a fiber,</w:t>
      </w:r>
      <w:r w:rsidRPr="00B11B1C">
        <w:rPr>
          <w:color w:val="000000" w:themeColor="text1"/>
        </w:rPr>
        <w:t xml:space="preserve"> were not included in the statistics due to the difficulty of reliably separating them from image noise, while voids of exceptional length were cut off by one end or the other of the specimens. The 3D reconstruction of these voids suggests that they are macroscopic, perhaps 1mm in full length.</w:t>
      </w:r>
    </w:p>
    <w:p w14:paraId="4877F6B7" w14:textId="77777777" w:rsidR="007C15B4" w:rsidRPr="00B11B1C" w:rsidRDefault="007C15B4" w:rsidP="007C15B4"/>
    <w:p w14:paraId="3D40AF69" w14:textId="77777777" w:rsidR="007C15B4" w:rsidRPr="00B11B1C" w:rsidRDefault="007C15B4" w:rsidP="007C15B4">
      <w:pPr>
        <w:keepNext/>
        <w:jc w:val="center"/>
      </w:pPr>
      <w:r w:rsidRPr="00B11B1C">
        <w:rPr>
          <w:noProof/>
        </w:rPr>
        <mc:AlternateContent>
          <mc:Choice Requires="wps">
            <w:drawing>
              <wp:anchor distT="0" distB="0" distL="114300" distR="114300" simplePos="0" relativeHeight="251661312" behindDoc="0" locked="0" layoutInCell="1" allowOverlap="1" wp14:anchorId="2AC93592" wp14:editId="0418EF72">
                <wp:simplePos x="0" y="0"/>
                <wp:positionH relativeFrom="column">
                  <wp:posOffset>117176</wp:posOffset>
                </wp:positionH>
                <wp:positionV relativeFrom="paragraph">
                  <wp:posOffset>1234440</wp:posOffset>
                </wp:positionV>
                <wp:extent cx="914400" cy="338295"/>
                <wp:effectExtent l="0" t="0" r="0" b="5080"/>
                <wp:wrapNone/>
                <wp:docPr id="19" name="Text Box 19"/>
                <wp:cNvGraphicFramePr/>
                <a:graphic xmlns:a="http://schemas.openxmlformats.org/drawingml/2006/main">
                  <a:graphicData uri="http://schemas.microsoft.com/office/word/2010/wordprocessingShape">
                    <wps:wsp>
                      <wps:cNvSpPr txBox="1"/>
                      <wps:spPr>
                        <a:xfrm>
                          <a:off x="0" y="0"/>
                          <a:ext cx="914400" cy="338295"/>
                        </a:xfrm>
                        <a:prstGeom prst="rect">
                          <a:avLst/>
                        </a:prstGeom>
                        <a:noFill/>
                        <a:ln w="6350">
                          <a:noFill/>
                        </a:ln>
                      </wps:spPr>
                      <wps:txbx>
                        <w:txbxContent>
                          <w:p w14:paraId="586155BA" w14:textId="77777777" w:rsidR="00CE32C5" w:rsidRPr="002500A1" w:rsidRDefault="00CE32C5" w:rsidP="007C15B4">
                            <w:pPr>
                              <w:rPr>
                                <w:rFonts w:ascii="Arial" w:hAnsi="Arial" w:cs="Arial"/>
                                <w:sz w:val="24"/>
                                <w:szCs w:val="28"/>
                              </w:rPr>
                            </w:pPr>
                            <w:r w:rsidRPr="002500A1">
                              <w:rPr>
                                <w:rFonts w:ascii="Arial" w:hAnsi="Arial" w:cs="Arial"/>
                                <w:sz w:val="24"/>
                                <w:szCs w:val="28"/>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C93592" id="Text Box 19" o:spid="_x0000_s1033" type="#_x0000_t202" style="position:absolute;left:0;text-align:left;margin-left:9.25pt;margin-top:97.2pt;width:1in;height:26.65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" filled="f" stroked="f" strokeweight=".5pt">
                <v:textbox>
                  <w:txbxContent>
                    <w:p w14:paraId="586155BA" w14:textId="77777777" w:rsidR="00CE32C5" w:rsidRPr="002500A1" w:rsidRDefault="00CE32C5" w:rsidP="007C15B4">
                      <w:pPr>
                        <w:rPr>
                          <w:rFonts w:ascii="Arial" w:hAnsi="Arial" w:cs="Arial"/>
                          <w:sz w:val="24"/>
                          <w:szCs w:val="28"/>
                        </w:rPr>
                      </w:pPr>
                      <w:r w:rsidRPr="002500A1">
                        <w:rPr>
                          <w:rFonts w:ascii="Arial" w:hAnsi="Arial" w:cs="Arial"/>
                          <w:sz w:val="24"/>
                          <w:szCs w:val="28"/>
                        </w:rPr>
                        <w:t>a)</w:t>
                      </w:r>
                    </w:p>
                  </w:txbxContent>
                </v:textbox>
              </v:shape>
            </w:pict>
          </mc:Fallback>
        </mc:AlternateContent>
      </w:r>
      <w:r w:rsidRPr="00B11B1C">
        <w:rPr>
          <w:noProof/>
        </w:rPr>
        <mc:AlternateContent>
          <mc:Choice Requires="wps">
            <w:drawing>
              <wp:anchor distT="0" distB="0" distL="114300" distR="114300" simplePos="0" relativeHeight="251663360" behindDoc="0" locked="0" layoutInCell="1" allowOverlap="1" wp14:anchorId="4BA68DE1" wp14:editId="4F9DC3AF">
                <wp:simplePos x="0" y="0"/>
                <wp:positionH relativeFrom="column">
                  <wp:posOffset>2074545</wp:posOffset>
                </wp:positionH>
                <wp:positionV relativeFrom="paragraph">
                  <wp:posOffset>1234440</wp:posOffset>
                </wp:positionV>
                <wp:extent cx="914400" cy="337820"/>
                <wp:effectExtent l="0" t="0" r="0" b="5080"/>
                <wp:wrapNone/>
                <wp:docPr id="21" name="Text Box 21"/>
                <wp:cNvGraphicFramePr/>
                <a:graphic xmlns:a="http://schemas.openxmlformats.org/drawingml/2006/main">
                  <a:graphicData uri="http://schemas.microsoft.com/office/word/2010/wordprocessingShape">
                    <wps:wsp>
                      <wps:cNvSpPr txBox="1"/>
                      <wps:spPr>
                        <a:xfrm>
                          <a:off x="0" y="0"/>
                          <a:ext cx="914400" cy="337820"/>
                        </a:xfrm>
                        <a:prstGeom prst="rect">
                          <a:avLst/>
                        </a:prstGeom>
                        <a:noFill/>
                        <a:ln w="6350">
                          <a:noFill/>
                        </a:ln>
                      </wps:spPr>
                      <wps:txbx>
                        <w:txbxContent>
                          <w:p w14:paraId="301FF918" w14:textId="77777777" w:rsidR="00CE32C5" w:rsidRPr="002500A1" w:rsidRDefault="00CE32C5" w:rsidP="007C15B4">
                            <w:pPr>
                              <w:rPr>
                                <w:rFonts w:ascii="Arial" w:hAnsi="Arial" w:cs="Arial"/>
                                <w:sz w:val="24"/>
                                <w:szCs w:val="28"/>
                              </w:rPr>
                            </w:pPr>
                            <w:r w:rsidRPr="002500A1">
                              <w:rPr>
                                <w:rFonts w:ascii="Arial" w:hAnsi="Arial" w:cs="Arial"/>
                                <w:sz w:val="24"/>
                                <w:szCs w:val="28"/>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A68DE1" id="Text Box 21" o:spid="_x0000_s1034" type="#_x0000_t202" style="position:absolute;left:0;text-align:left;margin-left:163.35pt;margin-top:97.2pt;width:1in;height:26.6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" filled="f" stroked="f" strokeweight=".5pt">
                <v:textbox>
                  <w:txbxContent>
                    <w:p w14:paraId="301FF918" w14:textId="77777777" w:rsidR="00CE32C5" w:rsidRPr="002500A1" w:rsidRDefault="00CE32C5" w:rsidP="007C15B4">
                      <w:pPr>
                        <w:rPr>
                          <w:rFonts w:ascii="Arial" w:hAnsi="Arial" w:cs="Arial"/>
                          <w:sz w:val="24"/>
                          <w:szCs w:val="28"/>
                        </w:rPr>
                      </w:pPr>
                      <w:r w:rsidRPr="002500A1">
                        <w:rPr>
                          <w:rFonts w:ascii="Arial" w:hAnsi="Arial" w:cs="Arial"/>
                          <w:sz w:val="24"/>
                          <w:szCs w:val="28"/>
                        </w:rPr>
                        <w:t>b)</w:t>
                      </w:r>
                    </w:p>
                  </w:txbxContent>
                </v:textbox>
              </v:shape>
            </w:pict>
          </mc:Fallback>
        </mc:AlternateContent>
      </w:r>
      <w:r w:rsidRPr="00B11B1C">
        <w:rPr>
          <w:noProof/>
        </w:rPr>
        <mc:AlternateContent>
          <mc:Choice Requires="wps">
            <w:drawing>
              <wp:anchor distT="0" distB="0" distL="114300" distR="114300" simplePos="0" relativeHeight="251665408" behindDoc="0" locked="0" layoutInCell="1" allowOverlap="1" wp14:anchorId="7268ED55" wp14:editId="3E65D123">
                <wp:simplePos x="0" y="0"/>
                <wp:positionH relativeFrom="column">
                  <wp:posOffset>4111326</wp:posOffset>
                </wp:positionH>
                <wp:positionV relativeFrom="paragraph">
                  <wp:posOffset>1234440</wp:posOffset>
                </wp:positionV>
                <wp:extent cx="914400" cy="338295"/>
                <wp:effectExtent l="0" t="0" r="0" b="5080"/>
                <wp:wrapNone/>
                <wp:docPr id="24" name="Text Box 24"/>
                <wp:cNvGraphicFramePr/>
                <a:graphic xmlns:a="http://schemas.openxmlformats.org/drawingml/2006/main">
                  <a:graphicData uri="http://schemas.microsoft.com/office/word/2010/wordprocessingShape">
                    <wps:wsp>
                      <wps:cNvSpPr txBox="1"/>
                      <wps:spPr>
                        <a:xfrm>
                          <a:off x="0" y="0"/>
                          <a:ext cx="914400" cy="338295"/>
                        </a:xfrm>
                        <a:prstGeom prst="rect">
                          <a:avLst/>
                        </a:prstGeom>
                        <a:noFill/>
                        <a:ln w="6350">
                          <a:noFill/>
                        </a:ln>
                      </wps:spPr>
                      <wps:txbx>
                        <w:txbxContent>
                          <w:p w14:paraId="08879233" w14:textId="77777777" w:rsidR="00CE32C5" w:rsidRPr="002500A1" w:rsidRDefault="00CE32C5" w:rsidP="007C15B4">
                            <w:pPr>
                              <w:rPr>
                                <w:rFonts w:ascii="Arial" w:hAnsi="Arial" w:cs="Arial"/>
                                <w:sz w:val="24"/>
                                <w:szCs w:val="28"/>
                              </w:rPr>
                            </w:pPr>
                            <w:r w:rsidRPr="002500A1">
                              <w:rPr>
                                <w:rFonts w:ascii="Arial" w:hAnsi="Arial" w:cs="Arial"/>
                                <w:sz w:val="24"/>
                                <w:szCs w:val="28"/>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68ED55" id="Text Box 24" o:spid="_x0000_s1035" type="#_x0000_t202" style="position:absolute;left:0;text-align:left;margin-left:323.75pt;margin-top:97.2pt;width:1in;height:26.65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" filled="f" stroked="f" strokeweight=".5pt">
                <v:textbox>
                  <w:txbxContent>
                    <w:p w14:paraId="08879233" w14:textId="77777777" w:rsidR="00CE32C5" w:rsidRPr="002500A1" w:rsidRDefault="00CE32C5" w:rsidP="007C15B4">
                      <w:pPr>
                        <w:rPr>
                          <w:rFonts w:ascii="Arial" w:hAnsi="Arial" w:cs="Arial"/>
                          <w:sz w:val="24"/>
                          <w:szCs w:val="28"/>
                        </w:rPr>
                      </w:pPr>
                      <w:r w:rsidRPr="002500A1">
                        <w:rPr>
                          <w:rFonts w:ascii="Arial" w:hAnsi="Arial" w:cs="Arial"/>
                          <w:sz w:val="24"/>
                          <w:szCs w:val="28"/>
                        </w:rPr>
                        <w:t>c)</w:t>
                      </w:r>
                    </w:p>
                  </w:txbxContent>
                </v:textbox>
              </v:shape>
            </w:pict>
          </mc:Fallback>
        </mc:AlternateContent>
      </w:r>
      <w:r w:rsidRPr="00B11B1C">
        <w:rPr>
          <w:noProof/>
        </w:rPr>
        <w:drawing>
          <wp:inline distT="0" distB="0" distL="0" distR="0" wp14:anchorId="6314FDE9" wp14:editId="375DB773">
            <wp:extent cx="5943600" cy="14947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1494790"/>
                    </a:xfrm>
                    <a:prstGeom prst="rect">
                      <a:avLst/>
                    </a:prstGeom>
                    <a:noFill/>
                    <a:ln>
                      <a:noFill/>
                    </a:ln>
                  </pic:spPr>
                </pic:pic>
              </a:graphicData>
            </a:graphic>
          </wp:inline>
        </w:drawing>
      </w:r>
    </w:p>
    <w:p w14:paraId="75961C51" w14:textId="7288C2D7" w:rsidR="007C15B4" w:rsidRPr="00B11B1C" w:rsidRDefault="007C15B4" w:rsidP="004C136C">
      <w:pPr>
        <w:pStyle w:val="Caption"/>
      </w:pPr>
      <w:bookmarkStart w:id="21" w:name="_Ref77024933"/>
      <w:r w:rsidRPr="00B11B1C">
        <w:t xml:space="preserve">Figure </w:t>
      </w:r>
      <w:r w:rsidRPr="00B11B1C">
        <w:fldChar w:fldCharType="begin"/>
      </w:r>
      <w:r w:rsidRPr="00B11B1C">
        <w:instrText>SEQ Figure \* ARABIC</w:instrText>
      </w:r>
      <w:r w:rsidRPr="00B11B1C">
        <w:fldChar w:fldCharType="separate"/>
      </w:r>
      <w:r w:rsidR="00531B5C" w:rsidRPr="00B11B1C">
        <w:rPr>
          <w:noProof/>
        </w:rPr>
        <w:t>20</w:t>
      </w:r>
      <w:r w:rsidRPr="00B11B1C">
        <w:fldChar w:fldCharType="end"/>
      </w:r>
      <w:bookmarkEnd w:id="21"/>
      <w:r w:rsidRPr="00B11B1C">
        <w:t>. Histogram of the Log of void volumes for a) high debulk, b) low debulk, and c) benchmark samples</w:t>
      </w:r>
    </w:p>
    <w:p w14:paraId="1AC95314" w14:textId="18935EB6" w:rsidR="007C15B4" w:rsidRPr="00B11B1C" w:rsidRDefault="007C15B4" w:rsidP="007C15B4">
      <w:pPr>
        <w:rPr>
          <w:color w:val="000000" w:themeColor="text1"/>
        </w:rPr>
      </w:pPr>
      <w:r w:rsidRPr="00B11B1C">
        <w:rPr>
          <w:color w:val="000000" w:themeColor="text1"/>
        </w:rPr>
        <w:t>Voids are approximately prolate spheroids in shape, with major axes parallel to the fiber direction (</w:t>
      </w:r>
      <w:r w:rsidRPr="00B11B1C">
        <w:rPr>
          <w:color w:val="000000" w:themeColor="text1"/>
        </w:rPr>
        <w:fldChar w:fldCharType="begin"/>
      </w:r>
      <w:r w:rsidRPr="00B11B1C">
        <w:rPr>
          <w:color w:val="000000" w:themeColor="text1"/>
        </w:rPr>
        <w:instrText xml:space="preserve"> REF _Ref77025394 \h  \* MERGEFORMAT </w:instrText>
      </w:r>
      <w:r w:rsidRPr="00B11B1C">
        <w:rPr>
          <w:color w:val="000000" w:themeColor="text1"/>
        </w:rPr>
      </w:r>
      <w:r w:rsidRPr="00B11B1C">
        <w:rPr>
          <w:color w:val="000000" w:themeColor="text1"/>
        </w:rPr>
        <w:fldChar w:fldCharType="separate"/>
      </w:r>
      <w:r w:rsidR="00531B5C" w:rsidRPr="00B11B1C">
        <w:t xml:space="preserve">Figure </w:t>
      </w:r>
      <w:r w:rsidR="00531B5C" w:rsidRPr="00B11B1C">
        <w:rPr>
          <w:noProof/>
        </w:rPr>
        <w:t>21</w:t>
      </w:r>
      <w:r w:rsidRPr="00B11B1C">
        <w:rPr>
          <w:color w:val="000000" w:themeColor="text1"/>
        </w:rPr>
        <w:fldChar w:fldCharType="end"/>
      </w:r>
      <w:r w:rsidRPr="00B11B1C">
        <w:rPr>
          <w:color w:val="000000" w:themeColor="text1"/>
        </w:rPr>
        <w:t>).  Unlike those of microvoids, however, the cross-sections of macroscopic voids are clearly not convex.  The indentations are due to the presence of nearby fibers.  Portraits of voids at their widest cross-sections confirm that they are almost entirely surrounded by a tight perimeter of fibers (</w:t>
      </w:r>
      <w:r w:rsidR="00531B5C" w:rsidRPr="00B11B1C">
        <w:rPr>
          <w:color w:val="000000" w:themeColor="text1"/>
        </w:rPr>
        <w:fldChar w:fldCharType="begin"/>
      </w:r>
      <w:r w:rsidR="00531B5C" w:rsidRPr="00B11B1C">
        <w:rPr>
          <w:color w:val="000000" w:themeColor="text1"/>
        </w:rPr>
        <w:instrText xml:space="preserve"> REF _Ref77025394 \h </w:instrText>
      </w:r>
      <w:r w:rsidR="00531B5C" w:rsidRPr="00B11B1C">
        <w:rPr>
          <w:color w:val="000000" w:themeColor="text1"/>
        </w:rPr>
      </w:r>
      <w:r w:rsidR="00B11B1C">
        <w:rPr>
          <w:color w:val="000000" w:themeColor="text1"/>
        </w:rPr>
        <w:instrText xml:space="preserve"> \* MERGEFORMAT </w:instrText>
      </w:r>
      <w:r w:rsidR="00531B5C" w:rsidRPr="00B11B1C">
        <w:rPr>
          <w:color w:val="000000" w:themeColor="text1"/>
        </w:rPr>
        <w:fldChar w:fldCharType="separate"/>
      </w:r>
      <w:r w:rsidR="00531B5C" w:rsidRPr="00B11B1C">
        <w:t xml:space="preserve">Figure </w:t>
      </w:r>
      <w:r w:rsidR="00531B5C" w:rsidRPr="00B11B1C">
        <w:rPr>
          <w:noProof/>
        </w:rPr>
        <w:t>21</w:t>
      </w:r>
      <w:r w:rsidR="00531B5C" w:rsidRPr="00B11B1C">
        <w:rPr>
          <w:color w:val="000000" w:themeColor="text1"/>
        </w:rPr>
        <w:fldChar w:fldCharType="end"/>
      </w:r>
      <w:r w:rsidR="00531B5C" w:rsidRPr="00B11B1C">
        <w:rPr>
          <w:color w:val="000000" w:themeColor="text1"/>
        </w:rPr>
        <w:t>)</w:t>
      </w:r>
      <w:r w:rsidRPr="00B11B1C">
        <w:rPr>
          <w:color w:val="000000" w:themeColor="text1"/>
        </w:rPr>
        <w:t>.</w:t>
      </w:r>
    </w:p>
    <w:p w14:paraId="3884DF49" w14:textId="77777777" w:rsidR="007C15B4" w:rsidRPr="00B11B1C" w:rsidRDefault="007C15B4" w:rsidP="007C15B4">
      <w:pPr>
        <w:keepNext/>
        <w:jc w:val="center"/>
      </w:pPr>
      <w:r w:rsidRPr="00B11B1C">
        <w:rPr>
          <w:noProof/>
        </w:rPr>
        <w:lastRenderedPageBreak/>
        <w:drawing>
          <wp:inline distT="0" distB="0" distL="0" distR="0" wp14:anchorId="21538E85" wp14:editId="1D8F52B2">
            <wp:extent cx="4236875" cy="1905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43050" cy="1907777"/>
                    </a:xfrm>
                    <a:prstGeom prst="rect">
                      <a:avLst/>
                    </a:prstGeom>
                  </pic:spPr>
                </pic:pic>
              </a:graphicData>
            </a:graphic>
          </wp:inline>
        </w:drawing>
      </w:r>
    </w:p>
    <w:p w14:paraId="5C76D620" w14:textId="25A1C7FA" w:rsidR="007C15B4" w:rsidRPr="00B11B1C" w:rsidRDefault="007C15B4" w:rsidP="004C136C">
      <w:pPr>
        <w:pStyle w:val="Caption"/>
      </w:pPr>
      <w:bookmarkStart w:id="22" w:name="_Ref77025394"/>
      <w:r w:rsidRPr="00B11B1C">
        <w:t xml:space="preserve">Figure </w:t>
      </w:r>
      <w:r w:rsidRPr="00B11B1C">
        <w:fldChar w:fldCharType="begin"/>
      </w:r>
      <w:r w:rsidRPr="00B11B1C">
        <w:instrText>SEQ Figure \* ARABIC</w:instrText>
      </w:r>
      <w:r w:rsidRPr="00B11B1C">
        <w:fldChar w:fldCharType="separate"/>
      </w:r>
      <w:r w:rsidR="00531B5C" w:rsidRPr="00B11B1C">
        <w:rPr>
          <w:noProof/>
        </w:rPr>
        <w:t>21</w:t>
      </w:r>
      <w:r w:rsidRPr="00B11B1C">
        <w:fldChar w:fldCharType="end"/>
      </w:r>
      <w:bookmarkEnd w:id="22"/>
      <w:r w:rsidRPr="00B11B1C">
        <w:t>. Voxel reconstruction of the largest voids for the a) high debulk and b) low debulk samples</w:t>
      </w:r>
    </w:p>
    <w:p w14:paraId="560164F6" w14:textId="77777777" w:rsidR="007C15B4" w:rsidRPr="00B11B1C" w:rsidRDefault="007C15B4" w:rsidP="007C15B4">
      <w:pPr>
        <w:rPr>
          <w:color w:val="000000" w:themeColor="text1"/>
        </w:rPr>
      </w:pPr>
      <w:r w:rsidRPr="00B11B1C">
        <w:rPr>
          <w:color w:val="000000" w:themeColor="text1"/>
        </w:rPr>
        <w:t xml:space="preserve">The interface between the voids and nearby matrix-rich areas is negligible, and the diameter of void cross-sections far exceeds the mean spacing between adjacent fibers. </w:t>
      </w:r>
      <w:r w:rsidRPr="00B11B1C">
        <w:rPr>
          <w:color w:val="008080"/>
          <w:szCs w:val="22"/>
          <w:u w:val="single"/>
        </w:rPr>
        <w:t xml:space="preserve">The two phases seem to exist in an equilibrium of forces, with both the fibers constraining the void shape by e.g. filament bending stiffness, and the void pushing the fibers apart by the fluid pressure of the bubble. </w:t>
      </w:r>
      <w:r w:rsidRPr="00B11B1C">
        <w:rPr>
          <w:color w:val="000000" w:themeColor="text1"/>
        </w:rPr>
        <w:t>It is left for further research to understand the fluid mechanics leading to the formation of these macroscopic voids.</w:t>
      </w:r>
    </w:p>
    <w:p w14:paraId="0E8B1B52" w14:textId="77777777" w:rsidR="007C15B4" w:rsidRPr="00B11B1C" w:rsidRDefault="007C15B4" w:rsidP="007C15B4">
      <w:pPr>
        <w:keepNext/>
        <w:jc w:val="center"/>
      </w:pPr>
      <w:r w:rsidRPr="00B11B1C">
        <w:rPr>
          <w:noProof/>
        </w:rPr>
        <w:drawing>
          <wp:inline distT="0" distB="0" distL="0" distR="0" wp14:anchorId="1E6429FE" wp14:editId="03ABB903">
            <wp:extent cx="3905250" cy="160646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36165" cy="1619179"/>
                    </a:xfrm>
                    <a:prstGeom prst="rect">
                      <a:avLst/>
                    </a:prstGeom>
                  </pic:spPr>
                </pic:pic>
              </a:graphicData>
            </a:graphic>
          </wp:inline>
        </w:drawing>
      </w:r>
    </w:p>
    <w:p w14:paraId="09A3C620" w14:textId="641D5541" w:rsidR="007C15B4" w:rsidRPr="00B11B1C" w:rsidRDefault="007C15B4" w:rsidP="004C136C">
      <w:pPr>
        <w:pStyle w:val="Caption"/>
      </w:pPr>
      <w:bookmarkStart w:id="23" w:name="_Ref77025732"/>
      <w:r w:rsidRPr="00B11B1C">
        <w:t xml:space="preserve">Figure </w:t>
      </w:r>
      <w:r w:rsidRPr="00B11B1C">
        <w:fldChar w:fldCharType="begin"/>
      </w:r>
      <w:r w:rsidRPr="00B11B1C">
        <w:instrText>SEQ Figure \* ARABIC</w:instrText>
      </w:r>
      <w:r w:rsidRPr="00B11B1C">
        <w:fldChar w:fldCharType="separate"/>
      </w:r>
      <w:r w:rsidR="00531B5C" w:rsidRPr="00B11B1C">
        <w:rPr>
          <w:noProof/>
        </w:rPr>
        <w:t>22</w:t>
      </w:r>
      <w:r w:rsidRPr="00B11B1C">
        <w:fldChar w:fldCharType="end"/>
      </w:r>
      <w:bookmarkEnd w:id="23"/>
      <w:r w:rsidRPr="00B11B1C">
        <w:t>. Portraits of maximal void 2D cross-sections for the a) high debulk, b) low debulk, and c) benchmark samples</w:t>
      </w:r>
      <w:r w:rsidR="00380FDF" w:rsidRPr="00B11B1C">
        <w:t>. Voids are the darker colored regions.</w:t>
      </w:r>
    </w:p>
    <w:p w14:paraId="72D9D545" w14:textId="77777777" w:rsidR="007C15B4" w:rsidRPr="00B11B1C" w:rsidRDefault="007C15B4" w:rsidP="007C15B4"/>
    <w:p w14:paraId="58B50677" w14:textId="254C6675" w:rsidR="009810FE" w:rsidRPr="00B11B1C" w:rsidRDefault="009810FE" w:rsidP="00B831FD">
      <w:pPr>
        <w:pStyle w:val="Heading1"/>
      </w:pPr>
      <w:r w:rsidRPr="00B11B1C">
        <w:t>Summary and Conclusions</w:t>
      </w:r>
    </w:p>
    <w:p w14:paraId="546D32EC" w14:textId="144CBB35" w:rsidR="007C15B4" w:rsidRPr="00B11B1C" w:rsidRDefault="007C15B4" w:rsidP="007C15B4">
      <w:r w:rsidRPr="00B11B1C">
        <w:t xml:space="preserve">Debulking is typically done to improve the compaction of carbon fibers prior to infusion, thus improving the performance of cured fiber reinforced composites while avoiding more expensive manufacturing techniques. While limited work has been done in the past to study the effects of debulking on the void formation within manufactured parts, </w:t>
      </w:r>
      <w:r w:rsidR="006B335E" w:rsidRPr="00B11B1C">
        <w:rPr>
          <w:color w:val="008080"/>
          <w:szCs w:val="22"/>
          <w:u w:val="single"/>
        </w:rPr>
        <w:t xml:space="preserve">no </w:t>
      </w:r>
      <w:r w:rsidRPr="00B11B1C">
        <w:t xml:space="preserve">previous work has studied the effect of debulking on the resulting fiber and void microstructure </w:t>
      </w:r>
      <w:r w:rsidRPr="00B11B1C">
        <w:rPr>
          <w:color w:val="008080"/>
          <w:szCs w:val="22"/>
          <w:u w:val="single"/>
        </w:rPr>
        <w:t>after the high number of debulking cycles typical to industry</w:t>
      </w:r>
      <w:r w:rsidRPr="00B11B1C">
        <w:t xml:space="preserve">. </w:t>
      </w:r>
    </w:p>
    <w:p w14:paraId="2007E772" w14:textId="189877F8" w:rsidR="00CF6726" w:rsidRPr="00B11B1C" w:rsidRDefault="007C15B4" w:rsidP="007C15B4">
      <w:r w:rsidRPr="00B11B1C">
        <w:t>Metrics were employed which permit the study of the spatial and structural distribution of fibers</w:t>
      </w:r>
      <w:r w:rsidR="007245F2" w:rsidRPr="00B11B1C">
        <w:t xml:space="preserve"> and voids</w:t>
      </w:r>
      <w:r w:rsidRPr="00B11B1C">
        <w:t xml:space="preserve">. Comparison of the </w:t>
      </w:r>
      <w:r w:rsidR="007245F2" w:rsidRPr="00B11B1C">
        <w:t xml:space="preserve">fiber </w:t>
      </w:r>
      <w:r w:rsidRPr="00B11B1C">
        <w:t xml:space="preserve">local volume fraction distribution showed that the level of debulking seemed to increase the </w:t>
      </w:r>
      <w:r w:rsidR="003621F3" w:rsidRPr="00B11B1C">
        <w:t>mean local volume fraction</w:t>
      </w:r>
      <w:r w:rsidRPr="00B11B1C">
        <w:t xml:space="preserve"> of carbon fibers</w:t>
      </w:r>
      <w:r w:rsidR="003621F3" w:rsidRPr="00B11B1C">
        <w:t xml:space="preserve"> slightly</w:t>
      </w:r>
      <w:r w:rsidR="007245F2" w:rsidRPr="00B11B1C">
        <w:t>,</w:t>
      </w:r>
      <w:r w:rsidR="003621F3" w:rsidRPr="00B11B1C">
        <w:t xml:space="preserve"> but</w:t>
      </w:r>
      <w:r w:rsidR="00350F06" w:rsidRPr="00B11B1C">
        <w:t xml:space="preserve"> the overlap of the standard deviations for both the tow and laminate samples casted doubt on the </w:t>
      </w:r>
      <w:r w:rsidR="003B350F" w:rsidRPr="00B11B1C">
        <w:t>significance of these differences</w:t>
      </w:r>
      <w:r w:rsidRPr="00B11B1C">
        <w:t>.</w:t>
      </w:r>
      <w:r w:rsidR="003B350F" w:rsidRPr="00B11B1C">
        <w:t xml:space="preserve"> A clearer comparison between the different levels of debulking came from the kurtosis of </w:t>
      </w:r>
      <w:r w:rsidR="004C4E64" w:rsidRPr="00B11B1C">
        <w:t xml:space="preserve">the </w:t>
      </w:r>
      <w:r w:rsidR="00D02CFB" w:rsidRPr="00B11B1C">
        <w:t xml:space="preserve">local </w:t>
      </w:r>
      <w:r w:rsidR="007245F2" w:rsidRPr="00B11B1C">
        <w:t xml:space="preserve">fiber </w:t>
      </w:r>
      <w:r w:rsidR="00D02CFB" w:rsidRPr="00B11B1C">
        <w:t>volume fraction data for the laminate samples. These results showed that the number of outlier</w:t>
      </w:r>
      <w:r w:rsidR="00686F1B" w:rsidRPr="00B11B1C">
        <w:t xml:space="preserve"> fiber</w:t>
      </w:r>
      <w:r w:rsidR="00B90811" w:rsidRPr="00B11B1C">
        <w:t xml:space="preserve">s in terms of local </w:t>
      </w:r>
      <w:r w:rsidR="007245F2" w:rsidRPr="00B11B1C">
        <w:t xml:space="preserve">fiber </w:t>
      </w:r>
      <w:r w:rsidR="00B90811" w:rsidRPr="00B11B1C">
        <w:t xml:space="preserve">volume fraction increased as the level of debulking decreased. This suggests that one of the true effects of debulking is not an increase in the mean density of fibers within the sample but rather </w:t>
      </w:r>
      <w:r w:rsidR="00266223" w:rsidRPr="00B11B1C">
        <w:t xml:space="preserve">an increase </w:t>
      </w:r>
      <w:r w:rsidR="00266223" w:rsidRPr="00B11B1C">
        <w:lastRenderedPageBreak/>
        <w:t>in the density of fibers with unusually low local volume fraction values, such as those which occur at more resin rich regions at the boundaries of tows and plies.</w:t>
      </w:r>
    </w:p>
    <w:p w14:paraId="1E545359" w14:textId="291AF274" w:rsidR="00855994" w:rsidRPr="00B11B1C" w:rsidRDefault="007C15B4" w:rsidP="007C15B4">
      <w:r w:rsidRPr="00B11B1C">
        <w:t xml:space="preserve">The unique neighbor change metric was used to see if the level of debulking influenced the </w:t>
      </w:r>
      <w:r w:rsidR="00CF6726" w:rsidRPr="00B11B1C">
        <w:t>relative position of each fiber to its nearest neighbors</w:t>
      </w:r>
      <w:r w:rsidRPr="00B11B1C">
        <w:t>.</w:t>
      </w:r>
      <w:r w:rsidR="00855994" w:rsidRPr="00B11B1C">
        <w:t xml:space="preserve"> The probability density function</w:t>
      </w:r>
      <w:r w:rsidR="007A2C98" w:rsidRPr="00B11B1C">
        <w:t>s across the tow and laminate samples were extremely similar, suggesting that</w:t>
      </w:r>
      <w:r w:rsidR="000F5649" w:rsidRPr="00B11B1C">
        <w:t xml:space="preserve"> the level of entanglement is a constant throughout the sample i</w:t>
      </w:r>
      <w:r w:rsidR="004E2E9F" w:rsidRPr="00B11B1C">
        <w:t xml:space="preserve">f the population size of fibers is at least as large as the smallest tow sample analyzed. Further work needs to be done to quantify whether the </w:t>
      </w:r>
      <w:r w:rsidR="00ED6489" w:rsidRPr="00B11B1C">
        <w:t>distribution</w:t>
      </w:r>
      <w:r w:rsidR="004E2E9F" w:rsidRPr="00B11B1C">
        <w:t xml:space="preserve"> of </w:t>
      </w:r>
      <w:r w:rsidR="00ED6489" w:rsidRPr="00B11B1C">
        <w:t>the unique neighbor change rate</w:t>
      </w:r>
      <w:r w:rsidR="004E2E9F" w:rsidRPr="00B11B1C">
        <w:t xml:space="preserve"> observed </w:t>
      </w:r>
      <w:r w:rsidR="00ED6489" w:rsidRPr="00B11B1C">
        <w:t>changes at smaller sample sizes</w:t>
      </w:r>
      <w:r w:rsidR="00B57010" w:rsidRPr="00B11B1C">
        <w:t xml:space="preserve"> and what this size would be.</w:t>
      </w:r>
      <w:r w:rsidRPr="00B11B1C">
        <w:t xml:space="preserve"> No clear relationship was observed between the unique neighbor change rate and the level of debulking. </w:t>
      </w:r>
      <w:r w:rsidR="00B57010" w:rsidRPr="00B11B1C">
        <w:t>This suggests that the relative fiber positions do not change as a function of the level of debulking applied to the dry fibers prior to infusion.</w:t>
      </w:r>
    </w:p>
    <w:p w14:paraId="748BE26B" w14:textId="6C123A90" w:rsidR="00596104" w:rsidRPr="00B11B1C" w:rsidRDefault="007C15B4" w:rsidP="007C15B4">
      <w:r w:rsidRPr="00B11B1C">
        <w:t xml:space="preserve">The cluster analysis was performed to see whether the level of debulking had any effect on the fiber clustering present within the sample. The clusters present in all samples were longer in the direction normal to compaction. The cluster size was higher in the debulked samples. </w:t>
      </w:r>
    </w:p>
    <w:p w14:paraId="5D486A1A" w14:textId="03E08912" w:rsidR="007C15B4" w:rsidRPr="00B11B1C" w:rsidRDefault="007C15B4" w:rsidP="007C15B4">
      <w:r w:rsidRPr="00B11B1C">
        <w:t>The void content and size of voids significantly increased with the level of debulking</w:t>
      </w:r>
      <w:r w:rsidR="003B425F" w:rsidRPr="00B11B1C">
        <w:t>, and was the most pronounced difference between the high, low, and benchmark samples</w:t>
      </w:r>
      <w:r w:rsidRPr="00B11B1C">
        <w:t>. The reconstruction of the voids showed that they are non-convex, and always surrounded by fibers. The surrounding fibers suggest that the presence of the voids is due to the tight packing of the fibers caused by the level of debulking. It is unclear yet whether the voids caused any kind of deviation of the fiber paths. Further analysis needs to be done to see whether the voids present change the orientation of the fibers.</w:t>
      </w:r>
    </w:p>
    <w:p w14:paraId="3E1B5344" w14:textId="586649B1" w:rsidR="007C15B4" w:rsidRPr="00B11B1C" w:rsidRDefault="007C15B4" w:rsidP="007C15B4">
      <w:r w:rsidRPr="00B11B1C">
        <w:t xml:space="preserve">The debulking process is widely used as an alternative to manufacturing methods which compact fibers at a higher cost. Research has shown that the process of debulking can produce favorable volume fractions of fibers, but at the cost of </w:t>
      </w:r>
      <w:r w:rsidR="003B425F" w:rsidRPr="00B11B1C">
        <w:t xml:space="preserve">slower infiltration and potentially increasing </w:t>
      </w:r>
      <w:r w:rsidRPr="00B11B1C">
        <w:t>voids. The analysis of voids and void content as a function of debulking is an important step in the endeavor to understand the structural effects of debulking itself. Additionally, it is important to understand the resulting microstructure of any manufacturing process</w:t>
      </w:r>
      <w:r w:rsidR="00523D91" w:rsidRPr="00B11B1C">
        <w:t xml:space="preserve"> so that ties between manufacturing and performance can be made</w:t>
      </w:r>
      <w:r w:rsidRPr="00B11B1C">
        <w:t xml:space="preserve">. The results presented here are meant to further understand the effects of debulking on the final </w:t>
      </w:r>
      <w:r w:rsidR="00523D91" w:rsidRPr="00B11B1C">
        <w:t>microstructure of unidirectional laminates</w:t>
      </w:r>
      <w:r w:rsidRPr="00B11B1C">
        <w:t>. Identifying the effects of debulking on the resulting microstructure through rigorous analysis and metrics will hopefully bring research a step closer to tailoring manufacturing processes and producing optimal composite parts.</w:t>
      </w:r>
    </w:p>
    <w:p w14:paraId="65DE8AE5" w14:textId="77777777" w:rsidR="001E7671" w:rsidRPr="00B11B1C" w:rsidRDefault="72E09976" w:rsidP="00B831FD">
      <w:pPr>
        <w:pStyle w:val="Heading1"/>
      </w:pPr>
      <w:r w:rsidRPr="00B11B1C">
        <w:t>Acknowledgements</w:t>
      </w:r>
    </w:p>
    <w:p w14:paraId="63063918" w14:textId="77777777" w:rsidR="003337B7" w:rsidRPr="00B11B1C" w:rsidRDefault="003337B7" w:rsidP="003337B7">
      <w:r w:rsidRPr="00B11B1C">
        <w:t>This work is based upon work supported by the National Science Foundation and Air Force Office of Scientific Research under grant number IIP1826232. Any opinions, findings, and conclusions or recommendations expressed in this material are those of the author(s) and do not necessarily reflect the views of the National Science Foundation.</w:t>
      </w:r>
    </w:p>
    <w:p w14:paraId="00C93460" w14:textId="591E723B" w:rsidR="003337B7" w:rsidRPr="00B11B1C" w:rsidRDefault="003337B7" w:rsidP="003337B7">
      <w:r w:rsidRPr="00B11B1C">
        <w:t xml:space="preserve">The authors would like to thank Richard Martin at the NASA Glenn Research center for their funding, time, and assistance with the Robo-MET serial sectioning machine. </w:t>
      </w:r>
      <w:r w:rsidR="008039C6" w:rsidRPr="00B11B1C">
        <w:t xml:space="preserve">The authors would also like to thank </w:t>
      </w:r>
      <w:r w:rsidR="00A83641" w:rsidRPr="00B11B1C">
        <w:t xml:space="preserve">Valentin Boutrouche of the University of Massachusetts </w:t>
      </w:r>
      <w:r w:rsidR="004C03E5" w:rsidRPr="00B11B1C">
        <w:t>for his contributions to the visualizations used in this work.</w:t>
      </w:r>
    </w:p>
    <w:p w14:paraId="625B1B62" w14:textId="4D118E64" w:rsidR="001E7671" w:rsidRPr="00B11B1C" w:rsidRDefault="72E09976" w:rsidP="00B831FD">
      <w:pPr>
        <w:pStyle w:val="Heading1"/>
      </w:pPr>
      <w:r w:rsidRPr="00B11B1C">
        <w:t>References</w:t>
      </w:r>
    </w:p>
    <w:p w14:paraId="19CAAE5B" w14:textId="77777777" w:rsidR="00802A1F" w:rsidRPr="00B11B1C" w:rsidRDefault="00D91C87" w:rsidP="00802A1F">
      <w:pPr>
        <w:pStyle w:val="Bibliography"/>
      </w:pPr>
      <w:r w:rsidRPr="00B11B1C">
        <w:fldChar w:fldCharType="begin"/>
      </w:r>
      <w:r w:rsidRPr="00B11B1C">
        <w:instrText xml:space="preserve"> ADDIN ZOTERO_BIBL {"uncited":[],"omitted":[],"custom":[]} CSL_BIBLIOGRAPHY </w:instrText>
      </w:r>
      <w:r w:rsidRPr="00B11B1C">
        <w:fldChar w:fldCharType="separate"/>
      </w:r>
      <w:r w:rsidR="00802A1F" w:rsidRPr="00B11B1C">
        <w:t>[1]</w:t>
      </w:r>
      <w:r w:rsidR="00802A1F" w:rsidRPr="00B11B1C">
        <w:tab/>
        <w:t xml:space="preserve">C. Williams, J. Summerscales, and S. Grove, “Resin Infusion under Flexible Tooling (RIFT): a review,” </w:t>
      </w:r>
      <w:r w:rsidR="00802A1F" w:rsidRPr="00B11B1C">
        <w:rPr>
          <w:i/>
          <w:iCs/>
        </w:rPr>
        <w:t>Composites Part A: Applied Science and Manufacturing</w:t>
      </w:r>
      <w:r w:rsidR="00802A1F" w:rsidRPr="00B11B1C">
        <w:t>, vol. 27, no. 7, pp. 517–524, Jan. 1996, doi: 10.1016/1359-835X(96)00008-5.</w:t>
      </w:r>
    </w:p>
    <w:p w14:paraId="0F8F9AED" w14:textId="77777777" w:rsidR="00802A1F" w:rsidRPr="00B11B1C" w:rsidRDefault="00802A1F" w:rsidP="00802A1F">
      <w:pPr>
        <w:pStyle w:val="Bibliography"/>
      </w:pPr>
      <w:r w:rsidRPr="00B11B1C">
        <w:t>[2]</w:t>
      </w:r>
      <w:r w:rsidRPr="00B11B1C">
        <w:tab/>
        <w:t xml:space="preserve">S. F. M. de Almeida and Z. dos S. N. Neto, “Effect of void content on the strength of composite laminates,” </w:t>
      </w:r>
      <w:r w:rsidRPr="00B11B1C">
        <w:rPr>
          <w:i/>
          <w:iCs/>
        </w:rPr>
        <w:t>Composite Structures</w:t>
      </w:r>
      <w:r w:rsidRPr="00B11B1C">
        <w:t>, vol. 28, no. 2, pp. 139–148, Jan. 1994, doi: 10.1016/0263-8223(94)90044-2.</w:t>
      </w:r>
    </w:p>
    <w:p w14:paraId="13371C9D" w14:textId="77777777" w:rsidR="00802A1F" w:rsidRPr="00B11B1C" w:rsidRDefault="00802A1F" w:rsidP="00802A1F">
      <w:pPr>
        <w:pStyle w:val="Bibliography"/>
      </w:pPr>
      <w:r w:rsidRPr="00B11B1C">
        <w:lastRenderedPageBreak/>
        <w:t>[3]</w:t>
      </w:r>
      <w:r w:rsidRPr="00B11B1C">
        <w:tab/>
        <w:t xml:space="preserve">L. Liu, B.-M. Zhang, D.-F. Wang, and Z.-J. Wu, “Effects of cure cycles on void content and mechanical properties of composite laminates,” </w:t>
      </w:r>
      <w:r w:rsidRPr="00B11B1C">
        <w:rPr>
          <w:i/>
          <w:iCs/>
        </w:rPr>
        <w:t>Composite Structures</w:t>
      </w:r>
      <w:r w:rsidRPr="00B11B1C">
        <w:t>, vol. 73, no. 3, pp. 303–309, Jun. 2006, doi: 10.1016/j.compstruct.2005.02.001.</w:t>
      </w:r>
    </w:p>
    <w:p w14:paraId="44517473" w14:textId="77777777" w:rsidR="00802A1F" w:rsidRPr="00B11B1C" w:rsidRDefault="00802A1F" w:rsidP="00802A1F">
      <w:pPr>
        <w:pStyle w:val="Bibliography"/>
      </w:pPr>
      <w:r w:rsidRPr="00B11B1C">
        <w:t>[4]</w:t>
      </w:r>
      <w:r w:rsidRPr="00B11B1C">
        <w:tab/>
        <w:t xml:space="preserve">J. Lambert, A. R. Chambers, I. Sinclair, and S. M. Spearing, “3D damage characterisation and the role of voids in the fatigue of wind turbine blade materials,” </w:t>
      </w:r>
      <w:r w:rsidRPr="00B11B1C">
        <w:rPr>
          <w:i/>
          <w:iCs/>
        </w:rPr>
        <w:t>Composites Science and Technology</w:t>
      </w:r>
      <w:r w:rsidRPr="00B11B1C">
        <w:t>, vol. 72, no. 2, pp. 337–343, Jan. 2012, doi: 10.1016/j.compscitech.2011.11.023.</w:t>
      </w:r>
    </w:p>
    <w:p w14:paraId="03ED2936" w14:textId="77777777" w:rsidR="00802A1F" w:rsidRPr="00B11B1C" w:rsidRDefault="00802A1F" w:rsidP="00802A1F">
      <w:pPr>
        <w:pStyle w:val="Bibliography"/>
      </w:pPr>
      <w:r w:rsidRPr="00B11B1C">
        <w:t>[5]</w:t>
      </w:r>
      <w:r w:rsidRPr="00B11B1C">
        <w:tab/>
        <w:t xml:space="preserve">L. Di Landro, A. Montalto, P. Bettini, S. Guerra, F. Montagnoli, and M. Rigamonti, “Detection of Voids in Carbon/Epoxy Laminates and Their Influence on Mechanical Properties,” </w:t>
      </w:r>
      <w:r w:rsidRPr="00B11B1C">
        <w:rPr>
          <w:i/>
          <w:iCs/>
        </w:rPr>
        <w:t>Polymers and Polymer Composites</w:t>
      </w:r>
      <w:r w:rsidRPr="00B11B1C">
        <w:t>, vol. 25, no. 5, pp. 371–380, Jun. 2017, doi: 10.1177/096739111702500506.</w:t>
      </w:r>
    </w:p>
    <w:p w14:paraId="3C52B065" w14:textId="77777777" w:rsidR="00802A1F" w:rsidRPr="00B11B1C" w:rsidRDefault="00802A1F" w:rsidP="00802A1F">
      <w:pPr>
        <w:pStyle w:val="Bibliography"/>
      </w:pPr>
      <w:r w:rsidRPr="00B11B1C">
        <w:t>[6]</w:t>
      </w:r>
      <w:r w:rsidRPr="00B11B1C">
        <w:tab/>
        <w:t xml:space="preserve">S. Sisodia </w:t>
      </w:r>
      <w:r w:rsidRPr="00B11B1C">
        <w:rPr>
          <w:i/>
          <w:iCs/>
        </w:rPr>
        <w:t>et al.</w:t>
      </w:r>
      <w:r w:rsidRPr="00B11B1C">
        <w:t xml:space="preserve">, “The effects of voids in quasi-static indentation of resin-infused reinforced polymers,” </w:t>
      </w:r>
      <w:r w:rsidRPr="00B11B1C">
        <w:rPr>
          <w:i/>
          <w:iCs/>
        </w:rPr>
        <w:t>Journal of Composite Materials</w:t>
      </w:r>
      <w:r w:rsidRPr="00B11B1C">
        <w:t>, vol. 53, no. 28–30, pp. 4399–4410, Dec. 2019, doi: 10.1177/0021998319858024.</w:t>
      </w:r>
    </w:p>
    <w:p w14:paraId="4B45D9DF" w14:textId="77777777" w:rsidR="00802A1F" w:rsidRPr="00B11B1C" w:rsidRDefault="00802A1F" w:rsidP="00802A1F">
      <w:pPr>
        <w:pStyle w:val="Bibliography"/>
      </w:pPr>
      <w:r w:rsidRPr="00B11B1C">
        <w:t>[7]</w:t>
      </w:r>
      <w:r w:rsidRPr="00B11B1C">
        <w:tab/>
        <w:t xml:space="preserve">M. Mehdikhani, L. Gorbatikh, I. Verpoest, and S. V. Lomov, “Voids in fiber-reinforced polymer composites: A review on their formation, characteristics, and effects on mechanical performance,” </w:t>
      </w:r>
      <w:r w:rsidRPr="00B11B1C">
        <w:rPr>
          <w:i/>
          <w:iCs/>
        </w:rPr>
        <w:t>Journal of Composite Materials</w:t>
      </w:r>
      <w:r w:rsidRPr="00B11B1C">
        <w:t>, vol. 53, no. 12, pp. 1579–1669, May 2019, doi: 10.1177/0021998318772152.</w:t>
      </w:r>
    </w:p>
    <w:p w14:paraId="51C42F48" w14:textId="77777777" w:rsidR="00802A1F" w:rsidRPr="00B11B1C" w:rsidRDefault="00802A1F" w:rsidP="00802A1F">
      <w:pPr>
        <w:pStyle w:val="Bibliography"/>
      </w:pPr>
      <w:r w:rsidRPr="00B11B1C">
        <w:t>[8]</w:t>
      </w:r>
      <w:r w:rsidRPr="00B11B1C">
        <w:tab/>
        <w:t xml:space="preserve">J. S. U. Schell, M. Deleglise, C. Binetruy, P. Krawczak, and P. Ermanni, “Numerical prediction and experimental characterisation of meso-scale-voids in liquid composite moulding,” </w:t>
      </w:r>
      <w:r w:rsidRPr="00B11B1C">
        <w:rPr>
          <w:i/>
          <w:iCs/>
        </w:rPr>
        <w:t>Composites Part A: Applied Science and Manufacturing</w:t>
      </w:r>
      <w:r w:rsidRPr="00B11B1C">
        <w:t>, vol. 38, no. 12, pp. 2460–2470, Dec. 2007, doi: 10.1016/j.compositesa.2007.08.005.</w:t>
      </w:r>
    </w:p>
    <w:p w14:paraId="6E56ACE1" w14:textId="77777777" w:rsidR="00802A1F" w:rsidRPr="00B11B1C" w:rsidRDefault="00802A1F" w:rsidP="00802A1F">
      <w:pPr>
        <w:pStyle w:val="Bibliography"/>
      </w:pPr>
      <w:r w:rsidRPr="00B11B1C">
        <w:t>[9]</w:t>
      </w:r>
      <w:r w:rsidRPr="00B11B1C">
        <w:tab/>
        <w:t xml:space="preserve">Y. K. Hamidi, L. Aktas, and M. C. Altan, “Effect of packing on void morphology in resin transfer molded E-glass/epoxy composites,” </w:t>
      </w:r>
      <w:r w:rsidRPr="00B11B1C">
        <w:rPr>
          <w:i/>
          <w:iCs/>
        </w:rPr>
        <w:t>Polymer Composites</w:t>
      </w:r>
      <w:r w:rsidRPr="00B11B1C">
        <w:t>, vol. 26, no. 5, pp. 614–627, 2005, doi: 10.1002/pc.20132.</w:t>
      </w:r>
    </w:p>
    <w:p w14:paraId="0E3317C5" w14:textId="77777777" w:rsidR="00802A1F" w:rsidRPr="00B11B1C" w:rsidRDefault="00802A1F" w:rsidP="00802A1F">
      <w:pPr>
        <w:pStyle w:val="Bibliography"/>
      </w:pPr>
      <w:r w:rsidRPr="00B11B1C">
        <w:t>[10]</w:t>
      </w:r>
      <w:r w:rsidRPr="00B11B1C">
        <w:tab/>
        <w:t xml:space="preserve">S. Hernández, F. Sket, C. González, and J. LLorca, “Optimization of curing cycle in carbon fiber-reinforced laminates: Void distribution and mechanical properties,” </w:t>
      </w:r>
      <w:r w:rsidRPr="00B11B1C">
        <w:rPr>
          <w:i/>
          <w:iCs/>
        </w:rPr>
        <w:t>Composites Science and Technology</w:t>
      </w:r>
      <w:r w:rsidRPr="00B11B1C">
        <w:t>, vol. 85, pp. 73–82, Aug. 2013, doi: 10.1016/j.compscitech.2013.06.005.</w:t>
      </w:r>
    </w:p>
    <w:p w14:paraId="5923A6EC" w14:textId="77777777" w:rsidR="00802A1F" w:rsidRPr="00B11B1C" w:rsidRDefault="00802A1F" w:rsidP="00802A1F">
      <w:pPr>
        <w:pStyle w:val="Bibliography"/>
      </w:pPr>
      <w:r w:rsidRPr="00B11B1C">
        <w:t>[11]</w:t>
      </w:r>
      <w:r w:rsidRPr="00B11B1C">
        <w:tab/>
        <w:t xml:space="preserve">H. Teixidó, J. Staal, B. Caglar, and V. Michaud, “Capillary Effects in Fiber Reinforced Polymer Composite Processing: A Review,” </w:t>
      </w:r>
      <w:r w:rsidRPr="00B11B1C">
        <w:rPr>
          <w:i/>
          <w:iCs/>
        </w:rPr>
        <w:t>Frontiers in Materials</w:t>
      </w:r>
      <w:r w:rsidRPr="00B11B1C">
        <w:t>, vol. 9, 2022, Accessed: Nov. 28, 2022. [Online]. Available: https://www.frontiersin.org/articles/10.3389/fmats.2022.809226</w:t>
      </w:r>
    </w:p>
    <w:p w14:paraId="47C79B14" w14:textId="77777777" w:rsidR="00802A1F" w:rsidRPr="00B11B1C" w:rsidRDefault="00802A1F" w:rsidP="00802A1F">
      <w:pPr>
        <w:pStyle w:val="Bibliography"/>
      </w:pPr>
      <w:r w:rsidRPr="00B11B1C">
        <w:t>[12]</w:t>
      </w:r>
      <w:r w:rsidRPr="00B11B1C">
        <w:tab/>
        <w:t xml:space="preserve">Y. R. Kim, S. P. McCarthy, and J. P. Fanucci, “Compressibility and relaxation of fiber reinforcements during composite processing,” </w:t>
      </w:r>
      <w:r w:rsidRPr="00B11B1C">
        <w:rPr>
          <w:i/>
          <w:iCs/>
        </w:rPr>
        <w:t>Polymer Composites</w:t>
      </w:r>
      <w:r w:rsidRPr="00B11B1C">
        <w:t>, vol. 12, no. 1, pp. 13–19, 1991, doi: 10.1002/pc.750120104.</w:t>
      </w:r>
    </w:p>
    <w:p w14:paraId="4F9524F5" w14:textId="77777777" w:rsidR="00802A1F" w:rsidRPr="00B11B1C" w:rsidRDefault="00802A1F" w:rsidP="00802A1F">
      <w:pPr>
        <w:pStyle w:val="Bibliography"/>
      </w:pPr>
      <w:r w:rsidRPr="00B11B1C">
        <w:t>[13]</w:t>
      </w:r>
      <w:r w:rsidRPr="00B11B1C">
        <w:tab/>
        <w:t xml:space="preserve">F. Robitaille and R. Gauvin, “Compaction of textile reinforcements for composites manufacturing. III: Reorganization of the fiber network,” </w:t>
      </w:r>
      <w:r w:rsidRPr="00B11B1C">
        <w:rPr>
          <w:i/>
          <w:iCs/>
        </w:rPr>
        <w:t>Polymer Composites</w:t>
      </w:r>
      <w:r w:rsidRPr="00B11B1C">
        <w:t>, vol. 20, no. 1, pp. 48–61, 1999, doi: 10.1002/pc.10334.</w:t>
      </w:r>
    </w:p>
    <w:p w14:paraId="27B7AAEA" w14:textId="77777777" w:rsidR="00802A1F" w:rsidRPr="00B11B1C" w:rsidRDefault="00802A1F" w:rsidP="00802A1F">
      <w:pPr>
        <w:pStyle w:val="Bibliography"/>
      </w:pPr>
      <w:r w:rsidRPr="00B11B1C">
        <w:t>[14]</w:t>
      </w:r>
      <w:r w:rsidRPr="00B11B1C">
        <w:tab/>
        <w:t xml:space="preserve">T. Grieser and P. Mitschang, “Investigation of the compaction behavior of carbon fiber NCF for continuous preforming processes,” </w:t>
      </w:r>
      <w:r w:rsidRPr="00B11B1C">
        <w:rPr>
          <w:i/>
          <w:iCs/>
        </w:rPr>
        <w:t>Polymer Composites</w:t>
      </w:r>
      <w:r w:rsidRPr="00B11B1C">
        <w:t>, vol. 38, no. 11, pp. 2609–2625, 2017, doi: 10.1002/pc.23854.</w:t>
      </w:r>
    </w:p>
    <w:p w14:paraId="4C2499AA" w14:textId="77777777" w:rsidR="00802A1F" w:rsidRPr="00B11B1C" w:rsidRDefault="00802A1F" w:rsidP="00802A1F">
      <w:pPr>
        <w:pStyle w:val="Bibliography"/>
      </w:pPr>
      <w:r w:rsidRPr="00B11B1C">
        <w:t>[15]</w:t>
      </w:r>
      <w:r w:rsidRPr="00B11B1C">
        <w:tab/>
        <w:t xml:space="preserve">A.-S. Lectez, K. El Azzouzi, C. Binetruy, S. Comas-Cardona, E. Verron, and J.-M. Lebrun, “Three-dimensional mechanical properties of dry carbon fiber tows subjected to cyclic compressive loading,” </w:t>
      </w:r>
      <w:r w:rsidRPr="00B11B1C">
        <w:rPr>
          <w:i/>
          <w:iCs/>
        </w:rPr>
        <w:t>Journal of Composite Materials</w:t>
      </w:r>
      <w:r w:rsidRPr="00B11B1C">
        <w:t>, vol. 52, no. 19, pp. 2661–2677, Aug. 2018, doi: 10.1177/0021998317752229.</w:t>
      </w:r>
    </w:p>
    <w:p w14:paraId="3327F39D" w14:textId="77777777" w:rsidR="00802A1F" w:rsidRPr="00B11B1C" w:rsidRDefault="00802A1F" w:rsidP="00802A1F">
      <w:pPr>
        <w:pStyle w:val="Bibliography"/>
      </w:pPr>
      <w:r w:rsidRPr="00B11B1C">
        <w:t>[16]</w:t>
      </w:r>
      <w:r w:rsidRPr="00B11B1C">
        <w:tab/>
        <w:t xml:space="preserve">N. Pearce and J. Summerscales, “The compressibility of a reinforcement fabric,” </w:t>
      </w:r>
      <w:r w:rsidRPr="00B11B1C">
        <w:rPr>
          <w:i/>
          <w:iCs/>
        </w:rPr>
        <w:t>Composites Manufacturing</w:t>
      </w:r>
      <w:r w:rsidRPr="00B11B1C">
        <w:t>, vol. 6, no. 1, pp. 15–21, Jan. 1995, doi: 10.1016/0956-7143(95)93709-S.</w:t>
      </w:r>
    </w:p>
    <w:p w14:paraId="1EB9943F" w14:textId="77777777" w:rsidR="00802A1F" w:rsidRPr="00B11B1C" w:rsidRDefault="00802A1F" w:rsidP="00802A1F">
      <w:pPr>
        <w:pStyle w:val="Bibliography"/>
      </w:pPr>
      <w:r w:rsidRPr="00B11B1C">
        <w:t>[17]</w:t>
      </w:r>
      <w:r w:rsidRPr="00B11B1C">
        <w:tab/>
        <w:t xml:space="preserve">C. Niggemann, Y. S. Song, J. W. Gillespie, and D. Heider, “Experimental Investigation of the Controlled Atmospheric Pressure Resin Infusion (CAPRI) Process,” </w:t>
      </w:r>
      <w:r w:rsidRPr="00B11B1C">
        <w:rPr>
          <w:i/>
          <w:iCs/>
        </w:rPr>
        <w:t>Journal of Composite Materials</w:t>
      </w:r>
      <w:r w:rsidRPr="00B11B1C">
        <w:t>, vol. 42, no. 11, pp. 1049–1061, Jun. 2008, doi: 10.1177/0021998308090650.</w:t>
      </w:r>
    </w:p>
    <w:p w14:paraId="5078EFEE" w14:textId="77777777" w:rsidR="00802A1F" w:rsidRPr="00B11B1C" w:rsidRDefault="00802A1F" w:rsidP="00802A1F">
      <w:pPr>
        <w:pStyle w:val="Bibliography"/>
      </w:pPr>
      <w:r w:rsidRPr="00B11B1C">
        <w:lastRenderedPageBreak/>
        <w:t>[18]</w:t>
      </w:r>
      <w:r w:rsidRPr="00B11B1C">
        <w:tab/>
        <w:t xml:space="preserve">A. A. Somashekar, S. Bickerton, and D. Bhattacharyya, “Exploring the non-elastic compression deformation of dry glass fibre reinforcements,” </w:t>
      </w:r>
      <w:r w:rsidRPr="00B11B1C">
        <w:rPr>
          <w:i/>
          <w:iCs/>
        </w:rPr>
        <w:t>Composites Science and Technology</w:t>
      </w:r>
      <w:r w:rsidRPr="00B11B1C">
        <w:t>, vol. 67, no. 2, pp. 183–200, Feb. 2007, doi: 10.1016/j.compscitech.2006.07.032.</w:t>
      </w:r>
    </w:p>
    <w:p w14:paraId="4A995C65" w14:textId="77777777" w:rsidR="00802A1F" w:rsidRPr="00B11B1C" w:rsidRDefault="00802A1F" w:rsidP="00802A1F">
      <w:pPr>
        <w:pStyle w:val="Bibliography"/>
      </w:pPr>
      <w:r w:rsidRPr="00B11B1C">
        <w:t>[19]</w:t>
      </w:r>
      <w:r w:rsidRPr="00B11B1C">
        <w:tab/>
        <w:t xml:space="preserve">A. George, P. Hannibal, M. Morgan, D. Hoagland, and S. E. Stapleton, “Compressibility measurement of composite reinforcements for flow simulation of vacuum infusion,” </w:t>
      </w:r>
      <w:r w:rsidRPr="00B11B1C">
        <w:rPr>
          <w:i/>
          <w:iCs/>
        </w:rPr>
        <w:t>Polymer Composites</w:t>
      </w:r>
      <w:r w:rsidRPr="00B11B1C">
        <w:t>, vol. 40, no. 3, pp. 961–973, 2019, doi: 10.1002/pc.24770.</w:t>
      </w:r>
    </w:p>
    <w:p w14:paraId="787A6DD9" w14:textId="77777777" w:rsidR="00802A1F" w:rsidRPr="00B11B1C" w:rsidRDefault="00802A1F" w:rsidP="00802A1F">
      <w:pPr>
        <w:pStyle w:val="Bibliography"/>
      </w:pPr>
      <w:r w:rsidRPr="00B11B1C">
        <w:t>[20]</w:t>
      </w:r>
      <w:r w:rsidRPr="00B11B1C">
        <w:tab/>
        <w:t xml:space="preserve">M. Danzi, F. Klunker, and P. Ermanni, “Experimental validation of through-thickness resin flow model in the consolidation of saturated porous media,” </w:t>
      </w:r>
      <w:r w:rsidRPr="00B11B1C">
        <w:rPr>
          <w:i/>
          <w:iCs/>
        </w:rPr>
        <w:t>Journal of Composite Materials</w:t>
      </w:r>
      <w:r w:rsidRPr="00B11B1C">
        <w:t>, vol. 51, no. 17, pp. 2467–2475, Jul. 2017, doi: 10.1177/0021998316671574.</w:t>
      </w:r>
    </w:p>
    <w:p w14:paraId="0BD511E6" w14:textId="77777777" w:rsidR="00802A1F" w:rsidRPr="00B11B1C" w:rsidRDefault="00802A1F" w:rsidP="00802A1F">
      <w:pPr>
        <w:pStyle w:val="Bibliography"/>
      </w:pPr>
      <w:r w:rsidRPr="00B11B1C">
        <w:t>[21]</w:t>
      </w:r>
      <w:r w:rsidRPr="00B11B1C">
        <w:tab/>
        <w:t xml:space="preserve">B. Yenilmez, B. Caglar, and E. M. Sozer, “Viscoelastic modeling of fiber preform compaction in vacuum infusion process,” </w:t>
      </w:r>
      <w:r w:rsidRPr="00B11B1C">
        <w:rPr>
          <w:i/>
          <w:iCs/>
        </w:rPr>
        <w:t>Journal of Composite Materials</w:t>
      </w:r>
      <w:r w:rsidRPr="00B11B1C">
        <w:t>, vol. 51, no. 30, pp. 4189–4203, Dec. 2017, doi: 10.1177/0021998317699983.</w:t>
      </w:r>
    </w:p>
    <w:p w14:paraId="081C65F9" w14:textId="77777777" w:rsidR="00802A1F" w:rsidRPr="00B11B1C" w:rsidRDefault="00802A1F" w:rsidP="00802A1F">
      <w:pPr>
        <w:pStyle w:val="Bibliography"/>
      </w:pPr>
      <w:r w:rsidRPr="00B11B1C">
        <w:t>[22]</w:t>
      </w:r>
      <w:r w:rsidRPr="00B11B1C">
        <w:tab/>
        <w:t xml:space="preserve">B. Yenilmez, B. Caglar, and E. M. Sozer, “Pressure-controlled compaction characterization of fiber preforms suitable for viscoelastic modeling in the vacuum infusion process,” </w:t>
      </w:r>
      <w:r w:rsidRPr="00B11B1C">
        <w:rPr>
          <w:i/>
          <w:iCs/>
        </w:rPr>
        <w:t>Journal of Composite Materials</w:t>
      </w:r>
      <w:r w:rsidRPr="00B11B1C">
        <w:t>, vol. 51, no. 9, pp. 1209–1224, Apr. 2017, doi: 10.1177/0021998316685164.</w:t>
      </w:r>
    </w:p>
    <w:p w14:paraId="4480A486" w14:textId="77777777" w:rsidR="00802A1F" w:rsidRPr="00B11B1C" w:rsidRDefault="00802A1F" w:rsidP="00802A1F">
      <w:pPr>
        <w:pStyle w:val="Bibliography"/>
      </w:pPr>
      <w:r w:rsidRPr="00B11B1C">
        <w:t>[23]</w:t>
      </w:r>
      <w:r w:rsidRPr="00B11B1C">
        <w:tab/>
        <w:t xml:space="preserve">R. Matsuzaki, D. Seto, A. Todoroki, and Y. Mizutani, “Void formation in geometry–anisotropic woven fabrics in resin transfer molding,” </w:t>
      </w:r>
      <w:r w:rsidRPr="00B11B1C">
        <w:rPr>
          <w:i/>
          <w:iCs/>
        </w:rPr>
        <w:t>Advanced Composite Materials</w:t>
      </w:r>
      <w:r w:rsidRPr="00B11B1C">
        <w:t>, vol. 23, no. 2, pp. 99–114, Mar. 2014, doi: 10.1080/09243046.2013.832829.</w:t>
      </w:r>
    </w:p>
    <w:p w14:paraId="163482D2" w14:textId="77777777" w:rsidR="00802A1F" w:rsidRPr="00B11B1C" w:rsidRDefault="00802A1F" w:rsidP="00802A1F">
      <w:pPr>
        <w:pStyle w:val="Bibliography"/>
      </w:pPr>
      <w:r w:rsidRPr="00B11B1C">
        <w:t>[24]</w:t>
      </w:r>
      <w:r w:rsidRPr="00B11B1C">
        <w:tab/>
        <w:t xml:space="preserve">T. S. Lundström and B. R. Gebart, “Influence from process parameters on void formation in resin transfer molding,” </w:t>
      </w:r>
      <w:r w:rsidRPr="00B11B1C">
        <w:rPr>
          <w:i/>
          <w:iCs/>
        </w:rPr>
        <w:t>Polymer Composites</w:t>
      </w:r>
      <w:r w:rsidRPr="00B11B1C">
        <w:t>, vol. 15, no. 1, pp. 25–33, 1994, doi: 10.1002/pc.750150105.</w:t>
      </w:r>
    </w:p>
    <w:p w14:paraId="778B7978" w14:textId="77777777" w:rsidR="00802A1F" w:rsidRPr="00B11B1C" w:rsidRDefault="00802A1F" w:rsidP="00802A1F">
      <w:pPr>
        <w:pStyle w:val="Bibliography"/>
      </w:pPr>
      <w:r w:rsidRPr="00B11B1C">
        <w:t>[25]</w:t>
      </w:r>
      <w:r w:rsidRPr="00B11B1C">
        <w:tab/>
        <w:t xml:space="preserve">J. Castro, F. Sket, L. Helfen, and C. González, “In situ local imaging and analysis of impregnation during liquid moulding of composite materials using synchrotron radiation computed laminography,” </w:t>
      </w:r>
      <w:r w:rsidRPr="00B11B1C">
        <w:rPr>
          <w:i/>
          <w:iCs/>
        </w:rPr>
        <w:t>Composites Science and Technology</w:t>
      </w:r>
      <w:r w:rsidRPr="00B11B1C">
        <w:t>, vol. 215, p. 108999, Oct. 2021, doi: 10.1016/j.compscitech.2021.108999.</w:t>
      </w:r>
    </w:p>
    <w:p w14:paraId="3CBFDFDD" w14:textId="77777777" w:rsidR="00802A1F" w:rsidRPr="00B11B1C" w:rsidRDefault="00802A1F" w:rsidP="00802A1F">
      <w:pPr>
        <w:pStyle w:val="Bibliography"/>
      </w:pPr>
      <w:r w:rsidRPr="00B11B1C">
        <w:t>[26]</w:t>
      </w:r>
      <w:r w:rsidRPr="00B11B1C">
        <w:tab/>
        <w:t xml:space="preserve">N. Patel and L. J. Lee, “Effects of fiber mat architecture on void formation and removal in liquid composite molding,” </w:t>
      </w:r>
      <w:r w:rsidRPr="00B11B1C">
        <w:rPr>
          <w:i/>
          <w:iCs/>
        </w:rPr>
        <w:t>Polymer Composites</w:t>
      </w:r>
      <w:r w:rsidRPr="00B11B1C">
        <w:t>, vol. 16, no. 5, pp. 386–399, 1995, doi: 10.1002/pc.750160507.</w:t>
      </w:r>
    </w:p>
    <w:p w14:paraId="27FBF116" w14:textId="77777777" w:rsidR="00802A1F" w:rsidRPr="00B11B1C" w:rsidRDefault="00802A1F" w:rsidP="00802A1F">
      <w:pPr>
        <w:pStyle w:val="Bibliography"/>
      </w:pPr>
      <w:r w:rsidRPr="00B11B1C">
        <w:t>[27]</w:t>
      </w:r>
      <w:r w:rsidRPr="00B11B1C">
        <w:tab/>
        <w:t xml:space="preserve">C. H. Park and L. Woo, “Modeling void formation and unsaturated flow in liquid composite molding processes: a survey and review,” </w:t>
      </w:r>
      <w:r w:rsidRPr="00B11B1C">
        <w:rPr>
          <w:i/>
          <w:iCs/>
        </w:rPr>
        <w:t>Journal of Reinforced Plastics and Composites</w:t>
      </w:r>
      <w:r w:rsidRPr="00B11B1C">
        <w:t>, vol. 30, no. 11, pp. 957–977, Jun. 2011, doi: 10.1177/0731684411411338.</w:t>
      </w:r>
    </w:p>
    <w:p w14:paraId="075C9DA1" w14:textId="77777777" w:rsidR="00802A1F" w:rsidRPr="00B11B1C" w:rsidRDefault="00802A1F" w:rsidP="00802A1F">
      <w:pPr>
        <w:pStyle w:val="Bibliography"/>
      </w:pPr>
      <w:r w:rsidRPr="00B11B1C">
        <w:t>[28]</w:t>
      </w:r>
      <w:r w:rsidRPr="00B11B1C">
        <w:tab/>
        <w:t xml:space="preserve">T. Staffan Lundström, V. Frishfelds, and A. Jakovics, “Bubble formation and motion in non-crimp fabrics with perturbed bundle geometry,” </w:t>
      </w:r>
      <w:r w:rsidRPr="00B11B1C">
        <w:rPr>
          <w:i/>
          <w:iCs/>
        </w:rPr>
        <w:t>Composites Part A: Applied Science and Manufacturing</w:t>
      </w:r>
      <w:r w:rsidRPr="00B11B1C">
        <w:t>, vol. 41, no. 1, pp. 83–92, Jan. 2010, doi: 10.1016/j.compositesa.2009.05.012.</w:t>
      </w:r>
    </w:p>
    <w:p w14:paraId="0717EBA7" w14:textId="77777777" w:rsidR="00802A1F" w:rsidRPr="00B11B1C" w:rsidRDefault="00802A1F" w:rsidP="00802A1F">
      <w:pPr>
        <w:pStyle w:val="Bibliography"/>
      </w:pPr>
      <w:r w:rsidRPr="00B11B1C">
        <w:t>[29]</w:t>
      </w:r>
      <w:r w:rsidRPr="00B11B1C">
        <w:tab/>
        <w:t xml:space="preserve">T. Fast, A. E. Scott, H. A. Bale, and B. N. Cox, “Topological and Euclidean metrics reveal spatially nonuniform structure in the entanglement of stochastic fiber bundles,” </w:t>
      </w:r>
      <w:r w:rsidRPr="00B11B1C">
        <w:rPr>
          <w:i/>
          <w:iCs/>
        </w:rPr>
        <w:t>J Mater Sci</w:t>
      </w:r>
      <w:r w:rsidRPr="00B11B1C">
        <w:t>, vol. 50, no. 6, pp. 2370–2398, Mar. 2015, doi: 10.1007/s10853-014-8766-2.</w:t>
      </w:r>
    </w:p>
    <w:p w14:paraId="3BB8280E" w14:textId="77777777" w:rsidR="00802A1F" w:rsidRPr="00B11B1C" w:rsidRDefault="00802A1F" w:rsidP="00802A1F">
      <w:pPr>
        <w:pStyle w:val="Bibliography"/>
      </w:pPr>
      <w:r w:rsidRPr="00B11B1C">
        <w:t>[30]</w:t>
      </w:r>
      <w:r w:rsidRPr="00B11B1C">
        <w:tab/>
        <w:t xml:space="preserve">M. W. Czabaj, M. L. Riccio, and W. W. Whitacre, “Numerical reconstruction of graphite/epoxy composite microstructure based on sub-micron resolution X-ray computed tomography,” </w:t>
      </w:r>
      <w:r w:rsidRPr="00B11B1C">
        <w:rPr>
          <w:i/>
          <w:iCs/>
        </w:rPr>
        <w:t>Composites Science and Technology</w:t>
      </w:r>
      <w:r w:rsidRPr="00B11B1C">
        <w:t>, vol. 105, pp. 174–182, Dec. 2014, doi: 10.1016/j.compscitech.2014.10.017.</w:t>
      </w:r>
    </w:p>
    <w:p w14:paraId="22E57861" w14:textId="77777777" w:rsidR="00802A1F" w:rsidRPr="00B11B1C" w:rsidRDefault="00802A1F" w:rsidP="00802A1F">
      <w:pPr>
        <w:pStyle w:val="Bibliography"/>
      </w:pPr>
      <w:r w:rsidRPr="00B11B1C">
        <w:t>[31]</w:t>
      </w:r>
      <w:r w:rsidRPr="00B11B1C">
        <w:tab/>
        <w:t xml:space="preserve">P. J. Creveling, W. W. Whitacre, and M. W. Czabaj, “A fiber-segmentation algorithm for composites imaged using X-ray microtomography: Development and validation,” </w:t>
      </w:r>
      <w:r w:rsidRPr="00B11B1C">
        <w:rPr>
          <w:i/>
          <w:iCs/>
        </w:rPr>
        <w:t>Composites Part A: Applied Science and Manufacturing</w:t>
      </w:r>
      <w:r w:rsidRPr="00B11B1C">
        <w:t>, vol. 126, p. 105606, Nov. 2019, doi: 10.1016/j.compositesa.2019.105606.</w:t>
      </w:r>
    </w:p>
    <w:p w14:paraId="5847EC2A" w14:textId="77777777" w:rsidR="00802A1F" w:rsidRPr="00B11B1C" w:rsidRDefault="00802A1F" w:rsidP="00802A1F">
      <w:pPr>
        <w:pStyle w:val="Bibliography"/>
      </w:pPr>
      <w:r w:rsidRPr="00B11B1C">
        <w:t>[32]</w:t>
      </w:r>
      <w:r w:rsidRPr="00B11B1C">
        <w:tab/>
        <w:t xml:space="preserve">J. Weissenböck, A. Bhattacharya, B. Plank, C. Heinzl, and J. Kastner, “Visual classification of braided and woven fiber bundles in X-ray computed tomography scanned carbon fiber reinforced polymer specimens,” </w:t>
      </w:r>
      <w:r w:rsidRPr="00B11B1C">
        <w:rPr>
          <w:i/>
          <w:iCs/>
        </w:rPr>
        <w:t>Case Studies in Nondestructive Testing and Evaluation</w:t>
      </w:r>
      <w:r w:rsidRPr="00B11B1C">
        <w:t>, vol. 6, pp. 39–46, Nov. 2016, doi: 10.1016/j.csndt.2016.05.006.</w:t>
      </w:r>
    </w:p>
    <w:p w14:paraId="5A3BF9AC" w14:textId="77777777" w:rsidR="00802A1F" w:rsidRPr="00B11B1C" w:rsidRDefault="00802A1F" w:rsidP="00802A1F">
      <w:pPr>
        <w:pStyle w:val="Bibliography"/>
      </w:pPr>
      <w:r w:rsidRPr="00B11B1C">
        <w:lastRenderedPageBreak/>
        <w:t>[33]</w:t>
      </w:r>
      <w:r w:rsidRPr="00B11B1C">
        <w:tab/>
        <w:t xml:space="preserve">R. M. Sencu </w:t>
      </w:r>
      <w:r w:rsidRPr="00B11B1C">
        <w:rPr>
          <w:i/>
          <w:iCs/>
        </w:rPr>
        <w:t>et al.</w:t>
      </w:r>
      <w:r w:rsidRPr="00B11B1C">
        <w:t xml:space="preserve">, “Generation of micro-scale finite element models from synchrotron X-ray CT images for multidirectional carbon fibre reinforced composites,” </w:t>
      </w:r>
      <w:r w:rsidRPr="00B11B1C">
        <w:rPr>
          <w:i/>
          <w:iCs/>
        </w:rPr>
        <w:t>Composites Part A: Applied Science and Manufacturing</w:t>
      </w:r>
      <w:r w:rsidRPr="00B11B1C">
        <w:t>, vol. 91, pp. 85–95, Dec. 2016, doi: 10.1016/j.compositesa.2016.09.010.</w:t>
      </w:r>
    </w:p>
    <w:p w14:paraId="49E62356" w14:textId="77777777" w:rsidR="00802A1F" w:rsidRPr="00B11B1C" w:rsidRDefault="00802A1F" w:rsidP="00802A1F">
      <w:pPr>
        <w:pStyle w:val="Bibliography"/>
      </w:pPr>
      <w:r w:rsidRPr="00B11B1C">
        <w:t>[34]</w:t>
      </w:r>
      <w:r w:rsidRPr="00B11B1C">
        <w:tab/>
        <w:t xml:space="preserve">A. E. Scott, I. Sinclair, S. M. Spearing, A. Thionnet, and A. R. Bunsell, “Damage accumulation in a carbon/epoxy composite: Comparison between a multiscale model and computed tomography experimental results,” </w:t>
      </w:r>
      <w:r w:rsidRPr="00B11B1C">
        <w:rPr>
          <w:i/>
          <w:iCs/>
        </w:rPr>
        <w:t>Composites Part A: Applied Science and Manufacturing</w:t>
      </w:r>
      <w:r w:rsidRPr="00B11B1C">
        <w:t>, vol. 43, no. 9, pp. 1514–1522, Sep. 2012, doi: 10.1016/j.compositesa.2012.03.011.</w:t>
      </w:r>
    </w:p>
    <w:p w14:paraId="1CE66AA5" w14:textId="77777777" w:rsidR="00802A1F" w:rsidRPr="00B11B1C" w:rsidRDefault="00802A1F" w:rsidP="00802A1F">
      <w:pPr>
        <w:pStyle w:val="Bibliography"/>
      </w:pPr>
      <w:r w:rsidRPr="00B11B1C">
        <w:t>[35]</w:t>
      </w:r>
      <w:r w:rsidRPr="00B11B1C">
        <w:tab/>
        <w:t xml:space="preserve">N. Q. Nguyen, M. Mehdikhani, I. Straumit, L. Gorbatikh, L. Lessard, and S. V. Lomov, “Micro-CT measurement of fibre misalignment: Application to carbon/epoxy laminates manufactured in autoclave and by vacuum assisted resin transfer moulding,” </w:t>
      </w:r>
      <w:r w:rsidRPr="00B11B1C">
        <w:rPr>
          <w:i/>
          <w:iCs/>
        </w:rPr>
        <w:t>Composites Part A: Applied Science and Manufacturing</w:t>
      </w:r>
      <w:r w:rsidRPr="00B11B1C">
        <w:t>, vol. 104, pp. 14–23, Jan. 2018, doi: 10.1016/j.compositesa.2017.10.018.</w:t>
      </w:r>
    </w:p>
    <w:p w14:paraId="4E95EB98" w14:textId="77777777" w:rsidR="00802A1F" w:rsidRPr="00B11B1C" w:rsidRDefault="00802A1F" w:rsidP="00802A1F">
      <w:pPr>
        <w:pStyle w:val="Bibliography"/>
      </w:pPr>
      <w:r w:rsidRPr="00B11B1C">
        <w:t>[36]</w:t>
      </w:r>
      <w:r w:rsidRPr="00B11B1C">
        <w:tab/>
        <w:t xml:space="preserve">S. H. R. Sanei, E. Barsotti, D. Leonhardt, and R. Fertig III, “Characterization, synthetic generation, and statistical equivalence of composite microstructures,” </w:t>
      </w:r>
      <w:r w:rsidRPr="00B11B1C">
        <w:rPr>
          <w:i/>
          <w:iCs/>
        </w:rPr>
        <w:t>Journal of Composite Materials</w:t>
      </w:r>
      <w:r w:rsidRPr="00B11B1C">
        <w:t>, vol. 51, 2016, doi: 10.1177/0021998316662133.</w:t>
      </w:r>
    </w:p>
    <w:p w14:paraId="687C1423" w14:textId="77777777" w:rsidR="00802A1F" w:rsidRPr="00B11B1C" w:rsidRDefault="00802A1F" w:rsidP="00802A1F">
      <w:pPr>
        <w:pStyle w:val="Bibliography"/>
      </w:pPr>
      <w:r w:rsidRPr="00B11B1C">
        <w:t>[37]</w:t>
      </w:r>
      <w:r w:rsidRPr="00B11B1C">
        <w:tab/>
        <w:t xml:space="preserve">L. Wang, G. Nygren, R. L. Karkkainen, and Q. Yang, “A multiscale approach for virtual testing of highly aligned short carbon fiber composites,” </w:t>
      </w:r>
      <w:r w:rsidRPr="00B11B1C">
        <w:rPr>
          <w:i/>
          <w:iCs/>
        </w:rPr>
        <w:t>Composite Structures</w:t>
      </w:r>
      <w:r w:rsidRPr="00B11B1C">
        <w:t>, vol. 230, p. 111462, Dec. 2019, doi: 10.1016/j.compstruct.2019.111462.</w:t>
      </w:r>
    </w:p>
    <w:p w14:paraId="7B1D6E75" w14:textId="77777777" w:rsidR="00802A1F" w:rsidRPr="00B11B1C" w:rsidRDefault="00802A1F" w:rsidP="00802A1F">
      <w:pPr>
        <w:pStyle w:val="Bibliography"/>
      </w:pPr>
      <w:r w:rsidRPr="00B11B1C">
        <w:t>[38]</w:t>
      </w:r>
      <w:r w:rsidRPr="00B11B1C">
        <w:tab/>
        <w:t>“Robo-Met Materials Characterization | UES, Inc.” https://www.ues.com/robomet (accessed Nov. 24, 2021).</w:t>
      </w:r>
    </w:p>
    <w:p w14:paraId="3323865A" w14:textId="77777777" w:rsidR="00802A1F" w:rsidRPr="00B11B1C" w:rsidRDefault="00802A1F" w:rsidP="00802A1F">
      <w:pPr>
        <w:pStyle w:val="Bibliography"/>
      </w:pPr>
      <w:r w:rsidRPr="00B11B1C">
        <w:t>[39]</w:t>
      </w:r>
      <w:r w:rsidRPr="00B11B1C">
        <w:tab/>
        <w:t xml:space="preserve">C. A. Schneider, W. S. Rasband, and K. W. Eliceiri, “NIH Image to ImageJ: 25 years of image analysis,” </w:t>
      </w:r>
      <w:r w:rsidRPr="00B11B1C">
        <w:rPr>
          <w:i/>
          <w:iCs/>
        </w:rPr>
        <w:t>Nat Methods</w:t>
      </w:r>
      <w:r w:rsidRPr="00B11B1C">
        <w:t>, vol. 9, no. 7, pp. 671–675, Jul. 2012, doi: 10.1038/nmeth.2089.</w:t>
      </w:r>
    </w:p>
    <w:p w14:paraId="74E5EA4E" w14:textId="77777777" w:rsidR="00802A1F" w:rsidRPr="00B11B1C" w:rsidRDefault="00802A1F" w:rsidP="00802A1F">
      <w:pPr>
        <w:pStyle w:val="Bibliography"/>
      </w:pPr>
      <w:r w:rsidRPr="00B11B1C">
        <w:t>[40]</w:t>
      </w:r>
      <w:r w:rsidRPr="00B11B1C">
        <w:tab/>
        <w:t xml:space="preserve">M. J. Schey </w:t>
      </w:r>
      <w:r w:rsidRPr="00B11B1C">
        <w:rPr>
          <w:i/>
          <w:iCs/>
        </w:rPr>
        <w:t>et al.</w:t>
      </w:r>
      <w:r w:rsidRPr="00B11B1C">
        <w:t xml:space="preserve">, “Identification and Quantification of 3D Fiber Clusters in Fiber-Reinforced Composite Materials,” </w:t>
      </w:r>
      <w:r w:rsidRPr="00B11B1C">
        <w:rPr>
          <w:i/>
          <w:iCs/>
        </w:rPr>
        <w:t>JOM</w:t>
      </w:r>
      <w:r w:rsidRPr="00B11B1C">
        <w:t>, vol. 73, no. 7, pp. 2129–2142, Jul. 2021, doi: 10.1007/s11837-021-04703-0.</w:t>
      </w:r>
    </w:p>
    <w:p w14:paraId="1364FF6C" w14:textId="78CBB34E" w:rsidR="00B67059" w:rsidRPr="00B11B1C" w:rsidRDefault="00D91C87" w:rsidP="00B831FD">
      <w:pPr>
        <w:pStyle w:val="Heading1"/>
      </w:pPr>
      <w:r w:rsidRPr="00B11B1C">
        <w:fldChar w:fldCharType="end"/>
      </w:r>
      <w:bookmarkStart w:id="24" w:name="_Ref100749031"/>
      <w:r w:rsidRPr="00B11B1C">
        <w:t>Appendix</w:t>
      </w:r>
      <w:bookmarkEnd w:id="24"/>
    </w:p>
    <w:p w14:paraId="4E78AAEF" w14:textId="4167C520" w:rsidR="00C4138A" w:rsidRPr="00B11B1C" w:rsidRDefault="00C4138A" w:rsidP="00402D60">
      <w:pPr>
        <w:pStyle w:val="Heading2"/>
      </w:pPr>
      <w:r w:rsidRPr="00B11B1C">
        <w:t>Debulking Procedure</w:t>
      </w:r>
    </w:p>
    <w:p w14:paraId="6FD8CA3A" w14:textId="68A52330" w:rsidR="00C4138A" w:rsidRPr="00B11B1C" w:rsidRDefault="00C4138A" w:rsidP="00C4138A">
      <w:pPr>
        <w:rPr>
          <w:sz w:val="24"/>
        </w:rPr>
      </w:pPr>
      <w:r w:rsidRPr="00B11B1C">
        <w:rPr>
          <w:sz w:val="24"/>
        </w:rPr>
        <w:fldChar w:fldCharType="begin"/>
      </w:r>
      <w:r w:rsidRPr="00B11B1C">
        <w:rPr>
          <w:sz w:val="24"/>
        </w:rPr>
        <w:instrText xml:space="preserve"> REF _Ref97812000 \h </w:instrText>
      </w:r>
      <w:r w:rsidRPr="00B11B1C">
        <w:rPr>
          <w:sz w:val="24"/>
        </w:rPr>
      </w:r>
      <w:r w:rsidR="00B11B1C">
        <w:rPr>
          <w:sz w:val="24"/>
        </w:rPr>
        <w:instrText xml:space="preserve"> \* MERGEFORMAT </w:instrText>
      </w:r>
      <w:r w:rsidRPr="00B11B1C">
        <w:rPr>
          <w:sz w:val="24"/>
        </w:rPr>
        <w:fldChar w:fldCharType="separate"/>
      </w:r>
      <w:r w:rsidR="00531B5C" w:rsidRPr="00B11B1C">
        <w:t xml:space="preserve">Figure </w:t>
      </w:r>
      <w:r w:rsidR="00531B5C" w:rsidRPr="00B11B1C">
        <w:rPr>
          <w:noProof/>
        </w:rPr>
        <w:t>23</w:t>
      </w:r>
      <w:r w:rsidRPr="00B11B1C">
        <w:rPr>
          <w:sz w:val="24"/>
        </w:rPr>
        <w:fldChar w:fldCharType="end"/>
      </w:r>
      <w:r w:rsidRPr="00B11B1C">
        <w:rPr>
          <w:sz w:val="24"/>
        </w:rPr>
        <w:t xml:space="preserve"> shows the maximum </w:t>
      </w:r>
      <w:r w:rsidRPr="00B11B1C">
        <w:rPr>
          <w:i/>
          <w:sz w:val="24"/>
        </w:rPr>
        <w:t>v</w:t>
      </w:r>
      <w:r w:rsidRPr="00B11B1C">
        <w:rPr>
          <w:i/>
          <w:sz w:val="24"/>
          <w:vertAlign w:val="subscript"/>
        </w:rPr>
        <w:t>F</w:t>
      </w:r>
      <w:r w:rsidRPr="00B11B1C">
        <w:rPr>
          <w:sz w:val="24"/>
        </w:rPr>
        <w:t xml:space="preserve"> (global) recorded (i.e. minimum sample thickness) during each cycle for debulking steps 1 and 6, in which cycle A and cycle B debulking cycles (respectively) were performed on the “low” and “high” debulk ply-stacks, with more cycles performed on the “high” sample than “low.” </w:t>
      </w:r>
    </w:p>
    <w:p w14:paraId="66B2AE62" w14:textId="77777777" w:rsidR="00C4138A" w:rsidRPr="00B11B1C" w:rsidRDefault="00C4138A" w:rsidP="00D91C87"/>
    <w:p w14:paraId="6AD50F68" w14:textId="20D12413" w:rsidR="00D53292" w:rsidRPr="00B11B1C" w:rsidRDefault="005C4C19" w:rsidP="00D53292">
      <w:pPr>
        <w:keepNext/>
        <w:jc w:val="center"/>
      </w:pPr>
      <w:r w:rsidRPr="00B11B1C">
        <w:rPr>
          <w:noProof/>
        </w:rPr>
        <w:lastRenderedPageBreak/>
        <w:drawing>
          <wp:inline distT="0" distB="0" distL="0" distR="0" wp14:anchorId="376404B4" wp14:editId="5E8CC204">
            <wp:extent cx="3724275" cy="27128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35655" cy="2721121"/>
                    </a:xfrm>
                    <a:prstGeom prst="rect">
                      <a:avLst/>
                    </a:prstGeom>
                    <a:noFill/>
                    <a:ln>
                      <a:noFill/>
                    </a:ln>
                  </pic:spPr>
                </pic:pic>
              </a:graphicData>
            </a:graphic>
          </wp:inline>
        </w:drawing>
      </w:r>
    </w:p>
    <w:p w14:paraId="4D967B9A" w14:textId="29C62074" w:rsidR="00D53292" w:rsidRPr="00B11B1C" w:rsidRDefault="00D53292" w:rsidP="004C136C">
      <w:pPr>
        <w:pStyle w:val="Caption"/>
      </w:pPr>
      <w:bookmarkStart w:id="25" w:name="_Ref97812000"/>
      <w:r w:rsidRPr="00B11B1C">
        <w:t xml:space="preserve">Figure </w:t>
      </w:r>
      <w:r w:rsidRPr="00B11B1C">
        <w:fldChar w:fldCharType="begin"/>
      </w:r>
      <w:r w:rsidRPr="00B11B1C">
        <w:instrText>SEQ Figure \* ARABIC</w:instrText>
      </w:r>
      <w:r w:rsidRPr="00B11B1C">
        <w:fldChar w:fldCharType="separate"/>
      </w:r>
      <w:r w:rsidR="00531B5C" w:rsidRPr="00B11B1C">
        <w:rPr>
          <w:noProof/>
        </w:rPr>
        <w:t>23</w:t>
      </w:r>
      <w:r w:rsidRPr="00B11B1C">
        <w:fldChar w:fldCharType="end"/>
      </w:r>
      <w:bookmarkEnd w:id="25"/>
      <w:r w:rsidRPr="00B11B1C">
        <w:t>. Maximum recorded fiber content in each compression cycle, during initial (step 1) and later cycle B debulking (step</w:t>
      </w:r>
      <w:r w:rsidR="009C2856" w:rsidRPr="00B11B1C">
        <w:t xml:space="preserve"> </w:t>
      </w:r>
      <w:r w:rsidRPr="00B11B1C">
        <w:t>6), for a sample subjected to a "low" cycle count, and another sample subjected to a “high” cycle count.</w:t>
      </w:r>
    </w:p>
    <w:p w14:paraId="434F8A7E" w14:textId="20739984" w:rsidR="00C4138A" w:rsidRPr="00B11B1C" w:rsidRDefault="00C4138A" w:rsidP="00C4138A">
      <w:r w:rsidRPr="00B11B1C">
        <w:rPr>
          <w:sz w:val="24"/>
        </w:rPr>
        <w:t>During the very first debulking cycle (step 1), the two samples are initially at a similar, low fiber content of just under 54%, and this increases by a logarithmic trend with each cycle, i.e. the magnitude of the increase (slope of this graph) decreases with each cycle. Two days later, the first Cycle C test was performed, and then six days after that, another Cycle C test was performed to evaluate the rate of “springback,” i.e. how fast does the fiber rearrangement reverse into a less nested state. Then the Cycle B debulking was performed in Step 6.  As seen in Figure 23, in that step, the two samples again show approximately the same fiber content during the first cycle B debulk and increase in fiber content at nearly the same rate with each cycle. The higher initial fiber content (58%) shows that the earlier debulking did induce fiber nesting. But the lack of difference between the low and high samples suggests that any difference in the quantity of Cycle A debulking (between the low and high samples) was negated by the springback over those 8 days delay and / or more significant nesting occurring during the identical Cycle C testing.</w:t>
      </w:r>
    </w:p>
    <w:p w14:paraId="695880EA" w14:textId="27380212" w:rsidR="00D91C87" w:rsidRPr="00B11B1C" w:rsidRDefault="00D91C87" w:rsidP="00402D60">
      <w:pPr>
        <w:pStyle w:val="Heading2"/>
      </w:pPr>
      <w:r w:rsidRPr="00B11B1C">
        <w:t>Vacuum Infusion Process</w:t>
      </w:r>
    </w:p>
    <w:p w14:paraId="729CCABF" w14:textId="77777777" w:rsidR="00D91C87" w:rsidRPr="00B11B1C" w:rsidRDefault="00D91C87">
      <w:r w:rsidRPr="00B11B1C">
        <w:t>Three laminates were manufactured by vacuum infusion under a vacuum bag, using a layer of flow media over the top to accelerate the filling time. Two of the laminates were prepared from the "low debulk” and “high debulk” samples from the debulking experiments, which were infused shortly after the last debulking cycle. The third laminate was prepared from a ply-stack straight from the fabric roll, with no debulking, referred to as the “benchmark” sample.</w:t>
      </w:r>
    </w:p>
    <w:p w14:paraId="5C750C61" w14:textId="77777777" w:rsidR="00D91C87" w:rsidRPr="00B11B1C" w:rsidRDefault="00D91C87">
      <w:r w:rsidRPr="00B11B1C">
        <w:t xml:space="preserve">An inlet channel was situated across one of the edges of the sample to create approximately uni-directional flow across the square preform. Flow media covered all the surface of the preform except for an approximately 20 mm wide perimeter along the vent-side of the preform as well as the sides perpendicular to the flow direction. The resin was mixed, then degassed for 15 minutes before infusion. The applied pressure gradient was 86 kPa. </w:t>
      </w:r>
    </w:p>
    <w:p w14:paraId="36A15F57" w14:textId="77777777" w:rsidR="00D91C87" w:rsidRPr="00B11B1C" w:rsidRDefault="00D91C87">
      <w:r w:rsidRPr="00B11B1C">
        <w:t xml:space="preserve">The resin viscosity was measured just prior to infusion with a Brookfield viscometer, and was approximately 360 mPa·s for all three infusions. Thermocouples verified that the epoxy resin, both in the pot and in the mold, remained at nearly a constant temperature, approximately 21° C. </w:t>
      </w:r>
    </w:p>
    <w:p w14:paraId="5E7C6637" w14:textId="7E5DAA75" w:rsidR="00D91C87" w:rsidRDefault="00D91C87">
      <w:r w:rsidRPr="00B11B1C">
        <w:lastRenderedPageBreak/>
        <w:t>After filling the preform, the inlet pipe from the resin pot was clamped shut and the sample left under vacuum until the part was cured. Upon demolding, some dry areas were noticed on the rigid mold-side of the high-debulk laminate. This denotes the tortuous path of the resin from the flow media through the thickness of a uni-directional weave, with relatively low permeability compared to other reinforcements, and exacerbated by debulking.</w:t>
      </w:r>
    </w:p>
    <w:p w14:paraId="63DA1313" w14:textId="6783128F" w:rsidR="014D097B" w:rsidRDefault="014D097B" w:rsidP="014D097B">
      <w:pPr>
        <w:rPr>
          <w:szCs w:val="22"/>
        </w:rPr>
      </w:pPr>
    </w:p>
    <w:sectPr w:rsidR="014D097B" w:rsidSect="00B11B1C">
      <w:footerReference w:type="default" r:id="rId39"/>
      <w:type w:val="continuous"/>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59A87B" w14:textId="77777777" w:rsidR="00B172BA" w:rsidRDefault="00B172BA" w:rsidP="000A36CB">
      <w:pPr>
        <w:spacing w:before="0" w:after="0"/>
      </w:pPr>
      <w:r>
        <w:separator/>
      </w:r>
    </w:p>
  </w:endnote>
  <w:endnote w:type="continuationSeparator" w:id="0">
    <w:p w14:paraId="5BCEDF88" w14:textId="77777777" w:rsidR="00B172BA" w:rsidRDefault="00B172BA" w:rsidP="000A36C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3705"/>
      <w:docPartObj>
        <w:docPartGallery w:val="Page Numbers (Bottom of Page)"/>
        <w:docPartUnique/>
      </w:docPartObj>
    </w:sdtPr>
    <w:sdtEndPr/>
    <w:sdtContent>
      <w:p w14:paraId="3671ADEC" w14:textId="2540A2CD" w:rsidR="00CE32C5" w:rsidRDefault="00CE32C5">
        <w:pPr>
          <w:pStyle w:val="Footer"/>
          <w:jc w:val="center"/>
        </w:pPr>
        <w:r>
          <w:fldChar w:fldCharType="begin"/>
        </w:r>
        <w:r>
          <w:instrText xml:space="preserve"> PAGE   \* MERGEFORMAT </w:instrText>
        </w:r>
        <w:r>
          <w:fldChar w:fldCharType="separate"/>
        </w:r>
        <w:r w:rsidR="00B02BA7">
          <w:rPr>
            <w:noProof/>
          </w:rPr>
          <w:t>7</w:t>
        </w:r>
        <w:r>
          <w:rPr>
            <w:noProof/>
          </w:rPr>
          <w:fldChar w:fldCharType="end"/>
        </w:r>
      </w:p>
    </w:sdtContent>
  </w:sdt>
  <w:p w14:paraId="2C404460" w14:textId="77777777" w:rsidR="00CE32C5" w:rsidRDefault="00CE32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12137A" w14:textId="77777777" w:rsidR="00B172BA" w:rsidRDefault="00B172BA" w:rsidP="000A36CB">
      <w:pPr>
        <w:spacing w:before="0" w:after="0"/>
      </w:pPr>
      <w:r>
        <w:separator/>
      </w:r>
    </w:p>
  </w:footnote>
  <w:footnote w:type="continuationSeparator" w:id="0">
    <w:p w14:paraId="799B6A1F" w14:textId="77777777" w:rsidR="00B172BA" w:rsidRDefault="00B172BA" w:rsidP="000A36CB">
      <w:pPr>
        <w:spacing w:before="0" w:after="0"/>
      </w:pPr>
      <w:r>
        <w:continuationSeparator/>
      </w:r>
    </w:p>
  </w:footnote>
  <w:footnote w:id="1">
    <w:p w14:paraId="5182880F" w14:textId="77777777" w:rsidR="00CE32C5" w:rsidRDefault="00CE32C5" w:rsidP="00B831FD">
      <w:pPr>
        <w:pStyle w:val="FootnoteText"/>
      </w:pPr>
      <w:r>
        <w:rPr>
          <w:rStyle w:val="FootnoteReference"/>
        </w:rPr>
        <w:t>*</w:t>
      </w:r>
      <w:r>
        <w:t xml:space="preserve"> Corresponding author, Phone: (781)724-5408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746E98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FD6BB7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9FCFAA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ABEB54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760E905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7B0022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E985D7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7022A7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B2C243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560745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CB06E3"/>
    <w:multiLevelType w:val="multilevel"/>
    <w:tmpl w:val="C0423246"/>
    <w:lvl w:ilvl="0">
      <w:start w:val="1"/>
      <w:numFmt w:val="decimal"/>
      <w:lvlText w:val="%1."/>
      <w:lvlJc w:val="left"/>
      <w:pPr>
        <w:tabs>
          <w:tab w:val="num" w:pos="360"/>
        </w:tabs>
        <w:ind w:left="360" w:hanging="360"/>
      </w:pPr>
      <w:rPr>
        <w:rFonts w:hint="default"/>
      </w:rPr>
    </w:lvl>
    <w:lvl w:ilvl="1">
      <w:start w:val="1"/>
      <w:numFmt w:val="decimal"/>
      <w:lvlText w:val=".%2.%1"/>
      <w:lvlJc w:val="left"/>
      <w:pPr>
        <w:tabs>
          <w:tab w:val="num" w:pos="720"/>
        </w:tabs>
        <w:ind w:left="720" w:hanging="36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15:restartNumberingAfterBreak="0">
    <w:nsid w:val="0A225EAD"/>
    <w:multiLevelType w:val="hybridMultilevel"/>
    <w:tmpl w:val="9D949C70"/>
    <w:lvl w:ilvl="0" w:tplc="40CADE1A">
      <w:start w:val="1"/>
      <w:numFmt w:val="decimal"/>
      <w:lvlText w:val="%1"/>
      <w:lvlJc w:val="left"/>
      <w:pPr>
        <w:tabs>
          <w:tab w:val="num" w:pos="1008"/>
        </w:tabs>
        <w:ind w:left="360" w:firstLine="288"/>
      </w:pPr>
      <w:rPr>
        <w:rFonts w:hint="default"/>
        <w:sz w:val="18"/>
        <w:vertAlign w:val="superscrip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C583CA2"/>
    <w:multiLevelType w:val="hybridMultilevel"/>
    <w:tmpl w:val="A4BC4FC8"/>
    <w:lvl w:ilvl="0" w:tplc="40AA049A">
      <w:numFmt w:val="bullet"/>
      <w:lvlText w:val=""/>
      <w:lvlJc w:val="left"/>
      <w:pPr>
        <w:tabs>
          <w:tab w:val="num" w:pos="840"/>
        </w:tabs>
        <w:ind w:left="840" w:hanging="360"/>
      </w:pPr>
      <w:rPr>
        <w:rFonts w:ascii="Symbol" w:eastAsia="Times New Roman" w:hAnsi="Symbol" w:cs="Times New Roman" w:hint="default"/>
      </w:rPr>
    </w:lvl>
    <w:lvl w:ilvl="1" w:tplc="04090003" w:tentative="1">
      <w:start w:val="1"/>
      <w:numFmt w:val="bullet"/>
      <w:lvlText w:val="o"/>
      <w:lvlJc w:val="left"/>
      <w:pPr>
        <w:tabs>
          <w:tab w:val="num" w:pos="1680"/>
        </w:tabs>
        <w:ind w:left="1680" w:hanging="360"/>
      </w:pPr>
      <w:rPr>
        <w:rFonts w:ascii="Courier New" w:hAnsi="Courier New" w:hint="default"/>
      </w:rPr>
    </w:lvl>
    <w:lvl w:ilvl="2" w:tplc="04090005" w:tentative="1">
      <w:start w:val="1"/>
      <w:numFmt w:val="bullet"/>
      <w:lvlText w:val=""/>
      <w:lvlJc w:val="left"/>
      <w:pPr>
        <w:tabs>
          <w:tab w:val="num" w:pos="2400"/>
        </w:tabs>
        <w:ind w:left="2400" w:hanging="360"/>
      </w:pPr>
      <w:rPr>
        <w:rFonts w:ascii="Wingdings" w:hAnsi="Wingdings" w:hint="default"/>
      </w:rPr>
    </w:lvl>
    <w:lvl w:ilvl="3" w:tplc="04090001" w:tentative="1">
      <w:start w:val="1"/>
      <w:numFmt w:val="bullet"/>
      <w:lvlText w:val=""/>
      <w:lvlJc w:val="left"/>
      <w:pPr>
        <w:tabs>
          <w:tab w:val="num" w:pos="3120"/>
        </w:tabs>
        <w:ind w:left="3120" w:hanging="360"/>
      </w:pPr>
      <w:rPr>
        <w:rFonts w:ascii="Symbol" w:hAnsi="Symbol" w:hint="default"/>
      </w:rPr>
    </w:lvl>
    <w:lvl w:ilvl="4" w:tplc="04090003" w:tentative="1">
      <w:start w:val="1"/>
      <w:numFmt w:val="bullet"/>
      <w:lvlText w:val="o"/>
      <w:lvlJc w:val="left"/>
      <w:pPr>
        <w:tabs>
          <w:tab w:val="num" w:pos="3840"/>
        </w:tabs>
        <w:ind w:left="3840" w:hanging="360"/>
      </w:pPr>
      <w:rPr>
        <w:rFonts w:ascii="Courier New" w:hAnsi="Courier New" w:hint="default"/>
      </w:rPr>
    </w:lvl>
    <w:lvl w:ilvl="5" w:tplc="04090005" w:tentative="1">
      <w:start w:val="1"/>
      <w:numFmt w:val="bullet"/>
      <w:lvlText w:val=""/>
      <w:lvlJc w:val="left"/>
      <w:pPr>
        <w:tabs>
          <w:tab w:val="num" w:pos="4560"/>
        </w:tabs>
        <w:ind w:left="4560" w:hanging="360"/>
      </w:pPr>
      <w:rPr>
        <w:rFonts w:ascii="Wingdings" w:hAnsi="Wingdings" w:hint="default"/>
      </w:rPr>
    </w:lvl>
    <w:lvl w:ilvl="6" w:tplc="04090001" w:tentative="1">
      <w:start w:val="1"/>
      <w:numFmt w:val="bullet"/>
      <w:lvlText w:val=""/>
      <w:lvlJc w:val="left"/>
      <w:pPr>
        <w:tabs>
          <w:tab w:val="num" w:pos="5280"/>
        </w:tabs>
        <w:ind w:left="5280" w:hanging="360"/>
      </w:pPr>
      <w:rPr>
        <w:rFonts w:ascii="Symbol" w:hAnsi="Symbol" w:hint="default"/>
      </w:rPr>
    </w:lvl>
    <w:lvl w:ilvl="7" w:tplc="04090003" w:tentative="1">
      <w:start w:val="1"/>
      <w:numFmt w:val="bullet"/>
      <w:lvlText w:val="o"/>
      <w:lvlJc w:val="left"/>
      <w:pPr>
        <w:tabs>
          <w:tab w:val="num" w:pos="6000"/>
        </w:tabs>
        <w:ind w:left="6000" w:hanging="360"/>
      </w:pPr>
      <w:rPr>
        <w:rFonts w:ascii="Courier New" w:hAnsi="Courier New" w:hint="default"/>
      </w:rPr>
    </w:lvl>
    <w:lvl w:ilvl="8" w:tplc="04090005" w:tentative="1">
      <w:start w:val="1"/>
      <w:numFmt w:val="bullet"/>
      <w:lvlText w:val=""/>
      <w:lvlJc w:val="left"/>
      <w:pPr>
        <w:tabs>
          <w:tab w:val="num" w:pos="6720"/>
        </w:tabs>
        <w:ind w:left="6720" w:hanging="360"/>
      </w:pPr>
      <w:rPr>
        <w:rFonts w:ascii="Wingdings" w:hAnsi="Wingdings" w:hint="default"/>
      </w:rPr>
    </w:lvl>
  </w:abstractNum>
  <w:abstractNum w:abstractNumId="13" w15:restartNumberingAfterBreak="0">
    <w:nsid w:val="0D860CF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100D6BEB"/>
    <w:multiLevelType w:val="multilevel"/>
    <w:tmpl w:val="C8F4E26C"/>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5" w15:restartNumberingAfterBreak="0">
    <w:nsid w:val="1B8B550A"/>
    <w:multiLevelType w:val="hybridMultilevel"/>
    <w:tmpl w:val="3968A508"/>
    <w:lvl w:ilvl="0" w:tplc="909293A4">
      <w:start w:val="1"/>
      <w:numFmt w:val="decimal"/>
      <w:lvlText w:val="%1."/>
      <w:lvlJc w:val="left"/>
      <w:pPr>
        <w:ind w:left="720" w:hanging="360"/>
      </w:pPr>
    </w:lvl>
    <w:lvl w:ilvl="1" w:tplc="6B040740">
      <w:start w:val="1"/>
      <w:numFmt w:val="lowerLetter"/>
      <w:lvlText w:val="%2."/>
      <w:lvlJc w:val="left"/>
      <w:pPr>
        <w:ind w:left="1440" w:hanging="360"/>
      </w:pPr>
    </w:lvl>
    <w:lvl w:ilvl="2" w:tplc="9A5E79EE">
      <w:start w:val="1"/>
      <w:numFmt w:val="lowerRoman"/>
      <w:lvlText w:val="%3."/>
      <w:lvlJc w:val="right"/>
      <w:pPr>
        <w:ind w:left="2160" w:hanging="180"/>
      </w:pPr>
    </w:lvl>
    <w:lvl w:ilvl="3" w:tplc="045A3E5A">
      <w:start w:val="1"/>
      <w:numFmt w:val="decimal"/>
      <w:lvlText w:val="%4."/>
      <w:lvlJc w:val="left"/>
      <w:pPr>
        <w:ind w:left="2880" w:hanging="360"/>
      </w:pPr>
    </w:lvl>
    <w:lvl w:ilvl="4" w:tplc="79C608EA">
      <w:start w:val="1"/>
      <w:numFmt w:val="lowerLetter"/>
      <w:lvlText w:val="%5."/>
      <w:lvlJc w:val="left"/>
      <w:pPr>
        <w:ind w:left="3600" w:hanging="360"/>
      </w:pPr>
    </w:lvl>
    <w:lvl w:ilvl="5" w:tplc="7A187C90">
      <w:start w:val="1"/>
      <w:numFmt w:val="lowerRoman"/>
      <w:lvlText w:val="%6."/>
      <w:lvlJc w:val="right"/>
      <w:pPr>
        <w:ind w:left="4320" w:hanging="180"/>
      </w:pPr>
    </w:lvl>
    <w:lvl w:ilvl="6" w:tplc="156639B2">
      <w:start w:val="1"/>
      <w:numFmt w:val="decimal"/>
      <w:lvlText w:val="%7."/>
      <w:lvlJc w:val="left"/>
      <w:pPr>
        <w:ind w:left="5040" w:hanging="360"/>
      </w:pPr>
    </w:lvl>
    <w:lvl w:ilvl="7" w:tplc="F2FA0C78">
      <w:start w:val="1"/>
      <w:numFmt w:val="lowerLetter"/>
      <w:lvlText w:val="%8."/>
      <w:lvlJc w:val="left"/>
      <w:pPr>
        <w:ind w:left="5760" w:hanging="360"/>
      </w:pPr>
    </w:lvl>
    <w:lvl w:ilvl="8" w:tplc="CEC4AA80">
      <w:start w:val="1"/>
      <w:numFmt w:val="lowerRoman"/>
      <w:lvlText w:val="%9."/>
      <w:lvlJc w:val="right"/>
      <w:pPr>
        <w:ind w:left="6480" w:hanging="180"/>
      </w:pPr>
    </w:lvl>
  </w:abstractNum>
  <w:abstractNum w:abstractNumId="16" w15:restartNumberingAfterBreak="0">
    <w:nsid w:val="2046422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23650BDC"/>
    <w:multiLevelType w:val="multilevel"/>
    <w:tmpl w:val="38C2BD5A"/>
    <w:lvl w:ilvl="0">
      <w:start w:val="1"/>
      <w:numFmt w:val="decimal"/>
      <w:lvlText w:val="%1."/>
      <w:lvlJc w:val="left"/>
      <w:pPr>
        <w:tabs>
          <w:tab w:val="num" w:pos="360"/>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2EB33974"/>
    <w:multiLevelType w:val="multilevel"/>
    <w:tmpl w:val="C0ECCA2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9" w15:restartNumberingAfterBreak="0">
    <w:nsid w:val="303F2B0C"/>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3207730A"/>
    <w:multiLevelType w:val="multilevel"/>
    <w:tmpl w:val="ED58DAE2"/>
    <w:lvl w:ilvl="0">
      <w:start w:val="1"/>
      <w:numFmt w:val="decimal"/>
      <w:lvlText w:val="%1."/>
      <w:lvlJc w:val="left"/>
      <w:pPr>
        <w:tabs>
          <w:tab w:val="num" w:pos="288"/>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34E9029D"/>
    <w:multiLevelType w:val="hybridMultilevel"/>
    <w:tmpl w:val="CD802168"/>
    <w:lvl w:ilvl="0" w:tplc="1ED40604">
      <w:start w:val="1"/>
      <w:numFmt w:val="decimal"/>
      <w:lvlText w:val="%1."/>
      <w:lvlJc w:val="left"/>
      <w:pPr>
        <w:ind w:left="720" w:hanging="360"/>
      </w:pPr>
    </w:lvl>
    <w:lvl w:ilvl="1" w:tplc="22A2F5DA">
      <w:start w:val="1"/>
      <w:numFmt w:val="lowerLetter"/>
      <w:lvlText w:val="%2."/>
      <w:lvlJc w:val="left"/>
      <w:pPr>
        <w:ind w:left="1440" w:hanging="360"/>
      </w:pPr>
    </w:lvl>
    <w:lvl w:ilvl="2" w:tplc="52FC1884">
      <w:start w:val="1"/>
      <w:numFmt w:val="lowerRoman"/>
      <w:lvlText w:val="%3."/>
      <w:lvlJc w:val="right"/>
      <w:pPr>
        <w:ind w:left="2160" w:hanging="180"/>
      </w:pPr>
    </w:lvl>
    <w:lvl w:ilvl="3" w:tplc="D862C588">
      <w:start w:val="1"/>
      <w:numFmt w:val="decimal"/>
      <w:lvlText w:val="%4."/>
      <w:lvlJc w:val="left"/>
      <w:pPr>
        <w:ind w:left="2880" w:hanging="360"/>
      </w:pPr>
    </w:lvl>
    <w:lvl w:ilvl="4" w:tplc="6BEA8F22">
      <w:start w:val="1"/>
      <w:numFmt w:val="lowerLetter"/>
      <w:lvlText w:val="%5."/>
      <w:lvlJc w:val="left"/>
      <w:pPr>
        <w:ind w:left="3600" w:hanging="360"/>
      </w:pPr>
    </w:lvl>
    <w:lvl w:ilvl="5" w:tplc="70748B66">
      <w:start w:val="1"/>
      <w:numFmt w:val="lowerRoman"/>
      <w:lvlText w:val="%6."/>
      <w:lvlJc w:val="right"/>
      <w:pPr>
        <w:ind w:left="4320" w:hanging="180"/>
      </w:pPr>
    </w:lvl>
    <w:lvl w:ilvl="6" w:tplc="72523438">
      <w:start w:val="1"/>
      <w:numFmt w:val="decimal"/>
      <w:lvlText w:val="%7."/>
      <w:lvlJc w:val="left"/>
      <w:pPr>
        <w:ind w:left="5040" w:hanging="360"/>
      </w:pPr>
    </w:lvl>
    <w:lvl w:ilvl="7" w:tplc="C0E823BC">
      <w:start w:val="1"/>
      <w:numFmt w:val="lowerLetter"/>
      <w:lvlText w:val="%8."/>
      <w:lvlJc w:val="left"/>
      <w:pPr>
        <w:ind w:left="5760" w:hanging="360"/>
      </w:pPr>
    </w:lvl>
    <w:lvl w:ilvl="8" w:tplc="4F280C96">
      <w:start w:val="1"/>
      <w:numFmt w:val="lowerRoman"/>
      <w:lvlText w:val="%9."/>
      <w:lvlJc w:val="right"/>
      <w:pPr>
        <w:ind w:left="6480" w:hanging="180"/>
      </w:pPr>
    </w:lvl>
  </w:abstractNum>
  <w:abstractNum w:abstractNumId="22" w15:restartNumberingAfterBreak="0">
    <w:nsid w:val="377259DA"/>
    <w:multiLevelType w:val="multilevel"/>
    <w:tmpl w:val="2424BA3C"/>
    <w:lvl w:ilvl="0">
      <w:start w:val="1"/>
      <w:numFmt w:val="decimal"/>
      <w:lvlText w:val="%1."/>
      <w:lvlJc w:val="left"/>
      <w:pPr>
        <w:tabs>
          <w:tab w:val="num" w:pos="360"/>
        </w:tabs>
        <w:ind w:left="432" w:hanging="432"/>
      </w:pPr>
      <w:rPr>
        <w:rFonts w:hint="default"/>
      </w:rPr>
    </w:lvl>
    <w:lvl w:ilvl="1">
      <w:start w:val="1"/>
      <w:numFmt w:val="decimal"/>
      <w:lvlText w:val="%1.%2"/>
      <w:lvlJc w:val="left"/>
      <w:pPr>
        <w:tabs>
          <w:tab w:val="num" w:pos="504"/>
        </w:tabs>
        <w:ind w:left="504" w:hanging="504"/>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38362E74"/>
    <w:multiLevelType w:val="hybridMultilevel"/>
    <w:tmpl w:val="C4B61B72"/>
    <w:lvl w:ilvl="0" w:tplc="6030A82E">
      <w:start w:val="1"/>
      <w:numFmt w:val="decimal"/>
      <w:lvlText w:val="%1."/>
      <w:lvlJc w:val="left"/>
      <w:pPr>
        <w:ind w:left="720" w:hanging="360"/>
      </w:pPr>
    </w:lvl>
    <w:lvl w:ilvl="1" w:tplc="7A14EDFA">
      <w:start w:val="1"/>
      <w:numFmt w:val="lowerLetter"/>
      <w:lvlText w:val="%2."/>
      <w:lvlJc w:val="left"/>
      <w:pPr>
        <w:ind w:left="1440" w:hanging="360"/>
      </w:pPr>
    </w:lvl>
    <w:lvl w:ilvl="2" w:tplc="50EAB80C">
      <w:start w:val="1"/>
      <w:numFmt w:val="lowerRoman"/>
      <w:lvlText w:val="%3."/>
      <w:lvlJc w:val="right"/>
      <w:pPr>
        <w:ind w:left="2160" w:hanging="180"/>
      </w:pPr>
    </w:lvl>
    <w:lvl w:ilvl="3" w:tplc="1D98A90C">
      <w:start w:val="1"/>
      <w:numFmt w:val="decimal"/>
      <w:lvlText w:val="%4."/>
      <w:lvlJc w:val="left"/>
      <w:pPr>
        <w:ind w:left="2880" w:hanging="360"/>
      </w:pPr>
    </w:lvl>
    <w:lvl w:ilvl="4" w:tplc="D8E8D32A">
      <w:start w:val="1"/>
      <w:numFmt w:val="lowerLetter"/>
      <w:lvlText w:val="%5."/>
      <w:lvlJc w:val="left"/>
      <w:pPr>
        <w:ind w:left="3600" w:hanging="360"/>
      </w:pPr>
    </w:lvl>
    <w:lvl w:ilvl="5" w:tplc="7F403F40">
      <w:start w:val="1"/>
      <w:numFmt w:val="lowerRoman"/>
      <w:lvlText w:val="%6."/>
      <w:lvlJc w:val="right"/>
      <w:pPr>
        <w:ind w:left="4320" w:hanging="180"/>
      </w:pPr>
    </w:lvl>
    <w:lvl w:ilvl="6" w:tplc="EF1A6194">
      <w:start w:val="1"/>
      <w:numFmt w:val="decimal"/>
      <w:lvlText w:val="%7."/>
      <w:lvlJc w:val="left"/>
      <w:pPr>
        <w:ind w:left="5040" w:hanging="360"/>
      </w:pPr>
    </w:lvl>
    <w:lvl w:ilvl="7" w:tplc="F3C67AF2">
      <w:start w:val="1"/>
      <w:numFmt w:val="lowerLetter"/>
      <w:lvlText w:val="%8."/>
      <w:lvlJc w:val="left"/>
      <w:pPr>
        <w:ind w:left="5760" w:hanging="360"/>
      </w:pPr>
    </w:lvl>
    <w:lvl w:ilvl="8" w:tplc="F2F8AE04">
      <w:start w:val="1"/>
      <w:numFmt w:val="lowerRoman"/>
      <w:lvlText w:val="%9."/>
      <w:lvlJc w:val="right"/>
      <w:pPr>
        <w:ind w:left="6480" w:hanging="180"/>
      </w:pPr>
    </w:lvl>
  </w:abstractNum>
  <w:abstractNum w:abstractNumId="24" w15:restartNumberingAfterBreak="0">
    <w:nsid w:val="38A250EC"/>
    <w:multiLevelType w:val="hybridMultilevel"/>
    <w:tmpl w:val="833645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B282022"/>
    <w:multiLevelType w:val="hybridMultilevel"/>
    <w:tmpl w:val="FD6A6C24"/>
    <w:lvl w:ilvl="0" w:tplc="33CC6AA2">
      <w:start w:val="1"/>
      <w:numFmt w:val="decimal"/>
      <w:lvlText w:val="%1."/>
      <w:lvlJc w:val="left"/>
      <w:pPr>
        <w:ind w:left="720" w:hanging="360"/>
      </w:pPr>
    </w:lvl>
    <w:lvl w:ilvl="1" w:tplc="64545760">
      <w:start w:val="1"/>
      <w:numFmt w:val="lowerLetter"/>
      <w:lvlText w:val="%2."/>
      <w:lvlJc w:val="left"/>
      <w:pPr>
        <w:ind w:left="1440" w:hanging="360"/>
      </w:pPr>
    </w:lvl>
    <w:lvl w:ilvl="2" w:tplc="6338B1F6">
      <w:start w:val="1"/>
      <w:numFmt w:val="lowerRoman"/>
      <w:lvlText w:val="%3."/>
      <w:lvlJc w:val="right"/>
      <w:pPr>
        <w:ind w:left="2160" w:hanging="180"/>
      </w:pPr>
    </w:lvl>
    <w:lvl w:ilvl="3" w:tplc="C340EB2A">
      <w:start w:val="1"/>
      <w:numFmt w:val="decimal"/>
      <w:lvlText w:val="%4."/>
      <w:lvlJc w:val="left"/>
      <w:pPr>
        <w:ind w:left="2880" w:hanging="360"/>
      </w:pPr>
    </w:lvl>
    <w:lvl w:ilvl="4" w:tplc="694C0A56">
      <w:start w:val="1"/>
      <w:numFmt w:val="lowerLetter"/>
      <w:lvlText w:val="%5."/>
      <w:lvlJc w:val="left"/>
      <w:pPr>
        <w:ind w:left="3600" w:hanging="360"/>
      </w:pPr>
    </w:lvl>
    <w:lvl w:ilvl="5" w:tplc="EE6E8E02">
      <w:start w:val="1"/>
      <w:numFmt w:val="lowerRoman"/>
      <w:lvlText w:val="%6."/>
      <w:lvlJc w:val="right"/>
      <w:pPr>
        <w:ind w:left="4320" w:hanging="180"/>
      </w:pPr>
    </w:lvl>
    <w:lvl w:ilvl="6" w:tplc="71E621F4">
      <w:start w:val="1"/>
      <w:numFmt w:val="decimal"/>
      <w:lvlText w:val="%7."/>
      <w:lvlJc w:val="left"/>
      <w:pPr>
        <w:ind w:left="5040" w:hanging="360"/>
      </w:pPr>
    </w:lvl>
    <w:lvl w:ilvl="7" w:tplc="0DE42A06">
      <w:start w:val="1"/>
      <w:numFmt w:val="lowerLetter"/>
      <w:lvlText w:val="%8."/>
      <w:lvlJc w:val="left"/>
      <w:pPr>
        <w:ind w:left="5760" w:hanging="360"/>
      </w:pPr>
    </w:lvl>
    <w:lvl w:ilvl="8" w:tplc="778A4EBE">
      <w:start w:val="1"/>
      <w:numFmt w:val="lowerRoman"/>
      <w:lvlText w:val="%9."/>
      <w:lvlJc w:val="right"/>
      <w:pPr>
        <w:ind w:left="6480" w:hanging="180"/>
      </w:pPr>
    </w:lvl>
  </w:abstractNum>
  <w:abstractNum w:abstractNumId="26" w15:restartNumberingAfterBreak="0">
    <w:nsid w:val="3E186000"/>
    <w:multiLevelType w:val="multilevel"/>
    <w:tmpl w:val="E4CAC238"/>
    <w:lvl w:ilvl="0">
      <w:start w:val="1"/>
      <w:numFmt w:val="decimal"/>
      <w:lvlText w:val="%1."/>
      <w:lvlJc w:val="left"/>
      <w:pPr>
        <w:tabs>
          <w:tab w:val="num" w:pos="360"/>
        </w:tabs>
        <w:ind w:left="432" w:hanging="432"/>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3FCC2E83"/>
    <w:multiLevelType w:val="multilevel"/>
    <w:tmpl w:val="B93482A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8" w15:restartNumberingAfterBreak="0">
    <w:nsid w:val="426E4244"/>
    <w:multiLevelType w:val="multilevel"/>
    <w:tmpl w:val="C0423246"/>
    <w:lvl w:ilvl="0">
      <w:start w:val="1"/>
      <w:numFmt w:val="decimal"/>
      <w:lvlText w:val="%1."/>
      <w:lvlJc w:val="left"/>
      <w:pPr>
        <w:tabs>
          <w:tab w:val="num" w:pos="360"/>
        </w:tabs>
        <w:ind w:left="360" w:hanging="360"/>
      </w:pPr>
      <w:rPr>
        <w:rFonts w:hint="default"/>
      </w:rPr>
    </w:lvl>
    <w:lvl w:ilvl="1">
      <w:start w:val="1"/>
      <w:numFmt w:val="decimal"/>
      <w:lvlText w:val=".%2.%1"/>
      <w:lvlJc w:val="left"/>
      <w:pPr>
        <w:tabs>
          <w:tab w:val="num" w:pos="720"/>
        </w:tabs>
        <w:ind w:left="720" w:hanging="36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9" w15:restartNumberingAfterBreak="0">
    <w:nsid w:val="434624B4"/>
    <w:multiLevelType w:val="multilevel"/>
    <w:tmpl w:val="A0682F4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597D6B5B"/>
    <w:multiLevelType w:val="hybridMultilevel"/>
    <w:tmpl w:val="B36CB41C"/>
    <w:lvl w:ilvl="0" w:tplc="27623E4C">
      <w:start w:val="1"/>
      <w:numFmt w:val="decimal"/>
      <w:pStyle w:val="Reference"/>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5B6B5577"/>
    <w:multiLevelType w:val="hybridMultilevel"/>
    <w:tmpl w:val="EA569600"/>
    <w:lvl w:ilvl="0" w:tplc="40AA049A">
      <w:numFmt w:val="bullet"/>
      <w:lvlText w:val=""/>
      <w:lvlJc w:val="left"/>
      <w:pPr>
        <w:tabs>
          <w:tab w:val="num" w:pos="600"/>
        </w:tabs>
        <w:ind w:left="600" w:hanging="360"/>
      </w:pPr>
      <w:rPr>
        <w:rFonts w:ascii="Symbol" w:eastAsia="Times New Roman" w:hAnsi="Symbol" w:cs="Times New Roman" w:hint="default"/>
      </w:rPr>
    </w:lvl>
    <w:lvl w:ilvl="1" w:tplc="04090003" w:tentative="1">
      <w:start w:val="1"/>
      <w:numFmt w:val="bullet"/>
      <w:lvlText w:val="o"/>
      <w:lvlJc w:val="left"/>
      <w:pPr>
        <w:tabs>
          <w:tab w:val="num" w:pos="1320"/>
        </w:tabs>
        <w:ind w:left="1320" w:hanging="360"/>
      </w:pPr>
      <w:rPr>
        <w:rFonts w:ascii="Courier New" w:hAnsi="Courier New" w:hint="default"/>
      </w:rPr>
    </w:lvl>
    <w:lvl w:ilvl="2" w:tplc="04090005" w:tentative="1">
      <w:start w:val="1"/>
      <w:numFmt w:val="bullet"/>
      <w:lvlText w:val=""/>
      <w:lvlJc w:val="left"/>
      <w:pPr>
        <w:tabs>
          <w:tab w:val="num" w:pos="2040"/>
        </w:tabs>
        <w:ind w:left="2040" w:hanging="360"/>
      </w:pPr>
      <w:rPr>
        <w:rFonts w:ascii="Wingdings" w:hAnsi="Wingdings" w:hint="default"/>
      </w:rPr>
    </w:lvl>
    <w:lvl w:ilvl="3" w:tplc="04090001" w:tentative="1">
      <w:start w:val="1"/>
      <w:numFmt w:val="bullet"/>
      <w:lvlText w:val=""/>
      <w:lvlJc w:val="left"/>
      <w:pPr>
        <w:tabs>
          <w:tab w:val="num" w:pos="2760"/>
        </w:tabs>
        <w:ind w:left="2760" w:hanging="360"/>
      </w:pPr>
      <w:rPr>
        <w:rFonts w:ascii="Symbol" w:hAnsi="Symbol" w:hint="default"/>
      </w:rPr>
    </w:lvl>
    <w:lvl w:ilvl="4" w:tplc="04090003" w:tentative="1">
      <w:start w:val="1"/>
      <w:numFmt w:val="bullet"/>
      <w:lvlText w:val="o"/>
      <w:lvlJc w:val="left"/>
      <w:pPr>
        <w:tabs>
          <w:tab w:val="num" w:pos="3480"/>
        </w:tabs>
        <w:ind w:left="3480" w:hanging="360"/>
      </w:pPr>
      <w:rPr>
        <w:rFonts w:ascii="Courier New" w:hAnsi="Courier New" w:hint="default"/>
      </w:rPr>
    </w:lvl>
    <w:lvl w:ilvl="5" w:tplc="04090005" w:tentative="1">
      <w:start w:val="1"/>
      <w:numFmt w:val="bullet"/>
      <w:lvlText w:val=""/>
      <w:lvlJc w:val="left"/>
      <w:pPr>
        <w:tabs>
          <w:tab w:val="num" w:pos="4200"/>
        </w:tabs>
        <w:ind w:left="4200" w:hanging="360"/>
      </w:pPr>
      <w:rPr>
        <w:rFonts w:ascii="Wingdings" w:hAnsi="Wingdings" w:hint="default"/>
      </w:rPr>
    </w:lvl>
    <w:lvl w:ilvl="6" w:tplc="04090001" w:tentative="1">
      <w:start w:val="1"/>
      <w:numFmt w:val="bullet"/>
      <w:lvlText w:val=""/>
      <w:lvlJc w:val="left"/>
      <w:pPr>
        <w:tabs>
          <w:tab w:val="num" w:pos="4920"/>
        </w:tabs>
        <w:ind w:left="4920" w:hanging="360"/>
      </w:pPr>
      <w:rPr>
        <w:rFonts w:ascii="Symbol" w:hAnsi="Symbol" w:hint="default"/>
      </w:rPr>
    </w:lvl>
    <w:lvl w:ilvl="7" w:tplc="04090003" w:tentative="1">
      <w:start w:val="1"/>
      <w:numFmt w:val="bullet"/>
      <w:lvlText w:val="o"/>
      <w:lvlJc w:val="left"/>
      <w:pPr>
        <w:tabs>
          <w:tab w:val="num" w:pos="5640"/>
        </w:tabs>
        <w:ind w:left="5640" w:hanging="360"/>
      </w:pPr>
      <w:rPr>
        <w:rFonts w:ascii="Courier New" w:hAnsi="Courier New" w:hint="default"/>
      </w:rPr>
    </w:lvl>
    <w:lvl w:ilvl="8" w:tplc="04090005" w:tentative="1">
      <w:start w:val="1"/>
      <w:numFmt w:val="bullet"/>
      <w:lvlText w:val=""/>
      <w:lvlJc w:val="left"/>
      <w:pPr>
        <w:tabs>
          <w:tab w:val="num" w:pos="6360"/>
        </w:tabs>
        <w:ind w:left="6360" w:hanging="360"/>
      </w:pPr>
      <w:rPr>
        <w:rFonts w:ascii="Wingdings" w:hAnsi="Wingdings" w:hint="default"/>
      </w:rPr>
    </w:lvl>
  </w:abstractNum>
  <w:abstractNum w:abstractNumId="32" w15:restartNumberingAfterBreak="0">
    <w:nsid w:val="5E8C7E24"/>
    <w:multiLevelType w:val="multilevel"/>
    <w:tmpl w:val="AA04DA06"/>
    <w:lvl w:ilvl="0">
      <w:start w:val="1"/>
      <w:numFmt w:val="decimal"/>
      <w:lvlText w:val="%1."/>
      <w:lvlJc w:val="left"/>
      <w:pPr>
        <w:tabs>
          <w:tab w:val="num" w:pos="360"/>
        </w:tabs>
        <w:ind w:left="432" w:hanging="432"/>
      </w:pPr>
      <w:rPr>
        <w:rFonts w:hint="default"/>
      </w:rPr>
    </w:lvl>
    <w:lvl w:ilvl="1">
      <w:start w:val="1"/>
      <w:numFmt w:val="decimal"/>
      <w:lvlText w:val="%1.%2"/>
      <w:lvlJc w:val="left"/>
      <w:pPr>
        <w:tabs>
          <w:tab w:val="num" w:pos="432"/>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639D4749"/>
    <w:multiLevelType w:val="multilevel"/>
    <w:tmpl w:val="9912C436"/>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4" w15:restartNumberingAfterBreak="0">
    <w:nsid w:val="657502B7"/>
    <w:multiLevelType w:val="hybridMultilevel"/>
    <w:tmpl w:val="897CE6F6"/>
    <w:lvl w:ilvl="0" w:tplc="1D04829C">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5" w15:restartNumberingAfterBreak="0">
    <w:nsid w:val="6C250FDD"/>
    <w:multiLevelType w:val="hybridMultilevel"/>
    <w:tmpl w:val="9ABCAA94"/>
    <w:lvl w:ilvl="0" w:tplc="CC965574">
      <w:start w:val="1"/>
      <w:numFmt w:val="decimal"/>
      <w:pStyle w:val="EqtnNum"/>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91B486C"/>
    <w:multiLevelType w:val="hybridMultilevel"/>
    <w:tmpl w:val="28CED6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96565CC"/>
    <w:multiLevelType w:val="multilevel"/>
    <w:tmpl w:val="CC2E8D38"/>
    <w:lvl w:ilvl="0">
      <w:start w:val="1"/>
      <w:numFmt w:val="decimal"/>
      <w:lvlText w:val="%1."/>
      <w:lvlJc w:val="left"/>
      <w:pPr>
        <w:tabs>
          <w:tab w:val="num" w:pos="360"/>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15:restartNumberingAfterBreak="0">
    <w:nsid w:val="7F733399"/>
    <w:multiLevelType w:val="multilevel"/>
    <w:tmpl w:val="55BEB86A"/>
    <w:lvl w:ilvl="0">
      <w:start w:val="1"/>
      <w:numFmt w:val="decimal"/>
      <w:lvlText w:val="%1."/>
      <w:lvlJc w:val="left"/>
      <w:pPr>
        <w:tabs>
          <w:tab w:val="num" w:pos="360"/>
        </w:tabs>
        <w:ind w:left="432" w:hanging="432"/>
      </w:pPr>
      <w:rPr>
        <w:rFonts w:hint="default"/>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1530"/>
        </w:tabs>
        <w:ind w:left="153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16cid:durableId="1193302499">
    <w:abstractNumId w:val="23"/>
  </w:num>
  <w:num w:numId="2" w16cid:durableId="746851896">
    <w:abstractNumId w:val="25"/>
  </w:num>
  <w:num w:numId="3" w16cid:durableId="1729761632">
    <w:abstractNumId w:val="15"/>
  </w:num>
  <w:num w:numId="4" w16cid:durableId="2129157288">
    <w:abstractNumId w:val="21"/>
  </w:num>
  <w:num w:numId="5" w16cid:durableId="1504394732">
    <w:abstractNumId w:val="9"/>
  </w:num>
  <w:num w:numId="6" w16cid:durableId="409470155">
    <w:abstractNumId w:val="7"/>
  </w:num>
  <w:num w:numId="7" w16cid:durableId="925115896">
    <w:abstractNumId w:val="6"/>
  </w:num>
  <w:num w:numId="8" w16cid:durableId="883828666">
    <w:abstractNumId w:val="5"/>
  </w:num>
  <w:num w:numId="9" w16cid:durableId="482085133">
    <w:abstractNumId w:val="4"/>
  </w:num>
  <w:num w:numId="10" w16cid:durableId="532613367">
    <w:abstractNumId w:val="8"/>
  </w:num>
  <w:num w:numId="11" w16cid:durableId="1217160873">
    <w:abstractNumId w:val="3"/>
  </w:num>
  <w:num w:numId="12" w16cid:durableId="1528325299">
    <w:abstractNumId w:val="2"/>
  </w:num>
  <w:num w:numId="13" w16cid:durableId="1601912101">
    <w:abstractNumId w:val="1"/>
  </w:num>
  <w:num w:numId="14" w16cid:durableId="1376350412">
    <w:abstractNumId w:val="0"/>
  </w:num>
  <w:num w:numId="15" w16cid:durableId="882056512">
    <w:abstractNumId w:val="10"/>
  </w:num>
  <w:num w:numId="16" w16cid:durableId="259997588">
    <w:abstractNumId w:val="14"/>
  </w:num>
  <w:num w:numId="17" w16cid:durableId="1963002030">
    <w:abstractNumId w:val="27"/>
  </w:num>
  <w:num w:numId="18" w16cid:durableId="1551069047">
    <w:abstractNumId w:val="18"/>
  </w:num>
  <w:num w:numId="19" w16cid:durableId="1852985190">
    <w:abstractNumId w:val="28"/>
  </w:num>
  <w:num w:numId="20" w16cid:durableId="311447837">
    <w:abstractNumId w:val="38"/>
  </w:num>
  <w:num w:numId="21" w16cid:durableId="1080831925">
    <w:abstractNumId w:val="33"/>
  </w:num>
  <w:num w:numId="22" w16cid:durableId="1480076533">
    <w:abstractNumId w:val="20"/>
  </w:num>
  <w:num w:numId="23" w16cid:durableId="1144545804">
    <w:abstractNumId w:val="17"/>
  </w:num>
  <w:num w:numId="24" w16cid:durableId="1629626548">
    <w:abstractNumId w:val="37"/>
  </w:num>
  <w:num w:numId="25" w16cid:durableId="659499824">
    <w:abstractNumId w:val="22"/>
  </w:num>
  <w:num w:numId="26" w16cid:durableId="1533612250">
    <w:abstractNumId w:val="32"/>
  </w:num>
  <w:num w:numId="27" w16cid:durableId="1741246973">
    <w:abstractNumId w:val="26"/>
  </w:num>
  <w:num w:numId="28" w16cid:durableId="491722356">
    <w:abstractNumId w:val="16"/>
  </w:num>
  <w:num w:numId="29" w16cid:durableId="1230307922">
    <w:abstractNumId w:val="13"/>
  </w:num>
  <w:num w:numId="30" w16cid:durableId="740106135">
    <w:abstractNumId w:val="19"/>
  </w:num>
  <w:num w:numId="31" w16cid:durableId="655184463">
    <w:abstractNumId w:val="24"/>
  </w:num>
  <w:num w:numId="32" w16cid:durableId="1616671383">
    <w:abstractNumId w:val="31"/>
  </w:num>
  <w:num w:numId="33" w16cid:durableId="1017001496">
    <w:abstractNumId w:val="12"/>
  </w:num>
  <w:num w:numId="34" w16cid:durableId="1542546470">
    <w:abstractNumId w:val="34"/>
  </w:num>
  <w:num w:numId="35" w16cid:durableId="774792305">
    <w:abstractNumId w:val="30"/>
  </w:num>
  <w:num w:numId="36" w16cid:durableId="1015885410">
    <w:abstractNumId w:val="29"/>
  </w:num>
  <w:num w:numId="37" w16cid:durableId="1204947247">
    <w:abstractNumId w:val="11"/>
  </w:num>
  <w:num w:numId="38" w16cid:durableId="522476664">
    <w:abstractNumId w:val="30"/>
  </w:num>
  <w:num w:numId="39" w16cid:durableId="627704076">
    <w:abstractNumId w:val="30"/>
  </w:num>
  <w:num w:numId="40" w16cid:durableId="981034986">
    <w:abstractNumId w:val="35"/>
  </w:num>
  <w:num w:numId="41" w16cid:durableId="116347355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0"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ENInstantFormat&gt;"/>
    <w:docVar w:name="EN.Layout" w:val="&lt;ENLayout&gt;&lt;Style&gt;Intl J Adhesion Adhesiv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item db-id=&quot;0ervvs5aew9t5defetlxtvxt5etz9w2tpzpe&quot;&gt;My EndNote Library&lt;record-ids&gt;&lt;item&gt;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record-ids&gt;&lt;/item&gt;&lt;/Libraries&gt;"/>
  </w:docVars>
  <w:rsids>
    <w:rsidRoot w:val="001B2D26"/>
    <w:rsid w:val="00002973"/>
    <w:rsid w:val="00003262"/>
    <w:rsid w:val="000049B2"/>
    <w:rsid w:val="00010536"/>
    <w:rsid w:val="00012858"/>
    <w:rsid w:val="0001421E"/>
    <w:rsid w:val="000143C6"/>
    <w:rsid w:val="000175CA"/>
    <w:rsid w:val="000176D6"/>
    <w:rsid w:val="00027CAB"/>
    <w:rsid w:val="00035E3A"/>
    <w:rsid w:val="0004223C"/>
    <w:rsid w:val="00043DCC"/>
    <w:rsid w:val="00044525"/>
    <w:rsid w:val="000447D9"/>
    <w:rsid w:val="00047701"/>
    <w:rsid w:val="000509FB"/>
    <w:rsid w:val="00051A71"/>
    <w:rsid w:val="000532ED"/>
    <w:rsid w:val="00053B8B"/>
    <w:rsid w:val="0005417A"/>
    <w:rsid w:val="000545D5"/>
    <w:rsid w:val="00056CAB"/>
    <w:rsid w:val="00060708"/>
    <w:rsid w:val="00061634"/>
    <w:rsid w:val="000648F5"/>
    <w:rsid w:val="000649C0"/>
    <w:rsid w:val="000660AD"/>
    <w:rsid w:val="0006652C"/>
    <w:rsid w:val="00067726"/>
    <w:rsid w:val="00067E8E"/>
    <w:rsid w:val="00072351"/>
    <w:rsid w:val="00073EC5"/>
    <w:rsid w:val="000740A6"/>
    <w:rsid w:val="000840A2"/>
    <w:rsid w:val="00086200"/>
    <w:rsid w:val="000863A9"/>
    <w:rsid w:val="00086EB4"/>
    <w:rsid w:val="00091582"/>
    <w:rsid w:val="00091F03"/>
    <w:rsid w:val="00093E5A"/>
    <w:rsid w:val="000A090C"/>
    <w:rsid w:val="000A36CB"/>
    <w:rsid w:val="000B13CE"/>
    <w:rsid w:val="000B23B6"/>
    <w:rsid w:val="000B2446"/>
    <w:rsid w:val="000B34EC"/>
    <w:rsid w:val="000B3FC3"/>
    <w:rsid w:val="000C00AF"/>
    <w:rsid w:val="000C26C3"/>
    <w:rsid w:val="000C3349"/>
    <w:rsid w:val="000C486C"/>
    <w:rsid w:val="000D0623"/>
    <w:rsid w:val="000D206F"/>
    <w:rsid w:val="000D212A"/>
    <w:rsid w:val="000D31EF"/>
    <w:rsid w:val="000D4106"/>
    <w:rsid w:val="000D4D13"/>
    <w:rsid w:val="000D4FBA"/>
    <w:rsid w:val="000E131F"/>
    <w:rsid w:val="000E1601"/>
    <w:rsid w:val="000E3850"/>
    <w:rsid w:val="000E6A6F"/>
    <w:rsid w:val="000E6E89"/>
    <w:rsid w:val="000E7B86"/>
    <w:rsid w:val="000F22D0"/>
    <w:rsid w:val="000F3F37"/>
    <w:rsid w:val="000F4EF7"/>
    <w:rsid w:val="000F5649"/>
    <w:rsid w:val="00101099"/>
    <w:rsid w:val="0010235E"/>
    <w:rsid w:val="00102D7D"/>
    <w:rsid w:val="00103185"/>
    <w:rsid w:val="0010633F"/>
    <w:rsid w:val="0010683F"/>
    <w:rsid w:val="00107266"/>
    <w:rsid w:val="00107A2B"/>
    <w:rsid w:val="00111114"/>
    <w:rsid w:val="00112399"/>
    <w:rsid w:val="00114E42"/>
    <w:rsid w:val="00114FF3"/>
    <w:rsid w:val="00116C41"/>
    <w:rsid w:val="0011724E"/>
    <w:rsid w:val="00124AD9"/>
    <w:rsid w:val="001269C8"/>
    <w:rsid w:val="00130D08"/>
    <w:rsid w:val="00130F9D"/>
    <w:rsid w:val="00131319"/>
    <w:rsid w:val="00135FF8"/>
    <w:rsid w:val="00140430"/>
    <w:rsid w:val="00143481"/>
    <w:rsid w:val="00144183"/>
    <w:rsid w:val="00147012"/>
    <w:rsid w:val="00153417"/>
    <w:rsid w:val="00154A41"/>
    <w:rsid w:val="00157EFC"/>
    <w:rsid w:val="0016292E"/>
    <w:rsid w:val="001633D5"/>
    <w:rsid w:val="001654A8"/>
    <w:rsid w:val="00167C8E"/>
    <w:rsid w:val="0017484F"/>
    <w:rsid w:val="00175BD4"/>
    <w:rsid w:val="00177825"/>
    <w:rsid w:val="00180BB8"/>
    <w:rsid w:val="00182129"/>
    <w:rsid w:val="001877E1"/>
    <w:rsid w:val="00190022"/>
    <w:rsid w:val="001907B2"/>
    <w:rsid w:val="00194B1C"/>
    <w:rsid w:val="001976AC"/>
    <w:rsid w:val="001A06FD"/>
    <w:rsid w:val="001A2BFD"/>
    <w:rsid w:val="001A32EC"/>
    <w:rsid w:val="001A3CDD"/>
    <w:rsid w:val="001A5065"/>
    <w:rsid w:val="001A582A"/>
    <w:rsid w:val="001A720C"/>
    <w:rsid w:val="001B1725"/>
    <w:rsid w:val="001B2D26"/>
    <w:rsid w:val="001B3FBB"/>
    <w:rsid w:val="001B46BA"/>
    <w:rsid w:val="001B60FC"/>
    <w:rsid w:val="001B7404"/>
    <w:rsid w:val="001D0E9D"/>
    <w:rsid w:val="001D666D"/>
    <w:rsid w:val="001E0BE0"/>
    <w:rsid w:val="001E108A"/>
    <w:rsid w:val="001E1480"/>
    <w:rsid w:val="001E182B"/>
    <w:rsid w:val="001E49E2"/>
    <w:rsid w:val="001E61E8"/>
    <w:rsid w:val="001E7671"/>
    <w:rsid w:val="001E7F4B"/>
    <w:rsid w:val="001F2A44"/>
    <w:rsid w:val="001F3B87"/>
    <w:rsid w:val="001F5A16"/>
    <w:rsid w:val="001F6316"/>
    <w:rsid w:val="001F631F"/>
    <w:rsid w:val="001F6746"/>
    <w:rsid w:val="002003BE"/>
    <w:rsid w:val="00202C4A"/>
    <w:rsid w:val="00202C62"/>
    <w:rsid w:val="0020330A"/>
    <w:rsid w:val="00204068"/>
    <w:rsid w:val="00204300"/>
    <w:rsid w:val="00204F33"/>
    <w:rsid w:val="00206202"/>
    <w:rsid w:val="0020648C"/>
    <w:rsid w:val="00211BE2"/>
    <w:rsid w:val="00213176"/>
    <w:rsid w:val="00216067"/>
    <w:rsid w:val="0021641B"/>
    <w:rsid w:val="00220E2A"/>
    <w:rsid w:val="00223AEF"/>
    <w:rsid w:val="00225745"/>
    <w:rsid w:val="002343EC"/>
    <w:rsid w:val="00235F22"/>
    <w:rsid w:val="00242CE5"/>
    <w:rsid w:val="00245657"/>
    <w:rsid w:val="002514BE"/>
    <w:rsid w:val="002533D0"/>
    <w:rsid w:val="00253952"/>
    <w:rsid w:val="00254324"/>
    <w:rsid w:val="002603FD"/>
    <w:rsid w:val="002614D2"/>
    <w:rsid w:val="00262816"/>
    <w:rsid w:val="00266223"/>
    <w:rsid w:val="00271955"/>
    <w:rsid w:val="00272498"/>
    <w:rsid w:val="0027494B"/>
    <w:rsid w:val="002774DB"/>
    <w:rsid w:val="00277FFC"/>
    <w:rsid w:val="00280FC3"/>
    <w:rsid w:val="00285DB4"/>
    <w:rsid w:val="002865D1"/>
    <w:rsid w:val="00287763"/>
    <w:rsid w:val="00287BBB"/>
    <w:rsid w:val="002934F1"/>
    <w:rsid w:val="002A0FC4"/>
    <w:rsid w:val="002A14D7"/>
    <w:rsid w:val="002A56A0"/>
    <w:rsid w:val="002A5ECE"/>
    <w:rsid w:val="002A5F43"/>
    <w:rsid w:val="002A6C6D"/>
    <w:rsid w:val="002B3C20"/>
    <w:rsid w:val="002B64AE"/>
    <w:rsid w:val="002B7C00"/>
    <w:rsid w:val="002B7E3A"/>
    <w:rsid w:val="002C1148"/>
    <w:rsid w:val="002C34B1"/>
    <w:rsid w:val="002C3661"/>
    <w:rsid w:val="002C6D11"/>
    <w:rsid w:val="002C6ED5"/>
    <w:rsid w:val="002D266A"/>
    <w:rsid w:val="002E2220"/>
    <w:rsid w:val="002E33A9"/>
    <w:rsid w:val="002E3C42"/>
    <w:rsid w:val="002E4EAA"/>
    <w:rsid w:val="002E73CB"/>
    <w:rsid w:val="002F07F7"/>
    <w:rsid w:val="002F0B41"/>
    <w:rsid w:val="002F1B53"/>
    <w:rsid w:val="002F32A8"/>
    <w:rsid w:val="002F3301"/>
    <w:rsid w:val="002F38BF"/>
    <w:rsid w:val="002F42C0"/>
    <w:rsid w:val="00301822"/>
    <w:rsid w:val="0030289E"/>
    <w:rsid w:val="00303BA5"/>
    <w:rsid w:val="00310344"/>
    <w:rsid w:val="00310A33"/>
    <w:rsid w:val="00312960"/>
    <w:rsid w:val="00314DEF"/>
    <w:rsid w:val="0031564D"/>
    <w:rsid w:val="003168C5"/>
    <w:rsid w:val="00317BB8"/>
    <w:rsid w:val="0032302C"/>
    <w:rsid w:val="00324E84"/>
    <w:rsid w:val="00327396"/>
    <w:rsid w:val="00331112"/>
    <w:rsid w:val="00333536"/>
    <w:rsid w:val="003337B7"/>
    <w:rsid w:val="003351CC"/>
    <w:rsid w:val="00335C6F"/>
    <w:rsid w:val="0033665D"/>
    <w:rsid w:val="00336D53"/>
    <w:rsid w:val="0033736D"/>
    <w:rsid w:val="00337AE0"/>
    <w:rsid w:val="00337F96"/>
    <w:rsid w:val="00340131"/>
    <w:rsid w:val="00345771"/>
    <w:rsid w:val="00346D5E"/>
    <w:rsid w:val="00350F06"/>
    <w:rsid w:val="00352C9B"/>
    <w:rsid w:val="003531CB"/>
    <w:rsid w:val="00353D9C"/>
    <w:rsid w:val="00356A03"/>
    <w:rsid w:val="003572CF"/>
    <w:rsid w:val="00357A46"/>
    <w:rsid w:val="0036036F"/>
    <w:rsid w:val="0036088B"/>
    <w:rsid w:val="003621F3"/>
    <w:rsid w:val="003632EC"/>
    <w:rsid w:val="00365026"/>
    <w:rsid w:val="0036778D"/>
    <w:rsid w:val="00370EE7"/>
    <w:rsid w:val="003730A1"/>
    <w:rsid w:val="00375B7F"/>
    <w:rsid w:val="00380FDF"/>
    <w:rsid w:val="003848DA"/>
    <w:rsid w:val="00386D64"/>
    <w:rsid w:val="00386ED7"/>
    <w:rsid w:val="00391366"/>
    <w:rsid w:val="003921A9"/>
    <w:rsid w:val="00392C90"/>
    <w:rsid w:val="00393E17"/>
    <w:rsid w:val="00394476"/>
    <w:rsid w:val="003978CE"/>
    <w:rsid w:val="003A2D23"/>
    <w:rsid w:val="003A38EC"/>
    <w:rsid w:val="003A397D"/>
    <w:rsid w:val="003B0E2B"/>
    <w:rsid w:val="003B350F"/>
    <w:rsid w:val="003B425F"/>
    <w:rsid w:val="003B5D55"/>
    <w:rsid w:val="003C1560"/>
    <w:rsid w:val="003C3E8C"/>
    <w:rsid w:val="003C4795"/>
    <w:rsid w:val="003C779B"/>
    <w:rsid w:val="003C7BA5"/>
    <w:rsid w:val="003D0ED9"/>
    <w:rsid w:val="003D68D8"/>
    <w:rsid w:val="003D7E94"/>
    <w:rsid w:val="003E037F"/>
    <w:rsid w:val="003E0F83"/>
    <w:rsid w:val="003E1AE9"/>
    <w:rsid w:val="003E3F14"/>
    <w:rsid w:val="003E57FD"/>
    <w:rsid w:val="003E616B"/>
    <w:rsid w:val="003F0A0C"/>
    <w:rsid w:val="003F1C33"/>
    <w:rsid w:val="003F5148"/>
    <w:rsid w:val="003F5793"/>
    <w:rsid w:val="003F611D"/>
    <w:rsid w:val="004017A6"/>
    <w:rsid w:val="004026A1"/>
    <w:rsid w:val="00402D60"/>
    <w:rsid w:val="00406F58"/>
    <w:rsid w:val="00407412"/>
    <w:rsid w:val="00407643"/>
    <w:rsid w:val="004128F2"/>
    <w:rsid w:val="00412AEC"/>
    <w:rsid w:val="004215E8"/>
    <w:rsid w:val="00421CB2"/>
    <w:rsid w:val="004229A0"/>
    <w:rsid w:val="00424AB3"/>
    <w:rsid w:val="00424C04"/>
    <w:rsid w:val="00426C12"/>
    <w:rsid w:val="00430929"/>
    <w:rsid w:val="00431A42"/>
    <w:rsid w:val="00434845"/>
    <w:rsid w:val="00434B4C"/>
    <w:rsid w:val="00435A07"/>
    <w:rsid w:val="00435BF4"/>
    <w:rsid w:val="004378A0"/>
    <w:rsid w:val="00442DF0"/>
    <w:rsid w:val="00443909"/>
    <w:rsid w:val="0044680E"/>
    <w:rsid w:val="00446953"/>
    <w:rsid w:val="00447C4F"/>
    <w:rsid w:val="0045169F"/>
    <w:rsid w:val="00460975"/>
    <w:rsid w:val="00464110"/>
    <w:rsid w:val="004654B5"/>
    <w:rsid w:val="00466BC2"/>
    <w:rsid w:val="00466F19"/>
    <w:rsid w:val="00471CDC"/>
    <w:rsid w:val="004720EE"/>
    <w:rsid w:val="00476B57"/>
    <w:rsid w:val="00477FBA"/>
    <w:rsid w:val="00483D61"/>
    <w:rsid w:val="0048517F"/>
    <w:rsid w:val="00486038"/>
    <w:rsid w:val="0048628B"/>
    <w:rsid w:val="004908FD"/>
    <w:rsid w:val="004973C2"/>
    <w:rsid w:val="004A43E7"/>
    <w:rsid w:val="004A4D5D"/>
    <w:rsid w:val="004A6C02"/>
    <w:rsid w:val="004A7C23"/>
    <w:rsid w:val="004B273B"/>
    <w:rsid w:val="004B6196"/>
    <w:rsid w:val="004B6661"/>
    <w:rsid w:val="004B67E2"/>
    <w:rsid w:val="004C03E5"/>
    <w:rsid w:val="004C136C"/>
    <w:rsid w:val="004C2870"/>
    <w:rsid w:val="004C362C"/>
    <w:rsid w:val="004C4E64"/>
    <w:rsid w:val="004E2E9F"/>
    <w:rsid w:val="004E39E8"/>
    <w:rsid w:val="004E7801"/>
    <w:rsid w:val="004F1C00"/>
    <w:rsid w:val="004F3A63"/>
    <w:rsid w:val="005006B9"/>
    <w:rsid w:val="00500FFC"/>
    <w:rsid w:val="00501465"/>
    <w:rsid w:val="0050274C"/>
    <w:rsid w:val="0050358F"/>
    <w:rsid w:val="005047FB"/>
    <w:rsid w:val="00505139"/>
    <w:rsid w:val="005076C2"/>
    <w:rsid w:val="0051277C"/>
    <w:rsid w:val="00516C8A"/>
    <w:rsid w:val="005176C7"/>
    <w:rsid w:val="00520169"/>
    <w:rsid w:val="00523D91"/>
    <w:rsid w:val="00530DD3"/>
    <w:rsid w:val="00531B5C"/>
    <w:rsid w:val="00531D73"/>
    <w:rsid w:val="00533029"/>
    <w:rsid w:val="0053714A"/>
    <w:rsid w:val="00546EA9"/>
    <w:rsid w:val="00555BA9"/>
    <w:rsid w:val="00557DE5"/>
    <w:rsid w:val="00560035"/>
    <w:rsid w:val="005624D1"/>
    <w:rsid w:val="00563297"/>
    <w:rsid w:val="00563A67"/>
    <w:rsid w:val="005710E5"/>
    <w:rsid w:val="00573329"/>
    <w:rsid w:val="0057655D"/>
    <w:rsid w:val="00582374"/>
    <w:rsid w:val="00583639"/>
    <w:rsid w:val="005849DE"/>
    <w:rsid w:val="00584F46"/>
    <w:rsid w:val="00587D6D"/>
    <w:rsid w:val="00592655"/>
    <w:rsid w:val="00592970"/>
    <w:rsid w:val="0059419A"/>
    <w:rsid w:val="00594E0E"/>
    <w:rsid w:val="00595E9B"/>
    <w:rsid w:val="00596104"/>
    <w:rsid w:val="00596DE3"/>
    <w:rsid w:val="00597830"/>
    <w:rsid w:val="005A0402"/>
    <w:rsid w:val="005A7E51"/>
    <w:rsid w:val="005B0086"/>
    <w:rsid w:val="005B1D31"/>
    <w:rsid w:val="005B43A7"/>
    <w:rsid w:val="005B4EBF"/>
    <w:rsid w:val="005C0D60"/>
    <w:rsid w:val="005C1E2E"/>
    <w:rsid w:val="005C4C19"/>
    <w:rsid w:val="005C4C5B"/>
    <w:rsid w:val="005C5DAC"/>
    <w:rsid w:val="005C66F9"/>
    <w:rsid w:val="005D1156"/>
    <w:rsid w:val="005D1337"/>
    <w:rsid w:val="005D16DB"/>
    <w:rsid w:val="005D1C78"/>
    <w:rsid w:val="005D390C"/>
    <w:rsid w:val="005D5765"/>
    <w:rsid w:val="005D623D"/>
    <w:rsid w:val="005D6446"/>
    <w:rsid w:val="005D6F99"/>
    <w:rsid w:val="005E4258"/>
    <w:rsid w:val="005F05D3"/>
    <w:rsid w:val="005F1B9F"/>
    <w:rsid w:val="005F2E49"/>
    <w:rsid w:val="005F4A51"/>
    <w:rsid w:val="005F5AC5"/>
    <w:rsid w:val="00600249"/>
    <w:rsid w:val="00600E9E"/>
    <w:rsid w:val="006039FE"/>
    <w:rsid w:val="00604221"/>
    <w:rsid w:val="0061047C"/>
    <w:rsid w:val="00611009"/>
    <w:rsid w:val="006114E4"/>
    <w:rsid w:val="00613AE4"/>
    <w:rsid w:val="00614A83"/>
    <w:rsid w:val="0061789D"/>
    <w:rsid w:val="00621647"/>
    <w:rsid w:val="0062329C"/>
    <w:rsid w:val="0062676A"/>
    <w:rsid w:val="006275C9"/>
    <w:rsid w:val="00632BF9"/>
    <w:rsid w:val="00634CE1"/>
    <w:rsid w:val="00636E00"/>
    <w:rsid w:val="006452FE"/>
    <w:rsid w:val="0064629E"/>
    <w:rsid w:val="00647F6F"/>
    <w:rsid w:val="006502F7"/>
    <w:rsid w:val="00650B66"/>
    <w:rsid w:val="00651E84"/>
    <w:rsid w:val="006522E4"/>
    <w:rsid w:val="00652A89"/>
    <w:rsid w:val="00653A96"/>
    <w:rsid w:val="00655B20"/>
    <w:rsid w:val="006577B4"/>
    <w:rsid w:val="0066001C"/>
    <w:rsid w:val="0066553A"/>
    <w:rsid w:val="006657BD"/>
    <w:rsid w:val="00667C2B"/>
    <w:rsid w:val="00670398"/>
    <w:rsid w:val="00674462"/>
    <w:rsid w:val="00676BC4"/>
    <w:rsid w:val="00680466"/>
    <w:rsid w:val="006828B6"/>
    <w:rsid w:val="00686F1B"/>
    <w:rsid w:val="00690E26"/>
    <w:rsid w:val="006A1031"/>
    <w:rsid w:val="006A7EFA"/>
    <w:rsid w:val="006B20B2"/>
    <w:rsid w:val="006B335E"/>
    <w:rsid w:val="006B43EA"/>
    <w:rsid w:val="006C07E1"/>
    <w:rsid w:val="006C3BE1"/>
    <w:rsid w:val="006C74AA"/>
    <w:rsid w:val="006D4CC4"/>
    <w:rsid w:val="006D5F4B"/>
    <w:rsid w:val="006D7AB0"/>
    <w:rsid w:val="006E32BB"/>
    <w:rsid w:val="006E362D"/>
    <w:rsid w:val="006F5141"/>
    <w:rsid w:val="00702FB8"/>
    <w:rsid w:val="007042BA"/>
    <w:rsid w:val="007070AE"/>
    <w:rsid w:val="00707226"/>
    <w:rsid w:val="00713879"/>
    <w:rsid w:val="007154C5"/>
    <w:rsid w:val="00716A69"/>
    <w:rsid w:val="00716DCD"/>
    <w:rsid w:val="0072087A"/>
    <w:rsid w:val="007215FA"/>
    <w:rsid w:val="00723974"/>
    <w:rsid w:val="007245F2"/>
    <w:rsid w:val="00732B32"/>
    <w:rsid w:val="007339CB"/>
    <w:rsid w:val="0073445F"/>
    <w:rsid w:val="007355C9"/>
    <w:rsid w:val="007405BA"/>
    <w:rsid w:val="00740A5B"/>
    <w:rsid w:val="00741ECA"/>
    <w:rsid w:val="0074208F"/>
    <w:rsid w:val="00743C20"/>
    <w:rsid w:val="00744BFD"/>
    <w:rsid w:val="00747517"/>
    <w:rsid w:val="00747EE0"/>
    <w:rsid w:val="007537A8"/>
    <w:rsid w:val="00755A18"/>
    <w:rsid w:val="00756338"/>
    <w:rsid w:val="007569A7"/>
    <w:rsid w:val="007614EB"/>
    <w:rsid w:val="00761DE4"/>
    <w:rsid w:val="00767F7F"/>
    <w:rsid w:val="00777732"/>
    <w:rsid w:val="00777FF8"/>
    <w:rsid w:val="00784760"/>
    <w:rsid w:val="00784A66"/>
    <w:rsid w:val="00784E43"/>
    <w:rsid w:val="00787314"/>
    <w:rsid w:val="00791E11"/>
    <w:rsid w:val="00795C4B"/>
    <w:rsid w:val="00795F33"/>
    <w:rsid w:val="007A2204"/>
    <w:rsid w:val="007A2C98"/>
    <w:rsid w:val="007A30A6"/>
    <w:rsid w:val="007B07FA"/>
    <w:rsid w:val="007B0BED"/>
    <w:rsid w:val="007B369F"/>
    <w:rsid w:val="007B6DE6"/>
    <w:rsid w:val="007B7B92"/>
    <w:rsid w:val="007C15B4"/>
    <w:rsid w:val="007C2649"/>
    <w:rsid w:val="007C5468"/>
    <w:rsid w:val="007C5933"/>
    <w:rsid w:val="007D024B"/>
    <w:rsid w:val="007D6AD7"/>
    <w:rsid w:val="007E4B19"/>
    <w:rsid w:val="007E61E3"/>
    <w:rsid w:val="007E7645"/>
    <w:rsid w:val="007F0021"/>
    <w:rsid w:val="007F370B"/>
    <w:rsid w:val="007F433B"/>
    <w:rsid w:val="007F79F7"/>
    <w:rsid w:val="008005E2"/>
    <w:rsid w:val="00802A1F"/>
    <w:rsid w:val="008039C6"/>
    <w:rsid w:val="00804AD0"/>
    <w:rsid w:val="00806C43"/>
    <w:rsid w:val="00816E71"/>
    <w:rsid w:val="008233C7"/>
    <w:rsid w:val="00825DC8"/>
    <w:rsid w:val="008305CD"/>
    <w:rsid w:val="00831A77"/>
    <w:rsid w:val="00834C3F"/>
    <w:rsid w:val="008351FE"/>
    <w:rsid w:val="008515F2"/>
    <w:rsid w:val="008527D8"/>
    <w:rsid w:val="00855265"/>
    <w:rsid w:val="00855994"/>
    <w:rsid w:val="0086078A"/>
    <w:rsid w:val="00861157"/>
    <w:rsid w:val="00862515"/>
    <w:rsid w:val="00863AC6"/>
    <w:rsid w:val="00865E6F"/>
    <w:rsid w:val="008714F3"/>
    <w:rsid w:val="008719D5"/>
    <w:rsid w:val="00873B9E"/>
    <w:rsid w:val="00877EC0"/>
    <w:rsid w:val="00877FDE"/>
    <w:rsid w:val="008808F4"/>
    <w:rsid w:val="00880AF1"/>
    <w:rsid w:val="00880DE2"/>
    <w:rsid w:val="0088749D"/>
    <w:rsid w:val="0088765E"/>
    <w:rsid w:val="00890096"/>
    <w:rsid w:val="008903B7"/>
    <w:rsid w:val="0089104B"/>
    <w:rsid w:val="0089124C"/>
    <w:rsid w:val="008916EA"/>
    <w:rsid w:val="00896366"/>
    <w:rsid w:val="008A14F0"/>
    <w:rsid w:val="008A2141"/>
    <w:rsid w:val="008A3352"/>
    <w:rsid w:val="008A569D"/>
    <w:rsid w:val="008A6324"/>
    <w:rsid w:val="008A68D8"/>
    <w:rsid w:val="008A75F3"/>
    <w:rsid w:val="008A785A"/>
    <w:rsid w:val="008B1906"/>
    <w:rsid w:val="008B22BF"/>
    <w:rsid w:val="008B3B63"/>
    <w:rsid w:val="008B4364"/>
    <w:rsid w:val="008B5E23"/>
    <w:rsid w:val="008C0749"/>
    <w:rsid w:val="008C716F"/>
    <w:rsid w:val="008D0108"/>
    <w:rsid w:val="008D0704"/>
    <w:rsid w:val="008D5266"/>
    <w:rsid w:val="008D5CF0"/>
    <w:rsid w:val="008D71F7"/>
    <w:rsid w:val="008E017E"/>
    <w:rsid w:val="008E1F09"/>
    <w:rsid w:val="008E225A"/>
    <w:rsid w:val="008E352C"/>
    <w:rsid w:val="008E45FA"/>
    <w:rsid w:val="008F43AA"/>
    <w:rsid w:val="008F668A"/>
    <w:rsid w:val="008F69FC"/>
    <w:rsid w:val="008F6ECA"/>
    <w:rsid w:val="00900FCC"/>
    <w:rsid w:val="0090311F"/>
    <w:rsid w:val="0090735A"/>
    <w:rsid w:val="0091282A"/>
    <w:rsid w:val="00912A6B"/>
    <w:rsid w:val="00912E67"/>
    <w:rsid w:val="00914024"/>
    <w:rsid w:val="009149ED"/>
    <w:rsid w:val="009168FF"/>
    <w:rsid w:val="0092474C"/>
    <w:rsid w:val="009265DD"/>
    <w:rsid w:val="00927501"/>
    <w:rsid w:val="00931FA3"/>
    <w:rsid w:val="00933806"/>
    <w:rsid w:val="00934854"/>
    <w:rsid w:val="00935C69"/>
    <w:rsid w:val="0093652C"/>
    <w:rsid w:val="00937CC3"/>
    <w:rsid w:val="0094044C"/>
    <w:rsid w:val="0094158E"/>
    <w:rsid w:val="00942343"/>
    <w:rsid w:val="00944A6E"/>
    <w:rsid w:val="0094511C"/>
    <w:rsid w:val="0095450F"/>
    <w:rsid w:val="00957AEB"/>
    <w:rsid w:val="00960FA6"/>
    <w:rsid w:val="009620BF"/>
    <w:rsid w:val="0096321B"/>
    <w:rsid w:val="009648C6"/>
    <w:rsid w:val="00970FF8"/>
    <w:rsid w:val="00980032"/>
    <w:rsid w:val="009810FE"/>
    <w:rsid w:val="009813C3"/>
    <w:rsid w:val="00985FF0"/>
    <w:rsid w:val="00986B9D"/>
    <w:rsid w:val="00987F24"/>
    <w:rsid w:val="00993159"/>
    <w:rsid w:val="009966EF"/>
    <w:rsid w:val="009A3B7B"/>
    <w:rsid w:val="009A3E15"/>
    <w:rsid w:val="009A6976"/>
    <w:rsid w:val="009B65E9"/>
    <w:rsid w:val="009C00AA"/>
    <w:rsid w:val="009C2856"/>
    <w:rsid w:val="009C302C"/>
    <w:rsid w:val="009C4823"/>
    <w:rsid w:val="009D312D"/>
    <w:rsid w:val="009D4AF8"/>
    <w:rsid w:val="009D5040"/>
    <w:rsid w:val="009D528E"/>
    <w:rsid w:val="009D5B64"/>
    <w:rsid w:val="009D6C33"/>
    <w:rsid w:val="009E0A85"/>
    <w:rsid w:val="009E0A94"/>
    <w:rsid w:val="009E0AB3"/>
    <w:rsid w:val="009E6640"/>
    <w:rsid w:val="009E6866"/>
    <w:rsid w:val="009E68B9"/>
    <w:rsid w:val="009E7739"/>
    <w:rsid w:val="009E773A"/>
    <w:rsid w:val="009F12D3"/>
    <w:rsid w:val="009F37FA"/>
    <w:rsid w:val="009F4EB3"/>
    <w:rsid w:val="009F5B9C"/>
    <w:rsid w:val="009F76EB"/>
    <w:rsid w:val="00A03933"/>
    <w:rsid w:val="00A0585A"/>
    <w:rsid w:val="00A070C7"/>
    <w:rsid w:val="00A07505"/>
    <w:rsid w:val="00A0788C"/>
    <w:rsid w:val="00A113B7"/>
    <w:rsid w:val="00A14FCF"/>
    <w:rsid w:val="00A1638B"/>
    <w:rsid w:val="00A16D7D"/>
    <w:rsid w:val="00A2097D"/>
    <w:rsid w:val="00A24F07"/>
    <w:rsid w:val="00A255FA"/>
    <w:rsid w:val="00A27518"/>
    <w:rsid w:val="00A30248"/>
    <w:rsid w:val="00A30B14"/>
    <w:rsid w:val="00A30BAC"/>
    <w:rsid w:val="00A326A3"/>
    <w:rsid w:val="00A32830"/>
    <w:rsid w:val="00A3603C"/>
    <w:rsid w:val="00A402B7"/>
    <w:rsid w:val="00A42900"/>
    <w:rsid w:val="00A43794"/>
    <w:rsid w:val="00A473B3"/>
    <w:rsid w:val="00A51772"/>
    <w:rsid w:val="00A54EBC"/>
    <w:rsid w:val="00A55BB7"/>
    <w:rsid w:val="00A67063"/>
    <w:rsid w:val="00A7128E"/>
    <w:rsid w:val="00A739B7"/>
    <w:rsid w:val="00A75833"/>
    <w:rsid w:val="00A76D24"/>
    <w:rsid w:val="00A80A76"/>
    <w:rsid w:val="00A82385"/>
    <w:rsid w:val="00A82F7C"/>
    <w:rsid w:val="00A83641"/>
    <w:rsid w:val="00A85A03"/>
    <w:rsid w:val="00A862EA"/>
    <w:rsid w:val="00A87651"/>
    <w:rsid w:val="00A90222"/>
    <w:rsid w:val="00A90972"/>
    <w:rsid w:val="00A91B8C"/>
    <w:rsid w:val="00A925BE"/>
    <w:rsid w:val="00A93B25"/>
    <w:rsid w:val="00A967B4"/>
    <w:rsid w:val="00A968AA"/>
    <w:rsid w:val="00A97078"/>
    <w:rsid w:val="00A97BC3"/>
    <w:rsid w:val="00AA57F9"/>
    <w:rsid w:val="00AA7941"/>
    <w:rsid w:val="00AB0652"/>
    <w:rsid w:val="00AB12D8"/>
    <w:rsid w:val="00AB7B14"/>
    <w:rsid w:val="00AC0311"/>
    <w:rsid w:val="00AC1611"/>
    <w:rsid w:val="00AC696A"/>
    <w:rsid w:val="00AD237C"/>
    <w:rsid w:val="00AD315A"/>
    <w:rsid w:val="00AD52E3"/>
    <w:rsid w:val="00AD66D2"/>
    <w:rsid w:val="00AD6DA0"/>
    <w:rsid w:val="00AE0B2F"/>
    <w:rsid w:val="00AE2B0B"/>
    <w:rsid w:val="00AE2BAB"/>
    <w:rsid w:val="00AE31D7"/>
    <w:rsid w:val="00AF04E3"/>
    <w:rsid w:val="00AF13D2"/>
    <w:rsid w:val="00AF622D"/>
    <w:rsid w:val="00AF7328"/>
    <w:rsid w:val="00B00EE1"/>
    <w:rsid w:val="00B011B6"/>
    <w:rsid w:val="00B011DB"/>
    <w:rsid w:val="00B023B9"/>
    <w:rsid w:val="00B02BA7"/>
    <w:rsid w:val="00B02C87"/>
    <w:rsid w:val="00B05B6F"/>
    <w:rsid w:val="00B07CB6"/>
    <w:rsid w:val="00B1119A"/>
    <w:rsid w:val="00B11B1C"/>
    <w:rsid w:val="00B172BA"/>
    <w:rsid w:val="00B21E2B"/>
    <w:rsid w:val="00B226DC"/>
    <w:rsid w:val="00B23212"/>
    <w:rsid w:val="00B243CC"/>
    <w:rsid w:val="00B30E90"/>
    <w:rsid w:val="00B3201E"/>
    <w:rsid w:val="00B42252"/>
    <w:rsid w:val="00B4277A"/>
    <w:rsid w:val="00B45B2A"/>
    <w:rsid w:val="00B47731"/>
    <w:rsid w:val="00B54215"/>
    <w:rsid w:val="00B55943"/>
    <w:rsid w:val="00B5666A"/>
    <w:rsid w:val="00B57010"/>
    <w:rsid w:val="00B5737E"/>
    <w:rsid w:val="00B573C1"/>
    <w:rsid w:val="00B576DB"/>
    <w:rsid w:val="00B614C0"/>
    <w:rsid w:val="00B61586"/>
    <w:rsid w:val="00B638D7"/>
    <w:rsid w:val="00B67059"/>
    <w:rsid w:val="00B71B2B"/>
    <w:rsid w:val="00B7584D"/>
    <w:rsid w:val="00B7704F"/>
    <w:rsid w:val="00B801F1"/>
    <w:rsid w:val="00B80857"/>
    <w:rsid w:val="00B81AFC"/>
    <w:rsid w:val="00B81BC5"/>
    <w:rsid w:val="00B831FD"/>
    <w:rsid w:val="00B8449E"/>
    <w:rsid w:val="00B87890"/>
    <w:rsid w:val="00B90811"/>
    <w:rsid w:val="00BA01CA"/>
    <w:rsid w:val="00BA0A43"/>
    <w:rsid w:val="00BA487A"/>
    <w:rsid w:val="00BA502A"/>
    <w:rsid w:val="00BA52F7"/>
    <w:rsid w:val="00BA6C60"/>
    <w:rsid w:val="00BB31B8"/>
    <w:rsid w:val="00BC0C63"/>
    <w:rsid w:val="00BC683B"/>
    <w:rsid w:val="00BC6A33"/>
    <w:rsid w:val="00BC7631"/>
    <w:rsid w:val="00BD5020"/>
    <w:rsid w:val="00BE39DA"/>
    <w:rsid w:val="00BE3A2B"/>
    <w:rsid w:val="00BE5DD9"/>
    <w:rsid w:val="00BF057C"/>
    <w:rsid w:val="00BF42FB"/>
    <w:rsid w:val="00C022CD"/>
    <w:rsid w:val="00C0233E"/>
    <w:rsid w:val="00C06DA0"/>
    <w:rsid w:val="00C07082"/>
    <w:rsid w:val="00C07F53"/>
    <w:rsid w:val="00C10EEE"/>
    <w:rsid w:val="00C112E5"/>
    <w:rsid w:val="00C242FC"/>
    <w:rsid w:val="00C263DA"/>
    <w:rsid w:val="00C31A2D"/>
    <w:rsid w:val="00C321D4"/>
    <w:rsid w:val="00C37E45"/>
    <w:rsid w:val="00C40F8D"/>
    <w:rsid w:val="00C4138A"/>
    <w:rsid w:val="00C426E7"/>
    <w:rsid w:val="00C43CE1"/>
    <w:rsid w:val="00C47D60"/>
    <w:rsid w:val="00C5370B"/>
    <w:rsid w:val="00C609FA"/>
    <w:rsid w:val="00C6169C"/>
    <w:rsid w:val="00C6465A"/>
    <w:rsid w:val="00C66976"/>
    <w:rsid w:val="00C67ABB"/>
    <w:rsid w:val="00C73120"/>
    <w:rsid w:val="00C73D60"/>
    <w:rsid w:val="00C800F7"/>
    <w:rsid w:val="00C818A4"/>
    <w:rsid w:val="00C82F2B"/>
    <w:rsid w:val="00C82F7E"/>
    <w:rsid w:val="00C83E2E"/>
    <w:rsid w:val="00C8411C"/>
    <w:rsid w:val="00C84E20"/>
    <w:rsid w:val="00C85F9A"/>
    <w:rsid w:val="00C872B0"/>
    <w:rsid w:val="00C87ECB"/>
    <w:rsid w:val="00C901BD"/>
    <w:rsid w:val="00C90C19"/>
    <w:rsid w:val="00C93EC2"/>
    <w:rsid w:val="00C940EB"/>
    <w:rsid w:val="00C97175"/>
    <w:rsid w:val="00CA357E"/>
    <w:rsid w:val="00CA3AC6"/>
    <w:rsid w:val="00CA57FD"/>
    <w:rsid w:val="00CA785F"/>
    <w:rsid w:val="00CB083D"/>
    <w:rsid w:val="00CB125A"/>
    <w:rsid w:val="00CB3038"/>
    <w:rsid w:val="00CC5379"/>
    <w:rsid w:val="00CC7933"/>
    <w:rsid w:val="00CD0D06"/>
    <w:rsid w:val="00CD43D4"/>
    <w:rsid w:val="00CD47CE"/>
    <w:rsid w:val="00CD5D5F"/>
    <w:rsid w:val="00CD7242"/>
    <w:rsid w:val="00CE32C5"/>
    <w:rsid w:val="00CE389B"/>
    <w:rsid w:val="00CE635B"/>
    <w:rsid w:val="00CF1906"/>
    <w:rsid w:val="00CF1C8D"/>
    <w:rsid w:val="00CF2B0B"/>
    <w:rsid w:val="00CF4815"/>
    <w:rsid w:val="00CF6726"/>
    <w:rsid w:val="00CF69D0"/>
    <w:rsid w:val="00D006A2"/>
    <w:rsid w:val="00D02CFB"/>
    <w:rsid w:val="00D10DDB"/>
    <w:rsid w:val="00D13FF9"/>
    <w:rsid w:val="00D20874"/>
    <w:rsid w:val="00D26440"/>
    <w:rsid w:val="00D3222D"/>
    <w:rsid w:val="00D32605"/>
    <w:rsid w:val="00D336DC"/>
    <w:rsid w:val="00D34675"/>
    <w:rsid w:val="00D36671"/>
    <w:rsid w:val="00D42014"/>
    <w:rsid w:val="00D53292"/>
    <w:rsid w:val="00D56684"/>
    <w:rsid w:val="00D56A5E"/>
    <w:rsid w:val="00D57CA4"/>
    <w:rsid w:val="00D64368"/>
    <w:rsid w:val="00D65BD5"/>
    <w:rsid w:val="00D66809"/>
    <w:rsid w:val="00D668A5"/>
    <w:rsid w:val="00D66D4C"/>
    <w:rsid w:val="00D67D5C"/>
    <w:rsid w:val="00D76854"/>
    <w:rsid w:val="00D77252"/>
    <w:rsid w:val="00D801C9"/>
    <w:rsid w:val="00D91C87"/>
    <w:rsid w:val="00D92869"/>
    <w:rsid w:val="00D938BC"/>
    <w:rsid w:val="00D95225"/>
    <w:rsid w:val="00D9625A"/>
    <w:rsid w:val="00D9667B"/>
    <w:rsid w:val="00DA2ABD"/>
    <w:rsid w:val="00DA3E9F"/>
    <w:rsid w:val="00DA43E0"/>
    <w:rsid w:val="00DA4434"/>
    <w:rsid w:val="00DA6A23"/>
    <w:rsid w:val="00DA78B8"/>
    <w:rsid w:val="00DA7B5C"/>
    <w:rsid w:val="00DA7CCB"/>
    <w:rsid w:val="00DA7E2F"/>
    <w:rsid w:val="00DB1160"/>
    <w:rsid w:val="00DB1C1F"/>
    <w:rsid w:val="00DB6259"/>
    <w:rsid w:val="00DB77A8"/>
    <w:rsid w:val="00DC2195"/>
    <w:rsid w:val="00DC542E"/>
    <w:rsid w:val="00DC5F13"/>
    <w:rsid w:val="00DC6A82"/>
    <w:rsid w:val="00DD0C11"/>
    <w:rsid w:val="00DD199E"/>
    <w:rsid w:val="00DD3FA5"/>
    <w:rsid w:val="00DD572D"/>
    <w:rsid w:val="00DE2A30"/>
    <w:rsid w:val="00DE7598"/>
    <w:rsid w:val="00DE7945"/>
    <w:rsid w:val="00DF17CB"/>
    <w:rsid w:val="00DF4C76"/>
    <w:rsid w:val="00DF53ED"/>
    <w:rsid w:val="00E007B7"/>
    <w:rsid w:val="00E027D5"/>
    <w:rsid w:val="00E035D8"/>
    <w:rsid w:val="00E0460A"/>
    <w:rsid w:val="00E10BEB"/>
    <w:rsid w:val="00E12699"/>
    <w:rsid w:val="00E1369A"/>
    <w:rsid w:val="00E15A85"/>
    <w:rsid w:val="00E161E7"/>
    <w:rsid w:val="00E22CA4"/>
    <w:rsid w:val="00E25968"/>
    <w:rsid w:val="00E3301F"/>
    <w:rsid w:val="00E34889"/>
    <w:rsid w:val="00E35772"/>
    <w:rsid w:val="00E3739E"/>
    <w:rsid w:val="00E3748B"/>
    <w:rsid w:val="00E40213"/>
    <w:rsid w:val="00E431F1"/>
    <w:rsid w:val="00E43A29"/>
    <w:rsid w:val="00E44A66"/>
    <w:rsid w:val="00E44C08"/>
    <w:rsid w:val="00E46A8C"/>
    <w:rsid w:val="00E472B2"/>
    <w:rsid w:val="00E50F44"/>
    <w:rsid w:val="00E51003"/>
    <w:rsid w:val="00E5369D"/>
    <w:rsid w:val="00E56D3A"/>
    <w:rsid w:val="00E6095C"/>
    <w:rsid w:val="00E60AB7"/>
    <w:rsid w:val="00E61473"/>
    <w:rsid w:val="00E6152D"/>
    <w:rsid w:val="00E628CA"/>
    <w:rsid w:val="00E62F47"/>
    <w:rsid w:val="00E63EB6"/>
    <w:rsid w:val="00E645A6"/>
    <w:rsid w:val="00E67C69"/>
    <w:rsid w:val="00E7194F"/>
    <w:rsid w:val="00E77598"/>
    <w:rsid w:val="00E81F7C"/>
    <w:rsid w:val="00E8513A"/>
    <w:rsid w:val="00E86D38"/>
    <w:rsid w:val="00E87298"/>
    <w:rsid w:val="00E903A7"/>
    <w:rsid w:val="00E912BF"/>
    <w:rsid w:val="00E932E7"/>
    <w:rsid w:val="00E96A93"/>
    <w:rsid w:val="00EA0F28"/>
    <w:rsid w:val="00EA494F"/>
    <w:rsid w:val="00EB134D"/>
    <w:rsid w:val="00EB274D"/>
    <w:rsid w:val="00EB482D"/>
    <w:rsid w:val="00EC4E10"/>
    <w:rsid w:val="00EC5ED0"/>
    <w:rsid w:val="00EC6667"/>
    <w:rsid w:val="00ED0FAC"/>
    <w:rsid w:val="00ED461F"/>
    <w:rsid w:val="00ED6489"/>
    <w:rsid w:val="00ED6971"/>
    <w:rsid w:val="00ED701A"/>
    <w:rsid w:val="00EE08FF"/>
    <w:rsid w:val="00EE140D"/>
    <w:rsid w:val="00EE39DF"/>
    <w:rsid w:val="00EE3B40"/>
    <w:rsid w:val="00EE67B0"/>
    <w:rsid w:val="00EF234F"/>
    <w:rsid w:val="00F00401"/>
    <w:rsid w:val="00F06B59"/>
    <w:rsid w:val="00F11380"/>
    <w:rsid w:val="00F16441"/>
    <w:rsid w:val="00F173FD"/>
    <w:rsid w:val="00F21D4E"/>
    <w:rsid w:val="00F23A97"/>
    <w:rsid w:val="00F246A0"/>
    <w:rsid w:val="00F24785"/>
    <w:rsid w:val="00F259B1"/>
    <w:rsid w:val="00F27F2B"/>
    <w:rsid w:val="00F300EF"/>
    <w:rsid w:val="00F30571"/>
    <w:rsid w:val="00F34DE7"/>
    <w:rsid w:val="00F37009"/>
    <w:rsid w:val="00F37022"/>
    <w:rsid w:val="00F37B6B"/>
    <w:rsid w:val="00F409D3"/>
    <w:rsid w:val="00F4140E"/>
    <w:rsid w:val="00F447E2"/>
    <w:rsid w:val="00F4579C"/>
    <w:rsid w:val="00F45EFC"/>
    <w:rsid w:val="00F47974"/>
    <w:rsid w:val="00F50174"/>
    <w:rsid w:val="00F51292"/>
    <w:rsid w:val="00F51C1D"/>
    <w:rsid w:val="00F56976"/>
    <w:rsid w:val="00F62FD7"/>
    <w:rsid w:val="00F72D1A"/>
    <w:rsid w:val="00F75D1A"/>
    <w:rsid w:val="00F77F6F"/>
    <w:rsid w:val="00F82775"/>
    <w:rsid w:val="00F832BA"/>
    <w:rsid w:val="00F856C8"/>
    <w:rsid w:val="00F85743"/>
    <w:rsid w:val="00F87C0B"/>
    <w:rsid w:val="00F95A48"/>
    <w:rsid w:val="00FA1BC4"/>
    <w:rsid w:val="00FA26A0"/>
    <w:rsid w:val="00FA3826"/>
    <w:rsid w:val="00FA3BB1"/>
    <w:rsid w:val="00FA63E5"/>
    <w:rsid w:val="00FA7F22"/>
    <w:rsid w:val="00FB03AE"/>
    <w:rsid w:val="00FB0ECA"/>
    <w:rsid w:val="00FB1B27"/>
    <w:rsid w:val="00FB2C13"/>
    <w:rsid w:val="00FB46F3"/>
    <w:rsid w:val="00FB4E74"/>
    <w:rsid w:val="00FB4EF4"/>
    <w:rsid w:val="00FB546A"/>
    <w:rsid w:val="00FB67E4"/>
    <w:rsid w:val="00FC0130"/>
    <w:rsid w:val="00FC2E54"/>
    <w:rsid w:val="00FC36F9"/>
    <w:rsid w:val="00FD006F"/>
    <w:rsid w:val="00FD5F44"/>
    <w:rsid w:val="00FE01BC"/>
    <w:rsid w:val="00FE4362"/>
    <w:rsid w:val="00FE5D11"/>
    <w:rsid w:val="00FF3545"/>
    <w:rsid w:val="00FF4825"/>
    <w:rsid w:val="014D097B"/>
    <w:rsid w:val="025BE9B5"/>
    <w:rsid w:val="02DEE90D"/>
    <w:rsid w:val="03C91DC3"/>
    <w:rsid w:val="04CF82F6"/>
    <w:rsid w:val="053592C2"/>
    <w:rsid w:val="05C82F7B"/>
    <w:rsid w:val="06FAB08D"/>
    <w:rsid w:val="08B05F95"/>
    <w:rsid w:val="0970CC12"/>
    <w:rsid w:val="0A7B3847"/>
    <w:rsid w:val="0AB5189C"/>
    <w:rsid w:val="0ADB6F1E"/>
    <w:rsid w:val="0B5870E2"/>
    <w:rsid w:val="0BD5B384"/>
    <w:rsid w:val="0CF4EBA7"/>
    <w:rsid w:val="0FD1CB92"/>
    <w:rsid w:val="1181D856"/>
    <w:rsid w:val="12F043F7"/>
    <w:rsid w:val="15F532DB"/>
    <w:rsid w:val="1623A568"/>
    <w:rsid w:val="1668C6E9"/>
    <w:rsid w:val="16BC42B1"/>
    <w:rsid w:val="171D8F7D"/>
    <w:rsid w:val="17F683A1"/>
    <w:rsid w:val="199DC967"/>
    <w:rsid w:val="1AAF835D"/>
    <w:rsid w:val="1B2C3E4B"/>
    <w:rsid w:val="1B9C52BC"/>
    <w:rsid w:val="1B9F93ED"/>
    <w:rsid w:val="1DA728B2"/>
    <w:rsid w:val="1EE2F192"/>
    <w:rsid w:val="1F4EFABF"/>
    <w:rsid w:val="207EC1F3"/>
    <w:rsid w:val="207FF656"/>
    <w:rsid w:val="20C1B0DB"/>
    <w:rsid w:val="224D60DB"/>
    <w:rsid w:val="22A4E34A"/>
    <w:rsid w:val="23AD373E"/>
    <w:rsid w:val="261560ED"/>
    <w:rsid w:val="2633ED82"/>
    <w:rsid w:val="28F2371C"/>
    <w:rsid w:val="298F9B80"/>
    <w:rsid w:val="2A208B5D"/>
    <w:rsid w:val="2B88FC85"/>
    <w:rsid w:val="2DF9BA3C"/>
    <w:rsid w:val="2F61F8EA"/>
    <w:rsid w:val="31ADD2A3"/>
    <w:rsid w:val="32794F50"/>
    <w:rsid w:val="33316F7F"/>
    <w:rsid w:val="33D413F5"/>
    <w:rsid w:val="34363C54"/>
    <w:rsid w:val="34A72115"/>
    <w:rsid w:val="35D13A6E"/>
    <w:rsid w:val="3A6DFDA4"/>
    <w:rsid w:val="3A76A758"/>
    <w:rsid w:val="3B54A685"/>
    <w:rsid w:val="3B756A67"/>
    <w:rsid w:val="3C4BEA45"/>
    <w:rsid w:val="3D94638F"/>
    <w:rsid w:val="3DB45B6D"/>
    <w:rsid w:val="4111B2F8"/>
    <w:rsid w:val="439D3BAA"/>
    <w:rsid w:val="485253CA"/>
    <w:rsid w:val="49B058B8"/>
    <w:rsid w:val="49DC1400"/>
    <w:rsid w:val="4B89F48C"/>
    <w:rsid w:val="4C326C3B"/>
    <w:rsid w:val="4D823E24"/>
    <w:rsid w:val="4E6109E2"/>
    <w:rsid w:val="531196C5"/>
    <w:rsid w:val="533D6C74"/>
    <w:rsid w:val="568D66B5"/>
    <w:rsid w:val="5A06E248"/>
    <w:rsid w:val="5E2AA4EE"/>
    <w:rsid w:val="5E2C67CF"/>
    <w:rsid w:val="5EEB1C03"/>
    <w:rsid w:val="5FDB9B39"/>
    <w:rsid w:val="6137EDB6"/>
    <w:rsid w:val="61EE77C3"/>
    <w:rsid w:val="63753809"/>
    <w:rsid w:val="63A10796"/>
    <w:rsid w:val="665AA314"/>
    <w:rsid w:val="6985C13C"/>
    <w:rsid w:val="6B8A9C69"/>
    <w:rsid w:val="6B92F11E"/>
    <w:rsid w:val="6C3044E2"/>
    <w:rsid w:val="6CE00982"/>
    <w:rsid w:val="6D45E9B8"/>
    <w:rsid w:val="6E9B1715"/>
    <w:rsid w:val="702E0EA8"/>
    <w:rsid w:val="71514CB2"/>
    <w:rsid w:val="72E09976"/>
    <w:rsid w:val="73AD194C"/>
    <w:rsid w:val="7554CD34"/>
    <w:rsid w:val="78CD3592"/>
    <w:rsid w:val="7A3426F1"/>
    <w:rsid w:val="7B01077A"/>
    <w:rsid w:val="7C3EC5A2"/>
    <w:rsid w:val="7C84580F"/>
    <w:rsid w:val="7D2C1473"/>
    <w:rsid w:val="7E2929F0"/>
    <w:rsid w:val="7E9532F6"/>
    <w:rsid w:val="7EF3CB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9CE8FA1"/>
  <w15:docId w15:val="{9C4E2A36-32F1-4400-B958-59D57A1FD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173FD"/>
    <w:pPr>
      <w:spacing w:before="60" w:after="120"/>
      <w:jc w:val="both"/>
    </w:pPr>
    <w:rPr>
      <w:sz w:val="22"/>
    </w:rPr>
  </w:style>
  <w:style w:type="paragraph" w:styleId="Heading1">
    <w:name w:val="heading 1"/>
    <w:basedOn w:val="Normal"/>
    <w:next w:val="Normal"/>
    <w:autoRedefine/>
    <w:qFormat/>
    <w:rsid w:val="00B831FD"/>
    <w:pPr>
      <w:keepNext/>
      <w:spacing w:before="100" w:beforeAutospacing="1"/>
      <w:jc w:val="center"/>
      <w:outlineLvl w:val="0"/>
    </w:pPr>
    <w:rPr>
      <w:rFonts w:ascii="Times New Roman Bold" w:hAnsi="Times New Roman Bold"/>
      <w:b/>
      <w:bCs/>
      <w:caps/>
      <w:kern w:val="32"/>
      <w:sz w:val="28"/>
      <w:szCs w:val="32"/>
    </w:rPr>
  </w:style>
  <w:style w:type="paragraph" w:styleId="Heading2">
    <w:name w:val="heading 2"/>
    <w:basedOn w:val="Heading1"/>
    <w:next w:val="Normal"/>
    <w:link w:val="Heading2Char"/>
    <w:autoRedefine/>
    <w:qFormat/>
    <w:rsid w:val="00402D60"/>
    <w:pPr>
      <w:numPr>
        <w:ilvl w:val="1"/>
      </w:numPr>
      <w:jc w:val="left"/>
      <w:outlineLvl w:val="1"/>
    </w:pPr>
    <w:rPr>
      <w:b w:val="0"/>
      <w:bCs w:val="0"/>
      <w:iCs/>
      <w:caps w:val="0"/>
      <w:sz w:val="24"/>
      <w:szCs w:val="28"/>
    </w:rPr>
  </w:style>
  <w:style w:type="paragraph" w:styleId="Heading3">
    <w:name w:val="heading 3"/>
    <w:basedOn w:val="Heading2"/>
    <w:next w:val="Normal"/>
    <w:autoRedefine/>
    <w:qFormat/>
    <w:rsid w:val="00402D60"/>
    <w:pPr>
      <w:numPr>
        <w:ilvl w:val="2"/>
      </w:numPr>
      <w:tabs>
        <w:tab w:val="num" w:pos="720"/>
      </w:tabs>
      <w:spacing w:after="0"/>
      <w:outlineLvl w:val="2"/>
    </w:pPr>
    <w:rPr>
      <w:bCs/>
      <w:i/>
      <w:sz w:val="22"/>
      <w:szCs w:val="26"/>
    </w:rPr>
  </w:style>
  <w:style w:type="paragraph" w:styleId="Heading4">
    <w:name w:val="heading 4"/>
    <w:basedOn w:val="Heading3"/>
    <w:next w:val="Normal"/>
    <w:autoRedefine/>
    <w:qFormat/>
    <w:rsid w:val="00442DF0"/>
    <w:pPr>
      <w:numPr>
        <w:ilvl w:val="3"/>
      </w:numPr>
      <w:tabs>
        <w:tab w:val="num" w:pos="720"/>
      </w:tabs>
      <w:ind w:left="720"/>
      <w:outlineLvl w:val="3"/>
    </w:pPr>
    <w:rPr>
      <w:bCs w:val="0"/>
      <w:szCs w:val="28"/>
    </w:rPr>
  </w:style>
  <w:style w:type="paragraph" w:styleId="Heading5">
    <w:name w:val="heading 5"/>
    <w:basedOn w:val="Normal"/>
    <w:next w:val="Normal"/>
    <w:qFormat/>
    <w:rsid w:val="00501465"/>
    <w:pPr>
      <w:numPr>
        <w:ilvl w:val="4"/>
        <w:numId w:val="20"/>
      </w:numPr>
      <w:spacing w:before="240"/>
      <w:outlineLvl w:val="4"/>
    </w:pPr>
    <w:rPr>
      <w:b/>
      <w:bCs/>
      <w:i/>
      <w:iCs/>
      <w:sz w:val="26"/>
      <w:szCs w:val="26"/>
    </w:rPr>
  </w:style>
  <w:style w:type="paragraph" w:styleId="Heading6">
    <w:name w:val="heading 6"/>
    <w:basedOn w:val="Normal"/>
    <w:next w:val="Normal"/>
    <w:qFormat/>
    <w:rsid w:val="00501465"/>
    <w:pPr>
      <w:numPr>
        <w:ilvl w:val="5"/>
        <w:numId w:val="20"/>
      </w:numPr>
      <w:spacing w:before="240"/>
      <w:outlineLvl w:val="5"/>
    </w:pPr>
    <w:rPr>
      <w:b/>
      <w:bCs/>
      <w:szCs w:val="22"/>
    </w:rPr>
  </w:style>
  <w:style w:type="paragraph" w:styleId="Heading7">
    <w:name w:val="heading 7"/>
    <w:basedOn w:val="Normal"/>
    <w:next w:val="Normal"/>
    <w:qFormat/>
    <w:rsid w:val="00501465"/>
    <w:pPr>
      <w:numPr>
        <w:ilvl w:val="6"/>
        <w:numId w:val="20"/>
      </w:numPr>
      <w:spacing w:before="240"/>
      <w:outlineLvl w:val="6"/>
    </w:pPr>
  </w:style>
  <w:style w:type="paragraph" w:styleId="Heading8">
    <w:name w:val="heading 8"/>
    <w:basedOn w:val="Normal"/>
    <w:next w:val="Normal"/>
    <w:qFormat/>
    <w:rsid w:val="00501465"/>
    <w:pPr>
      <w:numPr>
        <w:ilvl w:val="7"/>
        <w:numId w:val="20"/>
      </w:numPr>
      <w:spacing w:before="240"/>
      <w:outlineLvl w:val="7"/>
    </w:pPr>
    <w:rPr>
      <w:i/>
      <w:iCs/>
    </w:rPr>
  </w:style>
  <w:style w:type="paragraph" w:styleId="Heading9">
    <w:name w:val="heading 9"/>
    <w:basedOn w:val="Normal"/>
    <w:next w:val="Normal"/>
    <w:qFormat/>
    <w:rsid w:val="00501465"/>
    <w:pPr>
      <w:numPr>
        <w:ilvl w:val="8"/>
        <w:numId w:val="20"/>
      </w:numPr>
      <w:spacing w:before="240"/>
      <w:outlineLvl w:val="8"/>
    </w:pPr>
    <w:rPr>
      <w:rFonts w:ascii="Arial" w:hAnsi="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autoRedefine/>
    <w:qFormat/>
    <w:rsid w:val="00B11B1C"/>
    <w:pPr>
      <w:widowControl w:val="0"/>
      <w:spacing w:after="480"/>
      <w:jc w:val="center"/>
      <w:outlineLvl w:val="0"/>
    </w:pPr>
    <w:rPr>
      <w:rFonts w:ascii="Times New Roman Bold" w:hAnsi="Times New Roman Bold"/>
      <w:b/>
      <w:bCs/>
      <w:caps/>
      <w:kern w:val="28"/>
      <w:sz w:val="32"/>
      <w:szCs w:val="32"/>
    </w:rPr>
  </w:style>
  <w:style w:type="paragraph" w:customStyle="1" w:styleId="Authors">
    <w:name w:val="Authors"/>
    <w:basedOn w:val="BodyText"/>
    <w:autoRedefine/>
    <w:rsid w:val="00D3222D"/>
  </w:style>
  <w:style w:type="paragraph" w:customStyle="1" w:styleId="AbstractTitle">
    <w:name w:val="Abstract Title"/>
    <w:basedOn w:val="Authors"/>
    <w:next w:val="BodyText"/>
    <w:autoRedefine/>
    <w:rsid w:val="00FA7F22"/>
    <w:pPr>
      <w:widowControl w:val="0"/>
    </w:pPr>
    <w:rPr>
      <w:rFonts w:ascii="Times New Roman Bold" w:hAnsi="Times New Roman Bold"/>
      <w:b/>
      <w:caps/>
      <w:sz w:val="28"/>
    </w:rPr>
  </w:style>
  <w:style w:type="paragraph" w:styleId="BodyText">
    <w:name w:val="Body Text"/>
    <w:basedOn w:val="Normal"/>
    <w:link w:val="BodyTextChar"/>
    <w:autoRedefine/>
    <w:rsid w:val="00430929"/>
    <w:pPr>
      <w:tabs>
        <w:tab w:val="left" w:pos="72"/>
      </w:tabs>
      <w:spacing w:after="240"/>
      <w:jc w:val="center"/>
    </w:pPr>
  </w:style>
  <w:style w:type="paragraph" w:customStyle="1" w:styleId="Abstracttext">
    <w:name w:val="Abstract text"/>
    <w:basedOn w:val="BodyText"/>
    <w:next w:val="Normal"/>
    <w:link w:val="AbstracttextChar"/>
    <w:rsid w:val="005B4EBF"/>
  </w:style>
  <w:style w:type="paragraph" w:customStyle="1" w:styleId="Equation">
    <w:name w:val="Equation"/>
    <w:basedOn w:val="Normal"/>
    <w:next w:val="BodyText"/>
    <w:autoRedefine/>
    <w:rsid w:val="00337F96"/>
    <w:pPr>
      <w:keepLines/>
      <w:tabs>
        <w:tab w:val="center" w:pos="4680"/>
        <w:tab w:val="right" w:pos="9360"/>
      </w:tabs>
      <w:spacing w:after="100" w:afterAutospacing="1"/>
      <w:jc w:val="center"/>
    </w:pPr>
    <w:rPr>
      <w:bCs/>
      <w:position w:val="-12"/>
    </w:rPr>
  </w:style>
  <w:style w:type="paragraph" w:customStyle="1" w:styleId="Tabletextcenter">
    <w:name w:val="Table text (center)"/>
    <w:basedOn w:val="Normal"/>
    <w:autoRedefine/>
    <w:rsid w:val="00442DF0"/>
    <w:pPr>
      <w:keepLines/>
      <w:spacing w:before="100" w:beforeAutospacing="1" w:after="100" w:afterAutospacing="1"/>
      <w:jc w:val="center"/>
    </w:pPr>
  </w:style>
  <w:style w:type="paragraph" w:customStyle="1" w:styleId="EquationNumber">
    <w:name w:val="Equation Number"/>
    <w:basedOn w:val="BodyText"/>
    <w:next w:val="BodyText"/>
    <w:autoRedefine/>
    <w:rsid w:val="00337F96"/>
    <w:pPr>
      <w:spacing w:before="120" w:after="120"/>
      <w:jc w:val="right"/>
    </w:pPr>
  </w:style>
  <w:style w:type="character" w:customStyle="1" w:styleId="BodyTextChar">
    <w:name w:val="Body Text Char"/>
    <w:basedOn w:val="DefaultParagraphFont"/>
    <w:link w:val="BodyText"/>
    <w:rsid w:val="00430929"/>
    <w:rPr>
      <w:sz w:val="24"/>
      <w:szCs w:val="24"/>
    </w:rPr>
  </w:style>
  <w:style w:type="character" w:customStyle="1" w:styleId="Heading2Char">
    <w:name w:val="Heading 2 Char"/>
    <w:basedOn w:val="BodyTextChar"/>
    <w:link w:val="Heading2"/>
    <w:rsid w:val="00402D60"/>
    <w:rPr>
      <w:rFonts w:ascii="Times New Roman Bold" w:hAnsi="Times New Roman Bold"/>
      <w:iCs/>
      <w:kern w:val="32"/>
      <w:sz w:val="24"/>
      <w:szCs w:val="28"/>
    </w:rPr>
  </w:style>
  <w:style w:type="paragraph" w:styleId="ListBullet">
    <w:name w:val="List Bullet"/>
    <w:basedOn w:val="Normal"/>
    <w:autoRedefine/>
    <w:rsid w:val="000840A2"/>
    <w:pPr>
      <w:numPr>
        <w:numId w:val="5"/>
      </w:numPr>
      <w:spacing w:before="100" w:beforeAutospacing="1" w:after="100" w:afterAutospacing="1"/>
      <w:ind w:left="648"/>
    </w:pPr>
  </w:style>
  <w:style w:type="paragraph" w:customStyle="1" w:styleId="Figure">
    <w:name w:val="Figure"/>
    <w:basedOn w:val="BodyText"/>
    <w:next w:val="FigureLabel"/>
    <w:link w:val="FigureChar"/>
    <w:autoRedefine/>
    <w:qFormat/>
    <w:rsid w:val="000840A2"/>
    <w:pPr>
      <w:keepNext/>
      <w:keepLines/>
      <w:spacing w:before="100" w:beforeAutospacing="1" w:after="100" w:afterAutospacing="1"/>
    </w:pPr>
  </w:style>
  <w:style w:type="paragraph" w:customStyle="1" w:styleId="FigureLabel">
    <w:name w:val="Figure Label"/>
    <w:basedOn w:val="BodyText"/>
    <w:next w:val="BodyText"/>
    <w:autoRedefine/>
    <w:rsid w:val="000840A2"/>
    <w:pPr>
      <w:keepLines/>
    </w:pPr>
  </w:style>
  <w:style w:type="paragraph" w:customStyle="1" w:styleId="JournalName">
    <w:name w:val="Journal Name"/>
    <w:basedOn w:val="BodyText"/>
    <w:link w:val="JournalNameChar"/>
    <w:autoRedefine/>
    <w:rsid w:val="001A582A"/>
    <w:rPr>
      <w:i/>
    </w:rPr>
  </w:style>
  <w:style w:type="character" w:customStyle="1" w:styleId="JournalNameChar">
    <w:name w:val="Journal Name Char"/>
    <w:basedOn w:val="BodyTextChar"/>
    <w:link w:val="JournalName"/>
    <w:rsid w:val="001A582A"/>
    <w:rPr>
      <w:i/>
      <w:sz w:val="24"/>
      <w:szCs w:val="24"/>
    </w:rPr>
  </w:style>
  <w:style w:type="paragraph" w:customStyle="1" w:styleId="Tableheader">
    <w:name w:val="Table header"/>
    <w:basedOn w:val="Normal"/>
    <w:autoRedefine/>
    <w:rsid w:val="00337F96"/>
    <w:pPr>
      <w:keepLines/>
      <w:jc w:val="center"/>
    </w:pPr>
    <w:rPr>
      <w:b/>
    </w:rPr>
  </w:style>
  <w:style w:type="character" w:styleId="Emphasis">
    <w:name w:val="Emphasis"/>
    <w:basedOn w:val="DefaultParagraphFont"/>
    <w:qFormat/>
    <w:rsid w:val="004654B5"/>
    <w:rPr>
      <w:i/>
      <w:iCs/>
    </w:rPr>
  </w:style>
  <w:style w:type="character" w:customStyle="1" w:styleId="AbstracttextChar">
    <w:name w:val="Abstract text Char"/>
    <w:basedOn w:val="BodyTextChar"/>
    <w:link w:val="Abstracttext"/>
    <w:rsid w:val="008903B7"/>
    <w:rPr>
      <w:sz w:val="24"/>
      <w:szCs w:val="24"/>
    </w:rPr>
  </w:style>
  <w:style w:type="paragraph" w:customStyle="1" w:styleId="Reference">
    <w:name w:val="Reference"/>
    <w:autoRedefine/>
    <w:rsid w:val="008A3352"/>
    <w:pPr>
      <w:numPr>
        <w:numId w:val="35"/>
      </w:numPr>
      <w:spacing w:before="120"/>
      <w:jc w:val="both"/>
    </w:pPr>
  </w:style>
  <w:style w:type="paragraph" w:customStyle="1" w:styleId="TableLabel">
    <w:name w:val="Table Label"/>
    <w:basedOn w:val="BodyText"/>
    <w:next w:val="BodyText"/>
    <w:autoRedefine/>
    <w:rsid w:val="00337F96"/>
    <w:pPr>
      <w:spacing w:before="100" w:beforeAutospacing="1" w:after="120"/>
    </w:pPr>
  </w:style>
  <w:style w:type="paragraph" w:customStyle="1" w:styleId="Tabletextleft">
    <w:name w:val="Table text (left)"/>
    <w:basedOn w:val="Tabletextcenter"/>
    <w:autoRedefine/>
    <w:rsid w:val="00442DF0"/>
    <w:pPr>
      <w:jc w:val="left"/>
    </w:pPr>
  </w:style>
  <w:style w:type="paragraph" w:customStyle="1" w:styleId="Text">
    <w:name w:val="Text"/>
    <w:basedOn w:val="Normal"/>
    <w:rsid w:val="006A7EFA"/>
    <w:pPr>
      <w:tabs>
        <w:tab w:val="left" w:pos="288"/>
      </w:tabs>
      <w:ind w:firstLine="288"/>
    </w:pPr>
    <w:rPr>
      <w:sz w:val="20"/>
      <w:szCs w:val="20"/>
    </w:rPr>
  </w:style>
  <w:style w:type="paragraph" w:customStyle="1" w:styleId="MapleOutput">
    <w:name w:val="Maple Output"/>
    <w:uiPriority w:val="99"/>
    <w:rsid w:val="006A7EFA"/>
    <w:pPr>
      <w:autoSpaceDE w:val="0"/>
      <w:autoSpaceDN w:val="0"/>
      <w:adjustRightInd w:val="0"/>
      <w:spacing w:line="360" w:lineRule="auto"/>
      <w:jc w:val="center"/>
    </w:pPr>
    <w:rPr>
      <w:color w:val="000001"/>
    </w:rPr>
  </w:style>
  <w:style w:type="paragraph" w:customStyle="1" w:styleId="Equations">
    <w:name w:val="Equations"/>
    <w:basedOn w:val="Text"/>
    <w:autoRedefine/>
    <w:rsid w:val="006A7EFA"/>
    <w:pPr>
      <w:tabs>
        <w:tab w:val="clear" w:pos="288"/>
        <w:tab w:val="left" w:pos="-18"/>
      </w:tabs>
      <w:autoSpaceDE w:val="0"/>
      <w:autoSpaceDN w:val="0"/>
      <w:adjustRightInd w:val="0"/>
      <w:ind w:left="-108" w:firstLine="0"/>
      <w:jc w:val="center"/>
    </w:pPr>
    <w:rPr>
      <w:rFonts w:ascii="Cambria Math" w:hAnsi="Cambria Math"/>
      <w:noProof/>
      <w:color w:val="000001"/>
      <w:szCs w:val="24"/>
    </w:rPr>
  </w:style>
  <w:style w:type="character" w:customStyle="1" w:styleId="FigureChar">
    <w:name w:val="Figure Char"/>
    <w:basedOn w:val="DefaultParagraphFont"/>
    <w:link w:val="Figure"/>
    <w:rsid w:val="006A7EFA"/>
    <w:rPr>
      <w:sz w:val="24"/>
      <w:szCs w:val="24"/>
    </w:rPr>
  </w:style>
  <w:style w:type="paragraph" w:styleId="BalloonText">
    <w:name w:val="Balloon Text"/>
    <w:basedOn w:val="Normal"/>
    <w:link w:val="BalloonTextChar"/>
    <w:rsid w:val="006A7EFA"/>
    <w:rPr>
      <w:rFonts w:ascii="Tahoma" w:hAnsi="Tahoma" w:cs="Tahoma"/>
      <w:sz w:val="16"/>
      <w:szCs w:val="16"/>
    </w:rPr>
  </w:style>
  <w:style w:type="character" w:customStyle="1" w:styleId="BalloonTextChar">
    <w:name w:val="Balloon Text Char"/>
    <w:basedOn w:val="DefaultParagraphFont"/>
    <w:link w:val="BalloonText"/>
    <w:rsid w:val="006A7EFA"/>
    <w:rPr>
      <w:rFonts w:ascii="Tahoma" w:hAnsi="Tahoma" w:cs="Tahoma"/>
      <w:sz w:val="16"/>
      <w:szCs w:val="16"/>
    </w:rPr>
  </w:style>
  <w:style w:type="paragraph" w:styleId="Caption">
    <w:name w:val="caption"/>
    <w:basedOn w:val="Normal"/>
    <w:next w:val="Normal"/>
    <w:autoRedefine/>
    <w:unhideWhenUsed/>
    <w:qFormat/>
    <w:rsid w:val="004C136C"/>
    <w:pPr>
      <w:spacing w:before="120"/>
      <w:jc w:val="center"/>
    </w:pPr>
    <w:rPr>
      <w:b/>
      <w:bCs/>
      <w:color w:val="000000" w:themeColor="text1"/>
      <w:sz w:val="20"/>
      <w:szCs w:val="18"/>
    </w:rPr>
  </w:style>
  <w:style w:type="paragraph" w:customStyle="1" w:styleId="Abstract">
    <w:name w:val="Abstract"/>
    <w:basedOn w:val="Normal"/>
    <w:next w:val="Heading1"/>
    <w:rsid w:val="009149ED"/>
    <w:pPr>
      <w:spacing w:before="480" w:after="480"/>
      <w:ind w:left="720" w:right="720" w:firstLine="288"/>
    </w:pPr>
    <w:rPr>
      <w:b/>
      <w:sz w:val="20"/>
      <w:szCs w:val="20"/>
    </w:rPr>
  </w:style>
  <w:style w:type="paragraph" w:customStyle="1" w:styleId="1stParagraph">
    <w:name w:val="1stParagraph"/>
    <w:basedOn w:val="Text"/>
    <w:rsid w:val="009149ED"/>
    <w:pPr>
      <w:autoSpaceDE w:val="0"/>
      <w:autoSpaceDN w:val="0"/>
      <w:adjustRightInd w:val="0"/>
      <w:ind w:firstLine="0"/>
    </w:pPr>
    <w:rPr>
      <w:color w:val="000001"/>
      <w:szCs w:val="24"/>
    </w:rPr>
  </w:style>
  <w:style w:type="paragraph" w:customStyle="1" w:styleId="References">
    <w:name w:val="References"/>
    <w:basedOn w:val="Normal"/>
    <w:link w:val="ReferencesChar"/>
    <w:rsid w:val="008233C7"/>
    <w:pPr>
      <w:ind w:firstLine="288"/>
    </w:pPr>
    <w:rPr>
      <w:sz w:val="18"/>
      <w:szCs w:val="20"/>
    </w:rPr>
  </w:style>
  <w:style w:type="character" w:customStyle="1" w:styleId="ReferencesChar">
    <w:name w:val="References Char"/>
    <w:basedOn w:val="DefaultParagraphFont"/>
    <w:link w:val="References"/>
    <w:rsid w:val="008233C7"/>
    <w:rPr>
      <w:sz w:val="18"/>
    </w:rPr>
  </w:style>
  <w:style w:type="paragraph" w:customStyle="1" w:styleId="MTDisplayEquation">
    <w:name w:val="MTDisplayEquation"/>
    <w:basedOn w:val="BodyText"/>
    <w:next w:val="Normal"/>
    <w:link w:val="MTDisplayEquationChar"/>
    <w:rsid w:val="00C10EEE"/>
    <w:pPr>
      <w:tabs>
        <w:tab w:val="clear" w:pos="72"/>
        <w:tab w:val="center" w:pos="4680"/>
        <w:tab w:val="right" w:pos="9360"/>
      </w:tabs>
    </w:pPr>
  </w:style>
  <w:style w:type="character" w:customStyle="1" w:styleId="MTDisplayEquationChar">
    <w:name w:val="MTDisplayEquation Char"/>
    <w:basedOn w:val="BodyTextChar"/>
    <w:link w:val="MTDisplayEquation"/>
    <w:rsid w:val="00C10EEE"/>
    <w:rPr>
      <w:sz w:val="24"/>
      <w:szCs w:val="24"/>
    </w:rPr>
  </w:style>
  <w:style w:type="table" w:styleId="TableGrid">
    <w:name w:val="Table Grid"/>
    <w:basedOn w:val="TableNormal"/>
    <w:rsid w:val="004309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1">
    <w:name w:val="Table Columns 1"/>
    <w:basedOn w:val="TableNormal"/>
    <w:rsid w:val="00430929"/>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apple-style-span">
    <w:name w:val="apple-style-span"/>
    <w:basedOn w:val="DefaultParagraphFont"/>
    <w:rsid w:val="009265DD"/>
  </w:style>
  <w:style w:type="character" w:customStyle="1" w:styleId="apple-converted-space">
    <w:name w:val="apple-converted-space"/>
    <w:basedOn w:val="DefaultParagraphFont"/>
    <w:rsid w:val="009265DD"/>
  </w:style>
  <w:style w:type="paragraph" w:styleId="Bibliography">
    <w:name w:val="Bibliography"/>
    <w:basedOn w:val="Normal"/>
    <w:next w:val="Normal"/>
    <w:uiPriority w:val="37"/>
    <w:unhideWhenUsed/>
    <w:rsid w:val="003F5148"/>
    <w:pPr>
      <w:tabs>
        <w:tab w:val="left" w:pos="384"/>
      </w:tabs>
      <w:spacing w:after="0"/>
      <w:ind w:left="384" w:hanging="384"/>
    </w:pPr>
  </w:style>
  <w:style w:type="character" w:styleId="Hyperlink">
    <w:name w:val="Hyperlink"/>
    <w:basedOn w:val="DefaultParagraphFont"/>
    <w:uiPriority w:val="99"/>
    <w:unhideWhenUsed/>
    <w:rsid w:val="00287BBB"/>
    <w:rPr>
      <w:color w:val="0000FF"/>
      <w:u w:val="single"/>
    </w:rPr>
  </w:style>
  <w:style w:type="paragraph" w:styleId="Header">
    <w:name w:val="header"/>
    <w:basedOn w:val="Normal"/>
    <w:link w:val="HeaderChar"/>
    <w:rsid w:val="000A36CB"/>
    <w:pPr>
      <w:tabs>
        <w:tab w:val="center" w:pos="4680"/>
        <w:tab w:val="right" w:pos="9360"/>
      </w:tabs>
      <w:spacing w:before="0" w:after="0"/>
    </w:pPr>
  </w:style>
  <w:style w:type="character" w:customStyle="1" w:styleId="HeaderChar">
    <w:name w:val="Header Char"/>
    <w:basedOn w:val="DefaultParagraphFont"/>
    <w:link w:val="Header"/>
    <w:rsid w:val="000A36CB"/>
    <w:rPr>
      <w:sz w:val="24"/>
      <w:szCs w:val="24"/>
    </w:rPr>
  </w:style>
  <w:style w:type="paragraph" w:styleId="Footer">
    <w:name w:val="footer"/>
    <w:basedOn w:val="Normal"/>
    <w:link w:val="FooterChar"/>
    <w:uiPriority w:val="99"/>
    <w:rsid w:val="000A36CB"/>
    <w:pPr>
      <w:tabs>
        <w:tab w:val="center" w:pos="4680"/>
        <w:tab w:val="right" w:pos="9360"/>
      </w:tabs>
      <w:spacing w:before="0" w:after="0"/>
    </w:pPr>
  </w:style>
  <w:style w:type="character" w:customStyle="1" w:styleId="FooterChar">
    <w:name w:val="Footer Char"/>
    <w:basedOn w:val="DefaultParagraphFont"/>
    <w:link w:val="Footer"/>
    <w:uiPriority w:val="99"/>
    <w:rsid w:val="000A36CB"/>
    <w:rPr>
      <w:sz w:val="24"/>
      <w:szCs w:val="24"/>
    </w:rPr>
  </w:style>
  <w:style w:type="character" w:styleId="CommentReference">
    <w:name w:val="annotation reference"/>
    <w:basedOn w:val="DefaultParagraphFont"/>
    <w:rsid w:val="00EC6667"/>
    <w:rPr>
      <w:sz w:val="16"/>
      <w:szCs w:val="16"/>
    </w:rPr>
  </w:style>
  <w:style w:type="paragraph" w:styleId="CommentText">
    <w:name w:val="annotation text"/>
    <w:basedOn w:val="Normal"/>
    <w:link w:val="CommentTextChar"/>
    <w:rsid w:val="00EC6667"/>
    <w:rPr>
      <w:sz w:val="20"/>
      <w:szCs w:val="20"/>
    </w:rPr>
  </w:style>
  <w:style w:type="character" w:customStyle="1" w:styleId="CommentTextChar">
    <w:name w:val="Comment Text Char"/>
    <w:basedOn w:val="DefaultParagraphFont"/>
    <w:link w:val="CommentText"/>
    <w:rsid w:val="00EC6667"/>
    <w:rPr>
      <w:sz w:val="20"/>
      <w:szCs w:val="20"/>
    </w:rPr>
  </w:style>
  <w:style w:type="paragraph" w:styleId="CommentSubject">
    <w:name w:val="annotation subject"/>
    <w:basedOn w:val="CommentText"/>
    <w:next w:val="CommentText"/>
    <w:link w:val="CommentSubjectChar"/>
    <w:rsid w:val="00EC6667"/>
    <w:rPr>
      <w:b/>
      <w:bCs/>
    </w:rPr>
  </w:style>
  <w:style w:type="character" w:customStyle="1" w:styleId="CommentSubjectChar">
    <w:name w:val="Comment Subject Char"/>
    <w:basedOn w:val="CommentTextChar"/>
    <w:link w:val="CommentSubject"/>
    <w:rsid w:val="00EC6667"/>
    <w:rPr>
      <w:b/>
      <w:bCs/>
      <w:sz w:val="20"/>
      <w:szCs w:val="20"/>
    </w:rPr>
  </w:style>
  <w:style w:type="paragraph" w:styleId="Revision">
    <w:name w:val="Revision"/>
    <w:hidden/>
    <w:uiPriority w:val="99"/>
    <w:semiHidden/>
    <w:rsid w:val="00505139"/>
  </w:style>
  <w:style w:type="paragraph" w:styleId="FootnoteText">
    <w:name w:val="footnote text"/>
    <w:basedOn w:val="Normal"/>
    <w:link w:val="FootnoteTextChar"/>
    <w:rsid w:val="00880AF1"/>
    <w:pPr>
      <w:spacing w:before="0" w:after="0"/>
    </w:pPr>
    <w:rPr>
      <w:sz w:val="20"/>
      <w:szCs w:val="20"/>
    </w:rPr>
  </w:style>
  <w:style w:type="character" w:customStyle="1" w:styleId="FootnoteTextChar">
    <w:name w:val="Footnote Text Char"/>
    <w:basedOn w:val="DefaultParagraphFont"/>
    <w:link w:val="FootnoteText"/>
    <w:rsid w:val="00880AF1"/>
    <w:rPr>
      <w:sz w:val="20"/>
      <w:szCs w:val="20"/>
    </w:rPr>
  </w:style>
  <w:style w:type="character" w:styleId="FootnoteReference">
    <w:name w:val="footnote reference"/>
    <w:basedOn w:val="DefaultParagraphFont"/>
    <w:rsid w:val="00880AF1"/>
    <w:rPr>
      <w:vertAlign w:val="superscript"/>
    </w:rPr>
  </w:style>
  <w:style w:type="character" w:styleId="PlaceholderText">
    <w:name w:val="Placeholder Text"/>
    <w:basedOn w:val="DefaultParagraphFont"/>
    <w:uiPriority w:val="99"/>
    <w:semiHidden/>
    <w:rsid w:val="00154A41"/>
    <w:rPr>
      <w:color w:val="808080"/>
    </w:rPr>
  </w:style>
  <w:style w:type="paragraph" w:customStyle="1" w:styleId="EqtnNum">
    <w:name w:val="EqtnNum"/>
    <w:basedOn w:val="Normal"/>
    <w:link w:val="EqtnNumChar"/>
    <w:qFormat/>
    <w:rsid w:val="00900FCC"/>
    <w:pPr>
      <w:numPr>
        <w:numId w:val="40"/>
      </w:numPr>
      <w:spacing w:before="0" w:after="0"/>
      <w:ind w:left="0" w:firstLine="0"/>
      <w:jc w:val="right"/>
    </w:pPr>
  </w:style>
  <w:style w:type="character" w:customStyle="1" w:styleId="EqtnNumChar">
    <w:name w:val="EqtnNum Char"/>
    <w:basedOn w:val="DefaultParagraphFont"/>
    <w:link w:val="EqtnNum"/>
    <w:rsid w:val="00900FCC"/>
    <w:rPr>
      <w:sz w:val="22"/>
    </w:rPr>
  </w:style>
  <w:style w:type="paragraph" w:styleId="ListParagraph">
    <w:name w:val="List Paragraph"/>
    <w:basedOn w:val="Normal"/>
    <w:uiPriority w:val="34"/>
    <w:qFormat/>
    <w:pPr>
      <w:ind w:left="720"/>
      <w:contextualSpacing/>
    </w:pPr>
  </w:style>
  <w:style w:type="character" w:styleId="EndnoteReference">
    <w:name w:val="endnote reference"/>
    <w:basedOn w:val="DefaultParagraphFont"/>
    <w:semiHidden/>
    <w:unhideWhenUsed/>
    <w:rsid w:val="00211BE2"/>
    <w:rPr>
      <w:vertAlign w:val="superscript"/>
    </w:rPr>
  </w:style>
  <w:style w:type="paragraph" w:customStyle="1" w:styleId="postEqtnNormal">
    <w:name w:val="postEqtnNormal"/>
    <w:basedOn w:val="Normal"/>
    <w:link w:val="postEqtnNormalChar"/>
    <w:qFormat/>
    <w:rsid w:val="0094044C"/>
  </w:style>
  <w:style w:type="character" w:customStyle="1" w:styleId="postEqtnNormalChar">
    <w:name w:val="postEqtnNormal Char"/>
    <w:basedOn w:val="DefaultParagraphFont"/>
    <w:link w:val="postEqtnNormal"/>
    <w:rsid w:val="0094044C"/>
    <w:rPr>
      <w:sz w:val="22"/>
    </w:rPr>
  </w:style>
  <w:style w:type="character" w:customStyle="1" w:styleId="Mention1">
    <w:name w:val="Mention1"/>
    <w:basedOn w:val="DefaultParagraphFont"/>
    <w:uiPriority w:val="99"/>
    <w:unhideWhenUsed/>
    <w:rsid w:val="00D91C87"/>
    <w:rPr>
      <w:color w:val="2B579A"/>
      <w:shd w:val="clear" w:color="auto" w:fill="E1DFDD"/>
    </w:rPr>
  </w:style>
  <w:style w:type="paragraph" w:styleId="NoSpacing">
    <w:name w:val="No Spacing"/>
    <w:uiPriority w:val="1"/>
    <w:qFormat/>
    <w:rsid w:val="007C15B4"/>
    <w:pPr>
      <w:jc w:val="both"/>
    </w:pPr>
    <w:rPr>
      <w:sz w:val="22"/>
    </w:rPr>
  </w:style>
  <w:style w:type="character" w:styleId="LineNumber">
    <w:name w:val="line number"/>
    <w:basedOn w:val="DefaultParagraphFont"/>
    <w:semiHidden/>
    <w:unhideWhenUsed/>
    <w:rsid w:val="00CE32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600203">
      <w:bodyDiv w:val="1"/>
      <w:marLeft w:val="0"/>
      <w:marRight w:val="0"/>
      <w:marTop w:val="0"/>
      <w:marBottom w:val="0"/>
      <w:divBdr>
        <w:top w:val="none" w:sz="0" w:space="0" w:color="auto"/>
        <w:left w:val="none" w:sz="0" w:space="0" w:color="auto"/>
        <w:bottom w:val="none" w:sz="0" w:space="0" w:color="auto"/>
        <w:right w:val="none" w:sz="0" w:space="0" w:color="auto"/>
      </w:divBdr>
      <w:divsChild>
        <w:div w:id="226962091">
          <w:marLeft w:val="0"/>
          <w:marRight w:val="0"/>
          <w:marTop w:val="0"/>
          <w:marBottom w:val="0"/>
          <w:divBdr>
            <w:top w:val="none" w:sz="0" w:space="0" w:color="auto"/>
            <w:left w:val="none" w:sz="0" w:space="0" w:color="auto"/>
            <w:bottom w:val="none" w:sz="0" w:space="0" w:color="auto"/>
            <w:right w:val="none" w:sz="0" w:space="0" w:color="auto"/>
          </w:divBdr>
          <w:divsChild>
            <w:div w:id="1818381091">
              <w:marLeft w:val="0"/>
              <w:marRight w:val="0"/>
              <w:marTop w:val="0"/>
              <w:marBottom w:val="0"/>
              <w:divBdr>
                <w:top w:val="none" w:sz="0" w:space="0" w:color="auto"/>
                <w:left w:val="none" w:sz="0" w:space="0" w:color="auto"/>
                <w:bottom w:val="none" w:sz="0" w:space="0" w:color="auto"/>
                <w:right w:val="none" w:sz="0" w:space="0" w:color="auto"/>
              </w:divBdr>
              <w:divsChild>
                <w:div w:id="126931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347037">
      <w:bodyDiv w:val="1"/>
      <w:marLeft w:val="0"/>
      <w:marRight w:val="0"/>
      <w:marTop w:val="0"/>
      <w:marBottom w:val="0"/>
      <w:divBdr>
        <w:top w:val="none" w:sz="0" w:space="0" w:color="auto"/>
        <w:left w:val="none" w:sz="0" w:space="0" w:color="auto"/>
        <w:bottom w:val="none" w:sz="0" w:space="0" w:color="auto"/>
        <w:right w:val="none" w:sz="0" w:space="0" w:color="auto"/>
      </w:divBdr>
    </w:div>
    <w:div w:id="619261921">
      <w:bodyDiv w:val="1"/>
      <w:marLeft w:val="0"/>
      <w:marRight w:val="0"/>
      <w:marTop w:val="0"/>
      <w:marBottom w:val="0"/>
      <w:divBdr>
        <w:top w:val="none" w:sz="0" w:space="0" w:color="auto"/>
        <w:left w:val="none" w:sz="0" w:space="0" w:color="auto"/>
        <w:bottom w:val="none" w:sz="0" w:space="0" w:color="auto"/>
        <w:right w:val="none" w:sz="0" w:space="0" w:color="auto"/>
      </w:divBdr>
    </w:div>
    <w:div w:id="1398212020">
      <w:bodyDiv w:val="1"/>
      <w:marLeft w:val="0"/>
      <w:marRight w:val="0"/>
      <w:marTop w:val="0"/>
      <w:marBottom w:val="0"/>
      <w:divBdr>
        <w:top w:val="none" w:sz="0" w:space="0" w:color="auto"/>
        <w:left w:val="none" w:sz="0" w:space="0" w:color="auto"/>
        <w:bottom w:val="none" w:sz="0" w:space="0" w:color="auto"/>
        <w:right w:val="none" w:sz="0" w:space="0" w:color="auto"/>
      </w:divBdr>
    </w:div>
    <w:div w:id="1416895794">
      <w:bodyDiv w:val="1"/>
      <w:marLeft w:val="0"/>
      <w:marRight w:val="0"/>
      <w:marTop w:val="0"/>
      <w:marBottom w:val="0"/>
      <w:divBdr>
        <w:top w:val="none" w:sz="0" w:space="0" w:color="auto"/>
        <w:left w:val="none" w:sz="0" w:space="0" w:color="auto"/>
        <w:bottom w:val="none" w:sz="0" w:space="0" w:color="auto"/>
        <w:right w:val="none" w:sz="0" w:space="0" w:color="auto"/>
      </w:divBdr>
    </w:div>
    <w:div w:id="1514609107">
      <w:bodyDiv w:val="1"/>
      <w:marLeft w:val="0"/>
      <w:marRight w:val="0"/>
      <w:marTop w:val="0"/>
      <w:marBottom w:val="0"/>
      <w:divBdr>
        <w:top w:val="none" w:sz="0" w:space="0" w:color="auto"/>
        <w:left w:val="none" w:sz="0" w:space="0" w:color="auto"/>
        <w:bottom w:val="none" w:sz="0" w:space="0" w:color="auto"/>
        <w:right w:val="none" w:sz="0" w:space="0" w:color="auto"/>
      </w:divBdr>
    </w:div>
    <w:div w:id="1903952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cott_Stapleton@uml.edu" TargetMode="External"/><Relationship Id="rId18" Type="http://schemas.openxmlformats.org/officeDocument/2006/relationships/image" Target="media/image3.emf"/><Relationship Id="rId26" Type="http://schemas.openxmlformats.org/officeDocument/2006/relationships/image" Target="media/image11.emf"/><Relationship Id="rId39" Type="http://schemas.openxmlformats.org/officeDocument/2006/relationships/footer" Target="footer1.xml"/><Relationship Id="rId21" Type="http://schemas.openxmlformats.org/officeDocument/2006/relationships/image" Target="media/image6.emf"/><Relationship Id="rId34" Type="http://schemas.openxmlformats.org/officeDocument/2006/relationships/image" Target="media/image19.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emf"/><Relationship Id="rId20" Type="http://schemas.openxmlformats.org/officeDocument/2006/relationships/image" Target="media/image5.emf"/><Relationship Id="rId29" Type="http://schemas.openxmlformats.org/officeDocument/2006/relationships/image" Target="media/image14.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Mathew_Schey@student.uml.edu" TargetMode="External"/><Relationship Id="rId24" Type="http://schemas.openxmlformats.org/officeDocument/2006/relationships/image" Target="media/image9.emf"/><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Evan.j.pineda@nasa.gov" TargetMode="Externa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1.emf"/><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ndy_George@byu.edu" TargetMode="External"/><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Tibor_Beke@uml.edu" TargetMode="External"/><Relationship Id="rId17" Type="http://schemas.openxmlformats.org/officeDocument/2006/relationships/image" Target="media/image2.emf"/><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staple\Downloads\SAMPE%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CSECitSeq.XSL" StyleName="CSE - Citation Sequence">
  <b:Source>
    <b:Tag>Gen09</b:Tag>
    <b:SourceType>JournalArticle</b:SourceType>
    <b:Guid>{A3D70C38-B36F-46A2-AAC6-C703185FCC83}</b:Guid>
    <b:Author>
      <b:Author>
        <b:NameList>
          <b:Person>
            <b:Last>Genin</b:Last>
            <b:First>Guy</b:First>
            <b:Middle>M.</b:Middle>
          </b:Person>
          <b:Person>
            <b:Last>Kent</b:Last>
            <b:First>Alistair</b:First>
          </b:Person>
          <b:Person>
            <b:Last>Birman</b:Last>
            <b:First>Victor</b:First>
          </b:Person>
          <b:Person>
            <b:Last>Wopenka</b:Last>
            <b:First>Brigitte</b:First>
          </b:Person>
          <b:Person>
            <b:Last>Pasteris</b:Last>
            <b:First>Jill</b:First>
            <b:Middle>D.</b:Middle>
          </b:Person>
          <b:Person>
            <b:Last>Marquez</b:Last>
            <b:First>Pablo</b:First>
            <b:Middle>J.</b:Middle>
          </b:Person>
        </b:NameList>
      </b:Author>
    </b:Author>
    <b:Title>Functional Grading of Mineral and Collagen in the Attachment</b:Title>
    <b:Year>2009</b:Year>
    <b:JournalName>Biophysical Journal</b:JournalName>
    <b:Pages>976–985</b:Pages>
    <b:Month>August</b:Month>
    <b:Volume>97</b:Volume>
    <b:RefOrder>2</b:RefOrder>
  </b:Source>
  <b:Source>
    <b:Tag>Bir07</b:Tag>
    <b:SourceType>JournalArticle</b:SourceType>
    <b:Guid>{7C94921A-0677-45F4-83B8-7840194B3704}</b:Guid>
    <b:Author>
      <b:Author>
        <b:NameList>
          <b:Person>
            <b:Last>Birman</b:Last>
            <b:First>Victor</b:First>
          </b:Person>
          <b:Person>
            <b:Last>Byrd</b:Last>
            <b:First>Larry</b:First>
            <b:Middle>W.</b:Middle>
          </b:Person>
        </b:NameList>
      </b:Author>
    </b:Author>
    <b:Title>Modeling and Analysis of Functionally Graded Materials and Structures</b:Title>
    <b:JournalName>Applied Mechanics Reviews</b:JournalName>
    <b:Year>2007</b:Year>
    <b:Pages>195-216</b:Pages>
    <b:Month>September</b:Month>
    <b:Volume>60</b:Volume>
    <b:RefOrder>1</b:RefOrder>
  </b:Source>
  <b:Source>
    <b:Tag>Liu11</b:Tag>
    <b:SourceType>JournalArticle</b:SourceType>
    <b:Guid>{EDA332FA-87FD-4475-9877-1457DD0FD5E6}</b:Guid>
    <b:Author>
      <b:Author>
        <b:NameList>
          <b:Person>
            <b:Last>Liu</b:Last>
            <b:First>Yanxin</b:First>
          </b:Person>
          <b:Person>
            <b:Last>Birman</b:Last>
            <b:First>Victor</b:First>
          </b:Person>
          <b:Person>
            <b:Last>Chen</b:Last>
            <b:First>Changqing</b:First>
          </b:Person>
          <b:Person>
            <b:Last>Thomopoulos</b:Last>
            <b:First>Stavros</b:First>
          </b:Person>
          <b:Person>
            <b:Last>Genin</b:Last>
            <b:First>Guy</b:First>
            <b:Middle>M.</b:Middle>
          </b:Person>
        </b:NameList>
      </b:Author>
    </b:Author>
    <b:Title>Mechanisms of Bimaterial Attachment at the Interface of Tendon to Bone</b:Title>
    <b:JournalName>Journal of Engineering Materials and Technology</b:JournalName>
    <b:Year>2011</b:Year>
    <b:Pages>1-8</b:Pages>
    <b:Month>January</b:Month>
    <b:Volume>133</b:Volume>
    <b:RefOrder>3</b:RefOrder>
  </b:Source>
  <b:Source>
    <b:Tag>Pir03</b:Tag>
    <b:SourceType>JournalArticle</b:SourceType>
    <b:Guid>{28E66C13-C9DB-4DB5-AD75-62705A4ABBF4}</b:Guid>
    <b:Author>
      <b:Author>
        <b:NameList>
          <b:Person>
            <b:Last>Piresa</b:Last>
            <b:First>I.</b:First>
          </b:Person>
          <b:Person>
            <b:Last>Quintinoa</b:Last>
            <b:First>L.</b:First>
          </b:Person>
          <b:Person>
            <b:Last>F.</b:Last>
            <b:First>Durodolab</b:First>
            <b:Middle>J.</b:Middle>
          </b:Person>
          <b:Person>
            <b:Last>Beevers</b:Last>
            <b:First>A</b:First>
          </b:Person>
        </b:NameList>
      </b:Author>
    </b:Author>
    <b:Title>Performance of bi-adhesive bonded aluminium lapjoints</b:Title>
    <b:JournalName>International Journal of Adhesion &amp; Adhesives</b:JournalName>
    <b:Year>2003</b:Year>
    <b:Pages>215–223</b:Pages>
    <b:Volume>23</b:Volume>
    <b:RefOrder>4</b:RefOrder>
  </b:Source>
  <b:Source>
    <b:Tag>Fit05</b:Tag>
    <b:SourceType>JournalArticle</b:SourceType>
    <b:Guid>{3A98AD65-A116-43D1-AEAC-B753CC3C6789}</b:Guid>
    <b:Author>
      <b:Author>
        <b:NameList>
          <b:Person>
            <b:Last>Fitton</b:Last>
            <b:First>M.</b:First>
            <b:Middle>D.</b:Middle>
          </b:Person>
          <b:Person>
            <b:Last>Broughton</b:Last>
            <b:First>J.</b:First>
            <b:Middle>G.</b:Middle>
          </b:Person>
        </b:NameList>
      </b:Author>
    </b:Author>
    <b:Title>Variable modulus adhesives: an approach to optimised</b:Title>
    <b:JournalName>International Journal of Adhesion &amp; Adhesives</b:JournalName>
    <b:Year>2005</b:Year>
    <b:Pages>329–336</b:Pages>
    <b:Volume>2005</b:Volume>
    <b:RefOrder>5</b:RefOrder>
  </b:Source>
  <b:Source>
    <b:Tag>Bos03</b:Tag>
    <b:SourceType>JournalArticle</b:SourceType>
    <b:Guid>{0AC593A0-6D31-4EE2-B455-DA7A8BF0C614}</b:Guid>
    <b:Author>
      <b:Author>
        <b:NameList>
          <b:Person>
            <b:Last>Boss</b:Last>
            <b:First>J.</b:First>
            <b:Middle>N.</b:Middle>
          </b:Person>
          <b:Person>
            <b:Last>Ganesh</b:Last>
            <b:First>V.</b:First>
            <b:Middle>K.</b:Middle>
          </b:Person>
          <b:Person>
            <b:Last>Lim</b:Last>
            <b:First>C.</b:First>
            <b:Middle>T.</b:Middle>
          </b:Person>
        </b:NameList>
      </b:Author>
    </b:Author>
    <b:Title>Modulus grading versus geometrical grading of composite adherends in single-lap bonded joints</b:Title>
    <b:JournalName>Composite Structures</b:JournalName>
    <b:Year>2003</b:Year>
    <b:Pages>113–121</b:Pages>
    <b:Volume>62</b:Volume>
    <b:RefOrder>6</b:RefOrder>
  </b:Source>
  <b:Source>
    <b:Tag>daS09</b:Tag>
    <b:SourceType>JournalArticle</b:SourceType>
    <b:Guid>{D3D8EAF0-1519-4127-B10B-4A8CFD8834A6}</b:Guid>
    <b:Author>
      <b:Author>
        <b:NameList>
          <b:Person>
            <b:Last>da Silva</b:Last>
            <b:First>Lucas</b:First>
            <b:Middle>F.M.</b:Middle>
          </b:Person>
          <b:Person>
            <b:Last>Lopes</b:Last>
            <b:First>Maria</b:First>
            <b:Middle>Joao C.Q.</b:Middle>
          </b:Person>
        </b:NameList>
      </b:Author>
    </b:Author>
    <b:Title>Joint strength optimization by the mixed-adhesive technique</b:Title>
    <b:JournalName>InternationalJournalofAdhesion&amp;Adhesives</b:JournalName>
    <b:Year>2009</b:Year>
    <b:Pages>509–514</b:Pages>
    <b:Volume>29</b:Volume>
    <b:RefOrder>7</b:RefOrder>
  </b:Source>
  <b:Source>
    <b:Tag>Kum09</b:Tag>
    <b:SourceType>JournalArticle</b:SourceType>
    <b:Guid>{8CE2E4EA-89E4-4655-BAC1-A67A1BF05A07}</b:Guid>
    <b:Author>
      <b:Author>
        <b:NameList>
          <b:Person>
            <b:Last>Kumar</b:Last>
            <b:First>S.</b:First>
          </b:Person>
        </b:NameList>
      </b:Author>
    </b:Author>
    <b:Title>Analysis of tubular adhesive joints with a functionally modulus graded bondline subjected to axial loads</b:Title>
    <b:JournalName>international Journal of Adhesion &amp; Adhesives</b:JournalName>
    <b:Year>2009</b:Year>
    <b:Pages>785–795</b:Pages>
    <b:Volume>29</b:Volume>
    <b:RefOrder>8</b:RefOrder>
  </b:Source>
  <b:Source>
    <b:Tag>Kum10</b:Tag>
    <b:SourceType>JournalArticle</b:SourceType>
    <b:Guid>{43DE70C0-E917-489B-B358-A9AFDE647D6B}</b:Guid>
    <b:Author>
      <b:Author>
        <b:NameList>
          <b:Person>
            <b:Last>Kumar</b:Last>
            <b:First>S.</b:First>
          </b:Person>
          <b:Person>
            <b:Last>Pandey</b:Last>
            <b:First>P.</b:First>
            <b:Middle>C.</b:Middle>
          </b:Person>
        </b:NameList>
      </b:Author>
    </b:Author>
    <b:Title>Behavior of Bi-Adhesive Joints</b:Title>
    <b:JournalName>Journal of Adhesion Science and Technology</b:JournalName>
    <b:Year>2010</b:Year>
    <b:Pages>1251–1281</b:Pages>
    <b:Volume>24</b:Volume>
    <b:RefOrder>9</b:RefOrder>
  </b:Source>
  <b:Source>
    <b:Tag>San00</b:Tag>
    <b:SourceType>JournalArticle</b:SourceType>
    <b:Guid>{6A90D9F7-15A5-45A9-9E93-946CF9076AC0}</b:Guid>
    <b:Author>
      <b:Author>
        <b:NameList>
          <b:Person>
            <b:Last>Sancaktar</b:Last>
            <b:First>Erol</b:First>
          </b:Person>
          <b:Person>
            <b:Last>Kumar</b:Last>
            <b:First>Sumeet</b:First>
          </b:Person>
        </b:NameList>
      </b:Author>
    </b:Author>
    <b:Title>Selective use of rubber toughening to optimize lap-joint strength</b:Title>
    <b:JournalName>Journal of Adhesion Science and Technology</b:JournalName>
    <b:Year>2000</b:Year>
    <b:Pages>1265-1296</b:Pages>
    <b:Volume>14</b:Volume>
    <b:RefOrder>10</b:RefOrder>
  </b:Source>
  <b:Source>
    <b:Tag>Tur08</b:Tag>
    <b:SourceType>JournalArticle</b:SourceType>
    <b:Guid>{9AACE1F5-9A95-4051-83A3-E3917C5ADA6F}</b:Guid>
    <b:Author>
      <b:Author>
        <b:NameList>
          <b:Person>
            <b:Last>Turaga</b:Last>
            <b:First>U.</b:First>
            <b:Middle>V. R. S.</b:Middle>
          </b:Person>
          <b:Person>
            <b:Last>Sun</b:Last>
            <b:First>C.</b:First>
            <b:Middle>T.</b:Middle>
          </b:Person>
        </b:NameList>
      </b:Author>
    </b:Author>
    <b:Title>Improved Design for Metallic and Composite Single-Lap Joints</b:Title>
    <b:JournalName>Journal of Aircraft</b:JournalName>
    <b:Year>2008</b:Year>
    <b:Pages>440-447</b:Pages>
    <b:Volume>45</b:Volume>
    <b:RefOrder>11</b:RefOrder>
  </b:Source>
  <b:Source>
    <b:Tag>Zen01</b:Tag>
    <b:SourceType>JournalArticle</b:SourceType>
    <b:Guid>{E9B1BAFF-EDB4-44CE-A3AD-A3BF47C3E07B}</b:Guid>
    <b:Author>
      <b:Author>
        <b:NameList>
          <b:Person>
            <b:Last>Zeng</b:Last>
            <b:First>Q.</b:First>
            <b:Middle>G.</b:Middle>
          </b:Person>
          <b:Person>
            <b:Last>Sun</b:Last>
            <b:First>C.</b:First>
            <b:Middle>T.</b:Middle>
          </b:Person>
        </b:NameList>
      </b:Author>
    </b:Author>
    <b:Title>Novel Design of a Bonded Lap Joint</b:Title>
    <b:JournalName>AIAA Journal</b:JournalName>
    <b:Year>2001</b:Year>
    <b:Pages>1991-1996</b:Pages>
    <b:Volume>39</b:Volume>
    <b:RefOrder>12</b:RefOrder>
  </b:Source>
  <b:Source>
    <b:Tag>Abo94</b:Tag>
    <b:SourceType>JournalArticle</b:SourceType>
    <b:Guid>{09DD73BC-7F5E-4E11-A337-4A323BB863EA}</b:Guid>
    <b:Author>
      <b:Author>
        <b:NameList>
          <b:Person>
            <b:Last>Aboudi</b:Last>
            <b:First>Jacob</b:First>
          </b:Person>
          <b:Person>
            <b:Last>Pindera</b:Last>
            <b:First>Marek-Jerzy</b:First>
          </b:Person>
          <b:Person>
            <b:Last>Arnold</b:Last>
            <b:First>Steven</b:First>
            <b:Middle>M.</b:Middle>
          </b:Person>
        </b:NameList>
      </b:Author>
    </b:Author>
    <b:Title>Elastic Response of Metal Matrix Composites with Tailored Microstructures to Thermal Gradients</b:Title>
    <b:JournalName>International Journal of Solids and Structures</b:JournalName>
    <b:Year>1994</b:Year>
    <b:Pages>1393-1428</b:Pages>
    <b:Volume>31</b:Volume>
    <b:Issue>10</b:Issue>
    <b:RefOrder>13</b:RefOrder>
  </b:Source>
  <b:Source>
    <b:Tag>Rap66</b:Tag>
    <b:SourceType>JournalArticle</b:SourceType>
    <b:Guid>{A033CB83-99CC-48C3-981E-7B450E52407B}</b:Guid>
    <b:Author>
      <b:Author>
        <b:NameList>
          <b:Person>
            <b:Last>Raphael</b:Last>
            <b:First>C</b:First>
          </b:Person>
        </b:NameList>
      </b:Author>
    </b:Author>
    <b:Title>Variable-Adhesive Bonded Joints</b:Title>
    <b:JournalName>Applied Polymer Symposium</b:JournalName>
    <b:Year>1966</b:Year>
    <b:Pages>99-108</b:Pages>
    <b:Volume>3</b:Volume>
    <b:RefOrder>14</b:RefOrder>
  </b:Source>
  <b:Source>
    <b:Tag>Pat76</b:Tag>
    <b:SourceType>Book</b:SourceType>
    <b:Guid>{DF04D333-00F9-4FC6-B342-F70E7FA9BEF5}</b:Guid>
    <b:Author>
      <b:Author>
        <b:NameList>
          <b:Person>
            <b:Last>Patrick</b:Last>
            <b:First>R.</b:First>
            <b:Middle>L</b:Middle>
          </b:Person>
        </b:NameList>
      </b:Author>
    </b:Author>
    <b:Title>Structural adhesives with emphasis on aerospace applications</b:Title>
    <b:Year>1976</b:Year>
    <b:City>New York</b:City>
    <b:Publisher>Marcel Dekker, Inc.</b:Publisher>
    <b:RefOrder>15</b:RefOrder>
  </b:Source>
  <b:Source>
    <b:Tag>Lan99</b:Tag>
    <b:SourceType>JournalArticle</b:SourceType>
    <b:Guid>{B1DCD9A9-A0A7-49A1-BD8F-2DBFD29A94E5}</b:Guid>
    <b:Author>
      <b:Author>
        <b:NameList>
          <b:Person>
            <b:Last>Lang</b:Last>
            <b:First>T.</b:First>
            <b:Middle>P.</b:Middle>
          </b:Person>
          <b:Person>
            <b:Last>Mallick</b:Last>
            <b:First>P.</b:First>
            <b:Middle>K.</b:Middle>
          </b:Person>
        </b:NameList>
      </b:Author>
    </b:Author>
    <b:Title>Effect of spew geometry on stresses in single lap adhesive joints</b:Title>
    <b:JournalName>International Journal of Adhesion and Adhesives</b:JournalName>
    <b:Year>1998</b:Year>
    <b:Pages>167-177</b:Pages>
    <b:Volume>18</b:Volume>
    <b:RefOrder>16</b:RefOrder>
  </b:Source>
  <b:Source>
    <b:Tag>Har73</b:Tag>
    <b:SourceType>Report</b:SourceType>
    <b:Guid>{692077A3-B9C5-4B95-BC6B-2C9835B22F7F}</b:Guid>
    <b:Author>
      <b:Author>
        <b:NameList>
          <b:Person>
            <b:Last>Hart-Smith</b:Last>
            <b:First>L.</b:First>
            <b:Middle>J.</b:Middle>
          </b:Person>
        </b:NameList>
      </b:Author>
    </b:Author>
    <b:Title>Adhesive-Bonded Double-Lap Joints</b:Title>
    <b:Year>1973</b:Year>
    <b:Publisher>NASA CR-112235</b:Publisher>
    <b:City>Hampton, Virginia</b:City>
    <b:RefOrder>17</b:RefOrder>
  </b:Source>
  <b:Source>
    <b:Tag>Eis85</b:Tag>
    <b:SourceType>JournalArticle</b:SourceType>
    <b:Guid>{8EB32EE3-FABE-4D25-AE73-E8E91C867A3E}</b:Guid>
    <b:Author>
      <b:Author>
        <b:NameList>
          <b:Person>
            <b:Last>Eisenberger</b:Last>
            <b:First>M.</b:First>
          </b:Person>
          <b:Person>
            <b:Last>Yankelevsky</b:Last>
            <b:First>D.</b:First>
            <b:Middle>Z.</b:Middle>
          </b:Person>
        </b:NameList>
      </b:Author>
    </b:Author>
    <b:Title>Exact Stiffness Matrix for Beams on Elastic Foundation</b:Title>
    <b:Year>1985</b:Year>
    <b:JournalName>Computers and Structures</b:JournalName>
    <b:Pages>1355-1359</b:Pages>
    <b:Volume>21</b:Volume>
    <b:RefOrder>18</b:RefOrder>
  </b:Source>
  <b:Source>
    <b:Tag>Ayd95</b:Tag>
    <b:SourceType>JournalArticle</b:SourceType>
    <b:Guid>{08A42FDD-7448-4CB4-9801-47968552C38B}</b:Guid>
    <b:Author>
      <b:Author>
        <b:NameList>
          <b:Person>
            <b:Last>Aydogan</b:Last>
            <b:First>M.</b:First>
          </b:Person>
        </b:NameList>
      </b:Author>
    </b:Author>
    <b:Title>Stiffness-Matrix Formulation of Beams with Shear Effects on Elastic Foundation</b:Title>
    <b:JournalName>Journal of Structural Engineering</b:JournalName>
    <b:Year>1995</b:Year>
    <b:Pages>1265-1270</b:Pages>
    <b:Volume>121</b:Volume>
    <b:RefOrder>19</b:RefOrder>
  </b:Source>
  <b:Source>
    <b:Tag>Sta09</b:Tag>
    <b:SourceType>ConferenceProceedings</b:SourceType>
    <b:Guid>{49BE944B-1415-4B6B-8376-348DC62D1F63}</b:Guid>
    <b:Author>
      <b:Author>
        <b:NameList>
          <b:Person>
            <b:Last>Stapleton</b:Last>
            <b:First>S.</b:First>
            <b:Middle>E.</b:Middle>
          </b:Person>
          <b:Person>
            <b:Last>Waas</b:Last>
            <b:First>A.</b:First>
            <b:Middle>M.</b:Middle>
          </b:Person>
        </b:NameList>
      </b:Author>
    </b:Author>
    <b:Title>Macroscopic Finite Element for a Single Lap Joint</b:Title>
    <b:Year>May 4-7, 2009</b:Year>
    <b:ConferenceName>Proceedings of the AIAA/ASME/ASCE/AHS/ASC 50th SDM Conference</b:ConferenceName>
    <b:RefOrder>20</b:RefOrder>
  </b:Source>
  <b:Source>
    <b:Tag>Che99</b:Tag>
    <b:SourceType>Book</b:SourceType>
    <b:Guid>{8D5B54BD-7B0A-418D-904E-EBC3241E6AF0}</b:Guid>
    <b:Author>
      <b:Author>
        <b:NameList>
          <b:Person>
            <b:Last>Chen</b:Last>
            <b:First>C.</b:First>
          </b:Person>
        </b:NameList>
      </b:Author>
    </b:Author>
    <b:Title>Linear System Theory and Design, 3rd ed. </b:Title>
    <b:Year>1999</b:Year>
    <b:City>New York</b:City>
    <b:Publisher>Oxford University Press</b:Publisher>
    <b:RefOrder>21</b:RefOrder>
  </b:Source>
  <b:Source>
    <b:Tag>Mol03</b:Tag>
    <b:SourceType>JournalArticle</b:SourceType>
    <b:Guid>{6A649436-882B-431C-8EBD-647DA942F4AA}</b:Guid>
    <b:Author>
      <b:Author>
        <b:NameList>
          <b:Person>
            <b:Last>Molder</b:Last>
            <b:First>C.</b:First>
          </b:Person>
          <b:Person>
            <b:Last>Van Loan</b:Last>
            <b:First>C.</b:First>
          </b:Person>
        </b:NameList>
      </b:Author>
    </b:Author>
    <b:Title>Nineteen Dubious Ways to Compute the Exponential of a Matrix, Twenty-Five Years Later</b:Title>
    <b:Year>2003</b:Year>
    <b:JournalName>SIAM Review</b:JournalName>
    <b:Pages>3-000</b:Pages>
    <b:Volume>45</b:Volume>
    <b:RefOrder>22</b:RefOrder>
  </b:Source>
  <b:Source>
    <b:Tag>Val10</b:Tag>
    <b:SourceType>JournalArticle</b:SourceType>
    <b:Guid>{F736A7DC-CDA2-4668-85D3-6E8DCA9F1BF0}</b:Guid>
    <b:Author>
      <b:Author>
        <b:NameList>
          <b:Person>
            <b:Last>Valleé</b:Last>
            <b:First>Till</b:First>
          </b:Person>
          <b:Person>
            <b:Last>Tannert</b:Last>
            <b:First>Thomas</b:First>
          </b:Person>
          <b:Person>
            <b:Last>Murcia-Delso</b:Last>
            <b:First>Juan</b:First>
          </b:Person>
          <b:Person>
            <b:Last>Quinn</b:Last>
            <b:First>David</b:First>
            <b:Middle>J.</b:Middle>
          </b:Person>
        </b:NameList>
      </b:Author>
    </b:Author>
    <b:Title>Influence of stress-reduction methods on the strength of adhesively bonded joints composed of orthotropic brittle adherends</b:Title>
    <b:JournalName>International Journal of Adhesion &amp; Adhesives</b:JournalName>
    <b:Year>2010</b:Year>
    <b:Pages>583–594</b:Pages>
    <b:Volume>30</b:Volume>
    <b:RefOrder>23</b:RefOrder>
  </b:Source>
  <b:Source>
    <b:Tag>Har74</b:Tag>
    <b:SourceType>Report</b:SourceType>
    <b:Guid>{491A13B9-2B9B-4873-B795-97A29E1D3122}</b:Guid>
    <b:Author>
      <b:Author>
        <b:NameList>
          <b:Person>
            <b:Last>Hart-Smith</b:Last>
            <b:First>L.</b:First>
            <b:Middle>J.</b:Middle>
          </b:Person>
        </b:NameList>
      </b:Author>
    </b:Author>
    <b:Title>Analysis and design of advanced composite bonded joints</b:Title>
    <b:Year>1974</b:Year>
    <b:Publisher>NASA CR-2218</b:Publisher>
    <b:RefOrder>24</b:RefOrder>
  </b:Source>
  <b:Source>
    <b:Tag>Gus07</b:Tag>
    <b:SourceType>JournalArticle</b:SourceType>
    <b:Guid>{B9EE157D-A009-4A7A-B9F1-00D93ED962AD}</b:Guid>
    <b:Author>
      <b:Author>
        <b:NameList>
          <b:Person>
            <b:Last>Gustafson</b:Last>
            <b:First>P.</b:First>
            <b:Middle>A.</b:Middle>
          </b:Person>
          <b:Person>
            <b:Last>Waas</b:Last>
            <b:First>T.</b:First>
            <b:Middle>A</b:Middle>
          </b:Person>
        </b:NameList>
      </b:Author>
    </b:Author>
    <b:Title>A bonded joint finite element for a symmetric double lap joint subjected to mechanical and thermal loads</b:Title>
    <b:Year>2009</b:Year>
    <b:ConferenceName>Proceedings of the AIAA/ASME/ASCE/AHS/ASC 48th SDM Conference</b:ConferenceName>
    <b:Volume>79</b:Volume>
    <b:Issue>1</b:Issue>
    <b:JournalName>International Journal for Numerical Methods in Engineering</b:JournalName>
    <b:Pages>94-126</b:Pages>
    <b:RefOrder>25</b:RefOrder>
  </b:Source>
  <b:Source>
    <b:Tag>Cha98</b:Tag>
    <b:SourceType>Book</b:SourceType>
    <b:Guid>{756694E4-BB39-40F9-8A9C-9624AB10C117}</b:Guid>
    <b:Author>
      <b:Author>
        <b:NameList>
          <b:Person>
            <b:Last>Chapra</b:Last>
            <b:First>S.</b:First>
            <b:Middle>C.</b:Middle>
          </b:Person>
          <b:Person>
            <b:Last>Canale</b:Last>
            <b:First>R.</b:First>
            <b:Middle>P.</b:Middle>
          </b:Person>
        </b:NameList>
      </b:Author>
    </b:Author>
    <b:Title>Numerical Methods for Engineers, 3rd ed.</b:Title>
    <b:City>Boston</b:City>
    <b:Year>1998</b:Year>
    <b:Publisher>WCB McGraw-Hill</b:Publisher>
    <b:RefOrder>26</b:RefOrder>
  </b:Source>
  <b:Source>
    <b:Tag>Ape06</b:Tag>
    <b:SourceType>JournalArticle</b:SourceType>
    <b:Guid>{BB7BD1BE-DDA8-4367-89A6-1168B0E88BA6}</b:Guid>
    <b:Author>
      <b:Author>
        <b:NameList>
          <b:Person>
            <b:Last>Apetre</b:Last>
            <b:First>N.</b:First>
            <b:Middle>A.</b:Middle>
          </b:Person>
          <b:Person>
            <b:Last>Sankar</b:Last>
            <b:First>B.</b:First>
            <b:Middle>V.</b:Middle>
          </b:Person>
          <b:Person>
            <b:Last>Ambur</b:Last>
            <b:First>D.</b:First>
            <b:Middle>R.</b:Middle>
          </b:Person>
        </b:NameList>
      </b:Author>
    </b:Author>
    <b:Title>Low-velocity impact response of sandwich beams with functionally graded core</b:Title>
    <b:JournalName>International Journal of Solids and Structures</b:JournalName>
    <b:Year>2006</b:Year>
    <b:Pages>2479–2496</b:Pages>
    <b:Volume>43</b:Volume>
    <b:RefOrder>27</b:RefOrder>
  </b:Source>
  <b:Source>
    <b:Tag>Sal08</b:Tag>
    <b:SourceType>JournalArticle</b:SourceType>
    <b:Guid>{2439868D-3112-4F67-ABE2-9ACB0B8BB764}</b:Guid>
    <b:Author>
      <b:Author>
        <b:NameList>
          <b:Person>
            <b:Last>Salvi</b:Last>
            <b:First>A.</b:First>
            <b:Middle>G.</b:Middle>
          </b:Person>
          <b:Person>
            <b:Last>Waas</b:Last>
            <b:First>A.</b:First>
            <b:Middle>M.</b:Middle>
          </b:Person>
          <b:Person>
            <b:Last>Caliskan</b:Last>
            <b:First>A.</b:First>
          </b:Person>
        </b:NameList>
      </b:Author>
    </b:Author>
    <b:Title>Energy absorption and damage propagation in 2D triaxially braided carbon ﬁber composites: effects of in situ matrix properties</b:Title>
    <b:Year>2008</b:Year>
    <b:Volume>43</b:Volume>
    <b:Issue>15</b:Issue>
    <b:JournalName>Journal of Materials Science</b:JournalName>
    <b:Pages>5168-5184</b:Pages>
    <b:RefOrder>28</b:RefOrder>
  </b:Source>
  <b:Source>
    <b:Tag>AF109</b:Tag>
    <b:SourceType>DocumentFromInternetSite</b:SourceType>
    <b:Guid>{C92A3527-0EB5-4AF1-9B02-914AA9F02668}</b:Guid>
    <b:Title>AF 163-2 Technical Datasheet</b:Title>
    <b:Year>2009</b:Year>
    <b:InternetSiteTitle>Scotch-Weld Structural Adhesive Films</b:InternetSiteTitle>
    <b:ProductionCompany>3M</b:ProductionCompany>
    <b:Month>November</b:Month>
    <b:YearAccessed>2011</b:YearAccessed>
    <b:MonthAccessed>January</b:MonthAccessed>
    <b:DayAccessed>13</b:DayAccessed>
    <b:URL>http://www.3m.com/</b:URL>
    <b:RefOrder>29</b:RefOrder>
  </b:Source>
  <b:Source>
    <b:Tag>Tsa98</b:Tag>
    <b:SourceType>JournalArticle</b:SourceType>
    <b:Guid>{252F0DCF-D921-4E0A-A8B7-72C7BCB9838D}</b:Guid>
    <b:Author>
      <b:Author>
        <b:NameList>
          <b:Person>
            <b:Last>Tsai</b:Last>
            <b:First>M.</b:First>
            <b:Middle>Y.</b:Middle>
          </b:Person>
          <b:Person>
            <b:Last>Oplinger</b:Last>
            <b:First>D.</b:First>
            <b:Middle>W.</b:Middle>
          </b:Person>
          <b:Person>
            <b:Last>Morton</b:Last>
            <b:First>J.</b:First>
          </b:Person>
        </b:NameList>
      </b:Author>
    </b:Author>
    <b:Title>Improved Theoretical Solutions for Adhesive Lap Joints</b:Title>
    <b:Year>1998</b:Year>
    <b:JournalName>International Journal of Solids and Structures</b:JournalName>
    <b:Pages>1163-1185</b:Pages>
    <b:Volume>35</b:Volume>
    <b:Issue>12</b:Issue>
    <b:RefOrder>30</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C7396749366023498AEDB361F82492A5" ma:contentTypeVersion="13" ma:contentTypeDescription="Create a new document." ma:contentTypeScope="" ma:versionID="05924284beef369003aa3955132aaa18">
  <xsd:schema xmlns:xsd="http://www.w3.org/2001/XMLSchema" xmlns:xs="http://www.w3.org/2001/XMLSchema" xmlns:p="http://schemas.microsoft.com/office/2006/metadata/properties" xmlns:ns3="f945af86-abd5-4c06-afcf-911acb3bd642" xmlns:ns4="a7a220c1-4d20-4864-8018-7fd4e8674bf8" targetNamespace="http://schemas.microsoft.com/office/2006/metadata/properties" ma:root="true" ma:fieldsID="ff586b637027015678dd44e295fec68d" ns3:_="" ns4:_="">
    <xsd:import namespace="f945af86-abd5-4c06-afcf-911acb3bd642"/>
    <xsd:import namespace="a7a220c1-4d20-4864-8018-7fd4e8674bf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AutoKeyPoints" minOccurs="0"/>
                <xsd:element ref="ns4:MediaServiceKeyPoints" minOccurs="0"/>
                <xsd:element ref="ns4:MediaServiceGenerationTime" minOccurs="0"/>
                <xsd:element ref="ns4:MediaServiceEventHashCode" minOccurs="0"/>
                <xsd:element ref="ns4:MediaServiceDateTake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45af86-abd5-4c06-afcf-911acb3bd642"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7a220c1-4d20-4864-8018-7fd4e8674bf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ACF6EE1-8825-4140-AEDD-D6261FF3405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F84BD8A-5DD1-4F80-9671-21424CE0CDFC}">
  <ds:schemaRefs>
    <ds:schemaRef ds:uri="http://schemas.openxmlformats.org/officeDocument/2006/bibliography"/>
  </ds:schemaRefs>
</ds:datastoreItem>
</file>

<file path=customXml/itemProps3.xml><?xml version="1.0" encoding="utf-8"?>
<ds:datastoreItem xmlns:ds="http://schemas.openxmlformats.org/officeDocument/2006/customXml" ds:itemID="{BE001AA6-5BE6-47F7-AB04-85124029DE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45af86-abd5-4c06-afcf-911acb3bd642"/>
    <ds:schemaRef ds:uri="a7a220c1-4d20-4864-8018-7fd4e8674b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BCEB16A-77ED-4103-8B25-AAF53DB6845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SAMPE Template.dot</Template>
  <TotalTime>32</TotalTime>
  <Pages>28</Pages>
  <Words>10057</Words>
  <Characters>176500</Characters>
  <Application>Microsoft Office Word</Application>
  <DocSecurity>0</DocSecurity>
  <Lines>1470</Lines>
  <Paragraphs>372</Paragraphs>
  <ScaleCrop>false</ScaleCrop>
  <Company>Honeywell FM&amp;T</Company>
  <LinksUpToDate>false</LinksUpToDate>
  <CharactersWithSpaces>186185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Owner</dc:creator>
  <cp:keywords/>
  <dc:description/>
  <cp:lastModifiedBy>Mathew Schey</cp:lastModifiedBy>
  <cp:revision>4</cp:revision>
  <cp:lastPrinted>2011-10-12T17:40:00Z</cp:lastPrinted>
  <dcterms:created xsi:type="dcterms:W3CDTF">2022-11-14T16:47:00Z</dcterms:created>
  <dcterms:modified xsi:type="dcterms:W3CDTF">2022-12-30T15:40:00Z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ZOTERO_PREF_1">
    <vt:lpwstr>&lt;data data-version="3" zotero-version="6.0.16"&gt;&lt;session id="F4lsSR1M"/&gt;&lt;style id="http://www.zotero.org/styles/ieee" locale="en-US" hasBibliography="1" bibliographyStyleHasBeenSet="1"/&gt;&lt;prefs&gt;&lt;pref name="fieldType" value="Field"/&gt;&lt;pref name="storeReferenc</vt:lpwstr>
  </property>
  <property fmtid="{D5CDD505-2E9C-101B-9397-08002B2CF9AE}" pid="4" name="ZOTERO_PREF_2">
    <vt:lpwstr>es" value="true"/&gt;&lt;/prefs&gt;&lt;/data&gt;</vt:lpwstr>
  </property>
  <property fmtid="{D5CDD505-2E9C-101B-9397-08002B2CF9AE}" pid="5" name="ContentTypeId">
    <vt:lpwstr>0x010100C7396749366023498AEDB361F82492A5</vt:lpwstr>
  </property>
</Properties>
</file>