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390F6" w14:textId="1576ECBE" w:rsidR="00677643" w:rsidRDefault="00636B9C">
      <w:pPr>
        <w:pStyle w:val="Title"/>
        <w:rPr>
          <w:rFonts w:ascii="Times New Roman" w:hAnsi="Times New Roman"/>
        </w:rPr>
      </w:pPr>
      <w:r w:rsidRPr="00636B9C">
        <w:rPr>
          <w:rFonts w:ascii="Times New Roman" w:hAnsi="Times New Roman"/>
        </w:rPr>
        <w:t>Effects of Defects Analysis and Sizing Framework for Efficient Design of Composite Structures</w:t>
      </w:r>
    </w:p>
    <w:p w14:paraId="546D0FE6" w14:textId="13F6CD1D" w:rsidR="00677643" w:rsidRPr="00B365ED" w:rsidRDefault="00636B9C" w:rsidP="000E622B">
      <w:pPr>
        <w:pStyle w:val="Authors"/>
      </w:pPr>
      <w:r>
        <w:t>August Noevere</w:t>
      </w:r>
      <w:r w:rsidR="001D70D4" w:rsidRPr="00B365ED">
        <w:t xml:space="preserve"> </w:t>
      </w:r>
      <w:r w:rsidR="00ED0592" w:rsidRPr="00B365ED">
        <w:br/>
      </w:r>
      <w:r>
        <w:t>Collier Aerospace</w:t>
      </w:r>
      <w:r w:rsidR="00ED0592" w:rsidRPr="00B365ED">
        <w:br/>
      </w:r>
      <w:r w:rsidRPr="00636B9C">
        <w:t>Newport News, VA 23606</w:t>
      </w:r>
    </w:p>
    <w:p w14:paraId="7707BEEC" w14:textId="77777777" w:rsidR="00677643" w:rsidRPr="00B365ED" w:rsidRDefault="00677643" w:rsidP="000E622B">
      <w:pPr>
        <w:pStyle w:val="AbstractTitle"/>
      </w:pPr>
      <w:r w:rsidRPr="00B365ED">
        <w:t>ABSTRACT</w:t>
      </w:r>
    </w:p>
    <w:p w14:paraId="4F3CC244" w14:textId="44309C1E" w:rsidR="00636B9C" w:rsidRDefault="00636B9C" w:rsidP="00636B9C">
      <w:pPr>
        <w:jc w:val="both"/>
      </w:pPr>
      <w:r>
        <w:t xml:space="preserve">Design of large composite structures requires striking a balance between permitted flaw size, strength margins, weight, and production rate. Stringent requirements </w:t>
      </w:r>
      <w:r w:rsidR="00800091">
        <w:t>manufacturing flaws</w:t>
      </w:r>
      <w:r>
        <w:t xml:space="preserve"> can result in a lightweight structure because the strength properties </w:t>
      </w:r>
      <w:r w:rsidR="00223AED">
        <w:t>are assumed to be</w:t>
      </w:r>
      <w:r>
        <w:t xml:space="preserve"> closer to pristine. However, these stringent requirements can lead to production delays due to increased inspection and rework needed during the layup and rejection of parts after cure. Conversely, permitting larger flaws can reduce production delays, but will likely result in a heavier structure due to increased conservatism needed to maintain acceptable structural margins. The tradeoff between these criteria can vary between different structures and material systems</w:t>
      </w:r>
      <w:r w:rsidR="00223AED">
        <w:t>, so the balance between manufacturing and design requirements is always a moving target</w:t>
      </w:r>
      <w:r>
        <w:t xml:space="preserve">. Assessment of this tradeoff requires having the ability to quickly evaluate the impact of flaw size on strength margin across an entire structure for a large number of load cases. The approach taken in this work is to implement an effects of defects analysis and sizing framework within HyperX. HyperX performs optimization of composite structures; this capability </w:t>
      </w:r>
      <w:r w:rsidR="00800091">
        <w:t>has been</w:t>
      </w:r>
      <w:r>
        <w:t xml:space="preserve"> enhanced to include structural flaw data in the margin of safety calculations performed during optimization. Both the flaw import process and analysis of flaws </w:t>
      </w:r>
      <w:r w:rsidR="00800091">
        <w:t>have been</w:t>
      </w:r>
      <w:r>
        <w:t xml:space="preserve"> generalized such that any flaw type from any source can be considered. The resulting tool enable</w:t>
      </w:r>
      <w:r w:rsidR="00800091">
        <w:t>s</w:t>
      </w:r>
      <w:r>
        <w:t xml:space="preserve"> rapid assessment of the impact of defects both at a vehicle and part level.</w:t>
      </w:r>
    </w:p>
    <w:p w14:paraId="7F3451CD" w14:textId="68F59480" w:rsidR="00677643" w:rsidRPr="00B365ED" w:rsidRDefault="00677643" w:rsidP="000E622B">
      <w:pPr>
        <w:pStyle w:val="Abstracttext"/>
      </w:pPr>
    </w:p>
    <w:p w14:paraId="25B5A615" w14:textId="0D400F0D" w:rsidR="000D3058" w:rsidRPr="00B365ED" w:rsidRDefault="000D3058" w:rsidP="000D3058">
      <w:pPr>
        <w:rPr>
          <w:color w:val="000000" w:themeColor="text1"/>
        </w:rPr>
      </w:pPr>
      <w:r w:rsidRPr="00B365ED">
        <w:rPr>
          <w:color w:val="000000" w:themeColor="text1"/>
        </w:rPr>
        <w:t>Keywords:</w:t>
      </w:r>
      <w:r w:rsidR="00BE6935">
        <w:rPr>
          <w:color w:val="000000" w:themeColor="text1"/>
        </w:rPr>
        <w:t xml:space="preserve"> Effects of Defects, Design for Manufacturing, Stress Analysis</w:t>
      </w:r>
    </w:p>
    <w:p w14:paraId="44DFFAC7" w14:textId="6CA80610" w:rsidR="000D3058" w:rsidRPr="00B365ED" w:rsidRDefault="000D3058" w:rsidP="000D3058">
      <w:pPr>
        <w:rPr>
          <w:color w:val="000000" w:themeColor="text1"/>
        </w:rPr>
      </w:pPr>
      <w:r w:rsidRPr="00B365ED">
        <w:rPr>
          <w:color w:val="000000" w:themeColor="text1"/>
        </w:rPr>
        <w:t>Corresponding author:</w:t>
      </w:r>
      <w:r w:rsidR="00BE6935" w:rsidRPr="00BE6935">
        <w:rPr>
          <w:color w:val="000000" w:themeColor="text1"/>
        </w:rPr>
        <w:t xml:space="preserve"> </w:t>
      </w:r>
      <w:r w:rsidR="00BE6935">
        <w:rPr>
          <w:color w:val="000000" w:themeColor="text1"/>
        </w:rPr>
        <w:t>August Noevere (August.Noevere@</w:t>
      </w:r>
      <w:r w:rsidR="00BE6935">
        <w:rPr>
          <w:color w:val="000000" w:themeColor="text1"/>
        </w:rPr>
        <w:t>CollierAerospace</w:t>
      </w:r>
      <w:r w:rsidR="00BE6935">
        <w:rPr>
          <w:color w:val="000000" w:themeColor="text1"/>
        </w:rPr>
        <w:t>.com)</w:t>
      </w:r>
    </w:p>
    <w:p w14:paraId="15331F3C" w14:textId="77777777" w:rsidR="00677643" w:rsidRPr="00B365ED" w:rsidRDefault="00677643">
      <w:pPr>
        <w:pStyle w:val="Heading1"/>
        <w:rPr>
          <w:rFonts w:ascii="Times New Roman" w:hAnsi="Times New Roman"/>
          <w:color w:val="000000" w:themeColor="text1"/>
        </w:rPr>
      </w:pPr>
      <w:r w:rsidRPr="00B365ED">
        <w:rPr>
          <w:rFonts w:ascii="Times New Roman" w:hAnsi="Times New Roman"/>
          <w:color w:val="000000" w:themeColor="text1"/>
        </w:rPr>
        <w:t>INTRODUCTION</w:t>
      </w:r>
    </w:p>
    <w:p w14:paraId="6541FAB7" w14:textId="698F4BB2" w:rsidR="00677643" w:rsidRDefault="00223AED" w:rsidP="000E622B">
      <w:pPr>
        <w:pStyle w:val="BodyText"/>
      </w:pPr>
      <w:r>
        <w:t>Accounting for manufacturing defects and damage in composites remains a significant hurdle in realizing the full advantage in strength-to-weight ratio of composites compared to metallics</w:t>
      </w:r>
      <w:r w:rsidR="002D6CAB">
        <w:t xml:space="preserve"> </w:t>
      </w:r>
      <w:r w:rsidR="002D6CAB">
        <w:fldChar w:fldCharType="begin"/>
      </w:r>
      <w:r w:rsidR="002D6CAB">
        <w:instrText xml:space="preserve"> REF _Ref123806058 \h </w:instrText>
      </w:r>
      <w:r w:rsidR="002D6CAB">
        <w:fldChar w:fldCharType="separate"/>
      </w:r>
      <w:r w:rsidR="00BA1812">
        <w:t>[</w:t>
      </w:r>
      <w:r w:rsidR="00BA1812">
        <w:rPr>
          <w:noProof/>
        </w:rPr>
        <w:t>1</w:t>
      </w:r>
      <w:r w:rsidR="002D6CAB">
        <w:fldChar w:fldCharType="end"/>
      </w:r>
      <w:r w:rsidR="002D6CAB">
        <w:t>]</w:t>
      </w:r>
      <w:r>
        <w:t xml:space="preserve">. </w:t>
      </w:r>
      <w:r w:rsidR="002D6CAB">
        <w:t>Conservative</w:t>
      </w:r>
      <w:r>
        <w:t xml:space="preserve"> properties are </w:t>
      </w:r>
      <w:r w:rsidR="002D6CAB">
        <w:t xml:space="preserve">often </w:t>
      </w:r>
      <w:r>
        <w:t xml:space="preserve">used for material strength based on manufacturing capabilities and damage that is expected </w:t>
      </w:r>
      <w:r w:rsidR="00DE7DD5">
        <w:t>while the structure is in service</w:t>
      </w:r>
      <w:r w:rsidR="006D1764">
        <w:t xml:space="preserve"> </w:t>
      </w:r>
      <w:r w:rsidR="006D1764">
        <w:fldChar w:fldCharType="begin"/>
      </w:r>
      <w:r w:rsidR="006D1764">
        <w:instrText xml:space="preserve"> REF _Ref123806448 \h </w:instrText>
      </w:r>
      <w:r w:rsidR="006D1764">
        <w:fldChar w:fldCharType="separate"/>
      </w:r>
      <w:r w:rsidR="00BA1812">
        <w:t>[</w:t>
      </w:r>
      <w:r w:rsidR="00BA1812">
        <w:rPr>
          <w:noProof/>
        </w:rPr>
        <w:t>2</w:t>
      </w:r>
      <w:r w:rsidR="006D1764">
        <w:fldChar w:fldCharType="end"/>
      </w:r>
      <w:r w:rsidR="006D1764">
        <w:t>]</w:t>
      </w:r>
      <w:r w:rsidR="00DE7DD5">
        <w:t xml:space="preserve">. This can result in mass penalties if the defects or damage </w:t>
      </w:r>
      <w:r w:rsidR="00375905">
        <w:t>occur</w:t>
      </w:r>
      <w:r w:rsidR="00DE7DD5">
        <w:t xml:space="preserve"> in parts of the structure that are not as highly loaded. Conversely, it is possible that parts of the structure where defects occur more frequently may not always be strength-driven, and it would be possible to relax</w:t>
      </w:r>
      <w:r w:rsidR="00375905">
        <w:t xml:space="preserve"> manufacturing</w:t>
      </w:r>
      <w:r w:rsidR="00DE7DD5">
        <w:t xml:space="preserve"> defect requirements in those areas.</w:t>
      </w:r>
    </w:p>
    <w:p w14:paraId="3461E76D" w14:textId="2C565D37" w:rsidR="00CF357F" w:rsidRDefault="001D5E17" w:rsidP="000E622B">
      <w:pPr>
        <w:pStyle w:val="BodyText"/>
      </w:pPr>
      <w:r>
        <w:t>Mapping</w:t>
      </w:r>
      <w:r w:rsidR="00CF357F">
        <w:t xml:space="preserve"> and analysis of</w:t>
      </w:r>
      <w:r>
        <w:t xml:space="preserve"> Automated Fiber Placement</w:t>
      </w:r>
      <w:r w:rsidR="00CF357F">
        <w:t xml:space="preserve"> </w:t>
      </w:r>
      <w:r>
        <w:t>(</w:t>
      </w:r>
      <w:r w:rsidR="00CF357F">
        <w:t>AFP</w:t>
      </w:r>
      <w:r>
        <w:t>)</w:t>
      </w:r>
      <w:r w:rsidR="00CF357F">
        <w:t xml:space="preserve"> defects has been studie</w:t>
      </w:r>
      <w:r>
        <w:t>d by the authors previously in references</w:t>
      </w:r>
      <w:r w:rsidR="00F20C1E">
        <w:t xml:space="preserve"> </w:t>
      </w:r>
      <w:r w:rsidR="00F20C1E">
        <w:fldChar w:fldCharType="begin"/>
      </w:r>
      <w:r w:rsidR="00F20C1E">
        <w:instrText xml:space="preserve"> REF _Ref123806890 \h </w:instrText>
      </w:r>
      <w:r w:rsidR="00F20C1E">
        <w:fldChar w:fldCharType="separate"/>
      </w:r>
      <w:r w:rsidR="00BA1812">
        <w:t>[</w:t>
      </w:r>
      <w:r w:rsidR="00BA1812">
        <w:rPr>
          <w:noProof/>
        </w:rPr>
        <w:t>3</w:t>
      </w:r>
      <w:r w:rsidR="00F20C1E">
        <w:fldChar w:fldCharType="end"/>
      </w:r>
      <w:r w:rsidR="00F20C1E">
        <w:t xml:space="preserve">], </w:t>
      </w:r>
      <w:r w:rsidR="00F20C1E">
        <w:fldChar w:fldCharType="begin"/>
      </w:r>
      <w:r w:rsidR="00F20C1E">
        <w:instrText xml:space="preserve"> REF _Ref123806891 \h </w:instrText>
      </w:r>
      <w:r w:rsidR="00F20C1E">
        <w:fldChar w:fldCharType="separate"/>
      </w:r>
      <w:r w:rsidR="00BA1812">
        <w:t>[</w:t>
      </w:r>
      <w:r w:rsidR="00BA1812">
        <w:rPr>
          <w:noProof/>
        </w:rPr>
        <w:t>4</w:t>
      </w:r>
      <w:r w:rsidR="00F20C1E">
        <w:fldChar w:fldCharType="end"/>
      </w:r>
      <w:r w:rsidR="00F20C1E">
        <w:t xml:space="preserve">], and </w:t>
      </w:r>
      <w:r w:rsidR="00F20C1E">
        <w:fldChar w:fldCharType="begin"/>
      </w:r>
      <w:r w:rsidR="00F20C1E">
        <w:instrText xml:space="preserve"> REF _Ref123806893 \h </w:instrText>
      </w:r>
      <w:r w:rsidR="00F20C1E">
        <w:fldChar w:fldCharType="separate"/>
      </w:r>
      <w:r w:rsidR="00BA1812">
        <w:t>[</w:t>
      </w:r>
      <w:r w:rsidR="00BA1812">
        <w:rPr>
          <w:noProof/>
        </w:rPr>
        <w:t>5</w:t>
      </w:r>
      <w:r w:rsidR="00F20C1E">
        <w:fldChar w:fldCharType="end"/>
      </w:r>
      <w:r w:rsidR="00F20C1E">
        <w:t>]</w:t>
      </w:r>
      <w:r>
        <w:t xml:space="preserve">. A process was developed to extract fiber directions, overlaps and gaps, and tow wrinkling from VCP and COMPRO simulations. However, </w:t>
      </w:r>
      <w:r>
        <w:lastRenderedPageBreak/>
        <w:t xml:space="preserve">the mapping process and analysis methods were restricted to </w:t>
      </w:r>
      <w:r w:rsidR="00375905">
        <w:t xml:space="preserve">defect types and </w:t>
      </w:r>
      <w:r>
        <w:t>data formats used only by those tools.</w:t>
      </w:r>
    </w:p>
    <w:p w14:paraId="106F2259" w14:textId="1F2061EA" w:rsidR="00DE7DD5" w:rsidRDefault="00DE7DD5" w:rsidP="000E622B">
      <w:pPr>
        <w:pStyle w:val="BodyText"/>
      </w:pPr>
      <w:r>
        <w:t xml:space="preserve">The approach taken in this work is to create a defect analysis framework that makes it possible to assess the impact of defects and damage </w:t>
      </w:r>
      <w:r w:rsidR="001D5E17">
        <w:t xml:space="preserve">from </w:t>
      </w:r>
      <w:r w:rsidR="001D5E17" w:rsidRPr="001D5E17">
        <w:rPr>
          <w:i/>
          <w:iCs/>
        </w:rPr>
        <w:t>any</w:t>
      </w:r>
      <w:r w:rsidR="001D5E17">
        <w:t xml:space="preserve"> source </w:t>
      </w:r>
      <w:r w:rsidRPr="001D5E17">
        <w:t>on</w:t>
      </w:r>
      <w:r>
        <w:t xml:space="preserve"> a case-by-case basis to avoid over-conservatism from both a mass and manufacturing perspective.</w:t>
      </w:r>
      <w:r w:rsidR="009524AB">
        <w:t xml:space="preserve"> </w:t>
      </w:r>
      <w:r w:rsidR="00E525D5">
        <w:t>Achieving this capability</w:t>
      </w:r>
      <w:r w:rsidR="009524AB">
        <w:t xml:space="preserve"> requires an analysis framework with defect data, the structural design, and loads co-located on the same model.</w:t>
      </w:r>
      <w:r w:rsidR="00E525D5">
        <w:t xml:space="preserve"> T</w:t>
      </w:r>
      <w:r w:rsidR="00375905">
        <w:t>raditionally, t</w:t>
      </w:r>
      <w:r w:rsidR="00E525D5">
        <w:t>his information is often spread across multiple software and files; the first challenge is to import and map all of this data onto the same model. The second challenge is to provide generalized analysis tools to allow any type of defect or damage to be accounted for</w:t>
      </w:r>
      <w:r w:rsidR="00653D0F">
        <w:t xml:space="preserve"> in analysis</w:t>
      </w:r>
      <w:r w:rsidR="00E525D5">
        <w:t xml:space="preserve">. This framework is outlined in </w:t>
      </w:r>
      <w:r w:rsidR="00E525D5">
        <w:fldChar w:fldCharType="begin"/>
      </w:r>
      <w:r w:rsidR="00E525D5">
        <w:instrText xml:space="preserve"> REF _Ref123563426 \h </w:instrText>
      </w:r>
      <w:r w:rsidR="00E525D5">
        <w:fldChar w:fldCharType="separate"/>
      </w:r>
      <w:r w:rsidR="00BA1812">
        <w:t xml:space="preserve">Figure </w:t>
      </w:r>
      <w:r w:rsidR="00BA1812">
        <w:rPr>
          <w:noProof/>
        </w:rPr>
        <w:t>1</w:t>
      </w:r>
      <w:r w:rsidR="00E525D5">
        <w:fldChar w:fldCharType="end"/>
      </w:r>
      <w:r w:rsidR="00E525D5">
        <w:t>.</w:t>
      </w:r>
    </w:p>
    <w:p w14:paraId="25F6516F" w14:textId="77777777" w:rsidR="00CD6D7A" w:rsidRDefault="00A752DB" w:rsidP="00CD6D7A">
      <w:pPr>
        <w:pStyle w:val="BodyText"/>
        <w:keepNext/>
        <w:jc w:val="center"/>
      </w:pPr>
      <w:r>
        <w:rPr>
          <w:noProof/>
        </w:rPr>
        <w:drawing>
          <wp:inline distT="0" distB="0" distL="0" distR="0" wp14:anchorId="31B5524B" wp14:editId="53969125">
            <wp:extent cx="5019675" cy="416429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7610" cy="4170875"/>
                    </a:xfrm>
                    <a:prstGeom prst="rect">
                      <a:avLst/>
                    </a:prstGeom>
                  </pic:spPr>
                </pic:pic>
              </a:graphicData>
            </a:graphic>
          </wp:inline>
        </w:drawing>
      </w:r>
    </w:p>
    <w:p w14:paraId="5825F438" w14:textId="6B560DC5" w:rsidR="00A752DB" w:rsidRDefault="00CD6D7A" w:rsidP="00CD6D7A">
      <w:pPr>
        <w:pStyle w:val="Caption"/>
        <w:jc w:val="center"/>
      </w:pPr>
      <w:bookmarkStart w:id="0" w:name="_Ref123563426"/>
      <w:r>
        <w:t xml:space="preserve">Figure </w:t>
      </w:r>
      <w:r>
        <w:fldChar w:fldCharType="begin"/>
      </w:r>
      <w:r>
        <w:instrText xml:space="preserve"> SEQ Figure \* ARABIC </w:instrText>
      </w:r>
      <w:r>
        <w:fldChar w:fldCharType="separate"/>
      </w:r>
      <w:r w:rsidR="00BA1812">
        <w:rPr>
          <w:noProof/>
        </w:rPr>
        <w:t>1</w:t>
      </w:r>
      <w:r>
        <w:fldChar w:fldCharType="end"/>
      </w:r>
      <w:bookmarkEnd w:id="0"/>
      <w:r>
        <w:t>. Effects of defects analysis framework.</w:t>
      </w:r>
    </w:p>
    <w:p w14:paraId="7C2E5A60" w14:textId="4674E4EC" w:rsidR="00766F9F" w:rsidRDefault="00766F9F" w:rsidP="00766F9F">
      <w:pPr>
        <w:jc w:val="both"/>
      </w:pPr>
      <w:r>
        <w:t>The framework is comprised of three main areas:</w:t>
      </w:r>
    </w:p>
    <w:p w14:paraId="0D7EFF37" w14:textId="5C118D69" w:rsidR="00766F9F" w:rsidRDefault="00766F9F" w:rsidP="00766F9F">
      <w:pPr>
        <w:jc w:val="both"/>
      </w:pPr>
    </w:p>
    <w:p w14:paraId="286AEA56" w14:textId="3F5E433C" w:rsidR="00766F9F" w:rsidRDefault="00766F9F" w:rsidP="00766F9F">
      <w:pPr>
        <w:pStyle w:val="ListParagraph"/>
        <w:numPr>
          <w:ilvl w:val="0"/>
          <w:numId w:val="37"/>
        </w:numPr>
        <w:jc w:val="both"/>
      </w:pPr>
      <w:r w:rsidRPr="00D66FF8">
        <w:rPr>
          <w:b/>
          <w:bCs/>
        </w:rPr>
        <w:t>Structural design and loads</w:t>
      </w:r>
      <w:r>
        <w:t>.</w:t>
      </w:r>
      <w:r w:rsidR="00D66FF8">
        <w:t xml:space="preserve"> Performing stress analysis requires having a representation of the structural design stored on the </w:t>
      </w:r>
      <w:r w:rsidR="00D66FF8">
        <w:t>Finite Element Model (FEM)</w:t>
      </w:r>
      <w:r w:rsidR="00D66FF8">
        <w:t xml:space="preserve">, as well as </w:t>
      </w:r>
      <w:r w:rsidR="00D66FF8">
        <w:t xml:space="preserve">Finite Element Analysis (FEA) </w:t>
      </w:r>
      <w:r w:rsidR="00D66FF8">
        <w:t>loads that are used to derive internal stresses and strains in the structure.</w:t>
      </w:r>
    </w:p>
    <w:p w14:paraId="6BE2430F" w14:textId="5476139B" w:rsidR="00766F9F" w:rsidRDefault="00766F9F" w:rsidP="00766F9F">
      <w:pPr>
        <w:pStyle w:val="ListParagraph"/>
        <w:numPr>
          <w:ilvl w:val="0"/>
          <w:numId w:val="37"/>
        </w:numPr>
        <w:jc w:val="both"/>
      </w:pPr>
      <w:r w:rsidRPr="00CA58CF">
        <w:rPr>
          <w:b/>
          <w:bCs/>
        </w:rPr>
        <w:t>Analysis plugins</w:t>
      </w:r>
      <w:r>
        <w:t xml:space="preserve">. </w:t>
      </w:r>
      <w:r w:rsidR="00CA58CF">
        <w:t xml:space="preserve">Analysis of defects and their effect on composite strength remains a highly studied area and the approach varies widely between material system, structure, and </w:t>
      </w:r>
      <w:r w:rsidR="00CA58CF">
        <w:lastRenderedPageBreak/>
        <w:t>manufacturer. Therefore, it is important to have a modular analysis tool, where the analysis method can easily be swapped or modified.</w:t>
      </w:r>
    </w:p>
    <w:p w14:paraId="5BE16A29" w14:textId="60D4D558" w:rsidR="00766F9F" w:rsidRDefault="00766F9F" w:rsidP="00766F9F">
      <w:pPr>
        <w:pStyle w:val="ListParagraph"/>
        <w:numPr>
          <w:ilvl w:val="0"/>
          <w:numId w:val="37"/>
        </w:numPr>
        <w:jc w:val="both"/>
      </w:pPr>
      <w:r w:rsidRPr="00CA58CF">
        <w:rPr>
          <w:b/>
          <w:bCs/>
        </w:rPr>
        <w:t xml:space="preserve">Defect </w:t>
      </w:r>
      <w:r w:rsidR="00CA58CF">
        <w:rPr>
          <w:b/>
          <w:bCs/>
        </w:rPr>
        <w:t>d</w:t>
      </w:r>
      <w:r w:rsidRPr="00CA58CF">
        <w:rPr>
          <w:b/>
          <w:bCs/>
        </w:rPr>
        <w:t>ata</w:t>
      </w:r>
      <w:r>
        <w:t>. This data can come from multiple sources and formats, and can potentially have thousands of data entries per structure.</w:t>
      </w:r>
      <w:r w:rsidR="00CA58CF">
        <w:t xml:space="preserve"> Automated tools are needed to efficiently manage the data and map it to the analysis model. </w:t>
      </w:r>
    </w:p>
    <w:p w14:paraId="00EA16D4" w14:textId="77777777" w:rsidR="00766F9F" w:rsidRDefault="00766F9F" w:rsidP="00766F9F">
      <w:pPr>
        <w:jc w:val="both"/>
      </w:pPr>
    </w:p>
    <w:p w14:paraId="5E32A96F" w14:textId="7742A803" w:rsidR="00653D0F" w:rsidRPr="00653D0F" w:rsidRDefault="00653D0F" w:rsidP="00766F9F">
      <w:pPr>
        <w:jc w:val="both"/>
      </w:pPr>
      <w:r>
        <w:t>The stress analysis and structural sizing tool HyperX was used as the basis of the defect analysis</w:t>
      </w:r>
      <w:r w:rsidR="00766F9F">
        <w:t xml:space="preserve"> framework. HyperX uses a </w:t>
      </w:r>
      <w:r w:rsidR="00D66FF8">
        <w:t xml:space="preserve">FEM </w:t>
      </w:r>
      <w:r w:rsidR="00766F9F">
        <w:t xml:space="preserve">and </w:t>
      </w:r>
      <w:r w:rsidR="00D66FF8">
        <w:t xml:space="preserve">FEA </w:t>
      </w:r>
      <w:r w:rsidR="00766F9F">
        <w:t xml:space="preserve">results to analyze structures with typical aerospace stress analysis </w:t>
      </w:r>
      <w:r w:rsidR="00375905">
        <w:t>methods</w:t>
      </w:r>
      <w:r w:rsidR="00766F9F">
        <w:t>, and can then size the thickness and dimensions of the structures to minimize weight while meeting strength and stability requirements.</w:t>
      </w:r>
      <w:r w:rsidR="00AF5D64">
        <w:t xml:space="preserve"> Being a FEM-based tool, significant work was needed to import, map, and manage defect data, as described in the next section. </w:t>
      </w:r>
    </w:p>
    <w:p w14:paraId="2F13505E" w14:textId="7077A8EF" w:rsidR="00677643" w:rsidRDefault="005A46A4">
      <w:pPr>
        <w:pStyle w:val="Heading1"/>
        <w:rPr>
          <w:rFonts w:ascii="Times New Roman" w:hAnsi="Times New Roman"/>
          <w:color w:val="000000" w:themeColor="text1"/>
        </w:rPr>
      </w:pPr>
      <w:r>
        <w:rPr>
          <w:rFonts w:ascii="Times New Roman" w:hAnsi="Times New Roman"/>
          <w:color w:val="000000" w:themeColor="text1"/>
        </w:rPr>
        <w:t>Defect Mapping</w:t>
      </w:r>
    </w:p>
    <w:p w14:paraId="3998C5B2" w14:textId="3DD868B2" w:rsidR="00DE7DD5" w:rsidRDefault="00AF5D64" w:rsidP="00DE7DD5">
      <w:pPr>
        <w:pStyle w:val="BodyText"/>
      </w:pPr>
      <w:r>
        <w:t>While the current work is primarily focused on defects, the same framework will be equally applicable to composite damage that can be quantified and located on the structure</w:t>
      </w:r>
      <w:r w:rsidR="006C00B9">
        <w:t xml:space="preserve"> in 3D space</w:t>
      </w:r>
      <w:r>
        <w:t xml:space="preserve">. </w:t>
      </w:r>
      <w:r w:rsidR="006C00B9">
        <w:t>Defect and damage data can come from a variety of sources, including scans from Non-Destructive Evaluation (NDE) of completed parts, in-situ inspections during manufacturing (automated or manual), or even manufacturing process simulations. This data is often stored as a point cloud with data associated with each point</w:t>
      </w:r>
      <w:r w:rsidR="00911952">
        <w:t xml:space="preserve"> </w:t>
      </w:r>
      <w:r w:rsidR="00911952">
        <w:rPr>
          <w:highlight w:val="yellow"/>
        </w:rPr>
        <w:fldChar w:fldCharType="begin"/>
      </w:r>
      <w:r w:rsidR="00911952">
        <w:instrText xml:space="preserve"> REF _Ref123806893 \h </w:instrText>
      </w:r>
      <w:r w:rsidR="00911952">
        <w:rPr>
          <w:highlight w:val="yellow"/>
        </w:rPr>
      </w:r>
      <w:r w:rsidR="00911952">
        <w:rPr>
          <w:highlight w:val="yellow"/>
        </w:rPr>
        <w:fldChar w:fldCharType="separate"/>
      </w:r>
      <w:r w:rsidR="00BA1812">
        <w:t>[</w:t>
      </w:r>
      <w:r w:rsidR="00BA1812">
        <w:rPr>
          <w:noProof/>
        </w:rPr>
        <w:t>5</w:t>
      </w:r>
      <w:r w:rsidR="00911952">
        <w:rPr>
          <w:highlight w:val="yellow"/>
        </w:rPr>
        <w:fldChar w:fldCharType="end"/>
      </w:r>
      <w:r w:rsidR="00911952">
        <w:t>]</w:t>
      </w:r>
      <w:r w:rsidR="006C00B9">
        <w:t xml:space="preserve">. Some </w:t>
      </w:r>
      <w:r w:rsidR="00911952">
        <w:t xml:space="preserve">scanning </w:t>
      </w:r>
      <w:r w:rsidR="006C00B9">
        <w:t>systems are also able to record the footprint of a defect as a surface patch</w:t>
      </w:r>
      <w:r w:rsidR="007B3F96">
        <w:t xml:space="preserve"> </w:t>
      </w:r>
      <w:r w:rsidR="007B3F96">
        <w:rPr>
          <w:highlight w:val="yellow"/>
        </w:rPr>
        <w:fldChar w:fldCharType="begin"/>
      </w:r>
      <w:r w:rsidR="007B3F96">
        <w:instrText xml:space="preserve"> REF _Ref123814050 \h </w:instrText>
      </w:r>
      <w:r w:rsidR="007B3F96">
        <w:rPr>
          <w:highlight w:val="yellow"/>
        </w:rPr>
      </w:r>
      <w:r w:rsidR="007B3F96">
        <w:rPr>
          <w:highlight w:val="yellow"/>
        </w:rPr>
        <w:fldChar w:fldCharType="separate"/>
      </w:r>
      <w:r w:rsidR="00BA1812">
        <w:t>[</w:t>
      </w:r>
      <w:r w:rsidR="00BA1812">
        <w:rPr>
          <w:noProof/>
        </w:rPr>
        <w:t>6</w:t>
      </w:r>
      <w:r w:rsidR="007B3F96">
        <w:rPr>
          <w:highlight w:val="yellow"/>
        </w:rPr>
        <w:fldChar w:fldCharType="end"/>
      </w:r>
      <w:r w:rsidR="007B3F96">
        <w:t>]</w:t>
      </w:r>
      <w:r w:rsidR="006C00B9">
        <w:t>.</w:t>
      </w:r>
      <w:r w:rsidR="001D744D">
        <w:t xml:space="preserve"> D</w:t>
      </w:r>
      <w:r w:rsidR="006C00B9">
        <w:t xml:space="preserve">efects from </w:t>
      </w:r>
      <w:r w:rsidR="005E3266">
        <w:t>a manufacturing process simulation can be represented by points, surfaces, or even solid geometry</w:t>
      </w:r>
      <w:r w:rsidR="00BA1812">
        <w:t xml:space="preserve"> </w:t>
      </w:r>
      <w:r w:rsidR="00BA1812">
        <w:fldChar w:fldCharType="begin"/>
      </w:r>
      <w:r w:rsidR="00BA1812">
        <w:instrText xml:space="preserve"> REF _Ref123817955 \h </w:instrText>
      </w:r>
      <w:r w:rsidR="00BA1812">
        <w:fldChar w:fldCharType="separate"/>
      </w:r>
      <w:r w:rsidR="00BA1812">
        <w:t>[</w:t>
      </w:r>
      <w:r w:rsidR="00BA1812">
        <w:rPr>
          <w:noProof/>
        </w:rPr>
        <w:t>7</w:t>
      </w:r>
      <w:r w:rsidR="00BA1812">
        <w:fldChar w:fldCharType="end"/>
      </w:r>
      <w:r w:rsidR="00BA1812">
        <w:t>]</w:t>
      </w:r>
      <w:r w:rsidR="00BA1812">
        <w:fldChar w:fldCharType="begin"/>
      </w:r>
      <w:r w:rsidR="00BA1812">
        <w:instrText xml:space="preserve"> REF _Ref123817957 \h </w:instrText>
      </w:r>
      <w:r w:rsidR="00BA1812">
        <w:fldChar w:fldCharType="separate"/>
      </w:r>
      <w:r w:rsidR="00BA1812">
        <w:t>[</w:t>
      </w:r>
      <w:r w:rsidR="00BA1812">
        <w:rPr>
          <w:noProof/>
        </w:rPr>
        <w:t>8</w:t>
      </w:r>
      <w:r w:rsidR="00BA1812">
        <w:fldChar w:fldCharType="end"/>
      </w:r>
      <w:r w:rsidR="00BA1812">
        <w:t>]</w:t>
      </w:r>
      <w:r w:rsidR="00BA1812">
        <w:fldChar w:fldCharType="begin"/>
      </w:r>
      <w:r w:rsidR="00BA1812">
        <w:instrText xml:space="preserve"> REF _Ref123817958 \h </w:instrText>
      </w:r>
      <w:r w:rsidR="00BA1812">
        <w:fldChar w:fldCharType="separate"/>
      </w:r>
      <w:r w:rsidR="00BA1812">
        <w:t>[</w:t>
      </w:r>
      <w:r w:rsidR="00BA1812">
        <w:rPr>
          <w:noProof/>
        </w:rPr>
        <w:t>9</w:t>
      </w:r>
      <w:r w:rsidR="00BA1812">
        <w:fldChar w:fldCharType="end"/>
      </w:r>
      <w:r w:rsidR="00BA1812">
        <w:t>]</w:t>
      </w:r>
      <w:r w:rsidR="00BA1812">
        <w:fldChar w:fldCharType="begin"/>
      </w:r>
      <w:r w:rsidR="00BA1812">
        <w:instrText xml:space="preserve"> REF _Ref123817959 \h </w:instrText>
      </w:r>
      <w:r w:rsidR="00BA1812">
        <w:fldChar w:fldCharType="separate"/>
      </w:r>
      <w:r w:rsidR="00BA1812">
        <w:t>[</w:t>
      </w:r>
      <w:r w:rsidR="00BA1812">
        <w:rPr>
          <w:noProof/>
        </w:rPr>
        <w:t>10</w:t>
      </w:r>
      <w:r w:rsidR="00BA1812">
        <w:fldChar w:fldCharType="end"/>
      </w:r>
      <w:r w:rsidR="00BA1812">
        <w:t>]</w:t>
      </w:r>
      <w:r w:rsidR="005E3266">
        <w:t>.</w:t>
      </w:r>
    </w:p>
    <w:p w14:paraId="253BD419" w14:textId="711815ED" w:rsidR="0033356D" w:rsidRDefault="0033356D" w:rsidP="0033356D">
      <w:pPr>
        <w:pStyle w:val="Heading2"/>
      </w:pPr>
      <w:r>
        <w:t>Data Import</w:t>
      </w:r>
    </w:p>
    <w:p w14:paraId="5D2043E4" w14:textId="091D0B6C" w:rsidR="00C85F21" w:rsidRDefault="00C85F21" w:rsidP="00DE7DD5">
      <w:pPr>
        <w:pStyle w:val="BodyText"/>
      </w:pPr>
      <w:r>
        <w:t xml:space="preserve">A generic data import process was developed for the framework to account for all of the possible scenarios and formats described above. The defect import </w:t>
      </w:r>
      <w:r w:rsidR="00993FC9">
        <w:t>consists of two parts: a geometry file and a defect data file. The geometry file is a CAD format and contains points, surfaces, or solid geometry. The defect data file contains a list of defects that reference the entities in the geometry file. Each entry in this file can contain any number of attributes associated with the defect, such as height or aspect ratio of AFP tow wrinkles, porosity content of a cured laminate, etc.</w:t>
      </w:r>
      <w:r w:rsidR="005020FE">
        <w:t xml:space="preserve"> </w:t>
      </w:r>
      <w:r w:rsidR="00DA5ADA">
        <w:t xml:space="preserve">Additionally, defects can be grouped into user-defined categories. </w:t>
      </w:r>
      <w:r w:rsidR="005020FE">
        <w:t xml:space="preserve">The import process is indicated in </w:t>
      </w:r>
      <w:r w:rsidR="00DA5ADA">
        <w:fldChar w:fldCharType="begin"/>
      </w:r>
      <w:r w:rsidR="00DA5ADA">
        <w:instrText xml:space="preserve"> REF _Ref123641683 \h </w:instrText>
      </w:r>
      <w:r w:rsidR="00DA5ADA">
        <w:fldChar w:fldCharType="separate"/>
      </w:r>
      <w:r w:rsidR="00BA1812">
        <w:t xml:space="preserve">Figure </w:t>
      </w:r>
      <w:r w:rsidR="00BA1812">
        <w:rPr>
          <w:noProof/>
        </w:rPr>
        <w:t>2</w:t>
      </w:r>
      <w:r w:rsidR="00DA5ADA">
        <w:fldChar w:fldCharType="end"/>
      </w:r>
      <w:r w:rsidR="00DA5ADA">
        <w:t xml:space="preserve">. </w:t>
      </w:r>
    </w:p>
    <w:p w14:paraId="04E49BA1" w14:textId="77777777" w:rsidR="00DA5ADA" w:rsidRDefault="00DA5ADA" w:rsidP="00DA5ADA">
      <w:pPr>
        <w:pStyle w:val="BodyText"/>
        <w:keepNext/>
      </w:pPr>
      <w:r>
        <w:rPr>
          <w:noProof/>
        </w:rPr>
        <w:lastRenderedPageBreak/>
        <w:drawing>
          <wp:inline distT="0" distB="0" distL="0" distR="0" wp14:anchorId="48784EC7" wp14:editId="7211807D">
            <wp:extent cx="5943600" cy="28162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816225"/>
                    </a:xfrm>
                    <a:prstGeom prst="rect">
                      <a:avLst/>
                    </a:prstGeom>
                  </pic:spPr>
                </pic:pic>
              </a:graphicData>
            </a:graphic>
          </wp:inline>
        </w:drawing>
      </w:r>
    </w:p>
    <w:p w14:paraId="3ED9A4C6" w14:textId="6AB730ED" w:rsidR="00DA5ADA" w:rsidRDefault="00DA5ADA" w:rsidP="00DA5ADA">
      <w:pPr>
        <w:pStyle w:val="Caption"/>
        <w:jc w:val="center"/>
      </w:pPr>
      <w:bookmarkStart w:id="1" w:name="_Ref123641683"/>
      <w:r>
        <w:t xml:space="preserve">Figure </w:t>
      </w:r>
      <w:r>
        <w:fldChar w:fldCharType="begin"/>
      </w:r>
      <w:r>
        <w:instrText xml:space="preserve"> SEQ Figure \* ARABIC </w:instrText>
      </w:r>
      <w:r>
        <w:fldChar w:fldCharType="separate"/>
      </w:r>
      <w:r w:rsidR="00BA1812">
        <w:rPr>
          <w:noProof/>
        </w:rPr>
        <w:t>2</w:t>
      </w:r>
      <w:r>
        <w:fldChar w:fldCharType="end"/>
      </w:r>
      <w:bookmarkEnd w:id="1"/>
      <w:r>
        <w:t>. Defect import process.</w:t>
      </w:r>
    </w:p>
    <w:p w14:paraId="5BE8188A" w14:textId="191FF488" w:rsidR="00DA5ADA" w:rsidRPr="00DA5ADA" w:rsidRDefault="00DA5ADA" w:rsidP="00DA5ADA">
      <w:r>
        <w:t xml:space="preserve">The end result is a </w:t>
      </w:r>
      <w:r w:rsidR="00CF357F">
        <w:t>series of defect definitions in HyperX corresponding to each of the entries in the defect data file. Each of these definitions contains the defect information and is linked to the CAD geometry associated with the defect.</w:t>
      </w:r>
    </w:p>
    <w:p w14:paraId="69B79AF6" w14:textId="21BD0B38" w:rsidR="0033356D" w:rsidRDefault="0033356D" w:rsidP="0033356D">
      <w:pPr>
        <w:pStyle w:val="Heading2"/>
      </w:pPr>
      <w:r>
        <w:t>Mapping</w:t>
      </w:r>
    </w:p>
    <w:p w14:paraId="2CEB05D8" w14:textId="1AB939E4" w:rsidR="005E3266" w:rsidRDefault="005E3266" w:rsidP="00DE7DD5">
      <w:pPr>
        <w:pStyle w:val="BodyText"/>
      </w:pPr>
      <w:r>
        <w:t xml:space="preserve">Regardless of the source, the defect or damage data usually does not originate from the same FEM that is used for stress analysis. The defects must be associated </w:t>
      </w:r>
      <w:r w:rsidR="00C85F21">
        <w:t xml:space="preserve">to individual elements in the FEM for analysis, since loads and analysis </w:t>
      </w:r>
      <w:r w:rsidR="0033356D">
        <w:t xml:space="preserve">results are tracked </w:t>
      </w:r>
      <w:r w:rsidR="00C85F21">
        <w:t>on a per-element basis.</w:t>
      </w:r>
      <w:r>
        <w:t xml:space="preserve"> </w:t>
      </w:r>
      <w:r w:rsidR="008F5C42">
        <w:t xml:space="preserve">This requires a mapping process to project points, surfaces, and solid geometry onto the FEM. </w:t>
      </w:r>
    </w:p>
    <w:p w14:paraId="4EEE9C4B" w14:textId="67B37156" w:rsidR="008F5C42" w:rsidRDefault="008F5C42" w:rsidP="00DE7DD5">
      <w:pPr>
        <w:pStyle w:val="BodyText"/>
      </w:pPr>
      <w:r>
        <w:t xml:space="preserve">Mapping of points is straightforward since the FEM is essentially comprised of many individual planes. The mapping process simply iterates through the elements, projecting the point onto each, and checking to see if the projection falls within the boundary of the element. </w:t>
      </w:r>
    </w:p>
    <w:p w14:paraId="6A0FECC5" w14:textId="323544B0" w:rsidR="008F5C42" w:rsidRDefault="008F5C42" w:rsidP="00DE7DD5">
      <w:pPr>
        <w:pStyle w:val="BodyText"/>
      </w:pPr>
      <w:r>
        <w:t>Mapping of surface</w:t>
      </w:r>
      <w:r w:rsidR="001D744D">
        <w:t>s</w:t>
      </w:r>
      <w:r>
        <w:t xml:space="preserve"> and solid geometry is more complex due to the possibility of the features covering multiple elements.</w:t>
      </w:r>
      <w:r w:rsidR="00CF357F">
        <w:t xml:space="preserve"> The approach taken is to tesselate these features and map the centroid of each triangle using the process described above for point</w:t>
      </w:r>
      <w:r w:rsidR="0040410E">
        <w:t>s</w:t>
      </w:r>
      <w:r w:rsidR="00CF357F">
        <w:t>.</w:t>
      </w:r>
      <w:r w:rsidR="0040410E">
        <w:t xml:space="preserve"> This process has been demonstrated previously for AFP overlaps and gaps</w:t>
      </w:r>
      <w:r w:rsidR="002F5E77">
        <w:t xml:space="preserve"> </w:t>
      </w:r>
      <w:r w:rsidR="002F5E77">
        <w:rPr>
          <w:highlight w:val="yellow"/>
        </w:rPr>
        <w:fldChar w:fldCharType="begin"/>
      </w:r>
      <w:r w:rsidR="002F5E77">
        <w:instrText xml:space="preserve"> REF _Ref123806890 \h </w:instrText>
      </w:r>
      <w:r w:rsidR="002F5E77">
        <w:rPr>
          <w:highlight w:val="yellow"/>
        </w:rPr>
      </w:r>
      <w:r w:rsidR="002F5E77">
        <w:rPr>
          <w:highlight w:val="yellow"/>
        </w:rPr>
        <w:fldChar w:fldCharType="separate"/>
      </w:r>
      <w:r w:rsidR="00BA1812">
        <w:t>[</w:t>
      </w:r>
      <w:r w:rsidR="00BA1812">
        <w:rPr>
          <w:noProof/>
        </w:rPr>
        <w:t>3</w:t>
      </w:r>
      <w:r w:rsidR="002F5E77">
        <w:rPr>
          <w:highlight w:val="yellow"/>
        </w:rPr>
        <w:fldChar w:fldCharType="end"/>
      </w:r>
      <w:r w:rsidR="002F5E77">
        <w:t>]</w:t>
      </w:r>
      <w:r w:rsidR="0040410E">
        <w:t>, and has now been generalized to work for any CAD surface.</w:t>
      </w:r>
      <w:r w:rsidR="00CF357F">
        <w:t xml:space="preserve"> The density of the tessellation is determined by the density of the FEM mesh</w:t>
      </w:r>
      <w:r w:rsidR="0040410E">
        <w:t xml:space="preserve">; a balance must be achieved to avoid excessive computation time while preserving the fidelity of the mapping. If the tessellation is too dense, the mapping will take a long time to run. If too coarse, the defect will not be mapped to all of the elements that it actually covers. </w:t>
      </w:r>
      <w:r w:rsidR="00E85FE4">
        <w:fldChar w:fldCharType="begin"/>
      </w:r>
      <w:r w:rsidR="00E85FE4">
        <w:instrText xml:space="preserve"> REF _Ref123647249 \h </w:instrText>
      </w:r>
      <w:r w:rsidR="00E85FE4">
        <w:fldChar w:fldCharType="separate"/>
      </w:r>
      <w:r w:rsidR="00BA1812">
        <w:t xml:space="preserve">Figure </w:t>
      </w:r>
      <w:r w:rsidR="00BA1812">
        <w:rPr>
          <w:noProof/>
        </w:rPr>
        <w:t>3</w:t>
      </w:r>
      <w:r w:rsidR="00E85FE4">
        <w:fldChar w:fldCharType="end"/>
      </w:r>
      <w:r w:rsidR="00E85FE4">
        <w:t xml:space="preserve"> </w:t>
      </w:r>
      <w:r w:rsidR="0040410E">
        <w:t>shows an example of an AFP gap that has been tessellated for mapping to the FEM.</w:t>
      </w:r>
    </w:p>
    <w:p w14:paraId="7CAE2637" w14:textId="77777777" w:rsidR="00280073" w:rsidRDefault="00280073" w:rsidP="00280073">
      <w:pPr>
        <w:pStyle w:val="BodyText"/>
        <w:keepNext/>
        <w:jc w:val="center"/>
      </w:pPr>
      <w:r>
        <w:rPr>
          <w:noProof/>
        </w:rPr>
        <w:lastRenderedPageBreak/>
        <w:drawing>
          <wp:inline distT="0" distB="0" distL="0" distR="0" wp14:anchorId="311EC819" wp14:editId="04EF3C6E">
            <wp:extent cx="4209524" cy="116190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9524" cy="1161905"/>
                    </a:xfrm>
                    <a:prstGeom prst="rect">
                      <a:avLst/>
                    </a:prstGeom>
                  </pic:spPr>
                </pic:pic>
              </a:graphicData>
            </a:graphic>
          </wp:inline>
        </w:drawing>
      </w:r>
    </w:p>
    <w:p w14:paraId="2E099453" w14:textId="5805AD33" w:rsidR="00280073" w:rsidRDefault="00280073" w:rsidP="00280073">
      <w:pPr>
        <w:pStyle w:val="Caption"/>
        <w:jc w:val="center"/>
      </w:pPr>
      <w:bookmarkStart w:id="2" w:name="_Ref123647249"/>
      <w:r>
        <w:t xml:space="preserve">Figure </w:t>
      </w:r>
      <w:r>
        <w:fldChar w:fldCharType="begin"/>
      </w:r>
      <w:r>
        <w:instrText xml:space="preserve"> SEQ Figure \* ARABIC </w:instrText>
      </w:r>
      <w:r>
        <w:fldChar w:fldCharType="separate"/>
      </w:r>
      <w:r w:rsidR="00BA1812">
        <w:rPr>
          <w:noProof/>
        </w:rPr>
        <w:t>3</w:t>
      </w:r>
      <w:r>
        <w:fldChar w:fldCharType="end"/>
      </w:r>
      <w:bookmarkEnd w:id="2"/>
      <w:r>
        <w:t>. AFP gap tessellated for mapping to FEM mesh.</w:t>
      </w:r>
    </w:p>
    <w:p w14:paraId="7E1F679C" w14:textId="29CA3C2B" w:rsidR="00E85FE4" w:rsidRPr="00E85FE4" w:rsidRDefault="00E85FE4" w:rsidP="00FE7B61">
      <w:pPr>
        <w:jc w:val="both"/>
      </w:pPr>
      <w:r>
        <w:t>With any type of mapping to a mesh, there is a possibility that multiple defects can be mapped to a single element. HyperX provides mapping options for this scenario: the min, max, or average of the defect data entries can be associated with the element. The end result of the mapping is a tabular data set with per-element defect data (per ply, where applicable).</w:t>
      </w:r>
    </w:p>
    <w:p w14:paraId="56FAC4C0" w14:textId="2409CA86" w:rsidR="00677643" w:rsidRDefault="005A46A4">
      <w:pPr>
        <w:pStyle w:val="Heading1"/>
        <w:rPr>
          <w:rFonts w:ascii="Times New Roman" w:hAnsi="Times New Roman"/>
          <w:color w:val="000000" w:themeColor="text1"/>
        </w:rPr>
      </w:pPr>
      <w:r>
        <w:rPr>
          <w:rFonts w:ascii="Times New Roman" w:hAnsi="Times New Roman"/>
          <w:color w:val="000000" w:themeColor="text1"/>
        </w:rPr>
        <w:t>Defect Analysis</w:t>
      </w:r>
    </w:p>
    <w:p w14:paraId="676B259F" w14:textId="3A5C22D0" w:rsidR="006741D4" w:rsidRDefault="00921F0E" w:rsidP="00E85FE4">
      <w:pPr>
        <w:pStyle w:val="BodyText"/>
      </w:pPr>
      <w:r>
        <w:t xml:space="preserve">The analysis plugin environment is not complete; </w:t>
      </w:r>
      <w:r w:rsidR="001D744D">
        <w:t>future</w:t>
      </w:r>
      <w:r>
        <w:t xml:space="preserve"> and </w:t>
      </w:r>
      <w:r w:rsidR="001D744D">
        <w:t xml:space="preserve">existing capabilities </w:t>
      </w:r>
      <w:r>
        <w:t xml:space="preserve">will be described in this section. Effects of defects analysis varies widely depending on materials, structure, and type of defect. The most simplistic approach is to </w:t>
      </w:r>
      <w:r w:rsidR="001D744D">
        <w:t xml:space="preserve">use empirical data to </w:t>
      </w:r>
      <w:r>
        <w:t xml:space="preserve">“knock down” the material strength and stiffness in the presence of a defect </w:t>
      </w:r>
      <w:r w:rsidR="00911952">
        <w:fldChar w:fldCharType="begin"/>
      </w:r>
      <w:r w:rsidR="00911952">
        <w:instrText xml:space="preserve"> REF _Ref123806893 \h </w:instrText>
      </w:r>
      <w:r w:rsidR="00911952">
        <w:fldChar w:fldCharType="separate"/>
      </w:r>
      <w:r w:rsidR="00BA1812">
        <w:t>[</w:t>
      </w:r>
      <w:r w:rsidR="00BA1812">
        <w:rPr>
          <w:noProof/>
        </w:rPr>
        <w:t>5</w:t>
      </w:r>
      <w:r w:rsidR="00911952">
        <w:fldChar w:fldCharType="end"/>
      </w:r>
      <w:r w:rsidR="00911952">
        <w:t>]</w:t>
      </w:r>
      <w:r w:rsidR="009514B0">
        <w:t xml:space="preserve">. This approach is commonly used for large-scale structural analysis and sizing due to the relatively low cost of testing. </w:t>
      </w:r>
    </w:p>
    <w:p w14:paraId="2F93F0E7" w14:textId="6DC6702F" w:rsidR="00226970" w:rsidRDefault="009514B0" w:rsidP="00E85FE4">
      <w:pPr>
        <w:pStyle w:val="BodyText"/>
      </w:pPr>
      <w:r>
        <w:t>At the other extreme, physics-based simulations can be used to determine localized effects of defects</w:t>
      </w:r>
      <w:r w:rsidR="002F5E77">
        <w:t xml:space="preserve"> </w:t>
      </w:r>
      <w:r w:rsidR="00DC2743">
        <w:rPr>
          <w:highlight w:val="yellow"/>
        </w:rPr>
        <w:fldChar w:fldCharType="begin"/>
      </w:r>
      <w:r w:rsidR="00DC2743">
        <w:instrText xml:space="preserve"> REF _Ref123814930 \h </w:instrText>
      </w:r>
      <w:r w:rsidR="00DC2743">
        <w:rPr>
          <w:highlight w:val="yellow"/>
        </w:rPr>
      </w:r>
      <w:r w:rsidR="00DC2743">
        <w:rPr>
          <w:highlight w:val="yellow"/>
        </w:rPr>
        <w:fldChar w:fldCharType="separate"/>
      </w:r>
      <w:r w:rsidR="00BA1812">
        <w:t>[</w:t>
      </w:r>
      <w:r w:rsidR="00BA1812">
        <w:rPr>
          <w:noProof/>
        </w:rPr>
        <w:t>11</w:t>
      </w:r>
      <w:r w:rsidR="00DC2743">
        <w:rPr>
          <w:highlight w:val="yellow"/>
        </w:rPr>
        <w:fldChar w:fldCharType="end"/>
      </w:r>
      <w:r w:rsidR="00DC2743">
        <w:t>]</w:t>
      </w:r>
      <w:r>
        <w:t xml:space="preserve">, but are typically computationally expensive. The HyperX plugin framework will be capable of handling analysis approaches ranging across this spectrum. </w:t>
      </w:r>
      <w:r w:rsidR="00C16ED1">
        <w:t>The framework manages the internal loads, structural design, material properties, and defect information, allowing an analysis of many different types or complexities to be implemented.</w:t>
      </w:r>
    </w:p>
    <w:p w14:paraId="448A33C1" w14:textId="08C576DB" w:rsidR="00226970" w:rsidRDefault="00226970" w:rsidP="00E85FE4">
      <w:pPr>
        <w:pStyle w:val="BodyText"/>
      </w:pPr>
      <w:r>
        <w:t xml:space="preserve">The two types of analyses currently supported by the framework </w:t>
      </w:r>
      <w:r w:rsidR="00C16ED1">
        <w:t>are described in the following sections.</w:t>
      </w:r>
    </w:p>
    <w:p w14:paraId="7B8F9FFC" w14:textId="49A11F3D" w:rsidR="00C16ED1" w:rsidRDefault="00C16ED1" w:rsidP="00C16ED1">
      <w:pPr>
        <w:pStyle w:val="Heading2"/>
      </w:pPr>
      <w:r>
        <w:t>Ply Thickness Adjustments</w:t>
      </w:r>
    </w:p>
    <w:p w14:paraId="60EB4BB9" w14:textId="17856A24" w:rsidR="00252454" w:rsidRDefault="00273021" w:rsidP="00C16ED1">
      <w:pPr>
        <w:pStyle w:val="BodyText"/>
      </w:pPr>
      <w:r>
        <w:t xml:space="preserve">This approach was originally developed for AFP overlaps and gaps, which essentially </w:t>
      </w:r>
      <w:r w:rsidR="001D744D">
        <w:t>cause</w:t>
      </w:r>
      <w:r>
        <w:t xml:space="preserve"> off-nominal material thicknesses in the laminate. The analysis approach adjusts the thickness of a ply in an element based on the size of the overlap or gap covering the element, as shown in </w:t>
      </w:r>
      <w:r w:rsidR="00BB4C0C">
        <w:fldChar w:fldCharType="begin"/>
      </w:r>
      <w:r w:rsidR="00BB4C0C">
        <w:instrText xml:space="preserve"> REF _Ref123814985 \h </w:instrText>
      </w:r>
      <w:r w:rsidR="00BB4C0C">
        <w:fldChar w:fldCharType="separate"/>
      </w:r>
      <w:r w:rsidR="00BA1812">
        <w:t xml:space="preserve">Figure </w:t>
      </w:r>
      <w:r w:rsidR="00BA1812">
        <w:rPr>
          <w:noProof/>
        </w:rPr>
        <w:t>4</w:t>
      </w:r>
      <w:r w:rsidR="00BB4C0C">
        <w:fldChar w:fldCharType="end"/>
      </w:r>
      <w:r>
        <w:t xml:space="preserve">. </w:t>
      </w:r>
      <w:r w:rsidR="00252454">
        <w:t>The thickness adjustment is accounted for in the Classical Lamination Theory (CLT) analysis, which determines how the stress and strain are redistributed in the laminate due to the thickness change</w:t>
      </w:r>
      <w:r w:rsidR="00C81015">
        <w:t xml:space="preserve"> </w:t>
      </w:r>
      <w:r w:rsidR="00C81015">
        <w:fldChar w:fldCharType="begin"/>
      </w:r>
      <w:r w:rsidR="00C81015">
        <w:instrText xml:space="preserve"> REF _Ref123806890 \h </w:instrText>
      </w:r>
      <w:r w:rsidR="00C81015">
        <w:fldChar w:fldCharType="separate"/>
      </w:r>
      <w:r w:rsidR="00C81015">
        <w:t>[</w:t>
      </w:r>
      <w:r w:rsidR="00C81015">
        <w:rPr>
          <w:noProof/>
        </w:rPr>
        <w:t>3</w:t>
      </w:r>
      <w:r w:rsidR="00C81015">
        <w:fldChar w:fldCharType="end"/>
      </w:r>
      <w:r w:rsidR="00C81015">
        <w:t>]</w:t>
      </w:r>
      <w:r w:rsidR="00252454">
        <w:t>.</w:t>
      </w:r>
    </w:p>
    <w:p w14:paraId="575AB469" w14:textId="77777777" w:rsidR="00FD2C3F" w:rsidRDefault="00252454" w:rsidP="00FD2C3F">
      <w:pPr>
        <w:pStyle w:val="BodyText"/>
        <w:keepNext/>
        <w:jc w:val="center"/>
      </w:pPr>
      <w:r w:rsidRPr="00D42A4B">
        <w:rPr>
          <w:noProof/>
        </w:rPr>
        <w:lastRenderedPageBreak/>
        <w:drawing>
          <wp:inline distT="0" distB="0" distL="0" distR="0" wp14:anchorId="19178D47" wp14:editId="3793A45A">
            <wp:extent cx="4648200" cy="1616937"/>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8710" cy="1631029"/>
                    </a:xfrm>
                    <a:prstGeom prst="rect">
                      <a:avLst/>
                    </a:prstGeom>
                  </pic:spPr>
                </pic:pic>
              </a:graphicData>
            </a:graphic>
          </wp:inline>
        </w:drawing>
      </w:r>
    </w:p>
    <w:p w14:paraId="3249EC79" w14:textId="24C5C55B" w:rsidR="00252454" w:rsidRDefault="00FD2C3F" w:rsidP="00FD2C3F">
      <w:pPr>
        <w:pStyle w:val="Caption"/>
        <w:jc w:val="center"/>
      </w:pPr>
      <w:bookmarkStart w:id="3" w:name="_Ref123814985"/>
      <w:r>
        <w:t xml:space="preserve">Figure </w:t>
      </w:r>
      <w:r>
        <w:fldChar w:fldCharType="begin"/>
      </w:r>
      <w:r>
        <w:instrText xml:space="preserve"> SEQ Figure \* ARABIC </w:instrText>
      </w:r>
      <w:r>
        <w:fldChar w:fldCharType="separate"/>
      </w:r>
      <w:r w:rsidR="00BA1812">
        <w:rPr>
          <w:noProof/>
        </w:rPr>
        <w:t>4</w:t>
      </w:r>
      <w:r>
        <w:fldChar w:fldCharType="end"/>
      </w:r>
      <w:bookmarkEnd w:id="3"/>
      <w:r>
        <w:t>. Ply thickness adjustment approach</w:t>
      </w:r>
      <w:r w:rsidR="00911952">
        <w:t xml:space="preserve"> </w:t>
      </w:r>
      <w:r w:rsidR="00911952">
        <w:rPr>
          <w:highlight w:val="yellow"/>
        </w:rPr>
        <w:fldChar w:fldCharType="begin"/>
      </w:r>
      <w:r w:rsidR="00911952">
        <w:instrText xml:space="preserve"> REF _Ref123806890 \h </w:instrText>
      </w:r>
      <w:r w:rsidR="00911952">
        <w:rPr>
          <w:highlight w:val="yellow"/>
        </w:rPr>
      </w:r>
      <w:r w:rsidR="00911952">
        <w:rPr>
          <w:highlight w:val="yellow"/>
        </w:rPr>
        <w:fldChar w:fldCharType="separate"/>
      </w:r>
      <w:r w:rsidR="00BA1812">
        <w:t>[</w:t>
      </w:r>
      <w:r w:rsidR="00BA1812">
        <w:rPr>
          <w:noProof/>
        </w:rPr>
        <w:t>3</w:t>
      </w:r>
      <w:r w:rsidR="00911952">
        <w:rPr>
          <w:highlight w:val="yellow"/>
        </w:rPr>
        <w:fldChar w:fldCharType="end"/>
      </w:r>
      <w:r w:rsidR="00911952">
        <w:t>]</w:t>
      </w:r>
      <w:r>
        <w:t>.</w:t>
      </w:r>
    </w:p>
    <w:p w14:paraId="4C789299" w14:textId="14515B6B" w:rsidR="00273021" w:rsidRDefault="00273021" w:rsidP="00DA7A00">
      <w:pPr>
        <w:pStyle w:val="BodyText"/>
      </w:pPr>
      <w:r>
        <w:t xml:space="preserve">The approach can also be extended to any type of defect that results in off-nominal defects, such as AFP folds, darts in a draped fabric part, or thickening/thinning in a uniaxial ply in a hand-layup. </w:t>
      </w:r>
    </w:p>
    <w:p w14:paraId="2DA3F72E" w14:textId="5EA3255A" w:rsidR="00C16ED1" w:rsidRPr="00C16ED1" w:rsidRDefault="00C16ED1" w:rsidP="00C16ED1">
      <w:pPr>
        <w:pStyle w:val="Heading2"/>
      </w:pPr>
      <w:r>
        <w:t>Direct Strength Knockdowns</w:t>
      </w:r>
    </w:p>
    <w:p w14:paraId="3EDCF1BD" w14:textId="03527320" w:rsidR="008764A5" w:rsidRDefault="00DA7A00" w:rsidP="00E85FE4">
      <w:pPr>
        <w:pStyle w:val="BodyText"/>
      </w:pPr>
      <w:r>
        <w:t xml:space="preserve">This approach is commonly used when the analysis approach is based on empirical data where the impact on laminate strength has been determined as a function of defect severity, such as the curve for gaps shown in </w:t>
      </w:r>
      <w:r w:rsidR="00627F6D">
        <w:fldChar w:fldCharType="begin"/>
      </w:r>
      <w:r w:rsidR="00627F6D">
        <w:instrText xml:space="preserve"> REF _Ref123766477 \h </w:instrText>
      </w:r>
      <w:r w:rsidR="00627F6D">
        <w:fldChar w:fldCharType="separate"/>
      </w:r>
      <w:r w:rsidR="00BA1812">
        <w:t xml:space="preserve">Figure </w:t>
      </w:r>
      <w:r w:rsidR="00BA1812">
        <w:rPr>
          <w:noProof/>
        </w:rPr>
        <w:t>5</w:t>
      </w:r>
      <w:r w:rsidR="00627F6D">
        <w:fldChar w:fldCharType="end"/>
      </w:r>
      <w:r>
        <w:t>. In this scenario the defects mapped to the FEM in HyperX are simply cross-referenced to the knockdown curve and the strength margins of safety are updated accordingly.</w:t>
      </w:r>
    </w:p>
    <w:p w14:paraId="7239B558" w14:textId="77777777" w:rsidR="00D4327A" w:rsidRDefault="00D4327A" w:rsidP="00D4327A">
      <w:pPr>
        <w:pStyle w:val="BodyText"/>
        <w:keepNext/>
        <w:jc w:val="center"/>
      </w:pPr>
      <w:r>
        <w:rPr>
          <w:noProof/>
        </w:rPr>
        <w:drawing>
          <wp:inline distT="0" distB="0" distL="0" distR="0" wp14:anchorId="768104C9" wp14:editId="4EA17A6C">
            <wp:extent cx="3873261" cy="2301197"/>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3238" cy="2313066"/>
                    </a:xfrm>
                    <a:prstGeom prst="rect">
                      <a:avLst/>
                    </a:prstGeom>
                  </pic:spPr>
                </pic:pic>
              </a:graphicData>
            </a:graphic>
          </wp:inline>
        </w:drawing>
      </w:r>
    </w:p>
    <w:p w14:paraId="3F632450" w14:textId="4C62F869" w:rsidR="00D4327A" w:rsidRPr="00E85FE4" w:rsidRDefault="00D4327A" w:rsidP="00D4327A">
      <w:pPr>
        <w:pStyle w:val="Caption"/>
        <w:jc w:val="center"/>
      </w:pPr>
      <w:bookmarkStart w:id="4" w:name="_Ref123766477"/>
      <w:r>
        <w:t xml:space="preserve">Figure </w:t>
      </w:r>
      <w:r>
        <w:fldChar w:fldCharType="begin"/>
      </w:r>
      <w:r>
        <w:instrText xml:space="preserve"> SEQ Figure \* ARABIC </w:instrText>
      </w:r>
      <w:r>
        <w:fldChar w:fldCharType="separate"/>
      </w:r>
      <w:r w:rsidR="00BA1812">
        <w:rPr>
          <w:noProof/>
        </w:rPr>
        <w:t>5</w:t>
      </w:r>
      <w:r>
        <w:fldChar w:fldCharType="end"/>
      </w:r>
      <w:bookmarkEnd w:id="4"/>
      <w:r>
        <w:t xml:space="preserve">. </w:t>
      </w:r>
      <w:r w:rsidRPr="004B5135">
        <w:t>Correction factor (knockdown) curve based on gap width</w:t>
      </w:r>
      <w:r w:rsidR="00760CFC">
        <w:t xml:space="preserve"> </w:t>
      </w:r>
      <w:r w:rsidR="003B5554">
        <w:rPr>
          <w:highlight w:val="yellow"/>
        </w:rPr>
        <w:fldChar w:fldCharType="begin"/>
      </w:r>
      <w:r w:rsidR="003B5554">
        <w:instrText xml:space="preserve"> REF _Ref123815883 \h </w:instrText>
      </w:r>
      <w:r w:rsidR="003B5554">
        <w:rPr>
          <w:highlight w:val="yellow"/>
        </w:rPr>
      </w:r>
      <w:r w:rsidR="003B5554">
        <w:rPr>
          <w:highlight w:val="yellow"/>
        </w:rPr>
        <w:fldChar w:fldCharType="separate"/>
      </w:r>
      <w:r w:rsidR="00BA1812">
        <w:t>[</w:t>
      </w:r>
      <w:r w:rsidR="00BA1812">
        <w:rPr>
          <w:noProof/>
        </w:rPr>
        <w:t>12</w:t>
      </w:r>
      <w:r w:rsidR="003B5554">
        <w:rPr>
          <w:highlight w:val="yellow"/>
        </w:rPr>
        <w:fldChar w:fldCharType="end"/>
      </w:r>
      <w:r w:rsidR="003B5554">
        <w:t>]</w:t>
      </w:r>
      <w:r>
        <w:t>.</w:t>
      </w:r>
    </w:p>
    <w:p w14:paraId="1FA79DB0" w14:textId="3A6D3BD5" w:rsidR="00677643" w:rsidRPr="00B365ED" w:rsidRDefault="005A46A4">
      <w:pPr>
        <w:pStyle w:val="Heading1"/>
        <w:rPr>
          <w:rFonts w:ascii="Times New Roman" w:hAnsi="Times New Roman"/>
          <w:color w:val="000000" w:themeColor="text1"/>
        </w:rPr>
      </w:pPr>
      <w:r>
        <w:rPr>
          <w:rFonts w:ascii="Times New Roman" w:hAnsi="Times New Roman"/>
          <w:color w:val="000000" w:themeColor="text1"/>
        </w:rPr>
        <w:t>Example Application</w:t>
      </w:r>
    </w:p>
    <w:p w14:paraId="45B89C36" w14:textId="6D7F968A" w:rsidR="007E370A" w:rsidRDefault="007E370A" w:rsidP="007E370A">
      <w:pPr>
        <w:pStyle w:val="BodyText"/>
      </w:pPr>
      <w:r>
        <w:t xml:space="preserve">The funnel-shaped duct structure shown in </w:t>
      </w:r>
      <w:r>
        <w:fldChar w:fldCharType="begin"/>
      </w:r>
      <w:r>
        <w:instrText xml:space="preserve"> REF _Ref123737673 \h </w:instrText>
      </w:r>
      <w:r>
        <w:fldChar w:fldCharType="separate"/>
      </w:r>
      <w:r w:rsidR="00BA1812">
        <w:t xml:space="preserve">Figure </w:t>
      </w:r>
      <w:r w:rsidR="00BA1812">
        <w:rPr>
          <w:noProof/>
        </w:rPr>
        <w:t>6</w:t>
      </w:r>
      <w:r>
        <w:fldChar w:fldCharType="end"/>
      </w:r>
      <w:r>
        <w:t xml:space="preserve"> was used to demonstrate the mapping and analysis of AFP wrinkle defects. These wrinkles were captured by University of South Carolina’s </w:t>
      </w:r>
      <w:r w:rsidR="00C81015">
        <w:t xml:space="preserve">automated defect detection </w:t>
      </w:r>
      <w:r>
        <w:t xml:space="preserve">system </w:t>
      </w:r>
      <w:r w:rsidR="003B5554">
        <w:fldChar w:fldCharType="begin"/>
      </w:r>
      <w:r w:rsidR="003B5554">
        <w:instrText xml:space="preserve"> REF _Ref123814050 \h </w:instrText>
      </w:r>
      <w:r w:rsidR="003B5554">
        <w:fldChar w:fldCharType="separate"/>
      </w:r>
      <w:r w:rsidR="00BA1812">
        <w:t>[</w:t>
      </w:r>
      <w:r w:rsidR="00BA1812">
        <w:rPr>
          <w:noProof/>
        </w:rPr>
        <w:t>6</w:t>
      </w:r>
      <w:r w:rsidR="003B5554">
        <w:fldChar w:fldCharType="end"/>
      </w:r>
      <w:r w:rsidR="003B5554">
        <w:t xml:space="preserve">] </w:t>
      </w:r>
      <w:r>
        <w:t xml:space="preserve">during a demonstration build at the </w:t>
      </w:r>
      <w:proofErr w:type="spellStart"/>
      <w:r>
        <w:t>McNAIR</w:t>
      </w:r>
      <w:proofErr w:type="spellEnd"/>
      <w:r>
        <w:t xml:space="preserve"> facility. The system automatically recognizes the defect and records its footprint as a surface patch located on the model in 3D space.</w:t>
      </w:r>
    </w:p>
    <w:p w14:paraId="564D8E18" w14:textId="77777777" w:rsidR="007E370A" w:rsidRDefault="007E370A" w:rsidP="007E370A">
      <w:pPr>
        <w:pStyle w:val="BodyText"/>
        <w:keepNext/>
        <w:jc w:val="center"/>
      </w:pPr>
      <w:r>
        <w:rPr>
          <w:noProof/>
        </w:rPr>
        <w:lastRenderedPageBreak/>
        <w:drawing>
          <wp:inline distT="0" distB="0" distL="0" distR="0" wp14:anchorId="5AECC326" wp14:editId="48077D51">
            <wp:extent cx="4953000" cy="235373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2505" cy="2358250"/>
                    </a:xfrm>
                    <a:prstGeom prst="rect">
                      <a:avLst/>
                    </a:prstGeom>
                  </pic:spPr>
                </pic:pic>
              </a:graphicData>
            </a:graphic>
          </wp:inline>
        </w:drawing>
      </w:r>
    </w:p>
    <w:p w14:paraId="7C591D9C" w14:textId="23BA8DBF" w:rsidR="00677643" w:rsidRPr="00B365ED" w:rsidRDefault="007E370A" w:rsidP="007E370A">
      <w:pPr>
        <w:pStyle w:val="Caption"/>
        <w:jc w:val="center"/>
        <w:rPr>
          <w:noProof/>
        </w:rPr>
      </w:pPr>
      <w:bookmarkStart w:id="5" w:name="_Ref123737673"/>
      <w:r>
        <w:t xml:space="preserve">Figure </w:t>
      </w:r>
      <w:r>
        <w:fldChar w:fldCharType="begin"/>
      </w:r>
      <w:r>
        <w:instrText xml:space="preserve"> SEQ Figure \* ARABIC </w:instrText>
      </w:r>
      <w:r>
        <w:fldChar w:fldCharType="separate"/>
      </w:r>
      <w:r w:rsidR="00BA1812">
        <w:rPr>
          <w:noProof/>
        </w:rPr>
        <w:t>6</w:t>
      </w:r>
      <w:r>
        <w:fldChar w:fldCharType="end"/>
      </w:r>
      <w:bookmarkEnd w:id="5"/>
      <w:r>
        <w:t>. "Funnel</w:t>
      </w:r>
      <w:r>
        <w:rPr>
          <w:noProof/>
        </w:rPr>
        <w:t>" structure FEM with overlaid wrinkle patches.</w:t>
      </w:r>
    </w:p>
    <w:p w14:paraId="75E53D9D" w14:textId="563827E7" w:rsidR="00D011FF" w:rsidRPr="007E370A" w:rsidRDefault="00921F0E" w:rsidP="00A8477F">
      <w:pPr>
        <w:pStyle w:val="Heading2"/>
        <w:tabs>
          <w:tab w:val="clear" w:pos="720"/>
        </w:tabs>
        <w:rPr>
          <w:rFonts w:ascii="Times New Roman" w:hAnsi="Times New Roman"/>
          <w:color w:val="000000" w:themeColor="text1"/>
        </w:rPr>
      </w:pPr>
      <w:r>
        <w:rPr>
          <w:rFonts w:ascii="Times New Roman" w:hAnsi="Times New Roman"/>
          <w:color w:val="000000" w:themeColor="text1"/>
        </w:rPr>
        <w:t>Mapping of Wrinkles</w:t>
      </w:r>
    </w:p>
    <w:p w14:paraId="6E41FC9F" w14:textId="27D425E4" w:rsidR="00D011FF" w:rsidRDefault="00A8477F" w:rsidP="0083553B">
      <w:pPr>
        <w:jc w:val="both"/>
      </w:pPr>
      <w:r>
        <w:t xml:space="preserve">The surface patches were imported </w:t>
      </w:r>
      <w:r w:rsidR="00CA6F2E">
        <w:t xml:space="preserve">to HyperX </w:t>
      </w:r>
      <w:r>
        <w:t xml:space="preserve">and </w:t>
      </w:r>
      <w:r w:rsidR="00CA6F2E">
        <w:t xml:space="preserve">mapped to the FEM using the process described in previous sections. </w:t>
      </w:r>
      <w:r w:rsidR="001D70D4">
        <w:t xml:space="preserve">This resulted in a mapped wrinkle area per element, as shown in </w:t>
      </w:r>
      <w:r w:rsidR="001D70D4">
        <w:fldChar w:fldCharType="begin"/>
      </w:r>
      <w:r w:rsidR="001D70D4">
        <w:instrText xml:space="preserve"> REF _Ref123761076 \h </w:instrText>
      </w:r>
      <w:r w:rsidR="0083553B">
        <w:instrText xml:space="preserve"> \* MERGEFORMAT </w:instrText>
      </w:r>
      <w:r w:rsidR="001D70D4">
        <w:fldChar w:fldCharType="separate"/>
      </w:r>
      <w:r w:rsidR="00BA1812">
        <w:t xml:space="preserve">Figure </w:t>
      </w:r>
      <w:r w:rsidR="00BA1812">
        <w:rPr>
          <w:noProof/>
        </w:rPr>
        <w:t>7</w:t>
      </w:r>
      <w:r w:rsidR="001D70D4">
        <w:fldChar w:fldCharType="end"/>
      </w:r>
      <w:r w:rsidR="001D70D4">
        <w:t>.</w:t>
      </w:r>
    </w:p>
    <w:p w14:paraId="267B9191" w14:textId="77777777" w:rsidR="00D011FF" w:rsidRDefault="00D011FF" w:rsidP="00A8477F"/>
    <w:p w14:paraId="78FF1671" w14:textId="77777777" w:rsidR="001D70D4" w:rsidRDefault="00D011FF" w:rsidP="001D70D4">
      <w:pPr>
        <w:keepNext/>
        <w:jc w:val="center"/>
      </w:pPr>
      <w:r>
        <w:rPr>
          <w:noProof/>
        </w:rPr>
        <w:drawing>
          <wp:inline distT="0" distB="0" distL="0" distR="0" wp14:anchorId="432AF88A" wp14:editId="628D9ACD">
            <wp:extent cx="5219700" cy="22328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4669" cy="2243553"/>
                    </a:xfrm>
                    <a:prstGeom prst="rect">
                      <a:avLst/>
                    </a:prstGeom>
                  </pic:spPr>
                </pic:pic>
              </a:graphicData>
            </a:graphic>
          </wp:inline>
        </w:drawing>
      </w:r>
    </w:p>
    <w:p w14:paraId="391EB6BE" w14:textId="30328D57" w:rsidR="00D011FF" w:rsidRDefault="001D70D4" w:rsidP="007E370A">
      <w:pPr>
        <w:pStyle w:val="Caption"/>
        <w:jc w:val="center"/>
      </w:pPr>
      <w:bookmarkStart w:id="6" w:name="_Ref123761076"/>
      <w:r>
        <w:t xml:space="preserve">Figure </w:t>
      </w:r>
      <w:r>
        <w:fldChar w:fldCharType="begin"/>
      </w:r>
      <w:r>
        <w:instrText xml:space="preserve"> SEQ Figure \* ARABIC </w:instrText>
      </w:r>
      <w:r>
        <w:fldChar w:fldCharType="separate"/>
      </w:r>
      <w:r w:rsidR="00BA1812">
        <w:rPr>
          <w:noProof/>
        </w:rPr>
        <w:t>7</w:t>
      </w:r>
      <w:r>
        <w:fldChar w:fldCharType="end"/>
      </w:r>
      <w:bookmarkEnd w:id="6"/>
      <w:r>
        <w:t>. Wrinkle data mapped to the FEM.</w:t>
      </w:r>
    </w:p>
    <w:p w14:paraId="23819902" w14:textId="073692BA" w:rsidR="007E370A" w:rsidRDefault="007E370A" w:rsidP="007E370A">
      <w:pPr>
        <w:pStyle w:val="Heading2"/>
      </w:pPr>
      <w:r>
        <w:t>Updated Analysis</w:t>
      </w:r>
    </w:p>
    <w:p w14:paraId="2A77893D" w14:textId="52BF2944" w:rsidR="001D70D4" w:rsidRDefault="002254C2" w:rsidP="00C81015">
      <w:pPr>
        <w:jc w:val="both"/>
      </w:pPr>
      <w:r>
        <w:t xml:space="preserve">Once mapped to the model, the impact on strength margins was assessed using the knockdown curve in </w:t>
      </w:r>
      <w:r w:rsidR="008764A5">
        <w:fldChar w:fldCharType="begin"/>
      </w:r>
      <w:r w:rsidR="008764A5">
        <w:instrText xml:space="preserve"> REF _Ref123761804 \h </w:instrText>
      </w:r>
      <w:r w:rsidR="00C81015">
        <w:instrText xml:space="preserve"> \* MERGEFORMAT </w:instrText>
      </w:r>
      <w:r w:rsidR="008764A5">
        <w:fldChar w:fldCharType="separate"/>
      </w:r>
      <w:r w:rsidR="00BA1812">
        <w:t xml:space="preserve">Figure </w:t>
      </w:r>
      <w:r w:rsidR="00BA1812">
        <w:rPr>
          <w:noProof/>
        </w:rPr>
        <w:t>8</w:t>
      </w:r>
      <w:r w:rsidR="008764A5">
        <w:fldChar w:fldCharType="end"/>
      </w:r>
      <w:r>
        <w:t xml:space="preserve">. </w:t>
      </w:r>
      <w:r w:rsidR="001D70D4">
        <w:t>This knockdown curve is representative for the example and not based on test data. The severity of the knockdown on each element was determined by the wrinkle area mapped to the element.</w:t>
      </w:r>
    </w:p>
    <w:p w14:paraId="00AD31DC" w14:textId="0F5E7E52" w:rsidR="001D70D4" w:rsidRDefault="001D70D4" w:rsidP="00A8477F"/>
    <w:p w14:paraId="50080DBE" w14:textId="77777777" w:rsidR="00AA5FA0" w:rsidRDefault="00AA5FA0" w:rsidP="00AA5FA0">
      <w:pPr>
        <w:keepNext/>
        <w:jc w:val="center"/>
      </w:pPr>
      <w:r>
        <w:rPr>
          <w:noProof/>
        </w:rPr>
        <w:lastRenderedPageBreak/>
        <w:drawing>
          <wp:inline distT="0" distB="0" distL="0" distR="0" wp14:anchorId="2AFC6D19" wp14:editId="35519C8C">
            <wp:extent cx="3781425" cy="224299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87367" cy="2246523"/>
                    </a:xfrm>
                    <a:prstGeom prst="rect">
                      <a:avLst/>
                    </a:prstGeom>
                  </pic:spPr>
                </pic:pic>
              </a:graphicData>
            </a:graphic>
          </wp:inline>
        </w:drawing>
      </w:r>
    </w:p>
    <w:p w14:paraId="7F87E4AD" w14:textId="05F7EA74" w:rsidR="001D70D4" w:rsidRDefault="00AA5FA0" w:rsidP="003B5554">
      <w:pPr>
        <w:pStyle w:val="Caption"/>
        <w:jc w:val="center"/>
      </w:pPr>
      <w:bookmarkStart w:id="7" w:name="_Ref123761804"/>
      <w:r>
        <w:t xml:space="preserve">Figure </w:t>
      </w:r>
      <w:r>
        <w:fldChar w:fldCharType="begin"/>
      </w:r>
      <w:r>
        <w:instrText xml:space="preserve"> SEQ Figure \* ARABIC </w:instrText>
      </w:r>
      <w:r>
        <w:fldChar w:fldCharType="separate"/>
      </w:r>
      <w:r w:rsidR="00BA1812">
        <w:rPr>
          <w:noProof/>
        </w:rPr>
        <w:t>8</w:t>
      </w:r>
      <w:r>
        <w:fldChar w:fldCharType="end"/>
      </w:r>
      <w:bookmarkEnd w:id="7"/>
      <w:r>
        <w:t>. Strength knockdown as a function of wrinkle area.</w:t>
      </w:r>
    </w:p>
    <w:p w14:paraId="6799F56E" w14:textId="40219033" w:rsidR="00A8477F" w:rsidRDefault="002254C2" w:rsidP="00006E4C">
      <w:pPr>
        <w:jc w:val="both"/>
      </w:pPr>
      <w:r>
        <w:t xml:space="preserve">The </w:t>
      </w:r>
      <w:r w:rsidR="001D70D4">
        <w:t>margins</w:t>
      </w:r>
      <w:r w:rsidR="0061129E">
        <w:t xml:space="preserve"> of safety</w:t>
      </w:r>
      <w:r w:rsidR="001D70D4">
        <w:t xml:space="preserve"> resulting from the updated analysis are shown</w:t>
      </w:r>
      <w:r>
        <w:t xml:space="preserve"> in </w:t>
      </w:r>
      <w:r>
        <w:fldChar w:fldCharType="begin"/>
      </w:r>
      <w:r>
        <w:instrText xml:space="preserve"> REF _Ref123741447 \h </w:instrText>
      </w:r>
      <w:r w:rsidR="00006E4C">
        <w:instrText xml:space="preserve"> \* MERGEFORMAT </w:instrText>
      </w:r>
      <w:r>
        <w:fldChar w:fldCharType="separate"/>
      </w:r>
      <w:r w:rsidR="00BA1812">
        <w:t xml:space="preserve">Figure </w:t>
      </w:r>
      <w:r w:rsidR="00BA1812">
        <w:rPr>
          <w:noProof/>
        </w:rPr>
        <w:t>9</w:t>
      </w:r>
      <w:r>
        <w:fldChar w:fldCharType="end"/>
      </w:r>
      <w:r>
        <w:t>. The margins</w:t>
      </w:r>
      <w:r w:rsidR="0061129E">
        <w:t xml:space="preserve"> </w:t>
      </w:r>
      <w:r>
        <w:t>were originally all positive</w:t>
      </w:r>
      <w:r w:rsidR="00E1211F">
        <w:t xml:space="preserve"> after the structure was optimized to the internal running loads</w:t>
      </w:r>
      <w:r>
        <w:t xml:space="preserve">. However, the inclusion of the wrinkling knockdowns </w:t>
      </w:r>
      <w:r w:rsidR="00E1211F">
        <w:t>causes</w:t>
      </w:r>
      <w:r>
        <w:t xml:space="preserve"> several small areas on the structure to have negative margin (indicating failure)</w:t>
      </w:r>
      <w:r w:rsidR="00E1211F">
        <w:t xml:space="preserve">. </w:t>
      </w:r>
    </w:p>
    <w:p w14:paraId="3D84B22F" w14:textId="77777777" w:rsidR="00CA6F2E" w:rsidRPr="00A8477F" w:rsidRDefault="00CA6F2E" w:rsidP="00A8477F"/>
    <w:p w14:paraId="6E9C07C4" w14:textId="75C3D846" w:rsidR="006D4791" w:rsidRDefault="00CA1C8E" w:rsidP="006D4791">
      <w:pPr>
        <w:pStyle w:val="BodyText"/>
        <w:keepNext/>
        <w:jc w:val="center"/>
      </w:pPr>
      <w:r>
        <w:rPr>
          <w:noProof/>
        </w:rPr>
        <w:drawing>
          <wp:inline distT="0" distB="0" distL="0" distR="0" wp14:anchorId="754CEE36" wp14:editId="6E203E48">
            <wp:extent cx="5943600" cy="2352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352040"/>
                    </a:xfrm>
                    <a:prstGeom prst="rect">
                      <a:avLst/>
                    </a:prstGeom>
                  </pic:spPr>
                </pic:pic>
              </a:graphicData>
            </a:graphic>
          </wp:inline>
        </w:drawing>
      </w:r>
    </w:p>
    <w:p w14:paraId="0C41CACD" w14:textId="214EE938" w:rsidR="006D4791" w:rsidRDefault="006D4791" w:rsidP="006D4791">
      <w:pPr>
        <w:pStyle w:val="Caption"/>
        <w:jc w:val="center"/>
      </w:pPr>
      <w:bookmarkStart w:id="8" w:name="_Ref123741447"/>
      <w:r>
        <w:t xml:space="preserve">Figure </w:t>
      </w:r>
      <w:r>
        <w:fldChar w:fldCharType="begin"/>
      </w:r>
      <w:r>
        <w:instrText xml:space="preserve"> SEQ Figure \* ARABIC </w:instrText>
      </w:r>
      <w:r>
        <w:fldChar w:fldCharType="separate"/>
      </w:r>
      <w:r w:rsidR="00BA1812">
        <w:rPr>
          <w:noProof/>
        </w:rPr>
        <w:t>9</w:t>
      </w:r>
      <w:r>
        <w:fldChar w:fldCharType="end"/>
      </w:r>
      <w:bookmarkEnd w:id="8"/>
      <w:r>
        <w:t>. Impact of wrinkles on strength margins.</w:t>
      </w:r>
    </w:p>
    <w:p w14:paraId="5E5DBCC2" w14:textId="5BFA51B4" w:rsidR="007E370A" w:rsidRDefault="007E370A" w:rsidP="007E370A">
      <w:pPr>
        <w:pStyle w:val="Heading2"/>
      </w:pPr>
      <w:r>
        <w:t>Resizing Laminates</w:t>
      </w:r>
    </w:p>
    <w:p w14:paraId="2D1D5C08" w14:textId="5EB48BE4" w:rsidR="0061129E" w:rsidRDefault="0061129E" w:rsidP="0061129E">
      <w:pPr>
        <w:pStyle w:val="BodyText"/>
      </w:pPr>
      <w:r>
        <w:t xml:space="preserve">The challenge with accounting for manufacturing defects during the design process is that their occurrence is not fully understood until a part is built. In the scenario described in this work, it is expected that a subset of the plies for the structure would be laid down, defects captured, and the information fed back to the design tools. The defects recorded from the preliminary build would be used to estimate the defects expected on all plies, and this would be accounted for in the design. </w:t>
      </w:r>
    </w:p>
    <w:p w14:paraId="4F6794D3" w14:textId="50CE3748" w:rsidR="0061129E" w:rsidRDefault="0061129E" w:rsidP="0061129E">
      <w:pPr>
        <w:pStyle w:val="BodyText"/>
      </w:pPr>
      <w:r>
        <w:t xml:space="preserve">This approach was taken </w:t>
      </w:r>
      <w:r w:rsidR="002A5DA2">
        <w:t>to resize the funnel structure. Strength knockdowns from the existing plies were used to determine where additional plies could be added to resolve the negative margins.</w:t>
      </w:r>
      <w:r w:rsidR="00CA1C8E">
        <w:t xml:space="preserve"> </w:t>
      </w:r>
      <w:r w:rsidR="002A5DA2">
        <w:t xml:space="preserve">HyperX laminate optimization tools were used to determine the optimum placement, size, and </w:t>
      </w:r>
      <w:r w:rsidR="002A5DA2">
        <w:lastRenderedPageBreak/>
        <w:t>orientation of the additional plies.</w:t>
      </w:r>
      <w:r w:rsidR="00CA1C8E">
        <w:t xml:space="preserve"> The resulting margins of safety after resizing are shown in </w:t>
      </w:r>
      <w:r w:rsidR="00CA1C8E">
        <w:fldChar w:fldCharType="begin"/>
      </w:r>
      <w:r w:rsidR="00CA1C8E">
        <w:instrText xml:space="preserve"> REF _Ref123764867 \h </w:instrText>
      </w:r>
      <w:r w:rsidR="00CA1C8E">
        <w:fldChar w:fldCharType="separate"/>
      </w:r>
      <w:r w:rsidR="00BA1812">
        <w:t xml:space="preserve">Figure </w:t>
      </w:r>
      <w:r w:rsidR="00BA1812">
        <w:rPr>
          <w:noProof/>
        </w:rPr>
        <w:t>10</w:t>
      </w:r>
      <w:r w:rsidR="00CA1C8E">
        <w:fldChar w:fldCharType="end"/>
      </w:r>
      <w:r w:rsidR="00CA1C8E">
        <w:t xml:space="preserve">. </w:t>
      </w:r>
    </w:p>
    <w:p w14:paraId="5C26F490" w14:textId="77777777" w:rsidR="00CA1C8E" w:rsidRDefault="00CA1C8E" w:rsidP="00CA1C8E">
      <w:pPr>
        <w:pStyle w:val="BodyText"/>
        <w:keepNext/>
        <w:jc w:val="center"/>
      </w:pPr>
      <w:r>
        <w:rPr>
          <w:noProof/>
        </w:rPr>
        <w:drawing>
          <wp:inline distT="0" distB="0" distL="0" distR="0" wp14:anchorId="42D962FD" wp14:editId="125E7092">
            <wp:extent cx="5448300" cy="22695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5389" cy="2272496"/>
                    </a:xfrm>
                    <a:prstGeom prst="rect">
                      <a:avLst/>
                    </a:prstGeom>
                  </pic:spPr>
                </pic:pic>
              </a:graphicData>
            </a:graphic>
          </wp:inline>
        </w:drawing>
      </w:r>
    </w:p>
    <w:p w14:paraId="7DDDD8B0" w14:textId="024E5F2A" w:rsidR="00CA1C8E" w:rsidRDefault="00CA1C8E" w:rsidP="00CA1C8E">
      <w:pPr>
        <w:pStyle w:val="Caption"/>
        <w:jc w:val="center"/>
      </w:pPr>
      <w:bookmarkStart w:id="9" w:name="_Ref123764867"/>
      <w:r>
        <w:t xml:space="preserve">Figure </w:t>
      </w:r>
      <w:r>
        <w:fldChar w:fldCharType="begin"/>
      </w:r>
      <w:r>
        <w:instrText xml:space="preserve"> SEQ Figure \* ARABIC </w:instrText>
      </w:r>
      <w:r>
        <w:fldChar w:fldCharType="separate"/>
      </w:r>
      <w:r w:rsidR="00BA1812">
        <w:rPr>
          <w:noProof/>
        </w:rPr>
        <w:t>10</w:t>
      </w:r>
      <w:r>
        <w:fldChar w:fldCharType="end"/>
      </w:r>
      <w:bookmarkEnd w:id="9"/>
      <w:r>
        <w:t>. Margins of safety after resizing laminates.</w:t>
      </w:r>
    </w:p>
    <w:p w14:paraId="67FEEA9A" w14:textId="4C11DCCA" w:rsidR="002A5DA2" w:rsidRPr="0061129E" w:rsidRDefault="002A5DA2" w:rsidP="0061129E">
      <w:pPr>
        <w:pStyle w:val="BodyText"/>
      </w:pPr>
      <w:r>
        <w:t xml:space="preserve">An alternate and equally valid approach to resolving the negative margins would have been to adjust the manufacturing process to move the wrinkles out of critical areas </w:t>
      </w:r>
      <w:r w:rsidR="002952B6">
        <w:rPr>
          <w:highlight w:val="yellow"/>
        </w:rPr>
        <w:fldChar w:fldCharType="begin"/>
      </w:r>
      <w:r w:rsidR="002952B6">
        <w:instrText xml:space="preserve"> REF _Ref123816649 \h </w:instrText>
      </w:r>
      <w:r w:rsidR="002952B6">
        <w:rPr>
          <w:highlight w:val="yellow"/>
        </w:rPr>
      </w:r>
      <w:r w:rsidR="002952B6">
        <w:rPr>
          <w:highlight w:val="yellow"/>
        </w:rPr>
        <w:fldChar w:fldCharType="separate"/>
      </w:r>
      <w:r w:rsidR="00BA1812">
        <w:t>[</w:t>
      </w:r>
      <w:r w:rsidR="00BA1812">
        <w:rPr>
          <w:noProof/>
        </w:rPr>
        <w:t>13</w:t>
      </w:r>
      <w:r w:rsidR="002952B6">
        <w:rPr>
          <w:highlight w:val="yellow"/>
        </w:rPr>
        <w:fldChar w:fldCharType="end"/>
      </w:r>
      <w:r w:rsidR="002952B6">
        <w:t>]</w:t>
      </w:r>
      <w:r>
        <w:t xml:space="preserve">.  </w:t>
      </w:r>
    </w:p>
    <w:p w14:paraId="0B648A1B" w14:textId="0BF60463" w:rsidR="005A46A4" w:rsidRDefault="005A46A4" w:rsidP="005A46A4">
      <w:pPr>
        <w:pStyle w:val="Heading1"/>
      </w:pPr>
      <w:r>
        <w:t>Conclusions</w:t>
      </w:r>
    </w:p>
    <w:p w14:paraId="0F5C338E" w14:textId="69FDDF05" w:rsidR="005A46A4" w:rsidRPr="00B365ED" w:rsidRDefault="00C81015" w:rsidP="000E622B">
      <w:pPr>
        <w:pStyle w:val="BodyText"/>
      </w:pPr>
      <w:r>
        <w:t xml:space="preserve">An initial defect analysis framework has been implemented and tested in the HyperX stress analysis and sizing tool. </w:t>
      </w:r>
      <w:r w:rsidR="00023A8D">
        <w:t>The</w:t>
      </w:r>
      <w:r>
        <w:t xml:space="preserve"> framework uses a generalized import and mapping process to manage defects from any source, physical or simulation</w:t>
      </w:r>
      <w:r w:rsidR="00023A8D">
        <w:t>, and associate them with elements on the stress analysis FEM. This allows the defects to be evaluated against the structural design and internal loads (also stored in HyperX) to determine their impact on the structural margins of safety. The end goal is to enable weight savings by reducing conservatism via localized defect analysis, as well as enable manufacturing rate improvements by relaxing criteria in non-critical regions.</w:t>
      </w:r>
    </w:p>
    <w:p w14:paraId="316B7B85" w14:textId="51540329" w:rsidR="000E622B" w:rsidRPr="00715AF0" w:rsidRDefault="00677643" w:rsidP="000E622B">
      <w:pPr>
        <w:pStyle w:val="Heading1"/>
        <w:rPr>
          <w:rFonts w:ascii="Times New Roman" w:hAnsi="Times New Roman"/>
        </w:rPr>
      </w:pPr>
      <w:r>
        <w:rPr>
          <w:rFonts w:ascii="Times New Roman" w:hAnsi="Times New Roman"/>
        </w:rPr>
        <w:t>References</w:t>
      </w:r>
    </w:p>
    <w:p w14:paraId="1FE1CE43" w14:textId="7E68EFDB" w:rsidR="00853B41" w:rsidRDefault="002D6CAB" w:rsidP="00225B25">
      <w:pPr>
        <w:spacing w:after="60"/>
        <w:ind w:left="547" w:hanging="547"/>
      </w:pPr>
      <w:bookmarkStart w:id="10" w:name="_Ref123806058"/>
      <w:r>
        <w:t>[</w:t>
      </w:r>
      <w:r>
        <w:fldChar w:fldCharType="begin"/>
      </w:r>
      <w:r>
        <w:instrText xml:space="preserve"> SEQ Referece \* ARABIC </w:instrText>
      </w:r>
      <w:r>
        <w:fldChar w:fldCharType="separate"/>
      </w:r>
      <w:r w:rsidR="00BA1812">
        <w:rPr>
          <w:noProof/>
        </w:rPr>
        <w:t>1</w:t>
      </w:r>
      <w:r>
        <w:fldChar w:fldCharType="end"/>
      </w:r>
      <w:bookmarkEnd w:id="10"/>
      <w:r>
        <w:t>]</w:t>
      </w:r>
      <w:r w:rsidR="00715AF0">
        <w:tab/>
      </w:r>
      <w:r>
        <w:t xml:space="preserve">V. </w:t>
      </w:r>
      <w:proofErr w:type="spellStart"/>
      <w:r>
        <w:t>Giurgiutiu</w:t>
      </w:r>
      <w:proofErr w:type="spellEnd"/>
      <w:r>
        <w:t xml:space="preserve">, </w:t>
      </w:r>
      <w:r>
        <w:rPr>
          <w:i/>
          <w:iCs/>
        </w:rPr>
        <w:t xml:space="preserve">Comprehensive Composite Materials II: </w:t>
      </w:r>
      <w:r w:rsidRPr="002D6CAB">
        <w:rPr>
          <w:i/>
          <w:iCs/>
        </w:rPr>
        <w:t>Smart Materials and Health Monitoring of Composites</w:t>
      </w:r>
      <w:r>
        <w:t xml:space="preserve">. Vol 7, </w:t>
      </w:r>
      <w:proofErr w:type="spellStart"/>
      <w:r>
        <w:t>pg</w:t>
      </w:r>
      <w:proofErr w:type="spellEnd"/>
      <w:r>
        <w:t xml:space="preserve"> 364-381, </w:t>
      </w:r>
      <w:r w:rsidRPr="002D6CAB">
        <w:t>Elsevier</w:t>
      </w:r>
      <w:r>
        <w:t>, 2018.</w:t>
      </w:r>
    </w:p>
    <w:p w14:paraId="3FFA17A4" w14:textId="5B2E71FE" w:rsidR="002D6CAB" w:rsidRPr="002D6CAB" w:rsidRDefault="006D1764" w:rsidP="00225B25">
      <w:pPr>
        <w:spacing w:after="60"/>
        <w:ind w:left="547" w:hanging="547"/>
      </w:pPr>
      <w:bookmarkStart w:id="11" w:name="_Ref123806448"/>
      <w:r>
        <w:t>[</w:t>
      </w:r>
      <w:r>
        <w:fldChar w:fldCharType="begin"/>
      </w:r>
      <w:r>
        <w:instrText xml:space="preserve"> SEQ Referece \* ARABIC </w:instrText>
      </w:r>
      <w:r>
        <w:fldChar w:fldCharType="separate"/>
      </w:r>
      <w:r w:rsidR="00BA1812">
        <w:rPr>
          <w:noProof/>
        </w:rPr>
        <w:t>2</w:t>
      </w:r>
      <w:r>
        <w:fldChar w:fldCharType="end"/>
      </w:r>
      <w:bookmarkEnd w:id="11"/>
      <w:r>
        <w:t>]</w:t>
      </w:r>
      <w:r w:rsidR="00715AF0">
        <w:tab/>
      </w:r>
      <w:r w:rsidR="008712FA">
        <w:t xml:space="preserve">Z. del </w:t>
      </w:r>
      <w:r w:rsidR="00656F03">
        <w:t xml:space="preserve">Rosario and R. </w:t>
      </w:r>
      <w:proofErr w:type="spellStart"/>
      <w:r w:rsidR="00656F03">
        <w:t>Fenrich</w:t>
      </w:r>
      <w:proofErr w:type="spellEnd"/>
      <w:r w:rsidR="00656F03">
        <w:t xml:space="preserve">, </w:t>
      </w:r>
      <w:r w:rsidR="00656F03" w:rsidRPr="00656F03">
        <w:rPr>
          <w:i/>
          <w:iCs/>
        </w:rPr>
        <w:t>AIAA Journal</w:t>
      </w:r>
      <w:r w:rsidR="00656F03" w:rsidRPr="00656F03">
        <w:rPr>
          <w:i/>
          <w:iCs/>
        </w:rPr>
        <w:t xml:space="preserve">: </w:t>
      </w:r>
      <w:r w:rsidR="00656F03" w:rsidRPr="00656F03">
        <w:rPr>
          <w:i/>
          <w:iCs/>
        </w:rPr>
        <w:t>When Are Allowables Conservative</w:t>
      </w:r>
      <w:r w:rsidR="00656F03">
        <w:rPr>
          <w:i/>
          <w:iCs/>
        </w:rPr>
        <w:t xml:space="preserve">. </w:t>
      </w:r>
      <w:r w:rsidR="00656F03">
        <w:t>Vol 59, Num 5, AIAA, 2021.</w:t>
      </w:r>
    </w:p>
    <w:p w14:paraId="5C4DAB73" w14:textId="1771FD71" w:rsidR="009F77CD" w:rsidRDefault="00F20C1E" w:rsidP="00225B25">
      <w:pPr>
        <w:spacing w:after="60"/>
        <w:ind w:left="547" w:hanging="547"/>
      </w:pPr>
      <w:bookmarkStart w:id="12" w:name="_Ref123806890"/>
      <w:r>
        <w:t>[</w:t>
      </w:r>
      <w:r w:rsidR="00776D8C">
        <w:fldChar w:fldCharType="begin"/>
      </w:r>
      <w:r w:rsidR="00776D8C">
        <w:instrText xml:space="preserve"> SEQ Referece \* ARABIC </w:instrText>
      </w:r>
      <w:r w:rsidR="00776D8C">
        <w:fldChar w:fldCharType="separate"/>
      </w:r>
      <w:r w:rsidR="00BA1812">
        <w:rPr>
          <w:noProof/>
        </w:rPr>
        <w:t>3</w:t>
      </w:r>
      <w:r w:rsidR="00776D8C">
        <w:fldChar w:fldCharType="end"/>
      </w:r>
      <w:bookmarkEnd w:id="12"/>
      <w:r>
        <w:t>]</w:t>
      </w:r>
      <w:r w:rsidR="00715AF0">
        <w:tab/>
      </w:r>
      <w:r w:rsidR="007C574B">
        <w:t xml:space="preserve">A. </w:t>
      </w:r>
      <w:r w:rsidR="00674B7F" w:rsidRPr="0024140A">
        <w:t>Noevere</w:t>
      </w:r>
      <w:r w:rsidR="00674B7F">
        <w:t xml:space="preserve"> and</w:t>
      </w:r>
      <w:r w:rsidR="00674B7F" w:rsidRPr="0024140A">
        <w:t xml:space="preserve"> </w:t>
      </w:r>
      <w:r w:rsidR="007C574B">
        <w:t xml:space="preserve">C. </w:t>
      </w:r>
      <w:r w:rsidR="00674B7F" w:rsidRPr="0024140A">
        <w:t>Collier, Mapping Manufacturing Data for Stress Analysis of Automated Fiber Placement Structures</w:t>
      </w:r>
      <w:r w:rsidR="00674B7F">
        <w:t>,</w:t>
      </w:r>
      <w:r w:rsidR="00674B7F" w:rsidRPr="0024140A">
        <w:t xml:space="preserve"> </w:t>
      </w:r>
      <w:r w:rsidR="00674B7F" w:rsidRPr="00C66DD9">
        <w:rPr>
          <w:i/>
        </w:rPr>
        <w:t>2018 AIAA/ASCE/AHS/ASC Structures, Structural Dynamics, and Materials Conference</w:t>
      </w:r>
      <w:r w:rsidR="00674B7F" w:rsidRPr="0024140A">
        <w:t>, Kissimmee, FL, 2018</w:t>
      </w:r>
    </w:p>
    <w:p w14:paraId="0458B8BF" w14:textId="54A34307" w:rsidR="004C5E5A" w:rsidRDefault="00F20C1E" w:rsidP="00225B25">
      <w:pPr>
        <w:spacing w:after="60"/>
        <w:ind w:left="547" w:hanging="547"/>
      </w:pPr>
      <w:bookmarkStart w:id="13" w:name="_Ref123806891"/>
      <w:r>
        <w:t>[</w:t>
      </w:r>
      <w:r>
        <w:fldChar w:fldCharType="begin"/>
      </w:r>
      <w:r>
        <w:instrText xml:space="preserve"> SEQ Referece \* ARABIC </w:instrText>
      </w:r>
      <w:r>
        <w:fldChar w:fldCharType="separate"/>
      </w:r>
      <w:r w:rsidR="00BA1812">
        <w:rPr>
          <w:noProof/>
        </w:rPr>
        <w:t>4</w:t>
      </w:r>
      <w:r>
        <w:fldChar w:fldCharType="end"/>
      </w:r>
      <w:bookmarkEnd w:id="13"/>
      <w:r>
        <w:t>]</w:t>
      </w:r>
      <w:r w:rsidR="00715AF0">
        <w:tab/>
      </w:r>
      <w:r w:rsidR="007C574B">
        <w:t xml:space="preserve">A. </w:t>
      </w:r>
      <w:r w:rsidR="007C574B" w:rsidRPr="0024140A">
        <w:t>Noevere</w:t>
      </w:r>
      <w:r w:rsidR="007C574B">
        <w:t xml:space="preserve"> and</w:t>
      </w:r>
      <w:r w:rsidR="007C574B" w:rsidRPr="0024140A">
        <w:t xml:space="preserve"> </w:t>
      </w:r>
      <w:r w:rsidR="007C574B">
        <w:t xml:space="preserve">C. </w:t>
      </w:r>
      <w:r w:rsidR="007C574B" w:rsidRPr="0024140A">
        <w:t>Collier</w:t>
      </w:r>
      <w:r w:rsidR="004C5E5A" w:rsidRPr="0024140A">
        <w:t xml:space="preserve">, </w:t>
      </w:r>
      <w:r w:rsidR="00853B41" w:rsidRPr="00853B41">
        <w:t>Development of a Design for Manufacturing Tool for Automated Fiber Placement Structures</w:t>
      </w:r>
      <w:r w:rsidR="004C5E5A">
        <w:t>,</w:t>
      </w:r>
      <w:r w:rsidR="004C5E5A" w:rsidRPr="0024140A">
        <w:t xml:space="preserve"> </w:t>
      </w:r>
      <w:r w:rsidR="004C5E5A" w:rsidRPr="00C66DD9">
        <w:rPr>
          <w:i/>
        </w:rPr>
        <w:t>201</w:t>
      </w:r>
      <w:r w:rsidR="004C5E5A">
        <w:rPr>
          <w:i/>
        </w:rPr>
        <w:t>9</w:t>
      </w:r>
      <w:r w:rsidR="004C5E5A" w:rsidRPr="00C66DD9">
        <w:rPr>
          <w:i/>
        </w:rPr>
        <w:t xml:space="preserve"> AIAA/ASCE/AHS/ASC Structures, Structural Dynamics, and Materials Conference</w:t>
      </w:r>
      <w:r w:rsidR="004C5E5A" w:rsidRPr="0024140A">
        <w:t xml:space="preserve">, </w:t>
      </w:r>
      <w:r w:rsidR="00853B41">
        <w:t>San Diego</w:t>
      </w:r>
      <w:r w:rsidR="004C5E5A" w:rsidRPr="0024140A">
        <w:t xml:space="preserve">, </w:t>
      </w:r>
      <w:r w:rsidR="00853B41">
        <w:t>CA</w:t>
      </w:r>
      <w:r w:rsidR="004C5E5A" w:rsidRPr="0024140A">
        <w:t>, 201</w:t>
      </w:r>
      <w:r w:rsidR="004C5E5A">
        <w:t>9</w:t>
      </w:r>
    </w:p>
    <w:p w14:paraId="2C01D974" w14:textId="02490DBB" w:rsidR="00674B7F" w:rsidRDefault="00F20C1E" w:rsidP="00225B25">
      <w:pPr>
        <w:spacing w:after="60"/>
        <w:ind w:left="547" w:hanging="547"/>
      </w:pPr>
      <w:bookmarkStart w:id="14" w:name="_Ref123806893"/>
      <w:r>
        <w:t>[</w:t>
      </w:r>
      <w:r>
        <w:fldChar w:fldCharType="begin"/>
      </w:r>
      <w:r>
        <w:instrText xml:space="preserve"> SEQ Referece \* ARABIC </w:instrText>
      </w:r>
      <w:r>
        <w:fldChar w:fldCharType="separate"/>
      </w:r>
      <w:r w:rsidR="00BA1812">
        <w:rPr>
          <w:noProof/>
        </w:rPr>
        <w:t>5</w:t>
      </w:r>
      <w:r>
        <w:fldChar w:fldCharType="end"/>
      </w:r>
      <w:bookmarkEnd w:id="14"/>
      <w:r>
        <w:t>]</w:t>
      </w:r>
      <w:r w:rsidR="00715AF0">
        <w:tab/>
      </w:r>
      <w:r w:rsidR="007C574B">
        <w:t xml:space="preserve">A. </w:t>
      </w:r>
      <w:r w:rsidR="007C574B" w:rsidRPr="0024140A">
        <w:t>Noevere</w:t>
      </w:r>
      <w:r w:rsidR="007C574B">
        <w:t xml:space="preserve"> and</w:t>
      </w:r>
      <w:r w:rsidR="007C574B" w:rsidRPr="0024140A">
        <w:t xml:space="preserve"> </w:t>
      </w:r>
      <w:r w:rsidR="007C574B">
        <w:t xml:space="preserve">C. </w:t>
      </w:r>
      <w:r w:rsidR="007C574B" w:rsidRPr="0024140A">
        <w:t>Collier</w:t>
      </w:r>
      <w:r w:rsidR="00674B7F" w:rsidRPr="0024140A">
        <w:t xml:space="preserve">, </w:t>
      </w:r>
      <w:r w:rsidR="00674B7F" w:rsidRPr="00000C09">
        <w:t>Design for Manufacturing Tool for Automated Fiber Placement Structures – Verification and Validation</w:t>
      </w:r>
      <w:r w:rsidR="00674B7F">
        <w:t>,</w:t>
      </w:r>
      <w:r w:rsidR="00674B7F" w:rsidRPr="0024140A">
        <w:t xml:space="preserve"> </w:t>
      </w:r>
      <w:r w:rsidR="00674B7F" w:rsidRPr="00C66DD9">
        <w:rPr>
          <w:i/>
        </w:rPr>
        <w:t>20</w:t>
      </w:r>
      <w:r w:rsidR="00674B7F">
        <w:rPr>
          <w:i/>
        </w:rPr>
        <w:t>20</w:t>
      </w:r>
      <w:r w:rsidR="00674B7F" w:rsidRPr="00C66DD9">
        <w:rPr>
          <w:i/>
        </w:rPr>
        <w:t xml:space="preserve"> AIAA/ASCE/AHS/ASC Structures, Structural Dynamics, and Materials Conference</w:t>
      </w:r>
      <w:r w:rsidR="00674B7F" w:rsidRPr="0024140A">
        <w:t xml:space="preserve">, </w:t>
      </w:r>
      <w:r w:rsidR="00674B7F">
        <w:t>Orlando, FL</w:t>
      </w:r>
      <w:r w:rsidR="00674B7F">
        <w:t>, 2020</w:t>
      </w:r>
    </w:p>
    <w:p w14:paraId="18489997" w14:textId="0DB03682" w:rsidR="008712FA" w:rsidRDefault="007309ED" w:rsidP="00225B25">
      <w:pPr>
        <w:spacing w:after="60"/>
        <w:ind w:left="547" w:hanging="547"/>
      </w:pPr>
      <w:bookmarkStart w:id="15" w:name="_Ref123814050"/>
      <w:r>
        <w:lastRenderedPageBreak/>
        <w:t>[</w:t>
      </w:r>
      <w:r>
        <w:fldChar w:fldCharType="begin"/>
      </w:r>
      <w:r>
        <w:instrText xml:space="preserve"> SEQ Referece \* ARABIC </w:instrText>
      </w:r>
      <w:r>
        <w:fldChar w:fldCharType="separate"/>
      </w:r>
      <w:r w:rsidR="00BA1812">
        <w:rPr>
          <w:noProof/>
        </w:rPr>
        <w:t>6</w:t>
      </w:r>
      <w:r>
        <w:fldChar w:fldCharType="end"/>
      </w:r>
      <w:bookmarkEnd w:id="15"/>
      <w:r>
        <w:t>]</w:t>
      </w:r>
      <w:r w:rsidR="00715AF0">
        <w:tab/>
      </w:r>
      <w:r w:rsidR="008712FA">
        <w:t xml:space="preserve">C. Sacco, A. Radwan, A. Anderson, R. Harik, and E. Gregory, </w:t>
      </w:r>
      <w:r w:rsidR="008712FA" w:rsidRPr="008712FA">
        <w:rPr>
          <w:i/>
          <w:iCs/>
        </w:rPr>
        <w:t xml:space="preserve">Composite Structures: </w:t>
      </w:r>
      <w:r w:rsidR="008712FA" w:rsidRPr="008712FA">
        <w:rPr>
          <w:i/>
          <w:iCs/>
        </w:rPr>
        <w:t>Machine learning in composites manufacturing: A case study of Automated Fiber Placement inspection</w:t>
      </w:r>
      <w:r>
        <w:rPr>
          <w:i/>
          <w:iCs/>
        </w:rPr>
        <w:t xml:space="preserve">. </w:t>
      </w:r>
      <w:r>
        <w:t>Vol 250, 15. Elsevier, 2020.</w:t>
      </w:r>
    </w:p>
    <w:p w14:paraId="6F19638E" w14:textId="1CB21C17" w:rsidR="00225B25" w:rsidRDefault="00225B25" w:rsidP="00225B25">
      <w:pPr>
        <w:spacing w:after="60"/>
        <w:ind w:left="547" w:hanging="547"/>
      </w:pPr>
      <w:bookmarkStart w:id="16" w:name="_Ref123817955"/>
      <w:r>
        <w:t>[</w:t>
      </w:r>
      <w:r>
        <w:fldChar w:fldCharType="begin"/>
      </w:r>
      <w:r>
        <w:instrText xml:space="preserve"> SEQ Referece \* ARABIC </w:instrText>
      </w:r>
      <w:r>
        <w:fldChar w:fldCharType="separate"/>
      </w:r>
      <w:r w:rsidR="00BA1812">
        <w:rPr>
          <w:noProof/>
        </w:rPr>
        <w:t>7</w:t>
      </w:r>
      <w:r>
        <w:fldChar w:fldCharType="end"/>
      </w:r>
      <w:bookmarkEnd w:id="16"/>
      <w:r>
        <w:t>]</w:t>
      </w:r>
      <w:r>
        <w:tab/>
      </w:r>
      <w:r>
        <w:t xml:space="preserve">Hutten, V., Forghani, A., Silva, P., Hickmott, C., Sreekantamurthy, T., Wohl, C., Grimsley, B., Coxon, B., </w:t>
      </w:r>
      <w:proofErr w:type="spellStart"/>
      <w:r>
        <w:t>Poursartip</w:t>
      </w:r>
      <w:proofErr w:type="spellEnd"/>
      <w:r>
        <w:t>, A., A Validation Study of a Physics-based Tack Model for an Automated Fiber Placement Process Simulation, SAMPE 2019 Technical Conference and Exhibition, Charlotte, NC, 2019</w:t>
      </w:r>
    </w:p>
    <w:p w14:paraId="3C0D3C17" w14:textId="698BAB7E" w:rsidR="00225B25" w:rsidRDefault="00225B25" w:rsidP="00225B25">
      <w:pPr>
        <w:spacing w:after="60"/>
        <w:ind w:left="547" w:hanging="547"/>
      </w:pPr>
      <w:bookmarkStart w:id="17" w:name="_Ref123817957"/>
      <w:r>
        <w:t>[</w:t>
      </w:r>
      <w:r>
        <w:fldChar w:fldCharType="begin"/>
      </w:r>
      <w:r>
        <w:instrText xml:space="preserve"> SEQ Referece \* ARABIC </w:instrText>
      </w:r>
      <w:r>
        <w:fldChar w:fldCharType="separate"/>
      </w:r>
      <w:r w:rsidR="00BA1812">
        <w:rPr>
          <w:noProof/>
        </w:rPr>
        <w:t>8</w:t>
      </w:r>
      <w:r>
        <w:fldChar w:fldCharType="end"/>
      </w:r>
      <w:bookmarkEnd w:id="17"/>
      <w:r>
        <w:t>]</w:t>
      </w:r>
      <w:r>
        <w:tab/>
      </w:r>
      <w:proofErr w:type="spellStart"/>
      <w:r>
        <w:t>Bedayat</w:t>
      </w:r>
      <w:proofErr w:type="spellEnd"/>
      <w:r>
        <w:t xml:space="preserve">, H., Roy, M., Forghani, A., Hickmott, C., Palmieri, F., Grimsley, B., Coxon, B., </w:t>
      </w:r>
      <w:proofErr w:type="spellStart"/>
      <w:r>
        <w:t>Fernlund</w:t>
      </w:r>
      <w:proofErr w:type="spellEnd"/>
      <w:r>
        <w:t xml:space="preserve">, G., </w:t>
      </w:r>
      <w:proofErr w:type="spellStart"/>
      <w:r>
        <w:t>Poursartip</w:t>
      </w:r>
      <w:proofErr w:type="spellEnd"/>
      <w:r>
        <w:t>, A., An Efficient Modelling Approach for Prediction of Porosity Severity in Composite Structures, SAMPE 2017 Technical Conference and Exhibition, Seattle, WA, 2017</w:t>
      </w:r>
    </w:p>
    <w:p w14:paraId="62C721C9" w14:textId="6073DB47" w:rsidR="00225B25" w:rsidRDefault="00225B25" w:rsidP="00225B25">
      <w:pPr>
        <w:spacing w:after="60"/>
        <w:ind w:left="547" w:hanging="547"/>
      </w:pPr>
      <w:bookmarkStart w:id="18" w:name="_Ref123817958"/>
      <w:r>
        <w:t>[</w:t>
      </w:r>
      <w:r>
        <w:fldChar w:fldCharType="begin"/>
      </w:r>
      <w:r>
        <w:instrText xml:space="preserve"> SEQ Referece \* ARABIC </w:instrText>
      </w:r>
      <w:r>
        <w:fldChar w:fldCharType="separate"/>
      </w:r>
      <w:r w:rsidR="00BA1812">
        <w:rPr>
          <w:noProof/>
        </w:rPr>
        <w:t>9</w:t>
      </w:r>
      <w:r>
        <w:fldChar w:fldCharType="end"/>
      </w:r>
      <w:bookmarkEnd w:id="18"/>
      <w:r>
        <w:t>]</w:t>
      </w:r>
      <w:r>
        <w:tab/>
      </w:r>
      <w:proofErr w:type="spellStart"/>
      <w:r>
        <w:t>Bedayat</w:t>
      </w:r>
      <w:proofErr w:type="spellEnd"/>
      <w:r>
        <w:t xml:space="preserve">, H., Forghani, A., Hickmott, C., Palmieri, F., Grimsley, B., Coxon, B., </w:t>
      </w:r>
      <w:proofErr w:type="spellStart"/>
      <w:r>
        <w:t>Fernlund</w:t>
      </w:r>
      <w:proofErr w:type="spellEnd"/>
      <w:r>
        <w:t xml:space="preserve">, G., </w:t>
      </w:r>
      <w:proofErr w:type="spellStart"/>
      <w:r>
        <w:t>Poursartip</w:t>
      </w:r>
      <w:proofErr w:type="spellEnd"/>
      <w:r>
        <w:t>, A., Numerical and Experimental Study of Local Resin Pressure for the Manufacturing of Composite Structures and their Effect on Porosity, SAMPE 2018 Technical Conference and Exhibition, Long Beach, CA, 2018</w:t>
      </w:r>
    </w:p>
    <w:p w14:paraId="0F4B13FC" w14:textId="07CDCB26" w:rsidR="00225B25" w:rsidRDefault="00225B25" w:rsidP="00225B25">
      <w:pPr>
        <w:spacing w:after="60"/>
        <w:ind w:left="547" w:hanging="547"/>
      </w:pPr>
      <w:bookmarkStart w:id="19" w:name="_Ref123817959"/>
      <w:r>
        <w:t>[</w:t>
      </w:r>
      <w:r>
        <w:fldChar w:fldCharType="begin"/>
      </w:r>
      <w:r>
        <w:instrText xml:space="preserve"> SEQ Referece \* ARABIC </w:instrText>
      </w:r>
      <w:r>
        <w:fldChar w:fldCharType="separate"/>
      </w:r>
      <w:r w:rsidR="00BA1812">
        <w:rPr>
          <w:noProof/>
        </w:rPr>
        <w:t>10</w:t>
      </w:r>
      <w:r>
        <w:fldChar w:fldCharType="end"/>
      </w:r>
      <w:bookmarkEnd w:id="19"/>
      <w:r>
        <w:t>]</w:t>
      </w:r>
      <w:r>
        <w:tab/>
      </w:r>
      <w:r>
        <w:t xml:space="preserve">Hickmott, C., Forghani, A., Hutten, V., </w:t>
      </w:r>
      <w:proofErr w:type="spellStart"/>
      <w:r>
        <w:t>Lorbiecki</w:t>
      </w:r>
      <w:proofErr w:type="spellEnd"/>
      <w:r>
        <w:t xml:space="preserve">, E., Palmieri, F., Grimsley, B., Coxon, B., </w:t>
      </w:r>
      <w:proofErr w:type="spellStart"/>
      <w:r>
        <w:t>Fernlund</w:t>
      </w:r>
      <w:proofErr w:type="spellEnd"/>
      <w:r>
        <w:t xml:space="preserve">, G., </w:t>
      </w:r>
      <w:proofErr w:type="spellStart"/>
      <w:r>
        <w:t>Poursartip</w:t>
      </w:r>
      <w:proofErr w:type="spellEnd"/>
      <w:r>
        <w:t>, A., A Numerical and Experimental Approach for Modeling Porosity Due to Entrapped Air and Volatiles Off-gassing During Manufacturing of Composite Structures, SAMPE 2019 Technical Conference and Exhibition, Charlotte, NC, 2019</w:t>
      </w:r>
    </w:p>
    <w:p w14:paraId="0B6EBD1F" w14:textId="767FEF61" w:rsidR="00DC2743" w:rsidRPr="00DC2743" w:rsidRDefault="00DC2743" w:rsidP="00225B25">
      <w:pPr>
        <w:spacing w:after="60"/>
        <w:ind w:left="547" w:hanging="547"/>
      </w:pPr>
      <w:bookmarkStart w:id="20" w:name="_Ref123814930"/>
      <w:r>
        <w:t>[</w:t>
      </w:r>
      <w:r>
        <w:fldChar w:fldCharType="begin"/>
      </w:r>
      <w:r>
        <w:instrText xml:space="preserve"> SEQ Referece \* ARABIC </w:instrText>
      </w:r>
      <w:r>
        <w:fldChar w:fldCharType="separate"/>
      </w:r>
      <w:r w:rsidR="00BA1812">
        <w:rPr>
          <w:noProof/>
        </w:rPr>
        <w:t>11</w:t>
      </w:r>
      <w:r>
        <w:fldChar w:fldCharType="end"/>
      </w:r>
      <w:bookmarkEnd w:id="20"/>
      <w:r>
        <w:t>]</w:t>
      </w:r>
      <w:r w:rsidR="00715AF0">
        <w:tab/>
      </w:r>
      <w:r>
        <w:t xml:space="preserve">S. </w:t>
      </w:r>
      <w:r w:rsidRPr="00DC2743">
        <w:t>Joglekar</w:t>
      </w:r>
      <w:r>
        <w:t>,</w:t>
      </w:r>
      <w:r w:rsidRPr="00DC2743">
        <w:t xml:space="preserve"> </w:t>
      </w:r>
      <w:r>
        <w:t xml:space="preserve">M. </w:t>
      </w:r>
      <w:r w:rsidRPr="00DC2743">
        <w:t>Pankow,</w:t>
      </w:r>
      <w:r>
        <w:t xml:space="preserve"> and</w:t>
      </w:r>
      <w:r w:rsidRPr="00DC2743">
        <w:t xml:space="preserve"> </w:t>
      </w:r>
      <w:r>
        <w:t>V.</w:t>
      </w:r>
      <w:r w:rsidRPr="00DC2743">
        <w:t xml:space="preserve"> Ranatunga</w:t>
      </w:r>
      <w:r>
        <w:t>,</w:t>
      </w:r>
      <w:r w:rsidRPr="00DC2743">
        <w:t xml:space="preserve"> Simulation of BVID and CAI </w:t>
      </w:r>
      <w:r>
        <w:t>S</w:t>
      </w:r>
      <w:r w:rsidRPr="00DC2743">
        <w:t xml:space="preserve">trength of </w:t>
      </w:r>
      <w:r>
        <w:t>C</w:t>
      </w:r>
      <w:r w:rsidRPr="00DC2743">
        <w:t xml:space="preserve">arbon </w:t>
      </w:r>
      <w:r>
        <w:t>F</w:t>
      </w:r>
      <w:r w:rsidRPr="00DC2743">
        <w:t xml:space="preserve">iber </w:t>
      </w:r>
      <w:r>
        <w:t>R</w:t>
      </w:r>
      <w:r w:rsidRPr="00DC2743">
        <w:t xml:space="preserve">einforced </w:t>
      </w:r>
      <w:r>
        <w:t>C</w:t>
      </w:r>
      <w:r w:rsidRPr="00DC2743">
        <w:t xml:space="preserve">omposite </w:t>
      </w:r>
      <w:r>
        <w:t>L</w:t>
      </w:r>
      <w:r w:rsidRPr="00DC2743">
        <w:t>aminates</w:t>
      </w:r>
      <w:r>
        <w:t xml:space="preserve">, </w:t>
      </w:r>
      <w:r w:rsidRPr="00DC2743">
        <w:rPr>
          <w:i/>
          <w:iCs/>
        </w:rPr>
        <w:t>Proceedings of the American Society for Composites</w:t>
      </w:r>
      <w:r>
        <w:t>, 2016.</w:t>
      </w:r>
    </w:p>
    <w:p w14:paraId="77ADE44D" w14:textId="085DBFE4" w:rsidR="00636B9C" w:rsidRDefault="003B5554" w:rsidP="00225B25">
      <w:pPr>
        <w:spacing w:after="60"/>
        <w:ind w:left="547" w:hanging="547"/>
      </w:pPr>
      <w:bookmarkStart w:id="21" w:name="_Ref123815883"/>
      <w:r>
        <w:t>[</w:t>
      </w:r>
      <w:r>
        <w:fldChar w:fldCharType="begin"/>
      </w:r>
      <w:r>
        <w:instrText xml:space="preserve"> SEQ Referece \* ARABIC </w:instrText>
      </w:r>
      <w:r>
        <w:fldChar w:fldCharType="separate"/>
      </w:r>
      <w:r w:rsidR="00BA1812">
        <w:rPr>
          <w:noProof/>
        </w:rPr>
        <w:t>12</w:t>
      </w:r>
      <w:r>
        <w:fldChar w:fldCharType="end"/>
      </w:r>
      <w:bookmarkEnd w:id="21"/>
      <w:r>
        <w:t>]</w:t>
      </w:r>
      <w:r w:rsidR="00715AF0">
        <w:tab/>
      </w:r>
      <w:r>
        <w:t xml:space="preserve">A. </w:t>
      </w:r>
      <w:r w:rsidRPr="0024140A">
        <w:t>Noevere</w:t>
      </w:r>
      <w:r>
        <w:t xml:space="preserve"> and</w:t>
      </w:r>
      <w:r w:rsidRPr="0024140A">
        <w:t xml:space="preserve"> </w:t>
      </w:r>
      <w:r>
        <w:t xml:space="preserve">C. </w:t>
      </w:r>
      <w:r w:rsidRPr="0024140A">
        <w:t>Collier</w:t>
      </w:r>
      <w:r>
        <w:t xml:space="preserve">, </w:t>
      </w:r>
      <w:r w:rsidRPr="003B5554">
        <w:t>Verification and Validation of Integrated Design and Manufacturing Analysis Tool for AFP Structures</w:t>
      </w:r>
      <w:r>
        <w:t xml:space="preserve">, </w:t>
      </w:r>
      <w:r w:rsidRPr="003B5554">
        <w:rPr>
          <w:i/>
          <w:iCs/>
        </w:rPr>
        <w:t>SAMPE Conference Proceedings</w:t>
      </w:r>
      <w:r>
        <w:t>, 2020</w:t>
      </w:r>
    </w:p>
    <w:p w14:paraId="27F607C9" w14:textId="11FADA24" w:rsidR="00493068" w:rsidRPr="003B5554" w:rsidRDefault="002952B6" w:rsidP="00225B25">
      <w:pPr>
        <w:spacing w:after="60"/>
        <w:ind w:left="547" w:hanging="547"/>
      </w:pPr>
      <w:bookmarkStart w:id="22" w:name="_Ref123816649"/>
      <w:r>
        <w:t>[</w:t>
      </w:r>
      <w:r>
        <w:fldChar w:fldCharType="begin"/>
      </w:r>
      <w:r>
        <w:instrText xml:space="preserve"> SEQ Referece \* ARABIC </w:instrText>
      </w:r>
      <w:r>
        <w:fldChar w:fldCharType="separate"/>
      </w:r>
      <w:r w:rsidR="00BA1812">
        <w:rPr>
          <w:noProof/>
        </w:rPr>
        <w:t>13</w:t>
      </w:r>
      <w:r>
        <w:fldChar w:fldCharType="end"/>
      </w:r>
      <w:bookmarkEnd w:id="22"/>
      <w:r>
        <w:t>]</w:t>
      </w:r>
      <w:r w:rsidR="00715AF0">
        <w:tab/>
      </w:r>
      <w:r w:rsidR="00493068">
        <w:t>A.</w:t>
      </w:r>
      <w:r w:rsidR="00493068" w:rsidRPr="00493068">
        <w:t xml:space="preserve"> Brasington, C</w:t>
      </w:r>
      <w:r w:rsidR="00493068">
        <w:t>.</w:t>
      </w:r>
      <w:r w:rsidR="00493068" w:rsidRPr="00493068">
        <w:t xml:space="preserve"> Smith, J</w:t>
      </w:r>
      <w:r w:rsidR="00493068">
        <w:t>.</w:t>
      </w:r>
      <w:r w:rsidR="00493068" w:rsidRPr="00493068">
        <w:t xml:space="preserve"> Halbritter, R</w:t>
      </w:r>
      <w:r w:rsidR="00493068">
        <w:t>.</w:t>
      </w:r>
      <w:r w:rsidR="00493068" w:rsidRPr="00493068">
        <w:t xml:space="preserve"> </w:t>
      </w:r>
      <w:proofErr w:type="spellStart"/>
      <w:r w:rsidR="00493068" w:rsidRPr="00493068">
        <w:t>Wehbe</w:t>
      </w:r>
      <w:proofErr w:type="spellEnd"/>
      <w:r w:rsidR="00493068" w:rsidRPr="00493068">
        <w:t>,</w:t>
      </w:r>
      <w:r w:rsidR="00493068">
        <w:t xml:space="preserve"> and</w:t>
      </w:r>
      <w:r w:rsidR="00493068" w:rsidRPr="00493068">
        <w:t xml:space="preserve"> R</w:t>
      </w:r>
      <w:r w:rsidR="00493068">
        <w:t>.</w:t>
      </w:r>
      <w:r w:rsidR="00493068" w:rsidRPr="00493068">
        <w:t xml:space="preserve"> Harik</w:t>
      </w:r>
      <w:r w:rsidR="00493068">
        <w:t xml:space="preserve">, </w:t>
      </w:r>
      <w:r w:rsidR="00493068" w:rsidRPr="00493068">
        <w:t>Surrogate Based Methods for Rapid Starting Point Optimization in Automated Fiber Placement</w:t>
      </w:r>
      <w:r w:rsidR="00493068">
        <w:t xml:space="preserve">, </w:t>
      </w:r>
      <w:r w:rsidR="00493068" w:rsidRPr="003B5554">
        <w:rPr>
          <w:i/>
          <w:iCs/>
        </w:rPr>
        <w:t>SAMPE Conference Proceedings</w:t>
      </w:r>
      <w:r w:rsidR="00493068">
        <w:t xml:space="preserve">, </w:t>
      </w:r>
      <w:r w:rsidR="00493068">
        <w:t xml:space="preserve">Charlotte, NC, </w:t>
      </w:r>
      <w:r w:rsidR="00493068">
        <w:t>202</w:t>
      </w:r>
      <w:r w:rsidR="00493068">
        <w:t>2</w:t>
      </w:r>
    </w:p>
    <w:p w14:paraId="0BFF79FA" w14:textId="3AEB7D15" w:rsidR="00636B9C" w:rsidRDefault="00636B9C" w:rsidP="00636B9C">
      <w:pPr>
        <w:pStyle w:val="Heading1"/>
      </w:pPr>
      <w:r>
        <w:t>Acknowledgements</w:t>
      </w:r>
    </w:p>
    <w:p w14:paraId="5B73A6FE" w14:textId="77777777" w:rsidR="00636B9C" w:rsidRDefault="00636B9C" w:rsidP="00636B9C">
      <w:r w:rsidRPr="009E7C4A">
        <w:t xml:space="preserve">The material contained in this paper is based upon work supported by NASA under award No. </w:t>
      </w:r>
      <w:r w:rsidRPr="00FF6A0A">
        <w:t>80NSSC22M0157</w:t>
      </w:r>
      <w:r>
        <w:t>.</w:t>
      </w:r>
    </w:p>
    <w:p w14:paraId="7EDA582E" w14:textId="77777777" w:rsidR="00636B9C" w:rsidRDefault="00636B9C" w:rsidP="00636B9C"/>
    <w:p w14:paraId="1975CADC" w14:textId="77777777" w:rsidR="00636B9C" w:rsidRDefault="00636B9C" w:rsidP="00636B9C">
      <w:r w:rsidRPr="002E6C93">
        <w:t>Any opinions, findings, and conclusions or recommendations expressed in this material are those of the author(s) and do not necessarily reflect the views of the National Aeronautics and Space Administration.</w:t>
      </w:r>
    </w:p>
    <w:p w14:paraId="772A56A2" w14:textId="3FD6731A" w:rsidR="00636B9C" w:rsidRDefault="00636B9C" w:rsidP="00B91923"/>
    <w:p w14:paraId="210A7C3F" w14:textId="34079DE3" w:rsidR="00D011FF" w:rsidRPr="00636B9C" w:rsidRDefault="00D011FF" w:rsidP="00636B9C">
      <w:pPr>
        <w:pStyle w:val="BodyText"/>
      </w:pPr>
      <w:r>
        <w:t xml:space="preserve">Thanks to the </w:t>
      </w:r>
      <w:proofErr w:type="spellStart"/>
      <w:r>
        <w:t>McNAIR</w:t>
      </w:r>
      <w:proofErr w:type="spellEnd"/>
      <w:r>
        <w:t xml:space="preserve"> Center at University of South Carolina for providing the CAD model and wrinkle scan data.</w:t>
      </w:r>
    </w:p>
    <w:sectPr w:rsidR="00D011FF" w:rsidRPr="00636B9C" w:rsidSect="00ED0592">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5C430" w14:textId="77777777" w:rsidR="00617D21" w:rsidRDefault="00617D21" w:rsidP="00ED0592">
      <w:r>
        <w:separator/>
      </w:r>
    </w:p>
  </w:endnote>
  <w:endnote w:type="continuationSeparator" w:id="0">
    <w:p w14:paraId="372ACE86" w14:textId="77777777" w:rsidR="00617D21" w:rsidRDefault="00617D21" w:rsidP="00ED0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B25E" w14:textId="2219B91D" w:rsidR="00ED0592" w:rsidRDefault="00E74180" w:rsidP="008C6245">
    <w:pPr>
      <w:pStyle w:val="Footer"/>
      <w:jc w:val="center"/>
      <w:rPr>
        <w:i/>
        <w:sz w:val="18"/>
      </w:rPr>
    </w:pPr>
    <w:r>
      <w:rPr>
        <w:i/>
        <w:sz w:val="18"/>
      </w:rPr>
      <w:t>Copyright 20</w:t>
    </w:r>
    <w:r w:rsidR="008C6245">
      <w:rPr>
        <w:i/>
        <w:sz w:val="18"/>
      </w:rPr>
      <w:t>2</w:t>
    </w:r>
    <w:r w:rsidR="0049421B">
      <w:rPr>
        <w:i/>
        <w:sz w:val="18"/>
      </w:rPr>
      <w:t>3</w:t>
    </w:r>
    <w:r w:rsidR="00ED0592">
      <w:rPr>
        <w:i/>
        <w:sz w:val="18"/>
      </w:rPr>
      <w:t>. Used by the Society of the Advancement of Material and Process Engineering with permission.</w:t>
    </w:r>
  </w:p>
  <w:p w14:paraId="19408B01" w14:textId="77777777" w:rsidR="00ED0592" w:rsidRDefault="00ED0592" w:rsidP="008C6245">
    <w:pPr>
      <w:pStyle w:val="Footer"/>
      <w:jc w:val="center"/>
      <w:rPr>
        <w:i/>
        <w:sz w:val="18"/>
      </w:rPr>
    </w:pPr>
  </w:p>
  <w:p w14:paraId="5C216A72" w14:textId="5B6EFC18" w:rsidR="00ED0592" w:rsidRDefault="00ED0592" w:rsidP="008C6245">
    <w:pPr>
      <w:pStyle w:val="Footer"/>
      <w:jc w:val="center"/>
      <w:rPr>
        <w:i/>
        <w:iCs/>
        <w:color w:val="000000"/>
        <w:sz w:val="18"/>
        <w:szCs w:val="18"/>
      </w:rPr>
    </w:pPr>
    <w:r>
      <w:rPr>
        <w:i/>
        <w:iCs/>
        <w:color w:val="000000"/>
        <w:sz w:val="18"/>
        <w:szCs w:val="18"/>
      </w:rPr>
      <w:t xml:space="preserve">SAMPE Conference Proceedings. </w:t>
    </w:r>
    <w:r w:rsidR="0049421B">
      <w:rPr>
        <w:i/>
        <w:iCs/>
        <w:color w:val="000000"/>
        <w:sz w:val="18"/>
        <w:szCs w:val="18"/>
      </w:rPr>
      <w:t>Seattle</w:t>
    </w:r>
    <w:r>
      <w:rPr>
        <w:i/>
        <w:iCs/>
        <w:color w:val="000000"/>
        <w:sz w:val="18"/>
        <w:szCs w:val="18"/>
      </w:rPr>
      <w:t>,</w:t>
    </w:r>
    <w:r w:rsidR="008C6245">
      <w:rPr>
        <w:i/>
        <w:iCs/>
        <w:color w:val="000000"/>
        <w:sz w:val="18"/>
        <w:szCs w:val="18"/>
      </w:rPr>
      <w:t xml:space="preserve"> </w:t>
    </w:r>
    <w:r w:rsidR="0049421B">
      <w:rPr>
        <w:i/>
        <w:iCs/>
        <w:color w:val="000000"/>
        <w:sz w:val="18"/>
        <w:szCs w:val="18"/>
      </w:rPr>
      <w:t>W</w:t>
    </w:r>
    <w:r w:rsidR="008C6245">
      <w:rPr>
        <w:i/>
        <w:iCs/>
        <w:color w:val="000000"/>
        <w:sz w:val="18"/>
        <w:szCs w:val="18"/>
      </w:rPr>
      <w:t>A</w:t>
    </w:r>
    <w:r>
      <w:rPr>
        <w:i/>
        <w:iCs/>
        <w:color w:val="000000"/>
        <w:sz w:val="18"/>
        <w:szCs w:val="18"/>
      </w:rPr>
      <w:t xml:space="preserve">, </w:t>
    </w:r>
    <w:r w:rsidR="0049421B">
      <w:rPr>
        <w:i/>
        <w:iCs/>
        <w:color w:val="000000"/>
        <w:sz w:val="18"/>
        <w:szCs w:val="18"/>
      </w:rPr>
      <w:t>April</w:t>
    </w:r>
    <w:r>
      <w:rPr>
        <w:i/>
        <w:iCs/>
        <w:color w:val="000000"/>
        <w:sz w:val="18"/>
        <w:szCs w:val="18"/>
      </w:rPr>
      <w:t xml:space="preserve"> </w:t>
    </w:r>
    <w:r w:rsidR="00F76B8B">
      <w:rPr>
        <w:i/>
        <w:iCs/>
        <w:color w:val="000000"/>
        <w:sz w:val="18"/>
        <w:szCs w:val="18"/>
      </w:rPr>
      <w:t>17</w:t>
    </w:r>
    <w:r w:rsidR="008C6245">
      <w:rPr>
        <w:i/>
        <w:iCs/>
        <w:color w:val="000000"/>
        <w:sz w:val="18"/>
        <w:szCs w:val="18"/>
      </w:rPr>
      <w:t>-</w:t>
    </w:r>
    <w:r w:rsidR="001C13CD">
      <w:rPr>
        <w:i/>
        <w:iCs/>
        <w:color w:val="000000"/>
        <w:sz w:val="18"/>
        <w:szCs w:val="18"/>
      </w:rPr>
      <w:t>2</w:t>
    </w:r>
    <w:r w:rsidR="00565CA6">
      <w:rPr>
        <w:i/>
        <w:iCs/>
        <w:color w:val="000000"/>
        <w:sz w:val="18"/>
        <w:szCs w:val="18"/>
      </w:rPr>
      <w:t>0</w:t>
    </w:r>
    <w:r>
      <w:rPr>
        <w:i/>
        <w:iCs/>
        <w:color w:val="000000"/>
        <w:sz w:val="18"/>
        <w:szCs w:val="18"/>
      </w:rPr>
      <w:t>, 20</w:t>
    </w:r>
    <w:r w:rsidR="008C6245">
      <w:rPr>
        <w:i/>
        <w:iCs/>
        <w:color w:val="000000"/>
        <w:sz w:val="18"/>
        <w:szCs w:val="18"/>
      </w:rPr>
      <w:t>2</w:t>
    </w:r>
    <w:r w:rsidR="00335EEE">
      <w:rPr>
        <w:i/>
        <w:iCs/>
        <w:color w:val="000000"/>
        <w:sz w:val="18"/>
        <w:szCs w:val="18"/>
      </w:rPr>
      <w:t>3</w:t>
    </w:r>
    <w:r>
      <w:rPr>
        <w:i/>
        <w:iCs/>
        <w:color w:val="000000"/>
        <w:sz w:val="18"/>
        <w:szCs w:val="18"/>
      </w:rPr>
      <w:t>. Society for the Advancement of Material and Process Engineering</w:t>
    </w:r>
    <w:r w:rsidR="008C6245">
      <w:rPr>
        <w:i/>
        <w:iCs/>
        <w:color w:val="000000"/>
        <w:sz w:val="18"/>
        <w:szCs w:val="18"/>
      </w:rPr>
      <w:t xml:space="preserve"> </w:t>
    </w:r>
    <w:r>
      <w:rPr>
        <w:i/>
        <w:iCs/>
        <w:color w:val="000000"/>
        <w:sz w:val="18"/>
        <w:szCs w:val="18"/>
      </w:rPr>
      <w:t>– North America.</w:t>
    </w:r>
  </w:p>
  <w:p w14:paraId="08FD8364" w14:textId="47AEE611" w:rsidR="00ED0592" w:rsidRDefault="005E4614">
    <w:pPr>
      <w:pStyle w:val="Footer"/>
    </w:pPr>
    <w:r>
      <w:t>(DOI will be added by SAMPE)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5077A" w14:textId="77777777" w:rsidR="00617D21" w:rsidRDefault="00617D21" w:rsidP="00ED0592">
      <w:r>
        <w:separator/>
      </w:r>
    </w:p>
  </w:footnote>
  <w:footnote w:type="continuationSeparator" w:id="0">
    <w:p w14:paraId="3CBA9058" w14:textId="77777777" w:rsidR="00617D21" w:rsidRDefault="00617D21" w:rsidP="00ED05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BB7FD" w14:textId="117EE77C" w:rsidR="005E4614" w:rsidRDefault="005E4614">
    <w:pPr>
      <w:pStyle w:val="Header"/>
    </w:pPr>
  </w:p>
  <w:p w14:paraId="15D6E898" w14:textId="77777777" w:rsidR="0049421B" w:rsidRDefault="004942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46E982"/>
    <w:lvl w:ilvl="0">
      <w:start w:val="1"/>
      <w:numFmt w:val="decimal"/>
      <w:lvlText w:val="%1."/>
      <w:lvlJc w:val="left"/>
      <w:pPr>
        <w:tabs>
          <w:tab w:val="num" w:pos="1800"/>
        </w:tabs>
        <w:ind w:left="1800" w:hanging="360"/>
      </w:pPr>
      <w:rPr>
        <w:rFonts w:ascii="Times New Roman" w:hAnsi="Times New Roman" w:cs="Times New Roman"/>
      </w:rPr>
    </w:lvl>
  </w:abstractNum>
  <w:abstractNum w:abstractNumId="1" w15:restartNumberingAfterBreak="0">
    <w:nsid w:val="FFFFFF7D"/>
    <w:multiLevelType w:val="singleLevel"/>
    <w:tmpl w:val="1FD6BB70"/>
    <w:lvl w:ilvl="0">
      <w:start w:val="1"/>
      <w:numFmt w:val="decimal"/>
      <w:lvlText w:val="%1."/>
      <w:lvlJc w:val="left"/>
      <w:pPr>
        <w:tabs>
          <w:tab w:val="num" w:pos="1440"/>
        </w:tabs>
        <w:ind w:left="1440" w:hanging="360"/>
      </w:pPr>
      <w:rPr>
        <w:rFonts w:ascii="Times New Roman" w:hAnsi="Times New Roman" w:cs="Times New Roman"/>
      </w:rPr>
    </w:lvl>
  </w:abstractNum>
  <w:abstractNum w:abstractNumId="2" w15:restartNumberingAfterBreak="0">
    <w:nsid w:val="FFFFFF7E"/>
    <w:multiLevelType w:val="singleLevel"/>
    <w:tmpl w:val="39FCFAA4"/>
    <w:lvl w:ilvl="0">
      <w:start w:val="1"/>
      <w:numFmt w:val="decimal"/>
      <w:lvlText w:val="%1."/>
      <w:lvlJc w:val="left"/>
      <w:pPr>
        <w:tabs>
          <w:tab w:val="num" w:pos="1080"/>
        </w:tabs>
        <w:ind w:left="1080" w:hanging="360"/>
      </w:pPr>
      <w:rPr>
        <w:rFonts w:ascii="Times New Roman" w:hAnsi="Times New Roman" w:cs="Times New Roman"/>
      </w:rPr>
    </w:lvl>
  </w:abstractNum>
  <w:abstractNum w:abstractNumId="3" w15:restartNumberingAfterBreak="0">
    <w:nsid w:val="FFFFFF7F"/>
    <w:multiLevelType w:val="singleLevel"/>
    <w:tmpl w:val="C8701560"/>
    <w:lvl w:ilvl="0">
      <w:start w:val="1"/>
      <w:numFmt w:val="decimal"/>
      <w:lvlText w:val="%1."/>
      <w:lvlJc w:val="left"/>
      <w:pPr>
        <w:tabs>
          <w:tab w:val="num" w:pos="720"/>
        </w:tabs>
        <w:ind w:left="720" w:hanging="360"/>
      </w:pPr>
      <w:rPr>
        <w:rFonts w:ascii="Times New Roman" w:hAnsi="Times New Roman" w:cs="Times New Roman"/>
      </w:rPr>
    </w:lvl>
  </w:abstractNum>
  <w:abstractNum w:abstractNumId="4" w15:restartNumberingAfterBreak="0">
    <w:nsid w:val="FFFFFF80"/>
    <w:multiLevelType w:val="singleLevel"/>
    <w:tmpl w:val="760E9050"/>
    <w:lvl w:ilvl="0">
      <w:start w:val="1"/>
      <w:numFmt w:val="bullet"/>
      <w:lvlText w:val=""/>
      <w:lvlJc w:val="left"/>
      <w:pPr>
        <w:tabs>
          <w:tab w:val="num" w:pos="1800"/>
        </w:tabs>
        <w:ind w:left="1800" w:hanging="360"/>
      </w:pPr>
      <w:rPr>
        <w:rFonts w:ascii="Symbol" w:hAnsi="Symbol" w:cs="Times New Roman" w:hint="default"/>
      </w:rPr>
    </w:lvl>
  </w:abstractNum>
  <w:abstractNum w:abstractNumId="5" w15:restartNumberingAfterBreak="0">
    <w:nsid w:val="FFFFFF81"/>
    <w:multiLevelType w:val="singleLevel"/>
    <w:tmpl w:val="E7B0022A"/>
    <w:lvl w:ilvl="0">
      <w:start w:val="1"/>
      <w:numFmt w:val="bullet"/>
      <w:lvlText w:val=""/>
      <w:lvlJc w:val="left"/>
      <w:pPr>
        <w:tabs>
          <w:tab w:val="num" w:pos="1440"/>
        </w:tabs>
        <w:ind w:left="1440" w:hanging="360"/>
      </w:pPr>
      <w:rPr>
        <w:rFonts w:ascii="Symbol" w:hAnsi="Symbol" w:cs="Times New Roman" w:hint="default"/>
      </w:rPr>
    </w:lvl>
  </w:abstractNum>
  <w:abstractNum w:abstractNumId="6" w15:restartNumberingAfterBreak="0">
    <w:nsid w:val="FFFFFF82"/>
    <w:multiLevelType w:val="singleLevel"/>
    <w:tmpl w:val="6E985D7C"/>
    <w:lvl w:ilvl="0">
      <w:start w:val="1"/>
      <w:numFmt w:val="bullet"/>
      <w:lvlText w:val=""/>
      <w:lvlJc w:val="left"/>
      <w:pPr>
        <w:tabs>
          <w:tab w:val="num" w:pos="1080"/>
        </w:tabs>
        <w:ind w:left="1080" w:hanging="360"/>
      </w:pPr>
      <w:rPr>
        <w:rFonts w:ascii="Symbol" w:hAnsi="Symbol" w:cs="Times New Roman" w:hint="default"/>
      </w:rPr>
    </w:lvl>
  </w:abstractNum>
  <w:abstractNum w:abstractNumId="7" w15:restartNumberingAfterBreak="0">
    <w:nsid w:val="FFFFFF83"/>
    <w:multiLevelType w:val="singleLevel"/>
    <w:tmpl w:val="C7022A70"/>
    <w:lvl w:ilvl="0">
      <w:start w:val="1"/>
      <w:numFmt w:val="bullet"/>
      <w:lvlText w:val=""/>
      <w:lvlJc w:val="left"/>
      <w:pPr>
        <w:tabs>
          <w:tab w:val="num" w:pos="720"/>
        </w:tabs>
        <w:ind w:left="720" w:hanging="360"/>
      </w:pPr>
      <w:rPr>
        <w:rFonts w:ascii="Symbol" w:hAnsi="Symbol" w:cs="Times New Roman" w:hint="default"/>
      </w:rPr>
    </w:lvl>
  </w:abstractNum>
  <w:abstractNum w:abstractNumId="8" w15:restartNumberingAfterBreak="0">
    <w:nsid w:val="FFFFFF88"/>
    <w:multiLevelType w:val="singleLevel"/>
    <w:tmpl w:val="BB2C2432"/>
    <w:lvl w:ilvl="0">
      <w:start w:val="1"/>
      <w:numFmt w:val="decimal"/>
      <w:lvlText w:val="%1."/>
      <w:lvlJc w:val="left"/>
      <w:pPr>
        <w:tabs>
          <w:tab w:val="num" w:pos="360"/>
        </w:tabs>
        <w:ind w:left="360" w:hanging="360"/>
      </w:pPr>
      <w:rPr>
        <w:rFonts w:ascii="Times New Roman" w:hAnsi="Times New Roman" w:cs="Times New Roman"/>
      </w:rPr>
    </w:lvl>
  </w:abstractNum>
  <w:abstractNum w:abstractNumId="9" w15:restartNumberingAfterBreak="0">
    <w:nsid w:val="FFFFFF89"/>
    <w:multiLevelType w:val="singleLevel"/>
    <w:tmpl w:val="15607458"/>
    <w:lvl w:ilvl="0">
      <w:start w:val="1"/>
      <w:numFmt w:val="bullet"/>
      <w:pStyle w:val="ListBullet"/>
      <w:lvlText w:val=""/>
      <w:lvlJc w:val="left"/>
      <w:pPr>
        <w:tabs>
          <w:tab w:val="num" w:pos="360"/>
        </w:tabs>
        <w:ind w:left="360" w:hanging="360"/>
      </w:pPr>
      <w:rPr>
        <w:rFonts w:ascii="Symbol" w:hAnsi="Symbol" w:cs="Times New Roman" w:hint="default"/>
      </w:rPr>
    </w:lvl>
  </w:abstractNum>
  <w:abstractNum w:abstractNumId="10" w15:restartNumberingAfterBreak="0">
    <w:nsid w:val="04CB06E3"/>
    <w:multiLevelType w:val="multilevel"/>
    <w:tmpl w:val="C0423246"/>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1"/>
      <w:lvlJc w:val="left"/>
      <w:pPr>
        <w:tabs>
          <w:tab w:val="num" w:pos="720"/>
        </w:tabs>
        <w:ind w:left="720" w:hanging="360"/>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88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960"/>
        </w:tabs>
        <w:ind w:left="3240" w:hanging="1080"/>
      </w:pPr>
      <w:rPr>
        <w:rFonts w:ascii="Times New Roman" w:hAnsi="Times New Roman" w:cs="Times New Roman" w:hint="default"/>
      </w:rPr>
    </w:lvl>
    <w:lvl w:ilvl="7">
      <w:start w:val="1"/>
      <w:numFmt w:val="decimal"/>
      <w:lvlText w:val="%1.%2.%3.%4.%5.%6.%7.%8."/>
      <w:lvlJc w:val="left"/>
      <w:pPr>
        <w:tabs>
          <w:tab w:val="num" w:pos="4680"/>
        </w:tabs>
        <w:ind w:left="3744" w:hanging="1224"/>
      </w:pPr>
      <w:rPr>
        <w:rFonts w:ascii="Times New Roman" w:hAnsi="Times New Roman" w:cs="Times New Roman" w:hint="default"/>
      </w:rPr>
    </w:lvl>
    <w:lvl w:ilvl="8">
      <w:start w:val="1"/>
      <w:numFmt w:val="decimal"/>
      <w:lvlText w:val="%1.%2.%3.%4.%5.%6.%7.%8.%9."/>
      <w:lvlJc w:val="left"/>
      <w:pPr>
        <w:tabs>
          <w:tab w:val="num" w:pos="5040"/>
        </w:tabs>
        <w:ind w:left="4320" w:hanging="1440"/>
      </w:pPr>
      <w:rPr>
        <w:rFonts w:ascii="Times New Roman" w:hAnsi="Times New Roman" w:cs="Times New Roman" w:hint="default"/>
      </w:rPr>
    </w:lvl>
  </w:abstractNum>
  <w:abstractNum w:abstractNumId="11" w15:restartNumberingAfterBreak="0">
    <w:nsid w:val="0C583CA2"/>
    <w:multiLevelType w:val="hybridMultilevel"/>
    <w:tmpl w:val="A4BC4FC8"/>
    <w:lvl w:ilvl="0" w:tplc="40AA049A">
      <w:numFmt w:val="bullet"/>
      <w:pStyle w:val="Reference"/>
      <w:lvlText w:val=""/>
      <w:lvlJc w:val="left"/>
      <w:pPr>
        <w:tabs>
          <w:tab w:val="num" w:pos="840"/>
        </w:tabs>
        <w:ind w:left="840" w:hanging="360"/>
      </w:pPr>
      <w:rPr>
        <w:rFonts w:ascii="Symbol" w:eastAsia="Times New Roman" w:hAnsi="Symbol" w:hint="default"/>
      </w:rPr>
    </w:lvl>
    <w:lvl w:ilvl="1" w:tplc="04090003">
      <w:start w:val="1"/>
      <w:numFmt w:val="bullet"/>
      <w:lvlText w:val="o"/>
      <w:lvlJc w:val="left"/>
      <w:pPr>
        <w:tabs>
          <w:tab w:val="num" w:pos="1680"/>
        </w:tabs>
        <w:ind w:left="1680" w:hanging="360"/>
      </w:pPr>
      <w:rPr>
        <w:rFonts w:ascii="Courier New" w:hAnsi="Courier New" w:cs="Courier New" w:hint="default"/>
      </w:rPr>
    </w:lvl>
    <w:lvl w:ilvl="2" w:tplc="04090005">
      <w:start w:val="1"/>
      <w:numFmt w:val="bullet"/>
      <w:lvlText w:val=""/>
      <w:lvlJc w:val="left"/>
      <w:pPr>
        <w:tabs>
          <w:tab w:val="num" w:pos="2400"/>
        </w:tabs>
        <w:ind w:left="2400" w:hanging="360"/>
      </w:pPr>
      <w:rPr>
        <w:rFonts w:ascii="Wingdings" w:hAnsi="Wingdings" w:cs="Times New Roman" w:hint="default"/>
      </w:rPr>
    </w:lvl>
    <w:lvl w:ilvl="3" w:tplc="04090001">
      <w:start w:val="1"/>
      <w:numFmt w:val="bullet"/>
      <w:lvlText w:val=""/>
      <w:lvlJc w:val="left"/>
      <w:pPr>
        <w:tabs>
          <w:tab w:val="num" w:pos="3120"/>
        </w:tabs>
        <w:ind w:left="3120" w:hanging="360"/>
      </w:pPr>
      <w:rPr>
        <w:rFonts w:ascii="Symbol" w:hAnsi="Symbol" w:cs="Times New Roman" w:hint="default"/>
      </w:rPr>
    </w:lvl>
    <w:lvl w:ilvl="4" w:tplc="04090003">
      <w:start w:val="1"/>
      <w:numFmt w:val="bullet"/>
      <w:lvlText w:val="o"/>
      <w:lvlJc w:val="left"/>
      <w:pPr>
        <w:tabs>
          <w:tab w:val="num" w:pos="3840"/>
        </w:tabs>
        <w:ind w:left="3840" w:hanging="360"/>
      </w:pPr>
      <w:rPr>
        <w:rFonts w:ascii="Courier New" w:hAnsi="Courier New" w:cs="Courier New" w:hint="default"/>
      </w:rPr>
    </w:lvl>
    <w:lvl w:ilvl="5" w:tplc="04090005">
      <w:start w:val="1"/>
      <w:numFmt w:val="bullet"/>
      <w:lvlText w:val=""/>
      <w:lvlJc w:val="left"/>
      <w:pPr>
        <w:tabs>
          <w:tab w:val="num" w:pos="4560"/>
        </w:tabs>
        <w:ind w:left="4560" w:hanging="360"/>
      </w:pPr>
      <w:rPr>
        <w:rFonts w:ascii="Wingdings" w:hAnsi="Wingdings" w:cs="Times New Roman" w:hint="default"/>
      </w:rPr>
    </w:lvl>
    <w:lvl w:ilvl="6" w:tplc="04090001">
      <w:start w:val="1"/>
      <w:numFmt w:val="bullet"/>
      <w:lvlText w:val=""/>
      <w:lvlJc w:val="left"/>
      <w:pPr>
        <w:tabs>
          <w:tab w:val="num" w:pos="5280"/>
        </w:tabs>
        <w:ind w:left="5280" w:hanging="360"/>
      </w:pPr>
      <w:rPr>
        <w:rFonts w:ascii="Symbol" w:hAnsi="Symbol" w:cs="Times New Roman" w:hint="default"/>
      </w:rPr>
    </w:lvl>
    <w:lvl w:ilvl="7" w:tplc="04090003">
      <w:start w:val="1"/>
      <w:numFmt w:val="bullet"/>
      <w:lvlText w:val="o"/>
      <w:lvlJc w:val="left"/>
      <w:pPr>
        <w:tabs>
          <w:tab w:val="num" w:pos="6000"/>
        </w:tabs>
        <w:ind w:left="6000" w:hanging="360"/>
      </w:pPr>
      <w:rPr>
        <w:rFonts w:ascii="Courier New" w:hAnsi="Courier New" w:cs="Courier New" w:hint="default"/>
      </w:rPr>
    </w:lvl>
    <w:lvl w:ilvl="8" w:tplc="04090005">
      <w:start w:val="1"/>
      <w:numFmt w:val="bullet"/>
      <w:lvlText w:val=""/>
      <w:lvlJc w:val="left"/>
      <w:pPr>
        <w:tabs>
          <w:tab w:val="num" w:pos="6720"/>
        </w:tabs>
        <w:ind w:left="6720" w:hanging="360"/>
      </w:pPr>
      <w:rPr>
        <w:rFonts w:ascii="Wingdings" w:hAnsi="Wingdings" w:cs="Times New Roman" w:hint="default"/>
      </w:rPr>
    </w:lvl>
  </w:abstractNum>
  <w:abstractNum w:abstractNumId="12" w15:restartNumberingAfterBreak="0">
    <w:nsid w:val="0D860CF3"/>
    <w:multiLevelType w:val="multilevel"/>
    <w:tmpl w:val="0409001D"/>
    <w:lvl w:ilvl="0">
      <w:start w:val="1"/>
      <w:numFmt w:val="decimal"/>
      <w:lvlText w:val="%1)"/>
      <w:lvlJc w:val="left"/>
      <w:pPr>
        <w:tabs>
          <w:tab w:val="num" w:pos="360"/>
        </w:tabs>
        <w:ind w:left="360" w:hanging="360"/>
      </w:pPr>
      <w:rPr>
        <w:rFonts w:ascii="Times New Roman" w:hAnsi="Times New Roman" w:cs="Times New Roman"/>
      </w:rPr>
    </w:lvl>
    <w:lvl w:ilvl="1">
      <w:start w:val="1"/>
      <w:numFmt w:val="lowerLetter"/>
      <w:lvlText w:val="%2)"/>
      <w:lvlJc w:val="left"/>
      <w:pPr>
        <w:tabs>
          <w:tab w:val="num" w:pos="720"/>
        </w:tabs>
        <w:ind w:left="720" w:hanging="360"/>
      </w:pPr>
      <w:rPr>
        <w:rFonts w:ascii="Times New Roman" w:hAnsi="Times New Roman" w:cs="Times New Roman"/>
      </w:rPr>
    </w:lvl>
    <w:lvl w:ilvl="2">
      <w:start w:val="1"/>
      <w:numFmt w:val="lowerRoman"/>
      <w:lvlText w:val="%3)"/>
      <w:lvlJc w:val="left"/>
      <w:pPr>
        <w:tabs>
          <w:tab w:val="num" w:pos="1080"/>
        </w:tabs>
        <w:ind w:left="1080" w:hanging="360"/>
      </w:pPr>
      <w:rPr>
        <w:rFonts w:ascii="Times New Roman" w:hAnsi="Times New Roman" w:cs="Times New Roman"/>
      </w:rPr>
    </w:lvl>
    <w:lvl w:ilvl="3">
      <w:start w:val="1"/>
      <w:numFmt w:val="decimal"/>
      <w:lvlText w:val="(%4)"/>
      <w:lvlJc w:val="left"/>
      <w:pPr>
        <w:tabs>
          <w:tab w:val="num" w:pos="1440"/>
        </w:tabs>
        <w:ind w:left="1440" w:hanging="360"/>
      </w:pPr>
      <w:rPr>
        <w:rFonts w:ascii="Times New Roman" w:hAnsi="Times New Roman" w:cs="Times New Roman"/>
      </w:rPr>
    </w:lvl>
    <w:lvl w:ilvl="4">
      <w:start w:val="1"/>
      <w:numFmt w:val="lowerLetter"/>
      <w:lvlText w:val="(%5)"/>
      <w:lvlJc w:val="left"/>
      <w:pPr>
        <w:tabs>
          <w:tab w:val="num" w:pos="1800"/>
        </w:tabs>
        <w:ind w:left="1800" w:hanging="360"/>
      </w:pPr>
      <w:rPr>
        <w:rFonts w:ascii="Times New Roman" w:hAnsi="Times New Roman" w:cs="Times New Roman"/>
      </w:rPr>
    </w:lvl>
    <w:lvl w:ilvl="5">
      <w:start w:val="1"/>
      <w:numFmt w:val="lowerRoman"/>
      <w:lvlText w:val="(%6)"/>
      <w:lvlJc w:val="left"/>
      <w:pPr>
        <w:tabs>
          <w:tab w:val="num" w:pos="216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13" w15:restartNumberingAfterBreak="0">
    <w:nsid w:val="100D6BEB"/>
    <w:multiLevelType w:val="multilevel"/>
    <w:tmpl w:val="C8F4E26C"/>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1.%2."/>
      <w:lvlJc w:val="left"/>
      <w:pPr>
        <w:tabs>
          <w:tab w:val="num" w:pos="1080"/>
        </w:tabs>
        <w:ind w:left="792" w:hanging="432"/>
      </w:pPr>
      <w:rPr>
        <w:rFonts w:ascii="Times New Roman" w:hAnsi="Times New Roman" w:cs="Times New Roman"/>
      </w:rPr>
    </w:lvl>
    <w:lvl w:ilvl="2">
      <w:start w:val="1"/>
      <w:numFmt w:val="decimal"/>
      <w:lvlText w:val="%1.%2.%3."/>
      <w:lvlJc w:val="left"/>
      <w:pPr>
        <w:tabs>
          <w:tab w:val="num" w:pos="1440"/>
        </w:tabs>
        <w:ind w:left="1224" w:hanging="504"/>
      </w:pPr>
      <w:rPr>
        <w:rFonts w:ascii="Times New Roman" w:hAnsi="Times New Roman" w:cs="Times New Roman"/>
      </w:rPr>
    </w:lvl>
    <w:lvl w:ilvl="3">
      <w:start w:val="1"/>
      <w:numFmt w:val="decimal"/>
      <w:lvlText w:val="%1.%2.%3.%4."/>
      <w:lvlJc w:val="left"/>
      <w:pPr>
        <w:tabs>
          <w:tab w:val="num" w:pos="2160"/>
        </w:tabs>
        <w:ind w:left="1728" w:hanging="648"/>
      </w:pPr>
      <w:rPr>
        <w:rFonts w:ascii="Times New Roman" w:hAnsi="Times New Roman" w:cs="Times New Roman"/>
      </w:rPr>
    </w:lvl>
    <w:lvl w:ilvl="4">
      <w:start w:val="1"/>
      <w:numFmt w:val="decimal"/>
      <w:lvlText w:val="%1.%2.%3.%4.%5."/>
      <w:lvlJc w:val="left"/>
      <w:pPr>
        <w:tabs>
          <w:tab w:val="num" w:pos="2880"/>
        </w:tabs>
        <w:ind w:left="2232" w:hanging="792"/>
      </w:pPr>
      <w:rPr>
        <w:rFonts w:ascii="Times New Roman" w:hAnsi="Times New Roman" w:cs="Times New Roman"/>
      </w:rPr>
    </w:lvl>
    <w:lvl w:ilvl="5">
      <w:start w:val="1"/>
      <w:numFmt w:val="decimal"/>
      <w:lvlText w:val="%1.%2.%3.%4.%5.%6."/>
      <w:lvlJc w:val="left"/>
      <w:pPr>
        <w:tabs>
          <w:tab w:val="num" w:pos="3240"/>
        </w:tabs>
        <w:ind w:left="2736" w:hanging="936"/>
      </w:pPr>
      <w:rPr>
        <w:rFonts w:ascii="Times New Roman" w:hAnsi="Times New Roman" w:cs="Times New Roman"/>
      </w:rPr>
    </w:lvl>
    <w:lvl w:ilvl="6">
      <w:start w:val="1"/>
      <w:numFmt w:val="decimal"/>
      <w:lvlText w:val="%1.%2.%3.%4.%5.%6.%7."/>
      <w:lvlJc w:val="left"/>
      <w:pPr>
        <w:tabs>
          <w:tab w:val="num" w:pos="3960"/>
        </w:tabs>
        <w:ind w:left="3240" w:hanging="1080"/>
      </w:pPr>
      <w:rPr>
        <w:rFonts w:ascii="Times New Roman" w:hAnsi="Times New Roman" w:cs="Times New Roman"/>
      </w:rPr>
    </w:lvl>
    <w:lvl w:ilvl="7">
      <w:start w:val="1"/>
      <w:numFmt w:val="decimal"/>
      <w:lvlText w:val="%1.%2.%3.%4.%5.%6.%7.%8."/>
      <w:lvlJc w:val="left"/>
      <w:pPr>
        <w:tabs>
          <w:tab w:val="num" w:pos="4680"/>
        </w:tabs>
        <w:ind w:left="3744" w:hanging="1224"/>
      </w:pPr>
      <w:rPr>
        <w:rFonts w:ascii="Times New Roman" w:hAnsi="Times New Roman" w:cs="Times New Roman"/>
      </w:rPr>
    </w:lvl>
    <w:lvl w:ilvl="8">
      <w:start w:val="1"/>
      <w:numFmt w:val="decimal"/>
      <w:lvlText w:val="%1.%2.%3.%4.%5.%6.%7.%8.%9."/>
      <w:lvlJc w:val="left"/>
      <w:pPr>
        <w:tabs>
          <w:tab w:val="num" w:pos="5040"/>
        </w:tabs>
        <w:ind w:left="4320" w:hanging="1440"/>
      </w:pPr>
      <w:rPr>
        <w:rFonts w:ascii="Times New Roman" w:hAnsi="Times New Roman" w:cs="Times New Roman"/>
      </w:rPr>
    </w:lvl>
  </w:abstractNum>
  <w:abstractNum w:abstractNumId="14" w15:restartNumberingAfterBreak="0">
    <w:nsid w:val="181F0E4A"/>
    <w:multiLevelType w:val="hybridMultilevel"/>
    <w:tmpl w:val="CF1E6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310A1F"/>
    <w:multiLevelType w:val="hybridMultilevel"/>
    <w:tmpl w:val="FC76C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464228"/>
    <w:multiLevelType w:val="multilevel"/>
    <w:tmpl w:val="0409001D"/>
    <w:lvl w:ilvl="0">
      <w:start w:val="1"/>
      <w:numFmt w:val="decimal"/>
      <w:lvlText w:val="%1)"/>
      <w:lvlJc w:val="left"/>
      <w:pPr>
        <w:tabs>
          <w:tab w:val="num" w:pos="360"/>
        </w:tabs>
        <w:ind w:left="360" w:hanging="360"/>
      </w:pPr>
      <w:rPr>
        <w:rFonts w:ascii="Times New Roman" w:hAnsi="Times New Roman" w:cs="Times New Roman"/>
      </w:rPr>
    </w:lvl>
    <w:lvl w:ilvl="1">
      <w:start w:val="1"/>
      <w:numFmt w:val="lowerLetter"/>
      <w:lvlText w:val="%2)"/>
      <w:lvlJc w:val="left"/>
      <w:pPr>
        <w:tabs>
          <w:tab w:val="num" w:pos="720"/>
        </w:tabs>
        <w:ind w:left="720" w:hanging="360"/>
      </w:pPr>
      <w:rPr>
        <w:rFonts w:ascii="Times New Roman" w:hAnsi="Times New Roman" w:cs="Times New Roman"/>
      </w:rPr>
    </w:lvl>
    <w:lvl w:ilvl="2">
      <w:start w:val="1"/>
      <w:numFmt w:val="lowerRoman"/>
      <w:lvlText w:val="%3)"/>
      <w:lvlJc w:val="left"/>
      <w:pPr>
        <w:tabs>
          <w:tab w:val="num" w:pos="1080"/>
        </w:tabs>
        <w:ind w:left="1080" w:hanging="360"/>
      </w:pPr>
      <w:rPr>
        <w:rFonts w:ascii="Times New Roman" w:hAnsi="Times New Roman" w:cs="Times New Roman"/>
      </w:rPr>
    </w:lvl>
    <w:lvl w:ilvl="3">
      <w:start w:val="1"/>
      <w:numFmt w:val="decimal"/>
      <w:lvlText w:val="(%4)"/>
      <w:lvlJc w:val="left"/>
      <w:pPr>
        <w:tabs>
          <w:tab w:val="num" w:pos="1440"/>
        </w:tabs>
        <w:ind w:left="1440" w:hanging="360"/>
      </w:pPr>
      <w:rPr>
        <w:rFonts w:ascii="Times New Roman" w:hAnsi="Times New Roman" w:cs="Times New Roman"/>
      </w:rPr>
    </w:lvl>
    <w:lvl w:ilvl="4">
      <w:start w:val="1"/>
      <w:numFmt w:val="lowerLetter"/>
      <w:lvlText w:val="(%5)"/>
      <w:lvlJc w:val="left"/>
      <w:pPr>
        <w:tabs>
          <w:tab w:val="num" w:pos="1800"/>
        </w:tabs>
        <w:ind w:left="1800" w:hanging="360"/>
      </w:pPr>
      <w:rPr>
        <w:rFonts w:ascii="Times New Roman" w:hAnsi="Times New Roman" w:cs="Times New Roman"/>
      </w:rPr>
    </w:lvl>
    <w:lvl w:ilvl="5">
      <w:start w:val="1"/>
      <w:numFmt w:val="lowerRoman"/>
      <w:lvlText w:val="(%6)"/>
      <w:lvlJc w:val="left"/>
      <w:pPr>
        <w:tabs>
          <w:tab w:val="num" w:pos="216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17" w15:restartNumberingAfterBreak="0">
    <w:nsid w:val="23650BDC"/>
    <w:multiLevelType w:val="multilevel"/>
    <w:tmpl w:val="38C2BD5A"/>
    <w:lvl w:ilvl="0">
      <w:start w:val="1"/>
      <w:numFmt w:val="decimal"/>
      <w:lvlText w:val="%1."/>
      <w:lvlJc w:val="left"/>
      <w:pPr>
        <w:tabs>
          <w:tab w:val="num" w:pos="360"/>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8" w15:restartNumberingAfterBreak="0">
    <w:nsid w:val="2EB33974"/>
    <w:multiLevelType w:val="multilevel"/>
    <w:tmpl w:val="C0ECCA28"/>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88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960"/>
        </w:tabs>
        <w:ind w:left="3240" w:hanging="1080"/>
      </w:pPr>
      <w:rPr>
        <w:rFonts w:ascii="Times New Roman" w:hAnsi="Times New Roman" w:cs="Times New Roman" w:hint="default"/>
      </w:rPr>
    </w:lvl>
    <w:lvl w:ilvl="7">
      <w:start w:val="1"/>
      <w:numFmt w:val="decimal"/>
      <w:lvlText w:val="%1.%2.%3.%4.%5.%6.%7.%8."/>
      <w:lvlJc w:val="left"/>
      <w:pPr>
        <w:tabs>
          <w:tab w:val="num" w:pos="4680"/>
        </w:tabs>
        <w:ind w:left="3744" w:hanging="1224"/>
      </w:pPr>
      <w:rPr>
        <w:rFonts w:ascii="Times New Roman" w:hAnsi="Times New Roman" w:cs="Times New Roman" w:hint="default"/>
      </w:rPr>
    </w:lvl>
    <w:lvl w:ilvl="8">
      <w:start w:val="1"/>
      <w:numFmt w:val="decimal"/>
      <w:lvlText w:val="%1.%2.%3.%4.%5.%6.%7.%8.%9."/>
      <w:lvlJc w:val="left"/>
      <w:pPr>
        <w:tabs>
          <w:tab w:val="num" w:pos="5040"/>
        </w:tabs>
        <w:ind w:left="4320" w:hanging="1440"/>
      </w:pPr>
      <w:rPr>
        <w:rFonts w:ascii="Times New Roman" w:hAnsi="Times New Roman" w:cs="Times New Roman" w:hint="default"/>
      </w:rPr>
    </w:lvl>
  </w:abstractNum>
  <w:abstractNum w:abstractNumId="19" w15:restartNumberingAfterBreak="0">
    <w:nsid w:val="303F2B0C"/>
    <w:multiLevelType w:val="multilevel"/>
    <w:tmpl w:val="0409001D"/>
    <w:lvl w:ilvl="0">
      <w:start w:val="1"/>
      <w:numFmt w:val="decimal"/>
      <w:lvlText w:val="%1)"/>
      <w:lvlJc w:val="left"/>
      <w:pPr>
        <w:tabs>
          <w:tab w:val="num" w:pos="360"/>
        </w:tabs>
        <w:ind w:left="360" w:hanging="360"/>
      </w:pPr>
      <w:rPr>
        <w:rFonts w:ascii="Times New Roman" w:hAnsi="Times New Roman" w:cs="Times New Roman"/>
      </w:rPr>
    </w:lvl>
    <w:lvl w:ilvl="1">
      <w:start w:val="1"/>
      <w:numFmt w:val="lowerLetter"/>
      <w:lvlText w:val="%2)"/>
      <w:lvlJc w:val="left"/>
      <w:pPr>
        <w:tabs>
          <w:tab w:val="num" w:pos="720"/>
        </w:tabs>
        <w:ind w:left="720" w:hanging="360"/>
      </w:pPr>
      <w:rPr>
        <w:rFonts w:ascii="Times New Roman" w:hAnsi="Times New Roman" w:cs="Times New Roman"/>
      </w:rPr>
    </w:lvl>
    <w:lvl w:ilvl="2">
      <w:start w:val="1"/>
      <w:numFmt w:val="lowerRoman"/>
      <w:lvlText w:val="%3)"/>
      <w:lvlJc w:val="left"/>
      <w:pPr>
        <w:tabs>
          <w:tab w:val="num" w:pos="1080"/>
        </w:tabs>
        <w:ind w:left="1080" w:hanging="360"/>
      </w:pPr>
      <w:rPr>
        <w:rFonts w:ascii="Times New Roman" w:hAnsi="Times New Roman" w:cs="Times New Roman"/>
      </w:rPr>
    </w:lvl>
    <w:lvl w:ilvl="3">
      <w:start w:val="1"/>
      <w:numFmt w:val="decimal"/>
      <w:lvlText w:val="(%4)"/>
      <w:lvlJc w:val="left"/>
      <w:pPr>
        <w:tabs>
          <w:tab w:val="num" w:pos="1440"/>
        </w:tabs>
        <w:ind w:left="1440" w:hanging="360"/>
      </w:pPr>
      <w:rPr>
        <w:rFonts w:ascii="Times New Roman" w:hAnsi="Times New Roman" w:cs="Times New Roman"/>
      </w:rPr>
    </w:lvl>
    <w:lvl w:ilvl="4">
      <w:start w:val="1"/>
      <w:numFmt w:val="lowerLetter"/>
      <w:lvlText w:val="(%5)"/>
      <w:lvlJc w:val="left"/>
      <w:pPr>
        <w:tabs>
          <w:tab w:val="num" w:pos="1800"/>
        </w:tabs>
        <w:ind w:left="1800" w:hanging="360"/>
      </w:pPr>
      <w:rPr>
        <w:rFonts w:ascii="Times New Roman" w:hAnsi="Times New Roman" w:cs="Times New Roman"/>
      </w:rPr>
    </w:lvl>
    <w:lvl w:ilvl="5">
      <w:start w:val="1"/>
      <w:numFmt w:val="lowerRoman"/>
      <w:lvlText w:val="(%6)"/>
      <w:lvlJc w:val="left"/>
      <w:pPr>
        <w:tabs>
          <w:tab w:val="num" w:pos="216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20" w15:restartNumberingAfterBreak="0">
    <w:nsid w:val="3207730A"/>
    <w:multiLevelType w:val="multilevel"/>
    <w:tmpl w:val="ED58DAE2"/>
    <w:lvl w:ilvl="0">
      <w:start w:val="1"/>
      <w:numFmt w:val="decimal"/>
      <w:lvlText w:val="%1."/>
      <w:lvlJc w:val="left"/>
      <w:pPr>
        <w:tabs>
          <w:tab w:val="num" w:pos="288"/>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1" w15:restartNumberingAfterBreak="0">
    <w:nsid w:val="377259DA"/>
    <w:multiLevelType w:val="multilevel"/>
    <w:tmpl w:val="2424BA3C"/>
    <w:lvl w:ilvl="0">
      <w:start w:val="1"/>
      <w:numFmt w:val="decimal"/>
      <w:lvlText w:val="%1."/>
      <w:lvlJc w:val="left"/>
      <w:pPr>
        <w:tabs>
          <w:tab w:val="num" w:pos="360"/>
        </w:tabs>
        <w:ind w:left="432" w:hanging="432"/>
      </w:pPr>
      <w:rPr>
        <w:rFonts w:ascii="Times New Roman" w:hAnsi="Times New Roman" w:cs="Times New Roman" w:hint="default"/>
      </w:rPr>
    </w:lvl>
    <w:lvl w:ilvl="1">
      <w:start w:val="1"/>
      <w:numFmt w:val="decimal"/>
      <w:lvlText w:val="%1.%2"/>
      <w:lvlJc w:val="left"/>
      <w:pPr>
        <w:tabs>
          <w:tab w:val="num" w:pos="504"/>
        </w:tabs>
        <w:ind w:left="504" w:hanging="504"/>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2" w15:restartNumberingAfterBreak="0">
    <w:nsid w:val="38A250EC"/>
    <w:multiLevelType w:val="hybridMultilevel"/>
    <w:tmpl w:val="833645D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3" w15:restartNumberingAfterBreak="0">
    <w:nsid w:val="3E186000"/>
    <w:multiLevelType w:val="multilevel"/>
    <w:tmpl w:val="E4CAC238"/>
    <w:lvl w:ilvl="0">
      <w:start w:val="1"/>
      <w:numFmt w:val="decimal"/>
      <w:lvlText w:val="%1."/>
      <w:lvlJc w:val="left"/>
      <w:pPr>
        <w:tabs>
          <w:tab w:val="num" w:pos="360"/>
        </w:tabs>
        <w:ind w:left="432" w:hanging="432"/>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4" w15:restartNumberingAfterBreak="0">
    <w:nsid w:val="3FCC2E83"/>
    <w:multiLevelType w:val="multilevel"/>
    <w:tmpl w:val="B93482AC"/>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88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960"/>
        </w:tabs>
        <w:ind w:left="3240" w:hanging="1080"/>
      </w:pPr>
      <w:rPr>
        <w:rFonts w:ascii="Times New Roman" w:hAnsi="Times New Roman" w:cs="Times New Roman" w:hint="default"/>
      </w:rPr>
    </w:lvl>
    <w:lvl w:ilvl="7">
      <w:start w:val="1"/>
      <w:numFmt w:val="decimal"/>
      <w:lvlText w:val="%1.%2.%3.%4.%5.%6.%7.%8."/>
      <w:lvlJc w:val="left"/>
      <w:pPr>
        <w:tabs>
          <w:tab w:val="num" w:pos="4680"/>
        </w:tabs>
        <w:ind w:left="3744" w:hanging="1224"/>
      </w:pPr>
      <w:rPr>
        <w:rFonts w:ascii="Times New Roman" w:hAnsi="Times New Roman" w:cs="Times New Roman" w:hint="default"/>
      </w:rPr>
    </w:lvl>
    <w:lvl w:ilvl="8">
      <w:start w:val="1"/>
      <w:numFmt w:val="decimal"/>
      <w:lvlText w:val="%1.%2.%3.%4.%5.%6.%7.%8.%9."/>
      <w:lvlJc w:val="left"/>
      <w:pPr>
        <w:tabs>
          <w:tab w:val="num" w:pos="5040"/>
        </w:tabs>
        <w:ind w:left="4320" w:hanging="1440"/>
      </w:pPr>
      <w:rPr>
        <w:rFonts w:ascii="Times New Roman" w:hAnsi="Times New Roman" w:cs="Times New Roman" w:hint="default"/>
      </w:rPr>
    </w:lvl>
  </w:abstractNum>
  <w:abstractNum w:abstractNumId="25" w15:restartNumberingAfterBreak="0">
    <w:nsid w:val="426E4244"/>
    <w:multiLevelType w:val="multilevel"/>
    <w:tmpl w:val="C0423246"/>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2.%1"/>
      <w:lvlJc w:val="left"/>
      <w:pPr>
        <w:tabs>
          <w:tab w:val="num" w:pos="720"/>
        </w:tabs>
        <w:ind w:left="720" w:hanging="360"/>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88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960"/>
        </w:tabs>
        <w:ind w:left="3240" w:hanging="1080"/>
      </w:pPr>
      <w:rPr>
        <w:rFonts w:ascii="Times New Roman" w:hAnsi="Times New Roman" w:cs="Times New Roman" w:hint="default"/>
      </w:rPr>
    </w:lvl>
    <w:lvl w:ilvl="7">
      <w:start w:val="1"/>
      <w:numFmt w:val="decimal"/>
      <w:lvlText w:val="%1.%2.%3.%4.%5.%6.%7.%8."/>
      <w:lvlJc w:val="left"/>
      <w:pPr>
        <w:tabs>
          <w:tab w:val="num" w:pos="4680"/>
        </w:tabs>
        <w:ind w:left="3744" w:hanging="1224"/>
      </w:pPr>
      <w:rPr>
        <w:rFonts w:ascii="Times New Roman" w:hAnsi="Times New Roman" w:cs="Times New Roman" w:hint="default"/>
      </w:rPr>
    </w:lvl>
    <w:lvl w:ilvl="8">
      <w:start w:val="1"/>
      <w:numFmt w:val="decimal"/>
      <w:lvlText w:val="%1.%2.%3.%4.%5.%6.%7.%8.%9."/>
      <w:lvlJc w:val="left"/>
      <w:pPr>
        <w:tabs>
          <w:tab w:val="num" w:pos="5040"/>
        </w:tabs>
        <w:ind w:left="4320" w:hanging="1440"/>
      </w:pPr>
      <w:rPr>
        <w:rFonts w:ascii="Times New Roman" w:hAnsi="Times New Roman" w:cs="Times New Roman" w:hint="default"/>
      </w:rPr>
    </w:lvl>
  </w:abstractNum>
  <w:abstractNum w:abstractNumId="26" w15:restartNumberingAfterBreak="0">
    <w:nsid w:val="434624B4"/>
    <w:multiLevelType w:val="multilevel"/>
    <w:tmpl w:val="A0682F4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27" w15:restartNumberingAfterBreak="0">
    <w:nsid w:val="4FA944EB"/>
    <w:multiLevelType w:val="hybridMultilevel"/>
    <w:tmpl w:val="473A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D6B5B"/>
    <w:multiLevelType w:val="hybridMultilevel"/>
    <w:tmpl w:val="B36CB41C"/>
    <w:lvl w:ilvl="0" w:tplc="27623E4C">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9" w15:restartNumberingAfterBreak="0">
    <w:nsid w:val="5B6B5577"/>
    <w:multiLevelType w:val="hybridMultilevel"/>
    <w:tmpl w:val="EA569600"/>
    <w:lvl w:ilvl="0" w:tplc="40AA049A">
      <w:numFmt w:val="bullet"/>
      <w:lvlText w:val=""/>
      <w:lvlJc w:val="left"/>
      <w:pPr>
        <w:tabs>
          <w:tab w:val="num" w:pos="600"/>
        </w:tabs>
        <w:ind w:left="600" w:hanging="360"/>
      </w:pPr>
      <w:rPr>
        <w:rFonts w:ascii="Symbol" w:eastAsia="Times New Roman" w:hAnsi="Symbol" w:hint="default"/>
      </w:rPr>
    </w:lvl>
    <w:lvl w:ilvl="1" w:tplc="04090003">
      <w:start w:val="1"/>
      <w:numFmt w:val="bullet"/>
      <w:lvlText w:val="o"/>
      <w:lvlJc w:val="left"/>
      <w:pPr>
        <w:tabs>
          <w:tab w:val="num" w:pos="1320"/>
        </w:tabs>
        <w:ind w:left="1320" w:hanging="360"/>
      </w:pPr>
      <w:rPr>
        <w:rFonts w:ascii="Courier New" w:hAnsi="Courier New" w:cs="Courier New" w:hint="default"/>
      </w:rPr>
    </w:lvl>
    <w:lvl w:ilvl="2" w:tplc="04090005">
      <w:start w:val="1"/>
      <w:numFmt w:val="bullet"/>
      <w:lvlText w:val=""/>
      <w:lvlJc w:val="left"/>
      <w:pPr>
        <w:tabs>
          <w:tab w:val="num" w:pos="2040"/>
        </w:tabs>
        <w:ind w:left="2040" w:hanging="360"/>
      </w:pPr>
      <w:rPr>
        <w:rFonts w:ascii="Wingdings" w:hAnsi="Wingdings" w:cs="Times New Roman" w:hint="default"/>
      </w:rPr>
    </w:lvl>
    <w:lvl w:ilvl="3" w:tplc="04090001">
      <w:start w:val="1"/>
      <w:numFmt w:val="bullet"/>
      <w:lvlText w:val=""/>
      <w:lvlJc w:val="left"/>
      <w:pPr>
        <w:tabs>
          <w:tab w:val="num" w:pos="2760"/>
        </w:tabs>
        <w:ind w:left="2760" w:hanging="360"/>
      </w:pPr>
      <w:rPr>
        <w:rFonts w:ascii="Symbol" w:hAnsi="Symbol" w:cs="Times New Roman" w:hint="default"/>
      </w:rPr>
    </w:lvl>
    <w:lvl w:ilvl="4" w:tplc="04090003">
      <w:start w:val="1"/>
      <w:numFmt w:val="bullet"/>
      <w:lvlText w:val="o"/>
      <w:lvlJc w:val="left"/>
      <w:pPr>
        <w:tabs>
          <w:tab w:val="num" w:pos="3480"/>
        </w:tabs>
        <w:ind w:left="3480" w:hanging="360"/>
      </w:pPr>
      <w:rPr>
        <w:rFonts w:ascii="Courier New" w:hAnsi="Courier New" w:cs="Courier New" w:hint="default"/>
      </w:rPr>
    </w:lvl>
    <w:lvl w:ilvl="5" w:tplc="04090005">
      <w:start w:val="1"/>
      <w:numFmt w:val="bullet"/>
      <w:lvlText w:val=""/>
      <w:lvlJc w:val="left"/>
      <w:pPr>
        <w:tabs>
          <w:tab w:val="num" w:pos="4200"/>
        </w:tabs>
        <w:ind w:left="4200" w:hanging="360"/>
      </w:pPr>
      <w:rPr>
        <w:rFonts w:ascii="Wingdings" w:hAnsi="Wingdings" w:cs="Times New Roman" w:hint="default"/>
      </w:rPr>
    </w:lvl>
    <w:lvl w:ilvl="6" w:tplc="04090001">
      <w:start w:val="1"/>
      <w:numFmt w:val="bullet"/>
      <w:lvlText w:val=""/>
      <w:lvlJc w:val="left"/>
      <w:pPr>
        <w:tabs>
          <w:tab w:val="num" w:pos="4920"/>
        </w:tabs>
        <w:ind w:left="4920" w:hanging="360"/>
      </w:pPr>
      <w:rPr>
        <w:rFonts w:ascii="Symbol" w:hAnsi="Symbol" w:cs="Times New Roman" w:hint="default"/>
      </w:rPr>
    </w:lvl>
    <w:lvl w:ilvl="7" w:tplc="04090003">
      <w:start w:val="1"/>
      <w:numFmt w:val="bullet"/>
      <w:lvlText w:val="o"/>
      <w:lvlJc w:val="left"/>
      <w:pPr>
        <w:tabs>
          <w:tab w:val="num" w:pos="5640"/>
        </w:tabs>
        <w:ind w:left="5640" w:hanging="360"/>
      </w:pPr>
      <w:rPr>
        <w:rFonts w:ascii="Courier New" w:hAnsi="Courier New" w:cs="Courier New" w:hint="default"/>
      </w:rPr>
    </w:lvl>
    <w:lvl w:ilvl="8" w:tplc="04090005">
      <w:start w:val="1"/>
      <w:numFmt w:val="bullet"/>
      <w:lvlText w:val=""/>
      <w:lvlJc w:val="left"/>
      <w:pPr>
        <w:tabs>
          <w:tab w:val="num" w:pos="6360"/>
        </w:tabs>
        <w:ind w:left="6360" w:hanging="360"/>
      </w:pPr>
      <w:rPr>
        <w:rFonts w:ascii="Wingdings" w:hAnsi="Wingdings" w:cs="Times New Roman" w:hint="default"/>
      </w:rPr>
    </w:lvl>
  </w:abstractNum>
  <w:abstractNum w:abstractNumId="30" w15:restartNumberingAfterBreak="0">
    <w:nsid w:val="5E8C7E24"/>
    <w:multiLevelType w:val="multilevel"/>
    <w:tmpl w:val="AA04DA06"/>
    <w:lvl w:ilvl="0">
      <w:start w:val="1"/>
      <w:numFmt w:val="decimal"/>
      <w:lvlText w:val="%1."/>
      <w:lvlJc w:val="left"/>
      <w:pPr>
        <w:tabs>
          <w:tab w:val="num" w:pos="360"/>
        </w:tabs>
        <w:ind w:left="432" w:hanging="432"/>
      </w:pPr>
      <w:rPr>
        <w:rFonts w:ascii="Times New Roman" w:hAnsi="Times New Roman" w:cs="Times New Roman" w:hint="default"/>
      </w:rPr>
    </w:lvl>
    <w:lvl w:ilvl="1">
      <w:start w:val="1"/>
      <w:numFmt w:val="decimal"/>
      <w:lvlText w:val="%1.%2"/>
      <w:lvlJc w:val="left"/>
      <w:pPr>
        <w:tabs>
          <w:tab w:val="num" w:pos="432"/>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31" w15:restartNumberingAfterBreak="0">
    <w:nsid w:val="639D4749"/>
    <w:multiLevelType w:val="multilevel"/>
    <w:tmpl w:val="9912C436"/>
    <w:lvl w:ilvl="0">
      <w:start w:val="1"/>
      <w:numFmt w:val="decimal"/>
      <w:lvlText w:val="%1"/>
      <w:lvlJc w:val="left"/>
      <w:pPr>
        <w:tabs>
          <w:tab w:val="num" w:pos="432"/>
        </w:tabs>
        <w:ind w:left="432" w:hanging="432"/>
      </w:pPr>
      <w:rPr>
        <w:rFonts w:ascii="Times New Roman" w:hAnsi="Times New Roman" w:cs="Times New Roman"/>
      </w:rPr>
    </w:lvl>
    <w:lvl w:ilvl="1">
      <w:start w:val="1"/>
      <w:numFmt w:val="decimal"/>
      <w:lvlText w:val="%1.%2"/>
      <w:lvlJc w:val="left"/>
      <w:pPr>
        <w:tabs>
          <w:tab w:val="num" w:pos="576"/>
        </w:tabs>
        <w:ind w:left="576" w:hanging="576"/>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864"/>
        </w:tabs>
        <w:ind w:left="864" w:hanging="864"/>
      </w:pPr>
      <w:rPr>
        <w:rFonts w:ascii="Times New Roman" w:hAnsi="Times New Roman" w:cs="Times New Roman"/>
      </w:rPr>
    </w:lvl>
    <w:lvl w:ilvl="4">
      <w:start w:val="1"/>
      <w:numFmt w:val="decimal"/>
      <w:lvlText w:val="%1.%2.%3.%4.%5"/>
      <w:lvlJc w:val="left"/>
      <w:pPr>
        <w:tabs>
          <w:tab w:val="num" w:pos="1008"/>
        </w:tabs>
        <w:ind w:left="1008" w:hanging="1008"/>
      </w:pPr>
      <w:rPr>
        <w:rFonts w:ascii="Times New Roman" w:hAnsi="Times New Roman" w:cs="Times New Roman"/>
      </w:rPr>
    </w:lvl>
    <w:lvl w:ilvl="5">
      <w:start w:val="1"/>
      <w:numFmt w:val="decimal"/>
      <w:lvlText w:val="%1.%2.%3.%4.%5.%6"/>
      <w:lvlJc w:val="left"/>
      <w:pPr>
        <w:tabs>
          <w:tab w:val="num" w:pos="1152"/>
        </w:tabs>
        <w:ind w:left="1152" w:hanging="1152"/>
      </w:pPr>
      <w:rPr>
        <w:rFonts w:ascii="Times New Roman" w:hAnsi="Times New Roman" w:cs="Times New Roman"/>
      </w:rPr>
    </w:lvl>
    <w:lvl w:ilvl="6">
      <w:start w:val="1"/>
      <w:numFmt w:val="decimal"/>
      <w:lvlText w:val="%1.%2.%3.%4.%5.%6.%7"/>
      <w:lvlJc w:val="left"/>
      <w:pPr>
        <w:tabs>
          <w:tab w:val="num" w:pos="1296"/>
        </w:tabs>
        <w:ind w:left="1296" w:hanging="1296"/>
      </w:pPr>
      <w:rPr>
        <w:rFonts w:ascii="Times New Roman" w:hAnsi="Times New Roman" w:cs="Times New Roman"/>
      </w:rPr>
    </w:lvl>
    <w:lvl w:ilvl="7">
      <w:start w:val="1"/>
      <w:numFmt w:val="decimal"/>
      <w:lvlText w:val="%1.%2.%3.%4.%5.%6.%7.%8"/>
      <w:lvlJc w:val="left"/>
      <w:pPr>
        <w:tabs>
          <w:tab w:val="num" w:pos="1440"/>
        </w:tabs>
        <w:ind w:left="1440" w:hanging="1440"/>
      </w:pPr>
      <w:rPr>
        <w:rFonts w:ascii="Times New Roman" w:hAnsi="Times New Roman" w:cs="Times New Roman"/>
      </w:rPr>
    </w:lvl>
    <w:lvl w:ilvl="8">
      <w:start w:val="1"/>
      <w:numFmt w:val="decimal"/>
      <w:lvlText w:val="%1.%2.%3.%4.%5.%6.%7.%8.%9"/>
      <w:lvlJc w:val="left"/>
      <w:pPr>
        <w:tabs>
          <w:tab w:val="num" w:pos="1584"/>
        </w:tabs>
        <w:ind w:left="1584" w:hanging="1584"/>
      </w:pPr>
      <w:rPr>
        <w:rFonts w:ascii="Times New Roman" w:hAnsi="Times New Roman" w:cs="Times New Roman"/>
      </w:rPr>
    </w:lvl>
  </w:abstractNum>
  <w:abstractNum w:abstractNumId="32" w15:restartNumberingAfterBreak="0">
    <w:nsid w:val="657502B7"/>
    <w:multiLevelType w:val="hybridMultilevel"/>
    <w:tmpl w:val="897CE6F6"/>
    <w:lvl w:ilvl="0" w:tplc="1D04829C">
      <w:start w:val="1"/>
      <w:numFmt w:val="bullet"/>
      <w:lvlText w:val=""/>
      <w:lvlJc w:val="left"/>
      <w:pPr>
        <w:ind w:left="720" w:hanging="360"/>
      </w:pPr>
      <w:rPr>
        <w:rFonts w:ascii="Symbol" w:hAnsi="Symbol" w:cs="Times New Roman"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cs="Times New Roman" w:hint="default"/>
      </w:rPr>
    </w:lvl>
    <w:lvl w:ilvl="3" w:tplc="0409000F">
      <w:start w:val="1"/>
      <w:numFmt w:val="bullet"/>
      <w:lvlText w:val=""/>
      <w:lvlJc w:val="left"/>
      <w:pPr>
        <w:ind w:left="2880" w:hanging="360"/>
      </w:pPr>
      <w:rPr>
        <w:rFonts w:ascii="Symbol" w:hAnsi="Symbol" w:cs="Times New Roman"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cs="Times New Roman" w:hint="default"/>
      </w:rPr>
    </w:lvl>
    <w:lvl w:ilvl="6" w:tplc="0409000F">
      <w:start w:val="1"/>
      <w:numFmt w:val="bullet"/>
      <w:lvlText w:val=""/>
      <w:lvlJc w:val="left"/>
      <w:pPr>
        <w:ind w:left="5040" w:hanging="360"/>
      </w:pPr>
      <w:rPr>
        <w:rFonts w:ascii="Symbol" w:hAnsi="Symbol" w:cs="Times New Roman"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cs="Times New Roman" w:hint="default"/>
      </w:rPr>
    </w:lvl>
  </w:abstractNum>
  <w:abstractNum w:abstractNumId="33" w15:restartNumberingAfterBreak="0">
    <w:nsid w:val="796565CC"/>
    <w:multiLevelType w:val="multilevel"/>
    <w:tmpl w:val="CC2E8D38"/>
    <w:lvl w:ilvl="0">
      <w:start w:val="1"/>
      <w:numFmt w:val="decimal"/>
      <w:lvlText w:val="%1."/>
      <w:lvlJc w:val="left"/>
      <w:pPr>
        <w:tabs>
          <w:tab w:val="num" w:pos="360"/>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34" w15:restartNumberingAfterBreak="0">
    <w:nsid w:val="7F733399"/>
    <w:multiLevelType w:val="multilevel"/>
    <w:tmpl w:val="0FB87DF4"/>
    <w:lvl w:ilvl="0">
      <w:start w:val="1"/>
      <w:numFmt w:val="decimal"/>
      <w:pStyle w:val="Heading1"/>
      <w:lvlText w:val="%1."/>
      <w:lvlJc w:val="left"/>
      <w:pPr>
        <w:tabs>
          <w:tab w:val="num" w:pos="360"/>
        </w:tabs>
        <w:ind w:left="432" w:hanging="432"/>
      </w:pPr>
      <w:rPr>
        <w:rFonts w:ascii="Times New Roman" w:hAnsi="Times New Roman" w:cs="Times New Roman" w:hint="default"/>
      </w:rPr>
    </w:lvl>
    <w:lvl w:ilvl="1">
      <w:start w:val="1"/>
      <w:numFmt w:val="decimal"/>
      <w:pStyle w:val="Heading2"/>
      <w:lvlText w:val="%1.%2"/>
      <w:lvlJc w:val="left"/>
      <w:pPr>
        <w:tabs>
          <w:tab w:val="num" w:pos="432"/>
        </w:tabs>
        <w:ind w:left="432" w:hanging="432"/>
      </w:pPr>
      <w:rPr>
        <w:rFonts w:ascii="Times New Roman" w:hAnsi="Times New Roman" w:cs="Times New Roman" w:hint="default"/>
      </w:rPr>
    </w:lvl>
    <w:lvl w:ilvl="2">
      <w:start w:val="1"/>
      <w:numFmt w:val="decimal"/>
      <w:pStyle w:val="Heading3"/>
      <w:lvlText w:val="%1.%2.%3"/>
      <w:lvlJc w:val="left"/>
      <w:pPr>
        <w:tabs>
          <w:tab w:val="num" w:pos="576"/>
        </w:tabs>
        <w:ind w:left="576" w:hanging="576"/>
      </w:pPr>
      <w:rPr>
        <w:rFonts w:ascii="Times New Roman" w:hAnsi="Times New Roman" w:cs="Times New Roman" w:hint="default"/>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rPr>
        <w:rFonts w:ascii="Times New Roman" w:hAnsi="Times New Roman" w:cs="Times New Roman"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rPr>
    </w:lvl>
    <w:lvl w:ilvl="6">
      <w:start w:val="1"/>
      <w:numFmt w:val="decimal"/>
      <w:pStyle w:val="Heading7"/>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num w:numId="1" w16cid:durableId="761947858">
    <w:abstractNumId w:val="9"/>
  </w:num>
  <w:num w:numId="2" w16cid:durableId="180633766">
    <w:abstractNumId w:val="9"/>
  </w:num>
  <w:num w:numId="3" w16cid:durableId="1198354033">
    <w:abstractNumId w:val="9"/>
  </w:num>
  <w:num w:numId="4" w16cid:durableId="462188076">
    <w:abstractNumId w:val="9"/>
  </w:num>
  <w:num w:numId="5" w16cid:durableId="873691060">
    <w:abstractNumId w:val="7"/>
  </w:num>
  <w:num w:numId="6" w16cid:durableId="2004702022">
    <w:abstractNumId w:val="6"/>
  </w:num>
  <w:num w:numId="7" w16cid:durableId="1170950591">
    <w:abstractNumId w:val="5"/>
  </w:num>
  <w:num w:numId="8" w16cid:durableId="777797583">
    <w:abstractNumId w:val="4"/>
  </w:num>
  <w:num w:numId="9" w16cid:durableId="1754736764">
    <w:abstractNumId w:val="8"/>
  </w:num>
  <w:num w:numId="10" w16cid:durableId="478689782">
    <w:abstractNumId w:val="3"/>
  </w:num>
  <w:num w:numId="11" w16cid:durableId="277222623">
    <w:abstractNumId w:val="2"/>
  </w:num>
  <w:num w:numId="12" w16cid:durableId="1624653495">
    <w:abstractNumId w:val="1"/>
  </w:num>
  <w:num w:numId="13" w16cid:durableId="1319961898">
    <w:abstractNumId w:val="0"/>
  </w:num>
  <w:num w:numId="14" w16cid:durableId="29452964">
    <w:abstractNumId w:val="10"/>
  </w:num>
  <w:num w:numId="15" w16cid:durableId="1026952605">
    <w:abstractNumId w:val="13"/>
  </w:num>
  <w:num w:numId="16" w16cid:durableId="329986753">
    <w:abstractNumId w:val="24"/>
  </w:num>
  <w:num w:numId="17" w16cid:durableId="1543402013">
    <w:abstractNumId w:val="18"/>
  </w:num>
  <w:num w:numId="18" w16cid:durableId="1509247374">
    <w:abstractNumId w:val="25"/>
  </w:num>
  <w:num w:numId="19" w16cid:durableId="567693625">
    <w:abstractNumId w:val="34"/>
  </w:num>
  <w:num w:numId="20" w16cid:durableId="1297645328">
    <w:abstractNumId w:val="31"/>
  </w:num>
  <w:num w:numId="21" w16cid:durableId="1361125316">
    <w:abstractNumId w:val="20"/>
  </w:num>
  <w:num w:numId="22" w16cid:durableId="1180967990">
    <w:abstractNumId w:val="17"/>
  </w:num>
  <w:num w:numId="23" w16cid:durableId="1657685916">
    <w:abstractNumId w:val="33"/>
  </w:num>
  <w:num w:numId="24" w16cid:durableId="1640575715">
    <w:abstractNumId w:val="21"/>
  </w:num>
  <w:num w:numId="25" w16cid:durableId="1920600089">
    <w:abstractNumId w:val="30"/>
  </w:num>
  <w:num w:numId="26" w16cid:durableId="107627134">
    <w:abstractNumId w:val="23"/>
  </w:num>
  <w:num w:numId="27" w16cid:durableId="1928608691">
    <w:abstractNumId w:val="16"/>
  </w:num>
  <w:num w:numId="28" w16cid:durableId="567226723">
    <w:abstractNumId w:val="12"/>
  </w:num>
  <w:num w:numId="29" w16cid:durableId="648749252">
    <w:abstractNumId w:val="19"/>
  </w:num>
  <w:num w:numId="30" w16cid:durableId="411708106">
    <w:abstractNumId w:val="22"/>
  </w:num>
  <w:num w:numId="31" w16cid:durableId="1476341037">
    <w:abstractNumId w:val="29"/>
  </w:num>
  <w:num w:numId="32" w16cid:durableId="229734601">
    <w:abstractNumId w:val="11"/>
  </w:num>
  <w:num w:numId="33" w16cid:durableId="300430013">
    <w:abstractNumId w:val="32"/>
  </w:num>
  <w:num w:numId="34" w16cid:durableId="1636910811">
    <w:abstractNumId w:val="28"/>
  </w:num>
  <w:num w:numId="35" w16cid:durableId="1796755491">
    <w:abstractNumId w:val="26"/>
  </w:num>
  <w:num w:numId="36" w16cid:durableId="710345532">
    <w:abstractNumId w:val="27"/>
  </w:num>
  <w:num w:numId="37" w16cid:durableId="687172992">
    <w:abstractNumId w:val="14"/>
  </w:num>
  <w:num w:numId="38" w16cid:durableId="11780841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4D"/>
    <w:rsid w:val="00006E4C"/>
    <w:rsid w:val="00023A8D"/>
    <w:rsid w:val="0002416C"/>
    <w:rsid w:val="0003700C"/>
    <w:rsid w:val="000D3058"/>
    <w:rsid w:val="000E3662"/>
    <w:rsid w:val="000E622B"/>
    <w:rsid w:val="00186A23"/>
    <w:rsid w:val="001C13CD"/>
    <w:rsid w:val="001D5E17"/>
    <w:rsid w:val="001D70D4"/>
    <w:rsid w:val="001D744D"/>
    <w:rsid w:val="00223AED"/>
    <w:rsid w:val="002254C2"/>
    <w:rsid w:val="00225B25"/>
    <w:rsid w:val="00226970"/>
    <w:rsid w:val="00252454"/>
    <w:rsid w:val="002662D1"/>
    <w:rsid w:val="00273021"/>
    <w:rsid w:val="00280073"/>
    <w:rsid w:val="0028318F"/>
    <w:rsid w:val="002952B6"/>
    <w:rsid w:val="002A5DA2"/>
    <w:rsid w:val="002D6CAB"/>
    <w:rsid w:val="002F5E77"/>
    <w:rsid w:val="0033356D"/>
    <w:rsid w:val="00335EEE"/>
    <w:rsid w:val="00356334"/>
    <w:rsid w:val="00375905"/>
    <w:rsid w:val="00390FC0"/>
    <w:rsid w:val="003B5554"/>
    <w:rsid w:val="003C123E"/>
    <w:rsid w:val="003F7B5D"/>
    <w:rsid w:val="0040410E"/>
    <w:rsid w:val="00493068"/>
    <w:rsid w:val="0049421B"/>
    <w:rsid w:val="004A121F"/>
    <w:rsid w:val="004C5E5A"/>
    <w:rsid w:val="005020FE"/>
    <w:rsid w:val="00565CA6"/>
    <w:rsid w:val="005A46A4"/>
    <w:rsid w:val="005E3266"/>
    <w:rsid w:val="005E4614"/>
    <w:rsid w:val="0061129E"/>
    <w:rsid w:val="00617D21"/>
    <w:rsid w:val="00627F6D"/>
    <w:rsid w:val="00636B9C"/>
    <w:rsid w:val="00653D0F"/>
    <w:rsid w:val="00656F03"/>
    <w:rsid w:val="006741D4"/>
    <w:rsid w:val="00674B7F"/>
    <w:rsid w:val="00677643"/>
    <w:rsid w:val="006C00B9"/>
    <w:rsid w:val="006D1764"/>
    <w:rsid w:val="006D4791"/>
    <w:rsid w:val="00715AF0"/>
    <w:rsid w:val="007309ED"/>
    <w:rsid w:val="00760CFC"/>
    <w:rsid w:val="00766F9F"/>
    <w:rsid w:val="00776D8C"/>
    <w:rsid w:val="007A2F98"/>
    <w:rsid w:val="007B3F96"/>
    <w:rsid w:val="007B434D"/>
    <w:rsid w:val="007C574B"/>
    <w:rsid w:val="007E370A"/>
    <w:rsid w:val="00800091"/>
    <w:rsid w:val="0083553B"/>
    <w:rsid w:val="00853B41"/>
    <w:rsid w:val="008712FA"/>
    <w:rsid w:val="008764A5"/>
    <w:rsid w:val="008C6245"/>
    <w:rsid w:val="008E2C9B"/>
    <w:rsid w:val="008F5C42"/>
    <w:rsid w:val="00911952"/>
    <w:rsid w:val="00921F0E"/>
    <w:rsid w:val="00943493"/>
    <w:rsid w:val="009514B0"/>
    <w:rsid w:val="009524AB"/>
    <w:rsid w:val="00993FC9"/>
    <w:rsid w:val="009F77CD"/>
    <w:rsid w:val="00A2233D"/>
    <w:rsid w:val="00A45921"/>
    <w:rsid w:val="00A73647"/>
    <w:rsid w:val="00A752DB"/>
    <w:rsid w:val="00A8477F"/>
    <w:rsid w:val="00A9045A"/>
    <w:rsid w:val="00A97E7C"/>
    <w:rsid w:val="00AA5FA0"/>
    <w:rsid w:val="00AF5D64"/>
    <w:rsid w:val="00AF6E1B"/>
    <w:rsid w:val="00B365ED"/>
    <w:rsid w:val="00B5789C"/>
    <w:rsid w:val="00B91923"/>
    <w:rsid w:val="00BA1812"/>
    <w:rsid w:val="00BA2828"/>
    <w:rsid w:val="00BB4C0C"/>
    <w:rsid w:val="00BE6935"/>
    <w:rsid w:val="00C0483B"/>
    <w:rsid w:val="00C16ED1"/>
    <w:rsid w:val="00C63E9E"/>
    <w:rsid w:val="00C81015"/>
    <w:rsid w:val="00C85F21"/>
    <w:rsid w:val="00CA1C8E"/>
    <w:rsid w:val="00CA34B4"/>
    <w:rsid w:val="00CA58CF"/>
    <w:rsid w:val="00CA6F2E"/>
    <w:rsid w:val="00CD6D7A"/>
    <w:rsid w:val="00CF357F"/>
    <w:rsid w:val="00D011FF"/>
    <w:rsid w:val="00D4327A"/>
    <w:rsid w:val="00D66FF8"/>
    <w:rsid w:val="00DA5ADA"/>
    <w:rsid w:val="00DA7A00"/>
    <w:rsid w:val="00DC2743"/>
    <w:rsid w:val="00DE7DD5"/>
    <w:rsid w:val="00E1211F"/>
    <w:rsid w:val="00E20DDB"/>
    <w:rsid w:val="00E40686"/>
    <w:rsid w:val="00E525D5"/>
    <w:rsid w:val="00E56B2C"/>
    <w:rsid w:val="00E74180"/>
    <w:rsid w:val="00E85FE4"/>
    <w:rsid w:val="00ED0592"/>
    <w:rsid w:val="00F02AFE"/>
    <w:rsid w:val="00F20C1E"/>
    <w:rsid w:val="00F63D15"/>
    <w:rsid w:val="00F76B8B"/>
    <w:rsid w:val="00FD2C3F"/>
    <w:rsid w:val="00FE7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7A8E90"/>
  <w15:chartTrackingRefBased/>
  <w15:docId w15:val="{DB08E9DE-BE3C-4AB0-A2F3-3921A581D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BodyText"/>
    <w:autoRedefine/>
    <w:qFormat/>
    <w:pPr>
      <w:keepNext/>
      <w:numPr>
        <w:numId w:val="19"/>
      </w:numPr>
      <w:spacing w:before="100" w:beforeAutospacing="1" w:after="120"/>
      <w:jc w:val="center"/>
      <w:outlineLvl w:val="0"/>
    </w:pPr>
    <w:rPr>
      <w:rFonts w:ascii="Times New Roman Bold" w:hAnsi="Times New Roman Bold"/>
      <w:b/>
      <w:bCs/>
      <w:caps/>
      <w:kern w:val="32"/>
      <w:sz w:val="28"/>
      <w:szCs w:val="28"/>
    </w:rPr>
  </w:style>
  <w:style w:type="paragraph" w:styleId="Heading2">
    <w:name w:val="heading 2"/>
    <w:basedOn w:val="Heading1"/>
    <w:next w:val="BodyText"/>
    <w:autoRedefine/>
    <w:qFormat/>
    <w:pPr>
      <w:numPr>
        <w:ilvl w:val="1"/>
      </w:numPr>
      <w:tabs>
        <w:tab w:val="num" w:pos="720"/>
      </w:tabs>
      <w:jc w:val="left"/>
      <w:outlineLvl w:val="1"/>
    </w:pPr>
    <w:rPr>
      <w:caps w:val="0"/>
      <w:sz w:val="24"/>
      <w:szCs w:val="24"/>
    </w:rPr>
  </w:style>
  <w:style w:type="paragraph" w:styleId="Heading3">
    <w:name w:val="heading 3"/>
    <w:basedOn w:val="Heading2"/>
    <w:next w:val="BodyText"/>
    <w:autoRedefine/>
    <w:qFormat/>
    <w:pPr>
      <w:numPr>
        <w:ilvl w:val="2"/>
      </w:numPr>
      <w:tabs>
        <w:tab w:val="clear" w:pos="720"/>
        <w:tab w:val="num" w:pos="1440"/>
      </w:tabs>
      <w:outlineLvl w:val="2"/>
    </w:pPr>
    <w:rPr>
      <w:rFonts w:ascii="Times New Roman" w:hAnsi="Times New Roman"/>
      <w:i/>
      <w:iCs/>
    </w:rPr>
  </w:style>
  <w:style w:type="paragraph" w:styleId="Heading4">
    <w:name w:val="heading 4"/>
    <w:basedOn w:val="Heading3"/>
    <w:next w:val="BodyText"/>
    <w:autoRedefine/>
    <w:qFormat/>
    <w:pPr>
      <w:numPr>
        <w:ilvl w:val="3"/>
      </w:numPr>
      <w:tabs>
        <w:tab w:val="clear" w:pos="1440"/>
        <w:tab w:val="num" w:pos="2160"/>
      </w:tabs>
      <w:outlineLvl w:val="3"/>
    </w:pPr>
  </w:style>
  <w:style w:type="paragraph" w:styleId="Heading5">
    <w:name w:val="heading 5"/>
    <w:basedOn w:val="Normal"/>
    <w:next w:val="Normal"/>
    <w:qFormat/>
    <w:pPr>
      <w:numPr>
        <w:ilvl w:val="4"/>
        <w:numId w:val="19"/>
      </w:numPr>
      <w:spacing w:before="240" w:after="60"/>
      <w:outlineLvl w:val="4"/>
    </w:pPr>
    <w:rPr>
      <w:b/>
      <w:bCs/>
      <w:i/>
      <w:iCs/>
      <w:sz w:val="26"/>
      <w:szCs w:val="26"/>
    </w:rPr>
  </w:style>
  <w:style w:type="paragraph" w:styleId="Heading6">
    <w:name w:val="heading 6"/>
    <w:basedOn w:val="Normal"/>
    <w:next w:val="Normal"/>
    <w:qFormat/>
    <w:pPr>
      <w:numPr>
        <w:ilvl w:val="5"/>
        <w:numId w:val="19"/>
      </w:numPr>
      <w:spacing w:before="240" w:after="60"/>
      <w:outlineLvl w:val="5"/>
    </w:pPr>
    <w:rPr>
      <w:b/>
      <w:bCs/>
      <w:sz w:val="22"/>
      <w:szCs w:val="22"/>
    </w:rPr>
  </w:style>
  <w:style w:type="paragraph" w:styleId="Heading7">
    <w:name w:val="heading 7"/>
    <w:basedOn w:val="Normal"/>
    <w:next w:val="Normal"/>
    <w:qFormat/>
    <w:pPr>
      <w:numPr>
        <w:ilvl w:val="6"/>
        <w:numId w:val="19"/>
      </w:numPr>
      <w:spacing w:before="240" w:after="60"/>
      <w:outlineLvl w:val="6"/>
    </w:pPr>
  </w:style>
  <w:style w:type="paragraph" w:styleId="Heading8">
    <w:name w:val="heading 8"/>
    <w:basedOn w:val="Normal"/>
    <w:next w:val="Normal"/>
    <w:qFormat/>
    <w:pPr>
      <w:numPr>
        <w:ilvl w:val="7"/>
        <w:numId w:val="19"/>
      </w:numPr>
      <w:spacing w:before="240" w:after="60"/>
      <w:outlineLvl w:val="7"/>
    </w:pPr>
    <w:rPr>
      <w:i/>
      <w:iCs/>
    </w:rPr>
  </w:style>
  <w:style w:type="paragraph" w:styleId="Heading9">
    <w:name w:val="heading 9"/>
    <w:basedOn w:val="Normal"/>
    <w:next w:val="Normal"/>
    <w:qFormat/>
    <w:pPr>
      <w:numPr>
        <w:ilvl w:val="8"/>
        <w:numId w:val="1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hAnsi="Times New Roman Bold" w:cs="Times New Roman Bold"/>
      <w:b/>
      <w:bCs/>
      <w:caps/>
      <w:kern w:val="32"/>
      <w:sz w:val="28"/>
      <w:szCs w:val="28"/>
    </w:rPr>
  </w:style>
  <w:style w:type="character" w:customStyle="1" w:styleId="Heading2Char">
    <w:name w:val="Heading 2 Char"/>
    <w:rPr>
      <w:rFonts w:ascii="Times New Roman Bold" w:hAnsi="Times New Roman Bold" w:cs="Times New Roman Bold"/>
      <w:b/>
      <w:bCs/>
      <w:kern w:val="32"/>
      <w:sz w:val="24"/>
      <w:szCs w:val="24"/>
    </w:rPr>
  </w:style>
  <w:style w:type="character" w:customStyle="1" w:styleId="Heading3Char">
    <w:name w:val="Heading 3 Char"/>
    <w:rPr>
      <w:rFonts w:ascii="Times New Roman" w:hAnsi="Times New Roman" w:cs="Times New Roman"/>
      <w:b/>
      <w:bCs/>
      <w:i/>
      <w:iCs/>
      <w:kern w:val="32"/>
      <w:sz w:val="24"/>
      <w:szCs w:val="24"/>
    </w:rPr>
  </w:style>
  <w:style w:type="character" w:customStyle="1" w:styleId="Heading4Char">
    <w:name w:val="Heading 4 Char"/>
    <w:rPr>
      <w:rFonts w:ascii="Times New Roman" w:hAnsi="Times New Roman" w:cs="Times New Roman"/>
      <w:b/>
      <w:bCs/>
      <w:i/>
      <w:iCs/>
      <w:kern w:val="32"/>
      <w:sz w:val="24"/>
      <w:szCs w:val="24"/>
    </w:rPr>
  </w:style>
  <w:style w:type="character" w:customStyle="1" w:styleId="Heading5Char">
    <w:name w:val="Heading 5 Char"/>
    <w:rPr>
      <w:rFonts w:ascii="Times New Roman" w:hAnsi="Times New Roman" w:cs="Times New Roman"/>
      <w:b/>
      <w:bCs/>
      <w:i/>
      <w:iCs/>
      <w:sz w:val="26"/>
      <w:szCs w:val="26"/>
    </w:rPr>
  </w:style>
  <w:style w:type="character" w:customStyle="1" w:styleId="Heading6Char">
    <w:name w:val="Heading 6 Char"/>
    <w:rPr>
      <w:rFonts w:ascii="Times New Roman" w:hAnsi="Times New Roman" w:cs="Times New Roman"/>
      <w:b/>
      <w:bCs/>
    </w:rPr>
  </w:style>
  <w:style w:type="character" w:customStyle="1" w:styleId="Heading7Char">
    <w:name w:val="Heading 7 Char"/>
    <w:rPr>
      <w:rFonts w:ascii="Times New Roman" w:hAnsi="Times New Roman" w:cs="Times New Roman"/>
      <w:sz w:val="24"/>
      <w:szCs w:val="24"/>
    </w:rPr>
  </w:style>
  <w:style w:type="character" w:customStyle="1" w:styleId="Heading8Char">
    <w:name w:val="Heading 8 Char"/>
    <w:rPr>
      <w:rFonts w:ascii="Times New Roman" w:hAnsi="Times New Roman" w:cs="Times New Roman"/>
      <w:i/>
      <w:iCs/>
      <w:sz w:val="24"/>
      <w:szCs w:val="24"/>
    </w:rPr>
  </w:style>
  <w:style w:type="character" w:customStyle="1" w:styleId="Heading9Char">
    <w:name w:val="Heading 9 Char"/>
    <w:rPr>
      <w:rFonts w:ascii="Arial" w:hAnsi="Arial" w:cs="Arial"/>
    </w:rPr>
  </w:style>
  <w:style w:type="paragraph" w:styleId="BodyText">
    <w:name w:val="Body Text"/>
    <w:basedOn w:val="Normal"/>
    <w:autoRedefine/>
    <w:semiHidden/>
    <w:rsid w:val="000E622B"/>
    <w:pPr>
      <w:spacing w:after="240"/>
      <w:jc w:val="both"/>
    </w:pPr>
    <w:rPr>
      <w:color w:val="000000" w:themeColor="text1"/>
    </w:rPr>
  </w:style>
  <w:style w:type="character" w:customStyle="1" w:styleId="BodyTextChar">
    <w:name w:val="Body Text Char"/>
    <w:rPr>
      <w:rFonts w:ascii="Times New Roman" w:hAnsi="Times New Roman" w:cs="Times New Roman"/>
      <w:sz w:val="24"/>
      <w:szCs w:val="24"/>
    </w:rPr>
  </w:style>
  <w:style w:type="paragraph" w:styleId="Title">
    <w:name w:val="Title"/>
    <w:basedOn w:val="Normal"/>
    <w:autoRedefine/>
    <w:qFormat/>
    <w:pPr>
      <w:widowControl w:val="0"/>
      <w:spacing w:after="480"/>
      <w:jc w:val="center"/>
      <w:outlineLvl w:val="0"/>
    </w:pPr>
    <w:rPr>
      <w:rFonts w:ascii="Times New Roman Bold" w:hAnsi="Times New Roman Bold"/>
      <w:b/>
      <w:bCs/>
      <w:caps/>
      <w:kern w:val="28"/>
      <w:sz w:val="32"/>
      <w:szCs w:val="32"/>
    </w:rPr>
  </w:style>
  <w:style w:type="character" w:customStyle="1" w:styleId="TitleChar">
    <w:name w:val="Title Char"/>
    <w:rPr>
      <w:rFonts w:ascii="Cambria" w:hAnsi="Cambria" w:cs="Times New Roman"/>
      <w:b/>
      <w:bCs/>
      <w:kern w:val="28"/>
      <w:sz w:val="32"/>
      <w:szCs w:val="32"/>
    </w:rPr>
  </w:style>
  <w:style w:type="paragraph" w:customStyle="1" w:styleId="Authors">
    <w:name w:val="Authors"/>
    <w:basedOn w:val="BodyText"/>
    <w:autoRedefine/>
    <w:pPr>
      <w:jc w:val="center"/>
    </w:pPr>
  </w:style>
  <w:style w:type="paragraph" w:customStyle="1" w:styleId="AbstractTitle">
    <w:name w:val="Abstract Title"/>
    <w:basedOn w:val="Authors"/>
    <w:next w:val="BodyText"/>
    <w:autoRedefine/>
    <w:pPr>
      <w:widowControl w:val="0"/>
    </w:pPr>
    <w:rPr>
      <w:rFonts w:ascii="Times New Roman Bold" w:hAnsi="Times New Roman Bold"/>
      <w:b/>
      <w:bCs/>
      <w:caps/>
      <w:sz w:val="28"/>
      <w:szCs w:val="28"/>
    </w:rPr>
  </w:style>
  <w:style w:type="paragraph" w:customStyle="1" w:styleId="Abstracttext">
    <w:name w:val="Abstract text"/>
    <w:basedOn w:val="BodyText"/>
    <w:next w:val="Normal"/>
  </w:style>
  <w:style w:type="paragraph" w:customStyle="1" w:styleId="Equation">
    <w:name w:val="Equation"/>
    <w:basedOn w:val="Normal"/>
    <w:next w:val="BodyText"/>
    <w:autoRedefine/>
    <w:pPr>
      <w:keepLines/>
      <w:tabs>
        <w:tab w:val="center" w:pos="4680"/>
        <w:tab w:val="right" w:pos="9360"/>
      </w:tabs>
      <w:spacing w:after="100" w:afterAutospacing="1"/>
      <w:jc w:val="center"/>
    </w:pPr>
    <w:rPr>
      <w:position w:val="-12"/>
    </w:rPr>
  </w:style>
  <w:style w:type="paragraph" w:customStyle="1" w:styleId="Tabletextcenter">
    <w:name w:val="Table text (center)"/>
    <w:basedOn w:val="Normal"/>
    <w:autoRedefine/>
    <w:pPr>
      <w:keepLines/>
      <w:spacing w:before="100" w:beforeAutospacing="1" w:after="100" w:afterAutospacing="1"/>
      <w:jc w:val="center"/>
    </w:pPr>
  </w:style>
  <w:style w:type="paragraph" w:customStyle="1" w:styleId="EquationNumber">
    <w:name w:val="Equation Number"/>
    <w:basedOn w:val="BodyText"/>
    <w:next w:val="BodyText"/>
    <w:autoRedefine/>
    <w:pPr>
      <w:spacing w:before="120" w:after="120"/>
      <w:jc w:val="right"/>
    </w:pPr>
  </w:style>
  <w:style w:type="paragraph" w:styleId="ListBullet">
    <w:name w:val="List Bullet"/>
    <w:basedOn w:val="Normal"/>
    <w:autoRedefine/>
    <w:semiHidden/>
    <w:pPr>
      <w:numPr>
        <w:numId w:val="2"/>
      </w:numPr>
      <w:spacing w:before="100" w:beforeAutospacing="1" w:after="100" w:afterAutospacing="1"/>
      <w:ind w:left="648"/>
    </w:pPr>
  </w:style>
  <w:style w:type="paragraph" w:customStyle="1" w:styleId="Figure">
    <w:name w:val="Figure"/>
    <w:basedOn w:val="BodyText"/>
    <w:next w:val="FigureLabel"/>
    <w:autoRedefine/>
    <w:pPr>
      <w:keepNext/>
      <w:keepLines/>
      <w:spacing w:before="100" w:beforeAutospacing="1" w:after="100" w:afterAutospacing="1"/>
      <w:jc w:val="center"/>
    </w:pPr>
  </w:style>
  <w:style w:type="paragraph" w:customStyle="1" w:styleId="FigureLabel">
    <w:name w:val="Figure Label"/>
    <w:basedOn w:val="BodyText"/>
    <w:next w:val="BodyText"/>
    <w:autoRedefine/>
    <w:pPr>
      <w:keepLines/>
      <w:jc w:val="center"/>
    </w:pPr>
  </w:style>
  <w:style w:type="paragraph" w:customStyle="1" w:styleId="JournalName">
    <w:name w:val="Journal Name"/>
    <w:basedOn w:val="BodyText"/>
    <w:autoRedefine/>
    <w:rPr>
      <w:i/>
      <w:iCs/>
    </w:rPr>
  </w:style>
  <w:style w:type="paragraph" w:customStyle="1" w:styleId="Tableheader">
    <w:name w:val="Table header"/>
    <w:basedOn w:val="Normal"/>
    <w:autoRedefine/>
    <w:pPr>
      <w:keepLines/>
      <w:jc w:val="center"/>
    </w:pPr>
    <w:rPr>
      <w:b/>
      <w:bCs/>
    </w:rPr>
  </w:style>
  <w:style w:type="character" w:styleId="Emphasis">
    <w:name w:val="Emphasis"/>
    <w:qFormat/>
    <w:rPr>
      <w:rFonts w:ascii="Times New Roman" w:hAnsi="Times New Roman" w:cs="Times New Roman"/>
      <w:i/>
      <w:iCs/>
    </w:rPr>
  </w:style>
  <w:style w:type="paragraph" w:customStyle="1" w:styleId="Reference">
    <w:name w:val="Reference"/>
    <w:autoRedefine/>
    <w:pPr>
      <w:numPr>
        <w:numId w:val="32"/>
      </w:numPr>
      <w:spacing w:before="120"/>
      <w:ind w:left="360"/>
      <w:jc w:val="both"/>
    </w:pPr>
    <w:rPr>
      <w:sz w:val="24"/>
      <w:szCs w:val="24"/>
    </w:rPr>
  </w:style>
  <w:style w:type="paragraph" w:customStyle="1" w:styleId="TableLabel">
    <w:name w:val="Table Label"/>
    <w:basedOn w:val="BodyText"/>
    <w:next w:val="BodyText"/>
    <w:autoRedefine/>
    <w:pPr>
      <w:spacing w:before="100" w:beforeAutospacing="1" w:after="120"/>
      <w:jc w:val="center"/>
    </w:pPr>
  </w:style>
  <w:style w:type="paragraph" w:customStyle="1" w:styleId="Tabletextleft">
    <w:name w:val="Table text (left)"/>
    <w:basedOn w:val="Tabletextcenter"/>
    <w:autoRedefine/>
    <w:pPr>
      <w:jc w:val="left"/>
    </w:pPr>
  </w:style>
  <w:style w:type="paragraph" w:styleId="Header">
    <w:name w:val="header"/>
    <w:basedOn w:val="Normal"/>
    <w:link w:val="HeaderChar"/>
    <w:uiPriority w:val="99"/>
    <w:unhideWhenUsed/>
    <w:rsid w:val="00ED0592"/>
    <w:pPr>
      <w:tabs>
        <w:tab w:val="center" w:pos="4680"/>
        <w:tab w:val="right" w:pos="9360"/>
      </w:tabs>
    </w:pPr>
  </w:style>
  <w:style w:type="character" w:customStyle="1" w:styleId="HeaderChar">
    <w:name w:val="Header Char"/>
    <w:link w:val="Header"/>
    <w:uiPriority w:val="99"/>
    <w:rsid w:val="00ED0592"/>
    <w:rPr>
      <w:sz w:val="24"/>
      <w:szCs w:val="24"/>
    </w:rPr>
  </w:style>
  <w:style w:type="paragraph" w:styleId="Footer">
    <w:name w:val="footer"/>
    <w:basedOn w:val="Normal"/>
    <w:link w:val="FooterChar"/>
    <w:uiPriority w:val="99"/>
    <w:unhideWhenUsed/>
    <w:rsid w:val="00ED0592"/>
    <w:pPr>
      <w:tabs>
        <w:tab w:val="center" w:pos="4680"/>
        <w:tab w:val="right" w:pos="9360"/>
      </w:tabs>
    </w:pPr>
  </w:style>
  <w:style w:type="character" w:customStyle="1" w:styleId="FooterChar">
    <w:name w:val="Footer Char"/>
    <w:link w:val="Footer"/>
    <w:uiPriority w:val="99"/>
    <w:rsid w:val="00ED0592"/>
    <w:rPr>
      <w:sz w:val="24"/>
      <w:szCs w:val="24"/>
    </w:rPr>
  </w:style>
  <w:style w:type="paragraph" w:styleId="BalloonText">
    <w:name w:val="Balloon Text"/>
    <w:basedOn w:val="Normal"/>
    <w:link w:val="BalloonTextChar"/>
    <w:uiPriority w:val="99"/>
    <w:semiHidden/>
    <w:unhideWhenUsed/>
    <w:rsid w:val="000E62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22B"/>
    <w:rPr>
      <w:rFonts w:ascii="Segoe UI" w:hAnsi="Segoe UI" w:cs="Segoe UI"/>
      <w:sz w:val="18"/>
      <w:szCs w:val="18"/>
    </w:rPr>
  </w:style>
  <w:style w:type="paragraph" w:styleId="Caption">
    <w:name w:val="caption"/>
    <w:basedOn w:val="Normal"/>
    <w:next w:val="Normal"/>
    <w:uiPriority w:val="35"/>
    <w:unhideWhenUsed/>
    <w:qFormat/>
    <w:rsid w:val="00CD6D7A"/>
    <w:pPr>
      <w:spacing w:after="200"/>
    </w:pPr>
    <w:rPr>
      <w:i/>
      <w:iCs/>
      <w:color w:val="44546A" w:themeColor="text2"/>
      <w:sz w:val="18"/>
      <w:szCs w:val="18"/>
    </w:rPr>
  </w:style>
  <w:style w:type="paragraph" w:styleId="ListParagraph">
    <w:name w:val="List Paragraph"/>
    <w:basedOn w:val="Normal"/>
    <w:uiPriority w:val="34"/>
    <w:qFormat/>
    <w:rsid w:val="00766F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589255">
      <w:bodyDiv w:val="1"/>
      <w:marLeft w:val="0"/>
      <w:marRight w:val="0"/>
      <w:marTop w:val="0"/>
      <w:marBottom w:val="0"/>
      <w:divBdr>
        <w:top w:val="none" w:sz="0" w:space="0" w:color="auto"/>
        <w:left w:val="none" w:sz="0" w:space="0" w:color="auto"/>
        <w:bottom w:val="none" w:sz="0" w:space="0" w:color="auto"/>
        <w:right w:val="none" w:sz="0" w:space="0" w:color="auto"/>
      </w:divBdr>
    </w:div>
    <w:div w:id="214114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B6969A382C7C94B8735A7EAAE0B341D" ma:contentTypeVersion="13" ma:contentTypeDescription="Create a new document." ma:contentTypeScope="" ma:versionID="979e71a1ad97f506da27ffac57943b06">
  <xsd:schema xmlns:xsd="http://www.w3.org/2001/XMLSchema" xmlns:xs="http://www.w3.org/2001/XMLSchema" xmlns:p="http://schemas.microsoft.com/office/2006/metadata/properties" xmlns:ns3="54a094f5-459c-4b50-80f3-59bdadfac681" xmlns:ns4="e8d6b2a4-d050-4774-b81a-c38881f63ba7" targetNamespace="http://schemas.microsoft.com/office/2006/metadata/properties" ma:root="true" ma:fieldsID="b1e6ed71187b44617b56ba79403b3089" ns3:_="" ns4:_="">
    <xsd:import namespace="54a094f5-459c-4b50-80f3-59bdadfac681"/>
    <xsd:import namespace="e8d6b2a4-d050-4774-b81a-c38881f63ba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094f5-459c-4b50-80f3-59bdadfac68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d6b2a4-d050-4774-b81a-c38881f63ba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9B027E-46E3-4429-A219-DF726680C5A4}">
  <ds:schemaRefs>
    <ds:schemaRef ds:uri="http://schemas.microsoft.com/sharepoint/v3/contenttype/forms"/>
  </ds:schemaRefs>
</ds:datastoreItem>
</file>

<file path=customXml/itemProps2.xml><?xml version="1.0" encoding="utf-8"?>
<ds:datastoreItem xmlns:ds="http://schemas.openxmlformats.org/officeDocument/2006/customXml" ds:itemID="{03AE9AA7-CE9B-43CE-8684-97E1C885A5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9D0C27-CFF9-4C0B-B1A1-DDB5347BA9A5}">
  <ds:schemaRefs>
    <ds:schemaRef ds:uri="http://schemas.openxmlformats.org/officeDocument/2006/bibliography"/>
  </ds:schemaRefs>
</ds:datastoreItem>
</file>

<file path=customXml/itemProps4.xml><?xml version="1.0" encoding="utf-8"?>
<ds:datastoreItem xmlns:ds="http://schemas.openxmlformats.org/officeDocument/2006/customXml" ds:itemID="{E45B8546-D591-4F91-81DF-41E27581C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094f5-459c-4b50-80f3-59bdadfac681"/>
    <ds:schemaRef ds:uri="e8d6b2a4-d050-4774-b81a-c38881f63b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4554</TotalTime>
  <Pages>10</Pages>
  <Words>2860</Words>
  <Characters>16302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Paper Template</vt:lpstr>
    </vt:vector>
  </TitlesOfParts>
  <Company>Honeywell FM&amp;T</Company>
  <LinksUpToDate>false</LinksUpToDate>
  <CharactersWithSpaces>19124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christine ellis</dc:creator>
  <cp:keywords/>
  <cp:lastModifiedBy>August Noevere</cp:lastModifiedBy>
  <cp:revision>71</cp:revision>
  <cp:lastPrinted>2011-11-15T22:13:00Z</cp:lastPrinted>
  <dcterms:created xsi:type="dcterms:W3CDTF">2022-12-06T19:13:00Z</dcterms:created>
  <dcterms:modified xsi:type="dcterms:W3CDTF">2023-01-05T20:34:00Z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0x0101002B6969A382C7C94B8735A7EAAE0B341D</vt:lpwstr>
  </property>
</Properties>
</file>