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AC6847" w14:textId="64157CE6" w:rsidR="00FB0C0F" w:rsidRDefault="00943ECC">
      <w:pPr>
        <w:pStyle w:val="Heading3"/>
        <w:rPr>
          <w:caps/>
          <w:sz w:val="24"/>
        </w:rPr>
      </w:pPr>
      <w:r>
        <w:rPr>
          <w:caps/>
          <w:sz w:val="24"/>
        </w:rPr>
        <w:t>Enabling scalable, global open science with multi-mission algorithm and analysis platform (MAAP)</w:t>
      </w:r>
    </w:p>
    <w:p w14:paraId="3B294E40" w14:textId="77777777" w:rsidR="00FB0C0F" w:rsidRDefault="00FB0C0F">
      <w:pPr>
        <w:jc w:val="center"/>
      </w:pPr>
    </w:p>
    <w:p w14:paraId="3AABBAA7" w14:textId="62A0F974" w:rsidR="00FB0C0F" w:rsidRPr="00943ECC" w:rsidRDefault="00943ECC">
      <w:pPr>
        <w:jc w:val="center"/>
        <w:rPr>
          <w:i/>
          <w:vertAlign w:val="superscript"/>
        </w:rPr>
      </w:pPr>
      <w:r>
        <w:rPr>
          <w:i/>
        </w:rPr>
        <w:t>Doug Newman</w:t>
      </w:r>
      <w:r>
        <w:rPr>
          <w:i/>
          <w:vertAlign w:val="superscript"/>
        </w:rPr>
        <w:t>1</w:t>
      </w:r>
      <w:r>
        <w:rPr>
          <w:i/>
        </w:rPr>
        <w:t>, Gerald Guala</w:t>
      </w:r>
      <w:r>
        <w:rPr>
          <w:i/>
          <w:vertAlign w:val="superscript"/>
        </w:rPr>
        <w:t>2</w:t>
      </w:r>
      <w:r>
        <w:rPr>
          <w:i/>
        </w:rPr>
        <w:t>, Aimee Barciauskas</w:t>
      </w:r>
      <w:r>
        <w:rPr>
          <w:i/>
          <w:vertAlign w:val="superscript"/>
        </w:rPr>
        <w:t>3</w:t>
      </w:r>
      <w:r>
        <w:rPr>
          <w:i/>
        </w:rPr>
        <w:t>, George Chang</w:t>
      </w:r>
      <w:r>
        <w:rPr>
          <w:i/>
          <w:vertAlign w:val="superscript"/>
        </w:rPr>
        <w:t>4</w:t>
      </w:r>
      <w:r>
        <w:rPr>
          <w:i/>
        </w:rPr>
        <w:t>, Hook Hua</w:t>
      </w:r>
      <w:r>
        <w:rPr>
          <w:i/>
          <w:vertAlign w:val="superscript"/>
        </w:rPr>
        <w:t>4</w:t>
      </w:r>
      <w:r>
        <w:rPr>
          <w:i/>
        </w:rPr>
        <w:t>, Clément Albinet</w:t>
      </w:r>
      <w:r>
        <w:rPr>
          <w:i/>
          <w:vertAlign w:val="superscript"/>
        </w:rPr>
        <w:t>5</w:t>
      </w:r>
      <w:r>
        <w:rPr>
          <w:i/>
        </w:rPr>
        <w:t>, Cristiano Lopes</w:t>
      </w:r>
      <w:r>
        <w:rPr>
          <w:i/>
          <w:vertAlign w:val="superscript"/>
        </w:rPr>
        <w:t>5</w:t>
      </w:r>
      <w:r>
        <w:rPr>
          <w:i/>
        </w:rPr>
        <w:t>, Laura Duncanson</w:t>
      </w:r>
      <w:r>
        <w:rPr>
          <w:i/>
          <w:vertAlign w:val="superscript"/>
        </w:rPr>
        <w:t>1</w:t>
      </w:r>
      <w:r>
        <w:rPr>
          <w:i/>
        </w:rPr>
        <w:t>, Nathan Thomas</w:t>
      </w:r>
      <w:r>
        <w:rPr>
          <w:i/>
          <w:vertAlign w:val="superscript"/>
        </w:rPr>
        <w:t>6</w:t>
      </w:r>
      <w:r>
        <w:rPr>
          <w:i/>
        </w:rPr>
        <w:t>, Kaylin Bugbee</w:t>
      </w:r>
      <w:r>
        <w:rPr>
          <w:i/>
          <w:vertAlign w:val="superscript"/>
        </w:rPr>
        <w:t>7</w:t>
      </w:r>
      <w:r>
        <w:rPr>
          <w:i/>
        </w:rPr>
        <w:t>, Brian Freitag</w:t>
      </w:r>
      <w:r>
        <w:rPr>
          <w:i/>
          <w:vertAlign w:val="superscript"/>
        </w:rPr>
        <w:t>7</w:t>
      </w:r>
    </w:p>
    <w:p w14:paraId="378B1564" w14:textId="471323EF" w:rsidR="00FB0C0F" w:rsidRDefault="00FB0C0F" w:rsidP="00943ECC">
      <w:pPr>
        <w:jc w:val="both"/>
        <w:rPr>
          <w:sz w:val="20"/>
        </w:rPr>
        <w:sectPr w:rsidR="00FB0C0F">
          <w:pgSz w:w="12240" w:h="15840" w:code="1"/>
          <w:pgMar w:top="1985" w:right="1080" w:bottom="1411" w:left="1080" w:header="720" w:footer="720" w:gutter="0"/>
          <w:cols w:space="720"/>
        </w:sectPr>
      </w:pPr>
    </w:p>
    <w:p w14:paraId="729C6015" w14:textId="77777777" w:rsidR="00943ECC" w:rsidRDefault="00943ECC" w:rsidP="00943ECC">
      <w:pPr>
        <w:pStyle w:val="PageNumber1"/>
        <w:jc w:val="left"/>
        <w:rPr>
          <w:rFonts w:ascii="Times New Roman" w:hAnsi="Times New Roman"/>
        </w:rPr>
      </w:pPr>
    </w:p>
    <w:p w14:paraId="741EF831" w14:textId="17020F64" w:rsidR="00943ECC" w:rsidRDefault="00943ECC" w:rsidP="00943ECC">
      <w:pPr>
        <w:pStyle w:val="PageNumber1"/>
        <w:rPr>
          <w:rFonts w:ascii="Times New Roman" w:hAnsi="Times New Roman"/>
        </w:rPr>
      </w:pPr>
      <w:r>
        <w:rPr>
          <w:rFonts w:ascii="Times New Roman" w:hAnsi="Times New Roman"/>
          <w:vertAlign w:val="superscript"/>
        </w:rPr>
        <w:t xml:space="preserve">1 </w:t>
      </w:r>
      <w:r>
        <w:rPr>
          <w:rFonts w:ascii="Times New Roman" w:hAnsi="Times New Roman"/>
        </w:rPr>
        <w:t>NASA Goddard Space Flight Center, Greenbelt, MD, USA</w:t>
      </w:r>
    </w:p>
    <w:p w14:paraId="5EF680E5" w14:textId="1D59BF06" w:rsidR="00943ECC" w:rsidRDefault="00943ECC" w:rsidP="00943ECC">
      <w:pPr>
        <w:pStyle w:val="PageNumber1"/>
        <w:rPr>
          <w:rFonts w:ascii="Times New Roman" w:hAnsi="Times New Roman"/>
        </w:rPr>
      </w:pPr>
      <w:r w:rsidRPr="00943ECC">
        <w:rPr>
          <w:rFonts w:ascii="Times New Roman" w:hAnsi="Times New Roman"/>
          <w:vertAlign w:val="superscript"/>
        </w:rPr>
        <w:t>2</w:t>
      </w:r>
      <w:r>
        <w:rPr>
          <w:rFonts w:ascii="Times New Roman" w:hAnsi="Times New Roman"/>
          <w:vertAlign w:val="superscript"/>
        </w:rPr>
        <w:t xml:space="preserve"> </w:t>
      </w:r>
      <w:r>
        <w:rPr>
          <w:rFonts w:ascii="Times New Roman" w:hAnsi="Times New Roman"/>
        </w:rPr>
        <w:t>NASA Headquarters, Washington DC, USA</w:t>
      </w:r>
    </w:p>
    <w:p w14:paraId="065CF9F6" w14:textId="2D98BD93" w:rsidR="00943ECC" w:rsidRDefault="00943ECC" w:rsidP="00943ECC">
      <w:pPr>
        <w:pStyle w:val="PageNumber1"/>
        <w:rPr>
          <w:rFonts w:ascii="Times New Roman" w:hAnsi="Times New Roman"/>
        </w:rPr>
      </w:pPr>
      <w:r>
        <w:rPr>
          <w:rFonts w:ascii="Times New Roman" w:hAnsi="Times New Roman"/>
          <w:vertAlign w:val="superscript"/>
        </w:rPr>
        <w:t>3</w:t>
      </w:r>
      <w:r>
        <w:rPr>
          <w:rFonts w:ascii="Times New Roman" w:hAnsi="Times New Roman"/>
        </w:rPr>
        <w:t xml:space="preserve"> Development Seed, Washington DC, USA</w:t>
      </w:r>
    </w:p>
    <w:p w14:paraId="6F28C81B" w14:textId="2A3CF331" w:rsidR="00943ECC" w:rsidRDefault="00943ECC" w:rsidP="00943ECC">
      <w:pPr>
        <w:pStyle w:val="PageNumber1"/>
        <w:rPr>
          <w:rFonts w:ascii="Times New Roman" w:hAnsi="Times New Roman"/>
        </w:rPr>
      </w:pPr>
      <w:r>
        <w:rPr>
          <w:rFonts w:ascii="Times New Roman" w:hAnsi="Times New Roman"/>
          <w:vertAlign w:val="superscript"/>
        </w:rPr>
        <w:t>4</w:t>
      </w:r>
      <w:r>
        <w:rPr>
          <w:rFonts w:ascii="Times New Roman" w:hAnsi="Times New Roman"/>
        </w:rPr>
        <w:t xml:space="preserve"> NASA Jet Propulsion Laboratory, Pasadena, CA, USA</w:t>
      </w:r>
    </w:p>
    <w:p w14:paraId="7F4A7244" w14:textId="3534FE9B" w:rsidR="00943ECC" w:rsidRDefault="00943ECC" w:rsidP="00943ECC">
      <w:pPr>
        <w:pStyle w:val="PageNumber1"/>
        <w:rPr>
          <w:rFonts w:ascii="Times New Roman" w:hAnsi="Times New Roman"/>
        </w:rPr>
      </w:pPr>
      <w:r>
        <w:rPr>
          <w:rFonts w:ascii="Times New Roman" w:hAnsi="Times New Roman"/>
          <w:vertAlign w:val="superscript"/>
        </w:rPr>
        <w:t>5</w:t>
      </w:r>
      <w:r>
        <w:rPr>
          <w:rFonts w:ascii="Times New Roman" w:hAnsi="Times New Roman"/>
        </w:rPr>
        <w:t xml:space="preserve"> ESA/ESRIN, Largo Galileo Galilei 1, 00044 Frascati, Italy</w:t>
      </w:r>
    </w:p>
    <w:p w14:paraId="4D185773" w14:textId="03BD477A" w:rsidR="00943ECC" w:rsidRDefault="00943ECC" w:rsidP="00943ECC">
      <w:pPr>
        <w:pStyle w:val="PageNumber1"/>
        <w:rPr>
          <w:rFonts w:ascii="Times New Roman" w:hAnsi="Times New Roman"/>
        </w:rPr>
      </w:pPr>
      <w:r>
        <w:rPr>
          <w:rFonts w:ascii="Times New Roman" w:hAnsi="Times New Roman"/>
          <w:vertAlign w:val="superscript"/>
        </w:rPr>
        <w:t xml:space="preserve">6 </w:t>
      </w:r>
      <w:r>
        <w:rPr>
          <w:rFonts w:ascii="Times New Roman" w:hAnsi="Times New Roman"/>
        </w:rPr>
        <w:t>Geographical Sciences, University of Maryland, College Park, MD, USA</w:t>
      </w:r>
    </w:p>
    <w:p w14:paraId="6DC07238" w14:textId="1BDB9C0D" w:rsidR="00850218" w:rsidRPr="00A83C8E" w:rsidRDefault="00943ECC" w:rsidP="00A83C8E">
      <w:pPr>
        <w:pStyle w:val="PageNumber1"/>
        <w:rPr>
          <w:rFonts w:ascii="Times New Roman" w:hAnsi="Times New Roman"/>
        </w:rPr>
      </w:pPr>
      <w:r w:rsidRPr="00943ECC">
        <w:rPr>
          <w:rFonts w:ascii="Times New Roman" w:hAnsi="Times New Roman"/>
          <w:vertAlign w:val="superscript"/>
        </w:rPr>
        <w:t>7</w:t>
      </w:r>
      <w:r>
        <w:rPr>
          <w:rFonts w:ascii="Times New Roman" w:hAnsi="Times New Roman"/>
        </w:rPr>
        <w:t xml:space="preserve"> </w:t>
      </w:r>
      <w:r w:rsidRPr="00943ECC">
        <w:rPr>
          <w:rFonts w:ascii="Times New Roman" w:hAnsi="Times New Roman"/>
        </w:rPr>
        <w:t>NASA</w:t>
      </w:r>
      <w:r>
        <w:rPr>
          <w:rFonts w:ascii="Times New Roman" w:hAnsi="Times New Roman"/>
        </w:rPr>
        <w:t xml:space="preserve"> Marshall Space Flight Center, Huntsville, AL, USA</w:t>
      </w:r>
    </w:p>
    <w:p w14:paraId="780A2D7F" w14:textId="3593B4EE" w:rsidR="00C61F12" w:rsidRPr="00C61F12" w:rsidRDefault="00C61F12" w:rsidP="00C61F12">
      <w:pPr>
        <w:spacing w:before="240" w:after="240"/>
        <w:jc w:val="both"/>
        <w:rPr>
          <w:sz w:val="22"/>
          <w:szCs w:val="22"/>
        </w:rPr>
      </w:pPr>
      <w:r w:rsidRPr="00C61F12">
        <w:rPr>
          <w:color w:val="000000"/>
          <w:sz w:val="22"/>
          <w:szCs w:val="22"/>
        </w:rPr>
        <w:t>The global above-ground biomass (AGB) community requires a shared platform to develop the measurement and monitoring of AGB, forest structure and related processes. The platform must be open and highly scalable, encouraging collaborative science through seamless data sharing, management, repeatable and scalable analysis, and compelling visualizations, all based on open science principles. NASA and ESA are jointly solving this problem with the Multi-Mission Algorithm and Analysis Platform (MAAP) [1]. Released in October 2021, MAAP is now at version 3.</w:t>
      </w:r>
    </w:p>
    <w:p w14:paraId="39805D72" w14:textId="1466CF1A" w:rsidR="00C61F12" w:rsidRPr="00C61F12" w:rsidRDefault="00C61F12" w:rsidP="00C61F12">
      <w:pPr>
        <w:spacing w:before="240" w:after="240"/>
        <w:jc w:val="both"/>
        <w:rPr>
          <w:sz w:val="22"/>
          <w:szCs w:val="22"/>
        </w:rPr>
      </w:pPr>
      <w:r w:rsidRPr="00C61F12">
        <w:rPr>
          <w:color w:val="000000"/>
          <w:sz w:val="22"/>
          <w:szCs w:val="22"/>
        </w:rPr>
        <w:t xml:space="preserve">The MAAP provides collocated access to datasets, critical to calibrating satellite data and fine-tuning geophysical data processing algorithms. Existing LiDAR data from multiple and divergent platforms, such </w:t>
      </w:r>
      <w:r w:rsidRPr="00C61F12">
        <w:rPr>
          <w:color w:val="000000"/>
          <w:sz w:val="22"/>
          <w:szCs w:val="22"/>
        </w:rPr>
        <w:t>as</w:t>
      </w:r>
      <w:r w:rsidRPr="00C61F12">
        <w:rPr>
          <w:color w:val="000000"/>
          <w:sz w:val="22"/>
          <w:szCs w:val="22"/>
        </w:rPr>
        <w:t xml:space="preserve"> airborne (</w:t>
      </w:r>
      <w:proofErr w:type="gramStart"/>
      <w:r w:rsidRPr="00C61F12">
        <w:rPr>
          <w:color w:val="000000"/>
          <w:sz w:val="22"/>
          <w:szCs w:val="22"/>
        </w:rPr>
        <w:t>e.g.</w:t>
      </w:r>
      <w:proofErr w:type="gramEnd"/>
      <w:r w:rsidRPr="00C61F12">
        <w:rPr>
          <w:color w:val="000000"/>
          <w:sz w:val="22"/>
          <w:szCs w:val="22"/>
        </w:rPr>
        <w:t xml:space="preserve"> LVIS), the International Space Station (NASA’s Global Ecosystem Dynamics Investigation (GEDI)) and Satellites (e.g. ICESat-2), must be effectively calibrated with field measurements and combined for more comprehensive and accurate estimates of AGB. The current challenge is to </w:t>
      </w:r>
      <w:proofErr w:type="gramStart"/>
      <w:r w:rsidRPr="00C61F12">
        <w:rPr>
          <w:color w:val="000000"/>
          <w:sz w:val="22"/>
          <w:szCs w:val="22"/>
        </w:rPr>
        <w:t>effectively and seamlessly combine the aforementioned LiDAR-based data</w:t>
      </w:r>
      <w:proofErr w:type="gramEnd"/>
      <w:r w:rsidRPr="00C61F12">
        <w:rPr>
          <w:color w:val="000000"/>
          <w:sz w:val="22"/>
          <w:szCs w:val="22"/>
        </w:rPr>
        <w:t xml:space="preserve"> with new data sources such as P-band RADAR from ESA’s upcoming BIOMASS mission, existing ESA Sentinel-1 C-band SAR, and the 30 PB/</w:t>
      </w:r>
      <w:proofErr w:type="spellStart"/>
      <w:r w:rsidRPr="00C61F12">
        <w:rPr>
          <w:color w:val="000000"/>
          <w:sz w:val="22"/>
          <w:szCs w:val="22"/>
        </w:rPr>
        <w:t>yr</w:t>
      </w:r>
      <w:proofErr w:type="spellEnd"/>
      <w:r w:rsidRPr="00C61F12">
        <w:rPr>
          <w:color w:val="000000"/>
          <w:sz w:val="22"/>
          <w:szCs w:val="22"/>
        </w:rPr>
        <w:t xml:space="preserve"> of high cadence global coverage L-band SAR data from the upcoming NASA-ISRO SAR (NISAR) mission. MAAP has been used to support multiple scientific activities. Recent analysis using MAAP merged ICESat-2 and optical data (Harmonized Landsat Sentinel) produced the most comprehensively precise estimate of boreal-wide AGB to date [2]. Another effort using MAAP harmonized previous global analyses of AGB, including from ICESat-2 and GEDI, to bolster uptake for policy applications [3]. This will feed the next Global Carbon </w:t>
      </w:r>
      <w:proofErr w:type="spellStart"/>
      <w:r w:rsidRPr="00C61F12">
        <w:rPr>
          <w:color w:val="000000"/>
          <w:sz w:val="22"/>
          <w:szCs w:val="22"/>
        </w:rPr>
        <w:t>Stocktake</w:t>
      </w:r>
      <w:proofErr w:type="spellEnd"/>
      <w:r w:rsidRPr="00C61F12">
        <w:rPr>
          <w:color w:val="000000"/>
          <w:sz w:val="22"/>
          <w:szCs w:val="22"/>
        </w:rPr>
        <w:t xml:space="preserve"> segment of the Intergovernmental Panel on Climate Change analyses. Furthermore, the biomass retrieval intercomparison exercise BRIX-2 could benefit from the MAAP providing standardized test cases (based on airborne campaign and spaceborne data) allowing the community to develop and apply retrieval algorithms based on these test cases, while SAR training could also use the MAAP as a teaching and learning platform.</w:t>
      </w:r>
    </w:p>
    <w:p w14:paraId="0C8D9F15" w14:textId="77777777" w:rsidR="00C61F12" w:rsidRPr="00C61F12" w:rsidRDefault="00C61F12" w:rsidP="00C61F12">
      <w:pPr>
        <w:spacing w:before="240" w:after="240"/>
        <w:jc w:val="both"/>
        <w:rPr>
          <w:sz w:val="22"/>
          <w:szCs w:val="22"/>
        </w:rPr>
      </w:pPr>
      <w:proofErr w:type="spellStart"/>
      <w:r w:rsidRPr="00C61F12">
        <w:rPr>
          <w:color w:val="000000"/>
          <w:sz w:val="22"/>
          <w:szCs w:val="22"/>
        </w:rPr>
        <w:t>InSAR</w:t>
      </w:r>
      <w:proofErr w:type="spellEnd"/>
      <w:r w:rsidRPr="00C61F12">
        <w:rPr>
          <w:color w:val="000000"/>
          <w:sz w:val="22"/>
          <w:szCs w:val="22"/>
        </w:rPr>
        <w:t xml:space="preserve">-based use cases require not only access to large datasets, but also the ability to rapidly process large amounts of data in an iterative algorithm development and processing environment. Some </w:t>
      </w:r>
      <w:proofErr w:type="spellStart"/>
      <w:r w:rsidRPr="00C61F12">
        <w:rPr>
          <w:color w:val="000000"/>
          <w:sz w:val="22"/>
          <w:szCs w:val="22"/>
        </w:rPr>
        <w:t>InSAR</w:t>
      </w:r>
      <w:proofErr w:type="spellEnd"/>
      <w:r w:rsidRPr="00C61F12">
        <w:rPr>
          <w:color w:val="000000"/>
          <w:sz w:val="22"/>
          <w:szCs w:val="22"/>
        </w:rPr>
        <w:t xml:space="preserve">-based AGB analysis requires access to large volumes of L1 single-looks complex data, as well as the ability to process them into time series before combining with models to derive above ground biomass estimates. Similarly, the intermediate products, needed to be generated for AGB, require rapid prototyping of algorithms, generation of products, analysis/validation, iteration, and sharing between collaborators. </w:t>
      </w:r>
      <w:r w:rsidRPr="00C61F12">
        <w:rPr>
          <w:color w:val="FF0000"/>
          <w:sz w:val="22"/>
          <w:szCs w:val="22"/>
        </w:rPr>
        <w:t> </w:t>
      </w:r>
      <w:r w:rsidRPr="00C61F12">
        <w:rPr>
          <w:color w:val="000000"/>
          <w:sz w:val="22"/>
          <w:szCs w:val="22"/>
        </w:rPr>
        <w:t xml:space="preserve">Likewise, large and increasing quantities of spaceborne lidar data were available in support of the boreal-wide biomass product [2]. GEDI and ICESat-2 data are available with file sizes </w:t>
      </w:r>
      <w:proofErr w:type="gramStart"/>
      <w:r w:rsidRPr="00C61F12">
        <w:rPr>
          <w:color w:val="000000"/>
          <w:sz w:val="22"/>
          <w:szCs w:val="22"/>
        </w:rPr>
        <w:t>in excess of</w:t>
      </w:r>
      <w:proofErr w:type="gramEnd"/>
      <w:r w:rsidRPr="00C61F12">
        <w:rPr>
          <w:color w:val="000000"/>
          <w:sz w:val="22"/>
          <w:szCs w:val="22"/>
        </w:rPr>
        <w:t xml:space="preserve"> what can be downloaded and processed on local computing infrastructure. </w:t>
      </w:r>
      <w:r w:rsidRPr="00C61F12">
        <w:rPr>
          <w:color w:val="000000"/>
          <w:sz w:val="22"/>
          <w:szCs w:val="22"/>
        </w:rPr>
        <w:lastRenderedPageBreak/>
        <w:t>MAAP provides seamless access to these data, enabling the fusion of multiple lidar data in an efficient manner. Each of these data can be subset by a geographic region, providing functionality that otherwise does not currently exist for GEDI products. The economies of scale of the cloud allows the efficient scaling of analysis over large areas, involving vast quantities of data.</w:t>
      </w:r>
    </w:p>
    <w:p w14:paraId="301C92BD" w14:textId="33DB7695" w:rsidR="00C61F12" w:rsidRPr="00C61F12" w:rsidRDefault="00C61F12" w:rsidP="00C61F12">
      <w:pPr>
        <w:spacing w:before="240" w:after="240"/>
        <w:jc w:val="both"/>
        <w:rPr>
          <w:sz w:val="22"/>
          <w:szCs w:val="22"/>
        </w:rPr>
      </w:pPr>
      <w:r w:rsidRPr="00C61F12">
        <w:rPr>
          <w:color w:val="000000"/>
          <w:sz w:val="22"/>
          <w:szCs w:val="22"/>
        </w:rPr>
        <w:t>The MAAP is meeting the challenges inherent in international collaboration and large</w:t>
      </w:r>
      <w:r>
        <w:rPr>
          <w:color w:val="000000"/>
          <w:sz w:val="22"/>
          <w:szCs w:val="22"/>
        </w:rPr>
        <w:t>-</w:t>
      </w:r>
      <w:r w:rsidRPr="00C61F12">
        <w:rPr>
          <w:color w:val="000000"/>
          <w:sz w:val="22"/>
          <w:szCs w:val="22"/>
        </w:rPr>
        <w:t>scale computing with a platform that is entirely open source and cloud native, using open standards for data access manipulation protocols, and formats. The MAAP data system consists of a dedicated data store whose data is indexed in an online catalog conforming to established metadata, application programmatic interface (APIs), and service interface standards, using an implementation of the open</w:t>
      </w:r>
      <w:r>
        <w:rPr>
          <w:color w:val="000000"/>
          <w:sz w:val="22"/>
          <w:szCs w:val="22"/>
        </w:rPr>
        <w:t>-</w:t>
      </w:r>
      <w:r w:rsidRPr="00C61F12">
        <w:rPr>
          <w:color w:val="000000"/>
          <w:sz w:val="22"/>
          <w:szCs w:val="22"/>
        </w:rPr>
        <w:t xml:space="preserve">sourced NASA Common Metadata Repository. Federation of user identities allows users from either NASA or ESA to access and consume services from the other using a unified metadata catalog for the data utilized across the ESA and NASA MAAP platforms. Similarly, we are exploring how to increase interoperability to achieve a common approach to packaging, </w:t>
      </w:r>
      <w:r w:rsidRPr="00C61F12">
        <w:rPr>
          <w:color w:val="000000"/>
          <w:sz w:val="22"/>
          <w:szCs w:val="22"/>
        </w:rPr>
        <w:t>orchestrating,</w:t>
      </w:r>
      <w:r w:rsidRPr="00C61F12">
        <w:rPr>
          <w:color w:val="000000"/>
          <w:sz w:val="22"/>
          <w:szCs w:val="22"/>
        </w:rPr>
        <w:t xml:space="preserve"> and executing algorithms, with interoperable access to data for </w:t>
      </w:r>
      <w:proofErr w:type="spellStart"/>
      <w:r w:rsidRPr="00C61F12">
        <w:rPr>
          <w:color w:val="000000"/>
          <w:sz w:val="22"/>
          <w:szCs w:val="22"/>
        </w:rPr>
        <w:t>subsetting</w:t>
      </w:r>
      <w:proofErr w:type="spellEnd"/>
      <w:r w:rsidRPr="00C61F12">
        <w:rPr>
          <w:color w:val="000000"/>
          <w:sz w:val="22"/>
          <w:szCs w:val="22"/>
        </w:rPr>
        <w:t>, fast browse, and cloud-optimized access, all using interoperable standards such as those from the Open Geospatial Consortium (OGC).</w:t>
      </w:r>
    </w:p>
    <w:p w14:paraId="533639A5" w14:textId="0561138A" w:rsidR="00C61F12" w:rsidRPr="00C61F12" w:rsidRDefault="00C61F12" w:rsidP="00C61F12">
      <w:pPr>
        <w:spacing w:before="240" w:after="240"/>
        <w:jc w:val="both"/>
        <w:rPr>
          <w:sz w:val="22"/>
          <w:szCs w:val="22"/>
        </w:rPr>
      </w:pPr>
      <w:r w:rsidRPr="00C61F12">
        <w:rPr>
          <w:color w:val="000000"/>
          <w:sz w:val="22"/>
          <w:szCs w:val="22"/>
        </w:rPr>
        <w:t>Designed for interoperability, ESA and NASA utilize a common architecture for the software platform. It provides a cloud-based algorithm development environment (ADE) that enables scientists to develop algorithms collaboratively with access to the MAAP data catalog as well as other data archives. MAAP provides an Eclipse Che-based ADE supporting both Python and R languages, popular in this biomass community. Algorithms developed and containerized within the ADE can be deployed to run to thousands of computational nodes in the MAAP’s data processing system (DPS), dramatically speeding up processing and giving scientists a rapid turnaround of results. NASA’s implementation of the DPS is based on the Hybrid Science Data System (</w:t>
      </w:r>
      <w:proofErr w:type="spellStart"/>
      <w:r w:rsidRPr="00C61F12">
        <w:rPr>
          <w:color w:val="000000"/>
          <w:sz w:val="22"/>
          <w:szCs w:val="22"/>
        </w:rPr>
        <w:t>HySDS</w:t>
      </w:r>
      <w:proofErr w:type="spellEnd"/>
      <w:r w:rsidRPr="00C61F12">
        <w:rPr>
          <w:color w:val="000000"/>
          <w:sz w:val="22"/>
          <w:szCs w:val="22"/>
        </w:rPr>
        <w:t>) framework, used by NASA flight projects to produce Earth science standard products.</w:t>
      </w:r>
    </w:p>
    <w:p w14:paraId="47D14310" w14:textId="0CEFDC14" w:rsidR="00943ECC" w:rsidRPr="00C61F12" w:rsidRDefault="00C61F12" w:rsidP="00C61F12">
      <w:pPr>
        <w:spacing w:before="240" w:after="240"/>
        <w:jc w:val="both"/>
        <w:rPr>
          <w:sz w:val="22"/>
          <w:szCs w:val="22"/>
        </w:rPr>
      </w:pPr>
      <w:r w:rsidRPr="00C61F12">
        <w:rPr>
          <w:color w:val="000000"/>
          <w:sz w:val="22"/>
          <w:szCs w:val="22"/>
        </w:rPr>
        <w:t xml:space="preserve">We will discuss the lessons learned and best practices from collaborative development of the operational system, and the results derived from it. We will describe our plans to expand upon the initial use case of above-ground biomass research into other domains leveraging and expanding the current MAAP architecture, </w:t>
      </w:r>
      <w:r w:rsidRPr="00C61F12">
        <w:rPr>
          <w:color w:val="000000"/>
          <w:sz w:val="22"/>
          <w:szCs w:val="22"/>
        </w:rPr>
        <w:t>design,</w:t>
      </w:r>
      <w:r w:rsidRPr="00C61F12">
        <w:rPr>
          <w:color w:val="000000"/>
          <w:sz w:val="22"/>
          <w:szCs w:val="22"/>
        </w:rPr>
        <w:t xml:space="preserve"> and implementation.</w:t>
      </w:r>
    </w:p>
    <w:p w14:paraId="4206A0EB" w14:textId="77777777" w:rsidR="00943ECC" w:rsidRPr="00943ECC" w:rsidRDefault="00943ECC" w:rsidP="00943ECC">
      <w:pPr>
        <w:pStyle w:val="NormalWeb"/>
        <w:spacing w:before="240" w:after="240"/>
        <w:jc w:val="center"/>
        <w:rPr>
          <w:sz w:val="22"/>
          <w:szCs w:val="22"/>
        </w:rPr>
      </w:pPr>
      <w:r w:rsidRPr="00943ECC">
        <w:rPr>
          <w:b/>
          <w:bCs/>
          <w:color w:val="000000"/>
          <w:sz w:val="22"/>
          <w:szCs w:val="22"/>
        </w:rPr>
        <w:t>References</w:t>
      </w:r>
    </w:p>
    <w:p w14:paraId="135824A0" w14:textId="77777777" w:rsidR="00943ECC" w:rsidRPr="00943ECC" w:rsidRDefault="00943ECC" w:rsidP="00943ECC">
      <w:pPr>
        <w:pStyle w:val="NormalWeb"/>
        <w:spacing w:before="240" w:after="240"/>
        <w:rPr>
          <w:sz w:val="22"/>
          <w:szCs w:val="22"/>
        </w:rPr>
      </w:pPr>
      <w:r w:rsidRPr="00943ECC">
        <w:rPr>
          <w:color w:val="222222"/>
          <w:sz w:val="22"/>
          <w:szCs w:val="22"/>
          <w:shd w:val="clear" w:color="auto" w:fill="FFFFFF"/>
        </w:rPr>
        <w:t xml:space="preserve">[1] </w:t>
      </w:r>
      <w:proofErr w:type="spellStart"/>
      <w:r w:rsidRPr="00943ECC">
        <w:rPr>
          <w:color w:val="222222"/>
          <w:sz w:val="22"/>
          <w:szCs w:val="22"/>
          <w:shd w:val="clear" w:color="auto" w:fill="FFFFFF"/>
        </w:rPr>
        <w:t>Albinet</w:t>
      </w:r>
      <w:proofErr w:type="spellEnd"/>
      <w:r w:rsidRPr="00943ECC">
        <w:rPr>
          <w:color w:val="222222"/>
          <w:sz w:val="22"/>
          <w:szCs w:val="22"/>
          <w:shd w:val="clear" w:color="auto" w:fill="FFFFFF"/>
        </w:rPr>
        <w:t xml:space="preserve">, C., Whitehurst, A.S., Jewell, L.A., Bugbee, K., </w:t>
      </w:r>
      <w:proofErr w:type="spellStart"/>
      <w:r w:rsidRPr="00943ECC">
        <w:rPr>
          <w:color w:val="222222"/>
          <w:sz w:val="22"/>
          <w:szCs w:val="22"/>
          <w:shd w:val="clear" w:color="auto" w:fill="FFFFFF"/>
        </w:rPr>
        <w:t>Laur</w:t>
      </w:r>
      <w:proofErr w:type="spellEnd"/>
      <w:r w:rsidRPr="00943ECC">
        <w:rPr>
          <w:color w:val="222222"/>
          <w:sz w:val="22"/>
          <w:szCs w:val="22"/>
          <w:shd w:val="clear" w:color="auto" w:fill="FFFFFF"/>
        </w:rPr>
        <w:t xml:space="preserve">, H., Murphy, K.J., </w:t>
      </w:r>
      <w:proofErr w:type="spellStart"/>
      <w:r w:rsidRPr="00943ECC">
        <w:rPr>
          <w:color w:val="222222"/>
          <w:sz w:val="22"/>
          <w:szCs w:val="22"/>
          <w:shd w:val="clear" w:color="auto" w:fill="FFFFFF"/>
        </w:rPr>
        <w:t>Frommknecht</w:t>
      </w:r>
      <w:proofErr w:type="spellEnd"/>
      <w:r w:rsidRPr="00943ECC">
        <w:rPr>
          <w:color w:val="222222"/>
          <w:sz w:val="22"/>
          <w:szCs w:val="22"/>
          <w:shd w:val="clear" w:color="auto" w:fill="FFFFFF"/>
        </w:rPr>
        <w:t xml:space="preserve">, B., </w:t>
      </w:r>
      <w:proofErr w:type="spellStart"/>
      <w:r w:rsidRPr="00943ECC">
        <w:rPr>
          <w:color w:val="222222"/>
          <w:sz w:val="22"/>
          <w:szCs w:val="22"/>
          <w:shd w:val="clear" w:color="auto" w:fill="FFFFFF"/>
        </w:rPr>
        <w:t>Scipal</w:t>
      </w:r>
      <w:proofErr w:type="spellEnd"/>
      <w:r w:rsidRPr="00943ECC">
        <w:rPr>
          <w:color w:val="222222"/>
          <w:sz w:val="22"/>
          <w:szCs w:val="22"/>
          <w:shd w:val="clear" w:color="auto" w:fill="FFFFFF"/>
        </w:rPr>
        <w:t xml:space="preserve">, K., Costa, G., Jai, B. and Ramachandran, R., 2019. A joint ESA-NASA multi-mission algorithm and analysis platform (MAAP) for biomass, NISAR, and GEDI. </w:t>
      </w:r>
      <w:r w:rsidRPr="00943ECC">
        <w:rPr>
          <w:i/>
          <w:iCs/>
          <w:color w:val="222222"/>
          <w:sz w:val="22"/>
          <w:szCs w:val="22"/>
        </w:rPr>
        <w:t>Surveys in Geophysics</w:t>
      </w:r>
      <w:r w:rsidRPr="00943ECC">
        <w:rPr>
          <w:color w:val="222222"/>
          <w:sz w:val="22"/>
          <w:szCs w:val="22"/>
          <w:shd w:val="clear" w:color="auto" w:fill="FFFFFF"/>
        </w:rPr>
        <w:t xml:space="preserve">, </w:t>
      </w:r>
      <w:r w:rsidRPr="00943ECC">
        <w:rPr>
          <w:i/>
          <w:iCs/>
          <w:color w:val="222222"/>
          <w:sz w:val="22"/>
          <w:szCs w:val="22"/>
        </w:rPr>
        <w:t>40</w:t>
      </w:r>
      <w:r w:rsidRPr="00943ECC">
        <w:rPr>
          <w:color w:val="222222"/>
          <w:sz w:val="22"/>
          <w:szCs w:val="22"/>
          <w:shd w:val="clear" w:color="auto" w:fill="FFFFFF"/>
        </w:rPr>
        <w:t>(4), pp.1017-1027.</w:t>
      </w:r>
    </w:p>
    <w:p w14:paraId="3781CC04" w14:textId="77777777" w:rsidR="00943ECC" w:rsidRPr="00943ECC" w:rsidRDefault="00943ECC" w:rsidP="00943ECC">
      <w:pPr>
        <w:pStyle w:val="NormalWeb"/>
        <w:spacing w:before="240" w:after="240"/>
        <w:rPr>
          <w:sz w:val="22"/>
          <w:szCs w:val="22"/>
        </w:rPr>
      </w:pPr>
      <w:r w:rsidRPr="00943ECC">
        <w:rPr>
          <w:color w:val="000000"/>
          <w:sz w:val="22"/>
          <w:szCs w:val="22"/>
        </w:rPr>
        <w:t xml:space="preserve">[2] </w:t>
      </w:r>
      <w:r w:rsidRPr="00943ECC">
        <w:rPr>
          <w:color w:val="222222"/>
          <w:sz w:val="22"/>
          <w:szCs w:val="22"/>
          <w:shd w:val="clear" w:color="auto" w:fill="FFFFFF"/>
        </w:rPr>
        <w:t xml:space="preserve">Duncanson, L., Neuenschwander, A., Silva, C.A., Montesano, P., Guenther, E., Thomas, N., Hancock, S., Minor, D., White, J., </w:t>
      </w:r>
      <w:proofErr w:type="spellStart"/>
      <w:r w:rsidRPr="00943ECC">
        <w:rPr>
          <w:color w:val="222222"/>
          <w:sz w:val="22"/>
          <w:szCs w:val="22"/>
          <w:shd w:val="clear" w:color="auto" w:fill="FFFFFF"/>
        </w:rPr>
        <w:t>Wulder</w:t>
      </w:r>
      <w:proofErr w:type="spellEnd"/>
      <w:r w:rsidRPr="00943ECC">
        <w:rPr>
          <w:color w:val="222222"/>
          <w:sz w:val="22"/>
          <w:szCs w:val="22"/>
          <w:shd w:val="clear" w:color="auto" w:fill="FFFFFF"/>
        </w:rPr>
        <w:t xml:space="preserve">, M. and </w:t>
      </w:r>
      <w:proofErr w:type="spellStart"/>
      <w:r w:rsidRPr="00943ECC">
        <w:rPr>
          <w:color w:val="222222"/>
          <w:sz w:val="22"/>
          <w:szCs w:val="22"/>
          <w:shd w:val="clear" w:color="auto" w:fill="FFFFFF"/>
        </w:rPr>
        <w:t>Armston</w:t>
      </w:r>
      <w:proofErr w:type="spellEnd"/>
      <w:r w:rsidRPr="00943ECC">
        <w:rPr>
          <w:color w:val="222222"/>
          <w:sz w:val="22"/>
          <w:szCs w:val="22"/>
          <w:shd w:val="clear" w:color="auto" w:fill="FFFFFF"/>
        </w:rPr>
        <w:t xml:space="preserve">, J., 2021, July. Forest Aboveground Biomass Estimation with GEDI and ICESat-2 in Boreal Forests. In </w:t>
      </w:r>
      <w:r w:rsidRPr="00943ECC">
        <w:rPr>
          <w:i/>
          <w:iCs/>
          <w:color w:val="222222"/>
          <w:sz w:val="22"/>
          <w:szCs w:val="22"/>
        </w:rPr>
        <w:t>2021 IEEE International Geoscience and Remote Sensing Symposium IGARSS</w:t>
      </w:r>
      <w:r w:rsidRPr="00943ECC">
        <w:rPr>
          <w:color w:val="222222"/>
          <w:sz w:val="22"/>
          <w:szCs w:val="22"/>
          <w:shd w:val="clear" w:color="auto" w:fill="FFFFFF"/>
        </w:rPr>
        <w:t xml:space="preserve"> (pp. 670-672). IEEE.</w:t>
      </w:r>
    </w:p>
    <w:p w14:paraId="35C10DF8" w14:textId="227C8644" w:rsidR="00FB0C0F" w:rsidRPr="00C61F12" w:rsidRDefault="00943ECC" w:rsidP="00C61F12">
      <w:pPr>
        <w:pStyle w:val="NormalWeb"/>
        <w:spacing w:before="240" w:after="240"/>
        <w:rPr>
          <w:sz w:val="22"/>
          <w:szCs w:val="22"/>
        </w:rPr>
      </w:pPr>
      <w:r w:rsidRPr="00943ECC">
        <w:rPr>
          <w:color w:val="222222"/>
          <w:sz w:val="22"/>
          <w:szCs w:val="22"/>
          <w:shd w:val="clear" w:color="auto" w:fill="FFFFFF"/>
        </w:rPr>
        <w:t xml:space="preserve">[3] Duncanson, L., </w:t>
      </w:r>
      <w:proofErr w:type="spellStart"/>
      <w:r w:rsidRPr="00943ECC">
        <w:rPr>
          <w:color w:val="222222"/>
          <w:sz w:val="22"/>
          <w:szCs w:val="22"/>
          <w:shd w:val="clear" w:color="auto" w:fill="FFFFFF"/>
        </w:rPr>
        <w:t>Armston</w:t>
      </w:r>
      <w:proofErr w:type="spellEnd"/>
      <w:r w:rsidRPr="00943ECC">
        <w:rPr>
          <w:color w:val="222222"/>
          <w:sz w:val="22"/>
          <w:szCs w:val="22"/>
          <w:shd w:val="clear" w:color="auto" w:fill="FFFFFF"/>
        </w:rPr>
        <w:t xml:space="preserve">, J., Disney, M., </w:t>
      </w:r>
      <w:proofErr w:type="spellStart"/>
      <w:r w:rsidRPr="00943ECC">
        <w:rPr>
          <w:color w:val="222222"/>
          <w:sz w:val="22"/>
          <w:szCs w:val="22"/>
          <w:shd w:val="clear" w:color="auto" w:fill="FFFFFF"/>
        </w:rPr>
        <w:t>Avitabile</w:t>
      </w:r>
      <w:proofErr w:type="spellEnd"/>
      <w:r w:rsidRPr="00943ECC">
        <w:rPr>
          <w:color w:val="222222"/>
          <w:sz w:val="22"/>
          <w:szCs w:val="22"/>
          <w:shd w:val="clear" w:color="auto" w:fill="FFFFFF"/>
        </w:rPr>
        <w:t xml:space="preserve">, V., </w:t>
      </w:r>
      <w:proofErr w:type="spellStart"/>
      <w:r w:rsidRPr="00943ECC">
        <w:rPr>
          <w:color w:val="222222"/>
          <w:sz w:val="22"/>
          <w:szCs w:val="22"/>
          <w:shd w:val="clear" w:color="auto" w:fill="FFFFFF"/>
        </w:rPr>
        <w:t>Barbier</w:t>
      </w:r>
      <w:proofErr w:type="spellEnd"/>
      <w:r w:rsidRPr="00943ECC">
        <w:rPr>
          <w:color w:val="222222"/>
          <w:sz w:val="22"/>
          <w:szCs w:val="22"/>
          <w:shd w:val="clear" w:color="auto" w:fill="FFFFFF"/>
        </w:rPr>
        <w:t xml:space="preserve">, N., </w:t>
      </w:r>
      <w:proofErr w:type="spellStart"/>
      <w:r w:rsidRPr="00943ECC">
        <w:rPr>
          <w:color w:val="222222"/>
          <w:sz w:val="22"/>
          <w:szCs w:val="22"/>
          <w:shd w:val="clear" w:color="auto" w:fill="FFFFFF"/>
        </w:rPr>
        <w:t>Calders</w:t>
      </w:r>
      <w:proofErr w:type="spellEnd"/>
      <w:r w:rsidRPr="00943ECC">
        <w:rPr>
          <w:color w:val="222222"/>
          <w:sz w:val="22"/>
          <w:szCs w:val="22"/>
          <w:shd w:val="clear" w:color="auto" w:fill="FFFFFF"/>
        </w:rPr>
        <w:t xml:space="preserve">, K., Carter, S., </w:t>
      </w:r>
      <w:proofErr w:type="spellStart"/>
      <w:r w:rsidRPr="00943ECC">
        <w:rPr>
          <w:color w:val="222222"/>
          <w:sz w:val="22"/>
          <w:szCs w:val="22"/>
          <w:shd w:val="clear" w:color="auto" w:fill="FFFFFF"/>
        </w:rPr>
        <w:t>Chave</w:t>
      </w:r>
      <w:proofErr w:type="spellEnd"/>
      <w:r w:rsidRPr="00943ECC">
        <w:rPr>
          <w:color w:val="222222"/>
          <w:sz w:val="22"/>
          <w:szCs w:val="22"/>
          <w:shd w:val="clear" w:color="auto" w:fill="FFFFFF"/>
        </w:rPr>
        <w:t xml:space="preserve">, J., Herold, M., Crowther, T.W. and </w:t>
      </w:r>
      <w:proofErr w:type="spellStart"/>
      <w:r w:rsidRPr="00943ECC">
        <w:rPr>
          <w:color w:val="222222"/>
          <w:sz w:val="22"/>
          <w:szCs w:val="22"/>
          <w:shd w:val="clear" w:color="auto" w:fill="FFFFFF"/>
        </w:rPr>
        <w:t>Falkowski</w:t>
      </w:r>
      <w:proofErr w:type="spellEnd"/>
      <w:r w:rsidRPr="00943ECC">
        <w:rPr>
          <w:color w:val="222222"/>
          <w:sz w:val="22"/>
          <w:szCs w:val="22"/>
          <w:shd w:val="clear" w:color="auto" w:fill="FFFFFF"/>
        </w:rPr>
        <w:t xml:space="preserve">, M., 2019. The importance of consistent global forest aboveground biomass product validation. </w:t>
      </w:r>
      <w:r w:rsidRPr="00943ECC">
        <w:rPr>
          <w:i/>
          <w:iCs/>
          <w:color w:val="222222"/>
          <w:sz w:val="22"/>
          <w:szCs w:val="22"/>
          <w:shd w:val="clear" w:color="auto" w:fill="FFFFFF"/>
        </w:rPr>
        <w:t>Surveys in geophysics</w:t>
      </w:r>
      <w:r w:rsidRPr="00943ECC">
        <w:rPr>
          <w:color w:val="222222"/>
          <w:sz w:val="22"/>
          <w:szCs w:val="22"/>
          <w:shd w:val="clear" w:color="auto" w:fill="FFFFFF"/>
        </w:rPr>
        <w:t xml:space="preserve">, </w:t>
      </w:r>
      <w:r w:rsidRPr="00943ECC">
        <w:rPr>
          <w:i/>
          <w:iCs/>
          <w:color w:val="222222"/>
          <w:sz w:val="22"/>
          <w:szCs w:val="22"/>
          <w:shd w:val="clear" w:color="auto" w:fill="FFFFFF"/>
        </w:rPr>
        <w:t>40</w:t>
      </w:r>
      <w:r w:rsidRPr="00943ECC">
        <w:rPr>
          <w:color w:val="222222"/>
          <w:sz w:val="22"/>
          <w:szCs w:val="22"/>
          <w:shd w:val="clear" w:color="auto" w:fill="FFFFFF"/>
        </w:rPr>
        <w:t>(4), pp.979-999.</w:t>
      </w:r>
    </w:p>
    <w:sectPr w:rsidR="00FB0C0F" w:rsidRPr="00C61F12" w:rsidSect="00690885">
      <w:type w:val="continuous"/>
      <w:pgSz w:w="12240" w:h="15840" w:code="1"/>
      <w:pgMar w:top="1411" w:right="1080" w:bottom="1411" w:left="1080" w:header="720" w:footer="720" w:gutter="0"/>
      <w:cols w:space="34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Britannic Bold">
    <w:panose1 w:val="020B0903060703020204"/>
    <w:charset w:val="4D"/>
    <w:family w:val="swiss"/>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0000500000000020000"/>
    <w:charset w:val="00"/>
    <w:family w:val="auto"/>
    <w:pitch w:val="variable"/>
    <w:sig w:usb0="E00002FF" w:usb1="5000205A"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97CCDC3C"/>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FA2B23C"/>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8CCB7D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417451A2"/>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29F404F2"/>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D16828C2"/>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84847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138CC34"/>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450AE420"/>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DA41EA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3DAC3F04"/>
    <w:multiLevelType w:val="hybridMultilevel"/>
    <w:tmpl w:val="61C0A05C"/>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abstractNum w:abstractNumId="11" w15:restartNumberingAfterBreak="0">
    <w:nsid w:val="3DED7DAA"/>
    <w:multiLevelType w:val="hybridMultilevel"/>
    <w:tmpl w:val="C0EE13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56339CC"/>
    <w:multiLevelType w:val="hybridMultilevel"/>
    <w:tmpl w:val="E75C456C"/>
    <w:lvl w:ilvl="0" w:tplc="04090001">
      <w:start w:val="1"/>
      <w:numFmt w:val="bullet"/>
      <w:lvlText w:val=""/>
      <w:lvlJc w:val="left"/>
      <w:pPr>
        <w:ind w:left="965" w:hanging="360"/>
      </w:pPr>
      <w:rPr>
        <w:rFonts w:ascii="Symbol" w:hAnsi="Symbol" w:hint="default"/>
      </w:rPr>
    </w:lvl>
    <w:lvl w:ilvl="1" w:tplc="04090003" w:tentative="1">
      <w:start w:val="1"/>
      <w:numFmt w:val="bullet"/>
      <w:lvlText w:val="o"/>
      <w:lvlJc w:val="left"/>
      <w:pPr>
        <w:ind w:left="1685" w:hanging="360"/>
      </w:pPr>
      <w:rPr>
        <w:rFonts w:ascii="Courier New" w:hAnsi="Courier New" w:cs="Courier New" w:hint="default"/>
      </w:rPr>
    </w:lvl>
    <w:lvl w:ilvl="2" w:tplc="04090005" w:tentative="1">
      <w:start w:val="1"/>
      <w:numFmt w:val="bullet"/>
      <w:lvlText w:val=""/>
      <w:lvlJc w:val="left"/>
      <w:pPr>
        <w:ind w:left="2405" w:hanging="360"/>
      </w:pPr>
      <w:rPr>
        <w:rFonts w:ascii="Wingdings" w:hAnsi="Wingdings" w:hint="default"/>
      </w:rPr>
    </w:lvl>
    <w:lvl w:ilvl="3" w:tplc="04090001" w:tentative="1">
      <w:start w:val="1"/>
      <w:numFmt w:val="bullet"/>
      <w:lvlText w:val=""/>
      <w:lvlJc w:val="left"/>
      <w:pPr>
        <w:ind w:left="3125" w:hanging="360"/>
      </w:pPr>
      <w:rPr>
        <w:rFonts w:ascii="Symbol" w:hAnsi="Symbol" w:hint="default"/>
      </w:rPr>
    </w:lvl>
    <w:lvl w:ilvl="4" w:tplc="04090003" w:tentative="1">
      <w:start w:val="1"/>
      <w:numFmt w:val="bullet"/>
      <w:lvlText w:val="o"/>
      <w:lvlJc w:val="left"/>
      <w:pPr>
        <w:ind w:left="3845" w:hanging="360"/>
      </w:pPr>
      <w:rPr>
        <w:rFonts w:ascii="Courier New" w:hAnsi="Courier New" w:cs="Courier New" w:hint="default"/>
      </w:rPr>
    </w:lvl>
    <w:lvl w:ilvl="5" w:tplc="04090005" w:tentative="1">
      <w:start w:val="1"/>
      <w:numFmt w:val="bullet"/>
      <w:lvlText w:val=""/>
      <w:lvlJc w:val="left"/>
      <w:pPr>
        <w:ind w:left="4565" w:hanging="360"/>
      </w:pPr>
      <w:rPr>
        <w:rFonts w:ascii="Wingdings" w:hAnsi="Wingdings" w:hint="default"/>
      </w:rPr>
    </w:lvl>
    <w:lvl w:ilvl="6" w:tplc="04090001" w:tentative="1">
      <w:start w:val="1"/>
      <w:numFmt w:val="bullet"/>
      <w:lvlText w:val=""/>
      <w:lvlJc w:val="left"/>
      <w:pPr>
        <w:ind w:left="5285" w:hanging="360"/>
      </w:pPr>
      <w:rPr>
        <w:rFonts w:ascii="Symbol" w:hAnsi="Symbol" w:hint="default"/>
      </w:rPr>
    </w:lvl>
    <w:lvl w:ilvl="7" w:tplc="04090003" w:tentative="1">
      <w:start w:val="1"/>
      <w:numFmt w:val="bullet"/>
      <w:lvlText w:val="o"/>
      <w:lvlJc w:val="left"/>
      <w:pPr>
        <w:ind w:left="6005" w:hanging="360"/>
      </w:pPr>
      <w:rPr>
        <w:rFonts w:ascii="Courier New" w:hAnsi="Courier New" w:cs="Courier New" w:hint="default"/>
      </w:rPr>
    </w:lvl>
    <w:lvl w:ilvl="8" w:tplc="04090005" w:tentative="1">
      <w:start w:val="1"/>
      <w:numFmt w:val="bullet"/>
      <w:lvlText w:val=""/>
      <w:lvlJc w:val="left"/>
      <w:pPr>
        <w:ind w:left="6725" w:hanging="360"/>
      </w:pPr>
      <w:rPr>
        <w:rFonts w:ascii="Wingdings" w:hAnsi="Wingdings" w:hint="default"/>
      </w:rPr>
    </w:lvl>
  </w:abstractNum>
  <w:num w:numId="1" w16cid:durableId="41903721">
    <w:abstractNumId w:val="9"/>
  </w:num>
  <w:num w:numId="2" w16cid:durableId="619186251">
    <w:abstractNumId w:val="7"/>
  </w:num>
  <w:num w:numId="3" w16cid:durableId="1578125006">
    <w:abstractNumId w:val="6"/>
  </w:num>
  <w:num w:numId="4" w16cid:durableId="217399428">
    <w:abstractNumId w:val="5"/>
  </w:num>
  <w:num w:numId="5" w16cid:durableId="1045255291">
    <w:abstractNumId w:val="4"/>
  </w:num>
  <w:num w:numId="6" w16cid:durableId="788622461">
    <w:abstractNumId w:val="8"/>
  </w:num>
  <w:num w:numId="7" w16cid:durableId="1180123503">
    <w:abstractNumId w:val="3"/>
  </w:num>
  <w:num w:numId="8" w16cid:durableId="295138750">
    <w:abstractNumId w:val="2"/>
  </w:num>
  <w:num w:numId="9" w16cid:durableId="1458178042">
    <w:abstractNumId w:val="1"/>
  </w:num>
  <w:num w:numId="10" w16cid:durableId="1121920669">
    <w:abstractNumId w:val="0"/>
  </w:num>
  <w:num w:numId="11" w16cid:durableId="68306441">
    <w:abstractNumId w:val="12"/>
  </w:num>
  <w:num w:numId="12" w16cid:durableId="207226989">
    <w:abstractNumId w:val="10"/>
  </w:num>
  <w:num w:numId="13" w16cid:durableId="7231398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defaultTabStop w:val="720"/>
  <w:doNotHyphenateCaps/>
  <w:displayHorizontalDrawingGridEvery w:val="0"/>
  <w:displayVerticalDrawingGridEvery w:val="0"/>
  <w:doNotUseMarginsForDrawingGridOrigin/>
  <w:noPunctuationKerning/>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01CD"/>
    <w:rsid w:val="00293185"/>
    <w:rsid w:val="003D6DC2"/>
    <w:rsid w:val="00450A5F"/>
    <w:rsid w:val="005B04E6"/>
    <w:rsid w:val="006675D0"/>
    <w:rsid w:val="00671E5E"/>
    <w:rsid w:val="00690885"/>
    <w:rsid w:val="006A71D1"/>
    <w:rsid w:val="006E1B5E"/>
    <w:rsid w:val="006F1211"/>
    <w:rsid w:val="00846B1F"/>
    <w:rsid w:val="00850218"/>
    <w:rsid w:val="009047BE"/>
    <w:rsid w:val="00943ECC"/>
    <w:rsid w:val="009E7FEB"/>
    <w:rsid w:val="00A03852"/>
    <w:rsid w:val="00A83C8E"/>
    <w:rsid w:val="00AB752D"/>
    <w:rsid w:val="00AD5A2B"/>
    <w:rsid w:val="00BE13FD"/>
    <w:rsid w:val="00C61F12"/>
    <w:rsid w:val="00CA6ED4"/>
    <w:rsid w:val="00CE01CD"/>
    <w:rsid w:val="00CF7597"/>
    <w:rsid w:val="00E16772"/>
    <w:rsid w:val="00E204BC"/>
    <w:rsid w:val="00EB2529"/>
    <w:rsid w:val="00EC31F7"/>
    <w:rsid w:val="00FB0C0F"/>
    <w:rsid w:val="00FF4C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72DAC2B"/>
  <w15:chartTrackingRefBased/>
  <w15:docId w15:val="{458479BD-34E7-1F47-A098-A39E3E41BD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FEB"/>
    <w:rPr>
      <w:sz w:val="24"/>
    </w:rPr>
  </w:style>
  <w:style w:type="paragraph" w:styleId="Heading1">
    <w:name w:val="heading 1"/>
    <w:basedOn w:val="Normal"/>
    <w:next w:val="Normal"/>
    <w:qFormat/>
    <w:pPr>
      <w:keepNext/>
      <w:spacing w:before="60"/>
      <w:outlineLvl w:val="0"/>
    </w:pPr>
    <w:rPr>
      <w:rFonts w:ascii="Britannic Bold" w:hAnsi="Britannic Bold"/>
      <w:kern w:val="28"/>
    </w:rPr>
  </w:style>
  <w:style w:type="paragraph" w:styleId="Heading2">
    <w:name w:val="heading 2"/>
    <w:basedOn w:val="Normal"/>
    <w:next w:val="Normal"/>
    <w:qFormat/>
    <w:pPr>
      <w:keepNext/>
      <w:tabs>
        <w:tab w:val="left" w:pos="1440"/>
      </w:tabs>
      <w:spacing w:before="40"/>
      <w:ind w:firstLine="360"/>
      <w:outlineLvl w:val="1"/>
    </w:pPr>
    <w:rPr>
      <w:sz w:val="22"/>
    </w:rPr>
  </w:style>
  <w:style w:type="paragraph" w:styleId="Heading3">
    <w:name w:val="heading 3"/>
    <w:basedOn w:val="Normal"/>
    <w:next w:val="Normal"/>
    <w:qFormat/>
    <w:pPr>
      <w:keepNext/>
      <w:jc w:val="center"/>
      <w:outlineLvl w:val="2"/>
    </w:pPr>
    <w:rPr>
      <w:b/>
      <w:sz w:val="28"/>
    </w:rPr>
  </w:style>
  <w:style w:type="paragraph" w:styleId="Heading4">
    <w:name w:val="heading 4"/>
    <w:basedOn w:val="Normal"/>
    <w:next w:val="Normal"/>
    <w:qFormat/>
    <w:pPr>
      <w:keepNext/>
      <w:jc w:val="center"/>
      <w:outlineLvl w:val="3"/>
    </w:pPr>
    <w:rPr>
      <w:b/>
      <w:caps/>
    </w:rPr>
  </w:style>
  <w:style w:type="paragraph" w:styleId="Heading5">
    <w:name w:val="heading 5"/>
    <w:basedOn w:val="Normal"/>
    <w:next w:val="Normal"/>
    <w:qFormat/>
    <w:pPr>
      <w:spacing w:before="240" w:after="60"/>
      <w:outlineLvl w:val="4"/>
    </w:pPr>
    <w:rPr>
      <w:b/>
      <w:bCs/>
      <w:i/>
      <w:iCs/>
      <w:sz w:val="26"/>
      <w:szCs w:val="26"/>
    </w:rPr>
  </w:style>
  <w:style w:type="paragraph" w:styleId="Heading6">
    <w:name w:val="heading 6"/>
    <w:basedOn w:val="Normal"/>
    <w:next w:val="Normal"/>
    <w:qFormat/>
    <w:pPr>
      <w:spacing w:before="240" w:after="60"/>
      <w:outlineLvl w:val="5"/>
    </w:pPr>
    <w:rPr>
      <w:b/>
      <w:bCs/>
      <w:sz w:val="22"/>
      <w:szCs w:val="22"/>
    </w:rPr>
  </w:style>
  <w:style w:type="paragraph" w:styleId="Heading7">
    <w:name w:val="heading 7"/>
    <w:basedOn w:val="Normal"/>
    <w:next w:val="Normal"/>
    <w:qFormat/>
    <w:pPr>
      <w:spacing w:before="240" w:after="60"/>
      <w:outlineLvl w:val="6"/>
    </w:pPr>
    <w:rPr>
      <w:szCs w:val="24"/>
    </w:rPr>
  </w:style>
  <w:style w:type="paragraph" w:styleId="Heading8">
    <w:name w:val="heading 8"/>
    <w:basedOn w:val="Normal"/>
    <w:next w:val="Normal"/>
    <w:qFormat/>
    <w:pPr>
      <w:spacing w:before="240" w:after="60"/>
      <w:outlineLvl w:val="7"/>
    </w:pPr>
    <w:rPr>
      <w:i/>
      <w:iCs/>
      <w:szCs w:val="24"/>
    </w:rPr>
  </w:style>
  <w:style w:type="paragraph" w:styleId="Heading9">
    <w:name w:val="heading 9"/>
    <w:basedOn w:val="Normal"/>
    <w:next w:val="Normal"/>
    <w:qFormat/>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i1">
    <w:name w:val="ai1"/>
    <w:basedOn w:val="Normal"/>
    <w:pPr>
      <w:tabs>
        <w:tab w:val="right" w:leader="dot" w:pos="3960"/>
      </w:tabs>
    </w:pPr>
  </w:style>
  <w:style w:type="paragraph" w:customStyle="1" w:styleId="ai2">
    <w:name w:val="ai2"/>
    <w:basedOn w:val="Normal"/>
    <w:pPr>
      <w:tabs>
        <w:tab w:val="right" w:leader="dot" w:pos="3960"/>
      </w:tabs>
    </w:pPr>
  </w:style>
  <w:style w:type="paragraph" w:customStyle="1" w:styleId="ArticleTitle">
    <w:name w:val="Article Title"/>
    <w:basedOn w:val="Normal"/>
    <w:pPr>
      <w:spacing w:before="60"/>
      <w:ind w:left="360"/>
    </w:pPr>
    <w:rPr>
      <w:sz w:val="21"/>
    </w:rPr>
  </w:style>
  <w:style w:type="paragraph" w:customStyle="1" w:styleId="Author">
    <w:name w:val="Author"/>
    <w:basedOn w:val="Normal"/>
    <w:pPr>
      <w:tabs>
        <w:tab w:val="right" w:leader="dot" w:pos="9360"/>
      </w:tabs>
      <w:ind w:firstLine="720"/>
    </w:pPr>
    <w:rPr>
      <w:i/>
      <w:sz w:val="21"/>
    </w:rPr>
  </w:style>
  <w:style w:type="paragraph" w:styleId="Header">
    <w:name w:val="header"/>
    <w:basedOn w:val="Normal"/>
    <w:semiHidden/>
    <w:pPr>
      <w:tabs>
        <w:tab w:val="center" w:pos="4320"/>
        <w:tab w:val="right" w:pos="8640"/>
      </w:tabs>
    </w:pPr>
  </w:style>
  <w:style w:type="paragraph" w:customStyle="1" w:styleId="PageNumber1">
    <w:name w:val="Page Number1"/>
    <w:basedOn w:val="Normal"/>
    <w:pPr>
      <w:jc w:val="center"/>
    </w:pPr>
    <w:rPr>
      <w:rFonts w:ascii="Times" w:hAnsi="Times"/>
    </w:rPr>
  </w:style>
  <w:style w:type="paragraph" w:styleId="Title">
    <w:name w:val="Title"/>
    <w:basedOn w:val="Normal"/>
    <w:qFormat/>
    <w:pPr>
      <w:jc w:val="center"/>
    </w:pPr>
    <w:rPr>
      <w:rFonts w:ascii="Britannic Bold" w:hAnsi="Britannic Bold"/>
      <w:b/>
      <w:kern w:val="28"/>
      <w:sz w:val="36"/>
    </w:rPr>
  </w:style>
  <w:style w:type="paragraph" w:styleId="BodyTextIndent">
    <w:name w:val="Body Text Indent"/>
    <w:basedOn w:val="Normal"/>
    <w:semiHidden/>
    <w:pPr>
      <w:ind w:firstLine="245"/>
      <w:jc w:val="both"/>
    </w:pPr>
    <w:rPr>
      <w:i/>
      <w:sz w:val="20"/>
    </w:rPr>
  </w:style>
  <w:style w:type="paragraph" w:styleId="BodyTextIndent2">
    <w:name w:val="Body Text Indent 2"/>
    <w:basedOn w:val="Normal"/>
    <w:semiHidden/>
    <w:pPr>
      <w:ind w:firstLine="245"/>
      <w:jc w:val="both"/>
    </w:pPr>
    <w:rPr>
      <w:sz w:val="20"/>
    </w:rPr>
  </w:style>
  <w:style w:type="character" w:styleId="Hyperlink">
    <w:name w:val="Hyperlink"/>
    <w:semiHidden/>
    <w:rPr>
      <w:color w:val="0000FF"/>
      <w:u w:val="single"/>
    </w:rPr>
  </w:style>
  <w:style w:type="character" w:styleId="FollowedHyperlink">
    <w:name w:val="FollowedHyperlink"/>
    <w:semiHidden/>
    <w:rPr>
      <w:color w:val="800080"/>
      <w:u w:val="single"/>
    </w:rPr>
  </w:style>
  <w:style w:type="paragraph" w:styleId="BodyText">
    <w:name w:val="Body Text"/>
    <w:basedOn w:val="Normal"/>
    <w:semiHidden/>
    <w:pPr>
      <w:jc w:val="center"/>
    </w:pPr>
    <w:rPr>
      <w:b/>
      <w:caps/>
    </w:rPr>
  </w:style>
  <w:style w:type="paragraph" w:styleId="BodyTextIndent3">
    <w:name w:val="Body Text Indent 3"/>
    <w:basedOn w:val="Normal"/>
    <w:semiHidden/>
    <w:pPr>
      <w:ind w:firstLine="270"/>
      <w:jc w:val="both"/>
    </w:pPr>
    <w:rPr>
      <w:sz w:val="20"/>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6"/>
      <w:szCs w:val="16"/>
    </w:rPr>
  </w:style>
  <w:style w:type="paragraph" w:styleId="BodyTextFirstIndent">
    <w:name w:val="Body Text First Indent"/>
    <w:basedOn w:val="BodyText"/>
    <w:semiHidden/>
    <w:pPr>
      <w:spacing w:after="120"/>
      <w:ind w:firstLine="210"/>
      <w:jc w:val="left"/>
    </w:pPr>
    <w:rPr>
      <w:b w:val="0"/>
      <w:caps w:val="0"/>
    </w:rPr>
  </w:style>
  <w:style w:type="paragraph" w:styleId="BodyTextFirstIndent2">
    <w:name w:val="Body Text First Indent 2"/>
    <w:basedOn w:val="BodyTextIndent"/>
    <w:semiHidden/>
    <w:pPr>
      <w:spacing w:after="120"/>
      <w:ind w:left="360" w:firstLine="210"/>
      <w:jc w:val="left"/>
    </w:pPr>
    <w:rPr>
      <w:i w:val="0"/>
      <w:sz w:val="24"/>
    </w:rPr>
  </w:style>
  <w:style w:type="paragraph" w:styleId="Caption">
    <w:name w:val="caption"/>
    <w:basedOn w:val="Normal"/>
    <w:next w:val="Normal"/>
    <w:qFormat/>
    <w:pPr>
      <w:spacing w:before="120" w:after="120"/>
    </w:pPr>
    <w:rPr>
      <w:b/>
      <w:bCs/>
      <w:sz w:val="20"/>
    </w:rPr>
  </w:style>
  <w:style w:type="paragraph" w:styleId="Closing">
    <w:name w:val="Closing"/>
    <w:basedOn w:val="Normal"/>
    <w:semiHidden/>
    <w:pPr>
      <w:ind w:left="4320"/>
    </w:pPr>
  </w:style>
  <w:style w:type="paragraph" w:styleId="CommentText">
    <w:name w:val="annotation text"/>
    <w:basedOn w:val="Normal"/>
    <w:link w:val="CommentTextChar"/>
    <w:semiHidden/>
    <w:rPr>
      <w:sz w:val="20"/>
    </w:rPr>
  </w:style>
  <w:style w:type="paragraph" w:styleId="Date">
    <w:name w:val="Date"/>
    <w:basedOn w:val="Normal"/>
    <w:next w:val="Normal"/>
    <w:semiHidden/>
  </w:style>
  <w:style w:type="paragraph" w:styleId="DocumentMap">
    <w:name w:val="Document Map"/>
    <w:basedOn w:val="Normal"/>
    <w:semiHidden/>
    <w:pPr>
      <w:shd w:val="clear" w:color="auto" w:fill="000080"/>
    </w:pPr>
    <w:rPr>
      <w:rFonts w:ascii="Tahoma" w:hAnsi="Tahoma" w:cs="Tahoma"/>
    </w:rPr>
  </w:style>
  <w:style w:type="paragraph" w:styleId="E-mailSignature">
    <w:name w:val="E-mail Signature"/>
    <w:basedOn w:val="Normal"/>
    <w:semiHidden/>
  </w:style>
  <w:style w:type="paragraph" w:styleId="EndnoteText">
    <w:name w:val="endnote text"/>
    <w:basedOn w:val="Normal"/>
    <w:semiHidden/>
    <w:rPr>
      <w:sz w:val="20"/>
    </w:rPr>
  </w:style>
  <w:style w:type="paragraph" w:styleId="EnvelopeAddress">
    <w:name w:val="envelope address"/>
    <w:basedOn w:val="Normal"/>
    <w:semiHidden/>
    <w:pPr>
      <w:framePr w:w="7920" w:h="1980" w:hRule="exact" w:hSpace="180" w:wrap="auto" w:hAnchor="page" w:xAlign="center" w:yAlign="bottom"/>
      <w:ind w:left="2880"/>
    </w:pPr>
    <w:rPr>
      <w:rFonts w:ascii="Arial" w:hAnsi="Arial" w:cs="Arial"/>
      <w:szCs w:val="24"/>
    </w:rPr>
  </w:style>
  <w:style w:type="paragraph" w:styleId="EnvelopeReturn">
    <w:name w:val="envelope return"/>
    <w:basedOn w:val="Normal"/>
    <w:semiHidden/>
    <w:rPr>
      <w:rFonts w:ascii="Arial" w:hAnsi="Arial" w:cs="Arial"/>
      <w:sz w:val="20"/>
    </w:rPr>
  </w:style>
  <w:style w:type="paragraph" w:styleId="Footer">
    <w:name w:val="footer"/>
    <w:basedOn w:val="Normal"/>
    <w:semiHidden/>
    <w:pPr>
      <w:tabs>
        <w:tab w:val="center" w:pos="4320"/>
        <w:tab w:val="right" w:pos="8640"/>
      </w:tabs>
    </w:pPr>
  </w:style>
  <w:style w:type="paragraph" w:styleId="FootnoteText">
    <w:name w:val="footnote text"/>
    <w:basedOn w:val="Normal"/>
    <w:semiHidden/>
    <w:rPr>
      <w:sz w:val="20"/>
    </w:rPr>
  </w:style>
  <w:style w:type="paragraph" w:styleId="HTMLAddress">
    <w:name w:val="HTML Address"/>
    <w:basedOn w:val="Normal"/>
    <w:semiHidden/>
    <w:rPr>
      <w:i/>
      <w:iCs/>
    </w:rPr>
  </w:style>
  <w:style w:type="paragraph" w:styleId="HTMLPreformatted">
    <w:name w:val="HTML Preformatted"/>
    <w:basedOn w:val="Normal"/>
    <w:semiHidden/>
    <w:rPr>
      <w:rFonts w:ascii="Courier New" w:hAnsi="Courier New" w:cs="Courier New"/>
      <w:sz w:val="20"/>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cs="Arial"/>
      <w:b/>
      <w:bCs/>
    </w:rPr>
  </w:style>
  <w:style w:type="paragraph" w:styleId="List">
    <w:name w:val="List"/>
    <w:basedOn w:val="Normal"/>
    <w:semiHidden/>
    <w:pPr>
      <w:ind w:left="360" w:hanging="360"/>
    </w:pPr>
  </w:style>
  <w:style w:type="paragraph" w:styleId="List2">
    <w:name w:val="List 2"/>
    <w:basedOn w:val="Normal"/>
    <w:semiHidden/>
    <w:pPr>
      <w:ind w:left="720" w:hanging="360"/>
    </w:pPr>
  </w:style>
  <w:style w:type="paragraph" w:styleId="List3">
    <w:name w:val="List 3"/>
    <w:basedOn w:val="Normal"/>
    <w:semiHidden/>
    <w:pPr>
      <w:ind w:left="1080" w:hanging="360"/>
    </w:pPr>
  </w:style>
  <w:style w:type="paragraph" w:styleId="List4">
    <w:name w:val="List 4"/>
    <w:basedOn w:val="Normal"/>
    <w:semiHidden/>
    <w:pPr>
      <w:ind w:left="1440" w:hanging="360"/>
    </w:pPr>
  </w:style>
  <w:style w:type="paragraph" w:styleId="List5">
    <w:name w:val="List 5"/>
    <w:basedOn w:val="Normal"/>
    <w:semiHidden/>
    <w:pPr>
      <w:ind w:left="1800" w:hanging="360"/>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360"/>
    </w:pPr>
  </w:style>
  <w:style w:type="paragraph" w:styleId="ListContinue2">
    <w:name w:val="List Continue 2"/>
    <w:basedOn w:val="Normal"/>
    <w:semiHidden/>
    <w:pPr>
      <w:spacing w:after="120"/>
      <w:ind w:left="720"/>
    </w:pPr>
  </w:style>
  <w:style w:type="paragraph" w:styleId="ListContinue3">
    <w:name w:val="List Continue 3"/>
    <w:basedOn w:val="Normal"/>
    <w:semiHidden/>
    <w:pPr>
      <w:spacing w:after="120"/>
      <w:ind w:left="1080"/>
    </w:pPr>
  </w:style>
  <w:style w:type="paragraph" w:styleId="ListContinue4">
    <w:name w:val="List Continue 4"/>
    <w:basedOn w:val="Normal"/>
    <w:semiHidden/>
    <w:pPr>
      <w:spacing w:after="120"/>
      <w:ind w:left="1440"/>
    </w:pPr>
  </w:style>
  <w:style w:type="paragraph" w:styleId="ListContinue5">
    <w:name w:val="List Continue 5"/>
    <w:basedOn w:val="Normal"/>
    <w:semiHidden/>
    <w:pPr>
      <w:spacing w:after="120"/>
      <w:ind w:left="1800"/>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Courier New" w:hAnsi="Courier New" w:cs="Courier New"/>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080" w:hanging="1080"/>
    </w:pPr>
    <w:rPr>
      <w:rFonts w:ascii="Arial" w:hAnsi="Arial" w:cs="Arial"/>
      <w:szCs w:val="24"/>
    </w:rPr>
  </w:style>
  <w:style w:type="paragraph" w:styleId="NormalWeb">
    <w:name w:val="Normal (Web)"/>
    <w:basedOn w:val="Normal"/>
    <w:uiPriority w:val="99"/>
    <w:semiHidden/>
    <w:rPr>
      <w:szCs w:val="24"/>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PlainText">
    <w:name w:val="Plain Text"/>
    <w:basedOn w:val="Normal"/>
    <w:semiHidden/>
    <w:rPr>
      <w:rFonts w:ascii="Courier New" w:hAnsi="Courier New" w:cs="Courier New"/>
      <w:sz w:val="20"/>
    </w:rPr>
  </w:style>
  <w:style w:type="paragraph" w:styleId="Salutation">
    <w:name w:val="Salutation"/>
    <w:basedOn w:val="Normal"/>
    <w:next w:val="Normal"/>
    <w:semiHidden/>
  </w:style>
  <w:style w:type="paragraph" w:styleId="Signature">
    <w:name w:val="Signature"/>
    <w:basedOn w:val="Normal"/>
    <w:semiHidden/>
    <w:pPr>
      <w:ind w:left="4320"/>
    </w:pPr>
  </w:style>
  <w:style w:type="paragraph" w:styleId="Subtitle">
    <w:name w:val="Subtitle"/>
    <w:basedOn w:val="Normal"/>
    <w:qFormat/>
    <w:pPr>
      <w:spacing w:after="60"/>
      <w:jc w:val="center"/>
      <w:outlineLvl w:val="1"/>
    </w:pPr>
    <w:rPr>
      <w:rFonts w:ascii="Arial" w:hAnsi="Arial" w:cs="Arial"/>
      <w:szCs w:val="24"/>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OAHeading">
    <w:name w:val="toa heading"/>
    <w:basedOn w:val="Normal"/>
    <w:next w:val="Normal"/>
    <w:semiHidden/>
    <w:pPr>
      <w:spacing w:before="120"/>
    </w:pPr>
    <w:rPr>
      <w:rFonts w:ascii="Arial" w:hAnsi="Arial" w:cs="Arial"/>
      <w:b/>
      <w:bCs/>
      <w:szCs w:val="24"/>
    </w:rPr>
  </w:style>
  <w:style w:type="paragraph" w:styleId="TOC1">
    <w:name w:val="toc 1"/>
    <w:basedOn w:val="Normal"/>
    <w:next w:val="Normal"/>
    <w:autoRedefine/>
    <w:semiHidden/>
  </w:style>
  <w:style w:type="paragraph" w:styleId="TOC2">
    <w:name w:val="toc 2"/>
    <w:basedOn w:val="Normal"/>
    <w:next w:val="Normal"/>
    <w:autoRedefine/>
    <w:semiHidden/>
    <w:pPr>
      <w:ind w:left="240"/>
    </w:pPr>
  </w:style>
  <w:style w:type="paragraph" w:styleId="TOC3">
    <w:name w:val="toc 3"/>
    <w:basedOn w:val="Normal"/>
    <w:next w:val="Normal"/>
    <w:autoRedefine/>
    <w:semiHidden/>
    <w:pPr>
      <w:ind w:left="480"/>
    </w:pPr>
  </w:style>
  <w:style w:type="paragraph" w:styleId="TOC4">
    <w:name w:val="toc 4"/>
    <w:basedOn w:val="Normal"/>
    <w:next w:val="Normal"/>
    <w:autoRedefine/>
    <w:semiHidden/>
    <w:pPr>
      <w:ind w:left="720"/>
    </w:pPr>
  </w:style>
  <w:style w:type="paragraph" w:styleId="TOC5">
    <w:name w:val="toc 5"/>
    <w:basedOn w:val="Normal"/>
    <w:next w:val="Normal"/>
    <w:autoRedefine/>
    <w:semiHidden/>
    <w:pPr>
      <w:ind w:left="960"/>
    </w:p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character" w:styleId="UnresolvedMention">
    <w:name w:val="Unresolved Mention"/>
    <w:uiPriority w:val="99"/>
    <w:semiHidden/>
    <w:unhideWhenUsed/>
    <w:rsid w:val="00690885"/>
    <w:rPr>
      <w:color w:val="605E5C"/>
      <w:shd w:val="clear" w:color="auto" w:fill="E1DFDD"/>
    </w:rPr>
  </w:style>
  <w:style w:type="character" w:styleId="CommentReference">
    <w:name w:val="annotation reference"/>
    <w:uiPriority w:val="99"/>
    <w:semiHidden/>
    <w:unhideWhenUsed/>
    <w:rsid w:val="00850218"/>
    <w:rPr>
      <w:sz w:val="16"/>
      <w:szCs w:val="16"/>
    </w:rPr>
  </w:style>
  <w:style w:type="paragraph" w:styleId="CommentSubject">
    <w:name w:val="annotation subject"/>
    <w:basedOn w:val="CommentText"/>
    <w:next w:val="CommentText"/>
    <w:link w:val="CommentSubjectChar"/>
    <w:uiPriority w:val="99"/>
    <w:semiHidden/>
    <w:unhideWhenUsed/>
    <w:rsid w:val="00850218"/>
    <w:rPr>
      <w:b/>
      <w:bCs/>
    </w:rPr>
  </w:style>
  <w:style w:type="character" w:customStyle="1" w:styleId="CommentTextChar">
    <w:name w:val="Comment Text Char"/>
    <w:basedOn w:val="DefaultParagraphFont"/>
    <w:link w:val="CommentText"/>
    <w:semiHidden/>
    <w:rsid w:val="00850218"/>
  </w:style>
  <w:style w:type="character" w:customStyle="1" w:styleId="CommentSubjectChar">
    <w:name w:val="Comment Subject Char"/>
    <w:link w:val="CommentSubject"/>
    <w:uiPriority w:val="99"/>
    <w:semiHidden/>
    <w:rsid w:val="0085021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7172366">
      <w:bodyDiv w:val="1"/>
      <w:marLeft w:val="0"/>
      <w:marRight w:val="0"/>
      <w:marTop w:val="0"/>
      <w:marBottom w:val="0"/>
      <w:divBdr>
        <w:top w:val="none" w:sz="0" w:space="0" w:color="auto"/>
        <w:left w:val="none" w:sz="0" w:space="0" w:color="auto"/>
        <w:bottom w:val="none" w:sz="0" w:space="0" w:color="auto"/>
        <w:right w:val="none" w:sz="0" w:space="0" w:color="auto"/>
      </w:divBdr>
    </w:div>
    <w:div w:id="1412963924">
      <w:bodyDiv w:val="1"/>
      <w:marLeft w:val="0"/>
      <w:marRight w:val="0"/>
      <w:marTop w:val="0"/>
      <w:marBottom w:val="0"/>
      <w:divBdr>
        <w:top w:val="none" w:sz="0" w:space="0" w:color="auto"/>
        <w:left w:val="none" w:sz="0" w:space="0" w:color="auto"/>
        <w:bottom w:val="none" w:sz="0" w:space="0" w:color="auto"/>
        <w:right w:val="none" w:sz="0" w:space="0" w:color="auto"/>
      </w:divBdr>
    </w:div>
    <w:div w:id="1949115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40CAF9A-3216-7C4D-9DC0-22188177F0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1091</Words>
  <Characters>6219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Author Guidelines for 8</vt:lpstr>
    </vt:vector>
  </TitlesOfParts>
  <Company>IEEE Computer Society</Company>
  <LinksUpToDate>false</LinksUpToDate>
  <CharactersWithSpaces>7296</CharactersWithSpaces>
  <SharedDoc>false</SharedDoc>
  <HLinks>
    <vt:vector size="12" baseType="variant">
      <vt:variant>
        <vt:i4>3080296</vt:i4>
      </vt:variant>
      <vt:variant>
        <vt:i4>3</vt:i4>
      </vt:variant>
      <vt:variant>
        <vt:i4>0</vt:i4>
      </vt:variant>
      <vt:variant>
        <vt:i4>5</vt:i4>
      </vt:variant>
      <vt:variant>
        <vt:lpwstr>https://eo4society.esa.int/event/4th-edition-of-the-dlr-esa-open-polinsar-training-course/</vt:lpwstr>
      </vt:variant>
      <vt:variant>
        <vt:lpwstr/>
      </vt:variant>
      <vt:variant>
        <vt:i4>1572867</vt:i4>
      </vt:variant>
      <vt:variant>
        <vt:i4>0</vt:i4>
      </vt:variant>
      <vt:variant>
        <vt:i4>0</vt:i4>
      </vt:variant>
      <vt:variant>
        <vt:i4>5</vt:i4>
      </vt:variant>
      <vt:variant>
        <vt:lpwstr>https://polinsar-biomass2021.esa.int/brix-2/</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Author Guidelines for 8</dc:title>
  <dc:subject/>
  <dc:creator>foobar</dc:creator>
  <cp:keywords/>
  <dc:description/>
  <cp:lastModifiedBy>Freitag, Brian M. (MSFC-ST11)</cp:lastModifiedBy>
  <cp:revision>4</cp:revision>
  <cp:lastPrinted>2000-05-02T23:54:00Z</cp:lastPrinted>
  <dcterms:created xsi:type="dcterms:W3CDTF">2023-01-13T20:10:00Z</dcterms:created>
  <dcterms:modified xsi:type="dcterms:W3CDTF">2023-01-19T20:39:00Z</dcterms:modified>
</cp:coreProperties>
</file>