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644" w14:textId="77777777" w:rsidR="002E7D08" w:rsidRPr="00116333" w:rsidRDefault="002E7D08" w:rsidP="002E7D08">
      <w:pPr>
        <w:rPr>
          <w:rFonts w:cstheme="minorHAnsi"/>
          <w:b/>
          <w:bCs/>
        </w:rPr>
      </w:pPr>
      <w:r w:rsidRPr="00116333">
        <w:rPr>
          <w:rFonts w:cstheme="minorHAnsi"/>
          <w:b/>
          <w:bCs/>
        </w:rPr>
        <w:t>Supplementary Material 1</w:t>
      </w:r>
    </w:p>
    <w:p w14:paraId="683594C2" w14:textId="77777777" w:rsidR="002E7D08" w:rsidRPr="00116333" w:rsidRDefault="002E7D08" w:rsidP="002E7D08">
      <w:pPr>
        <w:ind w:firstLine="720"/>
        <w:jc w:val="center"/>
        <w:rPr>
          <w:rFonts w:cstheme="minorHAnsi"/>
          <w:b/>
          <w:bCs/>
        </w:rPr>
      </w:pPr>
    </w:p>
    <w:p w14:paraId="6A98D04F" w14:textId="77777777" w:rsidR="002E7D08" w:rsidRPr="00116333" w:rsidRDefault="002E7D08" w:rsidP="002E7D08">
      <w:pPr>
        <w:jc w:val="both"/>
        <w:rPr>
          <w:rFonts w:cstheme="minorHAnsi"/>
        </w:rPr>
      </w:pPr>
      <w:r w:rsidRPr="00116333">
        <w:rPr>
          <w:rFonts w:cstheme="minorHAnsi"/>
        </w:rPr>
        <w:t xml:space="preserve">Ordinal Logistic Regressions are applied to test relationships among model components. The first and the second regression show that user perception of usefulness of satellite EO water quality data is positively influenced by perceived relevance (coefficient +0.770) and knowledge of satellite EO technologies (+0.705) respectively. The third regression shows that trust in satellite EO water quality data is positively influenced by perceived usefulness of satellite EO water quality data (+0.423). The fourth and the fifth regression show that trust in in-situ EO water quality data is positively influenced by trust in satellite derived water quality data (+0.566) and negatively influenced the concerns in accessing water quality data (-0.456). Odd ratios show the odds for a unit increase in the dependent variable when changing levels of the independent variables. Odds ratios higher than 1 indicate a positive relation among variables, odds ratios lower than one indicate a negative relation. Likelihood ratio chi-square (LR Chi2) tests prove that there is a significant improvement in fit with the </w:t>
      </w:r>
      <w:proofErr w:type="spellStart"/>
      <w:r w:rsidRPr="00116333">
        <w:rPr>
          <w:rFonts w:cstheme="minorHAnsi"/>
        </w:rPr>
        <w:t>analyzed</w:t>
      </w:r>
      <w:proofErr w:type="spellEnd"/>
      <w:r w:rsidRPr="00116333">
        <w:rPr>
          <w:rFonts w:cstheme="minorHAnsi"/>
        </w:rPr>
        <w:t xml:space="preserve"> models relative to the intercept only model. Pseudo R2s measure goodness of fit of the models.</w:t>
      </w:r>
    </w:p>
    <w:p w14:paraId="037C4DE1" w14:textId="77777777" w:rsidR="002E7D08" w:rsidRPr="00116333" w:rsidRDefault="002E7D08" w:rsidP="002E7D08">
      <w:pPr>
        <w:jc w:val="both"/>
        <w:rPr>
          <w:rFonts w:cstheme="minorHAnsi"/>
        </w:rPr>
      </w:pPr>
    </w:p>
    <w:p w14:paraId="52C468C9" w14:textId="77777777" w:rsidR="002E7D08" w:rsidRPr="00116333" w:rsidRDefault="002E7D08" w:rsidP="002E7D08">
      <w:pPr>
        <w:jc w:val="both"/>
        <w:rPr>
          <w:rFonts w:cstheme="minorHAnsi"/>
          <w:b/>
          <w:bCs/>
        </w:rPr>
      </w:pPr>
      <w:r w:rsidRPr="00116333">
        <w:rPr>
          <w:rFonts w:cstheme="minorHAnsi"/>
          <w:b/>
          <w:bCs/>
        </w:rPr>
        <w:t xml:space="preserve">Table S1. </w:t>
      </w:r>
      <w:r w:rsidRPr="00116333">
        <w:rPr>
          <w:rFonts w:cstheme="minorHAnsi"/>
        </w:rPr>
        <w:t>Ordinal logistic regression coefficients, odd ratios and goodness of fits testing relations among attitudinal variables.</w:t>
      </w:r>
    </w:p>
    <w:tbl>
      <w:tblPr>
        <w:tblW w:w="9516" w:type="dxa"/>
        <w:tblLook w:val="04A0" w:firstRow="1" w:lastRow="0" w:firstColumn="1" w:lastColumn="0" w:noHBand="0" w:noVBand="1"/>
      </w:tblPr>
      <w:tblGrid>
        <w:gridCol w:w="5251"/>
        <w:gridCol w:w="691"/>
        <w:gridCol w:w="285"/>
        <w:gridCol w:w="691"/>
        <w:gridCol w:w="448"/>
        <w:gridCol w:w="660"/>
        <w:gridCol w:w="450"/>
        <w:gridCol w:w="1040"/>
      </w:tblGrid>
      <w:tr w:rsidR="00116333" w:rsidRPr="00116333" w14:paraId="7938B4ED" w14:textId="77777777" w:rsidTr="00680D1E">
        <w:trPr>
          <w:trHeight w:val="310"/>
        </w:trPr>
        <w:tc>
          <w:tcPr>
            <w:tcW w:w="5259" w:type="dxa"/>
            <w:tcBorders>
              <w:top w:val="single" w:sz="4" w:space="0" w:color="auto"/>
              <w:left w:val="single" w:sz="4" w:space="0" w:color="auto"/>
              <w:bottom w:val="single" w:sz="4" w:space="0" w:color="auto"/>
              <w:right w:val="nil"/>
            </w:tcBorders>
            <w:shd w:val="clear" w:color="auto" w:fill="D9D9D9" w:themeFill="background1" w:themeFillShade="D9"/>
            <w:tcMar>
              <w:left w:w="28" w:type="dxa"/>
              <w:right w:w="28" w:type="dxa"/>
            </w:tcMar>
            <w:vAlign w:val="center"/>
            <w:hideMark/>
          </w:tcPr>
          <w:p w14:paraId="53F4BBC3"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Relation among attitudes</w:t>
            </w:r>
          </w:p>
        </w:tc>
        <w:tc>
          <w:tcPr>
            <w:tcW w:w="968"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tcMar>
              <w:left w:w="28" w:type="dxa"/>
              <w:right w:w="28" w:type="dxa"/>
            </w:tcMar>
            <w:vAlign w:val="center"/>
            <w:hideMark/>
          </w:tcPr>
          <w:p w14:paraId="6ED41263"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Coeff.</w:t>
            </w:r>
          </w:p>
        </w:tc>
        <w:tc>
          <w:tcPr>
            <w:tcW w:w="1139" w:type="dxa"/>
            <w:gridSpan w:val="2"/>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58D2450B"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Odds Ratio</w:t>
            </w:r>
          </w:p>
        </w:tc>
        <w:tc>
          <w:tcPr>
            <w:tcW w:w="111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tcMar>
              <w:left w:w="28" w:type="dxa"/>
              <w:right w:w="28" w:type="dxa"/>
            </w:tcMar>
            <w:vAlign w:val="center"/>
            <w:hideMark/>
          </w:tcPr>
          <w:p w14:paraId="15AF9230"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LR Chi2</w:t>
            </w:r>
          </w:p>
        </w:tc>
        <w:tc>
          <w:tcPr>
            <w:tcW w:w="1040"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0B87F117"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Pseudo R2</w:t>
            </w:r>
          </w:p>
        </w:tc>
      </w:tr>
      <w:tr w:rsidR="00116333" w:rsidRPr="00116333" w14:paraId="62524971" w14:textId="77777777" w:rsidTr="00680D1E">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0F81E36F"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Relevance of satellite EO water quality data à Usefulness of satellite EO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04FECC34"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0.770</w:t>
            </w:r>
          </w:p>
          <w:p w14:paraId="3DECA72E"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(0.355)</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3AD663B5"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p w14:paraId="4DBBE1FB" w14:textId="77777777" w:rsidR="002E7D08" w:rsidRPr="00116333" w:rsidRDefault="002E7D08" w:rsidP="00680D1E">
            <w:pPr>
              <w:rPr>
                <w:rFonts w:eastAsia="Times New Roman" w:cstheme="minorHAnsi"/>
                <w:sz w:val="22"/>
                <w:szCs w:val="22"/>
                <w:vertAlign w:val="superscript"/>
                <w:lang w:val="en-US"/>
              </w:rPr>
            </w:pPr>
          </w:p>
          <w:p w14:paraId="3BD9421C" w14:textId="77777777" w:rsidR="002E7D08" w:rsidRPr="00116333" w:rsidRDefault="002E7D08" w:rsidP="00680D1E">
            <w:pPr>
              <w:rPr>
                <w:rFonts w:eastAsia="Times New Roman" w:cstheme="minorHAnsi"/>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18CA038A"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2.159</w:t>
            </w:r>
          </w:p>
          <w:p w14:paraId="18F69708"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(0.767)</w:t>
            </w:r>
          </w:p>
        </w:tc>
        <w:tc>
          <w:tcPr>
            <w:tcW w:w="448" w:type="dxa"/>
            <w:tcBorders>
              <w:top w:val="nil"/>
              <w:left w:val="nil"/>
              <w:bottom w:val="nil"/>
              <w:right w:val="single" w:sz="4" w:space="0" w:color="auto"/>
            </w:tcBorders>
            <w:tcMar>
              <w:left w:w="0" w:type="dxa"/>
            </w:tcMar>
          </w:tcPr>
          <w:p w14:paraId="470CD5D6"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52745AF7"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5.02</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54D2A8F8"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30A919DF"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0.035</w:t>
            </w:r>
          </w:p>
        </w:tc>
      </w:tr>
      <w:tr w:rsidR="00116333" w:rsidRPr="00116333" w14:paraId="221D6468" w14:textId="77777777" w:rsidTr="00680D1E">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09D84E31" w14:textId="77777777" w:rsidR="002E7D08" w:rsidRPr="00116333" w:rsidRDefault="002E7D08" w:rsidP="00680D1E">
            <w:pPr>
              <w:rPr>
                <w:rFonts w:eastAsia="Times New Roman" w:cstheme="minorHAnsi"/>
                <w:sz w:val="22"/>
                <w:szCs w:val="22"/>
                <w:lang w:val="en-US"/>
              </w:rPr>
            </w:pPr>
          </w:p>
          <w:p w14:paraId="4A3C74FB"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Knowledge of satellite EO technologies à Usefulness of satellite EO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0C60B075" w14:textId="77777777" w:rsidR="002E7D08" w:rsidRPr="00116333" w:rsidRDefault="002E7D08" w:rsidP="00680D1E">
            <w:pPr>
              <w:jc w:val="right"/>
              <w:rPr>
                <w:rFonts w:eastAsia="Times New Roman" w:cstheme="minorHAnsi"/>
                <w:sz w:val="22"/>
                <w:szCs w:val="22"/>
                <w:lang w:val="en-US"/>
              </w:rPr>
            </w:pPr>
          </w:p>
          <w:p w14:paraId="745E21DD"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0.705</w:t>
            </w:r>
          </w:p>
          <w:p w14:paraId="5A45FF50"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(0.239)</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4A608CC8" w14:textId="77777777" w:rsidR="002E7D08" w:rsidRPr="00116333" w:rsidRDefault="002E7D08" w:rsidP="00680D1E">
            <w:pPr>
              <w:rPr>
                <w:rFonts w:eastAsia="Times New Roman" w:cstheme="minorHAnsi"/>
                <w:sz w:val="22"/>
                <w:szCs w:val="22"/>
                <w:vertAlign w:val="superscript"/>
                <w:lang w:val="en-US"/>
              </w:rPr>
            </w:pPr>
          </w:p>
          <w:p w14:paraId="7505C3FF"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p w14:paraId="793D0AB0" w14:textId="77777777" w:rsidR="002E7D08" w:rsidRPr="00116333" w:rsidRDefault="002E7D08" w:rsidP="00680D1E">
            <w:pPr>
              <w:rPr>
                <w:rFonts w:eastAsia="Times New Roman" w:cstheme="minorHAnsi"/>
                <w:sz w:val="22"/>
                <w:szCs w:val="22"/>
                <w:vertAlign w:val="superscript"/>
                <w:lang w:val="en-US"/>
              </w:rPr>
            </w:pPr>
          </w:p>
          <w:p w14:paraId="35D00849" w14:textId="77777777" w:rsidR="002E7D08" w:rsidRPr="00116333" w:rsidRDefault="002E7D08" w:rsidP="00680D1E">
            <w:pPr>
              <w:rPr>
                <w:rFonts w:eastAsia="Times New Roman" w:cstheme="minorHAnsi"/>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08DAA639" w14:textId="77777777" w:rsidR="002E7D08" w:rsidRPr="00116333" w:rsidRDefault="002E7D08" w:rsidP="00680D1E">
            <w:pPr>
              <w:jc w:val="right"/>
              <w:rPr>
                <w:rFonts w:eastAsia="Times New Roman" w:cstheme="minorHAnsi"/>
                <w:sz w:val="22"/>
                <w:szCs w:val="22"/>
                <w:lang w:val="en-US"/>
              </w:rPr>
            </w:pPr>
          </w:p>
          <w:p w14:paraId="47279A0B"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2.025</w:t>
            </w:r>
          </w:p>
          <w:p w14:paraId="554D80D2"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(0.484)</w:t>
            </w:r>
          </w:p>
        </w:tc>
        <w:tc>
          <w:tcPr>
            <w:tcW w:w="448" w:type="dxa"/>
            <w:tcBorders>
              <w:top w:val="nil"/>
              <w:left w:val="nil"/>
              <w:bottom w:val="nil"/>
              <w:right w:val="single" w:sz="4" w:space="0" w:color="auto"/>
            </w:tcBorders>
            <w:tcMar>
              <w:left w:w="0" w:type="dxa"/>
            </w:tcMar>
          </w:tcPr>
          <w:p w14:paraId="1953D68D" w14:textId="77777777" w:rsidR="002E7D08" w:rsidRPr="00116333" w:rsidRDefault="002E7D08" w:rsidP="00680D1E">
            <w:pPr>
              <w:rPr>
                <w:rFonts w:eastAsia="Times New Roman" w:cstheme="minorHAnsi"/>
                <w:sz w:val="22"/>
                <w:szCs w:val="22"/>
                <w:vertAlign w:val="superscript"/>
                <w:lang w:val="en-US"/>
              </w:rPr>
            </w:pPr>
          </w:p>
          <w:p w14:paraId="405AA608"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70A04D55" w14:textId="77777777" w:rsidR="002E7D08" w:rsidRPr="00116333" w:rsidRDefault="002E7D08" w:rsidP="00680D1E">
            <w:pPr>
              <w:jc w:val="right"/>
              <w:rPr>
                <w:rFonts w:eastAsia="Times New Roman" w:cstheme="minorHAnsi"/>
                <w:sz w:val="22"/>
                <w:szCs w:val="22"/>
                <w:lang w:val="en-US"/>
              </w:rPr>
            </w:pPr>
          </w:p>
          <w:p w14:paraId="50C39A35"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9.25</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7AFFC57B" w14:textId="77777777" w:rsidR="002E7D08" w:rsidRPr="00116333" w:rsidRDefault="002E7D08" w:rsidP="00680D1E">
            <w:pPr>
              <w:rPr>
                <w:rFonts w:eastAsia="Times New Roman" w:cstheme="minorHAnsi"/>
                <w:sz w:val="22"/>
                <w:szCs w:val="22"/>
                <w:vertAlign w:val="superscript"/>
                <w:lang w:val="en-US"/>
              </w:rPr>
            </w:pPr>
          </w:p>
          <w:p w14:paraId="414804E8"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02F110A0" w14:textId="77777777" w:rsidR="002E7D08" w:rsidRPr="00116333" w:rsidRDefault="002E7D08" w:rsidP="00680D1E">
            <w:pPr>
              <w:jc w:val="center"/>
              <w:rPr>
                <w:rFonts w:eastAsia="Times New Roman" w:cstheme="minorHAnsi"/>
                <w:sz w:val="22"/>
                <w:szCs w:val="22"/>
                <w:lang w:val="en-US"/>
              </w:rPr>
            </w:pPr>
          </w:p>
          <w:p w14:paraId="75178384"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0.035</w:t>
            </w:r>
          </w:p>
        </w:tc>
      </w:tr>
      <w:tr w:rsidR="00116333" w:rsidRPr="00116333" w14:paraId="0FC153B1" w14:textId="77777777" w:rsidTr="00680D1E">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5CA1A127" w14:textId="77777777" w:rsidR="002E7D08" w:rsidRPr="00116333" w:rsidRDefault="002E7D08" w:rsidP="00680D1E">
            <w:pPr>
              <w:rPr>
                <w:rFonts w:eastAsia="Times New Roman" w:cstheme="minorHAnsi"/>
                <w:sz w:val="22"/>
                <w:szCs w:val="22"/>
                <w:lang w:val="en-US"/>
              </w:rPr>
            </w:pPr>
          </w:p>
          <w:p w14:paraId="3FB037EC"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Usefulness of satellite EO water quality data à Trust in satellite EO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665E4202" w14:textId="77777777" w:rsidR="002E7D08" w:rsidRPr="00116333" w:rsidRDefault="002E7D08" w:rsidP="00680D1E">
            <w:pPr>
              <w:rPr>
                <w:rFonts w:eastAsia="Times New Roman" w:cstheme="minorHAnsi"/>
                <w:sz w:val="22"/>
                <w:szCs w:val="22"/>
                <w:lang w:val="en-US"/>
              </w:rPr>
            </w:pPr>
          </w:p>
          <w:p w14:paraId="4917286F"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0.423</w:t>
            </w:r>
          </w:p>
          <w:p w14:paraId="1876FEC5"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(0.187)</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28189A3E" w14:textId="77777777" w:rsidR="002E7D08" w:rsidRPr="00116333" w:rsidRDefault="002E7D08" w:rsidP="00680D1E">
            <w:pPr>
              <w:rPr>
                <w:rFonts w:eastAsia="Times New Roman" w:cstheme="minorHAnsi"/>
                <w:sz w:val="22"/>
                <w:szCs w:val="22"/>
                <w:vertAlign w:val="superscript"/>
                <w:lang w:val="en-US"/>
              </w:rPr>
            </w:pPr>
          </w:p>
          <w:p w14:paraId="52E20BB9"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p w14:paraId="44E891D2" w14:textId="77777777" w:rsidR="002E7D08" w:rsidRPr="00116333" w:rsidRDefault="002E7D08" w:rsidP="00680D1E">
            <w:pPr>
              <w:rPr>
                <w:rFonts w:eastAsia="Times New Roman" w:cstheme="minorHAnsi"/>
                <w:sz w:val="22"/>
                <w:szCs w:val="22"/>
                <w:vertAlign w:val="superscript"/>
                <w:lang w:val="en-US"/>
              </w:rPr>
            </w:pPr>
          </w:p>
          <w:p w14:paraId="292F086C" w14:textId="77777777" w:rsidR="002E7D08" w:rsidRPr="00116333" w:rsidRDefault="002E7D08" w:rsidP="00680D1E">
            <w:pPr>
              <w:rPr>
                <w:rFonts w:eastAsia="Times New Roman" w:cstheme="minorHAnsi"/>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0C62D6A1" w14:textId="77777777" w:rsidR="002E7D08" w:rsidRPr="00116333" w:rsidRDefault="002E7D08" w:rsidP="00680D1E">
            <w:pPr>
              <w:jc w:val="right"/>
              <w:rPr>
                <w:rFonts w:eastAsia="Times New Roman" w:cstheme="minorHAnsi"/>
                <w:sz w:val="22"/>
                <w:szCs w:val="22"/>
                <w:lang w:val="en-US"/>
              </w:rPr>
            </w:pPr>
          </w:p>
          <w:p w14:paraId="46D0853A"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1.527</w:t>
            </w:r>
          </w:p>
          <w:p w14:paraId="4893D863"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(0.286)</w:t>
            </w:r>
          </w:p>
        </w:tc>
        <w:tc>
          <w:tcPr>
            <w:tcW w:w="448" w:type="dxa"/>
            <w:tcBorders>
              <w:top w:val="nil"/>
              <w:left w:val="nil"/>
              <w:bottom w:val="nil"/>
              <w:right w:val="single" w:sz="4" w:space="0" w:color="auto"/>
            </w:tcBorders>
            <w:tcMar>
              <w:left w:w="0" w:type="dxa"/>
            </w:tcMar>
          </w:tcPr>
          <w:p w14:paraId="6AE13164" w14:textId="77777777" w:rsidR="002E7D08" w:rsidRPr="00116333" w:rsidRDefault="002E7D08" w:rsidP="00680D1E">
            <w:pPr>
              <w:rPr>
                <w:rFonts w:eastAsia="Times New Roman" w:cstheme="minorHAnsi"/>
                <w:sz w:val="22"/>
                <w:szCs w:val="22"/>
                <w:vertAlign w:val="superscript"/>
                <w:lang w:val="en-US"/>
              </w:rPr>
            </w:pPr>
          </w:p>
          <w:p w14:paraId="5C30CAF4"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56E6D5C5" w14:textId="77777777" w:rsidR="002E7D08" w:rsidRPr="00116333" w:rsidRDefault="002E7D08" w:rsidP="00680D1E">
            <w:pPr>
              <w:jc w:val="right"/>
              <w:rPr>
                <w:rFonts w:eastAsia="Times New Roman" w:cstheme="minorHAnsi"/>
                <w:sz w:val="22"/>
                <w:szCs w:val="22"/>
                <w:lang w:val="en-US"/>
              </w:rPr>
            </w:pPr>
          </w:p>
          <w:p w14:paraId="70A3CC51"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5.18</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56E232E4" w14:textId="77777777" w:rsidR="002E7D08" w:rsidRPr="00116333" w:rsidRDefault="002E7D08" w:rsidP="00680D1E">
            <w:pPr>
              <w:rPr>
                <w:rFonts w:eastAsia="Times New Roman" w:cstheme="minorHAnsi"/>
                <w:sz w:val="22"/>
                <w:szCs w:val="22"/>
                <w:vertAlign w:val="superscript"/>
                <w:lang w:val="en-US"/>
              </w:rPr>
            </w:pPr>
          </w:p>
          <w:p w14:paraId="3EC72B39"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79D1EDBD" w14:textId="77777777" w:rsidR="002E7D08" w:rsidRPr="00116333" w:rsidRDefault="002E7D08" w:rsidP="00680D1E">
            <w:pPr>
              <w:jc w:val="center"/>
              <w:rPr>
                <w:rFonts w:eastAsia="Times New Roman" w:cstheme="minorHAnsi"/>
                <w:sz w:val="22"/>
                <w:szCs w:val="22"/>
                <w:lang w:val="en-US"/>
              </w:rPr>
            </w:pPr>
          </w:p>
          <w:p w14:paraId="059A692B"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0.020</w:t>
            </w:r>
          </w:p>
        </w:tc>
      </w:tr>
      <w:tr w:rsidR="00116333" w:rsidRPr="00116333" w14:paraId="10910C4D" w14:textId="77777777" w:rsidTr="00680D1E">
        <w:trPr>
          <w:trHeight w:val="580"/>
        </w:trPr>
        <w:tc>
          <w:tcPr>
            <w:tcW w:w="5259" w:type="dxa"/>
            <w:tcBorders>
              <w:top w:val="nil"/>
              <w:left w:val="single" w:sz="4" w:space="0" w:color="auto"/>
              <w:bottom w:val="nil"/>
              <w:right w:val="nil"/>
            </w:tcBorders>
            <w:shd w:val="clear" w:color="auto" w:fill="auto"/>
            <w:tcMar>
              <w:left w:w="28" w:type="dxa"/>
              <w:right w:w="28" w:type="dxa"/>
            </w:tcMar>
            <w:vAlign w:val="center"/>
            <w:hideMark/>
          </w:tcPr>
          <w:p w14:paraId="06B46234" w14:textId="77777777" w:rsidR="002E7D08" w:rsidRPr="00116333" w:rsidRDefault="002E7D08" w:rsidP="00680D1E">
            <w:pPr>
              <w:rPr>
                <w:rFonts w:eastAsia="Times New Roman" w:cstheme="minorHAnsi"/>
                <w:sz w:val="22"/>
                <w:szCs w:val="22"/>
                <w:lang w:val="en-US"/>
              </w:rPr>
            </w:pPr>
          </w:p>
          <w:p w14:paraId="51282182"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Trust in satellite EO water quality data à Trust in in-situ water quality data</w:t>
            </w:r>
          </w:p>
        </w:tc>
        <w:tc>
          <w:tcPr>
            <w:tcW w:w="691" w:type="dxa"/>
            <w:tcBorders>
              <w:top w:val="nil"/>
              <w:left w:val="single" w:sz="4" w:space="0" w:color="auto"/>
              <w:bottom w:val="nil"/>
              <w:right w:val="nil"/>
            </w:tcBorders>
            <w:shd w:val="clear" w:color="auto" w:fill="auto"/>
            <w:noWrap/>
            <w:tcMar>
              <w:left w:w="28" w:type="dxa"/>
              <w:right w:w="28" w:type="dxa"/>
            </w:tcMar>
            <w:vAlign w:val="center"/>
            <w:hideMark/>
          </w:tcPr>
          <w:p w14:paraId="0B9A500C" w14:textId="77777777" w:rsidR="002E7D08" w:rsidRPr="00116333" w:rsidRDefault="002E7D08" w:rsidP="00680D1E">
            <w:pPr>
              <w:rPr>
                <w:rFonts w:eastAsia="Times New Roman" w:cstheme="minorHAnsi"/>
                <w:sz w:val="22"/>
                <w:szCs w:val="22"/>
                <w:lang w:val="en-US"/>
              </w:rPr>
            </w:pPr>
          </w:p>
          <w:p w14:paraId="39FD8B57"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0.566</w:t>
            </w:r>
          </w:p>
          <w:p w14:paraId="4ED75E2C"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(0.265)</w:t>
            </w:r>
          </w:p>
        </w:tc>
        <w:tc>
          <w:tcPr>
            <w:tcW w:w="277" w:type="dxa"/>
            <w:tcBorders>
              <w:top w:val="nil"/>
              <w:left w:val="nil"/>
              <w:bottom w:val="nil"/>
              <w:right w:val="single" w:sz="4" w:space="0" w:color="auto"/>
            </w:tcBorders>
            <w:shd w:val="clear" w:color="auto" w:fill="auto"/>
            <w:noWrap/>
            <w:tcMar>
              <w:left w:w="0" w:type="dxa"/>
              <w:right w:w="28" w:type="dxa"/>
            </w:tcMar>
            <w:vAlign w:val="center"/>
            <w:hideMark/>
          </w:tcPr>
          <w:p w14:paraId="3744A875" w14:textId="77777777" w:rsidR="002E7D08" w:rsidRPr="00116333" w:rsidRDefault="002E7D08" w:rsidP="00680D1E">
            <w:pPr>
              <w:rPr>
                <w:rFonts w:eastAsia="Times New Roman" w:cstheme="minorHAnsi"/>
                <w:sz w:val="22"/>
                <w:szCs w:val="22"/>
                <w:vertAlign w:val="superscript"/>
                <w:lang w:val="en-US"/>
              </w:rPr>
            </w:pPr>
          </w:p>
          <w:p w14:paraId="5FFF6E9D"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p w14:paraId="65435C44" w14:textId="77777777" w:rsidR="002E7D08" w:rsidRPr="00116333" w:rsidRDefault="002E7D08" w:rsidP="00680D1E">
            <w:pPr>
              <w:rPr>
                <w:rFonts w:eastAsia="Times New Roman" w:cstheme="minorHAnsi"/>
                <w:sz w:val="22"/>
                <w:szCs w:val="22"/>
                <w:vertAlign w:val="superscript"/>
                <w:lang w:val="en-US"/>
              </w:rPr>
            </w:pPr>
          </w:p>
          <w:p w14:paraId="643797BC" w14:textId="77777777" w:rsidR="002E7D08" w:rsidRPr="00116333" w:rsidRDefault="002E7D08" w:rsidP="00680D1E">
            <w:pPr>
              <w:rPr>
                <w:rFonts w:eastAsia="Times New Roman" w:cstheme="minorHAnsi"/>
                <w:sz w:val="22"/>
                <w:szCs w:val="22"/>
                <w:lang w:val="en-US"/>
              </w:rPr>
            </w:pPr>
          </w:p>
        </w:tc>
        <w:tc>
          <w:tcPr>
            <w:tcW w:w="691" w:type="dxa"/>
            <w:tcBorders>
              <w:top w:val="nil"/>
              <w:left w:val="nil"/>
              <w:bottom w:val="nil"/>
            </w:tcBorders>
            <w:shd w:val="clear" w:color="auto" w:fill="auto"/>
            <w:noWrap/>
            <w:tcMar>
              <w:left w:w="28" w:type="dxa"/>
              <w:right w:w="28" w:type="dxa"/>
            </w:tcMar>
            <w:vAlign w:val="center"/>
            <w:hideMark/>
          </w:tcPr>
          <w:p w14:paraId="43C4EAE0" w14:textId="77777777" w:rsidR="002E7D08" w:rsidRPr="00116333" w:rsidRDefault="002E7D08" w:rsidP="00680D1E">
            <w:pPr>
              <w:jc w:val="right"/>
              <w:rPr>
                <w:rFonts w:eastAsia="Times New Roman" w:cstheme="minorHAnsi"/>
                <w:sz w:val="22"/>
                <w:szCs w:val="22"/>
                <w:lang w:val="en-US"/>
              </w:rPr>
            </w:pPr>
          </w:p>
          <w:p w14:paraId="74737C92"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1.762</w:t>
            </w:r>
          </w:p>
          <w:p w14:paraId="0D7EEE25"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(0.467)</w:t>
            </w:r>
          </w:p>
          <w:p w14:paraId="5982B3B8" w14:textId="77777777" w:rsidR="002E7D08" w:rsidRPr="00116333" w:rsidRDefault="002E7D08" w:rsidP="00680D1E">
            <w:pPr>
              <w:jc w:val="right"/>
              <w:rPr>
                <w:rFonts w:eastAsia="Times New Roman" w:cstheme="minorHAnsi"/>
                <w:sz w:val="22"/>
                <w:szCs w:val="22"/>
                <w:lang w:val="en-US"/>
              </w:rPr>
            </w:pPr>
          </w:p>
        </w:tc>
        <w:tc>
          <w:tcPr>
            <w:tcW w:w="448" w:type="dxa"/>
            <w:tcBorders>
              <w:top w:val="nil"/>
              <w:left w:val="nil"/>
              <w:bottom w:val="nil"/>
              <w:right w:val="single" w:sz="4" w:space="0" w:color="auto"/>
            </w:tcBorders>
            <w:tcMar>
              <w:left w:w="0" w:type="dxa"/>
            </w:tcMar>
          </w:tcPr>
          <w:p w14:paraId="06356F1E" w14:textId="77777777" w:rsidR="002E7D08" w:rsidRPr="00116333" w:rsidRDefault="002E7D08" w:rsidP="00680D1E">
            <w:pPr>
              <w:rPr>
                <w:rFonts w:eastAsia="Times New Roman" w:cstheme="minorHAnsi"/>
                <w:sz w:val="22"/>
                <w:szCs w:val="22"/>
                <w:vertAlign w:val="superscript"/>
                <w:lang w:val="en-US"/>
              </w:rPr>
            </w:pPr>
          </w:p>
          <w:p w14:paraId="4AF47A22"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tc>
        <w:tc>
          <w:tcPr>
            <w:tcW w:w="660" w:type="dxa"/>
            <w:tcBorders>
              <w:top w:val="nil"/>
              <w:left w:val="single" w:sz="4" w:space="0" w:color="auto"/>
              <w:bottom w:val="nil"/>
              <w:right w:val="nil"/>
            </w:tcBorders>
            <w:shd w:val="clear" w:color="auto" w:fill="auto"/>
            <w:noWrap/>
            <w:tcMar>
              <w:left w:w="28" w:type="dxa"/>
              <w:right w:w="28" w:type="dxa"/>
            </w:tcMar>
            <w:vAlign w:val="center"/>
            <w:hideMark/>
          </w:tcPr>
          <w:p w14:paraId="1FFE58F3" w14:textId="77777777" w:rsidR="002E7D08" w:rsidRPr="00116333" w:rsidRDefault="002E7D08" w:rsidP="00680D1E">
            <w:pPr>
              <w:jc w:val="right"/>
              <w:rPr>
                <w:rFonts w:eastAsia="Times New Roman" w:cstheme="minorHAnsi"/>
                <w:sz w:val="22"/>
                <w:szCs w:val="22"/>
                <w:lang w:val="en-US"/>
              </w:rPr>
            </w:pPr>
          </w:p>
          <w:p w14:paraId="7BA719A5"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4.69</w:t>
            </w:r>
          </w:p>
        </w:tc>
        <w:tc>
          <w:tcPr>
            <w:tcW w:w="450" w:type="dxa"/>
            <w:tcBorders>
              <w:top w:val="nil"/>
              <w:left w:val="nil"/>
              <w:bottom w:val="nil"/>
              <w:right w:val="single" w:sz="4" w:space="0" w:color="auto"/>
            </w:tcBorders>
            <w:shd w:val="clear" w:color="auto" w:fill="auto"/>
            <w:noWrap/>
            <w:tcMar>
              <w:left w:w="28" w:type="dxa"/>
              <w:right w:w="28" w:type="dxa"/>
            </w:tcMar>
            <w:vAlign w:val="center"/>
            <w:hideMark/>
          </w:tcPr>
          <w:p w14:paraId="548FD80F" w14:textId="77777777" w:rsidR="002E7D08" w:rsidRPr="00116333" w:rsidRDefault="002E7D08" w:rsidP="00680D1E">
            <w:pPr>
              <w:rPr>
                <w:rFonts w:eastAsia="Times New Roman" w:cstheme="minorHAnsi"/>
                <w:sz w:val="22"/>
                <w:szCs w:val="22"/>
                <w:vertAlign w:val="superscript"/>
                <w:lang w:val="en-US"/>
              </w:rPr>
            </w:pPr>
          </w:p>
          <w:p w14:paraId="2D60A0E0"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vertAlign w:val="superscript"/>
                <w:lang w:val="en-US"/>
              </w:rPr>
              <w:t>**</w:t>
            </w:r>
          </w:p>
        </w:tc>
        <w:tc>
          <w:tcPr>
            <w:tcW w:w="1040" w:type="dxa"/>
            <w:tcBorders>
              <w:top w:val="nil"/>
              <w:left w:val="nil"/>
              <w:bottom w:val="nil"/>
              <w:right w:val="single" w:sz="4" w:space="0" w:color="auto"/>
            </w:tcBorders>
            <w:shd w:val="clear" w:color="auto" w:fill="auto"/>
            <w:noWrap/>
            <w:tcMar>
              <w:left w:w="28" w:type="dxa"/>
              <w:right w:w="28" w:type="dxa"/>
            </w:tcMar>
            <w:vAlign w:val="center"/>
            <w:hideMark/>
          </w:tcPr>
          <w:p w14:paraId="6F087AA7" w14:textId="77777777" w:rsidR="002E7D08" w:rsidRPr="00116333" w:rsidRDefault="002E7D08" w:rsidP="00680D1E">
            <w:pPr>
              <w:jc w:val="center"/>
              <w:rPr>
                <w:rFonts w:eastAsia="Times New Roman" w:cstheme="minorHAnsi"/>
                <w:sz w:val="22"/>
                <w:szCs w:val="22"/>
                <w:lang w:val="en-US"/>
              </w:rPr>
            </w:pPr>
          </w:p>
          <w:p w14:paraId="33564B3C"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0.025</w:t>
            </w:r>
          </w:p>
        </w:tc>
      </w:tr>
      <w:tr w:rsidR="00116333" w:rsidRPr="00116333" w14:paraId="6E77B3F3" w14:textId="77777777" w:rsidTr="00680D1E">
        <w:trPr>
          <w:trHeight w:val="580"/>
        </w:trPr>
        <w:tc>
          <w:tcPr>
            <w:tcW w:w="525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7918EBC" w14:textId="77777777" w:rsidR="002E7D08" w:rsidRPr="00116333" w:rsidRDefault="002E7D08" w:rsidP="00680D1E">
            <w:pPr>
              <w:rPr>
                <w:rFonts w:eastAsia="Times New Roman" w:cstheme="minorHAnsi"/>
                <w:sz w:val="22"/>
                <w:szCs w:val="22"/>
                <w:lang w:val="en-US"/>
              </w:rPr>
            </w:pPr>
          </w:p>
          <w:p w14:paraId="161D94F2"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lang w:val="en-US"/>
              </w:rPr>
              <w:t>Problem accessing water quality data à Trust in in-situ water quality data</w:t>
            </w:r>
          </w:p>
        </w:tc>
        <w:tc>
          <w:tcPr>
            <w:tcW w:w="69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07E7C8CE" w14:textId="77777777" w:rsidR="002E7D08" w:rsidRPr="00116333" w:rsidRDefault="002E7D08" w:rsidP="00680D1E">
            <w:pPr>
              <w:jc w:val="right"/>
              <w:rPr>
                <w:rFonts w:eastAsia="Times New Roman" w:cstheme="minorHAnsi"/>
                <w:sz w:val="22"/>
                <w:szCs w:val="22"/>
                <w:lang w:val="en-US"/>
              </w:rPr>
            </w:pPr>
          </w:p>
          <w:p w14:paraId="620F45D9"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-0.456</w:t>
            </w:r>
          </w:p>
          <w:p w14:paraId="7EF78CD1"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(0.167)</w:t>
            </w:r>
          </w:p>
        </w:tc>
        <w:tc>
          <w:tcPr>
            <w:tcW w:w="277" w:type="dxa"/>
            <w:tcBorders>
              <w:top w:val="nil"/>
              <w:left w:val="nil"/>
              <w:bottom w:val="single" w:sz="4" w:space="0" w:color="auto"/>
              <w:right w:val="single" w:sz="4" w:space="0" w:color="auto"/>
            </w:tcBorders>
            <w:shd w:val="clear" w:color="auto" w:fill="auto"/>
            <w:noWrap/>
            <w:tcMar>
              <w:left w:w="0" w:type="dxa"/>
              <w:right w:w="28" w:type="dxa"/>
            </w:tcMar>
            <w:vAlign w:val="center"/>
            <w:hideMark/>
          </w:tcPr>
          <w:p w14:paraId="79E218D8" w14:textId="77777777" w:rsidR="002E7D08" w:rsidRPr="00116333" w:rsidRDefault="002E7D08" w:rsidP="00680D1E">
            <w:pPr>
              <w:rPr>
                <w:rFonts w:eastAsia="Times New Roman" w:cstheme="minorHAnsi"/>
                <w:sz w:val="22"/>
                <w:szCs w:val="22"/>
                <w:vertAlign w:val="superscript"/>
                <w:lang w:val="en-US"/>
              </w:rPr>
            </w:pPr>
          </w:p>
          <w:p w14:paraId="71E01E76"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p w14:paraId="3DFD88C8" w14:textId="77777777" w:rsidR="002E7D08" w:rsidRPr="00116333" w:rsidRDefault="002E7D08" w:rsidP="00680D1E">
            <w:pPr>
              <w:rPr>
                <w:rFonts w:eastAsia="Times New Roman" w:cstheme="minorHAnsi"/>
                <w:sz w:val="22"/>
                <w:szCs w:val="22"/>
                <w:vertAlign w:val="superscript"/>
                <w:lang w:val="en-US"/>
              </w:rPr>
            </w:pPr>
          </w:p>
          <w:p w14:paraId="42753A7F" w14:textId="77777777" w:rsidR="002E7D08" w:rsidRPr="00116333" w:rsidRDefault="002E7D08" w:rsidP="00680D1E">
            <w:pPr>
              <w:rPr>
                <w:rFonts w:eastAsia="Times New Roman" w:cstheme="minorHAnsi"/>
                <w:sz w:val="22"/>
                <w:szCs w:val="22"/>
                <w:lang w:val="en-US"/>
              </w:rPr>
            </w:pPr>
          </w:p>
        </w:tc>
        <w:tc>
          <w:tcPr>
            <w:tcW w:w="691" w:type="dxa"/>
            <w:tcBorders>
              <w:top w:val="nil"/>
              <w:left w:val="nil"/>
              <w:bottom w:val="single" w:sz="4" w:space="0" w:color="auto"/>
            </w:tcBorders>
            <w:shd w:val="clear" w:color="auto" w:fill="auto"/>
            <w:noWrap/>
            <w:tcMar>
              <w:left w:w="28" w:type="dxa"/>
              <w:right w:w="28" w:type="dxa"/>
            </w:tcMar>
            <w:vAlign w:val="center"/>
            <w:hideMark/>
          </w:tcPr>
          <w:p w14:paraId="2651EBCF" w14:textId="77777777" w:rsidR="002E7D08" w:rsidRPr="00116333" w:rsidRDefault="002E7D08" w:rsidP="00680D1E">
            <w:pPr>
              <w:jc w:val="right"/>
              <w:rPr>
                <w:rFonts w:eastAsia="Times New Roman" w:cstheme="minorHAnsi"/>
                <w:sz w:val="22"/>
                <w:szCs w:val="22"/>
                <w:lang w:val="en-US"/>
              </w:rPr>
            </w:pPr>
          </w:p>
          <w:p w14:paraId="2FD03D97"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0.634</w:t>
            </w:r>
          </w:p>
          <w:p w14:paraId="62D79814"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(0.106)</w:t>
            </w:r>
          </w:p>
        </w:tc>
        <w:tc>
          <w:tcPr>
            <w:tcW w:w="448" w:type="dxa"/>
            <w:tcBorders>
              <w:top w:val="nil"/>
              <w:left w:val="nil"/>
              <w:bottom w:val="single" w:sz="4" w:space="0" w:color="auto"/>
              <w:right w:val="single" w:sz="4" w:space="0" w:color="auto"/>
            </w:tcBorders>
            <w:tcMar>
              <w:left w:w="0" w:type="dxa"/>
            </w:tcMar>
          </w:tcPr>
          <w:p w14:paraId="03F22963" w14:textId="77777777" w:rsidR="002E7D08" w:rsidRPr="00116333" w:rsidRDefault="002E7D08" w:rsidP="00680D1E">
            <w:pPr>
              <w:rPr>
                <w:rFonts w:eastAsia="Times New Roman" w:cstheme="minorHAnsi"/>
                <w:sz w:val="22"/>
                <w:szCs w:val="22"/>
                <w:vertAlign w:val="superscript"/>
                <w:lang w:val="en-US"/>
              </w:rPr>
            </w:pPr>
          </w:p>
          <w:p w14:paraId="7C2A6093" w14:textId="77777777" w:rsidR="002E7D08" w:rsidRPr="00116333" w:rsidRDefault="002E7D08" w:rsidP="00680D1E">
            <w:pPr>
              <w:rPr>
                <w:rFonts w:eastAsia="Times New Roman" w:cstheme="minorHAnsi"/>
                <w:sz w:val="22"/>
                <w:szCs w:val="22"/>
                <w:vertAlign w:val="superscript"/>
                <w:lang w:val="en-US"/>
              </w:rPr>
            </w:pPr>
            <w:r w:rsidRPr="00116333">
              <w:rPr>
                <w:rFonts w:eastAsia="Times New Roman" w:cstheme="minorHAnsi"/>
                <w:sz w:val="22"/>
                <w:szCs w:val="22"/>
                <w:vertAlign w:val="superscript"/>
                <w:lang w:val="en-US"/>
              </w:rPr>
              <w:t>***</w:t>
            </w:r>
          </w:p>
        </w:tc>
        <w:tc>
          <w:tcPr>
            <w:tcW w:w="660"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00C7EEA7" w14:textId="77777777" w:rsidR="002E7D08" w:rsidRPr="00116333" w:rsidRDefault="002E7D08" w:rsidP="00680D1E">
            <w:pPr>
              <w:jc w:val="right"/>
              <w:rPr>
                <w:rFonts w:eastAsia="Times New Roman" w:cstheme="minorHAnsi"/>
                <w:sz w:val="22"/>
                <w:szCs w:val="22"/>
                <w:lang w:val="en-US"/>
              </w:rPr>
            </w:pPr>
          </w:p>
          <w:p w14:paraId="111B2AE7" w14:textId="77777777" w:rsidR="002E7D08" w:rsidRPr="00116333" w:rsidRDefault="002E7D08" w:rsidP="00680D1E">
            <w:pPr>
              <w:jc w:val="right"/>
              <w:rPr>
                <w:rFonts w:eastAsia="Times New Roman" w:cstheme="minorHAnsi"/>
                <w:sz w:val="22"/>
                <w:szCs w:val="22"/>
                <w:lang w:val="en-US"/>
              </w:rPr>
            </w:pPr>
            <w:r w:rsidRPr="00116333">
              <w:rPr>
                <w:rFonts w:eastAsia="Times New Roman" w:cstheme="minorHAnsi"/>
                <w:sz w:val="22"/>
                <w:szCs w:val="22"/>
                <w:lang w:val="en-US"/>
              </w:rPr>
              <w:t>7.80</w:t>
            </w:r>
          </w:p>
        </w:tc>
        <w:tc>
          <w:tcPr>
            <w:tcW w:w="4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49962A" w14:textId="77777777" w:rsidR="002E7D08" w:rsidRPr="00116333" w:rsidRDefault="002E7D08" w:rsidP="00680D1E">
            <w:pPr>
              <w:rPr>
                <w:rFonts w:eastAsia="Times New Roman" w:cstheme="minorHAnsi"/>
                <w:sz w:val="22"/>
                <w:szCs w:val="22"/>
                <w:vertAlign w:val="superscript"/>
                <w:lang w:val="en-US"/>
              </w:rPr>
            </w:pPr>
          </w:p>
          <w:p w14:paraId="5412C214" w14:textId="77777777" w:rsidR="002E7D08" w:rsidRPr="00116333" w:rsidRDefault="002E7D08" w:rsidP="00680D1E">
            <w:pPr>
              <w:rPr>
                <w:rFonts w:eastAsia="Times New Roman" w:cstheme="minorHAnsi"/>
                <w:sz w:val="22"/>
                <w:szCs w:val="22"/>
                <w:lang w:val="en-US"/>
              </w:rPr>
            </w:pPr>
            <w:r w:rsidRPr="00116333">
              <w:rPr>
                <w:rFonts w:eastAsia="Times New Roman" w:cstheme="minorHAnsi"/>
                <w:sz w:val="22"/>
                <w:szCs w:val="22"/>
                <w:vertAlign w:val="superscript"/>
                <w:lang w:val="en-US"/>
              </w:rPr>
              <w:t>***</w:t>
            </w:r>
          </w:p>
        </w:tc>
        <w:tc>
          <w:tcPr>
            <w:tcW w:w="10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C6250" w14:textId="77777777" w:rsidR="002E7D08" w:rsidRPr="00116333" w:rsidRDefault="002E7D08" w:rsidP="00680D1E">
            <w:pPr>
              <w:jc w:val="center"/>
              <w:rPr>
                <w:rFonts w:eastAsia="Times New Roman" w:cstheme="minorHAnsi"/>
                <w:sz w:val="22"/>
                <w:szCs w:val="22"/>
                <w:lang w:val="en-US"/>
              </w:rPr>
            </w:pPr>
          </w:p>
          <w:p w14:paraId="66448A3A" w14:textId="77777777" w:rsidR="002E7D08" w:rsidRPr="00116333" w:rsidRDefault="002E7D08" w:rsidP="00680D1E">
            <w:pPr>
              <w:jc w:val="center"/>
              <w:rPr>
                <w:rFonts w:eastAsia="Times New Roman" w:cstheme="minorHAnsi"/>
                <w:sz w:val="22"/>
                <w:szCs w:val="22"/>
                <w:lang w:val="en-US"/>
              </w:rPr>
            </w:pPr>
            <w:r w:rsidRPr="00116333">
              <w:rPr>
                <w:rFonts w:eastAsia="Times New Roman" w:cstheme="minorHAnsi"/>
                <w:sz w:val="22"/>
                <w:szCs w:val="22"/>
                <w:lang w:val="en-US"/>
              </w:rPr>
              <w:t>0.035</w:t>
            </w:r>
          </w:p>
        </w:tc>
      </w:tr>
    </w:tbl>
    <w:p w14:paraId="48C5D4AA" w14:textId="4BC76200" w:rsidR="00276AC9" w:rsidRPr="00116333" w:rsidRDefault="002E7D08" w:rsidP="002E7D08">
      <w:pPr>
        <w:jc w:val="both"/>
        <w:rPr>
          <w:rFonts w:cstheme="minorHAnsi"/>
          <w:b/>
          <w:bCs/>
        </w:rPr>
      </w:pPr>
      <w:r w:rsidRPr="00116333">
        <w:rPr>
          <w:rFonts w:cstheme="minorHAnsi"/>
          <w:sz w:val="20"/>
          <w:szCs w:val="20"/>
        </w:rPr>
        <w:t xml:space="preserve">Note: *** and ** denote statistical significance at the 1% and 5% levels, respectively. Standard Errors among brackets </w:t>
      </w:r>
    </w:p>
    <w:sectPr w:rsidR="00276AC9" w:rsidRPr="00116333" w:rsidSect="00EF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8"/>
    <w:rsid w:val="00001479"/>
    <w:rsid w:val="000512F7"/>
    <w:rsid w:val="00116333"/>
    <w:rsid w:val="00152568"/>
    <w:rsid w:val="00276AC9"/>
    <w:rsid w:val="002E7D08"/>
    <w:rsid w:val="00661833"/>
    <w:rsid w:val="007C6D49"/>
    <w:rsid w:val="00AE3942"/>
    <w:rsid w:val="00CC7BC7"/>
    <w:rsid w:val="00CD7785"/>
    <w:rsid w:val="00EA1E15"/>
    <w:rsid w:val="00EF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A4276"/>
  <w15:chartTrackingRefBased/>
  <w15:docId w15:val="{C4CBED6F-B30B-B646-BCC9-1FB87ED3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0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uiPriority w:val="7"/>
    <w:qFormat/>
    <w:rsid w:val="00AE3942"/>
    <w:pPr>
      <w:pBdr>
        <w:top w:val="single" w:sz="4" w:space="1" w:color="auto"/>
        <w:left w:val="single" w:sz="4" w:space="1" w:color="auto"/>
        <w:bottom w:val="single" w:sz="4" w:space="1" w:color="auto"/>
        <w:right w:val="single" w:sz="4" w:space="1" w:color="auto"/>
        <w:between w:val="single" w:sz="4" w:space="1" w:color="auto"/>
        <w:bar w:val="single" w:sz="4" w:color="auto"/>
      </w:pBdr>
      <w:spacing w:before="120"/>
      <w:jc w:val="both"/>
    </w:pPr>
    <w:rPr>
      <w:i/>
      <w:iCs/>
      <w:color w:val="4472C4" w:themeColor="accent1"/>
      <w:spacing w:val="40"/>
      <w:kern w:val="28"/>
      <w:sz w:val="28"/>
      <w:szCs w:val="22"/>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Jephson, Erin Urquhart (GSFC-616.0)[SCIENCE SYSTEMS AND APPLICATIONS INC]</dc:creator>
  <cp:keywords/>
  <dc:description/>
  <cp:lastModifiedBy>Jephson, Erin Urquhart (GSFC-616.0)[SCIENCE SYSTEMS AND APPLICATIONS INC]</cp:lastModifiedBy>
  <cp:revision>2</cp:revision>
  <dcterms:created xsi:type="dcterms:W3CDTF">2022-10-05T12:46:00Z</dcterms:created>
  <dcterms:modified xsi:type="dcterms:W3CDTF">2022-10-05T12:48:00Z</dcterms:modified>
</cp:coreProperties>
</file>