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2DB5C" w14:textId="77777777" w:rsidR="00966C2F" w:rsidRPr="00C7014F" w:rsidRDefault="00966C2F" w:rsidP="00966C2F">
      <w:pPr>
        <w:pStyle w:val="MDPI13authornames"/>
        <w:spacing w:line="240" w:lineRule="auto"/>
        <w:rPr>
          <w:snapToGrid w:val="0"/>
          <w:color w:val="auto"/>
          <w:sz w:val="36"/>
          <w:szCs w:val="20"/>
        </w:rPr>
      </w:pPr>
      <w:r w:rsidRPr="00C7014F">
        <w:rPr>
          <w:snapToGrid w:val="0"/>
          <w:color w:val="auto"/>
          <w:sz w:val="36"/>
          <w:szCs w:val="20"/>
        </w:rPr>
        <w:t>Calibration Inter-comparison of MODIS and VIIRS Reflective Solar Bands Using Lunar Observations</w:t>
      </w:r>
    </w:p>
    <w:p w14:paraId="7605FE08" w14:textId="77777777" w:rsidR="00966C2F" w:rsidRPr="00C7014F" w:rsidRDefault="00966C2F" w:rsidP="00966C2F">
      <w:pPr>
        <w:pStyle w:val="MDPI13authornames"/>
        <w:spacing w:line="240" w:lineRule="auto"/>
        <w:rPr>
          <w:color w:val="auto"/>
        </w:rPr>
      </w:pPr>
      <w:r w:rsidRPr="00C7014F">
        <w:rPr>
          <w:color w:val="auto"/>
        </w:rPr>
        <w:t>Xiaoxiong Xiong</w:t>
      </w:r>
      <w:r w:rsidRPr="00C7014F">
        <w:rPr>
          <w:color w:val="auto"/>
          <w:vertAlign w:val="superscript"/>
        </w:rPr>
        <w:t>1</w:t>
      </w:r>
      <w:r w:rsidRPr="00C7014F">
        <w:rPr>
          <w:color w:val="auto"/>
        </w:rPr>
        <w:t>, Junqiang Sun</w:t>
      </w:r>
      <w:r w:rsidRPr="00C7014F">
        <w:rPr>
          <w:color w:val="auto"/>
          <w:vertAlign w:val="superscript"/>
        </w:rPr>
        <w:t>2</w:t>
      </w:r>
      <w:r w:rsidRPr="00C7014F">
        <w:rPr>
          <w:color w:val="auto"/>
        </w:rPr>
        <w:t>, Amit Angal*</w:t>
      </w:r>
      <w:r w:rsidRPr="00C7014F">
        <w:rPr>
          <w:color w:val="auto"/>
          <w:vertAlign w:val="superscript"/>
        </w:rPr>
        <w:t>2</w:t>
      </w:r>
      <w:r w:rsidRPr="00C7014F">
        <w:rPr>
          <w:color w:val="auto"/>
        </w:rPr>
        <w:t xml:space="preserve">, </w:t>
      </w:r>
      <w:r w:rsidR="00037515" w:rsidRPr="00C7014F">
        <w:rPr>
          <w:color w:val="auto"/>
        </w:rPr>
        <w:t xml:space="preserve">and </w:t>
      </w:r>
      <w:r w:rsidRPr="00C7014F">
        <w:rPr>
          <w:color w:val="auto"/>
        </w:rPr>
        <w:t>Truman Wilson</w:t>
      </w:r>
      <w:r w:rsidRPr="00C7014F">
        <w:rPr>
          <w:color w:val="auto"/>
          <w:vertAlign w:val="superscript"/>
        </w:rPr>
        <w:t>2</w:t>
      </w:r>
    </w:p>
    <w:p w14:paraId="5EEF8026" w14:textId="77777777" w:rsidR="00966C2F" w:rsidRPr="00C7014F" w:rsidRDefault="00966C2F" w:rsidP="00966C2F">
      <w:pPr>
        <w:pStyle w:val="MDPI16affiliation"/>
        <w:spacing w:line="240" w:lineRule="auto"/>
        <w:rPr>
          <w:color w:val="auto"/>
        </w:rPr>
      </w:pPr>
      <w:r w:rsidRPr="00C7014F">
        <w:rPr>
          <w:color w:val="auto"/>
          <w:vertAlign w:val="superscript"/>
        </w:rPr>
        <w:t>1</w:t>
      </w:r>
      <w:r w:rsidRPr="00C7014F">
        <w:rPr>
          <w:color w:val="auto"/>
        </w:rPr>
        <w:tab/>
        <w:t xml:space="preserve">Sciences and Exploration Directorate, NASA/GSFC, Greenbelt, MD 20771, USA </w:t>
      </w:r>
    </w:p>
    <w:p w14:paraId="25142CC4" w14:textId="77777777" w:rsidR="00966C2F" w:rsidRPr="00C7014F" w:rsidRDefault="00966C2F" w:rsidP="00966C2F">
      <w:pPr>
        <w:pStyle w:val="MDPI16affiliation"/>
        <w:spacing w:line="240" w:lineRule="auto"/>
        <w:rPr>
          <w:color w:val="auto"/>
        </w:rPr>
      </w:pPr>
      <w:r w:rsidRPr="00C7014F">
        <w:rPr>
          <w:color w:val="auto"/>
          <w:vertAlign w:val="superscript"/>
        </w:rPr>
        <w:t>2</w:t>
      </w:r>
      <w:r w:rsidRPr="00C7014F">
        <w:rPr>
          <w:color w:val="auto"/>
        </w:rPr>
        <w:tab/>
        <w:t>Science Systems and Applications Inc., 10210 Greenbelt Road, Lanham, MD 20706, USA</w:t>
      </w:r>
    </w:p>
    <w:p w14:paraId="12061174" w14:textId="77777777" w:rsidR="00966C2F" w:rsidRPr="00C7014F" w:rsidRDefault="00966C2F" w:rsidP="00966C2F">
      <w:pPr>
        <w:pStyle w:val="MDPI16affiliation"/>
        <w:spacing w:line="240" w:lineRule="auto"/>
        <w:rPr>
          <w:color w:val="auto"/>
        </w:rPr>
      </w:pPr>
    </w:p>
    <w:p w14:paraId="0DD8561A" w14:textId="77777777" w:rsidR="00966C2F" w:rsidRPr="00C7014F" w:rsidRDefault="00966C2F" w:rsidP="00966C2F">
      <w:pPr>
        <w:pStyle w:val="MDPI14history"/>
        <w:spacing w:before="0" w:line="240" w:lineRule="auto"/>
        <w:ind w:left="311" w:hanging="198"/>
        <w:rPr>
          <w:color w:val="auto"/>
        </w:rPr>
      </w:pPr>
      <w:r w:rsidRPr="00C7014F">
        <w:rPr>
          <w:b/>
          <w:color w:val="auto"/>
        </w:rPr>
        <w:t>*</w:t>
      </w:r>
      <w:r w:rsidRPr="00C7014F">
        <w:rPr>
          <w:color w:val="auto"/>
        </w:rPr>
        <w:tab/>
        <w:t xml:space="preserve">Correspondence: amit.angal@ssaihq.com </w:t>
      </w:r>
    </w:p>
    <w:p w14:paraId="3F6BD772" w14:textId="77777777" w:rsidR="00966C2F" w:rsidRPr="00C7014F" w:rsidRDefault="00966C2F" w:rsidP="00966C2F">
      <w:pPr>
        <w:pStyle w:val="MDPI14history"/>
        <w:spacing w:line="240" w:lineRule="auto"/>
        <w:rPr>
          <w:color w:val="auto"/>
        </w:rPr>
      </w:pPr>
      <w:r w:rsidRPr="00C7014F">
        <w:rPr>
          <w:color w:val="auto"/>
        </w:rPr>
        <w:t>Received: date; Accepted: date; Published: date</w:t>
      </w:r>
    </w:p>
    <w:p w14:paraId="27350C81" w14:textId="68FE2094" w:rsidR="00966C2F" w:rsidRPr="00C7014F" w:rsidRDefault="00966C2F" w:rsidP="008D4B99">
      <w:pPr>
        <w:pStyle w:val="MDPI17abstract"/>
        <w:spacing w:line="240" w:lineRule="auto"/>
        <w:rPr>
          <w:color w:val="auto"/>
        </w:rPr>
      </w:pPr>
      <w:r w:rsidRPr="00C7014F">
        <w:rPr>
          <w:b/>
          <w:color w:val="auto"/>
        </w:rPr>
        <w:t xml:space="preserve">Abstract: </w:t>
      </w:r>
      <w:r w:rsidRPr="00C7014F">
        <w:rPr>
          <w:color w:val="auto"/>
        </w:rPr>
        <w:t xml:space="preserve">Multispectral band observations from Terra and Aqua MODIS, launched in December 1999 and May 2002, respectively, and from </w:t>
      </w:r>
      <w:r w:rsidR="00A73C88" w:rsidRPr="00C7014F">
        <w:rPr>
          <w:color w:val="auto"/>
        </w:rPr>
        <w:t>SNPP</w:t>
      </w:r>
      <w:r w:rsidRPr="00C7014F">
        <w:rPr>
          <w:color w:val="auto"/>
        </w:rPr>
        <w:t xml:space="preserve"> and NOAA-20 VIIRS, launched in November 2011 and October 2017, respectively, have continuously enabled a broad range of </w:t>
      </w:r>
      <w:r w:rsidR="00CC4539" w:rsidRPr="00C7014F">
        <w:rPr>
          <w:color w:val="auto"/>
        </w:rPr>
        <w:t xml:space="preserve">applications and </w:t>
      </w:r>
      <w:r w:rsidRPr="00C7014F">
        <w:rPr>
          <w:color w:val="auto"/>
        </w:rPr>
        <w:t xml:space="preserve">studies of the </w:t>
      </w:r>
      <w:r w:rsidR="001451E4" w:rsidRPr="00C7014F">
        <w:rPr>
          <w:color w:val="auto"/>
        </w:rPr>
        <w:t xml:space="preserve">Earth </w:t>
      </w:r>
      <w:r w:rsidRPr="00C7014F">
        <w:rPr>
          <w:color w:val="auto"/>
        </w:rPr>
        <w:t xml:space="preserve">system and its </w:t>
      </w:r>
      <w:r w:rsidR="00872C06" w:rsidRPr="00C7014F">
        <w:rPr>
          <w:color w:val="auto"/>
        </w:rPr>
        <w:t xml:space="preserve">changes via a set of </w:t>
      </w:r>
      <w:r w:rsidR="000538EC" w:rsidRPr="00C7014F">
        <w:rPr>
          <w:color w:val="auto"/>
        </w:rPr>
        <w:t xml:space="preserve">geophysical and </w:t>
      </w:r>
      <w:r w:rsidRPr="00C7014F">
        <w:rPr>
          <w:color w:val="auto"/>
        </w:rPr>
        <w:t xml:space="preserve">environmental parameters. The quality of MODIS and VIIRS </w:t>
      </w:r>
      <w:r w:rsidR="00872C06" w:rsidRPr="00C7014F">
        <w:rPr>
          <w:color w:val="auto"/>
        </w:rPr>
        <w:t xml:space="preserve">science and environmental </w:t>
      </w:r>
      <w:r w:rsidRPr="00C7014F">
        <w:rPr>
          <w:color w:val="auto"/>
        </w:rPr>
        <w:t xml:space="preserve">data products relies strongly on </w:t>
      </w:r>
      <w:r w:rsidR="00CC4539" w:rsidRPr="00C7014F">
        <w:rPr>
          <w:color w:val="auto"/>
        </w:rPr>
        <w:t xml:space="preserve">the </w:t>
      </w:r>
      <w:r w:rsidRPr="00C7014F">
        <w:rPr>
          <w:color w:val="auto"/>
        </w:rPr>
        <w:t>calibration accuracy and stability</w:t>
      </w:r>
      <w:r w:rsidR="00CC4539" w:rsidRPr="00C7014F">
        <w:rPr>
          <w:color w:val="auto"/>
        </w:rPr>
        <w:t xml:space="preserve"> of individual sensors</w:t>
      </w:r>
      <w:r w:rsidRPr="00C7014F">
        <w:rPr>
          <w:color w:val="auto"/>
        </w:rPr>
        <w:t xml:space="preserve">, as well as </w:t>
      </w:r>
      <w:r w:rsidR="00872C06" w:rsidRPr="00C7014F">
        <w:rPr>
          <w:color w:val="auto"/>
        </w:rPr>
        <w:t>the</w:t>
      </w:r>
      <w:r w:rsidR="00CC4539" w:rsidRPr="00C7014F">
        <w:rPr>
          <w:color w:val="auto"/>
        </w:rPr>
        <w:t>ir</w:t>
      </w:r>
      <w:r w:rsidR="00CB2B9F" w:rsidRPr="00C7014F">
        <w:rPr>
          <w:color w:val="auto"/>
        </w:rPr>
        <w:t xml:space="preserve"> </w:t>
      </w:r>
      <w:r w:rsidRPr="00C7014F">
        <w:rPr>
          <w:color w:val="auto"/>
        </w:rPr>
        <w:t xml:space="preserve">calibration consistency, especially for the </w:t>
      </w:r>
      <w:r w:rsidR="00CC4539" w:rsidRPr="00C7014F">
        <w:rPr>
          <w:color w:val="auto"/>
        </w:rPr>
        <w:t xml:space="preserve">data </w:t>
      </w:r>
      <w:r w:rsidRPr="00C7014F">
        <w:rPr>
          <w:color w:val="auto"/>
        </w:rPr>
        <w:t>products</w:t>
      </w:r>
      <w:r w:rsidR="00CC4539" w:rsidRPr="00C7014F">
        <w:rPr>
          <w:color w:val="auto"/>
        </w:rPr>
        <w:t xml:space="preserve"> </w:t>
      </w:r>
      <w:r w:rsidRPr="00C7014F">
        <w:rPr>
          <w:color w:val="auto"/>
        </w:rPr>
        <w:t xml:space="preserve">generated </w:t>
      </w:r>
      <w:r w:rsidR="00CC4539" w:rsidRPr="00C7014F">
        <w:rPr>
          <w:color w:val="auto"/>
        </w:rPr>
        <w:t xml:space="preserve">using observations </w:t>
      </w:r>
      <w:r w:rsidRPr="00C7014F">
        <w:rPr>
          <w:color w:val="auto"/>
        </w:rPr>
        <w:t xml:space="preserve">from </w:t>
      </w:r>
      <w:r w:rsidR="00FE0E2F" w:rsidRPr="00C7014F">
        <w:rPr>
          <w:color w:val="auto"/>
        </w:rPr>
        <w:t>sensors across different platforms</w:t>
      </w:r>
      <w:r w:rsidRPr="00C7014F">
        <w:rPr>
          <w:color w:val="auto"/>
        </w:rPr>
        <w:t xml:space="preserve">. Both MODIS and VIIRS instruments carry a similar set of on-board calibrators for their on-orbit calibration. Besides, lunar observations are regularly scheduled and </w:t>
      </w:r>
      <w:r w:rsidR="00CC4539" w:rsidRPr="00C7014F">
        <w:rPr>
          <w:color w:val="auto"/>
        </w:rPr>
        <w:t>implemented</w:t>
      </w:r>
      <w:r w:rsidRPr="00C7014F">
        <w:rPr>
          <w:color w:val="auto"/>
        </w:rPr>
        <w:t xml:space="preserve"> in support of the</w:t>
      </w:r>
      <w:r w:rsidR="00025B03" w:rsidRPr="00C7014F">
        <w:rPr>
          <w:color w:val="auto"/>
        </w:rPr>
        <w:t>ir</w:t>
      </w:r>
      <w:r w:rsidRPr="00C7014F">
        <w:rPr>
          <w:color w:val="auto"/>
        </w:rPr>
        <w:t xml:space="preserve"> reflective solar bands (RSB) calibration</w:t>
      </w:r>
      <w:r w:rsidR="00025B03" w:rsidRPr="00C7014F">
        <w:rPr>
          <w:color w:val="auto"/>
        </w:rPr>
        <w:t>, especially their long-term stability monitoring</w:t>
      </w:r>
      <w:r w:rsidRPr="00C7014F">
        <w:rPr>
          <w:color w:val="auto"/>
        </w:rPr>
        <w:t xml:space="preserve">. In this paper, we provide an overview of MODIS and VIIRS solar and lunar calibration methodologies </w:t>
      </w:r>
      <w:r w:rsidR="006035F4" w:rsidRPr="00C7014F">
        <w:rPr>
          <w:color w:val="auto"/>
        </w:rPr>
        <w:t>applied</w:t>
      </w:r>
      <w:r w:rsidRPr="00C7014F">
        <w:rPr>
          <w:color w:val="auto"/>
        </w:rPr>
        <w:t xml:space="preserve"> for the RSB on-orbit calibrat</w:t>
      </w:r>
      <w:r w:rsidR="006035F4" w:rsidRPr="00C7014F">
        <w:rPr>
          <w:color w:val="auto"/>
        </w:rPr>
        <w:t>ion, and describe the approach</w:t>
      </w:r>
      <w:r w:rsidRPr="00C7014F">
        <w:rPr>
          <w:color w:val="auto"/>
        </w:rPr>
        <w:t xml:space="preserve"> developed for their calibration inter-comparisons </w:t>
      </w:r>
      <w:r w:rsidR="00CC4539" w:rsidRPr="00C7014F">
        <w:rPr>
          <w:color w:val="auto"/>
        </w:rPr>
        <w:t>using</w:t>
      </w:r>
      <w:r w:rsidRPr="00C7014F">
        <w:rPr>
          <w:color w:val="auto"/>
        </w:rPr>
        <w:t xml:space="preserve"> lunar observations</w:t>
      </w:r>
      <w:r w:rsidR="003D1CE0" w:rsidRPr="00C7014F">
        <w:rPr>
          <w:color w:val="auto"/>
        </w:rPr>
        <w:t>, including</w:t>
      </w:r>
      <w:r w:rsidR="00CB2B9F" w:rsidRPr="00C7014F">
        <w:rPr>
          <w:color w:val="auto"/>
        </w:rPr>
        <w:t xml:space="preserve"> </w:t>
      </w:r>
      <w:r w:rsidRPr="00C7014F">
        <w:rPr>
          <w:color w:val="auto"/>
        </w:rPr>
        <w:t xml:space="preserve">corrections </w:t>
      </w:r>
      <w:r w:rsidR="00802D0F" w:rsidRPr="00C7014F">
        <w:rPr>
          <w:color w:val="auto"/>
        </w:rPr>
        <w:t>for</w:t>
      </w:r>
      <w:r w:rsidRPr="00C7014F">
        <w:rPr>
          <w:color w:val="auto"/>
        </w:rPr>
        <w:t xml:space="preserve"> the effects </w:t>
      </w:r>
      <w:r w:rsidR="00C06861" w:rsidRPr="00C7014F">
        <w:rPr>
          <w:color w:val="auto"/>
        </w:rPr>
        <w:t>caused by differences in the relative spectral response and adopted solar spectra between individual sensors.</w:t>
      </w:r>
      <w:r w:rsidRPr="00C7014F">
        <w:rPr>
          <w:color w:val="auto"/>
        </w:rPr>
        <w:t xml:space="preserve"> </w:t>
      </w:r>
      <w:r w:rsidR="00474BED" w:rsidRPr="00C7014F">
        <w:rPr>
          <w:color w:val="auto"/>
        </w:rPr>
        <w:t xml:space="preserve">The </w:t>
      </w:r>
      <w:r w:rsidR="00FC0D1A" w:rsidRPr="00C7014F">
        <w:rPr>
          <w:color w:val="auto"/>
        </w:rPr>
        <w:t xml:space="preserve">MODIS and VIIRS calibration inter-comparison results derived from </w:t>
      </w:r>
      <w:r w:rsidR="00802D0F" w:rsidRPr="00C7014F">
        <w:rPr>
          <w:color w:val="auto"/>
        </w:rPr>
        <w:t xml:space="preserve">their regularly scheduled </w:t>
      </w:r>
      <w:r w:rsidR="00FC0D1A" w:rsidRPr="00C7014F">
        <w:rPr>
          <w:color w:val="auto"/>
        </w:rPr>
        <w:t xml:space="preserve">lunar observations </w:t>
      </w:r>
      <w:r w:rsidR="00FD6382" w:rsidRPr="00C7014F">
        <w:rPr>
          <w:color w:val="auto"/>
        </w:rPr>
        <w:t xml:space="preserve">are </w:t>
      </w:r>
      <w:r w:rsidR="00474BED" w:rsidRPr="00C7014F">
        <w:rPr>
          <w:color w:val="auto"/>
        </w:rPr>
        <w:t xml:space="preserve">presented and </w:t>
      </w:r>
      <w:r w:rsidR="003C1E40" w:rsidRPr="00C7014F">
        <w:rPr>
          <w:color w:val="auto"/>
        </w:rPr>
        <w:t xml:space="preserve">discussed, including associated uncertainties and a </w:t>
      </w:r>
      <w:r w:rsidR="00474BED" w:rsidRPr="00C7014F">
        <w:rPr>
          <w:color w:val="auto"/>
        </w:rPr>
        <w:t>c</w:t>
      </w:r>
      <w:r w:rsidR="003C1E40" w:rsidRPr="00C7014F">
        <w:rPr>
          <w:color w:val="auto"/>
        </w:rPr>
        <w:t>omparison</w:t>
      </w:r>
      <w:r w:rsidR="00FD6382" w:rsidRPr="00C7014F">
        <w:rPr>
          <w:color w:val="auto"/>
        </w:rPr>
        <w:t xml:space="preserve"> </w:t>
      </w:r>
      <w:r w:rsidR="00E911F0" w:rsidRPr="00C7014F">
        <w:rPr>
          <w:color w:val="auto"/>
        </w:rPr>
        <w:t>with</w:t>
      </w:r>
      <w:r w:rsidRPr="00C7014F">
        <w:rPr>
          <w:color w:val="auto"/>
        </w:rPr>
        <w:t xml:space="preserve"> </w:t>
      </w:r>
      <w:r w:rsidR="001451E4" w:rsidRPr="00C7014F">
        <w:rPr>
          <w:color w:val="auto"/>
        </w:rPr>
        <w:t xml:space="preserve">those </w:t>
      </w:r>
      <w:r w:rsidRPr="00C7014F">
        <w:rPr>
          <w:color w:val="auto"/>
        </w:rPr>
        <w:t xml:space="preserve">derived </w:t>
      </w:r>
      <w:r w:rsidR="00802D0F" w:rsidRPr="00C7014F">
        <w:rPr>
          <w:color w:val="auto"/>
        </w:rPr>
        <w:t>using the Earth</w:t>
      </w:r>
      <w:r w:rsidR="00C10ECC" w:rsidRPr="00C7014F">
        <w:rPr>
          <w:color w:val="auto"/>
        </w:rPr>
        <w:t>-</w:t>
      </w:r>
      <w:r w:rsidR="00802D0F" w:rsidRPr="00C7014F">
        <w:rPr>
          <w:color w:val="auto"/>
        </w:rPr>
        <w:t xml:space="preserve">view </w:t>
      </w:r>
      <w:r w:rsidR="00FC0D1A" w:rsidRPr="00C7014F">
        <w:rPr>
          <w:color w:val="auto"/>
        </w:rPr>
        <w:t>targets.</w:t>
      </w:r>
      <w:r w:rsidR="00802D0F" w:rsidRPr="00C7014F">
        <w:rPr>
          <w:color w:val="auto"/>
        </w:rPr>
        <w:t xml:space="preserve"> </w:t>
      </w:r>
      <w:r w:rsidR="003D1CE0" w:rsidRPr="00C7014F">
        <w:rPr>
          <w:color w:val="auto"/>
        </w:rPr>
        <w:t xml:space="preserve">Also discussed are </w:t>
      </w:r>
      <w:r w:rsidR="0029448F" w:rsidRPr="00C7014F">
        <w:rPr>
          <w:color w:val="auto"/>
        </w:rPr>
        <w:t>remaining</w:t>
      </w:r>
      <w:r w:rsidR="003D1CE0" w:rsidRPr="00C7014F">
        <w:rPr>
          <w:color w:val="auto"/>
        </w:rPr>
        <w:t xml:space="preserve"> challenges in lunar calibration and inter-comparison for the </w:t>
      </w:r>
      <w:r w:rsidR="001451E4" w:rsidRPr="00C7014F">
        <w:rPr>
          <w:color w:val="auto"/>
        </w:rPr>
        <w:t>E</w:t>
      </w:r>
      <w:r w:rsidR="003D1CE0" w:rsidRPr="00C7014F">
        <w:rPr>
          <w:color w:val="auto"/>
        </w:rPr>
        <w:t>arth-observing sensors</w:t>
      </w:r>
      <w:r w:rsidR="002D79AC" w:rsidRPr="00C7014F">
        <w:rPr>
          <w:color w:val="auto"/>
        </w:rPr>
        <w:t xml:space="preserve">, </w:t>
      </w:r>
      <w:r w:rsidR="001E4B89" w:rsidRPr="00C7014F">
        <w:rPr>
          <w:color w:val="auto"/>
        </w:rPr>
        <w:t>as well as</w:t>
      </w:r>
      <w:r w:rsidR="002D79AC" w:rsidRPr="00C7014F">
        <w:rPr>
          <w:color w:val="auto"/>
        </w:rPr>
        <w:t xml:space="preserve"> on-going efforts for future improvements</w:t>
      </w:r>
      <w:r w:rsidR="003D1CE0" w:rsidRPr="00C7014F">
        <w:rPr>
          <w:color w:val="auto"/>
        </w:rPr>
        <w:t>.</w:t>
      </w:r>
    </w:p>
    <w:p w14:paraId="392D6D68" w14:textId="77777777" w:rsidR="00966C2F" w:rsidRPr="00C7014F" w:rsidRDefault="00966C2F" w:rsidP="00966C2F">
      <w:pPr>
        <w:pStyle w:val="MDPI18keywords"/>
        <w:spacing w:line="240" w:lineRule="auto"/>
        <w:rPr>
          <w:color w:val="auto"/>
        </w:rPr>
      </w:pPr>
      <w:r w:rsidRPr="00C7014F">
        <w:rPr>
          <w:b/>
          <w:color w:val="auto"/>
        </w:rPr>
        <w:t xml:space="preserve">Keywords: </w:t>
      </w:r>
      <w:r w:rsidRPr="00C7014F">
        <w:rPr>
          <w:color w:val="auto"/>
        </w:rPr>
        <w:t xml:space="preserve">MODIS, VIIRS, solar calibration, lunar calibration, calibration inter-comparison, Moon </w:t>
      </w:r>
    </w:p>
    <w:p w14:paraId="1ECAFFA2" w14:textId="77777777" w:rsidR="00966C2F" w:rsidRPr="00C7014F" w:rsidRDefault="00966C2F" w:rsidP="00966C2F">
      <w:pPr>
        <w:pStyle w:val="MDPI19line"/>
        <w:spacing w:line="240" w:lineRule="auto"/>
        <w:rPr>
          <w:color w:val="auto"/>
        </w:rPr>
      </w:pPr>
    </w:p>
    <w:p w14:paraId="6CBD9CF3" w14:textId="77777777" w:rsidR="00966C2F" w:rsidRPr="00C7014F" w:rsidRDefault="00966C2F" w:rsidP="00966C2F">
      <w:pPr>
        <w:pStyle w:val="MDPI21heading1"/>
        <w:spacing w:line="240" w:lineRule="auto"/>
        <w:rPr>
          <w:color w:val="auto"/>
        </w:rPr>
      </w:pPr>
      <w:r w:rsidRPr="00C7014F">
        <w:rPr>
          <w:color w:val="auto"/>
          <w:lang w:eastAsia="zh-CN"/>
        </w:rPr>
        <w:t xml:space="preserve">1. </w:t>
      </w:r>
      <w:r w:rsidR="004A2E39" w:rsidRPr="00C7014F">
        <w:rPr>
          <w:color w:val="auto"/>
          <w:lang w:eastAsia="zh-CN"/>
        </w:rPr>
        <w:t xml:space="preserve">  </w:t>
      </w:r>
      <w:r w:rsidRPr="00C7014F">
        <w:rPr>
          <w:color w:val="auto"/>
        </w:rPr>
        <w:t>Introduction</w:t>
      </w:r>
    </w:p>
    <w:p w14:paraId="413B11D6" w14:textId="13DCE9C1" w:rsidR="00966C2F" w:rsidRPr="00C7014F" w:rsidRDefault="00966C2F" w:rsidP="00966C2F">
      <w:pPr>
        <w:pStyle w:val="MDPI21heading1"/>
        <w:spacing w:line="240" w:lineRule="auto"/>
        <w:jc w:val="both"/>
        <w:rPr>
          <w:b w:val="0"/>
          <w:color w:val="auto"/>
        </w:rPr>
      </w:pPr>
      <w:r w:rsidRPr="00C7014F">
        <w:rPr>
          <w:b w:val="0"/>
          <w:color w:val="auto"/>
        </w:rPr>
        <w:t>Since their launches on December 18, 1999</w:t>
      </w:r>
      <w:r w:rsidR="003112D8" w:rsidRPr="00C7014F">
        <w:rPr>
          <w:b w:val="0"/>
          <w:color w:val="auto"/>
        </w:rPr>
        <w:t>,</w:t>
      </w:r>
      <w:r w:rsidRPr="00C7014F">
        <w:rPr>
          <w:b w:val="0"/>
          <w:color w:val="auto"/>
        </w:rPr>
        <w:t xml:space="preserve"> and May 4, 2002, </w:t>
      </w:r>
      <w:r w:rsidR="006060C9" w:rsidRPr="00C7014F">
        <w:rPr>
          <w:b w:val="0"/>
          <w:color w:val="auto"/>
        </w:rPr>
        <w:t xml:space="preserve">NASA’s </w:t>
      </w:r>
      <w:r w:rsidRPr="00C7014F">
        <w:rPr>
          <w:b w:val="0"/>
          <w:color w:val="auto"/>
        </w:rPr>
        <w:t>Terra and Aqua Moderate Resolution Imaging Spectroradiometer (MODIS) instruments have successfully operated for more than 2</w:t>
      </w:r>
      <w:r w:rsidR="006060C9" w:rsidRPr="00C7014F">
        <w:rPr>
          <w:b w:val="0"/>
          <w:color w:val="auto"/>
        </w:rPr>
        <w:t>2</w:t>
      </w:r>
      <w:r w:rsidRPr="00C7014F">
        <w:rPr>
          <w:b w:val="0"/>
          <w:color w:val="auto"/>
        </w:rPr>
        <w:t xml:space="preserve"> and </w:t>
      </w:r>
      <w:r w:rsidR="006060C9" w:rsidRPr="00C7014F">
        <w:rPr>
          <w:b w:val="0"/>
          <w:color w:val="auto"/>
        </w:rPr>
        <w:t>20</w:t>
      </w:r>
      <w:r w:rsidRPr="00C7014F">
        <w:rPr>
          <w:b w:val="0"/>
          <w:color w:val="auto"/>
        </w:rPr>
        <w:t xml:space="preserve"> years, respectively. MODIS observations, made in 36 spectral bands covering wavelengths from visible (VIS) to long-wave infrared (LWIR), have generated numerous data products that have significantly contributed to the remote sensing community and users worldwide for </w:t>
      </w:r>
      <w:r w:rsidR="00885C96" w:rsidRPr="00C7014F">
        <w:rPr>
          <w:b w:val="0"/>
          <w:color w:val="auto"/>
        </w:rPr>
        <w:t>numerous</w:t>
      </w:r>
      <w:r w:rsidR="006060C9" w:rsidRPr="00C7014F">
        <w:rPr>
          <w:b w:val="0"/>
          <w:color w:val="auto"/>
        </w:rPr>
        <w:t xml:space="preserve"> </w:t>
      </w:r>
      <w:r w:rsidRPr="00C7014F">
        <w:rPr>
          <w:b w:val="0"/>
          <w:color w:val="auto"/>
        </w:rPr>
        <w:t xml:space="preserve">advanced studies of the </w:t>
      </w:r>
      <w:r w:rsidR="001451E4" w:rsidRPr="00C7014F">
        <w:rPr>
          <w:b w:val="0"/>
          <w:color w:val="auto"/>
        </w:rPr>
        <w:t>E</w:t>
      </w:r>
      <w:r w:rsidRPr="00C7014F">
        <w:rPr>
          <w:b w:val="0"/>
          <w:color w:val="auto"/>
        </w:rPr>
        <w:t>arth</w:t>
      </w:r>
      <w:r w:rsidR="002E0161" w:rsidRPr="00C7014F">
        <w:rPr>
          <w:b w:val="0"/>
          <w:color w:val="auto"/>
        </w:rPr>
        <w:t>’s</w:t>
      </w:r>
      <w:r w:rsidRPr="00C7014F">
        <w:rPr>
          <w:b w:val="0"/>
          <w:color w:val="auto"/>
        </w:rPr>
        <w:t xml:space="preserve"> system and its key geophysical and environmental parameters, as well as their changes over </w:t>
      </w:r>
      <w:r w:rsidR="00885C96" w:rsidRPr="00C7014F">
        <w:rPr>
          <w:b w:val="0"/>
          <w:color w:val="auto"/>
        </w:rPr>
        <w:t>various</w:t>
      </w:r>
      <w:r w:rsidRPr="00C7014F">
        <w:rPr>
          <w:b w:val="0"/>
          <w:color w:val="auto"/>
        </w:rPr>
        <w:t xml:space="preserve"> </w:t>
      </w:r>
      <w:r w:rsidR="006060C9" w:rsidRPr="00C7014F">
        <w:rPr>
          <w:b w:val="0"/>
          <w:color w:val="auto"/>
        </w:rPr>
        <w:t>temporal s</w:t>
      </w:r>
      <w:r w:rsidRPr="00C7014F">
        <w:rPr>
          <w:b w:val="0"/>
          <w:color w:val="auto"/>
        </w:rPr>
        <w:t xml:space="preserve">cales and </w:t>
      </w:r>
      <w:r w:rsidR="006060C9" w:rsidRPr="00C7014F">
        <w:rPr>
          <w:b w:val="0"/>
          <w:color w:val="auto"/>
        </w:rPr>
        <w:t xml:space="preserve">geographic </w:t>
      </w:r>
      <w:r w:rsidRPr="00C7014F">
        <w:rPr>
          <w:b w:val="0"/>
          <w:color w:val="auto"/>
        </w:rPr>
        <w:t xml:space="preserve">regions [1-9]. </w:t>
      </w:r>
      <w:r w:rsidR="009A1157" w:rsidRPr="00C7014F">
        <w:rPr>
          <w:b w:val="0"/>
          <w:color w:val="auto"/>
        </w:rPr>
        <w:t>Developed by the same instrument vendor, t</w:t>
      </w:r>
      <w:r w:rsidRPr="00C7014F">
        <w:rPr>
          <w:b w:val="0"/>
          <w:color w:val="auto"/>
        </w:rPr>
        <w:t xml:space="preserve">he Visible Infrared Imaging Radiometer Suite (VIIRS) is a MODIS follow-on </w:t>
      </w:r>
      <w:r w:rsidR="009A1157" w:rsidRPr="00C7014F">
        <w:rPr>
          <w:b w:val="0"/>
          <w:color w:val="auto"/>
        </w:rPr>
        <w:t>sensor</w:t>
      </w:r>
      <w:r w:rsidRPr="00C7014F">
        <w:rPr>
          <w:b w:val="0"/>
          <w:color w:val="auto"/>
        </w:rPr>
        <w:t xml:space="preserve"> designed to </w:t>
      </w:r>
      <w:r w:rsidR="00D51C91" w:rsidRPr="00C7014F">
        <w:rPr>
          <w:b w:val="0"/>
          <w:color w:val="auto"/>
        </w:rPr>
        <w:t xml:space="preserve">further </w:t>
      </w:r>
      <w:r w:rsidRPr="00C7014F">
        <w:rPr>
          <w:b w:val="0"/>
          <w:color w:val="auto"/>
        </w:rPr>
        <w:t xml:space="preserve">extend </w:t>
      </w:r>
      <w:r w:rsidR="00D51C91" w:rsidRPr="00C7014F">
        <w:rPr>
          <w:b w:val="0"/>
          <w:color w:val="auto"/>
        </w:rPr>
        <w:t xml:space="preserve">and improve </w:t>
      </w:r>
      <w:r w:rsidRPr="00C7014F">
        <w:rPr>
          <w:b w:val="0"/>
          <w:color w:val="auto"/>
        </w:rPr>
        <w:t xml:space="preserve">the global observations made by the MODIS instruments as well as many of their </w:t>
      </w:r>
      <w:r w:rsidR="009A1157" w:rsidRPr="00C7014F">
        <w:rPr>
          <w:b w:val="0"/>
          <w:color w:val="auto"/>
        </w:rPr>
        <w:t>environmental</w:t>
      </w:r>
      <w:r w:rsidRPr="00C7014F">
        <w:rPr>
          <w:b w:val="0"/>
          <w:color w:val="auto"/>
        </w:rPr>
        <w:t xml:space="preserve"> products that have </w:t>
      </w:r>
      <w:r w:rsidR="006060C9" w:rsidRPr="00C7014F">
        <w:rPr>
          <w:b w:val="0"/>
          <w:color w:val="auto"/>
        </w:rPr>
        <w:t xml:space="preserve">been </w:t>
      </w:r>
      <w:r w:rsidRPr="00C7014F">
        <w:rPr>
          <w:b w:val="0"/>
          <w:color w:val="auto"/>
        </w:rPr>
        <w:t xml:space="preserve">widely used for </w:t>
      </w:r>
      <w:r w:rsidR="00885C96" w:rsidRPr="00C7014F">
        <w:rPr>
          <w:b w:val="0"/>
          <w:color w:val="auto"/>
        </w:rPr>
        <w:t>comprehensive</w:t>
      </w:r>
      <w:r w:rsidRPr="00C7014F">
        <w:rPr>
          <w:b w:val="0"/>
          <w:color w:val="auto"/>
        </w:rPr>
        <w:t xml:space="preserve"> studies of the Earth’s </w:t>
      </w:r>
      <w:r w:rsidR="009A1157" w:rsidRPr="00C7014F">
        <w:rPr>
          <w:b w:val="0"/>
          <w:color w:val="auto"/>
        </w:rPr>
        <w:t xml:space="preserve">system of </w:t>
      </w:r>
      <w:r w:rsidRPr="00C7014F">
        <w:rPr>
          <w:b w:val="0"/>
          <w:color w:val="auto"/>
        </w:rPr>
        <w:t>land, oceans, and atmosphere [10-1</w:t>
      </w:r>
      <w:r w:rsidR="005C7D01" w:rsidRPr="00C7014F">
        <w:rPr>
          <w:b w:val="0"/>
          <w:color w:val="auto"/>
        </w:rPr>
        <w:t>8</w:t>
      </w:r>
      <w:r w:rsidRPr="00C7014F">
        <w:rPr>
          <w:b w:val="0"/>
          <w:color w:val="auto"/>
        </w:rPr>
        <w:t>]. To date, two VIIRS instruments have successfully operated onboard the</w:t>
      </w:r>
      <w:r w:rsidRPr="00C7014F">
        <w:rPr>
          <w:color w:val="auto"/>
        </w:rPr>
        <w:t xml:space="preserve"> </w:t>
      </w:r>
      <w:r w:rsidRPr="00C7014F">
        <w:rPr>
          <w:b w:val="0"/>
          <w:color w:val="auto"/>
        </w:rPr>
        <w:t>Suomi National Polar-Orbiting Partnership (</w:t>
      </w:r>
      <w:r w:rsidR="00A73C88" w:rsidRPr="00C7014F">
        <w:rPr>
          <w:b w:val="0"/>
          <w:color w:val="auto"/>
        </w:rPr>
        <w:t>SNPP</w:t>
      </w:r>
      <w:r w:rsidRPr="00C7014F">
        <w:rPr>
          <w:b w:val="0"/>
          <w:color w:val="auto"/>
        </w:rPr>
        <w:t>) and NOAA-20 (</w:t>
      </w:r>
      <w:r w:rsidR="00A73C88" w:rsidRPr="00C7014F">
        <w:rPr>
          <w:b w:val="0"/>
          <w:color w:val="auto"/>
        </w:rPr>
        <w:t>N20</w:t>
      </w:r>
      <w:r w:rsidRPr="00C7014F">
        <w:rPr>
          <w:b w:val="0"/>
          <w:color w:val="auto"/>
        </w:rPr>
        <w:t>) satellites</w:t>
      </w:r>
      <w:r w:rsidR="009A1157" w:rsidRPr="00C7014F">
        <w:rPr>
          <w:b w:val="0"/>
          <w:color w:val="auto"/>
        </w:rPr>
        <w:t xml:space="preserve"> for </w:t>
      </w:r>
      <w:r w:rsidR="009B094B" w:rsidRPr="00C7014F">
        <w:rPr>
          <w:b w:val="0"/>
          <w:color w:val="auto"/>
        </w:rPr>
        <w:t>more than</w:t>
      </w:r>
      <w:r w:rsidR="009A1157" w:rsidRPr="00C7014F">
        <w:rPr>
          <w:b w:val="0"/>
          <w:color w:val="auto"/>
        </w:rPr>
        <w:t xml:space="preserve"> 10 and 4 years</w:t>
      </w:r>
      <w:r w:rsidR="00E07401" w:rsidRPr="00C7014F">
        <w:rPr>
          <w:b w:val="0"/>
          <w:color w:val="auto"/>
        </w:rPr>
        <w:t xml:space="preserve"> </w:t>
      </w:r>
      <w:r w:rsidRPr="00C7014F">
        <w:rPr>
          <w:b w:val="0"/>
          <w:color w:val="auto"/>
        </w:rPr>
        <w:lastRenderedPageBreak/>
        <w:t xml:space="preserve">since their </w:t>
      </w:r>
      <w:r w:rsidR="00885C96" w:rsidRPr="00C7014F">
        <w:rPr>
          <w:b w:val="0"/>
          <w:color w:val="auto"/>
        </w:rPr>
        <w:t xml:space="preserve">respective </w:t>
      </w:r>
      <w:r w:rsidRPr="00C7014F">
        <w:rPr>
          <w:b w:val="0"/>
          <w:color w:val="auto"/>
        </w:rPr>
        <w:t xml:space="preserve">launches on October 28, 2011 and November 18, 2017. As expected, the scientific value and significance of MODIS and VIIRS observations and their associated applications will </w:t>
      </w:r>
      <w:r w:rsidR="00E07401" w:rsidRPr="00C7014F">
        <w:rPr>
          <w:b w:val="0"/>
          <w:color w:val="auto"/>
        </w:rPr>
        <w:t xml:space="preserve">continue to increase </w:t>
      </w:r>
      <w:r w:rsidRPr="00C7014F">
        <w:rPr>
          <w:b w:val="0"/>
          <w:color w:val="auto"/>
        </w:rPr>
        <w:t>with time</w:t>
      </w:r>
      <w:r w:rsidR="00794891" w:rsidRPr="00C7014F">
        <w:rPr>
          <w:b w:val="0"/>
          <w:color w:val="auto"/>
        </w:rPr>
        <w:t xml:space="preserve">, </w:t>
      </w:r>
      <w:r w:rsidR="00E07401" w:rsidRPr="00C7014F">
        <w:rPr>
          <w:b w:val="0"/>
          <w:color w:val="auto"/>
        </w:rPr>
        <w:t>especially</w:t>
      </w:r>
      <w:r w:rsidR="00794891" w:rsidRPr="00C7014F">
        <w:rPr>
          <w:b w:val="0"/>
          <w:color w:val="auto"/>
        </w:rPr>
        <w:t xml:space="preserve"> with future launches of</w:t>
      </w:r>
      <w:r w:rsidR="00794891" w:rsidRPr="00C7014F">
        <w:rPr>
          <w:color w:val="auto"/>
        </w:rPr>
        <w:t xml:space="preserve"> </w:t>
      </w:r>
      <w:r w:rsidR="00794891" w:rsidRPr="00C7014F">
        <w:rPr>
          <w:b w:val="0"/>
          <w:color w:val="auto"/>
        </w:rPr>
        <w:t xml:space="preserve">three identical VIIRS instruments onboard </w:t>
      </w:r>
      <w:r w:rsidRPr="00C7014F">
        <w:rPr>
          <w:b w:val="0"/>
          <w:color w:val="auto"/>
        </w:rPr>
        <w:t>the Joint Polar Satellite System (JPSS) satellites, JPSS-2, -3, and -4</w:t>
      </w:r>
      <w:r w:rsidR="00794891" w:rsidRPr="00C7014F">
        <w:rPr>
          <w:b w:val="0"/>
          <w:color w:val="auto"/>
        </w:rPr>
        <w:t xml:space="preserve"> within the next ten years. This could potentially </w:t>
      </w:r>
      <w:r w:rsidR="00E07401" w:rsidRPr="00C7014F">
        <w:rPr>
          <w:b w:val="0"/>
          <w:color w:val="auto"/>
        </w:rPr>
        <w:t>allow</w:t>
      </w:r>
      <w:r w:rsidR="00794891" w:rsidRPr="00C7014F">
        <w:rPr>
          <w:b w:val="0"/>
          <w:color w:val="auto"/>
        </w:rPr>
        <w:t xml:space="preserve"> the current data records to </w:t>
      </w:r>
      <w:r w:rsidR="00670190" w:rsidRPr="00C7014F">
        <w:rPr>
          <w:b w:val="0"/>
          <w:color w:val="auto"/>
        </w:rPr>
        <w:t>extend</w:t>
      </w:r>
      <w:r w:rsidRPr="00C7014F">
        <w:rPr>
          <w:b w:val="0"/>
          <w:color w:val="auto"/>
        </w:rPr>
        <w:t xml:space="preserve"> beyond four decades [1</w:t>
      </w:r>
      <w:r w:rsidR="005C7D01" w:rsidRPr="00C7014F">
        <w:rPr>
          <w:b w:val="0"/>
          <w:color w:val="auto"/>
        </w:rPr>
        <w:t>7</w:t>
      </w:r>
      <w:r w:rsidRPr="00C7014F">
        <w:rPr>
          <w:b w:val="0"/>
          <w:color w:val="auto"/>
        </w:rPr>
        <w:t>-1</w:t>
      </w:r>
      <w:r w:rsidR="005C7D01" w:rsidRPr="00C7014F">
        <w:rPr>
          <w:b w:val="0"/>
          <w:color w:val="auto"/>
        </w:rPr>
        <w:t>8</w:t>
      </w:r>
      <w:r w:rsidRPr="00C7014F">
        <w:rPr>
          <w:b w:val="0"/>
          <w:color w:val="auto"/>
        </w:rPr>
        <w:t>].</w:t>
      </w:r>
      <w:r w:rsidR="00DB2E8B" w:rsidRPr="00C7014F">
        <w:rPr>
          <w:b w:val="0"/>
          <w:color w:val="auto"/>
        </w:rPr>
        <w:t xml:space="preserve"> </w:t>
      </w:r>
      <w:r w:rsidR="003A604D" w:rsidRPr="00C7014F">
        <w:rPr>
          <w:b w:val="0"/>
          <w:color w:val="auto"/>
        </w:rPr>
        <w:t>JPSS-2 VIIRS is s</w:t>
      </w:r>
      <w:r w:rsidR="008910C9" w:rsidRPr="00C7014F">
        <w:rPr>
          <w:b w:val="0"/>
          <w:color w:val="auto"/>
        </w:rPr>
        <w:t>chedule</w:t>
      </w:r>
      <w:r w:rsidR="009B094B" w:rsidRPr="00C7014F">
        <w:rPr>
          <w:b w:val="0"/>
          <w:color w:val="auto"/>
        </w:rPr>
        <w:t>d</w:t>
      </w:r>
      <w:r w:rsidR="008910C9" w:rsidRPr="00C7014F">
        <w:rPr>
          <w:b w:val="0"/>
          <w:color w:val="auto"/>
        </w:rPr>
        <w:t xml:space="preserve"> to launch </w:t>
      </w:r>
      <w:r w:rsidR="00D0071B" w:rsidRPr="00C7014F">
        <w:rPr>
          <w:b w:val="0"/>
          <w:color w:val="auto"/>
        </w:rPr>
        <w:t xml:space="preserve">in </w:t>
      </w:r>
      <w:r w:rsidR="00932A3F" w:rsidRPr="00C7014F">
        <w:rPr>
          <w:b w:val="0"/>
          <w:color w:val="auto"/>
        </w:rPr>
        <w:t>November</w:t>
      </w:r>
      <w:r w:rsidR="00D0071B" w:rsidRPr="00C7014F">
        <w:rPr>
          <w:b w:val="0"/>
          <w:color w:val="auto"/>
        </w:rPr>
        <w:t xml:space="preserve"> 2022</w:t>
      </w:r>
      <w:r w:rsidR="003A604D" w:rsidRPr="00C7014F">
        <w:rPr>
          <w:b w:val="0"/>
          <w:color w:val="auto"/>
        </w:rPr>
        <w:t xml:space="preserve"> and </w:t>
      </w:r>
      <w:r w:rsidR="00932A3F" w:rsidRPr="00C7014F">
        <w:rPr>
          <w:b w:val="0"/>
          <w:color w:val="auto"/>
        </w:rPr>
        <w:t xml:space="preserve">has recently completed its </w:t>
      </w:r>
      <w:r w:rsidR="008910C9" w:rsidRPr="00C7014F">
        <w:rPr>
          <w:b w:val="0"/>
          <w:color w:val="auto"/>
        </w:rPr>
        <w:t>spacecraft</w:t>
      </w:r>
      <w:r w:rsidR="00DB2E8B" w:rsidRPr="00C7014F">
        <w:rPr>
          <w:b w:val="0"/>
          <w:color w:val="auto"/>
        </w:rPr>
        <w:t xml:space="preserve">-level </w:t>
      </w:r>
      <w:r w:rsidR="009B094B" w:rsidRPr="00C7014F">
        <w:rPr>
          <w:b w:val="0"/>
          <w:color w:val="auto"/>
        </w:rPr>
        <w:t xml:space="preserve">integration and </w:t>
      </w:r>
      <w:r w:rsidR="00DB2E8B" w:rsidRPr="00C7014F">
        <w:rPr>
          <w:b w:val="0"/>
          <w:color w:val="auto"/>
        </w:rPr>
        <w:t>testing</w:t>
      </w:r>
      <w:r w:rsidR="00D0071B" w:rsidRPr="00C7014F">
        <w:rPr>
          <w:b w:val="0"/>
          <w:color w:val="auto"/>
        </w:rPr>
        <w:t xml:space="preserve"> in the thermal vacuum environment</w:t>
      </w:r>
      <w:r w:rsidR="008910C9" w:rsidRPr="00C7014F">
        <w:rPr>
          <w:b w:val="0"/>
          <w:color w:val="auto"/>
        </w:rPr>
        <w:t>.</w:t>
      </w:r>
    </w:p>
    <w:p w14:paraId="12280674" w14:textId="1A28ABAF" w:rsidR="00966C2F" w:rsidRPr="00C7014F" w:rsidRDefault="00966C2F" w:rsidP="00966C2F">
      <w:pPr>
        <w:pStyle w:val="MDPI21heading1"/>
        <w:spacing w:line="240" w:lineRule="auto"/>
        <w:jc w:val="both"/>
        <w:rPr>
          <w:b w:val="0"/>
          <w:color w:val="auto"/>
        </w:rPr>
      </w:pPr>
      <w:r w:rsidRPr="00C7014F">
        <w:rPr>
          <w:b w:val="0"/>
          <w:color w:val="auto"/>
        </w:rPr>
        <w:t>The quality of MODIS and VIIRS data products depends strongly on their on-orbit calibration accuracy and stability, and their calibration consistency</w:t>
      </w:r>
      <w:r w:rsidR="00100B22" w:rsidRPr="00C7014F">
        <w:rPr>
          <w:b w:val="0"/>
          <w:color w:val="auto"/>
        </w:rPr>
        <w:t xml:space="preserve">, especially </w:t>
      </w:r>
      <w:r w:rsidRPr="00C7014F">
        <w:rPr>
          <w:b w:val="0"/>
          <w:color w:val="auto"/>
        </w:rPr>
        <w:t>for products and applications developed using observations from sensors operated on different satellites</w:t>
      </w:r>
      <w:r w:rsidR="00100B22" w:rsidRPr="00C7014F">
        <w:rPr>
          <w:b w:val="0"/>
          <w:color w:val="auto"/>
        </w:rPr>
        <w:t xml:space="preserve"> or platforms</w:t>
      </w:r>
      <w:r w:rsidRPr="00C7014F">
        <w:rPr>
          <w:b w:val="0"/>
          <w:color w:val="auto"/>
        </w:rPr>
        <w:t xml:space="preserve"> [1</w:t>
      </w:r>
      <w:r w:rsidR="005C7D01" w:rsidRPr="00C7014F">
        <w:rPr>
          <w:b w:val="0"/>
          <w:color w:val="auto"/>
        </w:rPr>
        <w:t>4</w:t>
      </w:r>
      <w:r w:rsidRPr="00C7014F">
        <w:rPr>
          <w:b w:val="0"/>
          <w:color w:val="auto"/>
        </w:rPr>
        <w:t>-1</w:t>
      </w:r>
      <w:r w:rsidR="005C7D01" w:rsidRPr="00C7014F">
        <w:rPr>
          <w:b w:val="0"/>
          <w:color w:val="auto"/>
        </w:rPr>
        <w:t>6, 19-2</w:t>
      </w:r>
      <w:r w:rsidR="00AC5234" w:rsidRPr="00C7014F">
        <w:rPr>
          <w:b w:val="0"/>
          <w:color w:val="auto"/>
        </w:rPr>
        <w:t>3</w:t>
      </w:r>
      <w:r w:rsidRPr="00C7014F">
        <w:rPr>
          <w:b w:val="0"/>
          <w:color w:val="auto"/>
        </w:rPr>
        <w:t xml:space="preserve">]. Both MODIS and VIIRS instruments, designed and built by </w:t>
      </w:r>
      <w:r w:rsidR="001E1627" w:rsidRPr="00C7014F">
        <w:rPr>
          <w:b w:val="0"/>
          <w:color w:val="auto"/>
        </w:rPr>
        <w:t>Raytheon Santa Barbara Remote Sensing (SBRS, located in Goleta, CA) and now Raytheon Intelligence &amp; Space (RIS, located in El Segundo, CA)</w:t>
      </w:r>
      <w:r w:rsidRPr="00C7014F">
        <w:rPr>
          <w:b w:val="0"/>
          <w:color w:val="auto"/>
        </w:rPr>
        <w:t xml:space="preserve">, carry a </w:t>
      </w:r>
      <w:r w:rsidR="001E1627" w:rsidRPr="00C7014F">
        <w:rPr>
          <w:b w:val="0"/>
          <w:color w:val="auto"/>
        </w:rPr>
        <w:t xml:space="preserve">similar </w:t>
      </w:r>
      <w:r w:rsidRPr="00C7014F">
        <w:rPr>
          <w:b w:val="0"/>
          <w:color w:val="auto"/>
        </w:rPr>
        <w:t xml:space="preserve">set of on-board calibrators (OBC) that include a solar diffuser (SD), a solar diffuser stability monitor (SDSM), a blackbody (BB), and a space view (SV) port. </w:t>
      </w:r>
      <w:r w:rsidR="001E1627" w:rsidRPr="00C7014F">
        <w:rPr>
          <w:b w:val="0"/>
          <w:color w:val="auto"/>
        </w:rPr>
        <w:t>MODIS has an additional device, called the Spectroradiometric Calibration Assembly (SRCA</w:t>
      </w:r>
      <w:r w:rsidR="000D72A2" w:rsidRPr="00C7014F">
        <w:rPr>
          <w:b w:val="0"/>
          <w:color w:val="auto"/>
        </w:rPr>
        <w:t>) that</w:t>
      </w:r>
      <w:r w:rsidR="001E1627" w:rsidRPr="00C7014F">
        <w:rPr>
          <w:b w:val="0"/>
          <w:color w:val="auto"/>
        </w:rPr>
        <w:t xml:space="preserve"> was not </w:t>
      </w:r>
      <w:r w:rsidR="000D72A2" w:rsidRPr="00C7014F">
        <w:rPr>
          <w:b w:val="0"/>
          <w:color w:val="auto"/>
        </w:rPr>
        <w:t>included</w:t>
      </w:r>
      <w:r w:rsidR="001E1627" w:rsidRPr="00C7014F">
        <w:rPr>
          <w:b w:val="0"/>
          <w:color w:val="auto"/>
        </w:rPr>
        <w:t xml:space="preserve"> in</w:t>
      </w:r>
      <w:r w:rsidR="000D72A2" w:rsidRPr="00C7014F">
        <w:rPr>
          <w:b w:val="0"/>
          <w:color w:val="auto"/>
        </w:rPr>
        <w:t xml:space="preserve"> VIIRS.</w:t>
      </w:r>
      <w:r w:rsidR="001E1627" w:rsidRPr="00C7014F">
        <w:rPr>
          <w:b w:val="0"/>
          <w:color w:val="auto"/>
        </w:rPr>
        <w:t xml:space="preserve"> </w:t>
      </w:r>
      <w:r w:rsidRPr="00C7014F">
        <w:rPr>
          <w:b w:val="0"/>
          <w:color w:val="auto"/>
        </w:rPr>
        <w:t>The SD/SDSM system is used primarily for the reflective solar bands (RSB) calibration and the BB for the thermal emissive bands (TEB) calibration</w:t>
      </w:r>
      <w:r w:rsidR="00100B22" w:rsidRPr="00C7014F">
        <w:rPr>
          <w:b w:val="0"/>
          <w:color w:val="auto"/>
        </w:rPr>
        <w:t xml:space="preserve">. The dedicated </w:t>
      </w:r>
      <w:r w:rsidRPr="00C7014F">
        <w:rPr>
          <w:b w:val="0"/>
          <w:color w:val="auto"/>
        </w:rPr>
        <w:t xml:space="preserve">SV </w:t>
      </w:r>
      <w:r w:rsidR="00100B22" w:rsidRPr="00C7014F">
        <w:rPr>
          <w:b w:val="0"/>
          <w:color w:val="auto"/>
        </w:rPr>
        <w:t>port provides</w:t>
      </w:r>
      <w:r w:rsidRPr="00C7014F">
        <w:rPr>
          <w:b w:val="0"/>
          <w:color w:val="auto"/>
        </w:rPr>
        <w:t xml:space="preserve"> measur</w:t>
      </w:r>
      <w:r w:rsidR="00100B22" w:rsidRPr="00C7014F">
        <w:rPr>
          <w:b w:val="0"/>
          <w:color w:val="auto"/>
        </w:rPr>
        <w:t xml:space="preserve">ements of instrument background, including thermal background and </w:t>
      </w:r>
      <w:r w:rsidR="000D72A2" w:rsidRPr="00C7014F">
        <w:rPr>
          <w:b w:val="0"/>
          <w:color w:val="auto"/>
        </w:rPr>
        <w:t>detector</w:t>
      </w:r>
      <w:r w:rsidR="00100B22" w:rsidRPr="00C7014F">
        <w:rPr>
          <w:b w:val="0"/>
          <w:color w:val="auto"/>
        </w:rPr>
        <w:t xml:space="preserve"> </w:t>
      </w:r>
      <w:r w:rsidR="000D72A2" w:rsidRPr="00C7014F">
        <w:rPr>
          <w:b w:val="0"/>
          <w:color w:val="auto"/>
        </w:rPr>
        <w:t xml:space="preserve">or electronic </w:t>
      </w:r>
      <w:r w:rsidR="00100B22" w:rsidRPr="00C7014F">
        <w:rPr>
          <w:b w:val="0"/>
          <w:color w:val="auto"/>
        </w:rPr>
        <w:t xml:space="preserve">offsets, </w:t>
      </w:r>
      <w:r w:rsidRPr="00C7014F">
        <w:rPr>
          <w:b w:val="0"/>
          <w:color w:val="auto"/>
        </w:rPr>
        <w:t xml:space="preserve">on a scan-by-scan basis [10, </w:t>
      </w:r>
      <w:r w:rsidR="00D7425C" w:rsidRPr="00C7014F">
        <w:rPr>
          <w:b w:val="0"/>
          <w:color w:val="auto"/>
        </w:rPr>
        <w:t>24-26</w:t>
      </w:r>
      <w:r w:rsidRPr="00C7014F">
        <w:rPr>
          <w:b w:val="0"/>
          <w:color w:val="auto"/>
        </w:rPr>
        <w:t>]. Twenty of the 36 MODIS spectral bands (bands 1-19 and 26) are the RSB, covering wavelengths from 0.41 to 2.4 μm</w:t>
      </w:r>
      <w:r w:rsidR="00100B22" w:rsidRPr="00C7014F">
        <w:rPr>
          <w:b w:val="0"/>
          <w:color w:val="auto"/>
        </w:rPr>
        <w:t xml:space="preserve"> and </w:t>
      </w:r>
      <w:r w:rsidR="000D72A2" w:rsidRPr="00C7014F">
        <w:rPr>
          <w:b w:val="0"/>
          <w:color w:val="auto"/>
        </w:rPr>
        <w:t xml:space="preserve">at nadir </w:t>
      </w:r>
      <w:r w:rsidR="00100B22" w:rsidRPr="00C7014F">
        <w:rPr>
          <w:b w:val="0"/>
          <w:color w:val="auto"/>
        </w:rPr>
        <w:t xml:space="preserve">spatial resolutions </w:t>
      </w:r>
      <w:r w:rsidR="000D72A2" w:rsidRPr="00C7014F">
        <w:rPr>
          <w:b w:val="0"/>
          <w:color w:val="auto"/>
        </w:rPr>
        <w:t>of</w:t>
      </w:r>
      <w:r w:rsidR="00885FF7" w:rsidRPr="00C7014F">
        <w:rPr>
          <w:b w:val="0"/>
          <w:color w:val="auto"/>
        </w:rPr>
        <w:t xml:space="preserve"> 250 m for bands 1-2, 500 m for bands 3-7, and 1 km for the</w:t>
      </w:r>
      <w:r w:rsidRPr="00C7014F">
        <w:rPr>
          <w:b w:val="0"/>
          <w:color w:val="auto"/>
        </w:rPr>
        <w:t xml:space="preserve"> remaining bands. VIIRS has 14 RSB (M1-M11 and I1-I3) that cover </w:t>
      </w:r>
      <w:r w:rsidR="00100B22" w:rsidRPr="00C7014F">
        <w:rPr>
          <w:b w:val="0"/>
          <w:color w:val="auto"/>
        </w:rPr>
        <w:t xml:space="preserve">nearly </w:t>
      </w:r>
      <w:r w:rsidRPr="00C7014F">
        <w:rPr>
          <w:b w:val="0"/>
          <w:color w:val="auto"/>
        </w:rPr>
        <w:t xml:space="preserve">the same wavelength range as MODIS. Its imagery bands (I bands) have a </w:t>
      </w:r>
      <w:r w:rsidR="008E1D9A" w:rsidRPr="00C7014F">
        <w:rPr>
          <w:b w:val="0"/>
          <w:color w:val="auto"/>
        </w:rPr>
        <w:t xml:space="preserve">nadir </w:t>
      </w:r>
      <w:r w:rsidRPr="00C7014F">
        <w:rPr>
          <w:b w:val="0"/>
          <w:color w:val="auto"/>
        </w:rPr>
        <w:t xml:space="preserve">spatial resolution of 375 m while the moderate resolution bands (M bands) have a </w:t>
      </w:r>
      <w:r w:rsidR="008E1D9A" w:rsidRPr="00C7014F">
        <w:rPr>
          <w:b w:val="0"/>
          <w:color w:val="auto"/>
        </w:rPr>
        <w:t xml:space="preserve">nadir </w:t>
      </w:r>
      <w:r w:rsidRPr="00C7014F">
        <w:rPr>
          <w:b w:val="0"/>
          <w:color w:val="auto"/>
        </w:rPr>
        <w:t xml:space="preserve">spatial resolution of 750 m. Several VIIRS bands </w:t>
      </w:r>
      <w:r w:rsidR="00285C3E" w:rsidRPr="00C7014F">
        <w:rPr>
          <w:b w:val="0"/>
          <w:color w:val="auto"/>
        </w:rPr>
        <w:t>can make</w:t>
      </w:r>
      <w:r w:rsidRPr="00C7014F">
        <w:rPr>
          <w:b w:val="0"/>
          <w:color w:val="auto"/>
        </w:rPr>
        <w:t xml:space="preserve"> measurem</w:t>
      </w:r>
      <w:r w:rsidR="00173BD8" w:rsidRPr="00C7014F">
        <w:rPr>
          <w:b w:val="0"/>
          <w:color w:val="auto"/>
        </w:rPr>
        <w:t>ents at either high or low gain</w:t>
      </w:r>
      <w:r w:rsidRPr="00C7014F">
        <w:rPr>
          <w:b w:val="0"/>
          <w:color w:val="auto"/>
        </w:rPr>
        <w:t xml:space="preserve">, thus referred to as the dual gain bands. Table 1 is a summary and side-by-side comparison of </w:t>
      </w:r>
      <w:r w:rsidR="00173BD8" w:rsidRPr="00C7014F">
        <w:rPr>
          <w:b w:val="0"/>
          <w:color w:val="auto"/>
        </w:rPr>
        <w:t xml:space="preserve">the </w:t>
      </w:r>
      <w:r w:rsidRPr="00C7014F">
        <w:rPr>
          <w:b w:val="0"/>
          <w:color w:val="auto"/>
        </w:rPr>
        <w:t xml:space="preserve">MODIS and VIIRS RSB </w:t>
      </w:r>
      <w:r w:rsidR="000D72A2" w:rsidRPr="00C7014F">
        <w:rPr>
          <w:b w:val="0"/>
          <w:color w:val="auto"/>
        </w:rPr>
        <w:t xml:space="preserve">spectral </w:t>
      </w:r>
      <w:r w:rsidR="00A34C50" w:rsidRPr="00C7014F">
        <w:rPr>
          <w:b w:val="0"/>
          <w:color w:val="auto"/>
        </w:rPr>
        <w:t xml:space="preserve">wavelengths and their </w:t>
      </w:r>
      <w:r w:rsidR="00670190" w:rsidRPr="00C7014F">
        <w:rPr>
          <w:b w:val="0"/>
          <w:color w:val="auto"/>
        </w:rPr>
        <w:t>horizontal spatial resolutions (HSR)</w:t>
      </w:r>
      <w:r w:rsidR="00A34C50" w:rsidRPr="00C7014F">
        <w:rPr>
          <w:b w:val="0"/>
          <w:color w:val="auto"/>
        </w:rPr>
        <w:t>.</w:t>
      </w:r>
      <w:r w:rsidR="00E63890" w:rsidRPr="00C7014F">
        <w:rPr>
          <w:b w:val="0"/>
          <w:color w:val="auto"/>
        </w:rPr>
        <w:t xml:space="preserve"> </w:t>
      </w:r>
      <w:r w:rsidR="0060543C" w:rsidRPr="00C7014F">
        <w:rPr>
          <w:b w:val="0"/>
          <w:color w:val="auto"/>
        </w:rPr>
        <w:t xml:space="preserve">The VIIRS </w:t>
      </w:r>
      <w:r w:rsidR="00E63890" w:rsidRPr="00C7014F">
        <w:rPr>
          <w:b w:val="0"/>
          <w:color w:val="auto"/>
        </w:rPr>
        <w:t xml:space="preserve">day and night band </w:t>
      </w:r>
      <w:r w:rsidR="0060543C" w:rsidRPr="00C7014F">
        <w:rPr>
          <w:b w:val="0"/>
          <w:color w:val="auto"/>
        </w:rPr>
        <w:t xml:space="preserve">(DNB), also </w:t>
      </w:r>
      <w:r w:rsidR="00E63890" w:rsidRPr="00C7014F">
        <w:rPr>
          <w:b w:val="0"/>
          <w:color w:val="auto"/>
        </w:rPr>
        <w:t xml:space="preserve">in the reflective solar </w:t>
      </w:r>
      <w:r w:rsidR="0060543C" w:rsidRPr="00C7014F">
        <w:rPr>
          <w:b w:val="0"/>
          <w:color w:val="auto"/>
        </w:rPr>
        <w:t>spectral region, is not included in this study</w:t>
      </w:r>
      <w:r w:rsidR="00E63890" w:rsidRPr="00C7014F">
        <w:rPr>
          <w:b w:val="0"/>
          <w:color w:val="auto"/>
        </w:rPr>
        <w:t xml:space="preserve">.   </w:t>
      </w:r>
    </w:p>
    <w:p w14:paraId="248C3D19" w14:textId="1E8A2295" w:rsidR="00966C2F" w:rsidRPr="00C7014F" w:rsidRDefault="007E52C7" w:rsidP="00966C2F">
      <w:pPr>
        <w:pStyle w:val="MDPI21heading1"/>
        <w:spacing w:line="240" w:lineRule="auto"/>
        <w:jc w:val="both"/>
        <w:rPr>
          <w:b w:val="0"/>
          <w:color w:val="auto"/>
        </w:rPr>
      </w:pPr>
      <w:r w:rsidRPr="00C7014F">
        <w:rPr>
          <w:b w:val="0"/>
          <w:color w:val="auto"/>
        </w:rPr>
        <w:t xml:space="preserve">In addition to SD/SDSM measurements, </w:t>
      </w:r>
      <w:r w:rsidR="00966C2F" w:rsidRPr="00C7014F">
        <w:rPr>
          <w:b w:val="0"/>
          <w:color w:val="auto"/>
        </w:rPr>
        <w:t xml:space="preserve">lunar observations are scheduled </w:t>
      </w:r>
      <w:r w:rsidRPr="00C7014F">
        <w:rPr>
          <w:b w:val="0"/>
          <w:color w:val="auto"/>
        </w:rPr>
        <w:t xml:space="preserve">on a near-monthly basis </w:t>
      </w:r>
      <w:r w:rsidR="00966C2F" w:rsidRPr="00C7014F">
        <w:rPr>
          <w:b w:val="0"/>
          <w:color w:val="auto"/>
        </w:rPr>
        <w:t xml:space="preserve">and used in support of MODIS and VIIRS </w:t>
      </w:r>
      <w:r w:rsidRPr="00C7014F">
        <w:rPr>
          <w:b w:val="0"/>
          <w:color w:val="auto"/>
        </w:rPr>
        <w:t xml:space="preserve">RSB </w:t>
      </w:r>
      <w:r w:rsidR="00966C2F" w:rsidRPr="00C7014F">
        <w:rPr>
          <w:b w:val="0"/>
          <w:color w:val="auto"/>
        </w:rPr>
        <w:t>on-orbit calibration stability monitoring [</w:t>
      </w:r>
      <w:r w:rsidR="00F518BA" w:rsidRPr="00C7014F">
        <w:rPr>
          <w:b w:val="0"/>
          <w:color w:val="auto"/>
        </w:rPr>
        <w:t>27-29</w:t>
      </w:r>
      <w:r w:rsidR="00966C2F" w:rsidRPr="00C7014F">
        <w:rPr>
          <w:b w:val="0"/>
          <w:color w:val="auto"/>
        </w:rPr>
        <w:t>]. The Moon provides an extremely stable radiometric calibration reference, especially in the reflective solar spectral regions [</w:t>
      </w:r>
      <w:r w:rsidR="00275F6A" w:rsidRPr="00C7014F">
        <w:rPr>
          <w:b w:val="0"/>
          <w:color w:val="auto"/>
        </w:rPr>
        <w:t>30-32</w:t>
      </w:r>
      <w:r w:rsidR="00966C2F" w:rsidRPr="00C7014F">
        <w:rPr>
          <w:b w:val="0"/>
          <w:color w:val="auto"/>
        </w:rPr>
        <w:t xml:space="preserve">]. Similar to MODIS and VIIRS, many </w:t>
      </w:r>
      <w:r w:rsidR="001451E4" w:rsidRPr="00C7014F">
        <w:rPr>
          <w:b w:val="0"/>
          <w:color w:val="auto"/>
        </w:rPr>
        <w:t>E</w:t>
      </w:r>
      <w:r w:rsidR="00966C2F" w:rsidRPr="00C7014F">
        <w:rPr>
          <w:b w:val="0"/>
          <w:color w:val="auto"/>
        </w:rPr>
        <w:t>arth-observing sensors have also used the Moon to monitor their on-orbit calibration stability by comparing their calibrated lunar responses with that predicted by a lunar model</w:t>
      </w:r>
      <w:r w:rsidR="003B685B" w:rsidRPr="00C7014F">
        <w:rPr>
          <w:b w:val="0"/>
          <w:color w:val="auto"/>
        </w:rPr>
        <w:t xml:space="preserve">, such as the RObotic Lunar Observatory (ROLO) model developed by </w:t>
      </w:r>
      <w:r w:rsidRPr="00C7014F">
        <w:rPr>
          <w:b w:val="0"/>
          <w:color w:val="auto"/>
        </w:rPr>
        <w:t xml:space="preserve">the </w:t>
      </w:r>
      <w:r w:rsidR="003B685B" w:rsidRPr="00C7014F">
        <w:rPr>
          <w:b w:val="0"/>
          <w:color w:val="auto"/>
        </w:rPr>
        <w:t>USGS</w:t>
      </w:r>
      <w:r w:rsidR="00966C2F" w:rsidRPr="00C7014F">
        <w:rPr>
          <w:b w:val="0"/>
          <w:color w:val="auto"/>
        </w:rPr>
        <w:t xml:space="preserve"> [</w:t>
      </w:r>
      <w:r w:rsidR="005C7D01" w:rsidRPr="00C7014F">
        <w:rPr>
          <w:b w:val="0"/>
          <w:color w:val="auto"/>
        </w:rPr>
        <w:t>33-37</w:t>
      </w:r>
      <w:r w:rsidR="00966C2F" w:rsidRPr="00C7014F">
        <w:rPr>
          <w:b w:val="0"/>
          <w:color w:val="auto"/>
        </w:rPr>
        <w:t xml:space="preserve">]. The MODIS and VIIRS instruments view the Moon regularly through </w:t>
      </w:r>
      <w:r w:rsidR="008E4B35" w:rsidRPr="00C7014F">
        <w:rPr>
          <w:b w:val="0"/>
          <w:color w:val="auto"/>
        </w:rPr>
        <w:t>their</w:t>
      </w:r>
      <w:r w:rsidR="00966C2F" w:rsidRPr="00C7014F">
        <w:rPr>
          <w:b w:val="0"/>
          <w:color w:val="auto"/>
        </w:rPr>
        <w:t xml:space="preserve"> SV port</w:t>
      </w:r>
      <w:r w:rsidR="008E4B35" w:rsidRPr="00C7014F">
        <w:rPr>
          <w:b w:val="0"/>
          <w:color w:val="auto"/>
        </w:rPr>
        <w:t>s</w:t>
      </w:r>
      <w:r w:rsidR="00966C2F" w:rsidRPr="00C7014F">
        <w:rPr>
          <w:b w:val="0"/>
          <w:color w:val="auto"/>
        </w:rPr>
        <w:t xml:space="preserve">, </w:t>
      </w:r>
      <w:r w:rsidR="008E4B35" w:rsidRPr="00C7014F">
        <w:rPr>
          <w:b w:val="0"/>
          <w:color w:val="auto"/>
        </w:rPr>
        <w:t xml:space="preserve">often </w:t>
      </w:r>
      <w:r w:rsidR="00966C2F" w:rsidRPr="00C7014F">
        <w:rPr>
          <w:b w:val="0"/>
          <w:color w:val="auto"/>
        </w:rPr>
        <w:t>coupled with spacecraft roll maneuvers</w:t>
      </w:r>
      <w:r w:rsidR="008E4B35" w:rsidRPr="00C7014F">
        <w:rPr>
          <w:b w:val="0"/>
          <w:color w:val="auto"/>
        </w:rPr>
        <w:t>. E</w:t>
      </w:r>
      <w:r w:rsidR="00966C2F" w:rsidRPr="00C7014F">
        <w:rPr>
          <w:b w:val="0"/>
          <w:color w:val="auto"/>
        </w:rPr>
        <w:t xml:space="preserve">ach </w:t>
      </w:r>
      <w:r w:rsidRPr="00C7014F">
        <w:rPr>
          <w:b w:val="0"/>
          <w:color w:val="auto"/>
        </w:rPr>
        <w:t xml:space="preserve">instrument </w:t>
      </w:r>
      <w:r w:rsidR="00966C2F" w:rsidRPr="00C7014F">
        <w:rPr>
          <w:b w:val="0"/>
          <w:color w:val="auto"/>
        </w:rPr>
        <w:t xml:space="preserve">has its lunar observations kept to within a small </w:t>
      </w:r>
      <w:r w:rsidRPr="00C7014F">
        <w:rPr>
          <w:b w:val="0"/>
          <w:color w:val="auto"/>
        </w:rPr>
        <w:t xml:space="preserve">phase angle </w:t>
      </w:r>
      <w:r w:rsidR="00966C2F" w:rsidRPr="00C7014F">
        <w:rPr>
          <w:b w:val="0"/>
          <w:color w:val="auto"/>
        </w:rPr>
        <w:t>range</w:t>
      </w:r>
      <w:r w:rsidRPr="00C7014F">
        <w:rPr>
          <w:b w:val="0"/>
          <w:color w:val="auto"/>
        </w:rPr>
        <w:t xml:space="preserve">, </w:t>
      </w:r>
      <w:r w:rsidR="00173BD8" w:rsidRPr="00C7014F">
        <w:rPr>
          <w:b w:val="0"/>
          <w:color w:val="auto"/>
        </w:rPr>
        <w:t xml:space="preserve">typically within 1 degree </w:t>
      </w:r>
      <w:r w:rsidRPr="00C7014F">
        <w:rPr>
          <w:b w:val="0"/>
          <w:color w:val="auto"/>
        </w:rPr>
        <w:t xml:space="preserve">of </w:t>
      </w:r>
      <w:r w:rsidR="008413BA" w:rsidRPr="00C7014F">
        <w:rPr>
          <w:b w:val="0"/>
          <w:color w:val="auto"/>
        </w:rPr>
        <w:t xml:space="preserve">its </w:t>
      </w:r>
      <w:r w:rsidRPr="00C7014F">
        <w:rPr>
          <w:b w:val="0"/>
          <w:color w:val="auto"/>
        </w:rPr>
        <w:t>select</w:t>
      </w:r>
      <w:r w:rsidR="00357C3A" w:rsidRPr="00C7014F">
        <w:rPr>
          <w:b w:val="0"/>
          <w:color w:val="auto"/>
        </w:rPr>
        <w:t>ed</w:t>
      </w:r>
      <w:r w:rsidR="00173BD8" w:rsidRPr="00C7014F">
        <w:rPr>
          <w:b w:val="0"/>
          <w:color w:val="auto"/>
        </w:rPr>
        <w:t xml:space="preserve"> phase angle</w:t>
      </w:r>
      <w:r w:rsidR="00966C2F" w:rsidRPr="00C7014F">
        <w:rPr>
          <w:b w:val="0"/>
          <w:color w:val="auto"/>
        </w:rPr>
        <w:t xml:space="preserve">. As of </w:t>
      </w:r>
      <w:r w:rsidR="008E4B35" w:rsidRPr="00C7014F">
        <w:rPr>
          <w:b w:val="0"/>
          <w:color w:val="auto"/>
        </w:rPr>
        <w:t>July</w:t>
      </w:r>
      <w:r w:rsidR="003112D8" w:rsidRPr="00C7014F">
        <w:rPr>
          <w:b w:val="0"/>
          <w:color w:val="auto"/>
        </w:rPr>
        <w:t xml:space="preserve"> </w:t>
      </w:r>
      <w:r w:rsidRPr="00C7014F">
        <w:rPr>
          <w:b w:val="0"/>
          <w:color w:val="auto"/>
        </w:rPr>
        <w:t>1, 2022</w:t>
      </w:r>
      <w:r w:rsidR="00966C2F" w:rsidRPr="00C7014F">
        <w:rPr>
          <w:b w:val="0"/>
          <w:color w:val="auto"/>
        </w:rPr>
        <w:t xml:space="preserve">, the Terra and Aqua MODIS </w:t>
      </w:r>
      <w:r w:rsidR="003112D8" w:rsidRPr="00C7014F">
        <w:rPr>
          <w:b w:val="0"/>
          <w:color w:val="auto"/>
        </w:rPr>
        <w:t xml:space="preserve">instruments </w:t>
      </w:r>
      <w:r w:rsidR="00966C2F" w:rsidRPr="00C7014F">
        <w:rPr>
          <w:b w:val="0"/>
          <w:color w:val="auto"/>
        </w:rPr>
        <w:t xml:space="preserve">have scheduled and performed </w:t>
      </w:r>
      <w:r w:rsidR="008E1D9A" w:rsidRPr="00C7014F">
        <w:rPr>
          <w:b w:val="0"/>
          <w:color w:val="auto"/>
        </w:rPr>
        <w:t xml:space="preserve">216 </w:t>
      </w:r>
      <w:r w:rsidR="00966C2F" w:rsidRPr="00C7014F">
        <w:rPr>
          <w:b w:val="0"/>
          <w:color w:val="auto"/>
        </w:rPr>
        <w:t xml:space="preserve">and </w:t>
      </w:r>
      <w:r w:rsidR="008E1D9A" w:rsidRPr="00C7014F">
        <w:rPr>
          <w:b w:val="0"/>
          <w:color w:val="auto"/>
        </w:rPr>
        <w:t xml:space="preserve">205 </w:t>
      </w:r>
      <w:r w:rsidR="00966C2F" w:rsidRPr="00C7014F">
        <w:rPr>
          <w:b w:val="0"/>
          <w:color w:val="auto"/>
        </w:rPr>
        <w:t>lunar observations</w:t>
      </w:r>
      <w:r w:rsidR="00173BD8" w:rsidRPr="00C7014F">
        <w:rPr>
          <w:b w:val="0"/>
          <w:color w:val="auto"/>
        </w:rPr>
        <w:t xml:space="preserve"> with </w:t>
      </w:r>
      <w:r w:rsidRPr="00C7014F">
        <w:rPr>
          <w:b w:val="0"/>
          <w:color w:val="auto"/>
        </w:rPr>
        <w:t xml:space="preserve">most of </w:t>
      </w:r>
      <w:r w:rsidR="00173BD8" w:rsidRPr="00C7014F">
        <w:rPr>
          <w:b w:val="0"/>
          <w:color w:val="auto"/>
        </w:rPr>
        <w:t>their phase angles near +55° and -</w:t>
      </w:r>
      <w:r w:rsidR="00966C2F" w:rsidRPr="00C7014F">
        <w:rPr>
          <w:b w:val="0"/>
          <w:color w:val="auto"/>
        </w:rPr>
        <w:t xml:space="preserve">55°, respectively. The </w:t>
      </w:r>
      <w:r w:rsidR="00A73C88" w:rsidRPr="00C7014F">
        <w:rPr>
          <w:b w:val="0"/>
          <w:color w:val="auto"/>
        </w:rPr>
        <w:t>SNPP</w:t>
      </w:r>
      <w:r w:rsidR="00966C2F" w:rsidRPr="00C7014F">
        <w:rPr>
          <w:b w:val="0"/>
          <w:color w:val="auto"/>
        </w:rPr>
        <w:t xml:space="preserve"> and </w:t>
      </w:r>
      <w:r w:rsidR="00A73C88" w:rsidRPr="00C7014F">
        <w:rPr>
          <w:b w:val="0"/>
          <w:color w:val="auto"/>
        </w:rPr>
        <w:t>N20</w:t>
      </w:r>
      <w:r w:rsidR="00966C2F" w:rsidRPr="00C7014F">
        <w:rPr>
          <w:b w:val="0"/>
          <w:color w:val="auto"/>
        </w:rPr>
        <w:t xml:space="preserve"> VIIRS, operated in the same orbit approximately 50 min apart, have made </w:t>
      </w:r>
      <w:r w:rsidR="008E1D9A" w:rsidRPr="00C7014F">
        <w:rPr>
          <w:b w:val="0"/>
          <w:color w:val="auto"/>
        </w:rPr>
        <w:t>90</w:t>
      </w:r>
      <w:r w:rsidR="00966C2F" w:rsidRPr="00C7014F">
        <w:rPr>
          <w:b w:val="0"/>
          <w:color w:val="auto"/>
        </w:rPr>
        <w:t xml:space="preserve"> and </w:t>
      </w:r>
      <w:r w:rsidR="00885FF7" w:rsidRPr="00C7014F">
        <w:rPr>
          <w:b w:val="0"/>
          <w:color w:val="auto"/>
        </w:rPr>
        <w:t>3</w:t>
      </w:r>
      <w:r w:rsidR="00C10ECC" w:rsidRPr="00C7014F">
        <w:rPr>
          <w:b w:val="0"/>
          <w:color w:val="auto"/>
        </w:rPr>
        <w:t>9</w:t>
      </w:r>
      <w:r w:rsidR="00966C2F" w:rsidRPr="00C7014F">
        <w:rPr>
          <w:b w:val="0"/>
          <w:color w:val="auto"/>
        </w:rPr>
        <w:t xml:space="preserve"> lunar observations, respectively, with their phase angles </w:t>
      </w:r>
      <w:r w:rsidR="00020A11" w:rsidRPr="00C7014F">
        <w:rPr>
          <w:b w:val="0"/>
          <w:color w:val="auto"/>
        </w:rPr>
        <w:t xml:space="preserve">mostly </w:t>
      </w:r>
      <w:r w:rsidR="00966C2F" w:rsidRPr="00C7014F">
        <w:rPr>
          <w:b w:val="0"/>
          <w:color w:val="auto"/>
        </w:rPr>
        <w:t>centered a</w:t>
      </w:r>
      <w:r w:rsidR="00173BD8" w:rsidRPr="00C7014F">
        <w:rPr>
          <w:b w:val="0"/>
          <w:color w:val="auto"/>
        </w:rPr>
        <w:t>t -</w:t>
      </w:r>
      <w:r w:rsidR="00966C2F" w:rsidRPr="00C7014F">
        <w:rPr>
          <w:b w:val="0"/>
          <w:color w:val="auto"/>
        </w:rPr>
        <w:t xml:space="preserve">51.5°. The plus (+) phase angle refers to viewing a waning </w:t>
      </w:r>
      <w:r w:rsidR="005825AA" w:rsidRPr="00C7014F">
        <w:rPr>
          <w:b w:val="0"/>
          <w:color w:val="auto"/>
        </w:rPr>
        <w:t>M</w:t>
      </w:r>
      <w:r w:rsidR="00966C2F" w:rsidRPr="00C7014F">
        <w:rPr>
          <w:b w:val="0"/>
          <w:color w:val="auto"/>
        </w:rPr>
        <w:t xml:space="preserve">oon whereas the minus (-) sign corresponds to a waxing </w:t>
      </w:r>
      <w:r w:rsidR="005825AA" w:rsidRPr="00C7014F">
        <w:rPr>
          <w:b w:val="0"/>
          <w:color w:val="auto"/>
        </w:rPr>
        <w:t>M</w:t>
      </w:r>
      <w:r w:rsidR="00966C2F" w:rsidRPr="00C7014F">
        <w:rPr>
          <w:b w:val="0"/>
          <w:color w:val="auto"/>
        </w:rPr>
        <w:t>oon.</w:t>
      </w:r>
    </w:p>
    <w:p w14:paraId="3310C153" w14:textId="1A29CB7B" w:rsidR="00966C2F" w:rsidRPr="00C7014F" w:rsidRDefault="00B37F02" w:rsidP="00966C2F">
      <w:pPr>
        <w:pStyle w:val="MDPI21heading1"/>
        <w:spacing w:line="240" w:lineRule="auto"/>
        <w:jc w:val="both"/>
        <w:rPr>
          <w:b w:val="0"/>
          <w:color w:val="auto"/>
        </w:rPr>
      </w:pPr>
      <w:r w:rsidRPr="00C7014F">
        <w:rPr>
          <w:b w:val="0"/>
          <w:color w:val="auto"/>
        </w:rPr>
        <w:t>Apart from</w:t>
      </w:r>
      <w:r w:rsidR="00966C2F" w:rsidRPr="00C7014F">
        <w:rPr>
          <w:b w:val="0"/>
          <w:color w:val="auto"/>
        </w:rPr>
        <w:t xml:space="preserve"> </w:t>
      </w:r>
      <w:r w:rsidR="00260EFD" w:rsidRPr="00C7014F">
        <w:rPr>
          <w:b w:val="0"/>
          <w:color w:val="auto"/>
        </w:rPr>
        <w:t xml:space="preserve">supporting </w:t>
      </w:r>
      <w:r w:rsidR="00966C2F" w:rsidRPr="00C7014F">
        <w:rPr>
          <w:b w:val="0"/>
          <w:color w:val="auto"/>
        </w:rPr>
        <w:t xml:space="preserve">the RSB </w:t>
      </w:r>
      <w:r w:rsidR="00260EFD" w:rsidRPr="00C7014F">
        <w:rPr>
          <w:b w:val="0"/>
          <w:color w:val="auto"/>
        </w:rPr>
        <w:t xml:space="preserve">on-orbit </w:t>
      </w:r>
      <w:r w:rsidR="00966C2F" w:rsidRPr="00C7014F">
        <w:rPr>
          <w:b w:val="0"/>
          <w:color w:val="auto"/>
        </w:rPr>
        <w:t xml:space="preserve">calibration </w:t>
      </w:r>
      <w:r w:rsidR="00260EFD" w:rsidRPr="00C7014F">
        <w:rPr>
          <w:b w:val="0"/>
          <w:color w:val="auto"/>
        </w:rPr>
        <w:t>and stability monitoring</w:t>
      </w:r>
      <w:r w:rsidR="00966C2F" w:rsidRPr="00C7014F">
        <w:rPr>
          <w:b w:val="0"/>
          <w:color w:val="auto"/>
        </w:rPr>
        <w:t xml:space="preserve">, lunar observations can be </w:t>
      </w:r>
      <w:r w:rsidRPr="00C7014F">
        <w:rPr>
          <w:b w:val="0"/>
          <w:color w:val="auto"/>
        </w:rPr>
        <w:t xml:space="preserve">also </w:t>
      </w:r>
      <w:r w:rsidR="00966C2F" w:rsidRPr="00C7014F">
        <w:rPr>
          <w:b w:val="0"/>
          <w:color w:val="auto"/>
        </w:rPr>
        <w:t>used to assess the TEB calibration stability, the sensor spatial characterization performance, and cross-sensor calibration inter-comparisons [</w:t>
      </w:r>
      <w:r w:rsidR="005C7D01" w:rsidRPr="00C7014F">
        <w:rPr>
          <w:b w:val="0"/>
          <w:color w:val="auto"/>
        </w:rPr>
        <w:t>38-4</w:t>
      </w:r>
      <w:r w:rsidR="006B101A" w:rsidRPr="00C7014F">
        <w:rPr>
          <w:b w:val="0"/>
          <w:color w:val="auto"/>
        </w:rPr>
        <w:t>2</w:t>
      </w:r>
      <w:r w:rsidR="00966C2F" w:rsidRPr="00C7014F">
        <w:rPr>
          <w:b w:val="0"/>
          <w:color w:val="auto"/>
        </w:rPr>
        <w:t xml:space="preserve">]. This paper focuses on calibration inter-comparisons of MODIS and VIIRS RSB using their regularly scheduled lunar observations. It includes assessments and corrections applied to account for the effects due to </w:t>
      </w:r>
      <w:r w:rsidR="00C10ECC" w:rsidRPr="00C7014F">
        <w:rPr>
          <w:b w:val="0"/>
          <w:color w:val="auto"/>
        </w:rPr>
        <w:t xml:space="preserve">the </w:t>
      </w:r>
      <w:r w:rsidR="00966C2F" w:rsidRPr="00C7014F">
        <w:rPr>
          <w:b w:val="0"/>
          <w:color w:val="auto"/>
        </w:rPr>
        <w:t xml:space="preserve">individual sensors’ relative spectral responses (RSR) and </w:t>
      </w:r>
      <w:r w:rsidR="009A205C" w:rsidRPr="00C7014F">
        <w:rPr>
          <w:b w:val="0"/>
          <w:color w:val="auto"/>
        </w:rPr>
        <w:t xml:space="preserve">their </w:t>
      </w:r>
      <w:r w:rsidR="009A205C" w:rsidRPr="00C7014F">
        <w:rPr>
          <w:b w:val="0"/>
          <w:color w:val="auto"/>
        </w:rPr>
        <w:lastRenderedPageBreak/>
        <w:t xml:space="preserve">adopted </w:t>
      </w:r>
      <w:r w:rsidR="00966C2F" w:rsidRPr="00C7014F">
        <w:rPr>
          <w:b w:val="0"/>
          <w:color w:val="auto"/>
        </w:rPr>
        <w:t>solar spectra. For MODIS, this study will not include its short</w:t>
      </w:r>
      <w:r w:rsidR="00C10ECC" w:rsidRPr="00C7014F">
        <w:rPr>
          <w:b w:val="0"/>
          <w:color w:val="auto"/>
        </w:rPr>
        <w:t>-</w:t>
      </w:r>
      <w:r w:rsidR="00966C2F" w:rsidRPr="00C7014F">
        <w:rPr>
          <w:b w:val="0"/>
          <w:color w:val="auto"/>
        </w:rPr>
        <w:t>wave infrared (SWIR) bands that have different levels of thermal</w:t>
      </w:r>
      <w:r w:rsidR="004A3A06" w:rsidRPr="00C7014F">
        <w:rPr>
          <w:b w:val="0"/>
          <w:color w:val="auto"/>
        </w:rPr>
        <w:t xml:space="preserve"> leak and electronic crosstalk, </w:t>
      </w:r>
      <w:r w:rsidR="001239F8" w:rsidRPr="00C7014F">
        <w:rPr>
          <w:b w:val="0"/>
          <w:color w:val="auto"/>
        </w:rPr>
        <w:t xml:space="preserve">which </w:t>
      </w:r>
      <w:r w:rsidR="007F2478" w:rsidRPr="00C7014F">
        <w:rPr>
          <w:b w:val="0"/>
          <w:color w:val="auto"/>
        </w:rPr>
        <w:t>have been</w:t>
      </w:r>
      <w:r w:rsidR="001239F8" w:rsidRPr="00C7014F">
        <w:rPr>
          <w:b w:val="0"/>
          <w:color w:val="auto"/>
        </w:rPr>
        <w:t xml:space="preserve"> </w:t>
      </w:r>
      <w:r w:rsidRPr="00C7014F">
        <w:rPr>
          <w:b w:val="0"/>
          <w:color w:val="auto"/>
        </w:rPr>
        <w:t xml:space="preserve">known issues </w:t>
      </w:r>
      <w:r w:rsidR="00966C2F" w:rsidRPr="00C7014F">
        <w:rPr>
          <w:b w:val="0"/>
          <w:color w:val="auto"/>
        </w:rPr>
        <w:t xml:space="preserve">identified </w:t>
      </w:r>
      <w:r w:rsidR="001239F8" w:rsidRPr="00C7014F">
        <w:rPr>
          <w:b w:val="0"/>
          <w:color w:val="auto"/>
        </w:rPr>
        <w:t>since</w:t>
      </w:r>
      <w:r w:rsidR="00173BD8" w:rsidRPr="00C7014F">
        <w:rPr>
          <w:b w:val="0"/>
          <w:color w:val="auto"/>
        </w:rPr>
        <w:t xml:space="preserve"> </w:t>
      </w:r>
      <w:r w:rsidR="00966C2F" w:rsidRPr="00C7014F">
        <w:rPr>
          <w:b w:val="0"/>
          <w:color w:val="auto"/>
        </w:rPr>
        <w:t>pre-launch</w:t>
      </w:r>
      <w:r w:rsidR="00173BD8" w:rsidRPr="00C7014F">
        <w:rPr>
          <w:b w:val="0"/>
          <w:color w:val="auto"/>
        </w:rPr>
        <w:t xml:space="preserve"> testing</w:t>
      </w:r>
      <w:r w:rsidR="008169A2" w:rsidRPr="00C7014F">
        <w:rPr>
          <w:b w:val="0"/>
          <w:color w:val="auto"/>
        </w:rPr>
        <w:t xml:space="preserve"> [</w:t>
      </w:r>
      <w:r w:rsidR="005706B0" w:rsidRPr="00C7014F">
        <w:rPr>
          <w:b w:val="0"/>
          <w:color w:val="auto"/>
        </w:rPr>
        <w:t>43</w:t>
      </w:r>
      <w:r w:rsidR="008169A2" w:rsidRPr="00C7014F">
        <w:rPr>
          <w:b w:val="0"/>
          <w:color w:val="auto"/>
        </w:rPr>
        <w:t>]</w:t>
      </w:r>
      <w:r w:rsidR="00966C2F" w:rsidRPr="00C7014F">
        <w:rPr>
          <w:b w:val="0"/>
          <w:color w:val="auto"/>
        </w:rPr>
        <w:t>. Although a correction algorithm a</w:t>
      </w:r>
      <w:r w:rsidR="00173BD8" w:rsidRPr="00C7014F">
        <w:rPr>
          <w:b w:val="0"/>
          <w:color w:val="auto"/>
        </w:rPr>
        <w:t xml:space="preserve">pplied to the </w:t>
      </w:r>
      <w:r w:rsidR="00DD0FAC" w:rsidRPr="00C7014F">
        <w:rPr>
          <w:b w:val="0"/>
          <w:color w:val="auto"/>
        </w:rPr>
        <w:t>Level 1B (</w:t>
      </w:r>
      <w:r w:rsidR="00173BD8" w:rsidRPr="00C7014F">
        <w:rPr>
          <w:b w:val="0"/>
          <w:color w:val="auto"/>
        </w:rPr>
        <w:t>L1B</w:t>
      </w:r>
      <w:r w:rsidR="00DD0FAC" w:rsidRPr="00C7014F">
        <w:rPr>
          <w:b w:val="0"/>
          <w:color w:val="auto"/>
        </w:rPr>
        <w:t>)</w:t>
      </w:r>
      <w:r w:rsidR="00173BD8" w:rsidRPr="00C7014F">
        <w:rPr>
          <w:b w:val="0"/>
          <w:color w:val="auto"/>
        </w:rPr>
        <w:t xml:space="preserve"> for the </w:t>
      </w:r>
      <w:r w:rsidR="001451E4" w:rsidRPr="00C7014F">
        <w:rPr>
          <w:b w:val="0"/>
          <w:color w:val="auto"/>
        </w:rPr>
        <w:t>E</w:t>
      </w:r>
      <w:r w:rsidR="00173BD8" w:rsidRPr="00C7014F">
        <w:rPr>
          <w:b w:val="0"/>
          <w:color w:val="auto"/>
        </w:rPr>
        <w:t>arth-</w:t>
      </w:r>
      <w:r w:rsidR="00966C2F" w:rsidRPr="00C7014F">
        <w:rPr>
          <w:b w:val="0"/>
          <w:color w:val="auto"/>
        </w:rPr>
        <w:t>view</w:t>
      </w:r>
      <w:r w:rsidR="00C10ECC" w:rsidRPr="00C7014F">
        <w:rPr>
          <w:b w:val="0"/>
          <w:color w:val="auto"/>
        </w:rPr>
        <w:t xml:space="preserve"> (EV)</w:t>
      </w:r>
      <w:r w:rsidR="00966C2F" w:rsidRPr="00C7014F">
        <w:rPr>
          <w:b w:val="0"/>
          <w:color w:val="auto"/>
        </w:rPr>
        <w:t xml:space="preserve"> observations has been effective in general, its application to the lunar observations, which have much higher thermal infrared signals,</w:t>
      </w:r>
      <w:r w:rsidR="001239F8" w:rsidRPr="00C7014F">
        <w:rPr>
          <w:b w:val="0"/>
          <w:color w:val="auto"/>
        </w:rPr>
        <w:t xml:space="preserve"> presents additional challenges </w:t>
      </w:r>
      <w:r w:rsidR="007F2478" w:rsidRPr="00C7014F">
        <w:rPr>
          <w:b w:val="0"/>
          <w:color w:val="auto"/>
        </w:rPr>
        <w:t xml:space="preserve">in order </w:t>
      </w:r>
      <w:r w:rsidR="001239F8" w:rsidRPr="00C7014F">
        <w:rPr>
          <w:b w:val="0"/>
          <w:color w:val="auto"/>
        </w:rPr>
        <w:t xml:space="preserve">to </w:t>
      </w:r>
      <w:r w:rsidR="009A205C" w:rsidRPr="00C7014F">
        <w:rPr>
          <w:b w:val="0"/>
          <w:color w:val="auto"/>
        </w:rPr>
        <w:t>achieve</w:t>
      </w:r>
      <w:r w:rsidR="00966C2F" w:rsidRPr="00C7014F">
        <w:rPr>
          <w:b w:val="0"/>
          <w:color w:val="auto"/>
        </w:rPr>
        <w:t xml:space="preserve"> results </w:t>
      </w:r>
      <w:r w:rsidR="001239F8" w:rsidRPr="00C7014F">
        <w:rPr>
          <w:b w:val="0"/>
          <w:color w:val="auto"/>
        </w:rPr>
        <w:t xml:space="preserve">of </w:t>
      </w:r>
      <w:r w:rsidR="007F2478" w:rsidRPr="00C7014F">
        <w:rPr>
          <w:b w:val="0"/>
          <w:color w:val="auto"/>
        </w:rPr>
        <w:t xml:space="preserve">the </w:t>
      </w:r>
      <w:r w:rsidR="001239F8" w:rsidRPr="00C7014F">
        <w:rPr>
          <w:b w:val="0"/>
          <w:color w:val="auto"/>
        </w:rPr>
        <w:t xml:space="preserve">same </w:t>
      </w:r>
      <w:r w:rsidR="007F2478" w:rsidRPr="00C7014F">
        <w:rPr>
          <w:b w:val="0"/>
          <w:color w:val="auto"/>
        </w:rPr>
        <w:t xml:space="preserve">level of </w:t>
      </w:r>
      <w:r w:rsidR="00966C2F" w:rsidRPr="00C7014F">
        <w:rPr>
          <w:b w:val="0"/>
          <w:color w:val="auto"/>
        </w:rPr>
        <w:t xml:space="preserve">radiometric accuracy </w:t>
      </w:r>
      <w:r w:rsidR="001239F8" w:rsidRPr="00C7014F">
        <w:rPr>
          <w:b w:val="0"/>
          <w:color w:val="auto"/>
        </w:rPr>
        <w:t xml:space="preserve">as other RSB </w:t>
      </w:r>
      <w:r w:rsidR="009A205C" w:rsidRPr="00C7014F">
        <w:rPr>
          <w:b w:val="0"/>
          <w:color w:val="auto"/>
        </w:rPr>
        <w:t>for</w:t>
      </w:r>
      <w:r w:rsidR="001239F8" w:rsidRPr="00C7014F">
        <w:rPr>
          <w:b w:val="0"/>
          <w:color w:val="auto"/>
        </w:rPr>
        <w:t xml:space="preserve"> high quality </w:t>
      </w:r>
      <w:r w:rsidR="007F2478" w:rsidRPr="00C7014F">
        <w:rPr>
          <w:b w:val="0"/>
          <w:color w:val="auto"/>
        </w:rPr>
        <w:t xml:space="preserve">cross-sensor </w:t>
      </w:r>
      <w:r w:rsidR="00966C2F" w:rsidRPr="00C7014F">
        <w:rPr>
          <w:b w:val="0"/>
          <w:color w:val="auto"/>
        </w:rPr>
        <w:t>calibration inter-comparisons.</w:t>
      </w:r>
    </w:p>
    <w:p w14:paraId="2608BC0C" w14:textId="4821DF72" w:rsidR="00966C2F" w:rsidRPr="00C7014F" w:rsidRDefault="00966C2F" w:rsidP="00291B73">
      <w:pPr>
        <w:pStyle w:val="MDPI21heading1"/>
        <w:spacing w:line="240" w:lineRule="auto"/>
        <w:ind w:left="360" w:right="360"/>
        <w:jc w:val="both"/>
        <w:rPr>
          <w:b w:val="0"/>
          <w:color w:val="auto"/>
        </w:rPr>
      </w:pPr>
      <w:r w:rsidRPr="00C7014F">
        <w:rPr>
          <w:b w:val="0"/>
          <w:color w:val="auto"/>
        </w:rPr>
        <w:t xml:space="preserve">Table 1. Spectral wavelengths </w:t>
      </w:r>
      <w:r w:rsidR="00291B73" w:rsidRPr="00C7014F">
        <w:rPr>
          <w:b w:val="0"/>
          <w:color w:val="auto"/>
        </w:rPr>
        <w:t xml:space="preserve">and spatial resolutions </w:t>
      </w:r>
      <w:r w:rsidRPr="00C7014F">
        <w:rPr>
          <w:b w:val="0"/>
          <w:color w:val="auto"/>
        </w:rPr>
        <w:t>of MODIS and VIIRS reflective solar bands</w:t>
      </w:r>
      <w:r w:rsidR="00670190" w:rsidRPr="00C7014F">
        <w:rPr>
          <w:b w:val="0"/>
          <w:color w:val="auto"/>
        </w:rPr>
        <w:t xml:space="preserve"> (RSB)</w:t>
      </w:r>
    </w:p>
    <w:tbl>
      <w:tblPr>
        <w:tblW w:w="8960" w:type="dxa"/>
        <w:tblInd w:w="260" w:type="dxa"/>
        <w:tblLook w:val="04A0" w:firstRow="1" w:lastRow="0" w:firstColumn="1" w:lastColumn="0" w:noHBand="0" w:noVBand="1"/>
      </w:tblPr>
      <w:tblGrid>
        <w:gridCol w:w="1180"/>
        <w:gridCol w:w="1920"/>
        <w:gridCol w:w="1380"/>
        <w:gridCol w:w="1280"/>
        <w:gridCol w:w="1840"/>
        <w:gridCol w:w="1360"/>
      </w:tblGrid>
      <w:tr w:rsidR="00C7014F" w:rsidRPr="00C7014F" w14:paraId="2C537421" w14:textId="77777777" w:rsidTr="003C02B8">
        <w:trPr>
          <w:trHeight w:val="440"/>
        </w:trPr>
        <w:tc>
          <w:tcPr>
            <w:tcW w:w="11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F352B2" w14:textId="77777777"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VIIRS Band</w:t>
            </w:r>
          </w:p>
        </w:tc>
        <w:tc>
          <w:tcPr>
            <w:tcW w:w="1920" w:type="dxa"/>
            <w:tcBorders>
              <w:top w:val="single" w:sz="8" w:space="0" w:color="auto"/>
              <w:left w:val="nil"/>
              <w:bottom w:val="single" w:sz="4" w:space="0" w:color="auto"/>
              <w:right w:val="single" w:sz="4" w:space="0" w:color="auto"/>
            </w:tcBorders>
            <w:shd w:val="clear" w:color="auto" w:fill="auto"/>
            <w:noWrap/>
            <w:vAlign w:val="center"/>
            <w:hideMark/>
          </w:tcPr>
          <w:p w14:paraId="4CB87D62" w14:textId="72C92FFC"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Spectral Range (</w:t>
            </w:r>
            <w:r w:rsidR="00285C3E" w:rsidRPr="00C7014F">
              <w:rPr>
                <w:rFonts w:ascii="Palatino Linotype" w:eastAsia="Times New Roman" w:hAnsi="Palatino Linotype" w:cs="Arial"/>
                <w:b/>
                <w:bCs/>
                <w:sz w:val="18"/>
                <w:szCs w:val="18"/>
              </w:rPr>
              <w:t>µ</w:t>
            </w:r>
            <w:r w:rsidRPr="00C7014F">
              <w:rPr>
                <w:rFonts w:ascii="Palatino Linotype" w:eastAsia="Times New Roman" w:hAnsi="Palatino Linotype" w:cs="Arial"/>
                <w:b/>
                <w:bCs/>
                <w:sz w:val="18"/>
                <w:szCs w:val="18"/>
              </w:rPr>
              <w:t>m)</w:t>
            </w:r>
          </w:p>
        </w:tc>
        <w:tc>
          <w:tcPr>
            <w:tcW w:w="1380" w:type="dxa"/>
            <w:tcBorders>
              <w:top w:val="single" w:sz="8" w:space="0" w:color="auto"/>
              <w:left w:val="nil"/>
              <w:bottom w:val="single" w:sz="4" w:space="0" w:color="auto"/>
              <w:right w:val="nil"/>
            </w:tcBorders>
            <w:shd w:val="clear" w:color="auto" w:fill="auto"/>
            <w:noWrap/>
            <w:vAlign w:val="center"/>
            <w:hideMark/>
          </w:tcPr>
          <w:p w14:paraId="5CAF0938" w14:textId="77777777"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HSR (m)</w:t>
            </w:r>
          </w:p>
        </w:tc>
        <w:tc>
          <w:tcPr>
            <w:tcW w:w="1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2018368" w14:textId="77777777"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MODIS Band</w:t>
            </w:r>
          </w:p>
        </w:tc>
        <w:tc>
          <w:tcPr>
            <w:tcW w:w="1840" w:type="dxa"/>
            <w:tcBorders>
              <w:top w:val="single" w:sz="8" w:space="0" w:color="auto"/>
              <w:left w:val="nil"/>
              <w:bottom w:val="single" w:sz="4" w:space="0" w:color="auto"/>
              <w:right w:val="single" w:sz="4" w:space="0" w:color="auto"/>
            </w:tcBorders>
            <w:shd w:val="clear" w:color="auto" w:fill="auto"/>
            <w:noWrap/>
            <w:vAlign w:val="center"/>
            <w:hideMark/>
          </w:tcPr>
          <w:p w14:paraId="4F1B135C" w14:textId="2B42BC27"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Spectral Range (</w:t>
            </w:r>
            <w:r w:rsidR="00285C3E" w:rsidRPr="00C7014F">
              <w:rPr>
                <w:rFonts w:ascii="Palatino Linotype" w:eastAsia="Times New Roman" w:hAnsi="Palatino Linotype" w:cs="Arial"/>
                <w:b/>
                <w:bCs/>
                <w:sz w:val="18"/>
                <w:szCs w:val="18"/>
              </w:rPr>
              <w:t>µ</w:t>
            </w:r>
            <w:r w:rsidRPr="00C7014F">
              <w:rPr>
                <w:rFonts w:ascii="Palatino Linotype" w:eastAsia="Times New Roman" w:hAnsi="Palatino Linotype" w:cs="Arial"/>
                <w:b/>
                <w:bCs/>
                <w:sz w:val="18"/>
                <w:szCs w:val="18"/>
              </w:rPr>
              <w:t>m)</w:t>
            </w:r>
          </w:p>
        </w:tc>
        <w:tc>
          <w:tcPr>
            <w:tcW w:w="1360" w:type="dxa"/>
            <w:tcBorders>
              <w:top w:val="single" w:sz="8" w:space="0" w:color="auto"/>
              <w:left w:val="nil"/>
              <w:bottom w:val="single" w:sz="4" w:space="0" w:color="auto"/>
              <w:right w:val="single" w:sz="8" w:space="0" w:color="auto"/>
            </w:tcBorders>
            <w:shd w:val="clear" w:color="auto" w:fill="auto"/>
            <w:noWrap/>
            <w:vAlign w:val="center"/>
            <w:hideMark/>
          </w:tcPr>
          <w:p w14:paraId="5CC27D72" w14:textId="77777777" w:rsidR="00291B73" w:rsidRPr="00C7014F" w:rsidRDefault="00291B73" w:rsidP="00291B73">
            <w:pPr>
              <w:spacing w:after="0" w:line="240" w:lineRule="auto"/>
              <w:jc w:val="center"/>
              <w:rPr>
                <w:rFonts w:ascii="Palatino Linotype" w:eastAsia="Times New Roman" w:hAnsi="Palatino Linotype" w:cs="Arial"/>
                <w:b/>
                <w:bCs/>
                <w:sz w:val="18"/>
                <w:szCs w:val="18"/>
              </w:rPr>
            </w:pPr>
            <w:r w:rsidRPr="00C7014F">
              <w:rPr>
                <w:rFonts w:ascii="Palatino Linotype" w:eastAsia="Times New Roman" w:hAnsi="Palatino Linotype" w:cs="Arial"/>
                <w:b/>
                <w:bCs/>
                <w:sz w:val="18"/>
                <w:szCs w:val="18"/>
              </w:rPr>
              <w:t>HSR (m)</w:t>
            </w:r>
          </w:p>
        </w:tc>
      </w:tr>
      <w:tr w:rsidR="00C7014F" w:rsidRPr="00C7014F" w14:paraId="5149C122"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189AD72E"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DNB</w:t>
            </w:r>
          </w:p>
        </w:tc>
        <w:tc>
          <w:tcPr>
            <w:tcW w:w="1920" w:type="dxa"/>
            <w:tcBorders>
              <w:top w:val="nil"/>
              <w:left w:val="nil"/>
              <w:bottom w:val="single" w:sz="4" w:space="0" w:color="auto"/>
              <w:right w:val="single" w:sz="4" w:space="0" w:color="auto"/>
            </w:tcBorders>
            <w:shd w:val="clear" w:color="auto" w:fill="auto"/>
            <w:noWrap/>
            <w:vAlign w:val="center"/>
            <w:hideMark/>
          </w:tcPr>
          <w:p w14:paraId="073DB43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0.500 - 0.900</w:t>
            </w:r>
          </w:p>
        </w:tc>
        <w:tc>
          <w:tcPr>
            <w:tcW w:w="1380" w:type="dxa"/>
            <w:tcBorders>
              <w:top w:val="nil"/>
              <w:left w:val="nil"/>
              <w:bottom w:val="single" w:sz="4" w:space="0" w:color="auto"/>
              <w:right w:val="nil"/>
            </w:tcBorders>
            <w:shd w:val="clear" w:color="auto" w:fill="auto"/>
            <w:noWrap/>
            <w:vAlign w:val="center"/>
            <w:hideMark/>
          </w:tcPr>
          <w:p w14:paraId="6538484C"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w:t>
            </w:r>
          </w:p>
        </w:tc>
        <w:tc>
          <w:tcPr>
            <w:tcW w:w="1280" w:type="dxa"/>
            <w:tcBorders>
              <w:top w:val="nil"/>
              <w:left w:val="single" w:sz="8" w:space="0" w:color="auto"/>
              <w:bottom w:val="single" w:sz="4" w:space="0" w:color="auto"/>
              <w:right w:val="single" w:sz="4" w:space="0" w:color="auto"/>
            </w:tcBorders>
            <w:shd w:val="clear" w:color="auto" w:fill="auto"/>
            <w:noWrap/>
            <w:vAlign w:val="center"/>
            <w:hideMark/>
          </w:tcPr>
          <w:p w14:paraId="3B3A780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w:t>
            </w:r>
          </w:p>
        </w:tc>
        <w:tc>
          <w:tcPr>
            <w:tcW w:w="1840" w:type="dxa"/>
            <w:tcBorders>
              <w:top w:val="nil"/>
              <w:left w:val="nil"/>
              <w:bottom w:val="single" w:sz="4" w:space="0" w:color="auto"/>
              <w:right w:val="single" w:sz="4" w:space="0" w:color="auto"/>
            </w:tcBorders>
            <w:shd w:val="clear" w:color="auto" w:fill="auto"/>
            <w:noWrap/>
            <w:vAlign w:val="center"/>
            <w:hideMark/>
          </w:tcPr>
          <w:p w14:paraId="4D1B9E6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w:t>
            </w:r>
          </w:p>
        </w:tc>
        <w:tc>
          <w:tcPr>
            <w:tcW w:w="1360" w:type="dxa"/>
            <w:tcBorders>
              <w:top w:val="nil"/>
              <w:left w:val="nil"/>
              <w:bottom w:val="single" w:sz="4" w:space="0" w:color="auto"/>
              <w:right w:val="single" w:sz="8" w:space="0" w:color="auto"/>
            </w:tcBorders>
            <w:shd w:val="clear" w:color="auto" w:fill="auto"/>
            <w:noWrap/>
            <w:vAlign w:val="center"/>
            <w:hideMark/>
          </w:tcPr>
          <w:p w14:paraId="3797B00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w:t>
            </w:r>
          </w:p>
        </w:tc>
      </w:tr>
      <w:tr w:rsidR="00C7014F" w:rsidRPr="00C7014F" w14:paraId="00E94988"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5830A1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M1</w:t>
            </w:r>
          </w:p>
        </w:tc>
        <w:tc>
          <w:tcPr>
            <w:tcW w:w="1920" w:type="dxa"/>
            <w:tcBorders>
              <w:top w:val="nil"/>
              <w:left w:val="nil"/>
              <w:bottom w:val="single" w:sz="4" w:space="0" w:color="auto"/>
              <w:right w:val="single" w:sz="4" w:space="0" w:color="auto"/>
            </w:tcBorders>
            <w:shd w:val="clear" w:color="auto" w:fill="auto"/>
            <w:noWrap/>
            <w:vAlign w:val="bottom"/>
            <w:hideMark/>
          </w:tcPr>
          <w:p w14:paraId="5F27254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0.402 - 0.422</w:t>
            </w:r>
          </w:p>
        </w:tc>
        <w:tc>
          <w:tcPr>
            <w:tcW w:w="1380" w:type="dxa"/>
            <w:tcBorders>
              <w:top w:val="nil"/>
              <w:left w:val="nil"/>
              <w:bottom w:val="single" w:sz="4" w:space="0" w:color="auto"/>
              <w:right w:val="nil"/>
            </w:tcBorders>
            <w:shd w:val="clear" w:color="auto" w:fill="auto"/>
            <w:noWrap/>
            <w:vAlign w:val="bottom"/>
            <w:hideMark/>
          </w:tcPr>
          <w:p w14:paraId="7BCD86C7"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16B881C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8</w:t>
            </w:r>
          </w:p>
        </w:tc>
        <w:tc>
          <w:tcPr>
            <w:tcW w:w="1840" w:type="dxa"/>
            <w:tcBorders>
              <w:top w:val="nil"/>
              <w:left w:val="nil"/>
              <w:bottom w:val="single" w:sz="4" w:space="0" w:color="auto"/>
              <w:right w:val="single" w:sz="4" w:space="0" w:color="auto"/>
            </w:tcBorders>
            <w:shd w:val="clear" w:color="auto" w:fill="auto"/>
            <w:vAlign w:val="center"/>
            <w:hideMark/>
          </w:tcPr>
          <w:p w14:paraId="3F57379C"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0.405 - 0.420</w:t>
            </w:r>
          </w:p>
        </w:tc>
        <w:tc>
          <w:tcPr>
            <w:tcW w:w="1360" w:type="dxa"/>
            <w:tcBorders>
              <w:top w:val="nil"/>
              <w:left w:val="nil"/>
              <w:bottom w:val="single" w:sz="4" w:space="0" w:color="auto"/>
              <w:right w:val="single" w:sz="8" w:space="0" w:color="auto"/>
            </w:tcBorders>
            <w:shd w:val="clear" w:color="auto" w:fill="auto"/>
            <w:vAlign w:val="center"/>
            <w:hideMark/>
          </w:tcPr>
          <w:p w14:paraId="0FFD3BBC"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tc>
      </w:tr>
      <w:tr w:rsidR="00C7014F" w:rsidRPr="00C7014F" w14:paraId="36E47012"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0B69CA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M2</w:t>
            </w:r>
          </w:p>
        </w:tc>
        <w:tc>
          <w:tcPr>
            <w:tcW w:w="1920" w:type="dxa"/>
            <w:tcBorders>
              <w:top w:val="nil"/>
              <w:left w:val="nil"/>
              <w:bottom w:val="single" w:sz="4" w:space="0" w:color="auto"/>
              <w:right w:val="single" w:sz="4" w:space="0" w:color="auto"/>
            </w:tcBorders>
            <w:shd w:val="clear" w:color="auto" w:fill="auto"/>
            <w:noWrap/>
            <w:vAlign w:val="bottom"/>
            <w:hideMark/>
          </w:tcPr>
          <w:p w14:paraId="48A49FF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0.436 - 0.454</w:t>
            </w:r>
          </w:p>
        </w:tc>
        <w:tc>
          <w:tcPr>
            <w:tcW w:w="1380" w:type="dxa"/>
            <w:tcBorders>
              <w:top w:val="nil"/>
              <w:left w:val="nil"/>
              <w:bottom w:val="single" w:sz="4" w:space="0" w:color="auto"/>
              <w:right w:val="nil"/>
            </w:tcBorders>
            <w:shd w:val="clear" w:color="auto" w:fill="auto"/>
            <w:noWrap/>
            <w:vAlign w:val="bottom"/>
            <w:hideMark/>
          </w:tcPr>
          <w:p w14:paraId="6E9A92C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3AFDA0A1"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9</w:t>
            </w:r>
          </w:p>
        </w:tc>
        <w:tc>
          <w:tcPr>
            <w:tcW w:w="1840" w:type="dxa"/>
            <w:tcBorders>
              <w:top w:val="nil"/>
              <w:left w:val="nil"/>
              <w:bottom w:val="single" w:sz="4" w:space="0" w:color="auto"/>
              <w:right w:val="single" w:sz="4" w:space="0" w:color="auto"/>
            </w:tcBorders>
            <w:shd w:val="clear" w:color="auto" w:fill="auto"/>
            <w:vAlign w:val="center"/>
            <w:hideMark/>
          </w:tcPr>
          <w:p w14:paraId="2F080D2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0.438 - 0.448</w:t>
            </w:r>
          </w:p>
        </w:tc>
        <w:tc>
          <w:tcPr>
            <w:tcW w:w="1360" w:type="dxa"/>
            <w:tcBorders>
              <w:top w:val="nil"/>
              <w:left w:val="nil"/>
              <w:bottom w:val="single" w:sz="4" w:space="0" w:color="auto"/>
              <w:right w:val="single" w:sz="8" w:space="0" w:color="auto"/>
            </w:tcBorders>
            <w:shd w:val="clear" w:color="auto" w:fill="auto"/>
            <w:vAlign w:val="center"/>
            <w:hideMark/>
          </w:tcPr>
          <w:p w14:paraId="62ECF0F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tc>
      </w:tr>
      <w:tr w:rsidR="00C7014F" w:rsidRPr="00C7014F" w14:paraId="68D55363" w14:textId="77777777" w:rsidTr="003C02B8">
        <w:trPr>
          <w:trHeight w:val="4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74AC3B8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M3</w:t>
            </w:r>
          </w:p>
        </w:tc>
        <w:tc>
          <w:tcPr>
            <w:tcW w:w="1920" w:type="dxa"/>
            <w:tcBorders>
              <w:top w:val="nil"/>
              <w:left w:val="nil"/>
              <w:bottom w:val="single" w:sz="4" w:space="0" w:color="auto"/>
              <w:right w:val="single" w:sz="4" w:space="0" w:color="auto"/>
            </w:tcBorders>
            <w:shd w:val="clear" w:color="auto" w:fill="auto"/>
            <w:noWrap/>
            <w:vAlign w:val="center"/>
            <w:hideMark/>
          </w:tcPr>
          <w:p w14:paraId="0E75885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0.478 - 0.498</w:t>
            </w:r>
          </w:p>
        </w:tc>
        <w:tc>
          <w:tcPr>
            <w:tcW w:w="1380" w:type="dxa"/>
            <w:tcBorders>
              <w:top w:val="nil"/>
              <w:left w:val="nil"/>
              <w:bottom w:val="single" w:sz="4" w:space="0" w:color="auto"/>
              <w:right w:val="nil"/>
            </w:tcBorders>
            <w:shd w:val="clear" w:color="auto" w:fill="auto"/>
            <w:noWrap/>
            <w:vAlign w:val="center"/>
            <w:hideMark/>
          </w:tcPr>
          <w:p w14:paraId="4DFC055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23AA4EC4"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3</w:t>
            </w:r>
          </w:p>
          <w:p w14:paraId="58649F22" w14:textId="1208627F"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w:t>
            </w:r>
          </w:p>
        </w:tc>
        <w:tc>
          <w:tcPr>
            <w:tcW w:w="1840" w:type="dxa"/>
            <w:tcBorders>
              <w:top w:val="nil"/>
              <w:left w:val="nil"/>
              <w:bottom w:val="single" w:sz="4" w:space="0" w:color="auto"/>
              <w:right w:val="single" w:sz="4" w:space="0" w:color="auto"/>
            </w:tcBorders>
            <w:shd w:val="clear" w:color="auto" w:fill="auto"/>
            <w:vAlign w:val="center"/>
            <w:hideMark/>
          </w:tcPr>
          <w:p w14:paraId="2739C9B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0.459 - 0.479                0.483 - 0.493</w:t>
            </w:r>
          </w:p>
        </w:tc>
        <w:tc>
          <w:tcPr>
            <w:tcW w:w="1360" w:type="dxa"/>
            <w:tcBorders>
              <w:top w:val="nil"/>
              <w:left w:val="nil"/>
              <w:bottom w:val="single" w:sz="4" w:space="0" w:color="auto"/>
              <w:right w:val="single" w:sz="8" w:space="0" w:color="auto"/>
            </w:tcBorders>
            <w:shd w:val="clear" w:color="auto" w:fill="auto"/>
            <w:vAlign w:val="center"/>
            <w:hideMark/>
          </w:tcPr>
          <w:p w14:paraId="57DC20EA"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p w14:paraId="6EFC8709" w14:textId="17955B4C" w:rsidR="00291B73" w:rsidRPr="00C7014F" w:rsidRDefault="00E91A98"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w:t>
            </w:r>
            <w:r w:rsidR="00291B73" w:rsidRPr="00C7014F">
              <w:rPr>
                <w:rFonts w:ascii="Palatino Linotype" w:eastAsia="Times New Roman" w:hAnsi="Palatino Linotype" w:cs="Arial"/>
                <w:bCs/>
                <w:sz w:val="18"/>
                <w:szCs w:val="18"/>
              </w:rPr>
              <w:t xml:space="preserve"> 1000</w:t>
            </w:r>
          </w:p>
        </w:tc>
      </w:tr>
      <w:tr w:rsidR="00C7014F" w:rsidRPr="00C7014F" w14:paraId="0C118006" w14:textId="77777777" w:rsidTr="003C02B8">
        <w:trPr>
          <w:trHeight w:val="4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5AECE53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M4</w:t>
            </w:r>
          </w:p>
        </w:tc>
        <w:tc>
          <w:tcPr>
            <w:tcW w:w="1920" w:type="dxa"/>
            <w:tcBorders>
              <w:top w:val="nil"/>
              <w:left w:val="nil"/>
              <w:bottom w:val="single" w:sz="4" w:space="0" w:color="auto"/>
              <w:right w:val="single" w:sz="4" w:space="0" w:color="auto"/>
            </w:tcBorders>
            <w:shd w:val="clear" w:color="auto" w:fill="auto"/>
            <w:noWrap/>
            <w:vAlign w:val="center"/>
            <w:hideMark/>
          </w:tcPr>
          <w:p w14:paraId="4D2155A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0.545 - 0.565</w:t>
            </w:r>
          </w:p>
        </w:tc>
        <w:tc>
          <w:tcPr>
            <w:tcW w:w="1380" w:type="dxa"/>
            <w:tcBorders>
              <w:top w:val="nil"/>
              <w:left w:val="nil"/>
              <w:bottom w:val="single" w:sz="4" w:space="0" w:color="auto"/>
              <w:right w:val="nil"/>
            </w:tcBorders>
            <w:shd w:val="clear" w:color="auto" w:fill="auto"/>
            <w:noWrap/>
            <w:vAlign w:val="center"/>
            <w:hideMark/>
          </w:tcPr>
          <w:p w14:paraId="12E0B5A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24ACD877"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4</w:t>
            </w:r>
          </w:p>
          <w:p w14:paraId="51A4848E" w14:textId="0C1F37D0"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xml:space="preserve"> or 12</w:t>
            </w:r>
          </w:p>
        </w:tc>
        <w:tc>
          <w:tcPr>
            <w:tcW w:w="1840" w:type="dxa"/>
            <w:tcBorders>
              <w:top w:val="nil"/>
              <w:left w:val="nil"/>
              <w:bottom w:val="single" w:sz="4" w:space="0" w:color="auto"/>
              <w:right w:val="single" w:sz="4" w:space="0" w:color="auto"/>
            </w:tcBorders>
            <w:shd w:val="clear" w:color="auto" w:fill="auto"/>
            <w:vAlign w:val="center"/>
            <w:hideMark/>
          </w:tcPr>
          <w:p w14:paraId="2F7E15BA"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0.545 - 0.565           0.546 - 0.556</w:t>
            </w:r>
          </w:p>
        </w:tc>
        <w:tc>
          <w:tcPr>
            <w:tcW w:w="1360" w:type="dxa"/>
            <w:tcBorders>
              <w:top w:val="nil"/>
              <w:left w:val="nil"/>
              <w:bottom w:val="single" w:sz="4" w:space="0" w:color="auto"/>
              <w:right w:val="single" w:sz="8" w:space="0" w:color="auto"/>
            </w:tcBorders>
            <w:shd w:val="clear" w:color="auto" w:fill="auto"/>
            <w:vAlign w:val="center"/>
            <w:hideMark/>
          </w:tcPr>
          <w:p w14:paraId="27DD145C"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p w14:paraId="131447C1" w14:textId="70CDF280" w:rsidR="00291B73" w:rsidRPr="00C7014F" w:rsidRDefault="00E91A98"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w:t>
            </w:r>
            <w:r w:rsidR="00291B73" w:rsidRPr="00C7014F">
              <w:rPr>
                <w:rFonts w:ascii="Palatino Linotype" w:eastAsia="Times New Roman" w:hAnsi="Palatino Linotype" w:cs="Arial"/>
                <w:bCs/>
                <w:sz w:val="18"/>
                <w:szCs w:val="18"/>
              </w:rPr>
              <w:t xml:space="preserve"> 1000</w:t>
            </w:r>
          </w:p>
        </w:tc>
      </w:tr>
      <w:tr w:rsidR="00C7014F" w:rsidRPr="00C7014F" w14:paraId="0D45B4E1"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6690F8B"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I1</w:t>
            </w:r>
          </w:p>
        </w:tc>
        <w:tc>
          <w:tcPr>
            <w:tcW w:w="1920" w:type="dxa"/>
            <w:tcBorders>
              <w:top w:val="nil"/>
              <w:left w:val="nil"/>
              <w:bottom w:val="single" w:sz="4" w:space="0" w:color="auto"/>
              <w:right w:val="single" w:sz="4" w:space="0" w:color="auto"/>
            </w:tcBorders>
            <w:shd w:val="clear" w:color="auto" w:fill="auto"/>
            <w:noWrap/>
            <w:vAlign w:val="bottom"/>
            <w:hideMark/>
          </w:tcPr>
          <w:p w14:paraId="5786052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0.600 - 0.680</w:t>
            </w:r>
          </w:p>
        </w:tc>
        <w:tc>
          <w:tcPr>
            <w:tcW w:w="1380" w:type="dxa"/>
            <w:tcBorders>
              <w:top w:val="nil"/>
              <w:left w:val="nil"/>
              <w:bottom w:val="single" w:sz="4" w:space="0" w:color="auto"/>
              <w:right w:val="nil"/>
            </w:tcBorders>
            <w:shd w:val="clear" w:color="auto" w:fill="auto"/>
            <w:noWrap/>
            <w:vAlign w:val="bottom"/>
            <w:hideMark/>
          </w:tcPr>
          <w:p w14:paraId="4B80E28A"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375</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2A7FB08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w:t>
            </w:r>
          </w:p>
        </w:tc>
        <w:tc>
          <w:tcPr>
            <w:tcW w:w="1840" w:type="dxa"/>
            <w:tcBorders>
              <w:top w:val="nil"/>
              <w:left w:val="nil"/>
              <w:bottom w:val="single" w:sz="4" w:space="0" w:color="auto"/>
              <w:right w:val="single" w:sz="4" w:space="0" w:color="auto"/>
            </w:tcBorders>
            <w:shd w:val="clear" w:color="auto" w:fill="auto"/>
            <w:vAlign w:val="center"/>
            <w:hideMark/>
          </w:tcPr>
          <w:p w14:paraId="7FA3460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0.620 - 0.670</w:t>
            </w:r>
          </w:p>
        </w:tc>
        <w:tc>
          <w:tcPr>
            <w:tcW w:w="1360" w:type="dxa"/>
            <w:tcBorders>
              <w:top w:val="nil"/>
              <w:left w:val="nil"/>
              <w:bottom w:val="single" w:sz="4" w:space="0" w:color="auto"/>
              <w:right w:val="single" w:sz="8" w:space="0" w:color="auto"/>
            </w:tcBorders>
            <w:shd w:val="clear" w:color="auto" w:fill="auto"/>
            <w:vAlign w:val="center"/>
            <w:hideMark/>
          </w:tcPr>
          <w:p w14:paraId="35C2CD2B"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250</w:t>
            </w:r>
          </w:p>
        </w:tc>
      </w:tr>
      <w:tr w:rsidR="00C7014F" w:rsidRPr="00C7014F" w14:paraId="1C92F4D3" w14:textId="77777777" w:rsidTr="003C02B8">
        <w:trPr>
          <w:trHeight w:val="4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4638CF7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M5</w:t>
            </w:r>
          </w:p>
        </w:tc>
        <w:tc>
          <w:tcPr>
            <w:tcW w:w="1920" w:type="dxa"/>
            <w:tcBorders>
              <w:top w:val="nil"/>
              <w:left w:val="nil"/>
              <w:bottom w:val="single" w:sz="4" w:space="0" w:color="auto"/>
              <w:right w:val="single" w:sz="4" w:space="0" w:color="auto"/>
            </w:tcBorders>
            <w:shd w:val="clear" w:color="auto" w:fill="auto"/>
            <w:noWrap/>
            <w:vAlign w:val="center"/>
            <w:hideMark/>
          </w:tcPr>
          <w:p w14:paraId="0C7AE245"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0.662 - 0.682</w:t>
            </w:r>
          </w:p>
        </w:tc>
        <w:tc>
          <w:tcPr>
            <w:tcW w:w="1380" w:type="dxa"/>
            <w:tcBorders>
              <w:top w:val="nil"/>
              <w:left w:val="nil"/>
              <w:bottom w:val="single" w:sz="4" w:space="0" w:color="auto"/>
              <w:right w:val="nil"/>
            </w:tcBorders>
            <w:shd w:val="clear" w:color="auto" w:fill="auto"/>
            <w:noWrap/>
            <w:vAlign w:val="center"/>
            <w:hideMark/>
          </w:tcPr>
          <w:p w14:paraId="614717BA"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4745E1E9"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13</w:t>
            </w:r>
          </w:p>
          <w:p w14:paraId="7F663047" w14:textId="036B526D"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xml:space="preserve">  or 14</w:t>
            </w:r>
          </w:p>
        </w:tc>
        <w:tc>
          <w:tcPr>
            <w:tcW w:w="1840" w:type="dxa"/>
            <w:tcBorders>
              <w:top w:val="nil"/>
              <w:left w:val="nil"/>
              <w:bottom w:val="single" w:sz="4" w:space="0" w:color="auto"/>
              <w:right w:val="single" w:sz="4" w:space="0" w:color="auto"/>
            </w:tcBorders>
            <w:shd w:val="clear" w:color="auto" w:fill="auto"/>
            <w:vAlign w:val="center"/>
            <w:hideMark/>
          </w:tcPr>
          <w:p w14:paraId="0E5721B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0.662 - 0.672              0.673 - 0.683</w:t>
            </w:r>
          </w:p>
        </w:tc>
        <w:tc>
          <w:tcPr>
            <w:tcW w:w="1360" w:type="dxa"/>
            <w:tcBorders>
              <w:top w:val="nil"/>
              <w:left w:val="nil"/>
              <w:bottom w:val="single" w:sz="4" w:space="0" w:color="auto"/>
              <w:right w:val="single" w:sz="8" w:space="0" w:color="auto"/>
            </w:tcBorders>
            <w:shd w:val="clear" w:color="auto" w:fill="auto"/>
            <w:vAlign w:val="center"/>
            <w:hideMark/>
          </w:tcPr>
          <w:p w14:paraId="7E548C89"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p w14:paraId="3FB4F7CB" w14:textId="624B504D" w:rsidR="00291B73" w:rsidRPr="00C7014F" w:rsidRDefault="00E91A98"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w:t>
            </w:r>
            <w:r w:rsidR="00291B73" w:rsidRPr="00C7014F">
              <w:rPr>
                <w:rFonts w:ascii="Palatino Linotype" w:eastAsia="Times New Roman" w:hAnsi="Palatino Linotype" w:cs="Arial"/>
                <w:bCs/>
                <w:sz w:val="18"/>
                <w:szCs w:val="18"/>
              </w:rPr>
              <w:t xml:space="preserve"> 1000</w:t>
            </w:r>
          </w:p>
        </w:tc>
      </w:tr>
      <w:tr w:rsidR="00C7014F" w:rsidRPr="00C7014F" w14:paraId="579356A7"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CC7007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M6</w:t>
            </w:r>
          </w:p>
        </w:tc>
        <w:tc>
          <w:tcPr>
            <w:tcW w:w="1920" w:type="dxa"/>
            <w:tcBorders>
              <w:top w:val="nil"/>
              <w:left w:val="nil"/>
              <w:bottom w:val="single" w:sz="4" w:space="0" w:color="auto"/>
              <w:right w:val="single" w:sz="4" w:space="0" w:color="auto"/>
            </w:tcBorders>
            <w:shd w:val="clear" w:color="auto" w:fill="auto"/>
            <w:noWrap/>
            <w:vAlign w:val="bottom"/>
            <w:hideMark/>
          </w:tcPr>
          <w:p w14:paraId="0969CFD1"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0.739 - 0.754</w:t>
            </w:r>
          </w:p>
        </w:tc>
        <w:tc>
          <w:tcPr>
            <w:tcW w:w="1380" w:type="dxa"/>
            <w:tcBorders>
              <w:top w:val="nil"/>
              <w:left w:val="nil"/>
              <w:bottom w:val="single" w:sz="4" w:space="0" w:color="auto"/>
              <w:right w:val="nil"/>
            </w:tcBorders>
            <w:shd w:val="clear" w:color="auto" w:fill="auto"/>
            <w:noWrap/>
            <w:vAlign w:val="bottom"/>
            <w:hideMark/>
          </w:tcPr>
          <w:p w14:paraId="3B563EB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76B00E3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15</w:t>
            </w:r>
          </w:p>
        </w:tc>
        <w:tc>
          <w:tcPr>
            <w:tcW w:w="1840" w:type="dxa"/>
            <w:tcBorders>
              <w:top w:val="nil"/>
              <w:left w:val="nil"/>
              <w:bottom w:val="single" w:sz="4" w:space="0" w:color="auto"/>
              <w:right w:val="single" w:sz="4" w:space="0" w:color="auto"/>
            </w:tcBorders>
            <w:shd w:val="clear" w:color="auto" w:fill="auto"/>
            <w:vAlign w:val="center"/>
            <w:hideMark/>
          </w:tcPr>
          <w:p w14:paraId="5B1E9F8F"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0.743 - 0.753</w:t>
            </w:r>
          </w:p>
        </w:tc>
        <w:tc>
          <w:tcPr>
            <w:tcW w:w="1360" w:type="dxa"/>
            <w:tcBorders>
              <w:top w:val="nil"/>
              <w:left w:val="nil"/>
              <w:bottom w:val="single" w:sz="4" w:space="0" w:color="auto"/>
              <w:right w:val="single" w:sz="8" w:space="0" w:color="auto"/>
            </w:tcBorders>
            <w:shd w:val="clear" w:color="auto" w:fill="auto"/>
            <w:vAlign w:val="center"/>
            <w:hideMark/>
          </w:tcPr>
          <w:p w14:paraId="40DC1EB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tc>
      </w:tr>
      <w:tr w:rsidR="00C7014F" w:rsidRPr="00C7014F" w14:paraId="6848C3AF"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4A702E6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I2</w:t>
            </w:r>
          </w:p>
        </w:tc>
        <w:tc>
          <w:tcPr>
            <w:tcW w:w="1920" w:type="dxa"/>
            <w:tcBorders>
              <w:top w:val="nil"/>
              <w:left w:val="nil"/>
              <w:bottom w:val="single" w:sz="4" w:space="0" w:color="auto"/>
              <w:right w:val="single" w:sz="4" w:space="0" w:color="auto"/>
            </w:tcBorders>
            <w:shd w:val="clear" w:color="auto" w:fill="auto"/>
            <w:noWrap/>
            <w:vAlign w:val="bottom"/>
            <w:hideMark/>
          </w:tcPr>
          <w:p w14:paraId="4CB0977B"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0.846 - 0.885</w:t>
            </w:r>
          </w:p>
        </w:tc>
        <w:tc>
          <w:tcPr>
            <w:tcW w:w="1380" w:type="dxa"/>
            <w:tcBorders>
              <w:top w:val="nil"/>
              <w:left w:val="nil"/>
              <w:bottom w:val="single" w:sz="4" w:space="0" w:color="auto"/>
              <w:right w:val="nil"/>
            </w:tcBorders>
            <w:shd w:val="clear" w:color="auto" w:fill="auto"/>
            <w:noWrap/>
            <w:vAlign w:val="bottom"/>
            <w:hideMark/>
          </w:tcPr>
          <w:p w14:paraId="2DB02BC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375</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5A8BCF2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w:t>
            </w:r>
          </w:p>
        </w:tc>
        <w:tc>
          <w:tcPr>
            <w:tcW w:w="1840" w:type="dxa"/>
            <w:tcBorders>
              <w:top w:val="nil"/>
              <w:left w:val="nil"/>
              <w:bottom w:val="single" w:sz="4" w:space="0" w:color="auto"/>
              <w:right w:val="single" w:sz="4" w:space="0" w:color="auto"/>
            </w:tcBorders>
            <w:shd w:val="clear" w:color="auto" w:fill="auto"/>
            <w:vAlign w:val="center"/>
            <w:hideMark/>
          </w:tcPr>
          <w:p w14:paraId="4095DF0F"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0.841 - 0.876</w:t>
            </w:r>
          </w:p>
        </w:tc>
        <w:tc>
          <w:tcPr>
            <w:tcW w:w="1360" w:type="dxa"/>
            <w:tcBorders>
              <w:top w:val="nil"/>
              <w:left w:val="nil"/>
              <w:bottom w:val="single" w:sz="4" w:space="0" w:color="auto"/>
              <w:right w:val="single" w:sz="8" w:space="0" w:color="auto"/>
            </w:tcBorders>
            <w:shd w:val="clear" w:color="auto" w:fill="auto"/>
            <w:vAlign w:val="center"/>
            <w:hideMark/>
          </w:tcPr>
          <w:p w14:paraId="509B1385"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250</w:t>
            </w:r>
          </w:p>
        </w:tc>
      </w:tr>
      <w:tr w:rsidR="00C7014F" w:rsidRPr="00C7014F" w14:paraId="17016283" w14:textId="77777777" w:rsidTr="003C02B8">
        <w:trPr>
          <w:trHeight w:val="460"/>
        </w:trPr>
        <w:tc>
          <w:tcPr>
            <w:tcW w:w="1180" w:type="dxa"/>
            <w:tcBorders>
              <w:top w:val="nil"/>
              <w:left w:val="single" w:sz="8" w:space="0" w:color="auto"/>
              <w:bottom w:val="single" w:sz="4" w:space="0" w:color="auto"/>
              <w:right w:val="single" w:sz="4" w:space="0" w:color="auto"/>
            </w:tcBorders>
            <w:shd w:val="clear" w:color="auto" w:fill="auto"/>
            <w:noWrap/>
            <w:vAlign w:val="center"/>
            <w:hideMark/>
          </w:tcPr>
          <w:p w14:paraId="4A87FFC4" w14:textId="77777777" w:rsidR="00291B73" w:rsidRPr="00C7014F" w:rsidRDefault="00291B73" w:rsidP="003112D8">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M7</w:t>
            </w:r>
          </w:p>
        </w:tc>
        <w:tc>
          <w:tcPr>
            <w:tcW w:w="1920" w:type="dxa"/>
            <w:tcBorders>
              <w:top w:val="nil"/>
              <w:left w:val="nil"/>
              <w:bottom w:val="single" w:sz="4" w:space="0" w:color="auto"/>
              <w:right w:val="single" w:sz="4" w:space="0" w:color="auto"/>
            </w:tcBorders>
            <w:shd w:val="clear" w:color="auto" w:fill="auto"/>
            <w:noWrap/>
            <w:vAlign w:val="center"/>
            <w:hideMark/>
          </w:tcPr>
          <w:p w14:paraId="5E6BF152" w14:textId="77777777" w:rsidR="00291B73" w:rsidRPr="00C7014F" w:rsidRDefault="00291B73" w:rsidP="003112D8">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0.846 - 0.885</w:t>
            </w:r>
          </w:p>
        </w:tc>
        <w:tc>
          <w:tcPr>
            <w:tcW w:w="1380" w:type="dxa"/>
            <w:tcBorders>
              <w:top w:val="nil"/>
              <w:left w:val="nil"/>
              <w:bottom w:val="single" w:sz="4" w:space="0" w:color="auto"/>
              <w:right w:val="nil"/>
            </w:tcBorders>
            <w:shd w:val="clear" w:color="auto" w:fill="auto"/>
            <w:noWrap/>
            <w:vAlign w:val="center"/>
            <w:hideMark/>
          </w:tcPr>
          <w:p w14:paraId="6E15BEF0" w14:textId="77777777" w:rsidR="00291B73" w:rsidRPr="00C7014F" w:rsidRDefault="00291B73" w:rsidP="003112D8">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1C7EEE62"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16</w:t>
            </w:r>
          </w:p>
          <w:p w14:paraId="534AE975" w14:textId="003F6E81"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 xml:space="preserve"> or 2</w:t>
            </w:r>
          </w:p>
        </w:tc>
        <w:tc>
          <w:tcPr>
            <w:tcW w:w="1840" w:type="dxa"/>
            <w:tcBorders>
              <w:top w:val="nil"/>
              <w:left w:val="nil"/>
              <w:bottom w:val="single" w:sz="4" w:space="0" w:color="auto"/>
              <w:right w:val="single" w:sz="4" w:space="0" w:color="auto"/>
            </w:tcBorders>
            <w:shd w:val="clear" w:color="auto" w:fill="auto"/>
            <w:vAlign w:val="center"/>
            <w:hideMark/>
          </w:tcPr>
          <w:p w14:paraId="7BEB197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0.862 - 0.877          0.841 - 0.876</w:t>
            </w:r>
          </w:p>
        </w:tc>
        <w:tc>
          <w:tcPr>
            <w:tcW w:w="1360" w:type="dxa"/>
            <w:tcBorders>
              <w:top w:val="nil"/>
              <w:left w:val="nil"/>
              <w:bottom w:val="single" w:sz="4" w:space="0" w:color="auto"/>
              <w:right w:val="single" w:sz="8" w:space="0" w:color="auto"/>
            </w:tcBorders>
            <w:shd w:val="clear" w:color="auto" w:fill="auto"/>
            <w:vAlign w:val="center"/>
            <w:hideMark/>
          </w:tcPr>
          <w:p w14:paraId="41D13194" w14:textId="77777777" w:rsidR="003112D8"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p w14:paraId="053D2D59" w14:textId="4810A686" w:rsidR="00291B73" w:rsidRPr="00C7014F" w:rsidRDefault="00E91A98"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w:t>
            </w:r>
            <w:r w:rsidR="00291B73" w:rsidRPr="00C7014F">
              <w:rPr>
                <w:rFonts w:ascii="Palatino Linotype" w:eastAsia="Times New Roman" w:hAnsi="Palatino Linotype" w:cs="Arial"/>
                <w:bCs/>
                <w:sz w:val="18"/>
                <w:szCs w:val="18"/>
              </w:rPr>
              <w:t xml:space="preserve"> 250</w:t>
            </w:r>
          </w:p>
        </w:tc>
      </w:tr>
      <w:tr w:rsidR="00C7014F" w:rsidRPr="00C7014F" w14:paraId="7B12DF95"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2B2CF16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M8</w:t>
            </w:r>
          </w:p>
        </w:tc>
        <w:tc>
          <w:tcPr>
            <w:tcW w:w="1920" w:type="dxa"/>
            <w:tcBorders>
              <w:top w:val="nil"/>
              <w:left w:val="nil"/>
              <w:bottom w:val="single" w:sz="4" w:space="0" w:color="auto"/>
              <w:right w:val="single" w:sz="4" w:space="0" w:color="auto"/>
            </w:tcBorders>
            <w:shd w:val="clear" w:color="auto" w:fill="auto"/>
            <w:noWrap/>
            <w:vAlign w:val="bottom"/>
            <w:hideMark/>
          </w:tcPr>
          <w:p w14:paraId="76354CD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1.230 - 1.250</w:t>
            </w:r>
          </w:p>
        </w:tc>
        <w:tc>
          <w:tcPr>
            <w:tcW w:w="1380" w:type="dxa"/>
            <w:tcBorders>
              <w:top w:val="nil"/>
              <w:left w:val="nil"/>
              <w:bottom w:val="single" w:sz="4" w:space="0" w:color="auto"/>
              <w:right w:val="nil"/>
            </w:tcBorders>
            <w:shd w:val="clear" w:color="auto" w:fill="auto"/>
            <w:noWrap/>
            <w:vAlign w:val="bottom"/>
            <w:hideMark/>
          </w:tcPr>
          <w:p w14:paraId="75D1A0D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0613E539"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w:t>
            </w:r>
          </w:p>
        </w:tc>
        <w:tc>
          <w:tcPr>
            <w:tcW w:w="1840" w:type="dxa"/>
            <w:tcBorders>
              <w:top w:val="nil"/>
              <w:left w:val="nil"/>
              <w:bottom w:val="single" w:sz="4" w:space="0" w:color="auto"/>
              <w:right w:val="single" w:sz="4" w:space="0" w:color="auto"/>
            </w:tcBorders>
            <w:shd w:val="clear" w:color="auto" w:fill="auto"/>
            <w:vAlign w:val="center"/>
            <w:hideMark/>
          </w:tcPr>
          <w:p w14:paraId="444D6717"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SAME</w:t>
            </w:r>
          </w:p>
        </w:tc>
        <w:tc>
          <w:tcPr>
            <w:tcW w:w="1360" w:type="dxa"/>
            <w:tcBorders>
              <w:top w:val="nil"/>
              <w:left w:val="nil"/>
              <w:bottom w:val="single" w:sz="4" w:space="0" w:color="auto"/>
              <w:right w:val="single" w:sz="8" w:space="0" w:color="auto"/>
            </w:tcBorders>
            <w:shd w:val="clear" w:color="auto" w:fill="auto"/>
            <w:vAlign w:val="center"/>
            <w:hideMark/>
          </w:tcPr>
          <w:p w14:paraId="6878BDB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tc>
      </w:tr>
      <w:tr w:rsidR="00C7014F" w:rsidRPr="00C7014F" w14:paraId="70C2AD2B"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E18499F"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M9</w:t>
            </w:r>
          </w:p>
        </w:tc>
        <w:tc>
          <w:tcPr>
            <w:tcW w:w="1920" w:type="dxa"/>
            <w:tcBorders>
              <w:top w:val="nil"/>
              <w:left w:val="nil"/>
              <w:bottom w:val="single" w:sz="4" w:space="0" w:color="auto"/>
              <w:right w:val="single" w:sz="4" w:space="0" w:color="auto"/>
            </w:tcBorders>
            <w:shd w:val="clear" w:color="auto" w:fill="auto"/>
            <w:noWrap/>
            <w:vAlign w:val="bottom"/>
            <w:hideMark/>
          </w:tcPr>
          <w:p w14:paraId="24CD213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1.371 - 1.386</w:t>
            </w:r>
          </w:p>
        </w:tc>
        <w:tc>
          <w:tcPr>
            <w:tcW w:w="1380" w:type="dxa"/>
            <w:tcBorders>
              <w:top w:val="nil"/>
              <w:left w:val="nil"/>
              <w:bottom w:val="single" w:sz="4" w:space="0" w:color="auto"/>
              <w:right w:val="nil"/>
            </w:tcBorders>
            <w:shd w:val="clear" w:color="auto" w:fill="auto"/>
            <w:noWrap/>
            <w:vAlign w:val="bottom"/>
            <w:hideMark/>
          </w:tcPr>
          <w:p w14:paraId="6C802D9E"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0C630328"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26</w:t>
            </w:r>
          </w:p>
        </w:tc>
        <w:tc>
          <w:tcPr>
            <w:tcW w:w="1840" w:type="dxa"/>
            <w:tcBorders>
              <w:top w:val="nil"/>
              <w:left w:val="nil"/>
              <w:bottom w:val="single" w:sz="4" w:space="0" w:color="auto"/>
              <w:right w:val="single" w:sz="4" w:space="0" w:color="auto"/>
            </w:tcBorders>
            <w:shd w:val="clear" w:color="auto" w:fill="auto"/>
            <w:vAlign w:val="center"/>
            <w:hideMark/>
          </w:tcPr>
          <w:p w14:paraId="4D7CD9A4"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1.360 - 1.390</w:t>
            </w:r>
          </w:p>
        </w:tc>
        <w:tc>
          <w:tcPr>
            <w:tcW w:w="1360" w:type="dxa"/>
            <w:tcBorders>
              <w:top w:val="nil"/>
              <w:left w:val="nil"/>
              <w:bottom w:val="single" w:sz="4" w:space="0" w:color="auto"/>
              <w:right w:val="single" w:sz="8" w:space="0" w:color="auto"/>
            </w:tcBorders>
            <w:shd w:val="clear" w:color="auto" w:fill="auto"/>
            <w:vAlign w:val="center"/>
            <w:hideMark/>
          </w:tcPr>
          <w:p w14:paraId="49B646B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1000</w:t>
            </w:r>
          </w:p>
        </w:tc>
      </w:tr>
      <w:tr w:rsidR="00C7014F" w:rsidRPr="00C7014F" w14:paraId="22045961"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777A45A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I3</w:t>
            </w:r>
          </w:p>
        </w:tc>
        <w:tc>
          <w:tcPr>
            <w:tcW w:w="1920" w:type="dxa"/>
            <w:tcBorders>
              <w:top w:val="nil"/>
              <w:left w:val="nil"/>
              <w:bottom w:val="single" w:sz="4" w:space="0" w:color="auto"/>
              <w:right w:val="single" w:sz="4" w:space="0" w:color="auto"/>
            </w:tcBorders>
            <w:shd w:val="clear" w:color="auto" w:fill="auto"/>
            <w:noWrap/>
            <w:vAlign w:val="bottom"/>
            <w:hideMark/>
          </w:tcPr>
          <w:p w14:paraId="28CEFB6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1.580 - 1.640</w:t>
            </w:r>
          </w:p>
        </w:tc>
        <w:tc>
          <w:tcPr>
            <w:tcW w:w="1380" w:type="dxa"/>
            <w:tcBorders>
              <w:top w:val="nil"/>
              <w:left w:val="nil"/>
              <w:bottom w:val="single" w:sz="4" w:space="0" w:color="auto"/>
              <w:right w:val="nil"/>
            </w:tcBorders>
            <w:shd w:val="clear" w:color="auto" w:fill="auto"/>
            <w:noWrap/>
            <w:vAlign w:val="bottom"/>
            <w:hideMark/>
          </w:tcPr>
          <w:p w14:paraId="278F48E7"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375</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3EEC9F6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6</w:t>
            </w:r>
          </w:p>
        </w:tc>
        <w:tc>
          <w:tcPr>
            <w:tcW w:w="1840" w:type="dxa"/>
            <w:tcBorders>
              <w:top w:val="nil"/>
              <w:left w:val="nil"/>
              <w:bottom w:val="single" w:sz="4" w:space="0" w:color="auto"/>
              <w:right w:val="single" w:sz="4" w:space="0" w:color="auto"/>
            </w:tcBorders>
            <w:shd w:val="clear" w:color="auto" w:fill="auto"/>
            <w:vAlign w:val="center"/>
            <w:hideMark/>
          </w:tcPr>
          <w:p w14:paraId="16AB47CC"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1.628 - 1.652</w:t>
            </w:r>
          </w:p>
        </w:tc>
        <w:tc>
          <w:tcPr>
            <w:tcW w:w="1360" w:type="dxa"/>
            <w:tcBorders>
              <w:top w:val="nil"/>
              <w:left w:val="nil"/>
              <w:bottom w:val="single" w:sz="4" w:space="0" w:color="auto"/>
              <w:right w:val="single" w:sz="8" w:space="0" w:color="auto"/>
            </w:tcBorders>
            <w:shd w:val="clear" w:color="auto" w:fill="auto"/>
            <w:vAlign w:val="center"/>
            <w:hideMark/>
          </w:tcPr>
          <w:p w14:paraId="43EE24BE"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tc>
      </w:tr>
      <w:tr w:rsidR="00C7014F" w:rsidRPr="00C7014F" w14:paraId="0C853A61" w14:textId="77777777" w:rsidTr="003C02B8">
        <w:trPr>
          <w:trHeight w:val="290"/>
        </w:trPr>
        <w:tc>
          <w:tcPr>
            <w:tcW w:w="1180" w:type="dxa"/>
            <w:tcBorders>
              <w:top w:val="nil"/>
              <w:left w:val="single" w:sz="8" w:space="0" w:color="auto"/>
              <w:bottom w:val="single" w:sz="4" w:space="0" w:color="auto"/>
              <w:right w:val="single" w:sz="4" w:space="0" w:color="auto"/>
            </w:tcBorders>
            <w:shd w:val="clear" w:color="auto" w:fill="auto"/>
            <w:noWrap/>
            <w:vAlign w:val="bottom"/>
            <w:hideMark/>
          </w:tcPr>
          <w:p w14:paraId="1BE5953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M10</w:t>
            </w:r>
          </w:p>
        </w:tc>
        <w:tc>
          <w:tcPr>
            <w:tcW w:w="1920" w:type="dxa"/>
            <w:tcBorders>
              <w:top w:val="nil"/>
              <w:left w:val="nil"/>
              <w:bottom w:val="single" w:sz="4" w:space="0" w:color="auto"/>
              <w:right w:val="single" w:sz="4" w:space="0" w:color="auto"/>
            </w:tcBorders>
            <w:shd w:val="clear" w:color="auto" w:fill="auto"/>
            <w:noWrap/>
            <w:vAlign w:val="bottom"/>
            <w:hideMark/>
          </w:tcPr>
          <w:p w14:paraId="519B0513"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1.580 - 1.640</w:t>
            </w:r>
          </w:p>
        </w:tc>
        <w:tc>
          <w:tcPr>
            <w:tcW w:w="1380" w:type="dxa"/>
            <w:tcBorders>
              <w:top w:val="nil"/>
              <w:left w:val="nil"/>
              <w:bottom w:val="single" w:sz="4" w:space="0" w:color="auto"/>
              <w:right w:val="nil"/>
            </w:tcBorders>
            <w:shd w:val="clear" w:color="auto" w:fill="auto"/>
            <w:noWrap/>
            <w:vAlign w:val="bottom"/>
            <w:hideMark/>
          </w:tcPr>
          <w:p w14:paraId="431E816B"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4" w:space="0" w:color="auto"/>
              <w:right w:val="single" w:sz="4" w:space="0" w:color="auto"/>
            </w:tcBorders>
            <w:shd w:val="clear" w:color="auto" w:fill="auto"/>
            <w:vAlign w:val="center"/>
            <w:hideMark/>
          </w:tcPr>
          <w:p w14:paraId="0457C5B5"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6</w:t>
            </w:r>
          </w:p>
        </w:tc>
        <w:tc>
          <w:tcPr>
            <w:tcW w:w="1840" w:type="dxa"/>
            <w:tcBorders>
              <w:top w:val="nil"/>
              <w:left w:val="nil"/>
              <w:bottom w:val="single" w:sz="4" w:space="0" w:color="auto"/>
              <w:right w:val="single" w:sz="4" w:space="0" w:color="auto"/>
            </w:tcBorders>
            <w:shd w:val="clear" w:color="auto" w:fill="auto"/>
            <w:vAlign w:val="center"/>
            <w:hideMark/>
          </w:tcPr>
          <w:p w14:paraId="3648707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1.628 - 1.652</w:t>
            </w:r>
          </w:p>
        </w:tc>
        <w:tc>
          <w:tcPr>
            <w:tcW w:w="1360" w:type="dxa"/>
            <w:tcBorders>
              <w:top w:val="nil"/>
              <w:left w:val="nil"/>
              <w:bottom w:val="single" w:sz="4" w:space="0" w:color="auto"/>
              <w:right w:val="single" w:sz="8" w:space="0" w:color="auto"/>
            </w:tcBorders>
            <w:shd w:val="clear" w:color="auto" w:fill="auto"/>
            <w:vAlign w:val="center"/>
            <w:hideMark/>
          </w:tcPr>
          <w:p w14:paraId="140E8807"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tc>
      </w:tr>
      <w:tr w:rsidR="00291B73" w:rsidRPr="00C7014F" w14:paraId="1C8AE7CF" w14:textId="77777777" w:rsidTr="003C02B8">
        <w:trPr>
          <w:trHeight w:val="300"/>
        </w:trPr>
        <w:tc>
          <w:tcPr>
            <w:tcW w:w="1180" w:type="dxa"/>
            <w:tcBorders>
              <w:top w:val="nil"/>
              <w:left w:val="single" w:sz="8" w:space="0" w:color="auto"/>
              <w:bottom w:val="single" w:sz="8" w:space="0" w:color="auto"/>
              <w:right w:val="single" w:sz="4" w:space="0" w:color="auto"/>
            </w:tcBorders>
            <w:shd w:val="clear" w:color="auto" w:fill="auto"/>
            <w:noWrap/>
            <w:vAlign w:val="bottom"/>
            <w:hideMark/>
          </w:tcPr>
          <w:p w14:paraId="6E1D59CD"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M11</w:t>
            </w:r>
          </w:p>
        </w:tc>
        <w:tc>
          <w:tcPr>
            <w:tcW w:w="1920" w:type="dxa"/>
            <w:tcBorders>
              <w:top w:val="nil"/>
              <w:left w:val="nil"/>
              <w:bottom w:val="single" w:sz="8" w:space="0" w:color="auto"/>
              <w:right w:val="single" w:sz="4" w:space="0" w:color="auto"/>
            </w:tcBorders>
            <w:shd w:val="clear" w:color="auto" w:fill="auto"/>
            <w:noWrap/>
            <w:vAlign w:val="bottom"/>
            <w:hideMark/>
          </w:tcPr>
          <w:p w14:paraId="770B0102"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2.225 - 2.275</w:t>
            </w:r>
          </w:p>
        </w:tc>
        <w:tc>
          <w:tcPr>
            <w:tcW w:w="1380" w:type="dxa"/>
            <w:tcBorders>
              <w:top w:val="nil"/>
              <w:left w:val="nil"/>
              <w:bottom w:val="single" w:sz="8" w:space="0" w:color="auto"/>
              <w:right w:val="nil"/>
            </w:tcBorders>
            <w:shd w:val="clear" w:color="auto" w:fill="auto"/>
            <w:noWrap/>
            <w:vAlign w:val="bottom"/>
            <w:hideMark/>
          </w:tcPr>
          <w:p w14:paraId="7C32AD86"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750</w:t>
            </w:r>
          </w:p>
        </w:tc>
        <w:tc>
          <w:tcPr>
            <w:tcW w:w="1280" w:type="dxa"/>
            <w:tcBorders>
              <w:top w:val="nil"/>
              <w:left w:val="single" w:sz="8" w:space="0" w:color="auto"/>
              <w:bottom w:val="single" w:sz="8" w:space="0" w:color="auto"/>
              <w:right w:val="single" w:sz="4" w:space="0" w:color="auto"/>
            </w:tcBorders>
            <w:shd w:val="clear" w:color="auto" w:fill="auto"/>
            <w:vAlign w:val="center"/>
            <w:hideMark/>
          </w:tcPr>
          <w:p w14:paraId="3F37DB0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7</w:t>
            </w:r>
          </w:p>
        </w:tc>
        <w:tc>
          <w:tcPr>
            <w:tcW w:w="1840" w:type="dxa"/>
            <w:tcBorders>
              <w:top w:val="nil"/>
              <w:left w:val="nil"/>
              <w:bottom w:val="single" w:sz="8" w:space="0" w:color="auto"/>
              <w:right w:val="single" w:sz="4" w:space="0" w:color="auto"/>
            </w:tcBorders>
            <w:shd w:val="clear" w:color="auto" w:fill="auto"/>
            <w:vAlign w:val="center"/>
            <w:hideMark/>
          </w:tcPr>
          <w:p w14:paraId="5CD96970"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2.105 - 2.155</w:t>
            </w:r>
          </w:p>
        </w:tc>
        <w:tc>
          <w:tcPr>
            <w:tcW w:w="1360" w:type="dxa"/>
            <w:tcBorders>
              <w:top w:val="nil"/>
              <w:left w:val="nil"/>
              <w:bottom w:val="single" w:sz="8" w:space="0" w:color="auto"/>
              <w:right w:val="single" w:sz="8" w:space="0" w:color="auto"/>
            </w:tcBorders>
            <w:shd w:val="clear" w:color="auto" w:fill="auto"/>
            <w:vAlign w:val="center"/>
            <w:hideMark/>
          </w:tcPr>
          <w:p w14:paraId="1BAED0BF" w14:textId="77777777" w:rsidR="00291B73" w:rsidRPr="00C7014F" w:rsidRDefault="00291B73" w:rsidP="00291B73">
            <w:pPr>
              <w:spacing w:after="0" w:line="240" w:lineRule="auto"/>
              <w:jc w:val="center"/>
              <w:rPr>
                <w:rFonts w:ascii="Palatino Linotype" w:eastAsia="Times New Roman" w:hAnsi="Palatino Linotype" w:cs="Arial"/>
                <w:bCs/>
                <w:sz w:val="18"/>
                <w:szCs w:val="18"/>
              </w:rPr>
            </w:pPr>
            <w:r w:rsidRPr="00C7014F">
              <w:rPr>
                <w:rFonts w:ascii="Palatino Linotype" w:eastAsia="Times New Roman" w:hAnsi="Palatino Linotype" w:cs="Arial"/>
                <w:bCs/>
                <w:sz w:val="18"/>
                <w:szCs w:val="18"/>
              </w:rPr>
              <w:t>500</w:t>
            </w:r>
          </w:p>
        </w:tc>
      </w:tr>
    </w:tbl>
    <w:p w14:paraId="3822E397" w14:textId="3C49EF6B" w:rsidR="00F47C43" w:rsidRPr="00C7014F" w:rsidRDefault="00F47C43" w:rsidP="00291B73">
      <w:pPr>
        <w:spacing w:after="0"/>
      </w:pPr>
    </w:p>
    <w:p w14:paraId="4A68222D" w14:textId="3233FCE5" w:rsidR="00291B73" w:rsidRPr="00C7014F" w:rsidRDefault="00291B73" w:rsidP="00291B73">
      <w:pPr>
        <w:pStyle w:val="MDPI21heading1"/>
        <w:spacing w:before="120" w:line="240" w:lineRule="auto"/>
        <w:jc w:val="both"/>
        <w:rPr>
          <w:b w:val="0"/>
          <w:color w:val="auto"/>
        </w:rPr>
      </w:pPr>
      <w:r w:rsidRPr="00C7014F">
        <w:rPr>
          <w:b w:val="0"/>
          <w:color w:val="auto"/>
        </w:rPr>
        <w:t xml:space="preserve">In the following, we provide a brief overview of MODIS and VIIRS solar and lunar calibration methodologies in Section 2, along with their applications for the RSB on-orbit calibration. The approaches of using lunar observations for MODIS and VIIRS RSB calibration inter-comparison are presented in Section 3, as well as the adjustments or corrections applied to address the impact due to sensor specific RSR and </w:t>
      </w:r>
      <w:r w:rsidR="00626663" w:rsidRPr="00C7014F">
        <w:rPr>
          <w:b w:val="0"/>
          <w:color w:val="auto"/>
        </w:rPr>
        <w:t>selected</w:t>
      </w:r>
      <w:r w:rsidRPr="00C7014F">
        <w:rPr>
          <w:b w:val="0"/>
          <w:color w:val="auto"/>
        </w:rPr>
        <w:t xml:space="preserve"> solar spectra. Section 4 presents the results of this study, including examples of the lunar irradiance trending based on sensor measurements and that from the ROLO model prediction, and the calibration differences between two MODIS, two VIIRS, and MODIS and VIIRS instruments. Also discussed in Section 4 are key uncertainty contributors involved in the lunar calibration inter-comparison process, as well as a comparison </w:t>
      </w:r>
      <w:r w:rsidR="00622009" w:rsidRPr="00C7014F">
        <w:rPr>
          <w:b w:val="0"/>
          <w:color w:val="auto"/>
        </w:rPr>
        <w:t>of</w:t>
      </w:r>
      <w:r w:rsidRPr="00C7014F">
        <w:rPr>
          <w:b w:val="0"/>
          <w:color w:val="auto"/>
        </w:rPr>
        <w:t xml:space="preserve"> calibration differences derived from lunar observations with that from the EV observations. Section 5 is a short summary of this study. As illustrated in this paper, both MOD</w:t>
      </w:r>
      <w:r w:rsidR="00166293" w:rsidRPr="00C7014F">
        <w:rPr>
          <w:b w:val="0"/>
          <w:color w:val="auto"/>
        </w:rPr>
        <w:t xml:space="preserve">IS and VIIRS RSB have been well </w:t>
      </w:r>
      <w:r w:rsidRPr="00C7014F">
        <w:rPr>
          <w:b w:val="0"/>
          <w:color w:val="auto"/>
        </w:rPr>
        <w:t xml:space="preserve">calibrated using their on-board solar diffusers and lunar observations, allowing high quality data products to be generated over their entire missions. The calibration differences between the Terra and Aqua MODIS VIS/NIR bands are generally small, within their combined uncertainties. For the two VIIRS instruments, however, several band pairs have shown large calibration differences of up to </w:t>
      </w:r>
      <w:r w:rsidR="00C15A10" w:rsidRPr="00C7014F">
        <w:rPr>
          <w:b w:val="0"/>
          <w:color w:val="auto"/>
        </w:rPr>
        <w:t>3.8</w:t>
      </w:r>
      <w:r w:rsidR="00622009" w:rsidRPr="00C7014F">
        <w:rPr>
          <w:b w:val="0"/>
          <w:color w:val="auto"/>
        </w:rPr>
        <w:t>%</w:t>
      </w:r>
      <w:r w:rsidRPr="00C7014F">
        <w:rPr>
          <w:b w:val="0"/>
          <w:color w:val="auto"/>
        </w:rPr>
        <w:t xml:space="preserve"> that are likely </w:t>
      </w:r>
      <w:r w:rsidR="00622009" w:rsidRPr="00C7014F">
        <w:rPr>
          <w:b w:val="0"/>
          <w:color w:val="auto"/>
        </w:rPr>
        <w:t>due to</w:t>
      </w:r>
      <w:r w:rsidRPr="00C7014F">
        <w:rPr>
          <w:b w:val="0"/>
          <w:color w:val="auto"/>
        </w:rPr>
        <w:t xml:space="preserve"> larger than expected pre-launch calibration uncertainties </w:t>
      </w:r>
      <w:r w:rsidR="00622009" w:rsidRPr="00C7014F">
        <w:rPr>
          <w:b w:val="0"/>
          <w:color w:val="auto"/>
        </w:rPr>
        <w:lastRenderedPageBreak/>
        <w:t>associated with</w:t>
      </w:r>
      <w:r w:rsidRPr="00C7014F">
        <w:rPr>
          <w:b w:val="0"/>
          <w:color w:val="auto"/>
        </w:rPr>
        <w:t xml:space="preserve"> their solar </w:t>
      </w:r>
      <w:r w:rsidR="00C15A10" w:rsidRPr="00C7014F">
        <w:rPr>
          <w:b w:val="0"/>
          <w:color w:val="auto"/>
        </w:rPr>
        <w:t xml:space="preserve">diffuser </w:t>
      </w:r>
      <w:r w:rsidRPr="00C7014F">
        <w:rPr>
          <w:b w:val="0"/>
          <w:color w:val="auto"/>
        </w:rPr>
        <w:t xml:space="preserve">calibration system. Results of this study will greatly help the science community and algorithm developers with a better understanding of MODIS and VIIRS calibration quality and </w:t>
      </w:r>
      <w:r w:rsidR="00F42832" w:rsidRPr="00C7014F">
        <w:rPr>
          <w:b w:val="0"/>
          <w:color w:val="auto"/>
        </w:rPr>
        <w:t xml:space="preserve">calibration biases in the current data products </w:t>
      </w:r>
      <w:r w:rsidRPr="00C7014F">
        <w:rPr>
          <w:b w:val="0"/>
          <w:color w:val="auto"/>
        </w:rPr>
        <w:t>and support their efforts, including strategies to address sensor differences, to generate high-quality climate data records using observations from multiple sensors. The approaches and techniques presented in this paper will also benefit other Earth-observing instruments that either have acquired or plan to acquire on-orbit lunar observations for their calibration stability monitoring and calibration inter-comparisons with other instruments and for generation of consistent environmental data products.</w:t>
      </w:r>
    </w:p>
    <w:p w14:paraId="7B72C06C" w14:textId="77777777" w:rsidR="00291B73" w:rsidRPr="00C7014F" w:rsidRDefault="00291B73"/>
    <w:p w14:paraId="2D81D96B" w14:textId="7610A1E7" w:rsidR="004A2E39" w:rsidRPr="00C7014F" w:rsidRDefault="004A2E39" w:rsidP="004A2E39">
      <w:pPr>
        <w:spacing w:after="120" w:line="300" w:lineRule="exact"/>
        <w:rPr>
          <w:rFonts w:ascii="Palatino Linotype" w:hAnsi="Palatino Linotype"/>
          <w:sz w:val="20"/>
          <w:szCs w:val="20"/>
        </w:rPr>
      </w:pPr>
      <w:r w:rsidRPr="00C7014F">
        <w:rPr>
          <w:rFonts w:ascii="Palatino Linotype" w:hAnsi="Palatino Linotype"/>
          <w:b/>
          <w:sz w:val="20"/>
          <w:szCs w:val="20"/>
        </w:rPr>
        <w:t>2.   MODIS and VIIRS Solar and Lunar Calibration</w:t>
      </w:r>
    </w:p>
    <w:p w14:paraId="697EB53C" w14:textId="506FFEFB" w:rsidR="009D1A3D" w:rsidRPr="00C7014F" w:rsidRDefault="004A2E39" w:rsidP="00C260B4">
      <w:pPr>
        <w:pStyle w:val="ListParagraph"/>
        <w:spacing w:before="120" w:after="120"/>
        <w:ind w:left="0"/>
        <w:contextualSpacing w:val="0"/>
        <w:jc w:val="both"/>
        <w:rPr>
          <w:rFonts w:ascii="Palatino Linotype" w:hAnsi="Palatino Linotype"/>
          <w:sz w:val="20"/>
        </w:rPr>
      </w:pPr>
      <w:r w:rsidRPr="00C7014F">
        <w:rPr>
          <w:rFonts w:ascii="Palatino Linotype" w:hAnsi="Palatino Linotype"/>
          <w:sz w:val="20"/>
        </w:rPr>
        <w:t xml:space="preserve">In this section, the MODIS and VIIRS RSB </w:t>
      </w:r>
      <w:r w:rsidR="000E5897" w:rsidRPr="00C7014F">
        <w:rPr>
          <w:rFonts w:ascii="Palatino Linotype" w:hAnsi="Palatino Linotype"/>
          <w:sz w:val="20"/>
        </w:rPr>
        <w:t xml:space="preserve">solar and lunar </w:t>
      </w:r>
      <w:r w:rsidRPr="00C7014F">
        <w:rPr>
          <w:rFonts w:ascii="Palatino Linotype" w:hAnsi="Palatino Linotype"/>
          <w:sz w:val="20"/>
        </w:rPr>
        <w:t>calibration algorithms</w:t>
      </w:r>
      <w:r w:rsidR="000E5897" w:rsidRPr="00C7014F">
        <w:rPr>
          <w:rFonts w:ascii="Palatino Linotype" w:hAnsi="Palatino Linotype"/>
          <w:sz w:val="20"/>
        </w:rPr>
        <w:t xml:space="preserve"> </w:t>
      </w:r>
      <w:r w:rsidR="00FD7357" w:rsidRPr="00C7014F">
        <w:rPr>
          <w:rFonts w:ascii="Palatino Linotype" w:hAnsi="Palatino Linotype"/>
          <w:sz w:val="20"/>
        </w:rPr>
        <w:t xml:space="preserve">and results </w:t>
      </w:r>
      <w:r w:rsidR="000E5897" w:rsidRPr="00C7014F">
        <w:rPr>
          <w:rFonts w:ascii="Palatino Linotype" w:hAnsi="Palatino Linotype"/>
          <w:sz w:val="20"/>
        </w:rPr>
        <w:t xml:space="preserve">applied in support of their </w:t>
      </w:r>
      <w:r w:rsidRPr="00C7014F">
        <w:rPr>
          <w:rFonts w:ascii="Palatino Linotype" w:hAnsi="Palatino Linotype"/>
          <w:sz w:val="20"/>
        </w:rPr>
        <w:t xml:space="preserve">L1B </w:t>
      </w:r>
      <w:r w:rsidR="000E5897" w:rsidRPr="00C7014F">
        <w:rPr>
          <w:rFonts w:ascii="Palatino Linotype" w:hAnsi="Palatino Linotype"/>
          <w:sz w:val="20"/>
        </w:rPr>
        <w:t>production are presented</w:t>
      </w:r>
      <w:r w:rsidR="00FD7357" w:rsidRPr="00C7014F">
        <w:rPr>
          <w:rFonts w:ascii="Palatino Linotype" w:hAnsi="Palatino Linotype"/>
          <w:sz w:val="20"/>
        </w:rPr>
        <w:t xml:space="preserve"> </w:t>
      </w:r>
      <w:r w:rsidR="00E9314E" w:rsidRPr="00C7014F">
        <w:rPr>
          <w:rFonts w:ascii="Palatino Linotype" w:hAnsi="Palatino Linotype"/>
          <w:sz w:val="20"/>
        </w:rPr>
        <w:t xml:space="preserve">with </w:t>
      </w:r>
      <w:r w:rsidR="00385B48" w:rsidRPr="00C7014F">
        <w:rPr>
          <w:rFonts w:ascii="Palatino Linotype" w:hAnsi="Palatino Linotype"/>
          <w:sz w:val="20"/>
        </w:rPr>
        <w:t>the</w:t>
      </w:r>
      <w:r w:rsidR="00E9314E" w:rsidRPr="00C7014F">
        <w:rPr>
          <w:rFonts w:ascii="Palatino Linotype" w:hAnsi="Palatino Linotype"/>
          <w:sz w:val="20"/>
        </w:rPr>
        <w:t xml:space="preserve"> </w:t>
      </w:r>
      <w:r w:rsidR="003936D3" w:rsidRPr="00C7014F">
        <w:rPr>
          <w:rFonts w:ascii="Palatino Linotype" w:hAnsi="Palatino Linotype"/>
          <w:sz w:val="20"/>
        </w:rPr>
        <w:t xml:space="preserve">main </w:t>
      </w:r>
      <w:r w:rsidR="00E9314E" w:rsidRPr="00C7014F">
        <w:rPr>
          <w:rFonts w:ascii="Palatino Linotype" w:hAnsi="Palatino Linotype"/>
          <w:sz w:val="20"/>
        </w:rPr>
        <w:t>focus</w:t>
      </w:r>
      <w:r w:rsidR="00F0040F" w:rsidRPr="00C7014F">
        <w:rPr>
          <w:rFonts w:ascii="Palatino Linotype" w:hAnsi="Palatino Linotype"/>
          <w:sz w:val="20"/>
        </w:rPr>
        <w:t xml:space="preserve"> on </w:t>
      </w:r>
      <w:r w:rsidR="000E5897" w:rsidRPr="00C7014F">
        <w:rPr>
          <w:rFonts w:ascii="Palatino Linotype" w:hAnsi="Palatino Linotype"/>
          <w:sz w:val="20"/>
        </w:rPr>
        <w:t>their</w:t>
      </w:r>
      <w:r w:rsidRPr="00C7014F">
        <w:rPr>
          <w:rFonts w:ascii="Palatino Linotype" w:hAnsi="Palatino Linotype"/>
          <w:sz w:val="20"/>
        </w:rPr>
        <w:t xml:space="preserve"> calibration similarities and differences. For both Terra and Aqua MODIS, the </w:t>
      </w:r>
      <w:r w:rsidR="003936D3" w:rsidRPr="00C7014F">
        <w:rPr>
          <w:rFonts w:ascii="Palatino Linotype" w:hAnsi="Palatino Linotype"/>
          <w:sz w:val="20"/>
        </w:rPr>
        <w:t xml:space="preserve">current </w:t>
      </w:r>
      <w:r w:rsidRPr="00C7014F">
        <w:rPr>
          <w:rFonts w:ascii="Palatino Linotype" w:hAnsi="Palatino Linotype"/>
          <w:sz w:val="20"/>
        </w:rPr>
        <w:t xml:space="preserve">L1B </w:t>
      </w:r>
      <w:r w:rsidR="00FD7357" w:rsidRPr="00C7014F">
        <w:rPr>
          <w:rFonts w:ascii="Palatino Linotype" w:hAnsi="Palatino Linotype"/>
          <w:sz w:val="20"/>
        </w:rPr>
        <w:t>in production</w:t>
      </w:r>
      <w:r w:rsidRPr="00C7014F">
        <w:rPr>
          <w:rFonts w:ascii="Palatino Linotype" w:hAnsi="Palatino Linotype"/>
          <w:sz w:val="20"/>
        </w:rPr>
        <w:t xml:space="preserve"> is Collection 6.1 (C6.1)</w:t>
      </w:r>
      <w:r w:rsidR="00CC57E4" w:rsidRPr="00C7014F">
        <w:rPr>
          <w:rFonts w:ascii="Palatino Linotype" w:hAnsi="Palatino Linotype"/>
          <w:sz w:val="20"/>
        </w:rPr>
        <w:t xml:space="preserve">. </w:t>
      </w:r>
      <w:r w:rsidR="00FD7357" w:rsidRPr="00C7014F">
        <w:rPr>
          <w:rFonts w:ascii="Palatino Linotype" w:hAnsi="Palatino Linotype"/>
          <w:sz w:val="20"/>
        </w:rPr>
        <w:t xml:space="preserve">Recently, the </w:t>
      </w:r>
      <w:r w:rsidRPr="00C7014F">
        <w:rPr>
          <w:rFonts w:ascii="Palatino Linotype" w:hAnsi="Palatino Linotype"/>
          <w:sz w:val="20"/>
        </w:rPr>
        <w:t xml:space="preserve">MODIS Characterization Support Team (MCST) </w:t>
      </w:r>
      <w:r w:rsidR="00DA6434" w:rsidRPr="00C7014F">
        <w:rPr>
          <w:rFonts w:ascii="Palatino Linotype" w:hAnsi="Palatino Linotype"/>
          <w:sz w:val="20"/>
        </w:rPr>
        <w:t xml:space="preserve">has </w:t>
      </w:r>
      <w:r w:rsidR="00FD7357" w:rsidRPr="00C7014F">
        <w:rPr>
          <w:rFonts w:ascii="Palatino Linotype" w:hAnsi="Palatino Linotype"/>
          <w:sz w:val="20"/>
        </w:rPr>
        <w:t xml:space="preserve">completed and </w:t>
      </w:r>
      <w:r w:rsidRPr="00C7014F">
        <w:rPr>
          <w:rFonts w:ascii="Palatino Linotype" w:hAnsi="Palatino Linotype"/>
          <w:sz w:val="20"/>
        </w:rPr>
        <w:t xml:space="preserve">delivered </w:t>
      </w:r>
      <w:r w:rsidR="003936D3" w:rsidRPr="00C7014F">
        <w:rPr>
          <w:rFonts w:ascii="Palatino Linotype" w:hAnsi="Palatino Linotype"/>
          <w:sz w:val="20"/>
        </w:rPr>
        <w:t xml:space="preserve">its latest </w:t>
      </w:r>
      <w:r w:rsidRPr="00C7014F">
        <w:rPr>
          <w:rFonts w:ascii="Palatino Linotype" w:hAnsi="Palatino Linotype"/>
          <w:sz w:val="20"/>
        </w:rPr>
        <w:t xml:space="preserve">Collection 7 (C7) algorithms </w:t>
      </w:r>
      <w:r w:rsidR="005D64C2" w:rsidRPr="00C7014F">
        <w:rPr>
          <w:rFonts w:ascii="Palatino Linotype" w:hAnsi="Palatino Linotype"/>
          <w:sz w:val="20"/>
        </w:rPr>
        <w:t xml:space="preserve">and corresponding calibration look-up tables (LUTs) </w:t>
      </w:r>
      <w:r w:rsidR="003936D3" w:rsidRPr="00C7014F">
        <w:rPr>
          <w:rFonts w:ascii="Palatino Linotype" w:hAnsi="Palatino Linotype"/>
          <w:sz w:val="20"/>
        </w:rPr>
        <w:t xml:space="preserve">in support of </w:t>
      </w:r>
      <w:r w:rsidR="005D64C2" w:rsidRPr="00C7014F">
        <w:rPr>
          <w:rFonts w:ascii="Palatino Linotype" w:hAnsi="Palatino Linotype"/>
          <w:sz w:val="20"/>
        </w:rPr>
        <w:t xml:space="preserve">a new </w:t>
      </w:r>
      <w:r w:rsidR="003936D3" w:rsidRPr="00C7014F">
        <w:rPr>
          <w:rFonts w:ascii="Palatino Linotype" w:hAnsi="Palatino Linotype"/>
          <w:sz w:val="20"/>
        </w:rPr>
        <w:t xml:space="preserve">mission reprocess of </w:t>
      </w:r>
      <w:r w:rsidR="005D64C2" w:rsidRPr="00C7014F">
        <w:rPr>
          <w:rFonts w:ascii="Palatino Linotype" w:hAnsi="Palatino Linotype"/>
          <w:sz w:val="20"/>
        </w:rPr>
        <w:t xml:space="preserve">all MODIS data products. C7 </w:t>
      </w:r>
      <w:r w:rsidR="00093F5B" w:rsidRPr="00C7014F">
        <w:rPr>
          <w:rFonts w:ascii="Palatino Linotype" w:hAnsi="Palatino Linotype"/>
          <w:sz w:val="20"/>
        </w:rPr>
        <w:t xml:space="preserve">L1B </w:t>
      </w:r>
      <w:r w:rsidR="005D64C2" w:rsidRPr="00C7014F">
        <w:rPr>
          <w:rFonts w:ascii="Palatino Linotype" w:hAnsi="Palatino Linotype"/>
          <w:sz w:val="20"/>
        </w:rPr>
        <w:t>reprocess</w:t>
      </w:r>
      <w:r w:rsidR="00093F5B" w:rsidRPr="00C7014F">
        <w:rPr>
          <w:rFonts w:ascii="Palatino Linotype" w:hAnsi="Palatino Linotype"/>
          <w:sz w:val="20"/>
        </w:rPr>
        <w:t>ing</w:t>
      </w:r>
      <w:r w:rsidR="005D64C2" w:rsidRPr="00C7014F">
        <w:rPr>
          <w:rFonts w:ascii="Palatino Linotype" w:hAnsi="Palatino Linotype"/>
          <w:sz w:val="20"/>
        </w:rPr>
        <w:t xml:space="preserve"> is </w:t>
      </w:r>
      <w:r w:rsidRPr="00C7014F">
        <w:rPr>
          <w:rFonts w:ascii="Palatino Linotype" w:hAnsi="Palatino Linotype"/>
          <w:sz w:val="20"/>
        </w:rPr>
        <w:t xml:space="preserve">expected to </w:t>
      </w:r>
      <w:r w:rsidR="00FD7357" w:rsidRPr="00C7014F">
        <w:rPr>
          <w:rFonts w:ascii="Palatino Linotype" w:hAnsi="Palatino Linotype"/>
          <w:sz w:val="20"/>
        </w:rPr>
        <w:t>start</w:t>
      </w:r>
      <w:r w:rsidRPr="00C7014F">
        <w:rPr>
          <w:rFonts w:ascii="Palatino Linotype" w:hAnsi="Palatino Linotype"/>
          <w:sz w:val="20"/>
        </w:rPr>
        <w:t xml:space="preserve"> in late 202</w:t>
      </w:r>
      <w:r w:rsidR="00DA6434" w:rsidRPr="00C7014F">
        <w:rPr>
          <w:rFonts w:ascii="Palatino Linotype" w:hAnsi="Palatino Linotype"/>
          <w:sz w:val="20"/>
        </w:rPr>
        <w:t>2</w:t>
      </w:r>
      <w:r w:rsidRPr="00C7014F">
        <w:rPr>
          <w:rFonts w:ascii="Palatino Linotype" w:hAnsi="Palatino Linotype"/>
          <w:sz w:val="20"/>
        </w:rPr>
        <w:t xml:space="preserve">. In this paper, the MODIS SD and lunar calibration algorithms </w:t>
      </w:r>
      <w:r w:rsidR="005D64C2" w:rsidRPr="00C7014F">
        <w:rPr>
          <w:rFonts w:ascii="Palatino Linotype" w:hAnsi="Palatino Linotype"/>
          <w:sz w:val="20"/>
        </w:rPr>
        <w:t xml:space="preserve">and results </w:t>
      </w:r>
      <w:r w:rsidRPr="00C7014F">
        <w:rPr>
          <w:rFonts w:ascii="Palatino Linotype" w:hAnsi="Palatino Linotype"/>
          <w:sz w:val="20"/>
        </w:rPr>
        <w:t xml:space="preserve">are based on </w:t>
      </w:r>
      <w:r w:rsidR="00CC57E4" w:rsidRPr="00C7014F">
        <w:rPr>
          <w:rFonts w:ascii="Palatino Linotype" w:hAnsi="Palatino Linotype"/>
          <w:sz w:val="20"/>
        </w:rPr>
        <w:t>this new L1B collection</w:t>
      </w:r>
      <w:r w:rsidRPr="00C7014F">
        <w:rPr>
          <w:rFonts w:ascii="Palatino Linotype" w:hAnsi="Palatino Linotype"/>
          <w:sz w:val="20"/>
        </w:rPr>
        <w:t>.</w:t>
      </w:r>
      <w:r w:rsidR="009D1A3D" w:rsidRPr="00C7014F">
        <w:rPr>
          <w:rFonts w:ascii="Palatino Linotype" w:hAnsi="Palatino Linotype"/>
          <w:sz w:val="20"/>
        </w:rPr>
        <w:t xml:space="preserve"> </w:t>
      </w:r>
      <w:r w:rsidR="009D1A3D" w:rsidRPr="00C7014F">
        <w:rPr>
          <w:rStyle w:val="cf01"/>
          <w:rFonts w:ascii="Palatino Linotype" w:hAnsi="Palatino Linotype"/>
          <w:sz w:val="20"/>
          <w:szCs w:val="20"/>
        </w:rPr>
        <w:t xml:space="preserve">The latest </w:t>
      </w:r>
      <w:r w:rsidR="00C260B4" w:rsidRPr="00C7014F">
        <w:rPr>
          <w:rStyle w:val="cf01"/>
          <w:rFonts w:ascii="Palatino Linotype" w:hAnsi="Palatino Linotype"/>
          <w:sz w:val="20"/>
          <w:szCs w:val="20"/>
        </w:rPr>
        <w:t xml:space="preserve">NASA </w:t>
      </w:r>
      <w:r w:rsidR="009D1A3D" w:rsidRPr="00C7014F">
        <w:rPr>
          <w:rStyle w:val="cf01"/>
          <w:rFonts w:ascii="Palatino Linotype" w:hAnsi="Palatino Linotype"/>
          <w:sz w:val="20"/>
          <w:szCs w:val="20"/>
        </w:rPr>
        <w:t xml:space="preserve">VIIRS L1B collection is C2 for </w:t>
      </w:r>
      <w:r w:rsidR="00A73C88" w:rsidRPr="00C7014F">
        <w:rPr>
          <w:rStyle w:val="cf01"/>
          <w:rFonts w:ascii="Palatino Linotype" w:hAnsi="Palatino Linotype"/>
          <w:sz w:val="20"/>
          <w:szCs w:val="20"/>
        </w:rPr>
        <w:t>SNPP</w:t>
      </w:r>
      <w:r w:rsidR="009D1A3D" w:rsidRPr="00C7014F">
        <w:rPr>
          <w:rStyle w:val="cf01"/>
          <w:rFonts w:ascii="Palatino Linotype" w:hAnsi="Palatino Linotype"/>
          <w:sz w:val="20"/>
          <w:szCs w:val="20"/>
        </w:rPr>
        <w:t xml:space="preserve"> and C2.1 for </w:t>
      </w:r>
      <w:r w:rsidR="00A73C88" w:rsidRPr="00C7014F">
        <w:rPr>
          <w:rStyle w:val="cf01"/>
          <w:rFonts w:ascii="Palatino Linotype" w:hAnsi="Palatino Linotype"/>
          <w:sz w:val="20"/>
          <w:szCs w:val="20"/>
        </w:rPr>
        <w:t>N20</w:t>
      </w:r>
      <w:r w:rsidR="009D1A3D" w:rsidRPr="00C7014F">
        <w:rPr>
          <w:rStyle w:val="cf01"/>
          <w:rFonts w:ascii="Palatino Linotype" w:hAnsi="Palatino Linotype"/>
          <w:sz w:val="20"/>
          <w:szCs w:val="20"/>
        </w:rPr>
        <w:t xml:space="preserve">. </w:t>
      </w:r>
      <w:r w:rsidR="00F56545" w:rsidRPr="00C7014F">
        <w:rPr>
          <w:rStyle w:val="cf01"/>
          <w:rFonts w:ascii="Palatino Linotype" w:hAnsi="Palatino Linotype"/>
          <w:sz w:val="20"/>
          <w:szCs w:val="20"/>
        </w:rPr>
        <w:t>More details of latest MODIS and VIIRS calibration algorithms can be found in a number of references [</w:t>
      </w:r>
      <w:r w:rsidR="004A060A" w:rsidRPr="00C7014F">
        <w:rPr>
          <w:rStyle w:val="cf01"/>
          <w:rFonts w:ascii="Palatino Linotype" w:hAnsi="Palatino Linotype"/>
          <w:sz w:val="20"/>
          <w:szCs w:val="20"/>
        </w:rPr>
        <w:t>44-46</w:t>
      </w:r>
      <w:r w:rsidR="00F56545" w:rsidRPr="00C7014F">
        <w:rPr>
          <w:rStyle w:val="cf01"/>
          <w:rFonts w:ascii="Palatino Linotype" w:hAnsi="Palatino Linotype"/>
          <w:sz w:val="20"/>
          <w:szCs w:val="20"/>
        </w:rPr>
        <w:t xml:space="preserve">]. </w:t>
      </w:r>
      <w:r w:rsidR="009D1A3D" w:rsidRPr="00C7014F">
        <w:rPr>
          <w:rStyle w:val="cf01"/>
          <w:rFonts w:ascii="Palatino Linotype" w:hAnsi="Palatino Linotype"/>
          <w:sz w:val="20"/>
          <w:szCs w:val="20"/>
        </w:rPr>
        <w:t>To a large extent, the VIIRS RSB calibration methodologies and strategies w</w:t>
      </w:r>
      <w:r w:rsidR="00385B48" w:rsidRPr="00C7014F">
        <w:rPr>
          <w:rStyle w:val="cf01"/>
          <w:rFonts w:ascii="Palatino Linotype" w:hAnsi="Palatino Linotype"/>
          <w:sz w:val="20"/>
          <w:szCs w:val="20"/>
        </w:rPr>
        <w:t>e</w:t>
      </w:r>
      <w:r w:rsidR="009D1A3D" w:rsidRPr="00C7014F">
        <w:rPr>
          <w:rStyle w:val="cf01"/>
          <w:rFonts w:ascii="Palatino Linotype" w:hAnsi="Palatino Linotype"/>
          <w:sz w:val="20"/>
          <w:szCs w:val="20"/>
        </w:rPr>
        <w:t>re inherited and improve</w:t>
      </w:r>
      <w:r w:rsidR="005D64C2" w:rsidRPr="00C7014F">
        <w:rPr>
          <w:rStyle w:val="cf01"/>
          <w:rFonts w:ascii="Palatino Linotype" w:hAnsi="Palatino Linotype"/>
          <w:sz w:val="20"/>
          <w:szCs w:val="20"/>
        </w:rPr>
        <w:t xml:space="preserve">d </w:t>
      </w:r>
      <w:r w:rsidR="009D1A3D" w:rsidRPr="00C7014F">
        <w:rPr>
          <w:rStyle w:val="cf01"/>
          <w:rFonts w:ascii="Palatino Linotype" w:hAnsi="Palatino Linotype"/>
          <w:sz w:val="20"/>
          <w:szCs w:val="20"/>
        </w:rPr>
        <w:t>based</w:t>
      </w:r>
      <w:r w:rsidR="00CF68CB" w:rsidRPr="00C7014F">
        <w:rPr>
          <w:rStyle w:val="cf01"/>
          <w:rFonts w:ascii="Palatino Linotype" w:hAnsi="Palatino Linotype"/>
          <w:sz w:val="20"/>
          <w:szCs w:val="20"/>
        </w:rPr>
        <w:t xml:space="preserve"> on</w:t>
      </w:r>
      <w:r w:rsidR="009D1A3D" w:rsidRPr="00C7014F">
        <w:rPr>
          <w:rStyle w:val="cf01"/>
          <w:rFonts w:ascii="Palatino Linotype" w:hAnsi="Palatino Linotype"/>
          <w:sz w:val="20"/>
          <w:szCs w:val="20"/>
        </w:rPr>
        <w:t xml:space="preserve"> lessons from </w:t>
      </w:r>
      <w:r w:rsidR="00E04652" w:rsidRPr="00C7014F">
        <w:rPr>
          <w:rStyle w:val="cf01"/>
          <w:rFonts w:ascii="Palatino Linotype" w:hAnsi="Palatino Linotype"/>
          <w:sz w:val="20"/>
          <w:szCs w:val="20"/>
        </w:rPr>
        <w:t xml:space="preserve">the </w:t>
      </w:r>
      <w:r w:rsidR="009D1A3D" w:rsidRPr="00C7014F">
        <w:rPr>
          <w:rStyle w:val="cf01"/>
          <w:rFonts w:ascii="Palatino Linotype" w:hAnsi="Palatino Linotype"/>
          <w:sz w:val="20"/>
          <w:szCs w:val="20"/>
        </w:rPr>
        <w:t xml:space="preserve">MODIS calibrations and operations. </w:t>
      </w:r>
      <w:r w:rsidR="00C260B4" w:rsidRPr="00C7014F">
        <w:rPr>
          <w:rStyle w:val="cf01"/>
          <w:rFonts w:ascii="Palatino Linotype" w:hAnsi="Palatino Linotype"/>
          <w:sz w:val="20"/>
          <w:szCs w:val="20"/>
        </w:rPr>
        <w:t xml:space="preserve">A few </w:t>
      </w:r>
      <w:r w:rsidR="009D1A3D" w:rsidRPr="00C7014F">
        <w:rPr>
          <w:rStyle w:val="cf01"/>
          <w:rFonts w:ascii="Palatino Linotype" w:hAnsi="Palatino Linotype"/>
          <w:sz w:val="20"/>
          <w:szCs w:val="20"/>
        </w:rPr>
        <w:t xml:space="preserve">key differences do </w:t>
      </w:r>
      <w:r w:rsidR="00CF68CB" w:rsidRPr="00C7014F">
        <w:rPr>
          <w:rStyle w:val="cf01"/>
          <w:rFonts w:ascii="Palatino Linotype" w:hAnsi="Palatino Linotype"/>
          <w:sz w:val="20"/>
          <w:szCs w:val="20"/>
        </w:rPr>
        <w:t xml:space="preserve">exist due to </w:t>
      </w:r>
      <w:r w:rsidR="009D1A3D" w:rsidRPr="00C7014F">
        <w:rPr>
          <w:rStyle w:val="cf01"/>
          <w:rFonts w:ascii="Palatino Linotype" w:hAnsi="Palatino Linotype"/>
          <w:sz w:val="20"/>
          <w:szCs w:val="20"/>
        </w:rPr>
        <w:t xml:space="preserve">instrument design </w:t>
      </w:r>
      <w:r w:rsidR="00093F5B" w:rsidRPr="00C7014F">
        <w:rPr>
          <w:rStyle w:val="cf01"/>
          <w:rFonts w:ascii="Palatino Linotype" w:hAnsi="Palatino Linotype"/>
          <w:sz w:val="20"/>
          <w:szCs w:val="20"/>
        </w:rPr>
        <w:t xml:space="preserve">specifics </w:t>
      </w:r>
      <w:r w:rsidR="009D1A3D" w:rsidRPr="00C7014F">
        <w:rPr>
          <w:rStyle w:val="cf01"/>
          <w:rFonts w:ascii="Palatino Linotype" w:hAnsi="Palatino Linotype"/>
          <w:sz w:val="20"/>
          <w:szCs w:val="20"/>
        </w:rPr>
        <w:t xml:space="preserve">and algorithm enhancements. </w:t>
      </w:r>
      <w:r w:rsidR="00CF68CB" w:rsidRPr="00C7014F">
        <w:rPr>
          <w:rStyle w:val="cf01"/>
          <w:rFonts w:ascii="Palatino Linotype" w:hAnsi="Palatino Linotype"/>
          <w:sz w:val="20"/>
          <w:szCs w:val="20"/>
        </w:rPr>
        <w:t>In the following, t</w:t>
      </w:r>
      <w:r w:rsidR="009D1A3D" w:rsidRPr="00C7014F">
        <w:rPr>
          <w:rFonts w:ascii="Palatino Linotype" w:hAnsi="Palatino Linotype"/>
          <w:sz w:val="20"/>
        </w:rPr>
        <w:t xml:space="preserve">he MODIS RSB SD and lunar calibration algorithms </w:t>
      </w:r>
      <w:r w:rsidR="00CF68CB" w:rsidRPr="00C7014F">
        <w:rPr>
          <w:rFonts w:ascii="Palatino Linotype" w:hAnsi="Palatino Linotype"/>
          <w:sz w:val="20"/>
        </w:rPr>
        <w:t xml:space="preserve">and applications </w:t>
      </w:r>
      <w:r w:rsidR="009D1A3D" w:rsidRPr="00C7014F">
        <w:rPr>
          <w:rFonts w:ascii="Palatino Linotype" w:hAnsi="Palatino Linotype"/>
          <w:sz w:val="20"/>
        </w:rPr>
        <w:t xml:space="preserve">are reviewed first </w:t>
      </w:r>
      <w:r w:rsidR="00122677" w:rsidRPr="00C7014F">
        <w:rPr>
          <w:rFonts w:ascii="Palatino Linotype" w:hAnsi="Palatino Linotype"/>
          <w:sz w:val="20"/>
        </w:rPr>
        <w:t xml:space="preserve">and </w:t>
      </w:r>
      <w:r w:rsidR="009D1A3D" w:rsidRPr="00C7014F">
        <w:rPr>
          <w:rFonts w:ascii="Palatino Linotype" w:hAnsi="Palatino Linotype"/>
          <w:sz w:val="20"/>
        </w:rPr>
        <w:t xml:space="preserve">followed by </w:t>
      </w:r>
      <w:r w:rsidR="00122677" w:rsidRPr="00C7014F">
        <w:rPr>
          <w:rFonts w:ascii="Palatino Linotype" w:hAnsi="Palatino Linotype"/>
          <w:sz w:val="20"/>
        </w:rPr>
        <w:t>a similar discussion</w:t>
      </w:r>
      <w:r w:rsidR="009D1A3D" w:rsidRPr="00C7014F">
        <w:rPr>
          <w:rFonts w:ascii="Palatino Linotype" w:hAnsi="Palatino Linotype"/>
          <w:sz w:val="20"/>
        </w:rPr>
        <w:t xml:space="preserve"> for VIIRS</w:t>
      </w:r>
      <w:r w:rsidR="0091370A" w:rsidRPr="00C7014F">
        <w:rPr>
          <w:rFonts w:ascii="Palatino Linotype" w:hAnsi="Palatino Linotype"/>
          <w:sz w:val="20"/>
        </w:rPr>
        <w:t>.</w:t>
      </w:r>
    </w:p>
    <w:p w14:paraId="3CFBB70F" w14:textId="77777777" w:rsidR="004A2E39" w:rsidRPr="00C7014F" w:rsidRDefault="006E3294" w:rsidP="006E3294">
      <w:pPr>
        <w:spacing w:before="240" w:after="0"/>
        <w:ind w:left="360" w:hanging="360"/>
        <w:jc w:val="both"/>
        <w:rPr>
          <w:rFonts w:ascii="Palatino Linotype" w:hAnsi="Palatino Linotype"/>
          <w:sz w:val="20"/>
        </w:rPr>
      </w:pPr>
      <w:r w:rsidRPr="00C7014F">
        <w:rPr>
          <w:rFonts w:ascii="Palatino Linotype" w:hAnsi="Palatino Linotype"/>
          <w:sz w:val="20"/>
        </w:rPr>
        <w:t>2.1</w:t>
      </w:r>
      <w:r w:rsidRPr="00C7014F">
        <w:rPr>
          <w:rFonts w:ascii="Palatino Linotype" w:hAnsi="Palatino Linotype"/>
          <w:sz w:val="20"/>
        </w:rPr>
        <w:tab/>
      </w:r>
      <w:r w:rsidR="0091370A" w:rsidRPr="00C7014F">
        <w:rPr>
          <w:rFonts w:ascii="Palatino Linotype" w:hAnsi="Palatino Linotype"/>
          <w:sz w:val="20"/>
        </w:rPr>
        <w:t>MO</w:t>
      </w:r>
      <w:r w:rsidR="0004545E" w:rsidRPr="00C7014F">
        <w:rPr>
          <w:rFonts w:ascii="Palatino Linotype" w:hAnsi="Palatino Linotype"/>
          <w:sz w:val="20"/>
        </w:rPr>
        <w:t>DIS</w:t>
      </w:r>
    </w:p>
    <w:p w14:paraId="1FAA8262" w14:textId="77777777" w:rsidR="004A2E39" w:rsidRPr="00C7014F" w:rsidRDefault="004E62A4" w:rsidP="004A2E39">
      <w:pPr>
        <w:spacing w:before="120" w:after="120"/>
        <w:jc w:val="both"/>
        <w:rPr>
          <w:rFonts w:ascii="Palatino Linotype" w:hAnsi="Palatino Linotype"/>
          <w:sz w:val="20"/>
        </w:rPr>
      </w:pPr>
      <w:r w:rsidRPr="00C7014F">
        <w:rPr>
          <w:rFonts w:ascii="Palatino Linotype" w:hAnsi="Palatino Linotype"/>
          <w:sz w:val="20"/>
        </w:rPr>
        <w:t xml:space="preserve">For both </w:t>
      </w:r>
      <w:r w:rsidR="004A2E39" w:rsidRPr="00C7014F">
        <w:rPr>
          <w:rFonts w:ascii="Palatino Linotype" w:hAnsi="Palatino Linotype"/>
          <w:sz w:val="20"/>
        </w:rPr>
        <w:t>MODIS instrument</w:t>
      </w:r>
      <w:r w:rsidR="00DA6434" w:rsidRPr="00C7014F">
        <w:rPr>
          <w:rFonts w:ascii="Palatino Linotype" w:hAnsi="Palatino Linotype"/>
          <w:sz w:val="20"/>
        </w:rPr>
        <w:t>s</w:t>
      </w:r>
      <w:r w:rsidR="004A2E39" w:rsidRPr="00C7014F">
        <w:rPr>
          <w:rFonts w:ascii="Palatino Linotype" w:hAnsi="Palatino Linotype"/>
          <w:sz w:val="20"/>
        </w:rPr>
        <w:t xml:space="preserve">, a linear </w:t>
      </w:r>
      <w:r w:rsidR="00DF49B8" w:rsidRPr="00C7014F">
        <w:rPr>
          <w:rFonts w:ascii="Palatino Linotype" w:hAnsi="Palatino Linotype"/>
          <w:sz w:val="20"/>
        </w:rPr>
        <w:t>relationship</w:t>
      </w:r>
      <w:r w:rsidR="004A2E39" w:rsidRPr="00C7014F">
        <w:rPr>
          <w:rFonts w:ascii="Palatino Linotype" w:hAnsi="Palatino Linotype"/>
          <w:sz w:val="20"/>
        </w:rPr>
        <w:t xml:space="preserve"> </w:t>
      </w:r>
      <w:r w:rsidR="00DF49B8" w:rsidRPr="00C7014F">
        <w:rPr>
          <w:rFonts w:ascii="Palatino Linotype" w:hAnsi="Palatino Linotype"/>
          <w:sz w:val="20"/>
        </w:rPr>
        <w:t xml:space="preserve">or algorithm </w:t>
      </w:r>
      <w:r w:rsidR="004A2E39" w:rsidRPr="00C7014F">
        <w:rPr>
          <w:rFonts w:ascii="Palatino Linotype" w:hAnsi="Palatino Linotype"/>
          <w:sz w:val="20"/>
        </w:rPr>
        <w:t xml:space="preserve">between the incident radiance </w:t>
      </w:r>
      <w:r w:rsidR="002E38E8" w:rsidRPr="00C7014F">
        <w:rPr>
          <w:rFonts w:ascii="Palatino Linotype" w:hAnsi="Palatino Linotype"/>
          <w:sz w:val="20"/>
        </w:rPr>
        <w:t>(</w:t>
      </w:r>
      <w:r w:rsidR="002E38E8" w:rsidRPr="00C7014F">
        <w:rPr>
          <w:rFonts w:ascii="Palatino Linotype" w:hAnsi="Palatino Linotype"/>
          <w:i/>
          <w:sz w:val="20"/>
        </w:rPr>
        <w:t>L</w:t>
      </w:r>
      <w:r w:rsidR="002E38E8" w:rsidRPr="00C7014F">
        <w:rPr>
          <w:rFonts w:ascii="Palatino Linotype" w:hAnsi="Palatino Linotype"/>
          <w:sz w:val="20"/>
        </w:rPr>
        <w:t xml:space="preserve">) </w:t>
      </w:r>
      <w:r w:rsidR="004A2E39" w:rsidRPr="00C7014F">
        <w:rPr>
          <w:rFonts w:ascii="Palatino Linotype" w:hAnsi="Palatino Linotype"/>
          <w:sz w:val="20"/>
        </w:rPr>
        <w:t xml:space="preserve">and </w:t>
      </w:r>
      <w:r w:rsidR="006F3DD6" w:rsidRPr="00C7014F">
        <w:rPr>
          <w:rFonts w:ascii="Palatino Linotype" w:hAnsi="Palatino Linotype"/>
          <w:sz w:val="20"/>
        </w:rPr>
        <w:t xml:space="preserve">detector </w:t>
      </w:r>
      <w:r w:rsidR="004A2E39" w:rsidRPr="00C7014F">
        <w:rPr>
          <w:rFonts w:ascii="Palatino Linotype" w:hAnsi="Palatino Linotype"/>
          <w:sz w:val="20"/>
        </w:rPr>
        <w:t xml:space="preserve">response </w:t>
      </w:r>
      <w:r w:rsidR="003269E0" w:rsidRPr="00C7014F">
        <w:rPr>
          <w:rFonts w:ascii="Palatino Linotype" w:hAnsi="Palatino Linotype"/>
          <w:i/>
          <w:sz w:val="20"/>
        </w:rPr>
        <w:t>(dn*)</w:t>
      </w:r>
      <w:r w:rsidR="003269E0" w:rsidRPr="00C7014F">
        <w:rPr>
          <w:rFonts w:ascii="Palatino Linotype" w:hAnsi="Palatino Linotype"/>
          <w:sz w:val="20"/>
        </w:rPr>
        <w:t xml:space="preserve"> </w:t>
      </w:r>
      <w:r w:rsidR="004A2E39" w:rsidRPr="00C7014F">
        <w:rPr>
          <w:rFonts w:ascii="Palatino Linotype" w:hAnsi="Palatino Linotype"/>
          <w:sz w:val="20"/>
        </w:rPr>
        <w:t xml:space="preserve">is applied </w:t>
      </w:r>
      <w:r w:rsidR="003269E0" w:rsidRPr="00C7014F">
        <w:rPr>
          <w:rFonts w:ascii="Palatino Linotype" w:hAnsi="Palatino Linotype"/>
          <w:sz w:val="20"/>
        </w:rPr>
        <w:t>for</w:t>
      </w:r>
      <w:r w:rsidR="004A2E39" w:rsidRPr="00C7014F">
        <w:rPr>
          <w:rFonts w:ascii="Palatino Linotype" w:hAnsi="Palatino Linotype"/>
          <w:sz w:val="20"/>
        </w:rPr>
        <w:t xml:space="preserve"> the RSB</w:t>
      </w:r>
      <w:r w:rsidR="00DF49B8" w:rsidRPr="00C7014F">
        <w:rPr>
          <w:rFonts w:ascii="Palatino Linotype" w:hAnsi="Palatino Linotype"/>
          <w:sz w:val="20"/>
        </w:rPr>
        <w:t xml:space="preserve"> calibration and retrieval</w:t>
      </w:r>
      <w:r w:rsidR="00DA6434" w:rsidRPr="00C7014F">
        <w:rPr>
          <w:rFonts w:ascii="Palatino Linotype" w:hAnsi="Palatino Linotype"/>
          <w:sz w:val="20"/>
        </w:rPr>
        <w:t>,</w:t>
      </w:r>
      <w:r w:rsidR="004A2E39" w:rsidRPr="00C7014F">
        <w:rPr>
          <w:rFonts w:ascii="Palatino Linotype" w:hAnsi="Palatino Linotype"/>
          <w:sz w:val="20"/>
        </w:rPr>
        <w:t xml:space="preserve"> </w:t>
      </w:r>
    </w:p>
    <w:p w14:paraId="6B58AB76" w14:textId="77777777" w:rsidR="004A2E39" w:rsidRPr="00C7014F" w:rsidRDefault="004A2E39" w:rsidP="004A2E39">
      <w:pPr>
        <w:spacing w:after="0" w:line="360" w:lineRule="auto"/>
        <w:rPr>
          <w:rFonts w:ascii="Palatino Linotype" w:hAnsi="Palatino Linotype"/>
          <w:sz w:val="20"/>
        </w:rPr>
      </w:pPr>
      <w:bookmarkStart w:id="0" w:name="_Hlk70614089"/>
      <w:r w:rsidRPr="00C7014F">
        <w:rPr>
          <w:rFonts w:ascii="Palatino Linotype" w:hAnsi="Palatino Linotype"/>
          <w:sz w:val="20"/>
        </w:rPr>
        <w:t xml:space="preserve">                                                                        </w:t>
      </w:r>
      <w:bookmarkStart w:id="1" w:name="_Hlk70586036"/>
      <w:r w:rsidRPr="00C7014F">
        <w:rPr>
          <w:rFonts w:ascii="Palatino Linotype" w:hAnsi="Palatino Linotype"/>
          <w:sz w:val="20"/>
        </w:rPr>
        <w:t xml:space="preserve"> </w:t>
      </w:r>
      <m:oMath>
        <m:r>
          <w:rPr>
            <w:rFonts w:ascii="Cambria Math" w:hAnsi="Cambria Math"/>
            <w:sz w:val="20"/>
            <w:szCs w:val="20"/>
          </w:rPr>
          <m:t>L=</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m:t>
                </m:r>
              </m:sub>
            </m:sSub>
            <m:sSup>
              <m:sSupPr>
                <m:ctrlPr>
                  <w:rPr>
                    <w:rFonts w:ascii="Cambria Math" w:hAnsi="Cambria Math"/>
                    <w:i/>
                    <w:sz w:val="20"/>
                    <w:szCs w:val="20"/>
                  </w:rPr>
                </m:ctrlPr>
              </m:sSupPr>
              <m:e>
                <m:r>
                  <w:rPr>
                    <w:rFonts w:ascii="Cambria Math" w:hAnsi="Cambria Math"/>
                    <w:sz w:val="20"/>
                    <w:szCs w:val="20"/>
                  </w:rPr>
                  <m:t>dn</m:t>
                </m:r>
              </m:e>
              <m:sup>
                <m:r>
                  <w:rPr>
                    <w:rFonts w:ascii="Cambria Math" w:hAnsi="Cambria Math"/>
                    <w:sz w:val="20"/>
                    <w:szCs w:val="20"/>
                  </w:rPr>
                  <m:t>*</m:t>
                </m:r>
              </m:sup>
            </m:sSup>
          </m:num>
          <m:den>
            <m:r>
              <w:rPr>
                <w:rFonts w:ascii="Cambria Math" w:hAnsi="Cambria Math"/>
                <w:sz w:val="20"/>
                <w:szCs w:val="20"/>
              </w:rPr>
              <m:t>πRVS</m:t>
            </m:r>
          </m:den>
        </m:f>
      </m:oMath>
      <w:bookmarkEnd w:id="1"/>
      <w:r w:rsidRPr="00C7014F">
        <w:rPr>
          <w:rFonts w:ascii="Palatino Linotype" w:hAnsi="Palatino Linotype"/>
          <w:sz w:val="20"/>
        </w:rPr>
        <w:t xml:space="preserve">, </w:t>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Pr="00C7014F">
        <w:rPr>
          <w:rFonts w:ascii="Palatino Linotype" w:hAnsi="Palatino Linotype"/>
          <w:sz w:val="20"/>
        </w:rPr>
        <w:t>(1)</w:t>
      </w:r>
    </w:p>
    <w:bookmarkEnd w:id="0"/>
    <w:p w14:paraId="43B6C11B" w14:textId="71924953"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where </w:t>
      </w:r>
      <w:bookmarkStart w:id="2" w:name="_Hlk70583793"/>
      <w:r w:rsidRPr="00C7014F">
        <w:rPr>
          <w:rFonts w:ascii="Palatino Linotype" w:hAnsi="Palatino Linotype"/>
          <w:i/>
          <w:iCs/>
          <w:sz w:val="20"/>
        </w:rPr>
        <w:t>m</w:t>
      </w:r>
      <w:r w:rsidRPr="00C7014F">
        <w:rPr>
          <w:rFonts w:ascii="Palatino Linotype" w:hAnsi="Palatino Linotype"/>
          <w:i/>
          <w:iCs/>
          <w:sz w:val="20"/>
          <w:vertAlign w:val="subscript"/>
        </w:rPr>
        <w:t>1</w:t>
      </w:r>
      <w:r w:rsidRPr="00C7014F">
        <w:rPr>
          <w:rFonts w:ascii="Palatino Linotype" w:hAnsi="Palatino Linotype"/>
          <w:sz w:val="20"/>
          <w:vertAlign w:val="subscript"/>
        </w:rPr>
        <w:t xml:space="preserve"> </w:t>
      </w:r>
      <w:bookmarkEnd w:id="2"/>
      <w:r w:rsidRPr="00C7014F">
        <w:rPr>
          <w:rFonts w:ascii="Palatino Linotype" w:hAnsi="Palatino Linotype"/>
          <w:sz w:val="20"/>
        </w:rPr>
        <w:t>is the calibration coefficient</w:t>
      </w:r>
      <w:r w:rsidR="003269E0" w:rsidRPr="00C7014F">
        <w:rPr>
          <w:rFonts w:ascii="Palatino Linotype" w:hAnsi="Palatino Linotype"/>
          <w:sz w:val="20"/>
        </w:rPr>
        <w:t xml:space="preserve"> derived </w:t>
      </w:r>
      <w:r w:rsidR="0008309A" w:rsidRPr="00C7014F">
        <w:rPr>
          <w:rFonts w:ascii="Palatino Linotype" w:hAnsi="Palatino Linotype"/>
          <w:sz w:val="20"/>
        </w:rPr>
        <w:t>with reference to the</w:t>
      </w:r>
      <w:r w:rsidR="003269E0" w:rsidRPr="00C7014F">
        <w:rPr>
          <w:rFonts w:ascii="Palatino Linotype" w:hAnsi="Palatino Linotype"/>
          <w:sz w:val="20"/>
        </w:rPr>
        <w:t xml:space="preserve"> SD </w:t>
      </w:r>
      <w:r w:rsidR="0008309A" w:rsidRPr="00C7014F">
        <w:rPr>
          <w:rFonts w:ascii="Palatino Linotype" w:hAnsi="Palatino Linotype"/>
          <w:sz w:val="20"/>
        </w:rPr>
        <w:t>bi-directional reflectance factor (BRF)</w:t>
      </w:r>
      <w:r w:rsidRPr="00C7014F">
        <w:rPr>
          <w:rFonts w:ascii="Palatino Linotype" w:hAnsi="Palatino Linotype"/>
          <w:sz w:val="20"/>
        </w:rPr>
        <w:t xml:space="preserve">, </w:t>
      </w:r>
      <w:r w:rsidRPr="00C7014F">
        <w:rPr>
          <w:rFonts w:ascii="Palatino Linotype" w:hAnsi="Palatino Linotype"/>
          <w:i/>
          <w:iCs/>
          <w:sz w:val="20"/>
        </w:rPr>
        <w:t>E</w:t>
      </w:r>
      <w:r w:rsidRPr="00C7014F">
        <w:rPr>
          <w:rFonts w:ascii="Palatino Linotype" w:hAnsi="Palatino Linotype"/>
          <w:i/>
          <w:iCs/>
          <w:sz w:val="20"/>
          <w:vertAlign w:val="subscript"/>
        </w:rPr>
        <w:t>sun</w:t>
      </w:r>
      <w:r w:rsidRPr="00C7014F">
        <w:rPr>
          <w:rFonts w:ascii="Palatino Linotype" w:hAnsi="Palatino Linotype"/>
          <w:i/>
          <w:iCs/>
          <w:sz w:val="20"/>
        </w:rPr>
        <w:t xml:space="preserve"> </w:t>
      </w:r>
      <w:r w:rsidRPr="00C7014F">
        <w:rPr>
          <w:rFonts w:ascii="Palatino Linotype" w:hAnsi="Palatino Linotype"/>
          <w:sz w:val="20"/>
        </w:rPr>
        <w:t xml:space="preserve">is the solar spectral </w:t>
      </w:r>
      <w:r w:rsidR="00A34C50" w:rsidRPr="00C7014F">
        <w:rPr>
          <w:rFonts w:ascii="Palatino Linotype" w:hAnsi="Palatino Linotype"/>
          <w:sz w:val="20"/>
        </w:rPr>
        <w:t>ir</w:t>
      </w:r>
      <w:r w:rsidR="005C36AB" w:rsidRPr="00C7014F">
        <w:rPr>
          <w:rFonts w:ascii="Palatino Linotype" w:hAnsi="Palatino Linotype"/>
          <w:sz w:val="20"/>
        </w:rPr>
        <w:t>radiance</w:t>
      </w:r>
      <w:r w:rsidR="00774404" w:rsidRPr="00C7014F">
        <w:rPr>
          <w:rFonts w:ascii="Palatino Linotype" w:hAnsi="Palatino Linotype"/>
          <w:sz w:val="20"/>
        </w:rPr>
        <w:t xml:space="preserve"> at an Earth-Sun distance of 1 astronomical unit (AU) and</w:t>
      </w:r>
      <w:r w:rsidR="005C36AB" w:rsidRPr="00C7014F">
        <w:rPr>
          <w:rFonts w:ascii="Palatino Linotype" w:hAnsi="Palatino Linotype"/>
          <w:sz w:val="20"/>
        </w:rPr>
        <w:t xml:space="preserve"> </w:t>
      </w:r>
      <w:r w:rsidRPr="00C7014F">
        <w:rPr>
          <w:rFonts w:ascii="Palatino Linotype" w:hAnsi="Palatino Linotype"/>
          <w:sz w:val="20"/>
        </w:rPr>
        <w:t xml:space="preserve">integrated over the RSR for each detector, </w:t>
      </w:r>
      <w:r w:rsidRPr="00C7014F">
        <w:rPr>
          <w:rFonts w:ascii="Palatino Linotype" w:hAnsi="Palatino Linotype"/>
          <w:i/>
          <w:iCs/>
          <w:sz w:val="20"/>
        </w:rPr>
        <w:t>dn</w:t>
      </w:r>
      <w:r w:rsidRPr="00C7014F">
        <w:rPr>
          <w:rFonts w:ascii="Cambria Math" w:hAnsi="Cambria Math" w:cs="Cambria Math"/>
          <w:i/>
          <w:iCs/>
          <w:sz w:val="20"/>
          <w:vertAlign w:val="superscript"/>
        </w:rPr>
        <w:t>∗</w:t>
      </w:r>
      <w:r w:rsidRPr="00C7014F">
        <w:rPr>
          <w:rFonts w:ascii="Palatino Linotype" w:hAnsi="Palatino Linotype"/>
          <w:sz w:val="20"/>
        </w:rPr>
        <w:t xml:space="preserve"> is the </w:t>
      </w:r>
      <w:r w:rsidR="00847D6D" w:rsidRPr="00C7014F">
        <w:rPr>
          <w:rFonts w:ascii="Palatino Linotype" w:hAnsi="Palatino Linotype"/>
          <w:sz w:val="20"/>
        </w:rPr>
        <w:t xml:space="preserve">detector </w:t>
      </w:r>
      <w:r w:rsidR="00021440" w:rsidRPr="00C7014F">
        <w:rPr>
          <w:rFonts w:ascii="Palatino Linotype" w:hAnsi="Palatino Linotype"/>
          <w:sz w:val="20"/>
        </w:rPr>
        <w:t xml:space="preserve">digital </w:t>
      </w:r>
      <w:r w:rsidRPr="00C7014F">
        <w:rPr>
          <w:rFonts w:ascii="Palatino Linotype" w:hAnsi="Palatino Linotype"/>
          <w:sz w:val="20"/>
        </w:rPr>
        <w:t xml:space="preserve">response corrected for </w:t>
      </w:r>
      <w:r w:rsidR="00021440" w:rsidRPr="00C7014F">
        <w:rPr>
          <w:rFonts w:ascii="Palatino Linotype" w:hAnsi="Palatino Linotype"/>
          <w:sz w:val="20"/>
        </w:rPr>
        <w:t xml:space="preserve">instrument </w:t>
      </w:r>
      <w:r w:rsidRPr="00C7014F">
        <w:rPr>
          <w:rFonts w:ascii="Palatino Linotype" w:hAnsi="Palatino Linotype"/>
          <w:sz w:val="20"/>
        </w:rPr>
        <w:t xml:space="preserve">background and temperature effects, and </w:t>
      </w:r>
      <w:r w:rsidRPr="00C7014F">
        <w:rPr>
          <w:rFonts w:ascii="Palatino Linotype" w:hAnsi="Palatino Linotype"/>
          <w:i/>
          <w:iCs/>
          <w:sz w:val="20"/>
        </w:rPr>
        <w:t>RVS</w:t>
      </w:r>
      <w:r w:rsidRPr="00C7014F">
        <w:rPr>
          <w:rFonts w:ascii="Palatino Linotype" w:hAnsi="Palatino Linotype"/>
          <w:sz w:val="20"/>
        </w:rPr>
        <w:t xml:space="preserve"> is the response versus scan angle, which accounts for the instrument gain variation</w:t>
      </w:r>
      <w:r w:rsidR="00847D6D" w:rsidRPr="00C7014F">
        <w:rPr>
          <w:rFonts w:ascii="Palatino Linotype" w:hAnsi="Palatino Linotype"/>
          <w:sz w:val="20"/>
        </w:rPr>
        <w:t>s</w:t>
      </w:r>
      <w:r w:rsidRPr="00C7014F">
        <w:rPr>
          <w:rFonts w:ascii="Palatino Linotype" w:hAnsi="Palatino Linotype"/>
          <w:sz w:val="20"/>
        </w:rPr>
        <w:t xml:space="preserve"> as a function of the angle of incidence (AOI) of light relative to the scan mirror</w:t>
      </w:r>
      <w:r w:rsidR="00021440" w:rsidRPr="00C7014F">
        <w:rPr>
          <w:rFonts w:ascii="Palatino Linotype" w:hAnsi="Palatino Linotype"/>
          <w:sz w:val="20"/>
        </w:rPr>
        <w:t>.</w:t>
      </w:r>
      <w:r w:rsidR="00551884" w:rsidRPr="00C7014F">
        <w:rPr>
          <w:rFonts w:ascii="Palatino Linotype" w:hAnsi="Palatino Linotype"/>
          <w:sz w:val="20"/>
        </w:rPr>
        <w:t xml:space="preserve"> Since the SD is used primarily for </w:t>
      </w:r>
      <w:r w:rsidR="00021440" w:rsidRPr="00C7014F">
        <w:rPr>
          <w:rFonts w:ascii="Palatino Linotype" w:hAnsi="Palatino Linotype"/>
          <w:sz w:val="20"/>
        </w:rPr>
        <w:t>MODIS RSB</w:t>
      </w:r>
      <w:r w:rsidR="00551884" w:rsidRPr="00C7014F">
        <w:rPr>
          <w:rFonts w:ascii="Palatino Linotype" w:hAnsi="Palatino Linotype"/>
          <w:sz w:val="20"/>
        </w:rPr>
        <w:t xml:space="preserve"> calibration</w:t>
      </w:r>
      <w:r w:rsidR="003269E0" w:rsidRPr="00C7014F">
        <w:rPr>
          <w:rFonts w:ascii="Palatino Linotype" w:hAnsi="Palatino Linotype"/>
          <w:sz w:val="20"/>
        </w:rPr>
        <w:t>, the</w:t>
      </w:r>
      <w:r w:rsidR="00021440" w:rsidRPr="00C7014F">
        <w:rPr>
          <w:rFonts w:ascii="Palatino Linotype" w:hAnsi="Palatino Linotype"/>
          <w:sz w:val="20"/>
        </w:rPr>
        <w:t xml:space="preserve"> </w:t>
      </w:r>
      <w:r w:rsidR="00551884" w:rsidRPr="00C7014F">
        <w:rPr>
          <w:rFonts w:ascii="Palatino Linotype" w:hAnsi="Palatino Linotype"/>
          <w:sz w:val="20"/>
        </w:rPr>
        <w:t xml:space="preserve">RSB </w:t>
      </w:r>
      <w:r w:rsidR="00021440" w:rsidRPr="00C7014F">
        <w:rPr>
          <w:rFonts w:ascii="Palatino Linotype" w:hAnsi="Palatino Linotype"/>
          <w:sz w:val="20"/>
        </w:rPr>
        <w:t>RVS is</w:t>
      </w:r>
      <w:r w:rsidRPr="00C7014F">
        <w:rPr>
          <w:rFonts w:ascii="Palatino Linotype" w:hAnsi="Palatino Linotype"/>
          <w:sz w:val="20"/>
        </w:rPr>
        <w:t xml:space="preserve"> </w:t>
      </w:r>
      <w:r w:rsidR="006F3DD6" w:rsidRPr="00C7014F">
        <w:rPr>
          <w:rFonts w:ascii="Palatino Linotype" w:hAnsi="Palatino Linotype"/>
          <w:sz w:val="20"/>
        </w:rPr>
        <w:t xml:space="preserve">conveniently </w:t>
      </w:r>
      <w:r w:rsidRPr="00C7014F">
        <w:rPr>
          <w:rFonts w:ascii="Palatino Linotype" w:hAnsi="Palatino Linotype"/>
          <w:sz w:val="20"/>
        </w:rPr>
        <w:t xml:space="preserve">normalized at the AOI of </w:t>
      </w:r>
      <w:r w:rsidR="00021440" w:rsidRPr="00C7014F">
        <w:rPr>
          <w:rFonts w:ascii="Palatino Linotype" w:hAnsi="Palatino Linotype"/>
          <w:sz w:val="20"/>
        </w:rPr>
        <w:t>its</w:t>
      </w:r>
      <w:r w:rsidRPr="00C7014F">
        <w:rPr>
          <w:rFonts w:ascii="Palatino Linotype" w:hAnsi="Palatino Linotype"/>
          <w:sz w:val="20"/>
        </w:rPr>
        <w:t xml:space="preserve"> SD view</w:t>
      </w:r>
      <w:r w:rsidR="00774404" w:rsidRPr="00C7014F">
        <w:rPr>
          <w:rFonts w:ascii="Palatino Linotype" w:hAnsi="Palatino Linotype"/>
          <w:sz w:val="20"/>
        </w:rPr>
        <w:t xml:space="preserve">, i.e., </w:t>
      </w:r>
      <w:r w:rsidR="00774404" w:rsidRPr="00C7014F">
        <w:rPr>
          <w:rFonts w:ascii="Palatino Linotype" w:hAnsi="Palatino Linotype"/>
          <w:i/>
          <w:sz w:val="20"/>
        </w:rPr>
        <w:t>RVS</w:t>
      </w:r>
      <w:r w:rsidR="00774404" w:rsidRPr="00C7014F">
        <w:rPr>
          <w:rFonts w:ascii="Palatino Linotype" w:hAnsi="Palatino Linotype"/>
          <w:i/>
          <w:sz w:val="20"/>
          <w:vertAlign w:val="subscript"/>
        </w:rPr>
        <w:t>SD</w:t>
      </w:r>
      <w:r w:rsidR="00774404" w:rsidRPr="00C7014F">
        <w:rPr>
          <w:rFonts w:ascii="Palatino Linotype" w:hAnsi="Palatino Linotype"/>
          <w:sz w:val="20"/>
        </w:rPr>
        <w:t xml:space="preserve"> = 1</w:t>
      </w:r>
      <w:r w:rsidRPr="00C7014F">
        <w:rPr>
          <w:rFonts w:ascii="Palatino Linotype" w:hAnsi="Palatino Linotype"/>
          <w:sz w:val="20"/>
        </w:rPr>
        <w:t xml:space="preserve">. For </w:t>
      </w:r>
      <w:r w:rsidR="003269E0" w:rsidRPr="00C7014F">
        <w:rPr>
          <w:rFonts w:ascii="Palatino Linotype" w:hAnsi="Palatino Linotype"/>
          <w:sz w:val="20"/>
        </w:rPr>
        <w:t xml:space="preserve">the </w:t>
      </w:r>
      <w:r w:rsidRPr="00C7014F">
        <w:rPr>
          <w:rFonts w:ascii="Palatino Linotype" w:hAnsi="Palatino Linotype"/>
          <w:sz w:val="20"/>
        </w:rPr>
        <w:t>EV</w:t>
      </w:r>
      <w:r w:rsidR="002A3CFC" w:rsidRPr="00C7014F">
        <w:rPr>
          <w:rFonts w:ascii="Palatino Linotype" w:hAnsi="Palatino Linotype"/>
          <w:sz w:val="20"/>
        </w:rPr>
        <w:t xml:space="preserve"> observations</w:t>
      </w:r>
      <w:r w:rsidRPr="00C7014F">
        <w:rPr>
          <w:rFonts w:ascii="Palatino Linotype" w:hAnsi="Palatino Linotype"/>
          <w:sz w:val="20"/>
        </w:rPr>
        <w:t xml:space="preserve">, the MODIS RSB L1B </w:t>
      </w:r>
      <w:r w:rsidR="006F3DD6" w:rsidRPr="00C7014F">
        <w:rPr>
          <w:rFonts w:ascii="Palatino Linotype" w:hAnsi="Palatino Linotype"/>
          <w:sz w:val="20"/>
        </w:rPr>
        <w:t xml:space="preserve">primary </w:t>
      </w:r>
      <w:r w:rsidRPr="00C7014F">
        <w:rPr>
          <w:rFonts w:ascii="Palatino Linotype" w:hAnsi="Palatino Linotype"/>
          <w:sz w:val="20"/>
        </w:rPr>
        <w:t>data product is the top-of-atmo</w:t>
      </w:r>
      <w:r w:rsidR="008B35D7" w:rsidRPr="00C7014F">
        <w:rPr>
          <w:rFonts w:ascii="Palatino Linotype" w:hAnsi="Palatino Linotype"/>
          <w:sz w:val="20"/>
        </w:rPr>
        <w:t>sphere (TOA) reflectance factor</w:t>
      </w:r>
      <w:bookmarkStart w:id="3" w:name="_Hlk70586016"/>
      <w:r w:rsidR="008B35D7" w:rsidRPr="00C7014F">
        <w:rPr>
          <w:rFonts w:ascii="Palatino Linotype" w:hAnsi="Palatino Linotype"/>
          <w:sz w:val="20"/>
        </w:rPr>
        <w:t xml:space="preserve">, </w:t>
      </w:r>
      <m:oMath>
        <m:sSub>
          <m:sSubPr>
            <m:ctrlPr>
              <w:rPr>
                <w:rFonts w:ascii="Cambria Math" w:hAnsi="Cambria Math"/>
                <w:sz w:val="20"/>
              </w:rPr>
            </m:ctrlPr>
          </m:sSubPr>
          <m:e>
            <m:r>
              <w:rPr>
                <w:rFonts w:ascii="Cambria Math" w:hAnsi="Cambria Math"/>
                <w:sz w:val="20"/>
              </w:rPr>
              <m:t>ρ</m:t>
            </m:r>
          </m:e>
          <m:sub>
            <m:r>
              <w:rPr>
                <w:rFonts w:ascii="Cambria Math" w:hAnsi="Cambria Math"/>
                <w:sz w:val="20"/>
              </w:rPr>
              <m:t>EV</m:t>
            </m:r>
          </m:sub>
        </m:sSub>
        <m:r>
          <m:rPr>
            <m:sty m:val="p"/>
          </m:rPr>
          <w:rPr>
            <w:rFonts w:ascii="Cambria Math" w:hAnsi="Cambria Math"/>
            <w:sz w:val="20"/>
          </w:rPr>
          <m:t>cos(</m:t>
        </m:r>
        <m:sSub>
          <m:sSubPr>
            <m:ctrlPr>
              <w:rPr>
                <w:rFonts w:ascii="Cambria Math" w:hAnsi="Cambria Math"/>
                <w:sz w:val="20"/>
              </w:rPr>
            </m:ctrlPr>
          </m:sSubPr>
          <m:e>
            <m:r>
              <w:rPr>
                <w:rFonts w:ascii="Cambria Math" w:hAnsi="Cambria Math"/>
                <w:sz w:val="20"/>
              </w:rPr>
              <m:t>θ</m:t>
            </m:r>
          </m:e>
          <m:sub>
            <m:r>
              <w:rPr>
                <w:rFonts w:ascii="Cambria Math" w:hAnsi="Cambria Math"/>
                <w:sz w:val="20"/>
              </w:rPr>
              <m:t>EV</m:t>
            </m:r>
          </m:sub>
        </m:sSub>
        <m:r>
          <m:rPr>
            <m:sty m:val="p"/>
          </m:rPr>
          <w:rPr>
            <w:rFonts w:ascii="Cambria Math" w:hAnsi="Cambria Math"/>
            <w:sz w:val="20"/>
          </w:rPr>
          <m:t>)</m:t>
        </m:r>
      </m:oMath>
      <w:r w:rsidR="008B35D7" w:rsidRPr="00C7014F">
        <w:rPr>
          <w:rFonts w:ascii="Palatino Linotype" w:hAnsi="Palatino Linotype"/>
          <w:sz w:val="20"/>
        </w:rPr>
        <w:t>,</w:t>
      </w:r>
      <w:r w:rsidR="00847D6D" w:rsidRPr="00C7014F">
        <w:rPr>
          <w:rFonts w:ascii="Palatino Linotype" w:hAnsi="Palatino Linotype"/>
          <w:sz w:val="20"/>
        </w:rPr>
        <w:t xml:space="preserve"> </w:t>
      </w:r>
      <w:r w:rsidRPr="00C7014F">
        <w:rPr>
          <w:rFonts w:ascii="Palatino Linotype" w:hAnsi="Palatino Linotype"/>
          <w:sz w:val="20"/>
        </w:rPr>
        <w:t xml:space="preserve">where </w:t>
      </w:r>
      <w:r w:rsidRPr="00C7014F">
        <w:rPr>
          <w:rFonts w:ascii="Palatino Linotype" w:hAnsi="Palatino Linotype"/>
          <w:i/>
          <w:iCs/>
          <w:sz w:val="20"/>
        </w:rPr>
        <w:t>θ</w:t>
      </w:r>
      <w:r w:rsidRPr="00C7014F">
        <w:rPr>
          <w:rFonts w:ascii="Palatino Linotype" w:hAnsi="Palatino Linotype"/>
          <w:i/>
          <w:iCs/>
          <w:sz w:val="20"/>
          <w:vertAlign w:val="subscript"/>
        </w:rPr>
        <w:t>EV</w:t>
      </w:r>
      <w:r w:rsidRPr="00C7014F">
        <w:rPr>
          <w:rFonts w:ascii="Palatino Linotype" w:hAnsi="Palatino Linotype"/>
          <w:sz w:val="20"/>
        </w:rPr>
        <w:t xml:space="preserve"> is the solar zenith angle of the EV pixel. </w:t>
      </w:r>
      <w:bookmarkEnd w:id="3"/>
      <w:r w:rsidRPr="00C7014F">
        <w:rPr>
          <w:rFonts w:ascii="Palatino Linotype" w:hAnsi="Palatino Linotype"/>
          <w:sz w:val="20"/>
        </w:rPr>
        <w:t xml:space="preserve">The EV radiance, </w:t>
      </w:r>
      <w:r w:rsidRPr="00C7014F">
        <w:rPr>
          <w:rFonts w:ascii="Palatino Linotype" w:hAnsi="Palatino Linotype"/>
          <w:i/>
          <w:iCs/>
          <w:sz w:val="20"/>
        </w:rPr>
        <w:t>L</w:t>
      </w:r>
      <w:r w:rsidRPr="00C7014F">
        <w:rPr>
          <w:rFonts w:ascii="Palatino Linotype" w:hAnsi="Palatino Linotype"/>
          <w:i/>
          <w:iCs/>
          <w:sz w:val="20"/>
          <w:vertAlign w:val="subscript"/>
        </w:rPr>
        <w:t>EV</w:t>
      </w:r>
      <w:r w:rsidRPr="00C7014F">
        <w:rPr>
          <w:rFonts w:ascii="Palatino Linotype" w:hAnsi="Palatino Linotype"/>
          <w:sz w:val="20"/>
        </w:rPr>
        <w:t>, and the reflectance factor,</w:t>
      </w:r>
      <w:bookmarkStart w:id="4" w:name="_Hlk70619372"/>
      <w:r w:rsidRPr="00C7014F">
        <w:rPr>
          <w:rFonts w:ascii="Palatino Linotype" w:hAnsi="Palatino Linotype"/>
          <w:sz w:val="20"/>
        </w:rPr>
        <w:t xml:space="preserve"> </w:t>
      </w:r>
      <w:bookmarkEnd w:id="4"/>
      <m:oMath>
        <m:sSub>
          <m:sSubPr>
            <m:ctrlPr>
              <w:rPr>
                <w:rFonts w:ascii="Cambria Math" w:hAnsi="Cambria Math"/>
                <w:sz w:val="20"/>
              </w:rPr>
            </m:ctrlPr>
          </m:sSubPr>
          <m:e>
            <m:r>
              <w:rPr>
                <w:rFonts w:ascii="Cambria Math" w:hAnsi="Cambria Math"/>
                <w:sz w:val="20"/>
              </w:rPr>
              <m:t>ρ</m:t>
            </m:r>
          </m:e>
          <m:sub>
            <m:r>
              <w:rPr>
                <w:rFonts w:ascii="Cambria Math" w:hAnsi="Cambria Math"/>
                <w:sz w:val="20"/>
              </w:rPr>
              <m:t>EV</m:t>
            </m:r>
          </m:sub>
        </m:sSub>
        <m:r>
          <m:rPr>
            <m:sty m:val="p"/>
          </m:rPr>
          <w:rPr>
            <w:rFonts w:ascii="Cambria Math" w:hAnsi="Cambria Math"/>
            <w:sz w:val="20"/>
          </w:rPr>
          <m:t>cos(</m:t>
        </m:r>
        <m:sSub>
          <m:sSubPr>
            <m:ctrlPr>
              <w:rPr>
                <w:rFonts w:ascii="Cambria Math" w:hAnsi="Cambria Math"/>
                <w:sz w:val="20"/>
              </w:rPr>
            </m:ctrlPr>
          </m:sSubPr>
          <m:e>
            <m:r>
              <w:rPr>
                <w:rFonts w:ascii="Cambria Math" w:hAnsi="Cambria Math"/>
                <w:sz w:val="20"/>
              </w:rPr>
              <m:t>θ</m:t>
            </m:r>
          </m:e>
          <m:sub>
            <m:r>
              <w:rPr>
                <w:rFonts w:ascii="Cambria Math" w:hAnsi="Cambria Math"/>
                <w:sz w:val="20"/>
              </w:rPr>
              <m:t>EV</m:t>
            </m:r>
          </m:sub>
        </m:sSub>
        <m:r>
          <m:rPr>
            <m:sty m:val="p"/>
          </m:rPr>
          <w:rPr>
            <w:rFonts w:ascii="Cambria Math" w:hAnsi="Cambria Math"/>
            <w:sz w:val="20"/>
          </w:rPr>
          <m:t>)</m:t>
        </m:r>
      </m:oMath>
      <w:r w:rsidRPr="00C7014F">
        <w:rPr>
          <w:rFonts w:ascii="Palatino Linotype" w:hAnsi="Palatino Linotype"/>
          <w:sz w:val="20"/>
        </w:rPr>
        <w:t>, can be easily converted to each other by multiplying or dividing a factor</w:t>
      </w:r>
      <w:r w:rsidR="008B35D7" w:rsidRPr="00C7014F">
        <w:rPr>
          <w:rFonts w:ascii="Palatino Linotype" w:hAnsi="Palatino Linotype"/>
          <w:sz w:val="20"/>
        </w:rPr>
        <w:t xml:space="preserve"> of</w:t>
      </w:r>
      <w:r w:rsidRPr="00C7014F">
        <w:rPr>
          <w:rFonts w:ascii="Palatino Linotype" w:hAnsi="Palatino Linotype"/>
          <w:sz w:val="20"/>
        </w:rPr>
        <w:t xml:space="preserve"> </w:t>
      </w:r>
      <m:oMath>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E</m:t>
                </m:r>
              </m:e>
              <m:sub>
                <m:r>
                  <w:rPr>
                    <w:rFonts w:ascii="Cambria Math" w:hAnsi="Cambria Math"/>
                    <w:sz w:val="20"/>
                  </w:rPr>
                  <m:t>Sun</m:t>
                </m:r>
              </m:sub>
            </m:sSub>
          </m:num>
          <m:den>
            <m:r>
              <w:rPr>
                <w:rFonts w:ascii="Cambria Math" w:hAnsi="Cambria Math"/>
                <w:sz w:val="20"/>
              </w:rPr>
              <m:t>π</m:t>
            </m:r>
            <m:sSubSup>
              <m:sSubSupPr>
                <m:ctrlPr>
                  <w:rPr>
                    <w:rFonts w:ascii="Cambria Math" w:hAnsi="Cambria Math"/>
                    <w:i/>
                    <w:sz w:val="20"/>
                  </w:rPr>
                </m:ctrlPr>
              </m:sSubSupPr>
              <m:e>
                <m:r>
                  <w:rPr>
                    <w:rFonts w:ascii="Cambria Math" w:hAnsi="Cambria Math"/>
                    <w:sz w:val="20"/>
                  </w:rPr>
                  <m:t>d</m:t>
                </m:r>
              </m:e>
              <m:sub>
                <m:r>
                  <w:rPr>
                    <w:rFonts w:ascii="Cambria Math" w:hAnsi="Cambria Math"/>
                    <w:sz w:val="20"/>
                  </w:rPr>
                  <m:t>ES</m:t>
                </m:r>
              </m:sub>
              <m:sup>
                <m:r>
                  <w:rPr>
                    <w:rFonts w:ascii="Cambria Math" w:hAnsi="Cambria Math"/>
                    <w:sz w:val="20"/>
                  </w:rPr>
                  <m:t>2</m:t>
                </m:r>
              </m:sup>
            </m:sSubSup>
          </m:den>
        </m:f>
      </m:oMath>
      <w:r w:rsidR="00021440" w:rsidRPr="00C7014F">
        <w:rPr>
          <w:rFonts w:ascii="Palatino Linotype" w:hAnsi="Palatino Linotype"/>
          <w:sz w:val="20"/>
        </w:rPr>
        <w:t xml:space="preserve">, with </w:t>
      </w:r>
      <w:r w:rsidR="00021440" w:rsidRPr="00C7014F">
        <w:rPr>
          <w:rFonts w:ascii="Palatino Linotype" w:hAnsi="Palatino Linotype"/>
          <w:i/>
          <w:sz w:val="20"/>
        </w:rPr>
        <w:t>d</w:t>
      </w:r>
      <w:r w:rsidR="00021440" w:rsidRPr="00C7014F">
        <w:rPr>
          <w:rFonts w:ascii="Palatino Linotype" w:hAnsi="Palatino Linotype"/>
          <w:i/>
          <w:sz w:val="20"/>
          <w:vertAlign w:val="subscript"/>
        </w:rPr>
        <w:t>ES</w:t>
      </w:r>
      <w:r w:rsidR="00021440" w:rsidRPr="00C7014F">
        <w:rPr>
          <w:rFonts w:ascii="Palatino Linotype" w:hAnsi="Palatino Linotype"/>
          <w:sz w:val="20"/>
        </w:rPr>
        <w:t xml:space="preserve"> </w:t>
      </w:r>
      <w:r w:rsidR="00DF49B8" w:rsidRPr="00C7014F">
        <w:rPr>
          <w:rFonts w:ascii="Palatino Linotype" w:hAnsi="Palatino Linotype"/>
          <w:sz w:val="20"/>
        </w:rPr>
        <w:t xml:space="preserve">being the Earth-Sun distance (normalized at 1 AU) at the time of </w:t>
      </w:r>
      <w:r w:rsidR="002A3CFC" w:rsidRPr="00C7014F">
        <w:rPr>
          <w:rFonts w:ascii="Palatino Linotype" w:hAnsi="Palatino Linotype"/>
          <w:sz w:val="20"/>
        </w:rPr>
        <w:t>sensor observation</w:t>
      </w:r>
      <w:r w:rsidR="00DF49B8" w:rsidRPr="00C7014F">
        <w:rPr>
          <w:rFonts w:ascii="Palatino Linotype" w:hAnsi="Palatino Linotype"/>
          <w:sz w:val="20"/>
        </w:rPr>
        <w:t>.</w:t>
      </w:r>
      <w:r w:rsidR="002A3CFC" w:rsidRPr="00C7014F">
        <w:rPr>
          <w:rFonts w:ascii="Palatino Linotype" w:hAnsi="Palatino Linotype"/>
          <w:sz w:val="20"/>
        </w:rPr>
        <w:t xml:space="preserve"> </w:t>
      </w:r>
      <w:r w:rsidR="00DD6C9F" w:rsidRPr="00C7014F">
        <w:rPr>
          <w:rFonts w:ascii="Palatino Linotype" w:hAnsi="Palatino Linotype"/>
          <w:sz w:val="20"/>
        </w:rPr>
        <w:t xml:space="preserve">The solar spectral irradiance used in MODIS RSB is a combination of Thuillier et al. (1998; 0.4–0.8 μm), Neckel and Labs (1994; 0.8–1.1 μm), and Smith </w:t>
      </w:r>
      <w:r w:rsidR="00806076" w:rsidRPr="00C7014F">
        <w:rPr>
          <w:rFonts w:ascii="Palatino Linotype" w:hAnsi="Palatino Linotype"/>
          <w:sz w:val="20"/>
        </w:rPr>
        <w:t>and</w:t>
      </w:r>
      <w:r w:rsidR="00DD6C9F" w:rsidRPr="00C7014F">
        <w:rPr>
          <w:rFonts w:ascii="Palatino Linotype" w:hAnsi="Palatino Linotype"/>
          <w:sz w:val="20"/>
        </w:rPr>
        <w:t xml:space="preserve"> Gottlieb (above 1.1 μm) [</w:t>
      </w:r>
      <w:r w:rsidR="00134004" w:rsidRPr="00C7014F">
        <w:rPr>
          <w:rFonts w:ascii="Palatino Linotype" w:hAnsi="Palatino Linotype"/>
          <w:sz w:val="20"/>
        </w:rPr>
        <w:t>9</w:t>
      </w:r>
      <w:r w:rsidR="00DD6C9F" w:rsidRPr="00C7014F">
        <w:rPr>
          <w:rFonts w:ascii="Palatino Linotype" w:hAnsi="Palatino Linotype"/>
          <w:sz w:val="20"/>
        </w:rPr>
        <w:t>]. MODIS L1B calibration algorithms produce both radiance and reflectance data products for the RSB</w:t>
      </w:r>
      <w:r w:rsidR="002A3CFC" w:rsidRPr="00C7014F">
        <w:rPr>
          <w:rFonts w:ascii="Palatino Linotype" w:hAnsi="Palatino Linotype"/>
          <w:sz w:val="20"/>
        </w:rPr>
        <w:t>.</w:t>
      </w:r>
    </w:p>
    <w:p w14:paraId="551B10BC" w14:textId="3C54E5FC" w:rsidR="004A2E39" w:rsidRPr="00C7014F" w:rsidRDefault="00E04652" w:rsidP="004A2E39">
      <w:pPr>
        <w:spacing w:before="120" w:after="120"/>
        <w:jc w:val="both"/>
        <w:rPr>
          <w:rFonts w:ascii="Palatino Linotype" w:hAnsi="Palatino Linotype"/>
          <w:sz w:val="20"/>
        </w:rPr>
      </w:pPr>
      <w:r w:rsidRPr="00C7014F">
        <w:rPr>
          <w:rFonts w:ascii="Palatino Linotype" w:hAnsi="Palatino Linotype"/>
          <w:sz w:val="20"/>
        </w:rPr>
        <w:lastRenderedPageBreak/>
        <w:t>The o</w:t>
      </w:r>
      <w:r w:rsidR="005B4DBA" w:rsidRPr="00C7014F">
        <w:rPr>
          <w:rFonts w:ascii="Palatino Linotype" w:hAnsi="Palatino Linotype"/>
          <w:sz w:val="20"/>
        </w:rPr>
        <w:t xml:space="preserve">n-orbit </w:t>
      </w:r>
      <w:r w:rsidR="004A2E39" w:rsidRPr="00C7014F">
        <w:rPr>
          <w:rFonts w:ascii="Palatino Linotype" w:hAnsi="Palatino Linotype"/>
          <w:sz w:val="20"/>
        </w:rPr>
        <w:t xml:space="preserve">calibration coefficient </w:t>
      </w:r>
      <w:bookmarkStart w:id="5" w:name="_Hlk70596107"/>
      <w:r w:rsidR="004A2E39" w:rsidRPr="00C7014F">
        <w:rPr>
          <w:rFonts w:ascii="Palatino Linotype" w:hAnsi="Palatino Linotype"/>
          <w:i/>
          <w:iCs/>
          <w:sz w:val="20"/>
        </w:rPr>
        <w:t>m</w:t>
      </w:r>
      <w:r w:rsidR="004A2E39" w:rsidRPr="00C7014F">
        <w:rPr>
          <w:rFonts w:ascii="Palatino Linotype" w:hAnsi="Palatino Linotype"/>
          <w:i/>
          <w:iCs/>
          <w:sz w:val="20"/>
          <w:vertAlign w:val="subscript"/>
        </w:rPr>
        <w:t>1</w:t>
      </w:r>
      <w:r w:rsidR="004A2E39" w:rsidRPr="00C7014F">
        <w:rPr>
          <w:rFonts w:ascii="Palatino Linotype" w:hAnsi="Palatino Linotype"/>
          <w:sz w:val="20"/>
          <w:vertAlign w:val="subscript"/>
        </w:rPr>
        <w:t xml:space="preserve"> </w:t>
      </w:r>
      <w:r w:rsidR="004A2E39" w:rsidRPr="00C7014F">
        <w:rPr>
          <w:rFonts w:ascii="Palatino Linotype" w:hAnsi="Palatino Linotype"/>
          <w:sz w:val="20"/>
        </w:rPr>
        <w:t xml:space="preserve">and </w:t>
      </w:r>
      <w:r w:rsidR="004A2E39" w:rsidRPr="00C7014F">
        <w:rPr>
          <w:rFonts w:ascii="Palatino Linotype" w:hAnsi="Palatino Linotype"/>
          <w:i/>
          <w:iCs/>
          <w:sz w:val="20"/>
        </w:rPr>
        <w:t>RVS</w:t>
      </w:r>
      <w:r w:rsidR="004A2E39" w:rsidRPr="00C7014F">
        <w:rPr>
          <w:rFonts w:ascii="Palatino Linotype" w:hAnsi="Palatino Linotype"/>
          <w:sz w:val="20"/>
        </w:rPr>
        <w:t xml:space="preserve"> </w:t>
      </w:r>
      <w:bookmarkEnd w:id="5"/>
      <w:r w:rsidR="004A2E39" w:rsidRPr="00C7014F">
        <w:rPr>
          <w:rFonts w:ascii="Palatino Linotype" w:hAnsi="Palatino Linotype"/>
          <w:sz w:val="20"/>
        </w:rPr>
        <w:t xml:space="preserve">in Eq. (1) change with time and are </w:t>
      </w:r>
      <w:r w:rsidR="008B35D7" w:rsidRPr="00C7014F">
        <w:rPr>
          <w:rFonts w:ascii="Palatino Linotype" w:hAnsi="Palatino Linotype"/>
          <w:sz w:val="20"/>
        </w:rPr>
        <w:t>thus</w:t>
      </w:r>
      <w:r w:rsidR="002A3CFC" w:rsidRPr="00C7014F">
        <w:rPr>
          <w:rFonts w:ascii="Palatino Linotype" w:hAnsi="Palatino Linotype"/>
          <w:sz w:val="20"/>
        </w:rPr>
        <w:t xml:space="preserve"> </w:t>
      </w:r>
      <w:r w:rsidR="004A2E39" w:rsidRPr="00C7014F">
        <w:rPr>
          <w:rFonts w:ascii="Palatino Linotype" w:hAnsi="Palatino Linotype"/>
          <w:sz w:val="20"/>
        </w:rPr>
        <w:t xml:space="preserve">updated regularly. For both MODIS instruments, the </w:t>
      </w:r>
      <w:r w:rsidR="004A2E39" w:rsidRPr="00C7014F">
        <w:rPr>
          <w:rFonts w:ascii="Palatino Linotype" w:hAnsi="Palatino Linotype"/>
          <w:i/>
          <w:iCs/>
          <w:sz w:val="20"/>
        </w:rPr>
        <w:t>m</w:t>
      </w:r>
      <w:r w:rsidR="004A2E39" w:rsidRPr="00C7014F">
        <w:rPr>
          <w:rFonts w:ascii="Palatino Linotype" w:hAnsi="Palatino Linotype"/>
          <w:i/>
          <w:iCs/>
          <w:sz w:val="20"/>
          <w:vertAlign w:val="subscript"/>
        </w:rPr>
        <w:t>1</w:t>
      </w:r>
      <w:r w:rsidR="004A2E39" w:rsidRPr="00C7014F">
        <w:rPr>
          <w:rFonts w:ascii="Palatino Linotype" w:hAnsi="Palatino Linotype"/>
          <w:sz w:val="20"/>
          <w:vertAlign w:val="subscript"/>
        </w:rPr>
        <w:t xml:space="preserve"> </w:t>
      </w:r>
      <w:r w:rsidR="004A2E39" w:rsidRPr="00C7014F">
        <w:rPr>
          <w:rFonts w:ascii="Palatino Linotype" w:hAnsi="Palatino Linotype"/>
          <w:sz w:val="20"/>
        </w:rPr>
        <w:t xml:space="preserve">and the </w:t>
      </w:r>
      <w:r w:rsidR="004A2E39" w:rsidRPr="00C7014F">
        <w:rPr>
          <w:rFonts w:ascii="Palatino Linotype" w:hAnsi="Palatino Linotype"/>
          <w:i/>
          <w:iCs/>
          <w:sz w:val="20"/>
        </w:rPr>
        <w:t>RVS</w:t>
      </w:r>
      <w:r w:rsidR="004A2E39" w:rsidRPr="00C7014F">
        <w:rPr>
          <w:rFonts w:ascii="Palatino Linotype" w:hAnsi="Palatino Linotype"/>
          <w:sz w:val="20"/>
        </w:rPr>
        <w:t xml:space="preserve"> are </w:t>
      </w:r>
      <w:r w:rsidR="002A3CFC" w:rsidRPr="00C7014F">
        <w:rPr>
          <w:rFonts w:ascii="Palatino Linotype" w:hAnsi="Palatino Linotype"/>
          <w:sz w:val="20"/>
        </w:rPr>
        <w:t xml:space="preserve">currently </w:t>
      </w:r>
      <w:r w:rsidR="005B4DBA" w:rsidRPr="00C7014F">
        <w:rPr>
          <w:rFonts w:ascii="Palatino Linotype" w:hAnsi="Palatino Linotype"/>
          <w:sz w:val="20"/>
        </w:rPr>
        <w:t xml:space="preserve">derived </w:t>
      </w:r>
      <w:r w:rsidR="004A2E39" w:rsidRPr="00C7014F">
        <w:rPr>
          <w:rFonts w:ascii="Palatino Linotype" w:hAnsi="Palatino Linotype"/>
          <w:sz w:val="20"/>
        </w:rPr>
        <w:t xml:space="preserve">by using </w:t>
      </w:r>
      <w:r w:rsidR="008B35D7" w:rsidRPr="00C7014F">
        <w:rPr>
          <w:rFonts w:ascii="Palatino Linotype" w:hAnsi="Palatino Linotype"/>
          <w:sz w:val="20"/>
        </w:rPr>
        <w:t xml:space="preserve">the </w:t>
      </w:r>
      <w:r w:rsidR="004A2E39" w:rsidRPr="00C7014F">
        <w:rPr>
          <w:rFonts w:ascii="Palatino Linotype" w:hAnsi="Palatino Linotype"/>
          <w:sz w:val="20"/>
        </w:rPr>
        <w:t>SD calibration, lunar calibration, and EV observations over select desert sites</w:t>
      </w:r>
      <w:r w:rsidR="00F20009" w:rsidRPr="00C7014F">
        <w:rPr>
          <w:rFonts w:ascii="Palatino Linotype" w:hAnsi="Palatino Linotype"/>
          <w:sz w:val="20"/>
        </w:rPr>
        <w:t xml:space="preserve"> at multiple AOIs</w:t>
      </w:r>
      <w:r w:rsidR="004A2E39" w:rsidRPr="00C7014F">
        <w:rPr>
          <w:rFonts w:ascii="Palatino Linotype" w:hAnsi="Palatino Linotype"/>
          <w:sz w:val="20"/>
        </w:rPr>
        <w:t xml:space="preserve">.    </w:t>
      </w:r>
    </w:p>
    <w:p w14:paraId="0A5DD3AB" w14:textId="669EEC76"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The MODIS SD is </w:t>
      </w:r>
      <w:r w:rsidR="00225610" w:rsidRPr="00C7014F">
        <w:rPr>
          <w:rFonts w:ascii="Palatino Linotype" w:hAnsi="Palatino Linotype"/>
          <w:sz w:val="20"/>
        </w:rPr>
        <w:t>a flat and near</w:t>
      </w:r>
      <w:r w:rsidR="000432F9" w:rsidRPr="00C7014F">
        <w:rPr>
          <w:rFonts w:ascii="Palatino Linotype" w:hAnsi="Palatino Linotype"/>
          <w:sz w:val="20"/>
        </w:rPr>
        <w:t>-</w:t>
      </w:r>
      <w:r w:rsidR="00225610" w:rsidRPr="00C7014F">
        <w:rPr>
          <w:rFonts w:ascii="Palatino Linotype" w:hAnsi="Palatino Linotype"/>
          <w:sz w:val="20"/>
        </w:rPr>
        <w:t xml:space="preserve">rectangular </w:t>
      </w:r>
      <w:r w:rsidRPr="00C7014F">
        <w:rPr>
          <w:rFonts w:ascii="Palatino Linotype" w:hAnsi="Palatino Linotype"/>
          <w:sz w:val="20"/>
        </w:rPr>
        <w:t>panel made of Spectralon with a near-Lambertian reflectance profile</w:t>
      </w:r>
      <w:r w:rsidR="00867621" w:rsidRPr="00C7014F">
        <w:rPr>
          <w:rFonts w:ascii="Palatino Linotype" w:hAnsi="Palatino Linotype"/>
          <w:sz w:val="20"/>
        </w:rPr>
        <w:t>. It is</w:t>
      </w:r>
      <w:r w:rsidRPr="00C7014F">
        <w:rPr>
          <w:rFonts w:ascii="Palatino Linotype" w:hAnsi="Palatino Linotype"/>
          <w:sz w:val="20"/>
        </w:rPr>
        <w:t xml:space="preserve"> </w:t>
      </w:r>
      <w:r w:rsidR="00225610" w:rsidRPr="00C7014F">
        <w:rPr>
          <w:rFonts w:ascii="Palatino Linotype" w:hAnsi="Palatino Linotype"/>
          <w:sz w:val="20"/>
        </w:rPr>
        <w:t>located</w:t>
      </w:r>
      <w:r w:rsidRPr="00C7014F">
        <w:rPr>
          <w:rFonts w:ascii="Palatino Linotype" w:hAnsi="Palatino Linotype"/>
          <w:sz w:val="20"/>
        </w:rPr>
        <w:t xml:space="preserve"> inside </w:t>
      </w:r>
      <w:r w:rsidR="00225610" w:rsidRPr="00C7014F">
        <w:rPr>
          <w:rFonts w:ascii="Palatino Linotype" w:hAnsi="Palatino Linotype"/>
          <w:sz w:val="20"/>
        </w:rPr>
        <w:t>the instrument cavity</w:t>
      </w:r>
      <w:r w:rsidRPr="00C7014F">
        <w:rPr>
          <w:rFonts w:ascii="Palatino Linotype" w:hAnsi="Palatino Linotype"/>
          <w:sz w:val="20"/>
        </w:rPr>
        <w:t xml:space="preserve">. </w:t>
      </w:r>
      <w:r w:rsidR="003F7588" w:rsidRPr="00C7014F">
        <w:rPr>
          <w:rFonts w:ascii="Palatino Linotype" w:hAnsi="Palatino Linotype"/>
          <w:sz w:val="20"/>
        </w:rPr>
        <w:t xml:space="preserve">The SD provides </w:t>
      </w:r>
      <w:r w:rsidRPr="00C7014F">
        <w:rPr>
          <w:rFonts w:ascii="Palatino Linotype" w:hAnsi="Palatino Linotype"/>
          <w:sz w:val="20"/>
        </w:rPr>
        <w:t>diffuse</w:t>
      </w:r>
      <w:r w:rsidR="003F7588" w:rsidRPr="00C7014F">
        <w:rPr>
          <w:rFonts w:ascii="Palatino Linotype" w:hAnsi="Palatino Linotype"/>
          <w:sz w:val="20"/>
        </w:rPr>
        <w:t>ly</w:t>
      </w:r>
      <w:r w:rsidRPr="00C7014F">
        <w:rPr>
          <w:rFonts w:ascii="Palatino Linotype" w:hAnsi="Palatino Linotype"/>
          <w:sz w:val="20"/>
        </w:rPr>
        <w:t xml:space="preserve"> reflect</w:t>
      </w:r>
      <w:r w:rsidR="003F7588" w:rsidRPr="00C7014F">
        <w:rPr>
          <w:rFonts w:ascii="Palatino Linotype" w:hAnsi="Palatino Linotype"/>
          <w:sz w:val="20"/>
        </w:rPr>
        <w:t>ed s</w:t>
      </w:r>
      <w:r w:rsidRPr="00C7014F">
        <w:rPr>
          <w:rFonts w:ascii="Palatino Linotype" w:hAnsi="Palatino Linotype"/>
          <w:sz w:val="20"/>
        </w:rPr>
        <w:t>un</w:t>
      </w:r>
      <w:r w:rsidR="003F7588" w:rsidRPr="00C7014F">
        <w:rPr>
          <w:rFonts w:ascii="Palatino Linotype" w:hAnsi="Palatino Linotype"/>
          <w:sz w:val="20"/>
        </w:rPr>
        <w:t>light</w:t>
      </w:r>
      <w:r w:rsidRPr="00C7014F">
        <w:rPr>
          <w:rFonts w:ascii="Palatino Linotype" w:hAnsi="Palatino Linotype"/>
          <w:sz w:val="20"/>
        </w:rPr>
        <w:t xml:space="preserve"> </w:t>
      </w:r>
      <w:r w:rsidR="00225610" w:rsidRPr="00C7014F">
        <w:rPr>
          <w:rFonts w:ascii="Palatino Linotype" w:hAnsi="Palatino Linotype"/>
          <w:sz w:val="20"/>
        </w:rPr>
        <w:t>that</w:t>
      </w:r>
      <w:r w:rsidRPr="00C7014F">
        <w:rPr>
          <w:rFonts w:ascii="Palatino Linotype" w:hAnsi="Palatino Linotype"/>
          <w:sz w:val="20"/>
        </w:rPr>
        <w:t xml:space="preserve"> can be used for the </w:t>
      </w:r>
      <w:r w:rsidR="00225610" w:rsidRPr="00C7014F">
        <w:rPr>
          <w:rFonts w:ascii="Palatino Linotype" w:hAnsi="Palatino Linotype"/>
          <w:sz w:val="20"/>
        </w:rPr>
        <w:t xml:space="preserve">RSB </w:t>
      </w:r>
      <w:r w:rsidRPr="00C7014F">
        <w:rPr>
          <w:rFonts w:ascii="Palatino Linotype" w:hAnsi="Palatino Linotype"/>
          <w:sz w:val="20"/>
        </w:rPr>
        <w:t xml:space="preserve">calibration. The SD </w:t>
      </w:r>
      <w:r w:rsidR="00867621" w:rsidRPr="00C7014F">
        <w:rPr>
          <w:rFonts w:ascii="Palatino Linotype" w:hAnsi="Palatino Linotype"/>
          <w:sz w:val="20"/>
        </w:rPr>
        <w:t xml:space="preserve">panel </w:t>
      </w:r>
      <w:r w:rsidR="00225610" w:rsidRPr="00C7014F">
        <w:rPr>
          <w:rFonts w:ascii="Palatino Linotype" w:hAnsi="Palatino Linotype"/>
          <w:sz w:val="20"/>
        </w:rPr>
        <w:t>can be</w:t>
      </w:r>
      <w:r w:rsidRPr="00C7014F">
        <w:rPr>
          <w:rFonts w:ascii="Palatino Linotype" w:hAnsi="Palatino Linotype"/>
          <w:sz w:val="20"/>
        </w:rPr>
        <w:t xml:space="preserve"> illuminated by the sun </w:t>
      </w:r>
      <w:r w:rsidR="003F7588" w:rsidRPr="00C7014F">
        <w:rPr>
          <w:rFonts w:ascii="Palatino Linotype" w:hAnsi="Palatino Linotype"/>
          <w:sz w:val="20"/>
        </w:rPr>
        <w:t>when</w:t>
      </w:r>
      <w:r w:rsidR="000A04F4" w:rsidRPr="00C7014F">
        <w:rPr>
          <w:rFonts w:ascii="Palatino Linotype" w:hAnsi="Palatino Linotype"/>
          <w:sz w:val="20"/>
        </w:rPr>
        <w:t xml:space="preserve"> </w:t>
      </w:r>
      <w:r w:rsidR="003F7588" w:rsidRPr="00C7014F">
        <w:rPr>
          <w:rFonts w:ascii="Palatino Linotype" w:hAnsi="Palatino Linotype"/>
          <w:sz w:val="20"/>
        </w:rPr>
        <w:t>t</w:t>
      </w:r>
      <w:r w:rsidRPr="00C7014F">
        <w:rPr>
          <w:rFonts w:ascii="Palatino Linotype" w:hAnsi="Palatino Linotype"/>
          <w:sz w:val="20"/>
        </w:rPr>
        <w:t>he instrument passes the Earth terminator from the night</w:t>
      </w:r>
      <w:r w:rsidR="003F7588" w:rsidRPr="00C7014F">
        <w:rPr>
          <w:rFonts w:ascii="Palatino Linotype" w:hAnsi="Palatino Linotype"/>
          <w:sz w:val="20"/>
        </w:rPr>
        <w:t xml:space="preserve">time side to </w:t>
      </w:r>
      <w:r w:rsidR="00867621" w:rsidRPr="00C7014F">
        <w:rPr>
          <w:rFonts w:ascii="Palatino Linotype" w:hAnsi="Palatino Linotype"/>
          <w:sz w:val="20"/>
        </w:rPr>
        <w:t xml:space="preserve">the </w:t>
      </w:r>
      <w:r w:rsidRPr="00C7014F">
        <w:rPr>
          <w:rFonts w:ascii="Palatino Linotype" w:hAnsi="Palatino Linotype"/>
          <w:sz w:val="20"/>
        </w:rPr>
        <w:t>day</w:t>
      </w:r>
      <w:r w:rsidR="003F7588" w:rsidRPr="00C7014F">
        <w:rPr>
          <w:rFonts w:ascii="Palatino Linotype" w:hAnsi="Palatino Linotype"/>
          <w:sz w:val="20"/>
        </w:rPr>
        <w:t>time</w:t>
      </w:r>
      <w:r w:rsidR="00867621" w:rsidRPr="00C7014F">
        <w:rPr>
          <w:rFonts w:ascii="Palatino Linotype" w:hAnsi="Palatino Linotype"/>
          <w:sz w:val="20"/>
        </w:rPr>
        <w:t xml:space="preserve"> side</w:t>
      </w:r>
      <w:r w:rsidR="00225610" w:rsidRPr="00C7014F">
        <w:rPr>
          <w:rFonts w:ascii="Palatino Linotype" w:hAnsi="Palatino Linotype"/>
          <w:sz w:val="20"/>
        </w:rPr>
        <w:t xml:space="preserve">. </w:t>
      </w:r>
      <w:r w:rsidR="00C13B2E" w:rsidRPr="00C7014F">
        <w:rPr>
          <w:rFonts w:ascii="Palatino Linotype" w:hAnsi="Palatino Linotype"/>
          <w:sz w:val="20"/>
        </w:rPr>
        <w:t xml:space="preserve">Only the </w:t>
      </w:r>
      <w:r w:rsidR="00225610" w:rsidRPr="00C7014F">
        <w:rPr>
          <w:rFonts w:ascii="Palatino Linotype" w:hAnsi="Palatino Linotype"/>
          <w:sz w:val="20"/>
        </w:rPr>
        <w:t xml:space="preserve">responses to </w:t>
      </w:r>
      <w:r w:rsidR="003F7588" w:rsidRPr="00C7014F">
        <w:rPr>
          <w:rFonts w:ascii="Palatino Linotype" w:hAnsi="Palatino Linotype"/>
          <w:sz w:val="20"/>
        </w:rPr>
        <w:t xml:space="preserve">the </w:t>
      </w:r>
      <w:r w:rsidRPr="00C7014F">
        <w:rPr>
          <w:rFonts w:ascii="Palatino Linotype" w:hAnsi="Palatino Linotype"/>
          <w:sz w:val="20"/>
        </w:rPr>
        <w:t xml:space="preserve">fully illuminated </w:t>
      </w:r>
      <w:r w:rsidR="00225610" w:rsidRPr="00C7014F">
        <w:rPr>
          <w:rFonts w:ascii="Palatino Linotype" w:hAnsi="Palatino Linotype"/>
          <w:sz w:val="20"/>
        </w:rPr>
        <w:t xml:space="preserve">SD </w:t>
      </w:r>
      <w:r w:rsidR="00C13B2E" w:rsidRPr="00C7014F">
        <w:rPr>
          <w:rFonts w:ascii="Palatino Linotype" w:hAnsi="Palatino Linotype"/>
          <w:sz w:val="20"/>
        </w:rPr>
        <w:t>are used to compute the calibration coefficients</w:t>
      </w:r>
      <w:r w:rsidRPr="00C7014F">
        <w:rPr>
          <w:rFonts w:ascii="Palatino Linotype" w:hAnsi="Palatino Linotype"/>
          <w:sz w:val="20"/>
        </w:rPr>
        <w:t xml:space="preserve">. </w:t>
      </w:r>
      <w:r w:rsidR="004E291B" w:rsidRPr="00C7014F">
        <w:rPr>
          <w:rFonts w:ascii="Palatino Linotype" w:hAnsi="Palatino Linotype"/>
          <w:sz w:val="20"/>
        </w:rPr>
        <w:t>Figure 1 shows a</w:t>
      </w:r>
      <w:r w:rsidRPr="00C7014F">
        <w:rPr>
          <w:rFonts w:ascii="Palatino Linotype" w:hAnsi="Palatino Linotype"/>
          <w:sz w:val="20"/>
        </w:rPr>
        <w:t xml:space="preserve"> schematic </w:t>
      </w:r>
      <w:r w:rsidR="004E291B" w:rsidRPr="00C7014F">
        <w:rPr>
          <w:rFonts w:ascii="Palatino Linotype" w:hAnsi="Palatino Linotype"/>
          <w:sz w:val="20"/>
        </w:rPr>
        <w:t>of MODIS scan operation that enable</w:t>
      </w:r>
      <w:r w:rsidR="00F75632" w:rsidRPr="00C7014F">
        <w:rPr>
          <w:rFonts w:ascii="Palatino Linotype" w:hAnsi="Palatino Linotype"/>
          <w:sz w:val="20"/>
        </w:rPr>
        <w:t>s</w:t>
      </w:r>
      <w:r w:rsidR="004E291B" w:rsidRPr="00C7014F">
        <w:rPr>
          <w:rFonts w:ascii="Palatino Linotype" w:hAnsi="Palatino Linotype"/>
          <w:sz w:val="20"/>
        </w:rPr>
        <w:t xml:space="preserve"> data to be collected </w:t>
      </w:r>
      <w:r w:rsidR="00F75632" w:rsidRPr="00C7014F">
        <w:rPr>
          <w:rFonts w:ascii="Palatino Linotype" w:hAnsi="Palatino Linotype"/>
          <w:sz w:val="20"/>
        </w:rPr>
        <w:t xml:space="preserve">each scan </w:t>
      </w:r>
      <w:r w:rsidR="004E291B" w:rsidRPr="00C7014F">
        <w:rPr>
          <w:rFonts w:ascii="Palatino Linotype" w:hAnsi="Palatino Linotype"/>
          <w:sz w:val="20"/>
        </w:rPr>
        <w:t xml:space="preserve">from its </w:t>
      </w:r>
      <w:r w:rsidR="00F11B41" w:rsidRPr="00C7014F">
        <w:rPr>
          <w:rFonts w:ascii="Palatino Linotype" w:hAnsi="Palatino Linotype"/>
          <w:sz w:val="20"/>
        </w:rPr>
        <w:t>on-board calibrators</w:t>
      </w:r>
      <w:r w:rsidR="00F75632" w:rsidRPr="00C7014F">
        <w:rPr>
          <w:rFonts w:ascii="Palatino Linotype" w:hAnsi="Palatino Linotype"/>
          <w:sz w:val="20"/>
        </w:rPr>
        <w:t xml:space="preserve"> and the EV</w:t>
      </w:r>
      <w:r w:rsidR="00F11B41" w:rsidRPr="00C7014F">
        <w:rPr>
          <w:rFonts w:ascii="Palatino Linotype" w:hAnsi="Palatino Linotype"/>
          <w:sz w:val="20"/>
        </w:rPr>
        <w:t xml:space="preserve">. </w:t>
      </w:r>
      <w:r w:rsidR="00867621" w:rsidRPr="00C7014F">
        <w:rPr>
          <w:rFonts w:ascii="Palatino Linotype" w:hAnsi="Palatino Linotype"/>
          <w:sz w:val="20"/>
        </w:rPr>
        <w:t>During each SD calibration, t</w:t>
      </w:r>
      <w:r w:rsidRPr="00C7014F">
        <w:rPr>
          <w:rFonts w:ascii="Palatino Linotype" w:hAnsi="Palatino Linotype"/>
          <w:sz w:val="20"/>
        </w:rPr>
        <w:t xml:space="preserve">he </w:t>
      </w:r>
      <w:r w:rsidR="00C13B2E" w:rsidRPr="00C7014F">
        <w:rPr>
          <w:rFonts w:ascii="Palatino Linotype" w:hAnsi="Palatino Linotype"/>
          <w:sz w:val="20"/>
        </w:rPr>
        <w:t xml:space="preserve">solar </w:t>
      </w:r>
      <w:r w:rsidRPr="00C7014F">
        <w:rPr>
          <w:rFonts w:ascii="Palatino Linotype" w:hAnsi="Palatino Linotype"/>
          <w:sz w:val="20"/>
        </w:rPr>
        <w:t xml:space="preserve">radiance </w:t>
      </w:r>
      <w:r w:rsidR="00C13B2E" w:rsidRPr="00C7014F">
        <w:rPr>
          <w:rFonts w:ascii="Palatino Linotype" w:hAnsi="Palatino Linotype"/>
          <w:sz w:val="20"/>
        </w:rPr>
        <w:t>diffusely reflected</w:t>
      </w:r>
      <w:r w:rsidRPr="00C7014F">
        <w:rPr>
          <w:rFonts w:ascii="Palatino Linotype" w:hAnsi="Palatino Linotype"/>
          <w:sz w:val="20"/>
        </w:rPr>
        <w:t xml:space="preserve"> from the SD can be accurately calculated by</w:t>
      </w:r>
    </w:p>
    <w:p w14:paraId="4C8DF2A7" w14:textId="77777777" w:rsidR="004A2E39" w:rsidRPr="00C7014F" w:rsidRDefault="004A2E39" w:rsidP="000E5897">
      <w:pPr>
        <w:spacing w:after="0" w:line="360" w:lineRule="auto"/>
        <w:rPr>
          <w:rFonts w:ascii="Palatino Linotype" w:hAnsi="Palatino Linotype"/>
          <w:sz w:val="20"/>
        </w:rPr>
      </w:pPr>
      <w:r w:rsidRPr="00C7014F">
        <w:rPr>
          <w:rFonts w:ascii="Palatino Linotype" w:hAnsi="Palatino Linotype"/>
          <w:sz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SD</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SD</m:t>
                </m:r>
              </m:sub>
            </m:sSub>
            <m:r>
              <m:rPr>
                <m:sty m:val="p"/>
              </m:rPr>
              <w:rPr>
                <w:rFonts w:ascii="Cambria Math" w:hAnsi="Cambria Math"/>
                <w:sz w:val="20"/>
                <w:szCs w:val="20"/>
              </w:rPr>
              <m:t>cos(</m:t>
            </m:r>
            <m:sSub>
              <m:sSubPr>
                <m:ctrlPr>
                  <w:rPr>
                    <w:rFonts w:ascii="Cambria Math" w:hAnsi="Cambria Math"/>
                    <w:sz w:val="20"/>
                    <w:szCs w:val="20"/>
                  </w:rPr>
                </m:ctrlPr>
              </m:sSubPr>
              <m:e>
                <m:r>
                  <w:rPr>
                    <w:rFonts w:ascii="Cambria Math" w:hAnsi="Cambria Math"/>
                    <w:sz w:val="20"/>
                    <w:szCs w:val="20"/>
                  </w:rPr>
                  <m:t>θ</m:t>
                </m:r>
              </m:e>
              <m:sub>
                <m:r>
                  <w:rPr>
                    <w:rFonts w:ascii="Cambria Math" w:hAnsi="Cambria Math"/>
                    <w:sz w:val="20"/>
                    <w:szCs w:val="20"/>
                  </w:rPr>
                  <m:t>SD</m:t>
                </m:r>
              </m:sub>
            </m:sSub>
            <m:r>
              <m:rPr>
                <m:sty m:val="p"/>
              </m:rPr>
              <w:rPr>
                <w:rFonts w:ascii="Cambria Math" w:hAnsi="Cambria Math"/>
                <w:sz w:val="20"/>
                <w:szCs w:val="20"/>
              </w:rPr>
              <m:t>)</m:t>
            </m:r>
            <m:sSub>
              <m:sSubPr>
                <m:ctrlPr>
                  <w:rPr>
                    <w:rFonts w:ascii="Cambria Math" w:hAnsi="Cambria Math"/>
                    <w:i/>
                    <w:sz w:val="20"/>
                    <w:szCs w:val="20"/>
                  </w:rPr>
                </m:ctrlPr>
              </m:sSubPr>
              <m:e>
                <m:r>
                  <m:rPr>
                    <m:sty m:val="p"/>
                  </m:rPr>
                  <w:rPr>
                    <w:rFonts w:ascii="Cambria Math" w:hAnsi="Cambria Math"/>
                    <w:sz w:val="20"/>
                    <w:szCs w:val="20"/>
                  </w:rPr>
                  <m:t>Δ</m:t>
                </m:r>
              </m:e>
              <m:sub>
                <m:r>
                  <w:rPr>
                    <w:rFonts w:ascii="Cambria Math" w:hAnsi="Cambria Math"/>
                    <w:sz w:val="20"/>
                    <w:szCs w:val="20"/>
                  </w:rPr>
                  <m:t>SD</m:t>
                </m:r>
              </m:sub>
            </m:sSub>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SDS</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m:t>
                </m:r>
              </m:sub>
            </m:sSub>
          </m:num>
          <m:den>
            <m:r>
              <w:rPr>
                <w:rFonts w:ascii="Cambria Math" w:hAnsi="Cambria Math"/>
                <w:sz w:val="20"/>
                <w:szCs w:val="20"/>
              </w:rPr>
              <m:t>π</m:t>
            </m:r>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ES</m:t>
                </m:r>
              </m:sub>
              <m:sup>
                <m:r>
                  <w:rPr>
                    <w:rFonts w:ascii="Cambria Math" w:hAnsi="Cambria Math"/>
                    <w:sz w:val="20"/>
                    <w:szCs w:val="20"/>
                  </w:rPr>
                  <m:t>2</m:t>
                </m:r>
              </m:sup>
            </m:sSubSup>
          </m:den>
        </m:f>
      </m:oMath>
      <w:r w:rsidRPr="00C7014F">
        <w:rPr>
          <w:rFonts w:ascii="Palatino Linotype" w:hAnsi="Palatino Linotype"/>
          <w:sz w:val="20"/>
        </w:rPr>
        <w:t xml:space="preserve">, </w:t>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Pr="00C7014F">
        <w:rPr>
          <w:rFonts w:ascii="Palatino Linotype" w:hAnsi="Palatino Linotype"/>
          <w:sz w:val="20"/>
        </w:rPr>
        <w:t>(2)</w:t>
      </w:r>
    </w:p>
    <w:p w14:paraId="7CA2DEF6" w14:textId="470B8142"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where </w:t>
      </w:r>
      <w:bookmarkStart w:id="6" w:name="_Hlk71367705"/>
      <w:r w:rsidRPr="00C7014F">
        <w:rPr>
          <w:rFonts w:ascii="Palatino Linotype" w:hAnsi="Palatino Linotype"/>
          <w:i/>
          <w:iCs/>
          <w:sz w:val="20"/>
        </w:rPr>
        <w:t>ρ</w:t>
      </w:r>
      <w:r w:rsidRPr="00C7014F">
        <w:rPr>
          <w:rFonts w:ascii="Palatino Linotype" w:hAnsi="Palatino Linotype"/>
          <w:i/>
          <w:iCs/>
          <w:sz w:val="20"/>
          <w:vertAlign w:val="subscript"/>
        </w:rPr>
        <w:t>SD</w:t>
      </w:r>
      <w:bookmarkEnd w:id="6"/>
      <w:r w:rsidR="0008309A" w:rsidRPr="00C7014F">
        <w:rPr>
          <w:rFonts w:ascii="Palatino Linotype" w:hAnsi="Palatino Linotype"/>
          <w:sz w:val="20"/>
        </w:rPr>
        <w:t xml:space="preserve"> is the SD </w:t>
      </w:r>
      <w:r w:rsidR="00987919" w:rsidRPr="00C7014F">
        <w:rPr>
          <w:rFonts w:ascii="Palatino Linotype" w:hAnsi="Palatino Linotype"/>
          <w:sz w:val="20"/>
        </w:rPr>
        <w:t>BR</w:t>
      </w:r>
      <w:r w:rsidRPr="00C7014F">
        <w:rPr>
          <w:rFonts w:ascii="Palatino Linotype" w:hAnsi="Palatino Linotype"/>
          <w:sz w:val="20"/>
        </w:rPr>
        <w:t xml:space="preserve">F </w:t>
      </w:r>
      <w:r w:rsidR="006D4CEF" w:rsidRPr="00C7014F">
        <w:rPr>
          <w:rFonts w:ascii="Palatino Linotype" w:hAnsi="Palatino Linotype"/>
          <w:sz w:val="20"/>
        </w:rPr>
        <w:t>derived from</w:t>
      </w:r>
      <w:r w:rsidRPr="00C7014F">
        <w:rPr>
          <w:rFonts w:ascii="Palatino Linotype" w:hAnsi="Palatino Linotype"/>
          <w:sz w:val="20"/>
        </w:rPr>
        <w:t xml:space="preserve"> prelaunch</w:t>
      </w:r>
      <w:r w:rsidR="006D4CEF" w:rsidRPr="00C7014F">
        <w:rPr>
          <w:rFonts w:ascii="Palatino Linotype" w:hAnsi="Palatino Linotype"/>
          <w:sz w:val="20"/>
        </w:rPr>
        <w:t xml:space="preserve"> measurements</w:t>
      </w:r>
      <w:r w:rsidRPr="00C7014F">
        <w:rPr>
          <w:rFonts w:ascii="Palatino Linotype" w:hAnsi="Palatino Linotype"/>
          <w:sz w:val="20"/>
        </w:rPr>
        <w:t xml:space="preserve">, </w:t>
      </w:r>
      <w:r w:rsidRPr="00C7014F">
        <w:rPr>
          <w:rFonts w:ascii="Palatino Linotype" w:hAnsi="Palatino Linotype"/>
          <w:i/>
          <w:iCs/>
          <w:sz w:val="20"/>
        </w:rPr>
        <w:t>θ</w:t>
      </w:r>
      <w:r w:rsidRPr="00C7014F">
        <w:rPr>
          <w:rFonts w:ascii="Palatino Linotype" w:hAnsi="Palatino Linotype"/>
          <w:i/>
          <w:iCs/>
          <w:sz w:val="20"/>
          <w:vertAlign w:val="subscript"/>
        </w:rPr>
        <w:t>SD</w:t>
      </w:r>
      <w:r w:rsidRPr="00C7014F">
        <w:rPr>
          <w:rFonts w:ascii="Palatino Linotype" w:hAnsi="Palatino Linotype"/>
          <w:i/>
          <w:iCs/>
          <w:sz w:val="20"/>
        </w:rPr>
        <w:t xml:space="preserve"> </w:t>
      </w:r>
      <w:r w:rsidRPr="00C7014F">
        <w:rPr>
          <w:rFonts w:ascii="Palatino Linotype" w:hAnsi="Palatino Linotype"/>
          <w:sz w:val="20"/>
        </w:rPr>
        <w:t xml:space="preserve">is the solar zenith angle relative to the SD, </w:t>
      </w:r>
      <w:r w:rsidR="006D4CEF" w:rsidRPr="00C7014F">
        <w:rPr>
          <w:rFonts w:ascii="Symbol" w:hAnsi="Symbol"/>
          <w:i/>
          <w:iCs/>
          <w:sz w:val="20"/>
        </w:rPr>
        <w:t></w:t>
      </w:r>
      <w:r w:rsidR="006D4CEF" w:rsidRPr="00C7014F">
        <w:rPr>
          <w:rFonts w:ascii="Palatino Linotype" w:hAnsi="Palatino Linotype"/>
          <w:i/>
          <w:iCs/>
          <w:sz w:val="20"/>
          <w:vertAlign w:val="subscript"/>
        </w:rPr>
        <w:t>SD</w:t>
      </w:r>
      <w:r w:rsidR="006D4CEF" w:rsidRPr="00C7014F">
        <w:rPr>
          <w:rFonts w:ascii="Palatino Linotype" w:hAnsi="Palatino Linotype"/>
          <w:sz w:val="20"/>
        </w:rPr>
        <w:t xml:space="preserve"> is the SD on-orbit degradation,</w:t>
      </w:r>
      <w:r w:rsidR="006D4CEF" w:rsidRPr="00C7014F">
        <w:rPr>
          <w:rFonts w:ascii="Symbol" w:hAnsi="Symbol"/>
          <w:sz w:val="20"/>
        </w:rPr>
        <w:t></w:t>
      </w:r>
      <w:r w:rsidRPr="00C7014F">
        <w:rPr>
          <w:rFonts w:ascii="Palatino Linotype" w:hAnsi="Palatino Linotype"/>
          <w:sz w:val="20"/>
        </w:rPr>
        <w:t>τ</w:t>
      </w:r>
      <w:r w:rsidRPr="00C7014F">
        <w:rPr>
          <w:rFonts w:ascii="Palatino Linotype" w:hAnsi="Palatino Linotype"/>
          <w:sz w:val="20"/>
          <w:vertAlign w:val="subscript"/>
        </w:rPr>
        <w:t>SDS</w:t>
      </w:r>
      <w:r w:rsidRPr="00C7014F">
        <w:rPr>
          <w:rFonts w:ascii="Palatino Linotype" w:hAnsi="Palatino Linotype"/>
          <w:sz w:val="20"/>
        </w:rPr>
        <w:t xml:space="preserve"> is the SD screen (SDS) transmission function</w:t>
      </w:r>
      <w:r w:rsidR="003F7588" w:rsidRPr="00C7014F">
        <w:rPr>
          <w:rFonts w:ascii="Palatino Linotype" w:hAnsi="Palatino Linotype"/>
          <w:sz w:val="20"/>
        </w:rPr>
        <w:t>, which</w:t>
      </w:r>
      <w:r w:rsidR="00300FB5" w:rsidRPr="00C7014F">
        <w:rPr>
          <w:rFonts w:ascii="Palatino Linotype" w:hAnsi="Palatino Linotype"/>
          <w:sz w:val="20"/>
        </w:rPr>
        <w:t xml:space="preserve"> is</w:t>
      </w:r>
      <w:r w:rsidRPr="00C7014F">
        <w:rPr>
          <w:rFonts w:ascii="Palatino Linotype" w:hAnsi="Palatino Linotype"/>
          <w:sz w:val="20"/>
        </w:rPr>
        <w:t xml:space="preserve"> also </w:t>
      </w:r>
      <w:r w:rsidR="00300FB5" w:rsidRPr="00C7014F">
        <w:rPr>
          <w:rFonts w:ascii="Palatino Linotype" w:hAnsi="Palatino Linotype"/>
          <w:sz w:val="20"/>
        </w:rPr>
        <w:t xml:space="preserve">referred to as </w:t>
      </w:r>
      <w:r w:rsidRPr="00C7014F">
        <w:rPr>
          <w:rFonts w:ascii="Palatino Linotype" w:hAnsi="Palatino Linotype"/>
          <w:sz w:val="20"/>
        </w:rPr>
        <w:t>the vignetting function (VF)</w:t>
      </w:r>
      <w:r w:rsidR="00300FB5" w:rsidRPr="00C7014F">
        <w:rPr>
          <w:rFonts w:ascii="Palatino Linotype" w:hAnsi="Palatino Linotype"/>
          <w:sz w:val="20"/>
        </w:rPr>
        <w:t xml:space="preserve">. During </w:t>
      </w:r>
      <w:r w:rsidR="003F7588" w:rsidRPr="00C7014F">
        <w:rPr>
          <w:rFonts w:ascii="Palatino Linotype" w:hAnsi="Palatino Linotype"/>
          <w:sz w:val="20"/>
        </w:rPr>
        <w:t xml:space="preserve">sensor </w:t>
      </w:r>
      <w:r w:rsidR="00300FB5" w:rsidRPr="00C7014F">
        <w:rPr>
          <w:rFonts w:ascii="Palatino Linotype" w:hAnsi="Palatino Linotype"/>
          <w:sz w:val="20"/>
        </w:rPr>
        <w:t>nominal operation</w:t>
      </w:r>
      <w:r w:rsidR="003F7588" w:rsidRPr="00C7014F">
        <w:rPr>
          <w:rFonts w:ascii="Palatino Linotype" w:hAnsi="Palatino Linotype"/>
          <w:sz w:val="20"/>
        </w:rPr>
        <w:t>s</w:t>
      </w:r>
      <w:r w:rsidR="00300FB5" w:rsidRPr="00C7014F">
        <w:rPr>
          <w:rFonts w:ascii="Palatino Linotype" w:hAnsi="Palatino Linotype"/>
          <w:sz w:val="20"/>
        </w:rPr>
        <w:t>, the SDS</w:t>
      </w:r>
      <w:r w:rsidRPr="00C7014F">
        <w:rPr>
          <w:rFonts w:ascii="Palatino Linotype" w:hAnsi="Palatino Linotype"/>
          <w:sz w:val="20"/>
        </w:rPr>
        <w:t xml:space="preserve"> can be </w:t>
      </w:r>
      <w:r w:rsidR="00300FB5" w:rsidRPr="00C7014F">
        <w:rPr>
          <w:rFonts w:ascii="Palatino Linotype" w:hAnsi="Palatino Linotype"/>
          <w:sz w:val="20"/>
        </w:rPr>
        <w:t>commanded</w:t>
      </w:r>
      <w:r w:rsidRPr="00C7014F">
        <w:rPr>
          <w:rFonts w:ascii="Palatino Linotype" w:hAnsi="Palatino Linotype"/>
          <w:sz w:val="20"/>
        </w:rPr>
        <w:t xml:space="preserve"> </w:t>
      </w:r>
      <w:r w:rsidR="00D901BF" w:rsidRPr="00C7014F">
        <w:rPr>
          <w:rFonts w:ascii="Palatino Linotype" w:hAnsi="Palatino Linotype"/>
          <w:sz w:val="20"/>
        </w:rPr>
        <w:t xml:space="preserve">to </w:t>
      </w:r>
      <w:r w:rsidR="003F7588" w:rsidRPr="00C7014F">
        <w:rPr>
          <w:rFonts w:ascii="Palatino Linotype" w:hAnsi="Palatino Linotype"/>
          <w:sz w:val="20"/>
        </w:rPr>
        <w:t xml:space="preserve">an </w:t>
      </w:r>
      <w:r w:rsidRPr="00C7014F">
        <w:rPr>
          <w:rFonts w:ascii="Palatino Linotype" w:hAnsi="Palatino Linotype"/>
          <w:sz w:val="20"/>
        </w:rPr>
        <w:t xml:space="preserve">open </w:t>
      </w:r>
      <w:r w:rsidR="00300FB5" w:rsidRPr="00C7014F">
        <w:rPr>
          <w:rFonts w:ascii="Palatino Linotype" w:hAnsi="Palatino Linotype"/>
          <w:sz w:val="20"/>
        </w:rPr>
        <w:t>or</w:t>
      </w:r>
      <w:r w:rsidRPr="00C7014F">
        <w:rPr>
          <w:rFonts w:ascii="Palatino Linotype" w:hAnsi="Palatino Linotype"/>
          <w:sz w:val="20"/>
        </w:rPr>
        <w:t xml:space="preserve"> </w:t>
      </w:r>
      <w:r w:rsidR="003F7588" w:rsidRPr="00C7014F">
        <w:rPr>
          <w:rFonts w:ascii="Palatino Linotype" w:hAnsi="Palatino Linotype"/>
          <w:sz w:val="20"/>
        </w:rPr>
        <w:t xml:space="preserve">a </w:t>
      </w:r>
      <w:r w:rsidRPr="00C7014F">
        <w:rPr>
          <w:rFonts w:ascii="Palatino Linotype" w:hAnsi="Palatino Linotype"/>
          <w:sz w:val="20"/>
        </w:rPr>
        <w:t>closed position</w:t>
      </w:r>
      <w:r w:rsidR="00300FB5" w:rsidRPr="00C7014F">
        <w:rPr>
          <w:rFonts w:ascii="Palatino Linotype" w:hAnsi="Palatino Linotype"/>
          <w:sz w:val="20"/>
        </w:rPr>
        <w:t>, thus providing two different levels</w:t>
      </w:r>
      <w:r w:rsidRPr="00C7014F">
        <w:rPr>
          <w:rFonts w:ascii="Palatino Linotype" w:hAnsi="Palatino Linotype"/>
          <w:sz w:val="20"/>
        </w:rPr>
        <w:t xml:space="preserve"> </w:t>
      </w:r>
      <w:r w:rsidR="006D4CEF" w:rsidRPr="00C7014F">
        <w:rPr>
          <w:rFonts w:ascii="Palatino Linotype" w:hAnsi="Palatino Linotype"/>
          <w:sz w:val="20"/>
        </w:rPr>
        <w:t xml:space="preserve">of </w:t>
      </w:r>
      <w:r w:rsidRPr="00C7014F">
        <w:rPr>
          <w:rFonts w:ascii="Palatino Linotype" w:hAnsi="Palatino Linotype"/>
          <w:sz w:val="20"/>
        </w:rPr>
        <w:t xml:space="preserve">the intensity </w:t>
      </w:r>
      <w:r w:rsidR="006D4CEF" w:rsidRPr="00C7014F">
        <w:rPr>
          <w:rFonts w:ascii="Palatino Linotype" w:hAnsi="Palatino Linotype"/>
          <w:sz w:val="20"/>
        </w:rPr>
        <w:t>for</w:t>
      </w:r>
      <w:r w:rsidRPr="00C7014F">
        <w:rPr>
          <w:rFonts w:ascii="Palatino Linotype" w:hAnsi="Palatino Linotype"/>
          <w:sz w:val="20"/>
        </w:rPr>
        <w:t xml:space="preserve"> the sunligh</w:t>
      </w:r>
      <w:r w:rsidR="006D4CEF" w:rsidRPr="00C7014F">
        <w:rPr>
          <w:rFonts w:ascii="Palatino Linotype" w:hAnsi="Palatino Linotype"/>
          <w:sz w:val="20"/>
        </w:rPr>
        <w:t>t illuminated on the SD surface.</w:t>
      </w:r>
      <w:r w:rsidRPr="00C7014F">
        <w:rPr>
          <w:rFonts w:ascii="Palatino Linotype" w:hAnsi="Palatino Linotype"/>
          <w:sz w:val="20"/>
        </w:rPr>
        <w:t xml:space="preserve"> </w:t>
      </w:r>
      <w:r w:rsidR="00300FB5" w:rsidRPr="00C7014F">
        <w:rPr>
          <w:rFonts w:ascii="Palatino Linotype" w:hAnsi="Palatino Linotype"/>
          <w:sz w:val="20"/>
        </w:rPr>
        <w:t xml:space="preserve">Placed in front of the SDS is an aperture door that </w:t>
      </w:r>
      <w:r w:rsidR="006D4CEF" w:rsidRPr="00C7014F">
        <w:rPr>
          <w:rFonts w:ascii="Palatino Linotype" w:hAnsi="Palatino Linotype"/>
          <w:sz w:val="20"/>
        </w:rPr>
        <w:t>is</w:t>
      </w:r>
      <w:r w:rsidR="00300FB5" w:rsidRPr="00C7014F">
        <w:rPr>
          <w:rFonts w:ascii="Palatino Linotype" w:hAnsi="Palatino Linotype"/>
          <w:sz w:val="20"/>
        </w:rPr>
        <w:t xml:space="preserve"> </w:t>
      </w:r>
      <w:r w:rsidRPr="00C7014F">
        <w:rPr>
          <w:rFonts w:ascii="Palatino Linotype" w:hAnsi="Palatino Linotype"/>
          <w:sz w:val="20"/>
        </w:rPr>
        <w:t>open</w:t>
      </w:r>
      <w:r w:rsidR="007913B8" w:rsidRPr="00C7014F">
        <w:rPr>
          <w:rFonts w:ascii="Palatino Linotype" w:hAnsi="Palatino Linotype"/>
          <w:sz w:val="20"/>
        </w:rPr>
        <w:t>ed</w:t>
      </w:r>
      <w:r w:rsidRPr="00C7014F">
        <w:rPr>
          <w:rFonts w:ascii="Palatino Linotype" w:hAnsi="Palatino Linotype"/>
          <w:sz w:val="20"/>
        </w:rPr>
        <w:t xml:space="preserve"> only during </w:t>
      </w:r>
      <w:r w:rsidR="00300FB5" w:rsidRPr="00C7014F">
        <w:rPr>
          <w:rFonts w:ascii="Palatino Linotype" w:hAnsi="Palatino Linotype"/>
          <w:sz w:val="20"/>
        </w:rPr>
        <w:t>nominally scheduled</w:t>
      </w:r>
      <w:r w:rsidRPr="00C7014F">
        <w:rPr>
          <w:rFonts w:ascii="Palatino Linotype" w:hAnsi="Palatino Linotype"/>
          <w:sz w:val="20"/>
        </w:rPr>
        <w:t xml:space="preserve"> SD and SDSM calibration</w:t>
      </w:r>
      <w:r w:rsidR="00300FB5" w:rsidRPr="00C7014F">
        <w:rPr>
          <w:rFonts w:ascii="Palatino Linotype" w:hAnsi="Palatino Linotype"/>
          <w:sz w:val="20"/>
        </w:rPr>
        <w:t xml:space="preserve"> events</w:t>
      </w:r>
      <w:r w:rsidRPr="00C7014F">
        <w:rPr>
          <w:rFonts w:ascii="Palatino Linotype" w:hAnsi="Palatino Linotype"/>
          <w:sz w:val="20"/>
        </w:rPr>
        <w:t xml:space="preserve">. </w:t>
      </w:r>
      <w:r w:rsidR="00300FB5" w:rsidRPr="00C7014F">
        <w:rPr>
          <w:rFonts w:ascii="Palatino Linotype" w:hAnsi="Palatino Linotype"/>
          <w:sz w:val="20"/>
        </w:rPr>
        <w:t>For</w:t>
      </w:r>
      <w:r w:rsidRPr="00C7014F">
        <w:rPr>
          <w:rFonts w:ascii="Palatino Linotype" w:hAnsi="Palatino Linotype"/>
          <w:sz w:val="20"/>
        </w:rPr>
        <w:t xml:space="preserve"> Terra MODIS, </w:t>
      </w:r>
      <w:r w:rsidR="00300FB5" w:rsidRPr="00C7014F">
        <w:rPr>
          <w:rFonts w:ascii="Palatino Linotype" w:hAnsi="Palatino Linotype"/>
          <w:sz w:val="20"/>
        </w:rPr>
        <w:t xml:space="preserve">however, </w:t>
      </w:r>
      <w:r w:rsidRPr="00C7014F">
        <w:rPr>
          <w:rFonts w:ascii="Palatino Linotype" w:hAnsi="Palatino Linotype"/>
          <w:sz w:val="20"/>
        </w:rPr>
        <w:t xml:space="preserve">the SD door has been </w:t>
      </w:r>
      <w:r w:rsidR="00725074" w:rsidRPr="00C7014F">
        <w:rPr>
          <w:rFonts w:ascii="Palatino Linotype" w:hAnsi="Palatino Linotype"/>
          <w:sz w:val="20"/>
        </w:rPr>
        <w:t>fixed</w:t>
      </w:r>
      <w:r w:rsidR="00300FB5" w:rsidRPr="00C7014F">
        <w:rPr>
          <w:rFonts w:ascii="Palatino Linotype" w:hAnsi="Palatino Linotype"/>
          <w:sz w:val="20"/>
        </w:rPr>
        <w:t xml:space="preserve"> in</w:t>
      </w:r>
      <w:r w:rsidRPr="00C7014F">
        <w:rPr>
          <w:rFonts w:ascii="Palatino Linotype" w:hAnsi="Palatino Linotype"/>
          <w:sz w:val="20"/>
        </w:rPr>
        <w:t xml:space="preserve"> </w:t>
      </w:r>
      <w:r w:rsidR="00300FB5" w:rsidRPr="00C7014F">
        <w:rPr>
          <w:rFonts w:ascii="Palatino Linotype" w:hAnsi="Palatino Linotype"/>
          <w:sz w:val="20"/>
        </w:rPr>
        <w:t xml:space="preserve">the </w:t>
      </w:r>
      <w:r w:rsidRPr="00C7014F">
        <w:rPr>
          <w:rFonts w:ascii="Palatino Linotype" w:hAnsi="Palatino Linotype"/>
          <w:sz w:val="20"/>
        </w:rPr>
        <w:t xml:space="preserve">open </w:t>
      </w:r>
      <w:r w:rsidR="00300FB5" w:rsidRPr="00C7014F">
        <w:rPr>
          <w:rFonts w:ascii="Palatino Linotype" w:hAnsi="Palatino Linotype"/>
          <w:sz w:val="20"/>
        </w:rPr>
        <w:t xml:space="preserve">position </w:t>
      </w:r>
      <w:r w:rsidRPr="00C7014F">
        <w:rPr>
          <w:rFonts w:ascii="Palatino Linotype" w:hAnsi="Palatino Linotype"/>
          <w:sz w:val="20"/>
        </w:rPr>
        <w:t xml:space="preserve">with the </w:t>
      </w:r>
      <w:r w:rsidR="00300FB5" w:rsidRPr="00C7014F">
        <w:rPr>
          <w:rFonts w:ascii="Palatino Linotype" w:hAnsi="Palatino Linotype"/>
          <w:sz w:val="20"/>
        </w:rPr>
        <w:t>SDS in the closed position</w:t>
      </w:r>
      <w:r w:rsidRPr="00C7014F">
        <w:rPr>
          <w:rFonts w:ascii="Palatino Linotype" w:hAnsi="Palatino Linotype"/>
          <w:sz w:val="20"/>
        </w:rPr>
        <w:t xml:space="preserve"> since July 2, 2003</w:t>
      </w:r>
      <w:r w:rsidR="00353E2C" w:rsidRPr="00C7014F">
        <w:rPr>
          <w:rFonts w:ascii="Palatino Linotype" w:hAnsi="Palatino Linotype"/>
          <w:sz w:val="20"/>
        </w:rPr>
        <w:t xml:space="preserve">, resulting from </w:t>
      </w:r>
      <w:r w:rsidRPr="00C7014F">
        <w:rPr>
          <w:rFonts w:ascii="Palatino Linotype" w:hAnsi="Palatino Linotype"/>
          <w:sz w:val="20"/>
        </w:rPr>
        <w:t>an anomaly</w:t>
      </w:r>
      <w:r w:rsidR="00353E2C" w:rsidRPr="00C7014F">
        <w:rPr>
          <w:rFonts w:ascii="Palatino Linotype" w:hAnsi="Palatino Linotype"/>
          <w:sz w:val="20"/>
        </w:rPr>
        <w:t xml:space="preserve"> related </w:t>
      </w:r>
      <w:r w:rsidR="00987919" w:rsidRPr="00C7014F">
        <w:rPr>
          <w:rFonts w:ascii="Palatino Linotype" w:hAnsi="Palatino Linotype"/>
          <w:sz w:val="20"/>
        </w:rPr>
        <w:t xml:space="preserve">its </w:t>
      </w:r>
      <w:r w:rsidR="00353E2C" w:rsidRPr="00C7014F">
        <w:rPr>
          <w:rFonts w:ascii="Palatino Linotype" w:hAnsi="Palatino Linotype"/>
          <w:sz w:val="20"/>
        </w:rPr>
        <w:t xml:space="preserve">SD door and/or </w:t>
      </w:r>
      <w:r w:rsidR="006D4CEF" w:rsidRPr="00C7014F">
        <w:rPr>
          <w:rFonts w:ascii="Palatino Linotype" w:hAnsi="Palatino Linotype"/>
          <w:sz w:val="20"/>
        </w:rPr>
        <w:t>SDS</w:t>
      </w:r>
      <w:r w:rsidR="00353E2C" w:rsidRPr="00C7014F">
        <w:rPr>
          <w:rFonts w:ascii="Palatino Linotype" w:hAnsi="Palatino Linotype"/>
          <w:sz w:val="20"/>
        </w:rPr>
        <w:t xml:space="preserve"> operation</w:t>
      </w:r>
      <w:r w:rsidRPr="00C7014F">
        <w:rPr>
          <w:rFonts w:ascii="Palatino Linotype" w:hAnsi="Palatino Linotype"/>
          <w:sz w:val="20"/>
        </w:rPr>
        <w:t xml:space="preserve">. </w:t>
      </w:r>
      <w:r w:rsidR="00987919" w:rsidRPr="00C7014F">
        <w:rPr>
          <w:rFonts w:ascii="Palatino Linotype" w:hAnsi="Palatino Linotype"/>
          <w:sz w:val="20"/>
        </w:rPr>
        <w:t>The</w:t>
      </w:r>
      <w:r w:rsidRPr="00C7014F">
        <w:rPr>
          <w:rFonts w:ascii="Palatino Linotype" w:hAnsi="Palatino Linotype"/>
          <w:sz w:val="20"/>
        </w:rPr>
        <w:t xml:space="preserve"> SD</w:t>
      </w:r>
      <w:r w:rsidR="00353E2C" w:rsidRPr="00C7014F">
        <w:rPr>
          <w:rFonts w:ascii="Palatino Linotype" w:hAnsi="Palatino Linotype"/>
          <w:sz w:val="20"/>
        </w:rPr>
        <w:t xml:space="preserve"> BRF was measured prelaunch </w:t>
      </w:r>
      <w:r w:rsidR="00987919" w:rsidRPr="00C7014F">
        <w:rPr>
          <w:rFonts w:ascii="Palatino Linotype" w:hAnsi="Palatino Linotype"/>
          <w:sz w:val="20"/>
        </w:rPr>
        <w:t>and</w:t>
      </w:r>
      <w:r w:rsidR="00353E2C" w:rsidRPr="00C7014F">
        <w:rPr>
          <w:rFonts w:ascii="Palatino Linotype" w:hAnsi="Palatino Linotype"/>
          <w:sz w:val="20"/>
        </w:rPr>
        <w:t xml:space="preserve"> its relative profile </w:t>
      </w:r>
      <w:r w:rsidR="00987919" w:rsidRPr="00C7014F">
        <w:rPr>
          <w:rFonts w:ascii="Palatino Linotype" w:hAnsi="Palatino Linotype"/>
          <w:sz w:val="20"/>
        </w:rPr>
        <w:t xml:space="preserve">was </w:t>
      </w:r>
      <w:r w:rsidRPr="00C7014F">
        <w:rPr>
          <w:rFonts w:ascii="Palatino Linotype" w:hAnsi="Palatino Linotype"/>
          <w:sz w:val="20"/>
        </w:rPr>
        <w:t xml:space="preserve">validated on-orbit using measurements </w:t>
      </w:r>
      <w:r w:rsidR="00987919" w:rsidRPr="00C7014F">
        <w:rPr>
          <w:rFonts w:ascii="Palatino Linotype" w:hAnsi="Palatino Linotype"/>
          <w:sz w:val="20"/>
        </w:rPr>
        <w:t xml:space="preserve">made </w:t>
      </w:r>
      <w:r w:rsidRPr="00C7014F">
        <w:rPr>
          <w:rFonts w:ascii="Palatino Linotype" w:hAnsi="Palatino Linotype"/>
          <w:sz w:val="20"/>
        </w:rPr>
        <w:t xml:space="preserve">during </w:t>
      </w:r>
      <w:r w:rsidR="00353E2C" w:rsidRPr="00C7014F">
        <w:rPr>
          <w:rFonts w:ascii="Palatino Linotype" w:hAnsi="Palatino Linotype"/>
          <w:sz w:val="20"/>
        </w:rPr>
        <w:t xml:space="preserve">spacecraft </w:t>
      </w:r>
      <w:r w:rsidRPr="00C7014F">
        <w:rPr>
          <w:rFonts w:ascii="Palatino Linotype" w:hAnsi="Palatino Linotype"/>
          <w:sz w:val="20"/>
        </w:rPr>
        <w:t>yaw maneuvers</w:t>
      </w:r>
      <w:r w:rsidR="00987919" w:rsidRPr="00C7014F">
        <w:rPr>
          <w:rFonts w:ascii="Palatino Linotype" w:hAnsi="Palatino Linotype"/>
          <w:sz w:val="20"/>
        </w:rPr>
        <w:t xml:space="preserve">, which were performed </w:t>
      </w:r>
      <w:r w:rsidRPr="00C7014F">
        <w:rPr>
          <w:rFonts w:ascii="Palatino Linotype" w:hAnsi="Palatino Linotype"/>
          <w:sz w:val="20"/>
        </w:rPr>
        <w:t>early in the mission</w:t>
      </w:r>
      <w:r w:rsidR="00987919" w:rsidRPr="00C7014F">
        <w:rPr>
          <w:rFonts w:ascii="Palatino Linotype" w:hAnsi="Palatino Linotype"/>
          <w:sz w:val="20"/>
        </w:rPr>
        <w:t xml:space="preserve"> </w:t>
      </w:r>
      <w:r w:rsidR="00F73385" w:rsidRPr="00C7014F">
        <w:rPr>
          <w:rFonts w:ascii="Palatino Linotype" w:hAnsi="Palatino Linotype"/>
          <w:sz w:val="20"/>
        </w:rPr>
        <w:t>for</w:t>
      </w:r>
      <w:r w:rsidR="00987919" w:rsidRPr="00C7014F">
        <w:rPr>
          <w:rFonts w:ascii="Palatino Linotype" w:hAnsi="Palatino Linotype"/>
          <w:sz w:val="20"/>
        </w:rPr>
        <w:t xml:space="preserve"> both Terra and Aqua</w:t>
      </w:r>
      <w:r w:rsidR="00F73385" w:rsidRPr="00C7014F">
        <w:rPr>
          <w:rFonts w:ascii="Palatino Linotype" w:hAnsi="Palatino Linotype"/>
          <w:sz w:val="20"/>
        </w:rPr>
        <w:t xml:space="preserve"> MODIS</w:t>
      </w:r>
      <w:r w:rsidRPr="00C7014F">
        <w:rPr>
          <w:rFonts w:ascii="Palatino Linotype" w:hAnsi="Palatino Linotype"/>
          <w:sz w:val="20"/>
        </w:rPr>
        <w:t xml:space="preserve">. The SD on-orbit degradation, </w:t>
      </w:r>
      <w:bookmarkStart w:id="7" w:name="_Hlk71364889"/>
      <w:r w:rsidRPr="00C7014F">
        <w:rPr>
          <w:rFonts w:ascii="Symbol" w:hAnsi="Symbol"/>
          <w:i/>
          <w:iCs/>
          <w:sz w:val="20"/>
        </w:rPr>
        <w:t></w:t>
      </w:r>
      <w:r w:rsidRPr="00C7014F">
        <w:rPr>
          <w:rFonts w:ascii="Palatino Linotype" w:hAnsi="Palatino Linotype"/>
          <w:i/>
          <w:iCs/>
          <w:sz w:val="20"/>
          <w:vertAlign w:val="subscript"/>
        </w:rPr>
        <w:t>SD</w:t>
      </w:r>
      <w:bookmarkEnd w:id="7"/>
      <w:r w:rsidRPr="00C7014F">
        <w:rPr>
          <w:rFonts w:ascii="Palatino Linotype" w:hAnsi="Palatino Linotype"/>
          <w:sz w:val="20"/>
        </w:rPr>
        <w:t xml:space="preserve">, is tracked by </w:t>
      </w:r>
      <w:r w:rsidR="00FB73AA" w:rsidRPr="00C7014F">
        <w:rPr>
          <w:rFonts w:ascii="Palatino Linotype" w:hAnsi="Palatino Linotype"/>
          <w:sz w:val="20"/>
        </w:rPr>
        <w:t>the</w:t>
      </w:r>
      <w:r w:rsidRPr="00C7014F">
        <w:rPr>
          <w:rFonts w:ascii="Palatino Linotype" w:hAnsi="Palatino Linotype"/>
          <w:sz w:val="20"/>
        </w:rPr>
        <w:t xml:space="preserve"> onboard SDSM. </w:t>
      </w:r>
      <w:r w:rsidR="00353E2C" w:rsidRPr="00C7014F">
        <w:rPr>
          <w:rFonts w:ascii="Palatino Linotype" w:hAnsi="Palatino Linotype"/>
          <w:sz w:val="20"/>
        </w:rPr>
        <w:t>For MODIS, t</w:t>
      </w:r>
      <w:r w:rsidRPr="00C7014F">
        <w:rPr>
          <w:rFonts w:ascii="Palatino Linotype" w:hAnsi="Palatino Linotype"/>
          <w:sz w:val="20"/>
        </w:rPr>
        <w:t xml:space="preserve">he SDS VF was </w:t>
      </w:r>
      <w:r w:rsidR="00353E2C" w:rsidRPr="00C7014F">
        <w:rPr>
          <w:rFonts w:ascii="Palatino Linotype" w:hAnsi="Palatino Linotype"/>
          <w:sz w:val="20"/>
        </w:rPr>
        <w:t xml:space="preserve">not fully characterized prelaunch and it was </w:t>
      </w:r>
      <w:r w:rsidRPr="00C7014F">
        <w:rPr>
          <w:rFonts w:ascii="Palatino Linotype" w:hAnsi="Palatino Linotype"/>
          <w:sz w:val="20"/>
        </w:rPr>
        <w:t xml:space="preserve">derived on-orbit from measurements </w:t>
      </w:r>
      <w:r w:rsidR="00F73385" w:rsidRPr="00C7014F">
        <w:rPr>
          <w:rFonts w:ascii="Palatino Linotype" w:hAnsi="Palatino Linotype"/>
          <w:sz w:val="20"/>
        </w:rPr>
        <w:t xml:space="preserve">during yaw maneuvers made with and without the SDS in place. </w:t>
      </w:r>
      <w:r w:rsidRPr="00C7014F">
        <w:rPr>
          <w:rFonts w:ascii="Palatino Linotype" w:hAnsi="Palatino Linotype"/>
          <w:sz w:val="20"/>
        </w:rPr>
        <w:t>When the SDS is placed in the open position during an SD calibration event, τ</w:t>
      </w:r>
      <w:r w:rsidRPr="00C7014F">
        <w:rPr>
          <w:rFonts w:ascii="Palatino Linotype" w:hAnsi="Palatino Linotype"/>
          <w:sz w:val="20"/>
          <w:vertAlign w:val="subscript"/>
        </w:rPr>
        <w:t>SDS</w:t>
      </w:r>
      <w:r w:rsidRPr="00C7014F">
        <w:rPr>
          <w:rFonts w:ascii="Palatino Linotype" w:hAnsi="Palatino Linotype"/>
          <w:sz w:val="20"/>
        </w:rPr>
        <w:t xml:space="preserve"> in Eq. (2) becomes a constant of 1. </w:t>
      </w:r>
      <w:r w:rsidR="00FB73AA" w:rsidRPr="00C7014F">
        <w:rPr>
          <w:rFonts w:ascii="Palatino Linotype" w:hAnsi="Palatino Linotype"/>
          <w:sz w:val="20"/>
        </w:rPr>
        <w:t xml:space="preserve">Otherwise, it varies with the solar illumination angle relative to the SDS. </w:t>
      </w:r>
      <w:r w:rsidRPr="00C7014F">
        <w:rPr>
          <w:rFonts w:ascii="Palatino Linotype" w:hAnsi="Palatino Linotype"/>
          <w:sz w:val="20"/>
        </w:rPr>
        <w:t>In Eq. (2), an assumption that the SD degrades uniformly with respect to incident and outgoing directions has been ap</w:t>
      </w:r>
      <w:r w:rsidR="00F73385" w:rsidRPr="00C7014F">
        <w:rPr>
          <w:rFonts w:ascii="Palatino Linotype" w:hAnsi="Palatino Linotype"/>
          <w:sz w:val="20"/>
        </w:rPr>
        <w:t xml:space="preserve">plied such that the </w:t>
      </w:r>
      <w:r w:rsidR="00FB73AA" w:rsidRPr="00C7014F">
        <w:rPr>
          <w:rFonts w:ascii="Palatino Linotype" w:hAnsi="Palatino Linotype"/>
          <w:sz w:val="20"/>
        </w:rPr>
        <w:t xml:space="preserve">SD </w:t>
      </w:r>
      <w:r w:rsidR="00F73385" w:rsidRPr="00C7014F">
        <w:rPr>
          <w:rFonts w:ascii="Palatino Linotype" w:hAnsi="Palatino Linotype"/>
          <w:sz w:val="20"/>
        </w:rPr>
        <w:t>on-orbit BR</w:t>
      </w:r>
      <w:r w:rsidRPr="00C7014F">
        <w:rPr>
          <w:rFonts w:ascii="Palatino Linotype" w:hAnsi="Palatino Linotype"/>
          <w:sz w:val="20"/>
        </w:rPr>
        <w:t xml:space="preserve">F can be expressed as </w:t>
      </w:r>
      <w:r w:rsidR="00F2342D" w:rsidRPr="00C7014F">
        <w:rPr>
          <w:rFonts w:ascii="Palatino Linotype" w:hAnsi="Palatino Linotype"/>
          <w:sz w:val="20"/>
        </w:rPr>
        <w:t xml:space="preserve">the </w:t>
      </w:r>
      <w:r w:rsidRPr="00C7014F">
        <w:rPr>
          <w:rFonts w:ascii="Palatino Linotype" w:hAnsi="Palatino Linotype"/>
          <w:sz w:val="20"/>
        </w:rPr>
        <w:t xml:space="preserve">product of </w:t>
      </w:r>
      <w:r w:rsidR="00F2342D" w:rsidRPr="00C7014F">
        <w:rPr>
          <w:rFonts w:ascii="Palatino Linotype" w:hAnsi="Palatino Linotype"/>
          <w:sz w:val="20"/>
        </w:rPr>
        <w:t xml:space="preserve">its </w:t>
      </w:r>
      <w:r w:rsidR="00F73385" w:rsidRPr="00C7014F">
        <w:rPr>
          <w:rFonts w:ascii="Palatino Linotype" w:hAnsi="Palatino Linotype"/>
          <w:sz w:val="20"/>
        </w:rPr>
        <w:t>prelaunch BR</w:t>
      </w:r>
      <w:r w:rsidRPr="00C7014F">
        <w:rPr>
          <w:rFonts w:ascii="Palatino Linotype" w:hAnsi="Palatino Linotype"/>
          <w:sz w:val="20"/>
        </w:rPr>
        <w:t xml:space="preserve">F, </w:t>
      </w:r>
      <w:r w:rsidRPr="00C7014F">
        <w:rPr>
          <w:rFonts w:ascii="Palatino Linotype" w:hAnsi="Palatino Linotype"/>
          <w:i/>
          <w:iCs/>
          <w:sz w:val="20"/>
        </w:rPr>
        <w:t>ρ</w:t>
      </w:r>
      <w:r w:rsidRPr="00C7014F">
        <w:rPr>
          <w:rFonts w:ascii="Palatino Linotype" w:hAnsi="Palatino Linotype"/>
          <w:i/>
          <w:iCs/>
          <w:sz w:val="20"/>
          <w:vertAlign w:val="subscript"/>
        </w:rPr>
        <w:t>SD</w:t>
      </w:r>
      <w:r w:rsidRPr="00C7014F">
        <w:rPr>
          <w:rFonts w:ascii="Palatino Linotype" w:hAnsi="Palatino Linotype"/>
          <w:sz w:val="20"/>
        </w:rPr>
        <w:t xml:space="preserve">, and </w:t>
      </w:r>
      <w:r w:rsidR="00F2342D" w:rsidRPr="00C7014F">
        <w:rPr>
          <w:rFonts w:ascii="Palatino Linotype" w:hAnsi="Palatino Linotype"/>
          <w:sz w:val="20"/>
        </w:rPr>
        <w:t xml:space="preserve">its </w:t>
      </w:r>
      <w:r w:rsidRPr="00C7014F">
        <w:rPr>
          <w:rFonts w:ascii="Palatino Linotype" w:hAnsi="Palatino Linotype"/>
          <w:sz w:val="20"/>
        </w:rPr>
        <w:t xml:space="preserve">on-orbit degradation, </w:t>
      </w:r>
      <w:r w:rsidRPr="00C7014F">
        <w:rPr>
          <w:rFonts w:ascii="Symbol" w:hAnsi="Symbol"/>
          <w:i/>
          <w:iCs/>
          <w:sz w:val="20"/>
        </w:rPr>
        <w:t></w:t>
      </w:r>
      <w:r w:rsidRPr="00C7014F">
        <w:rPr>
          <w:rFonts w:ascii="Palatino Linotype" w:hAnsi="Palatino Linotype"/>
          <w:i/>
          <w:iCs/>
          <w:sz w:val="20"/>
          <w:vertAlign w:val="subscript"/>
        </w:rPr>
        <w:t>SD</w:t>
      </w:r>
      <w:r w:rsidRPr="00C7014F">
        <w:rPr>
          <w:rFonts w:ascii="Palatino Linotype" w:hAnsi="Palatino Linotype"/>
          <w:sz w:val="20"/>
          <w:vertAlign w:val="subscript"/>
        </w:rPr>
        <w:t>.</w:t>
      </w:r>
    </w:p>
    <w:p w14:paraId="0F506B99" w14:textId="77777777"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By applying Eq. (1) to the SD view and substituting </w:t>
      </w:r>
      <w:r w:rsidRPr="00C7014F">
        <w:rPr>
          <w:rFonts w:ascii="Palatino Linotype" w:hAnsi="Palatino Linotype"/>
          <w:i/>
          <w:iCs/>
          <w:sz w:val="20"/>
        </w:rPr>
        <w:t>L</w:t>
      </w:r>
      <w:r w:rsidRPr="00C7014F">
        <w:rPr>
          <w:rFonts w:ascii="Palatino Linotype" w:hAnsi="Palatino Linotype"/>
          <w:i/>
          <w:iCs/>
          <w:sz w:val="20"/>
          <w:vertAlign w:val="subscript"/>
        </w:rPr>
        <w:t>SD</w:t>
      </w:r>
      <w:r w:rsidRPr="00C7014F">
        <w:rPr>
          <w:rFonts w:ascii="Palatino Linotype" w:hAnsi="Palatino Linotype"/>
          <w:sz w:val="20"/>
        </w:rPr>
        <w:t xml:space="preserve"> in Eq. (2) to Eq. (1), we can </w:t>
      </w:r>
      <w:r w:rsidR="00622A17" w:rsidRPr="00C7014F">
        <w:rPr>
          <w:rFonts w:ascii="Palatino Linotype" w:hAnsi="Palatino Linotype"/>
          <w:sz w:val="20"/>
        </w:rPr>
        <w:t>derive</w:t>
      </w:r>
      <w:r w:rsidRPr="00C7014F">
        <w:rPr>
          <w:rFonts w:ascii="Palatino Linotype" w:hAnsi="Palatino Linotype"/>
          <w:sz w:val="20"/>
        </w:rPr>
        <w:t xml:space="preserve"> the calibration coefficient by</w:t>
      </w:r>
    </w:p>
    <w:p w14:paraId="1B3C732C" w14:textId="77777777"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                                                            </w:t>
      </w:r>
      <m:oMath>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r>
              <m:rPr>
                <m:sty m:val="p"/>
              </m:rPr>
              <w:rPr>
                <w:rFonts w:ascii="Cambria Math" w:hAnsi="Cambria Math"/>
                <w:sz w:val="20"/>
                <w:szCs w:val="20"/>
              </w:rPr>
              <m:t xml:space="preserve"> </m:t>
            </m:r>
            <m:sSub>
              <m:sSubPr>
                <m:ctrlPr>
                  <w:rPr>
                    <w:rFonts w:ascii="Cambria Math" w:hAnsi="Cambria Math"/>
                    <w:sz w:val="20"/>
                    <w:szCs w:val="20"/>
                  </w:rPr>
                </m:ctrlPr>
              </m:sSubPr>
              <m:e>
                <m:r>
                  <w:rPr>
                    <w:rFonts w:ascii="Cambria Math" w:hAnsi="Cambria Math"/>
                    <w:sz w:val="20"/>
                    <w:szCs w:val="20"/>
                  </w:rPr>
                  <m:t>ρ</m:t>
                </m:r>
              </m:e>
              <m:sub>
                <m:r>
                  <w:rPr>
                    <w:rFonts w:ascii="Cambria Math" w:hAnsi="Cambria Math"/>
                    <w:sz w:val="20"/>
                    <w:szCs w:val="20"/>
                  </w:rPr>
                  <m:t>SD</m:t>
                </m:r>
              </m:sub>
            </m:sSub>
            <m:r>
              <m:rPr>
                <m:sty m:val="p"/>
              </m:rPr>
              <w:rPr>
                <w:rFonts w:ascii="Cambria Math" w:hAnsi="Cambria Math"/>
                <w:sz w:val="20"/>
                <w:szCs w:val="20"/>
              </w:rPr>
              <m:t>cos(</m:t>
            </m:r>
            <m:sSub>
              <m:sSubPr>
                <m:ctrlPr>
                  <w:rPr>
                    <w:rFonts w:ascii="Cambria Math" w:hAnsi="Cambria Math"/>
                    <w:sz w:val="20"/>
                    <w:szCs w:val="20"/>
                  </w:rPr>
                </m:ctrlPr>
              </m:sSubPr>
              <m:e>
                <m:r>
                  <w:rPr>
                    <w:rFonts w:ascii="Cambria Math" w:hAnsi="Cambria Math"/>
                    <w:sz w:val="20"/>
                    <w:szCs w:val="20"/>
                  </w:rPr>
                  <m:t>θ</m:t>
                </m:r>
              </m:e>
              <m:sub>
                <m:r>
                  <w:rPr>
                    <w:rFonts w:ascii="Cambria Math" w:hAnsi="Cambria Math"/>
                    <w:sz w:val="20"/>
                    <w:szCs w:val="20"/>
                  </w:rPr>
                  <m:t>SD</m:t>
                </m:r>
              </m:sub>
            </m:sSub>
            <m:r>
              <m:rPr>
                <m:sty m:val="p"/>
              </m:rP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SDS</m:t>
                </m:r>
              </m:sub>
            </m:sSub>
            <m:sSub>
              <m:sSubPr>
                <m:ctrlPr>
                  <w:rPr>
                    <w:rFonts w:ascii="Cambria Math" w:hAnsi="Cambria Math"/>
                    <w:i/>
                    <w:sz w:val="20"/>
                    <w:szCs w:val="20"/>
                  </w:rPr>
                </m:ctrlPr>
              </m:sSubPr>
              <m:e>
                <m:r>
                  <m:rPr>
                    <m:sty m:val="p"/>
                  </m:rPr>
                  <w:rPr>
                    <w:rFonts w:ascii="Cambria Math" w:hAnsi="Cambria Math"/>
                    <w:sz w:val="20"/>
                    <w:szCs w:val="20"/>
                  </w:rPr>
                  <m:t>Δ</m:t>
                </m:r>
              </m:e>
              <m:sub>
                <m:r>
                  <w:rPr>
                    <w:rFonts w:ascii="Cambria Math" w:hAnsi="Cambria Math"/>
                    <w:sz w:val="20"/>
                    <w:szCs w:val="20"/>
                  </w:rPr>
                  <m:t>SD</m:t>
                </m:r>
              </m:sub>
            </m:sSub>
          </m:num>
          <m:den>
            <m:sSubSup>
              <m:sSubSupPr>
                <m:ctrlPr>
                  <w:rPr>
                    <w:rFonts w:ascii="Cambria Math" w:hAnsi="Cambria Math"/>
                    <w:i/>
                    <w:sz w:val="20"/>
                    <w:szCs w:val="20"/>
                  </w:rPr>
                </m:ctrlPr>
              </m:sSubSupPr>
              <m:e>
                <m:r>
                  <w:rPr>
                    <w:rFonts w:ascii="Cambria Math" w:hAnsi="Cambria Math"/>
                    <w:sz w:val="20"/>
                    <w:szCs w:val="20"/>
                  </w:rPr>
                  <m:t>dn</m:t>
                </m:r>
              </m:e>
              <m:sub>
                <m:r>
                  <w:rPr>
                    <w:rFonts w:ascii="Cambria Math" w:hAnsi="Cambria Math"/>
                    <w:sz w:val="20"/>
                    <w:szCs w:val="20"/>
                  </w:rPr>
                  <m:t>SD</m:t>
                </m:r>
              </m:sub>
              <m:sup>
                <m:r>
                  <w:rPr>
                    <w:rFonts w:ascii="Cambria Math" w:hAnsi="Cambria Math"/>
                    <w:sz w:val="20"/>
                    <w:szCs w:val="20"/>
                  </w:rPr>
                  <m:t>*</m:t>
                </m:r>
              </m:sup>
            </m:sSubSup>
            <m:sSubSup>
              <m:sSubSupPr>
                <m:ctrlPr>
                  <w:rPr>
                    <w:rFonts w:ascii="Cambria Math" w:hAnsi="Cambria Math"/>
                    <w:i/>
                    <w:sz w:val="20"/>
                    <w:szCs w:val="20"/>
                  </w:rPr>
                </m:ctrlPr>
              </m:sSubSupPr>
              <m:e>
                <m:r>
                  <w:rPr>
                    <w:rFonts w:ascii="Cambria Math" w:hAnsi="Cambria Math"/>
                    <w:sz w:val="20"/>
                    <w:szCs w:val="20"/>
                  </w:rPr>
                  <m:t>d</m:t>
                </m:r>
              </m:e>
              <m:sub>
                <m:r>
                  <w:rPr>
                    <w:rFonts w:ascii="Cambria Math" w:hAnsi="Cambria Math"/>
                    <w:sz w:val="20"/>
                    <w:szCs w:val="20"/>
                  </w:rPr>
                  <m:t>ES</m:t>
                </m:r>
              </m:sub>
              <m:sup>
                <m:r>
                  <w:rPr>
                    <w:rFonts w:ascii="Cambria Math" w:hAnsi="Cambria Math"/>
                    <w:sz w:val="20"/>
                    <w:szCs w:val="20"/>
                  </w:rPr>
                  <m:t>2</m:t>
                </m:r>
              </m:sup>
            </m:sSubSup>
          </m:den>
        </m:f>
      </m:oMath>
      <w:r w:rsidRPr="00C7014F">
        <w:rPr>
          <w:rFonts w:ascii="Palatino Linotype" w:hAnsi="Palatino Linotype"/>
          <w:sz w:val="20"/>
        </w:rPr>
        <w:t xml:space="preserve">, </w:t>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Pr="00C7014F">
        <w:rPr>
          <w:rFonts w:ascii="Palatino Linotype" w:hAnsi="Palatino Linotype"/>
          <w:sz w:val="20"/>
        </w:rPr>
        <w:t>(3)</w:t>
      </w:r>
    </w:p>
    <w:p w14:paraId="791B275D" w14:textId="4D6BD341" w:rsidR="004A2E39" w:rsidRPr="00C7014F" w:rsidRDefault="00D76552" w:rsidP="004A2E39">
      <w:pPr>
        <w:spacing w:after="120"/>
        <w:jc w:val="both"/>
        <w:rPr>
          <w:rFonts w:ascii="Palatino Linotype" w:hAnsi="Palatino Linotype"/>
          <w:sz w:val="20"/>
        </w:rPr>
      </w:pPr>
      <w:r w:rsidRPr="00C7014F">
        <w:rPr>
          <w:rFonts w:ascii="Palatino Linotype" w:hAnsi="Palatino Linotype"/>
          <w:sz w:val="20"/>
        </w:rPr>
        <w:t>For</w:t>
      </w:r>
      <w:r w:rsidR="009E41EB" w:rsidRPr="00C7014F">
        <w:rPr>
          <w:rFonts w:ascii="Palatino Linotype" w:hAnsi="Palatino Linotype"/>
          <w:sz w:val="20"/>
        </w:rPr>
        <w:t xml:space="preserve"> MODIS</w:t>
      </w:r>
      <w:r w:rsidRPr="00C7014F">
        <w:rPr>
          <w:rFonts w:ascii="Palatino Linotype" w:hAnsi="Palatino Linotype"/>
          <w:sz w:val="20"/>
        </w:rPr>
        <w:t xml:space="preserve"> RSB, </w:t>
      </w:r>
      <w:r w:rsidR="004A2E39" w:rsidRPr="00C7014F">
        <w:rPr>
          <w:rFonts w:ascii="Palatino Linotype" w:hAnsi="Palatino Linotype"/>
          <w:i/>
          <w:iCs/>
          <w:sz w:val="20"/>
        </w:rPr>
        <w:t>RVS</w:t>
      </w:r>
      <w:r w:rsidR="004A2E39" w:rsidRPr="00C7014F">
        <w:rPr>
          <w:rFonts w:ascii="Palatino Linotype" w:hAnsi="Palatino Linotype"/>
          <w:i/>
          <w:iCs/>
          <w:sz w:val="20"/>
          <w:vertAlign w:val="subscript"/>
        </w:rPr>
        <w:t>SD</w:t>
      </w:r>
      <w:r w:rsidR="004A2E39" w:rsidRPr="00C7014F">
        <w:rPr>
          <w:rFonts w:ascii="Palatino Linotype" w:hAnsi="Palatino Linotype"/>
          <w:i/>
          <w:iCs/>
          <w:sz w:val="20"/>
        </w:rPr>
        <w:t xml:space="preserve"> </w:t>
      </w:r>
      <w:r w:rsidRPr="00C7014F">
        <w:rPr>
          <w:rFonts w:ascii="Palatino Linotype" w:hAnsi="Palatino Linotype"/>
          <w:i/>
          <w:iCs/>
          <w:sz w:val="20"/>
        </w:rPr>
        <w:t xml:space="preserve">= </w:t>
      </w:r>
      <w:r w:rsidR="004A2E39" w:rsidRPr="00C7014F">
        <w:rPr>
          <w:rFonts w:ascii="Palatino Linotype" w:hAnsi="Palatino Linotype"/>
          <w:sz w:val="20"/>
        </w:rPr>
        <w:t xml:space="preserve">1 </w:t>
      </w:r>
      <w:r w:rsidR="00774404" w:rsidRPr="00C7014F">
        <w:rPr>
          <w:rFonts w:ascii="Palatino Linotype" w:hAnsi="Palatino Linotype"/>
          <w:sz w:val="20"/>
        </w:rPr>
        <w:t>since the RVS</w:t>
      </w:r>
      <w:r w:rsidRPr="00C7014F">
        <w:rPr>
          <w:rFonts w:ascii="Palatino Linotype" w:hAnsi="Palatino Linotype"/>
          <w:sz w:val="20"/>
        </w:rPr>
        <w:t xml:space="preserve"> is normalized at the </w:t>
      </w:r>
      <w:r w:rsidR="00774404" w:rsidRPr="00C7014F">
        <w:rPr>
          <w:rFonts w:ascii="Palatino Linotype" w:hAnsi="Palatino Linotype"/>
          <w:sz w:val="20"/>
        </w:rPr>
        <w:t xml:space="preserve">SD </w:t>
      </w:r>
      <w:r w:rsidRPr="00C7014F">
        <w:rPr>
          <w:rFonts w:ascii="Palatino Linotype" w:hAnsi="Palatino Linotype"/>
          <w:sz w:val="20"/>
        </w:rPr>
        <w:t>AOI</w:t>
      </w:r>
      <w:r w:rsidR="004A2E39" w:rsidRPr="00C7014F">
        <w:rPr>
          <w:rFonts w:ascii="Palatino Linotype" w:hAnsi="Palatino Linotype"/>
          <w:sz w:val="20"/>
        </w:rPr>
        <w:t xml:space="preserve">. The calibration coefficient is calculated for each band, detector and mirror side for </w:t>
      </w:r>
      <w:r w:rsidR="008E5DD1" w:rsidRPr="00C7014F">
        <w:rPr>
          <w:rFonts w:ascii="Palatino Linotype" w:hAnsi="Palatino Linotype"/>
          <w:sz w:val="20"/>
        </w:rPr>
        <w:t>the</w:t>
      </w:r>
      <w:r w:rsidR="00856DB7" w:rsidRPr="00C7014F">
        <w:rPr>
          <w:rFonts w:ascii="Palatino Linotype" w:hAnsi="Palatino Linotype"/>
          <w:sz w:val="20"/>
        </w:rPr>
        <w:t xml:space="preserve"> 1</w:t>
      </w:r>
      <w:r w:rsidR="00585200" w:rsidRPr="00C7014F">
        <w:rPr>
          <w:rFonts w:ascii="Palatino Linotype" w:hAnsi="Palatino Linotype"/>
          <w:sz w:val="20"/>
        </w:rPr>
        <w:t>-</w:t>
      </w:r>
      <w:r w:rsidR="00856DB7" w:rsidRPr="00C7014F">
        <w:rPr>
          <w:rFonts w:ascii="Palatino Linotype" w:hAnsi="Palatino Linotype"/>
          <w:sz w:val="20"/>
        </w:rPr>
        <w:t>km RSB as well as</w:t>
      </w:r>
      <w:r w:rsidR="004A2E39" w:rsidRPr="00C7014F">
        <w:rPr>
          <w:rFonts w:ascii="Palatino Linotype" w:hAnsi="Palatino Linotype"/>
          <w:sz w:val="20"/>
        </w:rPr>
        <w:t xml:space="preserve"> for </w:t>
      </w:r>
      <w:r w:rsidR="008E5DD1" w:rsidRPr="00C7014F">
        <w:rPr>
          <w:rFonts w:ascii="Palatino Linotype" w:hAnsi="Palatino Linotype"/>
          <w:sz w:val="20"/>
        </w:rPr>
        <w:t xml:space="preserve">each </w:t>
      </w:r>
      <w:r w:rsidR="004A2E39" w:rsidRPr="00C7014F">
        <w:rPr>
          <w:rFonts w:ascii="Palatino Linotype" w:hAnsi="Palatino Linotype"/>
          <w:sz w:val="20"/>
        </w:rPr>
        <w:t>sub</w:t>
      </w:r>
      <w:r w:rsidR="008E5DD1" w:rsidRPr="00C7014F">
        <w:rPr>
          <w:rFonts w:ascii="Palatino Linotype" w:hAnsi="Palatino Linotype"/>
          <w:sz w:val="20"/>
        </w:rPr>
        <w:t>-frame</w:t>
      </w:r>
      <w:r w:rsidR="004A2E39" w:rsidRPr="00C7014F">
        <w:rPr>
          <w:rFonts w:ascii="Palatino Linotype" w:hAnsi="Palatino Linotype"/>
          <w:sz w:val="20"/>
        </w:rPr>
        <w:t xml:space="preserve"> for </w:t>
      </w:r>
      <w:r w:rsidR="00FB73AA" w:rsidRPr="00C7014F">
        <w:rPr>
          <w:rFonts w:ascii="Palatino Linotype" w:hAnsi="Palatino Linotype"/>
          <w:sz w:val="20"/>
        </w:rPr>
        <w:t>the 500</w:t>
      </w:r>
      <w:r w:rsidR="0008309A" w:rsidRPr="00C7014F">
        <w:rPr>
          <w:rFonts w:ascii="Palatino Linotype" w:hAnsi="Palatino Linotype"/>
          <w:sz w:val="20"/>
        </w:rPr>
        <w:t>-</w:t>
      </w:r>
      <w:r w:rsidR="008E5DD1" w:rsidRPr="00C7014F">
        <w:rPr>
          <w:rFonts w:ascii="Palatino Linotype" w:hAnsi="Palatino Linotype"/>
          <w:sz w:val="20"/>
        </w:rPr>
        <w:t xml:space="preserve">m and </w:t>
      </w:r>
      <w:r w:rsidR="00FB73AA" w:rsidRPr="00C7014F">
        <w:rPr>
          <w:rFonts w:ascii="Palatino Linotype" w:hAnsi="Palatino Linotype"/>
          <w:sz w:val="20"/>
        </w:rPr>
        <w:t>2</w:t>
      </w:r>
      <w:r w:rsidR="008E5DD1" w:rsidRPr="00C7014F">
        <w:rPr>
          <w:rFonts w:ascii="Palatino Linotype" w:hAnsi="Palatino Linotype"/>
          <w:sz w:val="20"/>
        </w:rPr>
        <w:t>50</w:t>
      </w:r>
      <w:r w:rsidR="0008309A" w:rsidRPr="00C7014F">
        <w:rPr>
          <w:rFonts w:ascii="Palatino Linotype" w:hAnsi="Palatino Linotype"/>
          <w:sz w:val="20"/>
        </w:rPr>
        <w:t>-</w:t>
      </w:r>
      <w:r w:rsidR="008E5DD1" w:rsidRPr="00C7014F">
        <w:rPr>
          <w:rFonts w:ascii="Palatino Linotype" w:hAnsi="Palatino Linotype"/>
          <w:sz w:val="20"/>
        </w:rPr>
        <w:t xml:space="preserve">m resolution </w:t>
      </w:r>
      <w:r w:rsidR="00856DB7" w:rsidRPr="00C7014F">
        <w:rPr>
          <w:rFonts w:ascii="Palatino Linotype" w:hAnsi="Palatino Linotype"/>
          <w:sz w:val="20"/>
        </w:rPr>
        <w:t xml:space="preserve">RSBs. </w:t>
      </w:r>
      <w:r w:rsidR="006C01C8" w:rsidRPr="00C7014F">
        <w:rPr>
          <w:rFonts w:ascii="Palatino Linotype" w:hAnsi="Palatino Linotype"/>
          <w:sz w:val="20"/>
        </w:rPr>
        <w:t>There</w:t>
      </w:r>
      <w:r w:rsidR="00FB73AA" w:rsidRPr="00C7014F">
        <w:rPr>
          <w:rFonts w:ascii="Palatino Linotype" w:hAnsi="Palatino Linotype"/>
          <w:sz w:val="20"/>
        </w:rPr>
        <w:t xml:space="preserve"> ar</w:t>
      </w:r>
      <w:r w:rsidR="00856DB7" w:rsidRPr="00C7014F">
        <w:rPr>
          <w:rFonts w:ascii="Palatino Linotype" w:hAnsi="Palatino Linotype"/>
          <w:sz w:val="20"/>
        </w:rPr>
        <w:t>e 2 and 4 sub-frames for each</w:t>
      </w:r>
      <w:r w:rsidR="004A2E39" w:rsidRPr="00C7014F">
        <w:rPr>
          <w:rFonts w:ascii="Palatino Linotype" w:hAnsi="Palatino Linotype"/>
          <w:sz w:val="20"/>
        </w:rPr>
        <w:t xml:space="preserve"> </w:t>
      </w:r>
      <w:r w:rsidR="008E5DD1" w:rsidRPr="00C7014F">
        <w:rPr>
          <w:rFonts w:ascii="Palatino Linotype" w:hAnsi="Palatino Linotype"/>
          <w:sz w:val="20"/>
        </w:rPr>
        <w:t>5</w:t>
      </w:r>
      <w:r w:rsidR="00856DB7" w:rsidRPr="00C7014F">
        <w:rPr>
          <w:rFonts w:ascii="Palatino Linotype" w:hAnsi="Palatino Linotype"/>
          <w:sz w:val="20"/>
        </w:rPr>
        <w:t>0</w:t>
      </w:r>
      <w:r w:rsidR="008E5DD1" w:rsidRPr="00C7014F">
        <w:rPr>
          <w:rFonts w:ascii="Palatino Linotype" w:hAnsi="Palatino Linotype"/>
          <w:sz w:val="20"/>
        </w:rPr>
        <w:t>0</w:t>
      </w:r>
      <w:r w:rsidR="0008309A" w:rsidRPr="00C7014F">
        <w:rPr>
          <w:rFonts w:ascii="Palatino Linotype" w:hAnsi="Palatino Linotype"/>
          <w:sz w:val="20"/>
        </w:rPr>
        <w:t>-</w:t>
      </w:r>
      <w:r w:rsidR="008E5DD1" w:rsidRPr="00C7014F">
        <w:rPr>
          <w:rFonts w:ascii="Palatino Linotype" w:hAnsi="Palatino Linotype"/>
          <w:sz w:val="20"/>
        </w:rPr>
        <w:t>m and</w:t>
      </w:r>
      <w:r w:rsidR="004A2E39" w:rsidRPr="00C7014F">
        <w:rPr>
          <w:rFonts w:ascii="Palatino Linotype" w:hAnsi="Palatino Linotype"/>
          <w:sz w:val="20"/>
        </w:rPr>
        <w:t xml:space="preserve"> </w:t>
      </w:r>
      <w:r w:rsidR="00856DB7" w:rsidRPr="00C7014F">
        <w:rPr>
          <w:rFonts w:ascii="Palatino Linotype" w:hAnsi="Palatino Linotype"/>
          <w:sz w:val="20"/>
        </w:rPr>
        <w:t>25</w:t>
      </w:r>
      <w:r w:rsidR="008E5DD1" w:rsidRPr="00C7014F">
        <w:rPr>
          <w:rFonts w:ascii="Palatino Linotype" w:hAnsi="Palatino Linotype"/>
          <w:sz w:val="20"/>
        </w:rPr>
        <w:t>0</w:t>
      </w:r>
      <w:r w:rsidR="0008309A" w:rsidRPr="00C7014F">
        <w:rPr>
          <w:rFonts w:ascii="Palatino Linotype" w:hAnsi="Palatino Linotype"/>
          <w:sz w:val="20"/>
        </w:rPr>
        <w:t>-</w:t>
      </w:r>
      <w:r w:rsidR="008E5DD1" w:rsidRPr="00C7014F">
        <w:rPr>
          <w:rFonts w:ascii="Palatino Linotype" w:hAnsi="Palatino Linotype"/>
          <w:sz w:val="20"/>
        </w:rPr>
        <w:t xml:space="preserve">m </w:t>
      </w:r>
      <w:r w:rsidR="004A2E39" w:rsidRPr="00C7014F">
        <w:rPr>
          <w:rFonts w:ascii="Palatino Linotype" w:hAnsi="Palatino Linotype"/>
          <w:sz w:val="20"/>
        </w:rPr>
        <w:t>resolution</w:t>
      </w:r>
      <w:r w:rsidR="00856DB7" w:rsidRPr="00C7014F">
        <w:rPr>
          <w:rFonts w:ascii="Palatino Linotype" w:hAnsi="Palatino Linotype"/>
          <w:sz w:val="20"/>
        </w:rPr>
        <w:t xml:space="preserve"> band,</w:t>
      </w:r>
      <w:r w:rsidR="008E5DD1" w:rsidRPr="00C7014F">
        <w:rPr>
          <w:rFonts w:ascii="Palatino Linotype" w:hAnsi="Palatino Linotype"/>
          <w:sz w:val="20"/>
        </w:rPr>
        <w:t xml:space="preserve"> respectively</w:t>
      </w:r>
      <w:r w:rsidR="00856DB7" w:rsidRPr="00C7014F">
        <w:rPr>
          <w:rFonts w:ascii="Palatino Linotype" w:hAnsi="Palatino Linotype"/>
          <w:sz w:val="20"/>
        </w:rPr>
        <w:t>, corresponding to each 1</w:t>
      </w:r>
      <w:r w:rsidR="0008309A" w:rsidRPr="00C7014F">
        <w:rPr>
          <w:rFonts w:ascii="Palatino Linotype" w:hAnsi="Palatino Linotype"/>
          <w:sz w:val="20"/>
        </w:rPr>
        <w:t>-</w:t>
      </w:r>
      <w:r w:rsidR="00856DB7" w:rsidRPr="00C7014F">
        <w:rPr>
          <w:rFonts w:ascii="Palatino Linotype" w:hAnsi="Palatino Linotype"/>
          <w:sz w:val="20"/>
        </w:rPr>
        <w:t>km detector frame</w:t>
      </w:r>
      <w:r w:rsidR="004A2E39" w:rsidRPr="00C7014F">
        <w:rPr>
          <w:rFonts w:ascii="Palatino Linotype" w:hAnsi="Palatino Linotype"/>
          <w:sz w:val="20"/>
        </w:rPr>
        <w:t xml:space="preserve">. </w:t>
      </w:r>
    </w:p>
    <w:p w14:paraId="21C20676" w14:textId="1161B0C3" w:rsidR="004A2E39" w:rsidRPr="00C7014F" w:rsidRDefault="00A36379" w:rsidP="004A2E39">
      <w:pPr>
        <w:spacing w:after="120"/>
        <w:jc w:val="center"/>
        <w:rPr>
          <w:rFonts w:ascii="Palatino Linotype" w:hAnsi="Palatino Linotype"/>
          <w:sz w:val="20"/>
        </w:rPr>
      </w:pPr>
      <w:r w:rsidRPr="00C7014F">
        <w:rPr>
          <w:rFonts w:ascii="Palatino Linotype" w:hAnsi="Palatino Linotype"/>
          <w:noProof/>
          <w:sz w:val="20"/>
        </w:rPr>
        <w:lastRenderedPageBreak/>
        <w:drawing>
          <wp:inline distT="0" distB="0" distL="0" distR="0" wp14:anchorId="6BC6EB4D" wp14:editId="196D4EBD">
            <wp:extent cx="4558812" cy="3113727"/>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61847" cy="3115800"/>
                    </a:xfrm>
                    <a:prstGeom prst="rect">
                      <a:avLst/>
                    </a:prstGeom>
                  </pic:spPr>
                </pic:pic>
              </a:graphicData>
            </a:graphic>
          </wp:inline>
        </w:drawing>
      </w:r>
    </w:p>
    <w:p w14:paraId="2B7E9118" w14:textId="4942CABE" w:rsidR="004A2E39" w:rsidRPr="00C7014F" w:rsidRDefault="00622A17" w:rsidP="004A2E39">
      <w:pPr>
        <w:spacing w:after="120"/>
        <w:jc w:val="center"/>
        <w:rPr>
          <w:rFonts w:ascii="Palatino Linotype" w:hAnsi="Palatino Linotype"/>
          <w:sz w:val="20"/>
        </w:rPr>
      </w:pPr>
      <w:r w:rsidRPr="00C7014F">
        <w:rPr>
          <w:rFonts w:ascii="Palatino Linotype" w:hAnsi="Palatino Linotype"/>
          <w:sz w:val="20"/>
        </w:rPr>
        <w:t xml:space="preserve">Figure </w:t>
      </w:r>
      <w:r w:rsidR="00EF1AD3" w:rsidRPr="00C7014F">
        <w:rPr>
          <w:rFonts w:ascii="Palatino Linotype" w:hAnsi="Palatino Linotype"/>
          <w:sz w:val="20"/>
        </w:rPr>
        <w:t xml:space="preserve">1. </w:t>
      </w:r>
      <w:r w:rsidR="008633FE" w:rsidRPr="00C7014F">
        <w:rPr>
          <w:rFonts w:ascii="Palatino Linotype" w:hAnsi="Palatino Linotype"/>
          <w:sz w:val="20"/>
        </w:rPr>
        <w:t>S</w:t>
      </w:r>
      <w:r w:rsidR="0023455F" w:rsidRPr="00C7014F">
        <w:rPr>
          <w:rFonts w:ascii="Palatino Linotype" w:hAnsi="Palatino Linotype"/>
          <w:sz w:val="20"/>
        </w:rPr>
        <w:t xml:space="preserve">chematic of </w:t>
      </w:r>
      <w:r w:rsidR="004A2E39" w:rsidRPr="00C7014F">
        <w:rPr>
          <w:rFonts w:ascii="Palatino Linotype" w:hAnsi="Palatino Linotype"/>
          <w:sz w:val="20"/>
        </w:rPr>
        <w:t xml:space="preserve">MODIS </w:t>
      </w:r>
      <w:r w:rsidR="004E291B" w:rsidRPr="00C7014F">
        <w:rPr>
          <w:rFonts w:ascii="Palatino Linotype" w:hAnsi="Palatino Linotype"/>
          <w:sz w:val="20"/>
        </w:rPr>
        <w:t xml:space="preserve">scan operation and </w:t>
      </w:r>
      <w:r w:rsidR="007D59E9" w:rsidRPr="00C7014F">
        <w:rPr>
          <w:rFonts w:ascii="Palatino Linotype" w:hAnsi="Palatino Linotype"/>
          <w:sz w:val="20"/>
        </w:rPr>
        <w:t xml:space="preserve">instrument </w:t>
      </w:r>
      <w:r w:rsidR="008C4795" w:rsidRPr="00C7014F">
        <w:rPr>
          <w:rFonts w:ascii="Palatino Linotype" w:hAnsi="Palatino Linotype"/>
          <w:sz w:val="20"/>
        </w:rPr>
        <w:t>on-board calibrators</w:t>
      </w:r>
    </w:p>
    <w:p w14:paraId="31911059" w14:textId="10C163AC"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As previously mentioned, the SD on-orbit degradation, </w:t>
      </w:r>
      <w:r w:rsidRPr="00C7014F">
        <w:rPr>
          <w:rFonts w:ascii="Symbol" w:hAnsi="Symbol"/>
          <w:sz w:val="20"/>
        </w:rPr>
        <w:t></w:t>
      </w:r>
      <w:r w:rsidRPr="00C7014F">
        <w:rPr>
          <w:rFonts w:ascii="Palatino Linotype" w:hAnsi="Palatino Linotype"/>
          <w:sz w:val="20"/>
          <w:vertAlign w:val="subscript"/>
        </w:rPr>
        <w:t>SD</w:t>
      </w:r>
      <w:r w:rsidRPr="00C7014F">
        <w:rPr>
          <w:rFonts w:ascii="Palatino Linotype" w:hAnsi="Palatino Linotype"/>
          <w:sz w:val="20"/>
        </w:rPr>
        <w:t xml:space="preserve">, in Eq. (3) is tracked by </w:t>
      </w:r>
      <w:r w:rsidR="006C01C8" w:rsidRPr="00C7014F">
        <w:rPr>
          <w:rFonts w:ascii="Palatino Linotype" w:hAnsi="Palatino Linotype"/>
          <w:sz w:val="20"/>
        </w:rPr>
        <w:t>the</w:t>
      </w:r>
      <w:r w:rsidRPr="00C7014F">
        <w:rPr>
          <w:rFonts w:ascii="Palatino Linotype" w:hAnsi="Palatino Linotype"/>
          <w:sz w:val="20"/>
        </w:rPr>
        <w:t xml:space="preserve"> SDSM, which </w:t>
      </w:r>
      <w:r w:rsidR="006C01C8" w:rsidRPr="00C7014F">
        <w:rPr>
          <w:rFonts w:ascii="Palatino Linotype" w:hAnsi="Palatino Linotype"/>
          <w:sz w:val="20"/>
        </w:rPr>
        <w:t>functions a</w:t>
      </w:r>
      <w:r w:rsidRPr="00C7014F">
        <w:rPr>
          <w:rFonts w:ascii="Palatino Linotype" w:hAnsi="Palatino Linotype"/>
          <w:sz w:val="20"/>
        </w:rPr>
        <w:t xml:space="preserve">s a ratioing radiometer </w:t>
      </w:r>
      <w:r w:rsidR="006C01C8" w:rsidRPr="00C7014F">
        <w:rPr>
          <w:rFonts w:ascii="Palatino Linotype" w:hAnsi="Palatino Linotype"/>
          <w:sz w:val="20"/>
        </w:rPr>
        <w:t xml:space="preserve">that </w:t>
      </w:r>
      <w:r w:rsidRPr="00C7014F">
        <w:rPr>
          <w:rFonts w:ascii="Palatino Linotype" w:hAnsi="Palatino Linotype"/>
          <w:sz w:val="20"/>
        </w:rPr>
        <w:t>view</w:t>
      </w:r>
      <w:r w:rsidR="006C01C8" w:rsidRPr="00C7014F">
        <w:rPr>
          <w:rFonts w:ascii="Palatino Linotype" w:hAnsi="Palatino Linotype"/>
          <w:sz w:val="20"/>
        </w:rPr>
        <w:t>s</w:t>
      </w:r>
      <w:r w:rsidRPr="00C7014F">
        <w:rPr>
          <w:rFonts w:ascii="Palatino Linotype" w:hAnsi="Palatino Linotype"/>
          <w:sz w:val="20"/>
        </w:rPr>
        <w:t xml:space="preserve"> the SD, the Sun through its Sun-view port, and an int</w:t>
      </w:r>
      <w:r w:rsidR="00EF1193" w:rsidRPr="00C7014F">
        <w:rPr>
          <w:rFonts w:ascii="Palatino Linotype" w:hAnsi="Palatino Linotype"/>
          <w:sz w:val="20"/>
        </w:rPr>
        <w:t xml:space="preserve">ernal dark scene, alternately. </w:t>
      </w:r>
      <w:r w:rsidRPr="00C7014F">
        <w:rPr>
          <w:rFonts w:ascii="Palatino Linotype" w:hAnsi="Palatino Linotype"/>
          <w:sz w:val="20"/>
        </w:rPr>
        <w:t>The</w:t>
      </w:r>
      <w:r w:rsidR="00EF1193" w:rsidRPr="00C7014F">
        <w:rPr>
          <w:rFonts w:ascii="Palatino Linotype" w:hAnsi="Palatino Linotype"/>
          <w:sz w:val="20"/>
        </w:rPr>
        <w:t xml:space="preserve"> MODIS SDSM has nine detectors and </w:t>
      </w:r>
      <w:r w:rsidRPr="00C7014F">
        <w:rPr>
          <w:rFonts w:ascii="Palatino Linotype" w:hAnsi="Palatino Linotype"/>
          <w:sz w:val="20"/>
        </w:rPr>
        <w:t xml:space="preserve">each </w:t>
      </w:r>
      <w:r w:rsidR="00EF1193" w:rsidRPr="00C7014F">
        <w:rPr>
          <w:rFonts w:ascii="Palatino Linotype" w:hAnsi="Palatino Linotype"/>
          <w:sz w:val="20"/>
        </w:rPr>
        <w:t xml:space="preserve">detector </w:t>
      </w:r>
      <w:r w:rsidRPr="00C7014F">
        <w:rPr>
          <w:rFonts w:ascii="Palatino Linotype" w:hAnsi="Palatino Linotype"/>
          <w:sz w:val="20"/>
        </w:rPr>
        <w:t>tracks the SD degradation at a discrete wavelength. The center wavelengths of the SDSM detectors cover a spectral r</w:t>
      </w:r>
      <w:r w:rsidR="00EF1193" w:rsidRPr="00C7014F">
        <w:rPr>
          <w:rFonts w:ascii="Palatino Linotype" w:hAnsi="Palatino Linotype"/>
          <w:sz w:val="20"/>
        </w:rPr>
        <w:t xml:space="preserve">ange from 412 nm to 936 nm. </w:t>
      </w:r>
      <w:r w:rsidR="006C01C8" w:rsidRPr="00C7014F">
        <w:rPr>
          <w:rFonts w:ascii="Palatino Linotype" w:hAnsi="Palatino Linotype"/>
          <w:sz w:val="20"/>
        </w:rPr>
        <w:t xml:space="preserve">After </w:t>
      </w:r>
      <w:r w:rsidR="00EF1193" w:rsidRPr="00C7014F">
        <w:rPr>
          <w:rFonts w:ascii="Palatino Linotype" w:hAnsi="Palatino Linotype"/>
          <w:sz w:val="20"/>
        </w:rPr>
        <w:t xml:space="preserve">corrections applied for the view geometry effects, the </w:t>
      </w:r>
      <w:r w:rsidRPr="00C7014F">
        <w:rPr>
          <w:rFonts w:ascii="Palatino Linotype" w:hAnsi="Palatino Linotype"/>
          <w:sz w:val="20"/>
        </w:rPr>
        <w:t>ratio</w:t>
      </w:r>
      <w:r w:rsidR="00EF1193" w:rsidRPr="00C7014F">
        <w:rPr>
          <w:rFonts w:ascii="Palatino Linotype" w:hAnsi="Palatino Linotype"/>
          <w:sz w:val="20"/>
        </w:rPr>
        <w:t>s</w:t>
      </w:r>
      <w:r w:rsidRPr="00C7014F">
        <w:rPr>
          <w:rFonts w:ascii="Palatino Linotype" w:hAnsi="Palatino Linotype"/>
          <w:sz w:val="20"/>
        </w:rPr>
        <w:t xml:space="preserve"> of the background-subtracted digital count for the SD view </w:t>
      </w:r>
      <w:r w:rsidR="00EF1193" w:rsidRPr="00C7014F">
        <w:rPr>
          <w:rFonts w:ascii="Palatino Linotype" w:hAnsi="Palatino Linotype"/>
          <w:sz w:val="20"/>
        </w:rPr>
        <w:t>to</w:t>
      </w:r>
      <w:r w:rsidRPr="00C7014F">
        <w:rPr>
          <w:rFonts w:ascii="Palatino Linotype" w:hAnsi="Palatino Linotype"/>
          <w:sz w:val="20"/>
        </w:rPr>
        <w:t xml:space="preserve"> </w:t>
      </w:r>
      <w:r w:rsidR="00EF1193" w:rsidRPr="00C7014F">
        <w:rPr>
          <w:rFonts w:ascii="Palatino Linotype" w:hAnsi="Palatino Linotype"/>
          <w:sz w:val="20"/>
        </w:rPr>
        <w:t xml:space="preserve">the </w:t>
      </w:r>
      <w:r w:rsidRPr="00C7014F">
        <w:rPr>
          <w:rFonts w:ascii="Palatino Linotype" w:hAnsi="Palatino Linotype"/>
          <w:sz w:val="20"/>
        </w:rPr>
        <w:t xml:space="preserve">background subtracted digital count of the Sun view provide the </w:t>
      </w:r>
      <w:r w:rsidR="006C01C8" w:rsidRPr="00C7014F">
        <w:rPr>
          <w:rFonts w:ascii="Palatino Linotype" w:hAnsi="Palatino Linotype"/>
          <w:sz w:val="20"/>
        </w:rPr>
        <w:t xml:space="preserve">trends </w:t>
      </w:r>
      <w:r w:rsidRPr="00C7014F">
        <w:rPr>
          <w:rFonts w:ascii="Palatino Linotype" w:hAnsi="Palatino Linotype"/>
          <w:sz w:val="20"/>
        </w:rPr>
        <w:t xml:space="preserve">of the SD on-orbit degradation. It </w:t>
      </w:r>
      <w:r w:rsidR="00727493" w:rsidRPr="00C7014F">
        <w:rPr>
          <w:rFonts w:ascii="Palatino Linotype" w:hAnsi="Palatino Linotype"/>
          <w:sz w:val="20"/>
        </w:rPr>
        <w:t>has been</w:t>
      </w:r>
      <w:r w:rsidRPr="00C7014F">
        <w:rPr>
          <w:rFonts w:ascii="Palatino Linotype" w:hAnsi="Palatino Linotype"/>
          <w:sz w:val="20"/>
        </w:rPr>
        <w:t xml:space="preserve"> assumed that the SD degradation </w:t>
      </w:r>
      <w:r w:rsidR="00727493" w:rsidRPr="00C7014F">
        <w:rPr>
          <w:rFonts w:ascii="Palatino Linotype" w:hAnsi="Palatino Linotype"/>
          <w:sz w:val="20"/>
        </w:rPr>
        <w:t>between its</w:t>
      </w:r>
      <w:r w:rsidRPr="00C7014F">
        <w:rPr>
          <w:rFonts w:ascii="Palatino Linotype" w:hAnsi="Palatino Linotype"/>
          <w:sz w:val="20"/>
        </w:rPr>
        <w:t xml:space="preserve"> prelaunch </w:t>
      </w:r>
      <w:r w:rsidR="00727493" w:rsidRPr="00C7014F">
        <w:rPr>
          <w:rFonts w:ascii="Palatino Linotype" w:hAnsi="Palatino Linotype"/>
          <w:sz w:val="20"/>
        </w:rPr>
        <w:t>characterization</w:t>
      </w:r>
      <w:r w:rsidRPr="00C7014F">
        <w:rPr>
          <w:rFonts w:ascii="Palatino Linotype" w:hAnsi="Palatino Linotype"/>
          <w:sz w:val="20"/>
        </w:rPr>
        <w:t xml:space="preserve"> </w:t>
      </w:r>
      <w:r w:rsidR="00727493" w:rsidRPr="00C7014F">
        <w:rPr>
          <w:rFonts w:ascii="Palatino Linotype" w:hAnsi="Palatino Linotype"/>
          <w:sz w:val="20"/>
        </w:rPr>
        <w:t>and</w:t>
      </w:r>
      <w:r w:rsidRPr="00C7014F">
        <w:rPr>
          <w:rFonts w:ascii="Palatino Linotype" w:hAnsi="Palatino Linotype"/>
          <w:sz w:val="20"/>
        </w:rPr>
        <w:t xml:space="preserve"> </w:t>
      </w:r>
      <w:r w:rsidR="00727493" w:rsidRPr="00C7014F">
        <w:rPr>
          <w:rFonts w:ascii="Palatino Linotype" w:hAnsi="Palatino Linotype"/>
          <w:sz w:val="20"/>
        </w:rPr>
        <w:t>its first on-orbit measurement</w:t>
      </w:r>
      <w:r w:rsidRPr="00C7014F">
        <w:rPr>
          <w:rFonts w:ascii="Palatino Linotype" w:hAnsi="Palatino Linotype"/>
          <w:sz w:val="20"/>
        </w:rPr>
        <w:t xml:space="preserve"> is negligible since the SD exposure </w:t>
      </w:r>
      <w:r w:rsidR="00727493" w:rsidRPr="00C7014F">
        <w:rPr>
          <w:rFonts w:ascii="Palatino Linotype" w:hAnsi="Palatino Linotype"/>
          <w:sz w:val="20"/>
        </w:rPr>
        <w:t xml:space="preserve">to the environment </w:t>
      </w:r>
      <w:r w:rsidRPr="00C7014F">
        <w:rPr>
          <w:rFonts w:ascii="Palatino Linotype" w:hAnsi="Palatino Linotype"/>
          <w:sz w:val="20"/>
        </w:rPr>
        <w:t xml:space="preserve">was </w:t>
      </w:r>
      <w:r w:rsidR="00727493" w:rsidRPr="00C7014F">
        <w:rPr>
          <w:rFonts w:ascii="Palatino Linotype" w:hAnsi="Palatino Linotype"/>
          <w:sz w:val="20"/>
        </w:rPr>
        <w:t xml:space="preserve">minimal. </w:t>
      </w:r>
      <w:r w:rsidR="006C01C8" w:rsidRPr="00C7014F">
        <w:rPr>
          <w:rFonts w:ascii="Palatino Linotype" w:hAnsi="Palatino Linotype"/>
          <w:sz w:val="20"/>
        </w:rPr>
        <w:t>Consequently</w:t>
      </w:r>
      <w:r w:rsidR="00727493" w:rsidRPr="00C7014F">
        <w:rPr>
          <w:rFonts w:ascii="Palatino Linotype" w:hAnsi="Palatino Linotype"/>
          <w:sz w:val="20"/>
        </w:rPr>
        <w:t xml:space="preserve">, </w:t>
      </w:r>
      <w:r w:rsidRPr="00C7014F">
        <w:rPr>
          <w:rFonts w:ascii="Palatino Linotype" w:hAnsi="Palatino Linotype"/>
          <w:sz w:val="20"/>
        </w:rPr>
        <w:t xml:space="preserve">the </w:t>
      </w:r>
      <w:r w:rsidR="00727493" w:rsidRPr="00C7014F">
        <w:rPr>
          <w:rFonts w:ascii="Palatino Linotype" w:hAnsi="Palatino Linotype"/>
          <w:sz w:val="20"/>
        </w:rPr>
        <w:t xml:space="preserve">SDSM ratios normalized to its </w:t>
      </w:r>
      <w:r w:rsidR="00970B9F" w:rsidRPr="00C7014F">
        <w:rPr>
          <w:rFonts w:ascii="Palatino Linotype" w:hAnsi="Palatino Linotype"/>
          <w:sz w:val="20"/>
        </w:rPr>
        <w:t xml:space="preserve">first </w:t>
      </w:r>
      <w:r w:rsidR="00727493" w:rsidRPr="00C7014F">
        <w:rPr>
          <w:rFonts w:ascii="Palatino Linotype" w:hAnsi="Palatino Linotype"/>
          <w:sz w:val="20"/>
        </w:rPr>
        <w:t>on-orbit SD measurements are used to track</w:t>
      </w:r>
      <w:r w:rsidRPr="00C7014F">
        <w:rPr>
          <w:rFonts w:ascii="Palatino Linotype" w:hAnsi="Palatino Linotype"/>
          <w:sz w:val="20"/>
        </w:rPr>
        <w:t xml:space="preserve"> the SD </w:t>
      </w:r>
      <w:r w:rsidR="006C01C8" w:rsidRPr="00C7014F">
        <w:rPr>
          <w:rFonts w:ascii="Palatino Linotype" w:hAnsi="Palatino Linotype"/>
          <w:sz w:val="20"/>
        </w:rPr>
        <w:t xml:space="preserve">on-orbit </w:t>
      </w:r>
      <w:r w:rsidRPr="00C7014F">
        <w:rPr>
          <w:rFonts w:ascii="Palatino Linotype" w:hAnsi="Palatino Linotype"/>
          <w:sz w:val="20"/>
        </w:rPr>
        <w:t>degradation at the wavelength</w:t>
      </w:r>
      <w:r w:rsidR="00727493" w:rsidRPr="00C7014F">
        <w:rPr>
          <w:rFonts w:ascii="Palatino Linotype" w:hAnsi="Palatino Linotype"/>
          <w:sz w:val="20"/>
        </w:rPr>
        <w:t xml:space="preserve">s of its </w:t>
      </w:r>
      <w:r w:rsidRPr="00C7014F">
        <w:rPr>
          <w:rFonts w:ascii="Palatino Linotype" w:hAnsi="Palatino Linotype"/>
          <w:sz w:val="20"/>
        </w:rPr>
        <w:t>detector</w:t>
      </w:r>
      <w:r w:rsidR="00727493" w:rsidRPr="00C7014F">
        <w:rPr>
          <w:rFonts w:ascii="Palatino Linotype" w:hAnsi="Palatino Linotype"/>
          <w:sz w:val="20"/>
        </w:rPr>
        <w:t>s</w:t>
      </w:r>
      <w:r w:rsidRPr="00C7014F">
        <w:rPr>
          <w:rFonts w:ascii="Palatino Linotype" w:hAnsi="Palatino Linotype"/>
          <w:sz w:val="20"/>
        </w:rPr>
        <w:t xml:space="preserve">. </w:t>
      </w:r>
      <w:r w:rsidR="00970B9F" w:rsidRPr="00C7014F">
        <w:rPr>
          <w:rFonts w:ascii="Palatino Linotype" w:hAnsi="Palatino Linotype"/>
          <w:sz w:val="20"/>
        </w:rPr>
        <w:t>A</w:t>
      </w:r>
      <w:r w:rsidRPr="00C7014F">
        <w:rPr>
          <w:rFonts w:ascii="Palatino Linotype" w:hAnsi="Palatino Linotype"/>
          <w:sz w:val="20"/>
        </w:rPr>
        <w:t xml:space="preserve"> linear interpolation approach is applied to obtain the SD degradation at any wavelength in the range from </w:t>
      </w:r>
      <w:r w:rsidR="0091155D" w:rsidRPr="00C7014F">
        <w:rPr>
          <w:rFonts w:ascii="Palatino Linotype" w:hAnsi="Palatino Linotype"/>
          <w:sz w:val="20"/>
        </w:rPr>
        <w:t xml:space="preserve">0.412 µm </w:t>
      </w:r>
      <w:r w:rsidRPr="00C7014F">
        <w:rPr>
          <w:rFonts w:ascii="Palatino Linotype" w:hAnsi="Palatino Linotype"/>
          <w:sz w:val="20"/>
        </w:rPr>
        <w:t xml:space="preserve">to </w:t>
      </w:r>
      <w:r w:rsidR="00E55371" w:rsidRPr="00C7014F">
        <w:rPr>
          <w:rFonts w:ascii="Palatino Linotype" w:hAnsi="Palatino Linotype"/>
          <w:sz w:val="20"/>
        </w:rPr>
        <w:t>0.</w:t>
      </w:r>
      <w:r w:rsidRPr="00C7014F">
        <w:rPr>
          <w:rFonts w:ascii="Palatino Linotype" w:hAnsi="Palatino Linotype"/>
          <w:sz w:val="20"/>
        </w:rPr>
        <w:t xml:space="preserve">936 </w:t>
      </w:r>
      <w:r w:rsidR="00E55371" w:rsidRPr="00C7014F">
        <w:rPr>
          <w:rFonts w:ascii="Palatino Linotype" w:hAnsi="Palatino Linotype"/>
          <w:sz w:val="20"/>
        </w:rPr>
        <w:t>µm</w:t>
      </w:r>
      <w:r w:rsidRPr="00C7014F">
        <w:rPr>
          <w:rFonts w:ascii="Palatino Linotype" w:hAnsi="Palatino Linotype"/>
          <w:sz w:val="20"/>
        </w:rPr>
        <w:t xml:space="preserve"> </w:t>
      </w:r>
      <w:r w:rsidR="006C01C8" w:rsidRPr="00C7014F">
        <w:rPr>
          <w:rFonts w:ascii="Palatino Linotype" w:hAnsi="Palatino Linotype"/>
          <w:sz w:val="20"/>
        </w:rPr>
        <w:t>from</w:t>
      </w:r>
      <w:r w:rsidRPr="00C7014F">
        <w:rPr>
          <w:rFonts w:ascii="Palatino Linotype" w:hAnsi="Palatino Linotype"/>
          <w:sz w:val="20"/>
        </w:rPr>
        <w:t xml:space="preserve"> the measured SD degradations at the nine center wavelengths of the SDSM detectors.  [</w:t>
      </w:r>
      <w:r w:rsidR="00C70C9E" w:rsidRPr="00C7014F">
        <w:rPr>
          <w:rFonts w:ascii="Palatino Linotype" w:hAnsi="Palatino Linotype"/>
          <w:sz w:val="20"/>
        </w:rPr>
        <w:t>47</w:t>
      </w:r>
      <w:r w:rsidRPr="00C7014F">
        <w:rPr>
          <w:rFonts w:ascii="Palatino Linotype" w:hAnsi="Palatino Linotype"/>
          <w:sz w:val="20"/>
        </w:rPr>
        <w:t xml:space="preserve">]                                                                                      </w:t>
      </w:r>
    </w:p>
    <w:p w14:paraId="252CFCE0" w14:textId="77777777" w:rsidR="004A2E39" w:rsidRPr="00C7014F" w:rsidRDefault="0020035E" w:rsidP="004A2E39">
      <w:pPr>
        <w:spacing w:before="120" w:after="120"/>
        <w:jc w:val="both"/>
        <w:rPr>
          <w:rFonts w:ascii="Palatino Linotype" w:hAnsi="Palatino Linotype"/>
          <w:sz w:val="20"/>
        </w:rPr>
      </w:pPr>
      <w:r w:rsidRPr="00C7014F">
        <w:rPr>
          <w:rFonts w:ascii="Palatino Linotype" w:hAnsi="Palatino Linotype"/>
          <w:sz w:val="20"/>
        </w:rPr>
        <w:t xml:space="preserve">It is well-known that the </w:t>
      </w:r>
      <w:r w:rsidR="004A2E39" w:rsidRPr="00C7014F">
        <w:rPr>
          <w:rFonts w:ascii="Palatino Linotype" w:hAnsi="Palatino Linotype"/>
          <w:sz w:val="20"/>
        </w:rPr>
        <w:t xml:space="preserve">reflectance of the lunar surface is very stable in the RSB spectral range and therefore </w:t>
      </w:r>
      <w:r w:rsidR="000753ED" w:rsidRPr="00C7014F">
        <w:rPr>
          <w:rFonts w:ascii="Palatino Linotype" w:hAnsi="Palatino Linotype"/>
          <w:sz w:val="20"/>
        </w:rPr>
        <w:t>serves as</w:t>
      </w:r>
      <w:r w:rsidR="004A2E39" w:rsidRPr="00C7014F">
        <w:rPr>
          <w:rFonts w:ascii="Palatino Linotype" w:hAnsi="Palatino Linotype"/>
          <w:sz w:val="20"/>
        </w:rPr>
        <w:t xml:space="preserve"> an excellent source for calibrating the RSBs on-orbit. Since the lunar surface is not smooth, </w:t>
      </w:r>
      <w:r w:rsidR="000753ED" w:rsidRPr="00C7014F">
        <w:rPr>
          <w:rFonts w:ascii="Palatino Linotype" w:hAnsi="Palatino Linotype"/>
          <w:sz w:val="20"/>
        </w:rPr>
        <w:t xml:space="preserve">only </w:t>
      </w:r>
      <w:r w:rsidR="004A2E39" w:rsidRPr="00C7014F">
        <w:rPr>
          <w:rFonts w:ascii="Palatino Linotype" w:hAnsi="Palatino Linotype"/>
          <w:sz w:val="20"/>
        </w:rPr>
        <w:t xml:space="preserve">the integrated lunar irradiance is used in the MODIS lunar calibration methodology. </w:t>
      </w:r>
      <w:r w:rsidRPr="00C7014F">
        <w:rPr>
          <w:rFonts w:ascii="Palatino Linotype" w:hAnsi="Palatino Linotype"/>
          <w:sz w:val="20"/>
        </w:rPr>
        <w:t>Using Eq (1), t</w:t>
      </w:r>
      <w:r w:rsidR="004A2E39" w:rsidRPr="00C7014F">
        <w:rPr>
          <w:rFonts w:ascii="Palatino Linotype" w:hAnsi="Palatino Linotype"/>
          <w:sz w:val="20"/>
        </w:rPr>
        <w:t xml:space="preserve">he measured lunar radiance </w:t>
      </w:r>
      <w:r w:rsidR="000753ED" w:rsidRPr="00C7014F">
        <w:rPr>
          <w:rFonts w:ascii="Palatino Linotype" w:hAnsi="Palatino Linotype"/>
          <w:sz w:val="20"/>
        </w:rPr>
        <w:t xml:space="preserve">from </w:t>
      </w:r>
      <w:r w:rsidR="00FD0E52" w:rsidRPr="00C7014F">
        <w:rPr>
          <w:rFonts w:ascii="Palatino Linotype" w:hAnsi="Palatino Linotype"/>
          <w:sz w:val="20"/>
        </w:rPr>
        <w:t>individual detectors</w:t>
      </w:r>
      <w:r w:rsidR="000753ED" w:rsidRPr="00C7014F">
        <w:rPr>
          <w:rFonts w:ascii="Palatino Linotype" w:hAnsi="Palatino Linotype"/>
          <w:sz w:val="20"/>
        </w:rPr>
        <w:t xml:space="preserve"> </w:t>
      </w:r>
      <w:r w:rsidR="004A2E39" w:rsidRPr="00C7014F">
        <w:rPr>
          <w:rFonts w:ascii="Palatino Linotype" w:hAnsi="Palatino Linotype"/>
          <w:sz w:val="20"/>
        </w:rPr>
        <w:t>can be</w:t>
      </w:r>
      <w:r w:rsidR="000753ED" w:rsidRPr="00C7014F">
        <w:rPr>
          <w:rFonts w:ascii="Palatino Linotype" w:hAnsi="Palatino Linotype"/>
          <w:sz w:val="20"/>
        </w:rPr>
        <w:t xml:space="preserve"> </w:t>
      </w:r>
      <w:r w:rsidRPr="00C7014F">
        <w:rPr>
          <w:rFonts w:ascii="Palatino Linotype" w:hAnsi="Palatino Linotype"/>
          <w:sz w:val="20"/>
        </w:rPr>
        <w:t>easily calculated and the</w:t>
      </w:r>
      <w:r w:rsidR="00FD0E52" w:rsidRPr="00C7014F">
        <w:rPr>
          <w:rFonts w:ascii="Palatino Linotype" w:hAnsi="Palatino Linotype"/>
          <w:sz w:val="20"/>
        </w:rPr>
        <w:t>ir</w:t>
      </w:r>
      <w:r w:rsidR="000753ED" w:rsidRPr="00C7014F">
        <w:rPr>
          <w:rFonts w:ascii="Palatino Linotype" w:hAnsi="Palatino Linotype"/>
          <w:sz w:val="20"/>
        </w:rPr>
        <w:t xml:space="preserve"> corresponding</w:t>
      </w:r>
      <w:r w:rsidR="004A2E39" w:rsidRPr="00C7014F">
        <w:rPr>
          <w:rFonts w:ascii="Palatino Linotype" w:hAnsi="Palatino Linotype"/>
          <w:sz w:val="20"/>
        </w:rPr>
        <w:t xml:space="preserve"> </w:t>
      </w:r>
      <w:r w:rsidR="000753ED" w:rsidRPr="00C7014F">
        <w:rPr>
          <w:rFonts w:ascii="Palatino Linotype" w:hAnsi="Palatino Linotype"/>
          <w:sz w:val="20"/>
        </w:rPr>
        <w:t xml:space="preserve">integrated lunar </w:t>
      </w:r>
      <w:r w:rsidR="004A2E39" w:rsidRPr="00C7014F">
        <w:rPr>
          <w:rFonts w:ascii="Palatino Linotype" w:hAnsi="Palatino Linotype"/>
          <w:sz w:val="20"/>
        </w:rPr>
        <w:t xml:space="preserve">irradiance </w:t>
      </w:r>
      <w:r w:rsidR="00137B22" w:rsidRPr="00C7014F">
        <w:rPr>
          <w:rFonts w:ascii="Palatino Linotype" w:hAnsi="Palatino Linotype"/>
          <w:sz w:val="20"/>
        </w:rPr>
        <w:t>(</w:t>
      </w:r>
      <w:r w:rsidR="00137B22" w:rsidRPr="00C7014F">
        <w:rPr>
          <w:rFonts w:ascii="Palatino Linotype" w:hAnsi="Palatino Linotype"/>
          <w:i/>
          <w:sz w:val="20"/>
        </w:rPr>
        <w:t>I</w:t>
      </w:r>
      <w:r w:rsidR="00137B22" w:rsidRPr="00C7014F">
        <w:rPr>
          <w:rFonts w:ascii="Palatino Linotype" w:hAnsi="Palatino Linotype"/>
          <w:sz w:val="20"/>
        </w:rPr>
        <w:t xml:space="preserve">) </w:t>
      </w:r>
      <w:r w:rsidR="004A2E39" w:rsidRPr="00C7014F">
        <w:rPr>
          <w:rFonts w:ascii="Palatino Linotype" w:hAnsi="Palatino Linotype"/>
          <w:sz w:val="20"/>
        </w:rPr>
        <w:t xml:space="preserve">can </w:t>
      </w:r>
      <w:r w:rsidRPr="00C7014F">
        <w:rPr>
          <w:rFonts w:ascii="Palatino Linotype" w:hAnsi="Palatino Linotype"/>
          <w:sz w:val="20"/>
        </w:rPr>
        <w:t>be expressed by</w:t>
      </w:r>
    </w:p>
    <w:p w14:paraId="49EDEF59" w14:textId="6757691B" w:rsidR="004A2E39" w:rsidRPr="00C7014F" w:rsidRDefault="004A2E39" w:rsidP="004A2E39">
      <w:pPr>
        <w:spacing w:line="360" w:lineRule="auto"/>
        <w:rPr>
          <w:rFonts w:ascii="Palatino Linotype" w:hAnsi="Palatino Linotype"/>
          <w:sz w:val="20"/>
        </w:rPr>
      </w:pPr>
      <w:r w:rsidRPr="00C7014F">
        <w:rPr>
          <w:rFonts w:ascii="Palatino Linotype" w:hAnsi="Palatino Linotype"/>
          <w:sz w:val="20"/>
        </w:rPr>
        <w:t xml:space="preserve">                                                               </w:t>
      </w:r>
      <m:oMath>
        <m:r>
          <w:rPr>
            <w:rFonts w:ascii="Cambria Math" w:hAnsi="Cambria Math"/>
            <w:sz w:val="20"/>
            <w:szCs w:val="20"/>
          </w:rPr>
          <m:t>I=</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nary>
          <m:naryPr>
            <m:chr m:val="∑"/>
            <m:limLoc m:val="undOvr"/>
            <m:subHide m:val="1"/>
            <m:supHide m:val="1"/>
            <m:ctrlPr>
              <w:rPr>
                <w:rFonts w:ascii="Cambria Math" w:hAnsi="Cambria Math"/>
                <w:i/>
                <w:sz w:val="20"/>
                <w:szCs w:val="20"/>
              </w:rPr>
            </m:ctrlPr>
          </m:naryPr>
          <m:sub/>
          <m:sup/>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m:t>
                    </m:r>
                  </m:sub>
                </m:sSub>
                <m:sSubSup>
                  <m:sSubSupPr>
                    <m:ctrlPr>
                      <w:rPr>
                        <w:rFonts w:ascii="Cambria Math" w:hAnsi="Cambria Math"/>
                        <w:i/>
                        <w:sz w:val="20"/>
                        <w:szCs w:val="20"/>
                      </w:rPr>
                    </m:ctrlPr>
                  </m:sSubSupPr>
                  <m:e>
                    <m:r>
                      <w:rPr>
                        <w:rFonts w:ascii="Cambria Math" w:hAnsi="Cambria Math"/>
                        <w:sz w:val="20"/>
                        <w:szCs w:val="20"/>
                      </w:rPr>
                      <m:t>dn</m:t>
                    </m:r>
                  </m:e>
                  <m:sub>
                    <m:r>
                      <w:rPr>
                        <w:rFonts w:ascii="Cambria Math" w:hAnsi="Cambria Math"/>
                        <w:sz w:val="20"/>
                        <w:szCs w:val="20"/>
                      </w:rPr>
                      <m:t>Moon</m:t>
                    </m:r>
                  </m:sub>
                  <m:sup>
                    <m:r>
                      <w:rPr>
                        <w:rFonts w:ascii="Cambria Math" w:hAnsi="Cambria Math"/>
                        <w:sz w:val="20"/>
                        <w:szCs w:val="20"/>
                      </w:rPr>
                      <m:t>*</m:t>
                    </m:r>
                  </m:sup>
                </m:sSubSup>
              </m:num>
              <m:den>
                <m:r>
                  <w:rPr>
                    <w:rFonts w:ascii="Cambria Math" w:hAnsi="Cambria Math"/>
                    <w:sz w:val="20"/>
                    <w:szCs w:val="20"/>
                  </w:rPr>
                  <m:t>πRVS</m:t>
                </m:r>
              </m:den>
            </m:f>
          </m:e>
        </m:nary>
        <m:r>
          <w:rPr>
            <w:rFonts w:ascii="Cambria Math" w:hAnsi="Cambria Math"/>
            <w:sz w:val="20"/>
            <w:szCs w:val="20"/>
          </w:rPr>
          <m:t>ω</m:t>
        </m:r>
      </m:oMath>
      <w:r w:rsidRPr="00C7014F">
        <w:rPr>
          <w:rFonts w:ascii="Palatino Linotype" w:hAnsi="Palatino Linotype"/>
          <w:sz w:val="20"/>
        </w:rPr>
        <w:t xml:space="preserve">,  </w:t>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004D0840" w:rsidRPr="00C7014F">
        <w:rPr>
          <w:rFonts w:ascii="Palatino Linotype" w:hAnsi="Palatino Linotype"/>
          <w:sz w:val="20"/>
        </w:rPr>
        <w:tab/>
      </w:r>
      <w:r w:rsidRPr="00C7014F">
        <w:rPr>
          <w:rFonts w:ascii="Palatino Linotype" w:hAnsi="Palatino Linotype"/>
          <w:sz w:val="20"/>
        </w:rPr>
        <w:t>(4)</w:t>
      </w:r>
    </w:p>
    <w:p w14:paraId="4803F83B" w14:textId="0E0D7796"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where </w:t>
      </w:r>
      <w:r w:rsidRPr="00C7014F">
        <w:rPr>
          <w:rFonts w:ascii="Palatino Linotype" w:hAnsi="Palatino Linotype"/>
          <w:i/>
          <w:iCs/>
          <w:sz w:val="20"/>
        </w:rPr>
        <w:t>N</w:t>
      </w:r>
      <w:r w:rsidRPr="00C7014F">
        <w:rPr>
          <w:rFonts w:ascii="Palatino Linotype" w:hAnsi="Palatino Linotype"/>
          <w:sz w:val="20"/>
        </w:rPr>
        <w:t xml:space="preserve"> is number of the scans</w:t>
      </w:r>
      <w:r w:rsidR="0020035E" w:rsidRPr="00C7014F">
        <w:rPr>
          <w:rFonts w:ascii="Palatino Linotype" w:hAnsi="Palatino Linotype"/>
          <w:sz w:val="20"/>
        </w:rPr>
        <w:t xml:space="preserve"> used in the computation</w:t>
      </w:r>
      <w:r w:rsidR="00B11A59" w:rsidRPr="00C7014F">
        <w:rPr>
          <w:rFonts w:ascii="Palatino Linotype" w:hAnsi="Palatino Linotype"/>
          <w:sz w:val="20"/>
        </w:rPr>
        <w:t xml:space="preserve">, </w:t>
      </w:r>
      <w:r w:rsidRPr="00C7014F">
        <w:rPr>
          <w:rFonts w:ascii="Palatino Linotype" w:hAnsi="Palatino Linotype"/>
          <w:sz w:val="20"/>
        </w:rPr>
        <w:t xml:space="preserve">each of which fully covers the lunar surface, and </w:t>
      </w:r>
      <w:r w:rsidRPr="00C7014F">
        <w:rPr>
          <w:rFonts w:ascii="Symbol" w:hAnsi="Symbol"/>
          <w:i/>
          <w:iCs/>
          <w:sz w:val="20"/>
        </w:rPr>
        <w:t></w:t>
      </w:r>
      <w:r w:rsidRPr="00C7014F">
        <w:rPr>
          <w:rFonts w:ascii="Palatino Linotype" w:hAnsi="Palatino Linotype"/>
          <w:sz w:val="20"/>
        </w:rPr>
        <w:t xml:space="preserve"> = 1/(705</w:t>
      </w:r>
      <w:r w:rsidRPr="00C7014F">
        <w:rPr>
          <w:rFonts w:ascii="Palatino Linotype" w:hAnsi="Palatino Linotype"/>
          <w:i/>
          <w:iCs/>
          <w:sz w:val="20"/>
        </w:rPr>
        <w:t>S</w:t>
      </w:r>
      <w:r w:rsidRPr="00C7014F">
        <w:rPr>
          <w:rFonts w:ascii="Palatino Linotype" w:hAnsi="Palatino Linotype"/>
          <w:i/>
          <w:iCs/>
          <w:sz w:val="20"/>
          <w:vertAlign w:val="subscript"/>
        </w:rPr>
        <w:t>to</w:t>
      </w:r>
      <w:r w:rsidRPr="00C7014F">
        <w:rPr>
          <w:rFonts w:ascii="Palatino Linotype" w:hAnsi="Palatino Linotype"/>
          <w:sz w:val="20"/>
          <w:vertAlign w:val="subscript"/>
        </w:rPr>
        <w:t>t</w:t>
      </w:r>
      <w:r w:rsidRPr="00C7014F">
        <w:rPr>
          <w:rFonts w:ascii="Palatino Linotype" w:hAnsi="Palatino Linotype"/>
          <w:sz w:val="20"/>
        </w:rPr>
        <w:t>)</w:t>
      </w:r>
      <w:r w:rsidRPr="00C7014F">
        <w:rPr>
          <w:rFonts w:ascii="Palatino Linotype" w:hAnsi="Palatino Linotype"/>
          <w:sz w:val="20"/>
          <w:vertAlign w:val="superscript"/>
        </w:rPr>
        <w:t>2</w:t>
      </w:r>
      <w:r w:rsidRPr="00C7014F">
        <w:rPr>
          <w:rFonts w:ascii="Palatino Linotype" w:hAnsi="Palatino Linotype"/>
          <w:sz w:val="20"/>
        </w:rPr>
        <w:t xml:space="preserve"> is the solid angle (steradians) of each </w:t>
      </w:r>
      <w:r w:rsidR="00B11A59" w:rsidRPr="00C7014F">
        <w:rPr>
          <w:rFonts w:ascii="Palatino Linotype" w:hAnsi="Palatino Linotype"/>
          <w:sz w:val="20"/>
        </w:rPr>
        <w:t>pixel</w:t>
      </w:r>
      <w:r w:rsidRPr="00C7014F">
        <w:rPr>
          <w:rFonts w:ascii="Palatino Linotype" w:hAnsi="Palatino Linotype"/>
          <w:sz w:val="20"/>
        </w:rPr>
        <w:t xml:space="preserve">. </w:t>
      </w:r>
      <w:r w:rsidRPr="00C7014F">
        <w:rPr>
          <w:rFonts w:ascii="Palatino Linotype" w:hAnsi="Palatino Linotype"/>
          <w:i/>
          <w:iCs/>
          <w:sz w:val="20"/>
        </w:rPr>
        <w:t>S</w:t>
      </w:r>
      <w:r w:rsidRPr="00C7014F">
        <w:rPr>
          <w:rFonts w:ascii="Palatino Linotype" w:hAnsi="Palatino Linotype"/>
          <w:i/>
          <w:iCs/>
          <w:sz w:val="20"/>
          <w:vertAlign w:val="subscript"/>
        </w:rPr>
        <w:t>tot</w:t>
      </w:r>
      <w:r w:rsidRPr="00C7014F">
        <w:rPr>
          <w:rFonts w:ascii="Palatino Linotype" w:hAnsi="Palatino Linotype"/>
          <w:sz w:val="20"/>
        </w:rPr>
        <w:t xml:space="preserve"> is the number of </w:t>
      </w:r>
      <w:r w:rsidR="00B90FF5" w:rsidRPr="00C7014F">
        <w:rPr>
          <w:rFonts w:ascii="Palatino Linotype" w:hAnsi="Palatino Linotype"/>
          <w:sz w:val="20"/>
        </w:rPr>
        <w:t>sub-frames</w:t>
      </w:r>
      <w:r w:rsidRPr="00C7014F">
        <w:rPr>
          <w:rFonts w:ascii="Palatino Linotype" w:hAnsi="Palatino Linotype"/>
          <w:sz w:val="20"/>
        </w:rPr>
        <w:t xml:space="preserve"> of </w:t>
      </w:r>
      <w:r w:rsidR="002C0174" w:rsidRPr="00C7014F">
        <w:rPr>
          <w:rFonts w:ascii="Palatino Linotype" w:hAnsi="Palatino Linotype"/>
          <w:sz w:val="20"/>
        </w:rPr>
        <w:t xml:space="preserve">each </w:t>
      </w:r>
      <w:r w:rsidRPr="00C7014F">
        <w:rPr>
          <w:rFonts w:ascii="Palatino Linotype" w:hAnsi="Palatino Linotype"/>
          <w:sz w:val="20"/>
        </w:rPr>
        <w:t xml:space="preserve">band </w:t>
      </w:r>
      <w:r w:rsidR="002C0174" w:rsidRPr="00C7014F">
        <w:rPr>
          <w:rFonts w:ascii="Palatino Linotype" w:hAnsi="Palatino Linotype"/>
          <w:sz w:val="20"/>
        </w:rPr>
        <w:t xml:space="preserve">(or detector) </w:t>
      </w:r>
      <w:r w:rsidRPr="00C7014F">
        <w:rPr>
          <w:rFonts w:ascii="Palatino Linotype" w:hAnsi="Palatino Linotype"/>
          <w:sz w:val="20"/>
        </w:rPr>
        <w:t xml:space="preserve">and 705 km is the nominal orbital altitude. </w:t>
      </w:r>
      <w:r w:rsidR="00DA27E2" w:rsidRPr="00C7014F">
        <w:rPr>
          <w:rFonts w:ascii="Palatino Linotype" w:hAnsi="Palatino Linotype"/>
          <w:sz w:val="20"/>
        </w:rPr>
        <w:t xml:space="preserve">The summation is made over detectors, frames, and </w:t>
      </w:r>
      <w:r w:rsidR="00B674C2" w:rsidRPr="00C7014F">
        <w:rPr>
          <w:rFonts w:ascii="Palatino Linotype" w:hAnsi="Palatino Linotype"/>
          <w:sz w:val="20"/>
        </w:rPr>
        <w:t xml:space="preserve">select </w:t>
      </w:r>
      <w:r w:rsidR="00DA27E2" w:rsidRPr="00C7014F">
        <w:rPr>
          <w:rFonts w:ascii="Palatino Linotype" w:hAnsi="Palatino Linotype"/>
          <w:sz w:val="20"/>
        </w:rPr>
        <w:t xml:space="preserve">scans. </w:t>
      </w:r>
      <w:r w:rsidRPr="00C7014F">
        <w:rPr>
          <w:rFonts w:ascii="Palatino Linotype" w:hAnsi="Palatino Linotype"/>
          <w:sz w:val="20"/>
        </w:rPr>
        <w:t xml:space="preserve">In this analysis, the lunar irradiance is calculated </w:t>
      </w:r>
      <w:r w:rsidR="002C0174" w:rsidRPr="00C7014F">
        <w:rPr>
          <w:rFonts w:ascii="Palatino Linotype" w:hAnsi="Palatino Linotype"/>
          <w:sz w:val="20"/>
        </w:rPr>
        <w:t>using</w:t>
      </w:r>
      <w:r w:rsidRPr="00C7014F">
        <w:rPr>
          <w:rFonts w:ascii="Palatino Linotype" w:hAnsi="Palatino Linotype"/>
          <w:sz w:val="20"/>
        </w:rPr>
        <w:t xml:space="preserve"> the MODIS</w:t>
      </w:r>
      <w:r w:rsidR="002C0174" w:rsidRPr="00C7014F">
        <w:rPr>
          <w:rFonts w:ascii="Palatino Linotype" w:hAnsi="Palatino Linotype"/>
          <w:sz w:val="20"/>
        </w:rPr>
        <w:t xml:space="preserve"> C7</w:t>
      </w:r>
      <w:r w:rsidRPr="00C7014F">
        <w:rPr>
          <w:rFonts w:ascii="Palatino Linotype" w:hAnsi="Palatino Linotype"/>
          <w:sz w:val="20"/>
        </w:rPr>
        <w:t xml:space="preserve"> LUTs </w:t>
      </w:r>
      <w:r w:rsidR="002C0174" w:rsidRPr="00C7014F">
        <w:rPr>
          <w:rFonts w:ascii="Palatino Linotype" w:hAnsi="Palatino Linotype"/>
          <w:sz w:val="20"/>
        </w:rPr>
        <w:t xml:space="preserve">prepared for the </w:t>
      </w:r>
      <w:r w:rsidR="002C0174" w:rsidRPr="00C7014F">
        <w:rPr>
          <w:rFonts w:ascii="Palatino Linotype" w:hAnsi="Palatino Linotype"/>
          <w:sz w:val="20"/>
        </w:rPr>
        <w:lastRenderedPageBreak/>
        <w:t xml:space="preserve">upcoming </w:t>
      </w:r>
      <w:r w:rsidR="00337D92" w:rsidRPr="00C7014F">
        <w:rPr>
          <w:rFonts w:ascii="Palatino Linotype" w:hAnsi="Palatino Linotype"/>
          <w:sz w:val="20"/>
        </w:rPr>
        <w:t xml:space="preserve">L1B </w:t>
      </w:r>
      <w:r w:rsidR="002C0174" w:rsidRPr="00C7014F">
        <w:rPr>
          <w:rFonts w:ascii="Palatino Linotype" w:hAnsi="Palatino Linotype"/>
          <w:sz w:val="20"/>
        </w:rPr>
        <w:t>reprocessing</w:t>
      </w:r>
      <w:r w:rsidRPr="00C7014F">
        <w:rPr>
          <w:rFonts w:ascii="Palatino Linotype" w:hAnsi="Palatino Linotype"/>
          <w:sz w:val="20"/>
        </w:rPr>
        <w:t xml:space="preserve">. </w:t>
      </w:r>
      <w:r w:rsidR="002C0174" w:rsidRPr="00C7014F">
        <w:rPr>
          <w:rFonts w:ascii="Palatino Linotype" w:hAnsi="Palatino Linotype"/>
          <w:sz w:val="20"/>
        </w:rPr>
        <w:t xml:space="preserve">Instead of using only scans that fully cover the lunar surface, </w:t>
      </w:r>
      <w:r w:rsidR="00AE65ED" w:rsidRPr="00C7014F">
        <w:rPr>
          <w:rFonts w:ascii="Palatino Linotype" w:hAnsi="Palatino Linotype"/>
          <w:sz w:val="20"/>
        </w:rPr>
        <w:t>t</w:t>
      </w:r>
      <w:r w:rsidRPr="00C7014F">
        <w:rPr>
          <w:rFonts w:ascii="Palatino Linotype" w:hAnsi="Palatino Linotype"/>
          <w:sz w:val="20"/>
        </w:rPr>
        <w:t>he lunar irradiance can also be calculated using the measurements from all scans in a lunar observation event</w:t>
      </w:r>
      <w:r w:rsidR="00AE65ED" w:rsidRPr="00C7014F">
        <w:rPr>
          <w:rFonts w:ascii="Palatino Linotype" w:hAnsi="Palatino Linotype"/>
          <w:sz w:val="20"/>
        </w:rPr>
        <w:t xml:space="preserve">. This approach, however, requires </w:t>
      </w:r>
      <w:r w:rsidRPr="00C7014F">
        <w:rPr>
          <w:rFonts w:ascii="Palatino Linotype" w:hAnsi="Palatino Linotype"/>
          <w:sz w:val="20"/>
        </w:rPr>
        <w:t xml:space="preserve">a correction for </w:t>
      </w:r>
      <w:r w:rsidR="00AE65ED" w:rsidRPr="00C7014F">
        <w:rPr>
          <w:rFonts w:ascii="Palatino Linotype" w:hAnsi="Palatino Linotype"/>
          <w:sz w:val="20"/>
        </w:rPr>
        <w:t xml:space="preserve">the </w:t>
      </w:r>
      <w:r w:rsidRPr="00C7014F">
        <w:rPr>
          <w:rFonts w:ascii="Palatino Linotype" w:hAnsi="Palatino Linotype"/>
          <w:sz w:val="20"/>
        </w:rPr>
        <w:t xml:space="preserve">oversampling effects. </w:t>
      </w:r>
      <w:r w:rsidR="00B90FF5" w:rsidRPr="00C7014F">
        <w:rPr>
          <w:rFonts w:ascii="Palatino Linotype" w:hAnsi="Palatino Linotype"/>
          <w:sz w:val="20"/>
        </w:rPr>
        <w:t xml:space="preserve">The </w:t>
      </w:r>
      <w:r w:rsidR="0091155D" w:rsidRPr="00C7014F">
        <w:rPr>
          <w:rFonts w:ascii="Palatino Linotype" w:hAnsi="Palatino Linotype"/>
          <w:sz w:val="20"/>
        </w:rPr>
        <w:t>all-scan</w:t>
      </w:r>
      <w:r w:rsidRPr="00C7014F">
        <w:rPr>
          <w:rFonts w:ascii="Palatino Linotype" w:hAnsi="Palatino Linotype"/>
          <w:sz w:val="20"/>
        </w:rPr>
        <w:t xml:space="preserve"> approach has a </w:t>
      </w:r>
      <w:r w:rsidR="00B90FF5" w:rsidRPr="00C7014F">
        <w:rPr>
          <w:rFonts w:ascii="Palatino Linotype" w:hAnsi="Palatino Linotype"/>
          <w:sz w:val="20"/>
        </w:rPr>
        <w:t>relatively large</w:t>
      </w:r>
      <w:r w:rsidRPr="00C7014F">
        <w:rPr>
          <w:rFonts w:ascii="Palatino Linotype" w:hAnsi="Palatino Linotype"/>
          <w:sz w:val="20"/>
        </w:rPr>
        <w:t xml:space="preserve"> uncertainty </w:t>
      </w:r>
      <w:r w:rsidR="00B90FF5" w:rsidRPr="00C7014F">
        <w:rPr>
          <w:rFonts w:ascii="Palatino Linotype" w:hAnsi="Palatino Linotype"/>
          <w:sz w:val="20"/>
        </w:rPr>
        <w:t>due to correction</w:t>
      </w:r>
      <w:r w:rsidR="007D34FC" w:rsidRPr="00C7014F">
        <w:rPr>
          <w:rFonts w:ascii="Palatino Linotype" w:hAnsi="Palatino Linotype"/>
          <w:sz w:val="20"/>
        </w:rPr>
        <w:t>s applied for</w:t>
      </w:r>
      <w:r w:rsidRPr="00C7014F">
        <w:rPr>
          <w:rFonts w:ascii="Palatino Linotype" w:hAnsi="Palatino Linotype"/>
          <w:sz w:val="20"/>
        </w:rPr>
        <w:t xml:space="preserve"> </w:t>
      </w:r>
      <w:r w:rsidR="007D34FC" w:rsidRPr="00C7014F">
        <w:rPr>
          <w:rFonts w:ascii="Palatino Linotype" w:hAnsi="Palatino Linotype"/>
          <w:sz w:val="20"/>
        </w:rPr>
        <w:t xml:space="preserve">the </w:t>
      </w:r>
      <w:r w:rsidRPr="00C7014F">
        <w:rPr>
          <w:rFonts w:ascii="Palatino Linotype" w:hAnsi="Palatino Linotype"/>
          <w:sz w:val="20"/>
        </w:rPr>
        <w:t>oversampling effect</w:t>
      </w:r>
      <w:r w:rsidR="00514CBE" w:rsidRPr="00C7014F">
        <w:rPr>
          <w:rFonts w:ascii="Palatino Linotype" w:hAnsi="Palatino Linotype"/>
          <w:sz w:val="20"/>
        </w:rPr>
        <w:t>,</w:t>
      </w:r>
      <w:r w:rsidR="00AE65ED" w:rsidRPr="00C7014F">
        <w:rPr>
          <w:rFonts w:ascii="Palatino Linotype" w:hAnsi="Palatino Linotype"/>
          <w:sz w:val="20"/>
        </w:rPr>
        <w:t xml:space="preserve"> but it can help examine calibration differences among individual detectors. I</w:t>
      </w:r>
      <w:r w:rsidR="007D34FC" w:rsidRPr="00C7014F">
        <w:rPr>
          <w:rFonts w:ascii="Palatino Linotype" w:hAnsi="Palatino Linotype"/>
          <w:sz w:val="20"/>
        </w:rPr>
        <w:t xml:space="preserve">n this analysis </w:t>
      </w:r>
      <w:r w:rsidRPr="00C7014F">
        <w:rPr>
          <w:rFonts w:ascii="Palatino Linotype" w:hAnsi="Palatino Linotype"/>
          <w:sz w:val="20"/>
        </w:rPr>
        <w:t xml:space="preserve">we focus on the methodology </w:t>
      </w:r>
      <w:r w:rsidR="007D34FC" w:rsidRPr="00C7014F">
        <w:rPr>
          <w:rFonts w:ascii="Palatino Linotype" w:hAnsi="Palatino Linotype"/>
          <w:sz w:val="20"/>
        </w:rPr>
        <w:t xml:space="preserve">that </w:t>
      </w:r>
      <w:r w:rsidRPr="00C7014F">
        <w:rPr>
          <w:rFonts w:ascii="Palatino Linotype" w:hAnsi="Palatino Linotype"/>
          <w:sz w:val="20"/>
        </w:rPr>
        <w:t>us</w:t>
      </w:r>
      <w:r w:rsidR="007D34FC" w:rsidRPr="00C7014F">
        <w:rPr>
          <w:rFonts w:ascii="Palatino Linotype" w:hAnsi="Palatino Linotype"/>
          <w:sz w:val="20"/>
        </w:rPr>
        <w:t>es</w:t>
      </w:r>
      <w:r w:rsidRPr="00C7014F">
        <w:rPr>
          <w:rFonts w:ascii="Palatino Linotype" w:hAnsi="Palatino Linotype"/>
          <w:sz w:val="20"/>
        </w:rPr>
        <w:t xml:space="preserve"> the scans with full coverage of the lunar surface as described by Eq. (4). Figures 2 (a) and (b) show </w:t>
      </w:r>
      <w:r w:rsidR="007D34FC" w:rsidRPr="00C7014F">
        <w:rPr>
          <w:rFonts w:ascii="Palatino Linotype" w:hAnsi="Palatino Linotype"/>
          <w:sz w:val="20"/>
        </w:rPr>
        <w:t xml:space="preserve">examples of the </w:t>
      </w:r>
      <w:r w:rsidRPr="00C7014F">
        <w:rPr>
          <w:rFonts w:ascii="Palatino Linotype" w:hAnsi="Palatino Linotype"/>
          <w:sz w:val="20"/>
        </w:rPr>
        <w:t xml:space="preserve">lunar images acquired by Aqua MODIS bands 1 and 8 during the scheduled lunar observation on January 24, 2021. Also shown in </w:t>
      </w:r>
      <w:r w:rsidR="00AE65ED" w:rsidRPr="00C7014F">
        <w:rPr>
          <w:rFonts w:ascii="Palatino Linotype" w:hAnsi="Palatino Linotype"/>
          <w:sz w:val="20"/>
        </w:rPr>
        <w:t>F</w:t>
      </w:r>
      <w:r w:rsidRPr="00C7014F">
        <w:rPr>
          <w:rFonts w:ascii="Palatino Linotype" w:hAnsi="Palatino Linotype"/>
          <w:sz w:val="20"/>
        </w:rPr>
        <w:t xml:space="preserve">igure </w:t>
      </w:r>
      <w:r w:rsidR="007D34FC" w:rsidRPr="00C7014F">
        <w:rPr>
          <w:rFonts w:ascii="Palatino Linotype" w:hAnsi="Palatino Linotype"/>
          <w:sz w:val="20"/>
        </w:rPr>
        <w:t xml:space="preserve">2 are </w:t>
      </w:r>
      <w:r w:rsidRPr="00C7014F">
        <w:rPr>
          <w:rFonts w:ascii="Palatino Linotype" w:hAnsi="Palatino Linotype"/>
          <w:sz w:val="20"/>
        </w:rPr>
        <w:t xml:space="preserve">the </w:t>
      </w:r>
      <w:r w:rsidR="007D34FC" w:rsidRPr="00C7014F">
        <w:rPr>
          <w:rFonts w:ascii="Palatino Linotype" w:hAnsi="Palatino Linotype"/>
          <w:sz w:val="20"/>
        </w:rPr>
        <w:t xml:space="preserve">lunar images acquired by the </w:t>
      </w:r>
      <w:r w:rsidRPr="00C7014F">
        <w:rPr>
          <w:rFonts w:ascii="Palatino Linotype" w:hAnsi="Palatino Linotype"/>
          <w:sz w:val="20"/>
        </w:rPr>
        <w:t>SNPP VIIRS on the same day</w:t>
      </w:r>
      <w:r w:rsidR="007D34FC" w:rsidRPr="00C7014F">
        <w:rPr>
          <w:rFonts w:ascii="Palatino Linotype" w:hAnsi="Palatino Linotype"/>
          <w:sz w:val="20"/>
        </w:rPr>
        <w:t xml:space="preserve"> for its band</w:t>
      </w:r>
      <w:r w:rsidR="00867956" w:rsidRPr="00C7014F">
        <w:rPr>
          <w:rFonts w:ascii="Palatino Linotype" w:hAnsi="Palatino Linotype"/>
          <w:sz w:val="20"/>
        </w:rPr>
        <w:t>s</w:t>
      </w:r>
      <w:r w:rsidR="007D34FC" w:rsidRPr="00C7014F">
        <w:rPr>
          <w:rFonts w:ascii="Palatino Linotype" w:hAnsi="Palatino Linotype"/>
          <w:sz w:val="20"/>
        </w:rPr>
        <w:t xml:space="preserve"> I1 (c) and M1 (d)</w:t>
      </w:r>
      <w:r w:rsidRPr="00C7014F">
        <w:rPr>
          <w:rFonts w:ascii="Palatino Linotype" w:hAnsi="Palatino Linotype"/>
          <w:sz w:val="20"/>
        </w:rPr>
        <w:t xml:space="preserve">. </w:t>
      </w:r>
    </w:p>
    <w:p w14:paraId="5B56D389" w14:textId="77777777" w:rsidR="004A2E39" w:rsidRPr="00C7014F" w:rsidRDefault="004A2E39" w:rsidP="004A2E39">
      <w:pPr>
        <w:spacing w:after="120"/>
        <w:jc w:val="both"/>
        <w:rPr>
          <w:rFonts w:ascii="Palatino Linotype" w:hAnsi="Palatino Linotype"/>
          <w:sz w:val="20"/>
        </w:rPr>
      </w:pPr>
      <w:r w:rsidRPr="00C7014F">
        <w:rPr>
          <w:rFonts w:ascii="Palatino Linotype" w:hAnsi="Palatino Linotype"/>
          <w:noProof/>
          <w:sz w:val="20"/>
        </w:rPr>
        <w:drawing>
          <wp:inline distT="0" distB="0" distL="0" distR="0" wp14:anchorId="09237FD2" wp14:editId="31EB422E">
            <wp:extent cx="5943600" cy="145904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59042"/>
                    </a:xfrm>
                    <a:prstGeom prst="rect">
                      <a:avLst/>
                    </a:prstGeom>
                    <a:noFill/>
                    <a:ln>
                      <a:noFill/>
                    </a:ln>
                  </pic:spPr>
                </pic:pic>
              </a:graphicData>
            </a:graphic>
          </wp:inline>
        </w:drawing>
      </w:r>
    </w:p>
    <w:p w14:paraId="2CFE2263" w14:textId="77777777" w:rsidR="004A2E39" w:rsidRPr="00C7014F" w:rsidRDefault="00DA27E2" w:rsidP="008633FE">
      <w:pPr>
        <w:spacing w:after="120"/>
        <w:ind w:left="180" w:right="180"/>
        <w:jc w:val="both"/>
        <w:rPr>
          <w:rFonts w:ascii="Palatino Linotype" w:hAnsi="Palatino Linotype"/>
          <w:sz w:val="20"/>
        </w:rPr>
      </w:pPr>
      <w:r w:rsidRPr="00C7014F">
        <w:rPr>
          <w:rFonts w:ascii="Palatino Linotype" w:hAnsi="Palatino Linotype"/>
          <w:sz w:val="20"/>
        </w:rPr>
        <w:t xml:space="preserve">Figure </w:t>
      </w:r>
      <w:r w:rsidR="004A2E39" w:rsidRPr="00C7014F">
        <w:rPr>
          <w:rFonts w:ascii="Palatino Linotype" w:hAnsi="Palatino Linotype"/>
          <w:sz w:val="20"/>
        </w:rPr>
        <w:t xml:space="preserve">2. Lunar images acquired on January 24, 2021. (a) Aqua MODIS band 1. (b) Aqua MODIS band 8. (c) SNPP VIIRS band I1. (d) SNPP VIIRS band M1. In (d), the pixel aspect ratio is set to 3:1 in order to produce a circular Moon image. </w:t>
      </w:r>
    </w:p>
    <w:p w14:paraId="2C79EDDB" w14:textId="5286392E" w:rsidR="004A2E39" w:rsidRPr="00C7014F" w:rsidRDefault="000300BD" w:rsidP="004A2E39">
      <w:pPr>
        <w:spacing w:before="120" w:after="120"/>
        <w:jc w:val="both"/>
        <w:rPr>
          <w:rFonts w:ascii="Palatino Linotype" w:hAnsi="Palatino Linotype"/>
          <w:sz w:val="20"/>
          <w:highlight w:val="yellow"/>
        </w:rPr>
      </w:pPr>
      <w:r w:rsidRPr="00C7014F">
        <w:rPr>
          <w:rFonts w:ascii="Palatino Linotype" w:hAnsi="Palatino Linotype"/>
          <w:sz w:val="20"/>
        </w:rPr>
        <w:t>By comparing the integrated lunar irradiance predicted by the ROLO model (</w:t>
      </w:r>
      <w:r w:rsidRPr="00C7014F">
        <w:rPr>
          <w:rFonts w:ascii="Palatino Linotype" w:hAnsi="Palatino Linotype"/>
          <w:i/>
          <w:sz w:val="20"/>
        </w:rPr>
        <w:t>I</w:t>
      </w:r>
      <w:r w:rsidRPr="00C7014F">
        <w:rPr>
          <w:rFonts w:ascii="Palatino Linotype" w:hAnsi="Palatino Linotype"/>
          <w:i/>
          <w:sz w:val="20"/>
          <w:vertAlign w:val="superscript"/>
        </w:rPr>
        <w:t>ROLO</w:t>
      </w:r>
      <w:r w:rsidR="005578DC" w:rsidRPr="00C7014F">
        <w:rPr>
          <w:rFonts w:ascii="Palatino Linotype" w:hAnsi="Palatino Linotype"/>
          <w:sz w:val="20"/>
        </w:rPr>
        <w:t xml:space="preserve">) with that </w:t>
      </w:r>
      <w:r w:rsidRPr="00C7014F">
        <w:rPr>
          <w:rFonts w:ascii="Palatino Linotype" w:hAnsi="Palatino Linotype"/>
          <w:sz w:val="20"/>
        </w:rPr>
        <w:t>measured by the MO</w:t>
      </w:r>
      <w:r w:rsidR="007D59E9" w:rsidRPr="00C7014F">
        <w:rPr>
          <w:rFonts w:ascii="Palatino Linotype" w:hAnsi="Palatino Linotype"/>
          <w:sz w:val="20"/>
        </w:rPr>
        <w:t xml:space="preserve">DIS using Eq. (4), </w:t>
      </w:r>
      <w:r w:rsidR="009165EA" w:rsidRPr="00C7014F">
        <w:rPr>
          <w:rFonts w:ascii="Palatino Linotype" w:hAnsi="Palatino Linotype"/>
          <w:sz w:val="20"/>
        </w:rPr>
        <w:t xml:space="preserve">the band-averaged calibration coefficient, </w:t>
      </w:r>
      <m:oMath>
        <m:sSubSup>
          <m:sSubSupPr>
            <m:ctrlPr>
              <w:rPr>
                <w:rFonts w:ascii="Cambria Math" w:hAnsi="Cambria Math"/>
                <w:i/>
                <w:sz w:val="20"/>
              </w:rPr>
            </m:ctrlPr>
          </m:sSubSupPr>
          <m:e>
            <m:r>
              <w:rPr>
                <w:rFonts w:ascii="Cambria Math" w:hAnsi="Cambria Math"/>
                <w:sz w:val="20"/>
              </w:rPr>
              <m:t>m</m:t>
            </m:r>
          </m:e>
          <m:sub>
            <m:r>
              <w:rPr>
                <w:rFonts w:ascii="Cambria Math" w:hAnsi="Cambria Math"/>
                <w:sz w:val="20"/>
              </w:rPr>
              <m:t>1</m:t>
            </m:r>
          </m:sub>
          <m:sup>
            <m:r>
              <w:rPr>
                <w:rFonts w:ascii="Cambria Math" w:hAnsi="Cambria Math"/>
                <w:sz w:val="20"/>
              </w:rPr>
              <m:t>Moon</m:t>
            </m:r>
          </m:sup>
        </m:sSubSup>
      </m:oMath>
      <w:r w:rsidR="009165EA" w:rsidRPr="00C7014F">
        <w:rPr>
          <w:rFonts w:ascii="Palatino Linotype" w:hAnsi="Palatino Linotype"/>
          <w:sz w:val="20"/>
        </w:rPr>
        <w:t>, can be computed by</w:t>
      </w:r>
    </w:p>
    <w:p w14:paraId="5CA6C5BF" w14:textId="0C2C68F8" w:rsidR="004A2E39" w:rsidRPr="00C7014F" w:rsidRDefault="004A2E39" w:rsidP="004A2E39">
      <w:pPr>
        <w:spacing w:line="360" w:lineRule="auto"/>
        <w:rPr>
          <w:rFonts w:ascii="Palatino Linotype" w:hAnsi="Palatino Linotype"/>
          <w:sz w:val="20"/>
        </w:rPr>
      </w:pPr>
      <w:r w:rsidRPr="00C7014F">
        <w:rPr>
          <w:rFonts w:ascii="Palatino Linotype" w:hAnsi="Palatino Linotype"/>
          <w:sz w:val="20"/>
        </w:rPr>
        <w:t xml:space="preserve">                                                                                </w:t>
      </w:r>
      <m:oMath>
        <m:sSubSup>
          <m:sSubSupPr>
            <m:ctrlPr>
              <w:rPr>
                <w:rFonts w:ascii="Cambria Math" w:hAnsi="Cambria Math"/>
                <w:i/>
                <w:sz w:val="20"/>
                <w:szCs w:val="20"/>
              </w:rPr>
            </m:ctrlPr>
          </m:sSubSupPr>
          <m:e>
            <m:r>
              <w:rPr>
                <w:rFonts w:ascii="Cambria Math" w:hAnsi="Cambria Math"/>
                <w:sz w:val="20"/>
                <w:szCs w:val="20"/>
              </w:rPr>
              <m:t>m</m:t>
            </m:r>
          </m:e>
          <m:sub>
            <m:r>
              <w:rPr>
                <w:rFonts w:ascii="Cambria Math" w:hAnsi="Cambria Math"/>
                <w:sz w:val="20"/>
                <w:szCs w:val="20"/>
              </w:rPr>
              <m:t>1</m:t>
            </m:r>
          </m:sub>
          <m:sup>
            <m:r>
              <w:rPr>
                <w:rFonts w:ascii="Cambria Math" w:hAnsi="Cambria Math"/>
                <w:sz w:val="20"/>
                <w:szCs w:val="20"/>
              </w:rPr>
              <m:t>Moon</m:t>
            </m:r>
          </m:sup>
        </m:sSubSup>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NπRVS</m:t>
            </m:r>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ROLO</m:t>
                </m:r>
              </m:sup>
            </m:sSup>
            <m:d>
              <m:dPr>
                <m:begChr m:val="〈"/>
                <m:endChr m:val="〉"/>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m:t>
                    </m:r>
                  </m:sub>
                </m:sSub>
              </m:e>
            </m:d>
          </m:num>
          <m:den>
            <m:nary>
              <m:naryPr>
                <m:chr m:val="∑"/>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m</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m:t>
                    </m:r>
                  </m:sub>
                </m:sSub>
                <m:sSubSup>
                  <m:sSubSupPr>
                    <m:ctrlPr>
                      <w:rPr>
                        <w:rFonts w:ascii="Cambria Math" w:hAnsi="Cambria Math"/>
                        <w:i/>
                        <w:sz w:val="20"/>
                        <w:szCs w:val="20"/>
                      </w:rPr>
                    </m:ctrlPr>
                  </m:sSubSupPr>
                  <m:e>
                    <m:r>
                      <w:rPr>
                        <w:rFonts w:ascii="Cambria Math" w:hAnsi="Cambria Math"/>
                        <w:sz w:val="20"/>
                        <w:szCs w:val="20"/>
                      </w:rPr>
                      <m:t>dn</m:t>
                    </m:r>
                  </m:e>
                  <m:sub>
                    <m:r>
                      <w:rPr>
                        <w:rFonts w:ascii="Cambria Math" w:hAnsi="Cambria Math"/>
                        <w:sz w:val="20"/>
                        <w:szCs w:val="20"/>
                      </w:rPr>
                      <m:t>Moon</m:t>
                    </m:r>
                  </m:sub>
                  <m:sup>
                    <m:r>
                      <w:rPr>
                        <w:rFonts w:ascii="Cambria Math" w:hAnsi="Cambria Math"/>
                        <w:sz w:val="20"/>
                        <w:szCs w:val="20"/>
                      </w:rPr>
                      <m:t>*</m:t>
                    </m:r>
                  </m:sup>
                </m:sSubSup>
              </m:e>
            </m:nary>
            <m:r>
              <w:rPr>
                <w:rFonts w:ascii="Cambria Math" w:hAnsi="Cambria Math"/>
                <w:sz w:val="20"/>
                <w:szCs w:val="20"/>
              </w:rPr>
              <m:t>ω</m:t>
            </m:r>
          </m:den>
        </m:f>
      </m:oMath>
      <w:r w:rsidRPr="00C7014F">
        <w:rPr>
          <w:rFonts w:ascii="Palatino Linotype" w:hAnsi="Palatino Linotype"/>
          <w:sz w:val="20"/>
        </w:rPr>
        <w:t xml:space="preserve"> ,  </w:t>
      </w:r>
      <w:r w:rsidR="00754A88" w:rsidRPr="00C7014F">
        <w:rPr>
          <w:rFonts w:ascii="Palatino Linotype" w:hAnsi="Palatino Linotype"/>
          <w:sz w:val="20"/>
        </w:rPr>
        <w:tab/>
      </w:r>
      <w:r w:rsidR="00754A88" w:rsidRPr="00C7014F">
        <w:rPr>
          <w:rFonts w:ascii="Palatino Linotype" w:hAnsi="Palatino Linotype"/>
          <w:sz w:val="20"/>
        </w:rPr>
        <w:tab/>
      </w:r>
      <w:r w:rsidR="00754A88" w:rsidRPr="00C7014F">
        <w:rPr>
          <w:rFonts w:ascii="Palatino Linotype" w:hAnsi="Palatino Linotype"/>
          <w:sz w:val="20"/>
        </w:rPr>
        <w:tab/>
      </w:r>
      <w:r w:rsidRPr="00C7014F">
        <w:rPr>
          <w:rFonts w:ascii="Palatino Linotype" w:hAnsi="Palatino Linotype"/>
          <w:sz w:val="20"/>
        </w:rPr>
        <w:t>(5)</w:t>
      </w:r>
    </w:p>
    <w:p w14:paraId="04FD0C67" w14:textId="10EB6889"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where </w:t>
      </w:r>
      <m:oMath>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m</m:t>
                </m:r>
              </m:e>
              <m:sub>
                <m:r>
                  <w:rPr>
                    <w:rFonts w:ascii="Cambria Math" w:hAnsi="Cambria Math"/>
                    <w:sz w:val="20"/>
                  </w:rPr>
                  <m:t>1</m:t>
                </m:r>
              </m:sub>
            </m:sSub>
          </m:e>
        </m:d>
      </m:oMath>
      <w:r w:rsidRPr="00C7014F">
        <w:rPr>
          <w:rFonts w:ascii="Palatino Linotype" w:hAnsi="Palatino Linotype"/>
          <w:sz w:val="20"/>
        </w:rPr>
        <w:t xml:space="preserve"> indicates an average over all detectors of the band. It should be emphasized that the </w:t>
      </w:r>
      <w:r w:rsidRPr="00C7014F">
        <w:rPr>
          <w:rFonts w:ascii="Palatino Linotype" w:hAnsi="Palatino Linotype"/>
          <w:i/>
          <w:iCs/>
          <w:sz w:val="20"/>
        </w:rPr>
        <w:t>m</w:t>
      </w:r>
      <w:r w:rsidRPr="00C7014F">
        <w:rPr>
          <w:rFonts w:ascii="Palatino Linotype" w:hAnsi="Palatino Linotype"/>
          <w:i/>
          <w:iCs/>
          <w:sz w:val="20"/>
          <w:vertAlign w:val="subscript"/>
        </w:rPr>
        <w:t>1</w:t>
      </w:r>
      <w:r w:rsidRPr="00C7014F">
        <w:rPr>
          <w:rFonts w:ascii="Palatino Linotype" w:hAnsi="Palatino Linotype"/>
          <w:sz w:val="20"/>
        </w:rPr>
        <w:t xml:space="preserve"> on </w:t>
      </w:r>
      <w:r w:rsidR="00514CBE" w:rsidRPr="00C7014F">
        <w:rPr>
          <w:rFonts w:ascii="Palatino Linotype" w:hAnsi="Palatino Linotype"/>
          <w:sz w:val="20"/>
        </w:rPr>
        <w:t xml:space="preserve">the </w:t>
      </w:r>
      <w:r w:rsidRPr="00C7014F">
        <w:rPr>
          <w:rFonts w:ascii="Palatino Linotype" w:hAnsi="Palatino Linotype"/>
          <w:sz w:val="20"/>
        </w:rPr>
        <w:t>right side of Eq. (5) are the calibration coefficients derived from the first SD on-orbit calibration. To calibrate the RSB using the Moon, a reference for the lunar irradiance is required. In this analysis, the lunar irradiance for each calibration in Eq. (5) is provided by the Robotic Lunar Observatory (ROLO) model prediction, developed by the USGS [</w:t>
      </w:r>
      <w:r w:rsidR="00645A39" w:rsidRPr="00C7014F">
        <w:rPr>
          <w:rFonts w:ascii="Palatino Linotype" w:hAnsi="Palatino Linotype"/>
          <w:sz w:val="20"/>
        </w:rPr>
        <w:t>30-32</w:t>
      </w:r>
      <w:r w:rsidRPr="00C7014F">
        <w:rPr>
          <w:rFonts w:ascii="Palatino Linotype" w:hAnsi="Palatino Linotype"/>
          <w:sz w:val="20"/>
        </w:rPr>
        <w:t xml:space="preserve">]. Since the absolute uncertainty </w:t>
      </w:r>
      <w:r w:rsidR="00FA6710" w:rsidRPr="00C7014F">
        <w:rPr>
          <w:rFonts w:ascii="Palatino Linotype" w:hAnsi="Palatino Linotype"/>
          <w:sz w:val="20"/>
        </w:rPr>
        <w:t>of the current ROLO lunar mode</w:t>
      </w:r>
      <w:r w:rsidR="00514067" w:rsidRPr="00C7014F">
        <w:rPr>
          <w:rFonts w:ascii="Palatino Linotype" w:hAnsi="Palatino Linotype"/>
          <w:sz w:val="20"/>
        </w:rPr>
        <w:t>l</w:t>
      </w:r>
      <w:r w:rsidR="00FA6710" w:rsidRPr="00C7014F">
        <w:rPr>
          <w:rFonts w:ascii="Palatino Linotype" w:hAnsi="Palatino Linotype"/>
          <w:sz w:val="20"/>
        </w:rPr>
        <w:t xml:space="preserve"> </w:t>
      </w:r>
      <w:r w:rsidRPr="00C7014F">
        <w:rPr>
          <w:rFonts w:ascii="Palatino Linotype" w:hAnsi="Palatino Linotype"/>
          <w:sz w:val="20"/>
        </w:rPr>
        <w:t xml:space="preserve">is larger than the MODIS calibration specification of 2%, </w:t>
      </w:r>
      <w:r w:rsidR="00514067" w:rsidRPr="00C7014F">
        <w:rPr>
          <w:rFonts w:ascii="Palatino Linotype" w:hAnsi="Palatino Linotype"/>
          <w:sz w:val="20"/>
        </w:rPr>
        <w:t xml:space="preserve">the </w:t>
      </w:r>
      <w:r w:rsidRPr="00C7014F">
        <w:rPr>
          <w:rFonts w:ascii="Palatino Linotype" w:hAnsi="Palatino Linotype"/>
          <w:sz w:val="20"/>
        </w:rPr>
        <w:t>MODIS lunar calibration is only used to track the RSB on-orbit changes</w:t>
      </w:r>
      <w:r w:rsidR="0089306E" w:rsidRPr="00C7014F">
        <w:rPr>
          <w:rFonts w:ascii="Palatino Linotype" w:hAnsi="Palatino Linotype"/>
          <w:sz w:val="20"/>
        </w:rPr>
        <w:t xml:space="preserve">. In this case, the </w:t>
      </w:r>
      <w:r w:rsidRPr="00C7014F">
        <w:rPr>
          <w:rFonts w:ascii="Palatino Linotype" w:hAnsi="Palatino Linotype"/>
          <w:sz w:val="20"/>
        </w:rPr>
        <w:t>constant</w:t>
      </w:r>
      <w:r w:rsidR="007F4DB2" w:rsidRPr="00C7014F">
        <w:rPr>
          <w:rFonts w:ascii="Palatino Linotype" w:hAnsi="Palatino Linotype"/>
          <w:sz w:val="20"/>
        </w:rPr>
        <w:t xml:space="preserve"> term</w:t>
      </w:r>
      <w:r w:rsidRPr="00C7014F">
        <w:rPr>
          <w:rFonts w:ascii="Palatino Linotype" w:hAnsi="Palatino Linotype"/>
          <w:sz w:val="20"/>
        </w:rPr>
        <w:t xml:space="preserve">s </w:t>
      </w:r>
      <w:r w:rsidR="0089306E" w:rsidRPr="00C7014F">
        <w:rPr>
          <w:rFonts w:ascii="Palatino Linotype" w:hAnsi="Palatino Linotype"/>
          <w:sz w:val="20"/>
        </w:rPr>
        <w:t>in E</w:t>
      </w:r>
      <w:r w:rsidR="00514067" w:rsidRPr="00C7014F">
        <w:rPr>
          <w:rFonts w:ascii="Palatino Linotype" w:hAnsi="Palatino Linotype"/>
          <w:sz w:val="20"/>
        </w:rPr>
        <w:t>q</w:t>
      </w:r>
      <w:r w:rsidR="0089306E" w:rsidRPr="00C7014F">
        <w:rPr>
          <w:rFonts w:ascii="Palatino Linotype" w:hAnsi="Palatino Linotype"/>
          <w:sz w:val="20"/>
        </w:rPr>
        <w:t xml:space="preserve">. (5) </w:t>
      </w:r>
      <w:r w:rsidR="007F4DB2" w:rsidRPr="00C7014F">
        <w:rPr>
          <w:rFonts w:ascii="Palatino Linotype" w:hAnsi="Palatino Linotype"/>
          <w:sz w:val="20"/>
        </w:rPr>
        <w:t>can be</w:t>
      </w:r>
      <w:r w:rsidRPr="00C7014F">
        <w:rPr>
          <w:rFonts w:ascii="Palatino Linotype" w:hAnsi="Palatino Linotype"/>
          <w:sz w:val="20"/>
        </w:rPr>
        <w:t xml:space="preserve"> </w:t>
      </w:r>
      <w:r w:rsidR="0089306E" w:rsidRPr="00C7014F">
        <w:rPr>
          <w:rFonts w:ascii="Palatino Linotype" w:hAnsi="Palatino Linotype"/>
          <w:sz w:val="20"/>
        </w:rPr>
        <w:t>omitted in routine data processing</w:t>
      </w:r>
      <w:r w:rsidRPr="00C7014F">
        <w:rPr>
          <w:rFonts w:ascii="Palatino Linotype" w:hAnsi="Palatino Linotype"/>
          <w:sz w:val="20"/>
        </w:rPr>
        <w:t>.  [</w:t>
      </w:r>
      <w:r w:rsidR="007F3693" w:rsidRPr="00C7014F">
        <w:rPr>
          <w:rFonts w:ascii="Palatino Linotype" w:hAnsi="Palatino Linotype"/>
          <w:sz w:val="20"/>
        </w:rPr>
        <w:t>27</w:t>
      </w:r>
      <w:r w:rsidRPr="00C7014F">
        <w:rPr>
          <w:rFonts w:ascii="Palatino Linotype" w:hAnsi="Palatino Linotype"/>
          <w:sz w:val="20"/>
        </w:rPr>
        <w:t>]</w:t>
      </w:r>
    </w:p>
    <w:p w14:paraId="7AD180FD" w14:textId="147B578D"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Among the RSBs, bands 13-16 partially saturate when they observe the Moon.  This saturation occurs at the center part of the illuminated lunar surface, which is typically at the highest radiance levels.  To correct for saturation, a ratio approach is applied to replace the saturated pixels using band 18 as a reference band. [</w:t>
      </w:r>
      <w:r w:rsidR="006C7902" w:rsidRPr="00C7014F">
        <w:rPr>
          <w:rFonts w:ascii="Palatino Linotype" w:hAnsi="Palatino Linotype"/>
          <w:sz w:val="20"/>
        </w:rPr>
        <w:t>48</w:t>
      </w:r>
      <w:r w:rsidRPr="00C7014F">
        <w:rPr>
          <w:rFonts w:ascii="Palatino Linotype" w:hAnsi="Palatino Linotype"/>
          <w:sz w:val="20"/>
        </w:rPr>
        <w:t>] To obtain the ratio, the saturated band data is plotted versus the spatially co-regist</w:t>
      </w:r>
      <w:r w:rsidR="0071391E" w:rsidRPr="00C7014F">
        <w:rPr>
          <w:rFonts w:ascii="Palatino Linotype" w:hAnsi="Palatino Linotype"/>
          <w:sz w:val="20"/>
        </w:rPr>
        <w:t xml:space="preserve">ered reference band </w:t>
      </w:r>
      <w:r w:rsidRPr="00C7014F">
        <w:rPr>
          <w:rFonts w:ascii="Palatino Linotype" w:hAnsi="Palatino Linotype"/>
          <w:sz w:val="20"/>
        </w:rPr>
        <w:t>data at the pixel level and fit to a linear equation for all unsaturated pixels, where the slope represents t</w:t>
      </w:r>
      <w:r w:rsidR="005D2AAF" w:rsidRPr="00C7014F">
        <w:rPr>
          <w:rFonts w:ascii="Palatino Linotype" w:hAnsi="Palatino Linotype"/>
          <w:sz w:val="20"/>
        </w:rPr>
        <w:t>he ratio between the two bands.</w:t>
      </w:r>
      <w:r w:rsidRPr="00C7014F">
        <w:rPr>
          <w:rFonts w:ascii="Palatino Linotype" w:hAnsi="Palatino Linotype"/>
          <w:sz w:val="20"/>
        </w:rPr>
        <w:t xml:space="preserve"> The saturated data can then be r</w:t>
      </w:r>
      <w:r w:rsidR="005D2AAF" w:rsidRPr="00C7014F">
        <w:rPr>
          <w:rFonts w:ascii="Palatino Linotype" w:hAnsi="Palatino Linotype"/>
          <w:sz w:val="20"/>
        </w:rPr>
        <w:t>eplaced by multiplying the reference band</w:t>
      </w:r>
      <w:r w:rsidRPr="00C7014F">
        <w:rPr>
          <w:rFonts w:ascii="Palatino Linotype" w:hAnsi="Palatino Linotype"/>
          <w:sz w:val="20"/>
        </w:rPr>
        <w:t xml:space="preserve"> data by the ratio at the location of the saturated pixels. For SWIR bands, there are strong crosstalk contaminations among themselves and from mid-wave infrared bands as well as the large</w:t>
      </w:r>
      <w:r w:rsidR="0006493B" w:rsidRPr="00C7014F">
        <w:rPr>
          <w:rFonts w:ascii="Palatino Linotype" w:hAnsi="Palatino Linotype"/>
          <w:sz w:val="20"/>
        </w:rPr>
        <w:t xml:space="preserve"> </w:t>
      </w:r>
      <w:r w:rsidR="0006493B" w:rsidRPr="00C7014F">
        <w:rPr>
          <w:rFonts w:ascii="Palatino Linotype" w:eastAsia="Calibri" w:hAnsi="Palatino Linotype"/>
          <w:sz w:val="20"/>
        </w:rPr>
        <w:t>out-of-band</w:t>
      </w:r>
      <w:r w:rsidRPr="00C7014F">
        <w:rPr>
          <w:rFonts w:ascii="Palatino Linotype" w:hAnsi="Palatino Linotype"/>
          <w:sz w:val="20"/>
        </w:rPr>
        <w:t xml:space="preserve"> </w:t>
      </w:r>
      <w:r w:rsidR="0006493B" w:rsidRPr="00C7014F">
        <w:rPr>
          <w:rFonts w:ascii="Palatino Linotype" w:hAnsi="Palatino Linotype"/>
          <w:sz w:val="20"/>
        </w:rPr>
        <w:t>(</w:t>
      </w:r>
      <w:r w:rsidRPr="00C7014F">
        <w:rPr>
          <w:rFonts w:ascii="Palatino Linotype" w:hAnsi="Palatino Linotype"/>
          <w:sz w:val="20"/>
        </w:rPr>
        <w:t>OOB</w:t>
      </w:r>
      <w:r w:rsidR="0006493B" w:rsidRPr="00C7014F">
        <w:rPr>
          <w:rFonts w:ascii="Palatino Linotype" w:hAnsi="Palatino Linotype"/>
          <w:sz w:val="20"/>
        </w:rPr>
        <w:t>)</w:t>
      </w:r>
      <w:r w:rsidRPr="00C7014F">
        <w:rPr>
          <w:rFonts w:ascii="Palatino Linotype" w:hAnsi="Palatino Linotype"/>
          <w:sz w:val="20"/>
        </w:rPr>
        <w:t xml:space="preserve"> RSR contributions at the wavelength of 5.</w:t>
      </w:r>
      <w:r w:rsidR="00777502" w:rsidRPr="00C7014F">
        <w:rPr>
          <w:rFonts w:ascii="Palatino Linotype" w:hAnsi="Palatino Linotype"/>
          <w:sz w:val="20"/>
        </w:rPr>
        <w:t>3</w:t>
      </w:r>
      <w:r w:rsidRPr="00C7014F">
        <w:rPr>
          <w:rFonts w:ascii="Palatino Linotype" w:hAnsi="Palatino Linotype"/>
          <w:sz w:val="20"/>
        </w:rPr>
        <w:t xml:space="preserve"> µm. These contaminations need to be mitigated before the calculation of the lunar irradiance using Eq. (4). Accurate mitigation of these effects is still a challenging </w:t>
      </w:r>
      <w:r w:rsidRPr="00C7014F">
        <w:rPr>
          <w:rFonts w:ascii="Palatino Linotype" w:hAnsi="Palatino Linotype"/>
          <w:sz w:val="20"/>
        </w:rPr>
        <w:lastRenderedPageBreak/>
        <w:t>issue and needs more effort</w:t>
      </w:r>
      <w:r w:rsidR="003549E3" w:rsidRPr="00C7014F">
        <w:rPr>
          <w:rFonts w:ascii="Palatino Linotype" w:hAnsi="Palatino Linotype"/>
          <w:sz w:val="20"/>
        </w:rPr>
        <w:t xml:space="preserve"> [</w:t>
      </w:r>
      <w:r w:rsidR="00193E74" w:rsidRPr="00C7014F">
        <w:rPr>
          <w:rFonts w:ascii="Palatino Linotype" w:hAnsi="Palatino Linotype"/>
          <w:sz w:val="20"/>
        </w:rPr>
        <w:t>49</w:t>
      </w:r>
      <w:r w:rsidR="003549E3" w:rsidRPr="00C7014F">
        <w:rPr>
          <w:rFonts w:ascii="Palatino Linotype" w:hAnsi="Palatino Linotype"/>
          <w:sz w:val="20"/>
        </w:rPr>
        <w:t>]</w:t>
      </w:r>
      <w:r w:rsidRPr="00C7014F">
        <w:rPr>
          <w:rFonts w:ascii="Palatino Linotype" w:hAnsi="Palatino Linotype"/>
          <w:sz w:val="20"/>
        </w:rPr>
        <w:t xml:space="preserve">. In this analysis, </w:t>
      </w:r>
      <w:r w:rsidR="005D2AAF" w:rsidRPr="00C7014F">
        <w:rPr>
          <w:rFonts w:ascii="Palatino Linotype" w:hAnsi="Palatino Linotype"/>
          <w:sz w:val="20"/>
        </w:rPr>
        <w:t>MODIS lunar calibration is mainly</w:t>
      </w:r>
      <w:r w:rsidRPr="00C7014F">
        <w:rPr>
          <w:rFonts w:ascii="Palatino Linotype" w:hAnsi="Palatino Linotype"/>
          <w:sz w:val="20"/>
        </w:rPr>
        <w:t xml:space="preserve"> focus</w:t>
      </w:r>
      <w:r w:rsidR="005D2AAF" w:rsidRPr="00C7014F">
        <w:rPr>
          <w:rFonts w:ascii="Palatino Linotype" w:hAnsi="Palatino Linotype"/>
          <w:sz w:val="20"/>
        </w:rPr>
        <w:t>ed</w:t>
      </w:r>
      <w:r w:rsidRPr="00C7014F">
        <w:rPr>
          <w:rFonts w:ascii="Palatino Linotype" w:hAnsi="Palatino Linotype"/>
          <w:sz w:val="20"/>
        </w:rPr>
        <w:t xml:space="preserve"> on the </w:t>
      </w:r>
      <w:r w:rsidR="0006493B" w:rsidRPr="00C7014F">
        <w:rPr>
          <w:rFonts w:ascii="Palatino Linotype" w:hAnsi="Palatino Linotype"/>
          <w:sz w:val="20"/>
        </w:rPr>
        <w:t xml:space="preserve">VIS </w:t>
      </w:r>
      <w:r w:rsidRPr="00C7014F">
        <w:rPr>
          <w:rFonts w:ascii="Palatino Linotype" w:hAnsi="Palatino Linotype"/>
          <w:sz w:val="20"/>
        </w:rPr>
        <w:t xml:space="preserve">and NIR </w:t>
      </w:r>
      <w:r w:rsidR="005D2AAF" w:rsidRPr="00C7014F">
        <w:rPr>
          <w:rFonts w:ascii="Palatino Linotype" w:hAnsi="Palatino Linotype"/>
          <w:sz w:val="20"/>
        </w:rPr>
        <w:t>bands</w:t>
      </w:r>
      <w:r w:rsidRPr="00C7014F">
        <w:rPr>
          <w:rFonts w:ascii="Palatino Linotype" w:hAnsi="Palatino Linotype"/>
          <w:sz w:val="20"/>
        </w:rPr>
        <w:t xml:space="preserve">.  </w:t>
      </w:r>
    </w:p>
    <w:p w14:paraId="524E653E" w14:textId="5ADA6595"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For MODIS RSB</w:t>
      </w:r>
      <w:r w:rsidR="00152E6D" w:rsidRPr="00C7014F">
        <w:rPr>
          <w:rFonts w:ascii="Palatino Linotype" w:hAnsi="Palatino Linotype"/>
          <w:sz w:val="20"/>
        </w:rPr>
        <w:t xml:space="preserve">s, the calibration coefficients, </w:t>
      </w:r>
      <w:r w:rsidR="00152E6D" w:rsidRPr="00C7014F">
        <w:rPr>
          <w:rFonts w:ascii="Palatino Linotype" w:hAnsi="Palatino Linotype"/>
          <w:i/>
          <w:iCs/>
          <w:sz w:val="20"/>
        </w:rPr>
        <w:t>m</w:t>
      </w:r>
      <w:r w:rsidR="00152E6D" w:rsidRPr="00C7014F">
        <w:rPr>
          <w:rFonts w:ascii="Palatino Linotype" w:hAnsi="Palatino Linotype"/>
          <w:i/>
          <w:iCs/>
          <w:sz w:val="20"/>
          <w:vertAlign w:val="subscript"/>
        </w:rPr>
        <w:t>1</w:t>
      </w:r>
      <w:r w:rsidR="00152E6D" w:rsidRPr="00C7014F">
        <w:rPr>
          <w:rFonts w:ascii="Palatino Linotype" w:hAnsi="Palatino Linotype"/>
          <w:sz w:val="20"/>
        </w:rPr>
        <w:t xml:space="preserve">, </w:t>
      </w:r>
      <w:r w:rsidRPr="00C7014F">
        <w:rPr>
          <w:rFonts w:ascii="Palatino Linotype" w:hAnsi="Palatino Linotype"/>
          <w:sz w:val="20"/>
        </w:rPr>
        <w:t xml:space="preserve">and the RVS are needed to produce the L1B products as shown in Eq. (1).  Due to non-uniformity of the SD degradation with respect to the incident and outgoing directions, the SD degradation measured </w:t>
      </w:r>
      <w:r w:rsidR="00152E6D" w:rsidRPr="00C7014F">
        <w:rPr>
          <w:rFonts w:ascii="Palatino Linotype" w:hAnsi="Palatino Linotype"/>
          <w:sz w:val="20"/>
        </w:rPr>
        <w:t>at</w:t>
      </w:r>
      <w:r w:rsidRPr="00C7014F">
        <w:rPr>
          <w:rFonts w:ascii="Palatino Linotype" w:hAnsi="Palatino Linotype"/>
          <w:sz w:val="20"/>
        </w:rPr>
        <w:t xml:space="preserve"> the SDSM </w:t>
      </w:r>
      <w:r w:rsidR="00152E6D" w:rsidRPr="00C7014F">
        <w:rPr>
          <w:rFonts w:ascii="Palatino Linotype" w:hAnsi="Palatino Linotype"/>
          <w:sz w:val="20"/>
        </w:rPr>
        <w:t xml:space="preserve">view direction </w:t>
      </w:r>
      <w:r w:rsidRPr="00C7014F">
        <w:rPr>
          <w:rFonts w:ascii="Palatino Linotype" w:hAnsi="Palatino Linotype"/>
          <w:sz w:val="20"/>
        </w:rPr>
        <w:t xml:space="preserve">may </w:t>
      </w:r>
      <w:r w:rsidR="00152E6D" w:rsidRPr="00C7014F">
        <w:rPr>
          <w:rFonts w:ascii="Palatino Linotype" w:hAnsi="Palatino Linotype"/>
          <w:sz w:val="20"/>
        </w:rPr>
        <w:t xml:space="preserve">deviate from </w:t>
      </w:r>
      <w:r w:rsidRPr="00C7014F">
        <w:rPr>
          <w:rFonts w:ascii="Palatino Linotype" w:hAnsi="Palatino Linotype"/>
          <w:sz w:val="20"/>
        </w:rPr>
        <w:t xml:space="preserve">that </w:t>
      </w:r>
      <w:r w:rsidR="00152E6D" w:rsidRPr="00C7014F">
        <w:rPr>
          <w:rFonts w:ascii="Palatino Linotype" w:hAnsi="Palatino Linotype"/>
          <w:sz w:val="20"/>
        </w:rPr>
        <w:t>at</w:t>
      </w:r>
      <w:r w:rsidRPr="00C7014F">
        <w:rPr>
          <w:rFonts w:ascii="Palatino Linotype" w:hAnsi="Palatino Linotype"/>
          <w:sz w:val="20"/>
        </w:rPr>
        <w:t xml:space="preserve"> the RSB view direction, resulting in a long-term bias in the calibration coefficients derived from the SD, especially for short wavelength RSB that have experienced </w:t>
      </w:r>
      <w:r w:rsidR="00152E6D" w:rsidRPr="00C7014F">
        <w:rPr>
          <w:rFonts w:ascii="Palatino Linotype" w:hAnsi="Palatino Linotype"/>
          <w:sz w:val="20"/>
        </w:rPr>
        <w:t xml:space="preserve">more </w:t>
      </w:r>
      <w:r w:rsidRPr="00C7014F">
        <w:rPr>
          <w:rFonts w:ascii="Palatino Linotype" w:hAnsi="Palatino Linotype"/>
          <w:sz w:val="20"/>
        </w:rPr>
        <w:t>significant degradation on-orbit. As a resu</w:t>
      </w:r>
      <w:r w:rsidR="004F69B7" w:rsidRPr="00C7014F">
        <w:rPr>
          <w:rFonts w:ascii="Palatino Linotype" w:hAnsi="Palatino Linotype"/>
          <w:sz w:val="20"/>
        </w:rPr>
        <w:t>lt, EV response trends from pseudo</w:t>
      </w:r>
      <w:r w:rsidRPr="00C7014F">
        <w:rPr>
          <w:rFonts w:ascii="Palatino Linotype" w:hAnsi="Palatino Linotype"/>
          <w:sz w:val="20"/>
        </w:rPr>
        <w:t xml:space="preserve">-invariant desert sites at the SD AOI are </w:t>
      </w:r>
      <w:r w:rsidR="00152E6D" w:rsidRPr="00C7014F">
        <w:rPr>
          <w:rFonts w:ascii="Palatino Linotype" w:hAnsi="Palatino Linotype"/>
          <w:sz w:val="20"/>
        </w:rPr>
        <w:t>used</w:t>
      </w:r>
      <w:r w:rsidRPr="00C7014F">
        <w:rPr>
          <w:rFonts w:ascii="Palatino Linotype" w:hAnsi="Palatino Linotype"/>
          <w:sz w:val="20"/>
        </w:rPr>
        <w:t xml:space="preserve"> to </w:t>
      </w:r>
      <w:r w:rsidR="00E55371" w:rsidRPr="00C7014F">
        <w:rPr>
          <w:rFonts w:ascii="Palatino Linotype" w:hAnsi="Palatino Linotype"/>
          <w:sz w:val="20"/>
        </w:rPr>
        <w:t xml:space="preserve">correct the </w:t>
      </w:r>
      <w:r w:rsidRPr="00C7014F">
        <w:rPr>
          <w:rFonts w:ascii="Palatino Linotype" w:hAnsi="Palatino Linotype"/>
          <w:sz w:val="20"/>
        </w:rPr>
        <w:t xml:space="preserve">long-term </w:t>
      </w:r>
      <w:r w:rsidR="00E55371" w:rsidRPr="00C7014F">
        <w:rPr>
          <w:rFonts w:ascii="Palatino Linotype" w:hAnsi="Palatino Linotype"/>
          <w:sz w:val="20"/>
        </w:rPr>
        <w:t xml:space="preserve">drifts in SD-based </w:t>
      </w:r>
      <w:r w:rsidRPr="00C7014F">
        <w:rPr>
          <w:rFonts w:ascii="Palatino Linotype" w:hAnsi="Palatino Linotype"/>
          <w:sz w:val="20"/>
        </w:rPr>
        <w:t xml:space="preserve">calibration coefficients </w:t>
      </w:r>
      <w:r w:rsidR="00E55371" w:rsidRPr="00C7014F">
        <w:rPr>
          <w:rFonts w:ascii="Palatino Linotype" w:hAnsi="Palatino Linotype"/>
          <w:sz w:val="20"/>
        </w:rPr>
        <w:t xml:space="preserve">for </w:t>
      </w:r>
      <w:r w:rsidR="00152E6D" w:rsidRPr="00C7014F">
        <w:rPr>
          <w:rFonts w:ascii="Palatino Linotype" w:hAnsi="Palatino Linotype"/>
          <w:sz w:val="20"/>
        </w:rPr>
        <w:t>t</w:t>
      </w:r>
      <w:r w:rsidRPr="00C7014F">
        <w:rPr>
          <w:rFonts w:ascii="Palatino Linotype" w:hAnsi="Palatino Linotype"/>
          <w:sz w:val="20"/>
        </w:rPr>
        <w:t xml:space="preserve">he short wavelength bands. Combination of the SD calibration results and EV response trends </w:t>
      </w:r>
      <w:r w:rsidR="004F69B7" w:rsidRPr="00C7014F">
        <w:rPr>
          <w:rFonts w:ascii="Palatino Linotype" w:hAnsi="Palatino Linotype"/>
          <w:sz w:val="20"/>
        </w:rPr>
        <w:t xml:space="preserve">at the same AOI </w:t>
      </w:r>
      <w:r w:rsidR="00914F93" w:rsidRPr="00C7014F">
        <w:rPr>
          <w:rFonts w:ascii="Palatino Linotype" w:hAnsi="Palatino Linotype"/>
          <w:sz w:val="20"/>
        </w:rPr>
        <w:t xml:space="preserve">help produce </w:t>
      </w:r>
      <w:r w:rsidRPr="00C7014F">
        <w:rPr>
          <w:rFonts w:ascii="Palatino Linotype" w:hAnsi="Palatino Linotype"/>
          <w:sz w:val="20"/>
        </w:rPr>
        <w:t xml:space="preserve">the calibration coefficients with both long-term accuracy and short-term </w:t>
      </w:r>
      <w:r w:rsidR="003B35DA" w:rsidRPr="00C7014F">
        <w:rPr>
          <w:rFonts w:ascii="Palatino Linotype" w:hAnsi="Palatino Linotype"/>
          <w:sz w:val="20"/>
        </w:rPr>
        <w:t>stability</w:t>
      </w:r>
      <w:r w:rsidRPr="00C7014F">
        <w:rPr>
          <w:rFonts w:ascii="Palatino Linotype" w:hAnsi="Palatino Linotype"/>
          <w:sz w:val="20"/>
        </w:rPr>
        <w:t>.   [</w:t>
      </w:r>
      <w:r w:rsidR="00F73E78" w:rsidRPr="00C7014F">
        <w:rPr>
          <w:rFonts w:ascii="Palatino Linotype" w:hAnsi="Palatino Linotype"/>
          <w:sz w:val="20"/>
        </w:rPr>
        <w:t>50</w:t>
      </w:r>
      <w:r w:rsidRPr="00C7014F">
        <w:rPr>
          <w:rFonts w:ascii="Palatino Linotype" w:hAnsi="Palatino Linotype"/>
          <w:sz w:val="20"/>
        </w:rPr>
        <w:t>]</w:t>
      </w:r>
    </w:p>
    <w:p w14:paraId="248ED4C4" w14:textId="661966B1" w:rsidR="000E0ADB"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MODIS RSBs view the SV, through which the Moon is </w:t>
      </w:r>
      <w:r w:rsidR="004F69B7" w:rsidRPr="00C7014F">
        <w:rPr>
          <w:rFonts w:ascii="Palatino Linotype" w:hAnsi="Palatino Linotype"/>
          <w:sz w:val="20"/>
        </w:rPr>
        <w:t xml:space="preserve">also </w:t>
      </w:r>
      <w:r w:rsidRPr="00C7014F">
        <w:rPr>
          <w:rFonts w:ascii="Palatino Linotype" w:hAnsi="Palatino Linotype"/>
          <w:sz w:val="20"/>
        </w:rPr>
        <w:t xml:space="preserve">observed, and the SD at different AOIs </w:t>
      </w:r>
      <w:r w:rsidR="00E46F3F" w:rsidRPr="00C7014F">
        <w:rPr>
          <w:rFonts w:ascii="Palatino Linotype" w:hAnsi="Palatino Linotype"/>
          <w:sz w:val="20"/>
        </w:rPr>
        <w:t>to</w:t>
      </w:r>
      <w:r w:rsidRPr="00C7014F">
        <w:rPr>
          <w:rFonts w:ascii="Palatino Linotype" w:hAnsi="Palatino Linotype"/>
          <w:sz w:val="20"/>
        </w:rPr>
        <w:t xml:space="preserve"> the scan mirror, one at 11.25° and the other at 50.25°. The trending differences of the two calibration results provide the information </w:t>
      </w:r>
      <w:r w:rsidR="003B5D15" w:rsidRPr="00C7014F">
        <w:rPr>
          <w:rFonts w:ascii="Palatino Linotype" w:hAnsi="Palatino Linotype"/>
          <w:sz w:val="20"/>
        </w:rPr>
        <w:t xml:space="preserve">that is directly </w:t>
      </w:r>
      <w:r w:rsidR="00E46F3F" w:rsidRPr="00C7014F">
        <w:rPr>
          <w:rFonts w:ascii="Palatino Linotype" w:hAnsi="Palatino Linotype"/>
          <w:sz w:val="20"/>
        </w:rPr>
        <w:t>related to</w:t>
      </w:r>
      <w:r w:rsidR="004F69B7" w:rsidRPr="00C7014F">
        <w:rPr>
          <w:rFonts w:ascii="Palatino Linotype" w:hAnsi="Palatino Linotype"/>
          <w:sz w:val="20"/>
        </w:rPr>
        <w:t xml:space="preserve"> </w:t>
      </w:r>
      <w:r w:rsidRPr="00C7014F">
        <w:rPr>
          <w:rFonts w:ascii="Palatino Linotype" w:hAnsi="Palatino Linotype"/>
          <w:sz w:val="20"/>
        </w:rPr>
        <w:t>on-orbit change</w:t>
      </w:r>
      <w:r w:rsidR="004F69B7" w:rsidRPr="00C7014F">
        <w:rPr>
          <w:rFonts w:ascii="Palatino Linotype" w:hAnsi="Palatino Linotype"/>
          <w:sz w:val="20"/>
        </w:rPr>
        <w:t xml:space="preserve">s in the RVS. </w:t>
      </w:r>
      <w:r w:rsidR="000B4D60" w:rsidRPr="00C7014F">
        <w:rPr>
          <w:rFonts w:ascii="Palatino Linotype" w:hAnsi="Palatino Linotype"/>
          <w:sz w:val="20"/>
        </w:rPr>
        <w:t xml:space="preserve">Figure </w:t>
      </w:r>
      <w:r w:rsidRPr="00C7014F">
        <w:rPr>
          <w:rFonts w:ascii="Palatino Linotype" w:hAnsi="Palatino Linotype"/>
          <w:sz w:val="20"/>
        </w:rPr>
        <w:t>3</w:t>
      </w:r>
      <w:r w:rsidR="00E46F3F" w:rsidRPr="00C7014F">
        <w:rPr>
          <w:rFonts w:ascii="Palatino Linotype" w:hAnsi="Palatino Linotype"/>
          <w:sz w:val="20"/>
        </w:rPr>
        <w:t xml:space="preserve"> shows </w:t>
      </w:r>
      <w:r w:rsidRPr="00C7014F">
        <w:rPr>
          <w:rFonts w:ascii="Palatino Linotype" w:hAnsi="Palatino Linotype"/>
          <w:sz w:val="20"/>
        </w:rPr>
        <w:t xml:space="preserve">the SD and lunar gain trending </w:t>
      </w:r>
      <w:r w:rsidR="003B5D15" w:rsidRPr="00C7014F">
        <w:rPr>
          <w:rFonts w:ascii="Palatino Linotype" w:hAnsi="Palatino Linotype"/>
          <w:sz w:val="20"/>
        </w:rPr>
        <w:t xml:space="preserve">for MODIS </w:t>
      </w:r>
      <w:r w:rsidRPr="00C7014F">
        <w:rPr>
          <w:rFonts w:ascii="Palatino Linotype" w:hAnsi="Palatino Linotype"/>
          <w:sz w:val="20"/>
        </w:rPr>
        <w:t>bands 1 and 8</w:t>
      </w:r>
      <w:r w:rsidR="003B5D15" w:rsidRPr="00C7014F">
        <w:rPr>
          <w:rFonts w:ascii="Palatino Linotype" w:hAnsi="Palatino Linotype"/>
          <w:sz w:val="20"/>
        </w:rPr>
        <w:t>.</w:t>
      </w:r>
      <w:r w:rsidRPr="00C7014F">
        <w:rPr>
          <w:rFonts w:ascii="Palatino Linotype" w:hAnsi="Palatino Linotype"/>
          <w:sz w:val="20"/>
        </w:rPr>
        <w:t xml:space="preserve"> </w:t>
      </w:r>
      <w:r w:rsidR="00E46F3F" w:rsidRPr="00C7014F">
        <w:rPr>
          <w:rFonts w:ascii="Palatino Linotype" w:hAnsi="Palatino Linotype"/>
          <w:sz w:val="20"/>
        </w:rPr>
        <w:t>For both Terra and Aqua MODIS, t</w:t>
      </w:r>
      <w:r w:rsidRPr="00C7014F">
        <w:rPr>
          <w:rFonts w:ascii="Palatino Linotype" w:hAnsi="Palatino Linotype"/>
          <w:sz w:val="20"/>
        </w:rPr>
        <w:t xml:space="preserve">he shortest wavelengths have experienced </w:t>
      </w:r>
      <w:r w:rsidR="007034C2" w:rsidRPr="00C7014F">
        <w:rPr>
          <w:rFonts w:ascii="Palatino Linotype" w:hAnsi="Palatino Linotype"/>
          <w:sz w:val="20"/>
        </w:rPr>
        <w:t xml:space="preserve">the </w:t>
      </w:r>
      <w:r w:rsidRPr="00C7014F">
        <w:rPr>
          <w:rFonts w:ascii="Palatino Linotype" w:hAnsi="Palatino Linotype"/>
          <w:sz w:val="20"/>
        </w:rPr>
        <w:t>most gain change</w:t>
      </w:r>
      <w:r w:rsidR="00E46F3F" w:rsidRPr="00C7014F">
        <w:rPr>
          <w:rFonts w:ascii="Palatino Linotype" w:hAnsi="Palatino Linotype"/>
          <w:sz w:val="20"/>
        </w:rPr>
        <w:t>s</w:t>
      </w:r>
      <w:r w:rsidR="003B5D15" w:rsidRPr="00C7014F">
        <w:rPr>
          <w:rFonts w:ascii="Palatino Linotype" w:hAnsi="Palatino Linotype"/>
          <w:sz w:val="20"/>
        </w:rPr>
        <w:t xml:space="preserve">. To date, the </w:t>
      </w:r>
      <w:r w:rsidRPr="00C7014F">
        <w:rPr>
          <w:rFonts w:ascii="Palatino Linotype" w:hAnsi="Palatino Linotype"/>
          <w:sz w:val="20"/>
        </w:rPr>
        <w:t xml:space="preserve">band 8 (412 nm) </w:t>
      </w:r>
      <w:r w:rsidR="003B5D15" w:rsidRPr="00C7014F">
        <w:rPr>
          <w:rFonts w:ascii="Palatino Linotype" w:hAnsi="Palatino Linotype"/>
          <w:sz w:val="20"/>
        </w:rPr>
        <w:t>gains have changed (decreased)</w:t>
      </w:r>
      <w:r w:rsidRPr="00C7014F">
        <w:rPr>
          <w:rFonts w:ascii="Palatino Linotype" w:hAnsi="Palatino Linotype"/>
          <w:sz w:val="20"/>
        </w:rPr>
        <w:t xml:space="preserve"> up to 40% for Terra MODIS and </w:t>
      </w:r>
      <w:r w:rsidR="002414C9" w:rsidRPr="00C7014F">
        <w:rPr>
          <w:rFonts w:ascii="Palatino Linotype" w:hAnsi="Palatino Linotype"/>
          <w:sz w:val="20"/>
        </w:rPr>
        <w:t xml:space="preserve">more than </w:t>
      </w:r>
      <w:r w:rsidRPr="00C7014F">
        <w:rPr>
          <w:rFonts w:ascii="Palatino Linotype" w:hAnsi="Palatino Linotype"/>
          <w:sz w:val="20"/>
        </w:rPr>
        <w:t xml:space="preserve">45% </w:t>
      </w:r>
      <w:r w:rsidR="002414C9" w:rsidRPr="00C7014F">
        <w:rPr>
          <w:rFonts w:ascii="Palatino Linotype" w:hAnsi="Palatino Linotype"/>
          <w:sz w:val="20"/>
        </w:rPr>
        <w:t xml:space="preserve">for </w:t>
      </w:r>
      <w:r w:rsidRPr="00C7014F">
        <w:rPr>
          <w:rFonts w:ascii="Palatino Linotype" w:hAnsi="Palatino Linotype"/>
          <w:sz w:val="20"/>
        </w:rPr>
        <w:t xml:space="preserve">Aqua MODIS </w:t>
      </w:r>
      <w:r w:rsidR="002414C9" w:rsidRPr="00C7014F">
        <w:rPr>
          <w:rFonts w:ascii="Palatino Linotype" w:hAnsi="Palatino Linotype"/>
          <w:sz w:val="20"/>
        </w:rPr>
        <w:t xml:space="preserve">based on their </w:t>
      </w:r>
      <w:r w:rsidR="004F69B7" w:rsidRPr="00C7014F">
        <w:rPr>
          <w:rFonts w:ascii="Palatino Linotype" w:hAnsi="Palatino Linotype"/>
          <w:sz w:val="20"/>
        </w:rPr>
        <w:t xml:space="preserve">SD and </w:t>
      </w:r>
      <w:r w:rsidRPr="00C7014F">
        <w:rPr>
          <w:rFonts w:ascii="Palatino Linotype" w:hAnsi="Palatino Linotype"/>
          <w:sz w:val="20"/>
        </w:rPr>
        <w:t xml:space="preserve">lunar </w:t>
      </w:r>
      <w:r w:rsidR="002414C9" w:rsidRPr="00C7014F">
        <w:rPr>
          <w:rFonts w:ascii="Palatino Linotype" w:hAnsi="Palatino Linotype"/>
          <w:sz w:val="20"/>
        </w:rPr>
        <w:t>calibration</w:t>
      </w:r>
      <w:r w:rsidR="004F69B7" w:rsidRPr="00C7014F">
        <w:rPr>
          <w:rFonts w:ascii="Palatino Linotype" w:hAnsi="Palatino Linotype"/>
          <w:sz w:val="20"/>
        </w:rPr>
        <w:t>s</w:t>
      </w:r>
      <w:r w:rsidRPr="00C7014F">
        <w:rPr>
          <w:rFonts w:ascii="Palatino Linotype" w:hAnsi="Palatino Linotype"/>
          <w:sz w:val="20"/>
        </w:rPr>
        <w:t xml:space="preserve">. In comparison, the NIR band 1 (646 nm) shows a gain change of less than 20%. The temporal divergence between the SD and lunar gain measurements is a result of the evolution of the </w:t>
      </w:r>
      <w:r w:rsidR="002414C9" w:rsidRPr="00C7014F">
        <w:rPr>
          <w:rFonts w:ascii="Palatino Linotype" w:hAnsi="Palatino Linotype"/>
          <w:sz w:val="20"/>
        </w:rPr>
        <w:t xml:space="preserve">on-orbit </w:t>
      </w:r>
      <w:r w:rsidRPr="00C7014F">
        <w:rPr>
          <w:rFonts w:ascii="Palatino Linotype" w:hAnsi="Palatino Linotype"/>
          <w:sz w:val="20"/>
        </w:rPr>
        <w:t>RVS</w:t>
      </w:r>
      <w:r w:rsidR="000E0ADB" w:rsidRPr="00C7014F">
        <w:rPr>
          <w:rFonts w:ascii="Palatino Linotype" w:hAnsi="Palatino Linotype"/>
          <w:sz w:val="20"/>
        </w:rPr>
        <w:t xml:space="preserve">. </w:t>
      </w:r>
      <w:r w:rsidR="00052226" w:rsidRPr="00C7014F">
        <w:rPr>
          <w:rFonts w:ascii="Palatino Linotype" w:hAnsi="Palatino Linotype"/>
          <w:sz w:val="20"/>
        </w:rPr>
        <w:t xml:space="preserve">Accurate characterization of on-orbit RVS </w:t>
      </w:r>
      <w:r w:rsidRPr="00C7014F">
        <w:rPr>
          <w:rFonts w:ascii="Palatino Linotype" w:hAnsi="Palatino Linotype"/>
          <w:sz w:val="20"/>
        </w:rPr>
        <w:t xml:space="preserve">is extremely important for MODIS RSB on-orbit calibration, especially </w:t>
      </w:r>
      <w:r w:rsidR="000E0ADB" w:rsidRPr="00C7014F">
        <w:rPr>
          <w:rFonts w:ascii="Palatino Linotype" w:hAnsi="Palatino Linotype"/>
          <w:sz w:val="20"/>
        </w:rPr>
        <w:t>for the short wavelength bands.</w:t>
      </w:r>
    </w:p>
    <w:p w14:paraId="1685237F" w14:textId="2D81F41F" w:rsidR="004A2E39" w:rsidRPr="00C7014F" w:rsidRDefault="004E09FB" w:rsidP="004A2E39">
      <w:pPr>
        <w:spacing w:before="120" w:after="120"/>
        <w:jc w:val="both"/>
        <w:rPr>
          <w:rFonts w:ascii="Palatino Linotype" w:hAnsi="Palatino Linotype"/>
          <w:sz w:val="20"/>
        </w:rPr>
      </w:pPr>
      <w:r w:rsidRPr="00C7014F">
        <w:rPr>
          <w:rFonts w:ascii="Palatino Linotype" w:hAnsi="Palatino Linotype"/>
          <w:sz w:val="20"/>
        </w:rPr>
        <w:t xml:space="preserve">Initially, </w:t>
      </w:r>
      <w:r w:rsidR="004A2E39" w:rsidRPr="00C7014F">
        <w:rPr>
          <w:rFonts w:ascii="Palatino Linotype" w:hAnsi="Palatino Linotype"/>
          <w:sz w:val="20"/>
        </w:rPr>
        <w:t>the RSB time-dependent RVS was derived by using the lunar and SD calibration differences with an approximation that the RVS on-orbit change for a given RSB is a lin</w:t>
      </w:r>
      <w:r w:rsidRPr="00C7014F">
        <w:rPr>
          <w:rFonts w:ascii="Palatino Linotype" w:hAnsi="Palatino Linotype"/>
          <w:sz w:val="20"/>
        </w:rPr>
        <w:t>ear function of the AOI</w:t>
      </w:r>
      <w:r w:rsidR="004A2E39" w:rsidRPr="00C7014F">
        <w:rPr>
          <w:rFonts w:ascii="Palatino Linotype" w:hAnsi="Palatino Linotype"/>
          <w:sz w:val="20"/>
        </w:rPr>
        <w:t xml:space="preserve">. </w:t>
      </w:r>
      <w:r w:rsidRPr="00C7014F">
        <w:rPr>
          <w:rFonts w:ascii="Palatino Linotype" w:hAnsi="Palatino Linotype"/>
          <w:sz w:val="20"/>
        </w:rPr>
        <w:t>As</w:t>
      </w:r>
      <w:r w:rsidR="00920781" w:rsidRPr="00C7014F">
        <w:rPr>
          <w:rFonts w:ascii="Palatino Linotype" w:hAnsi="Palatino Linotype"/>
          <w:sz w:val="20"/>
        </w:rPr>
        <w:t xml:space="preserve"> </w:t>
      </w:r>
      <w:r w:rsidR="007034C2" w:rsidRPr="00C7014F">
        <w:rPr>
          <w:rFonts w:ascii="Palatino Linotype" w:hAnsi="Palatino Linotype"/>
          <w:sz w:val="20"/>
        </w:rPr>
        <w:t>each</w:t>
      </w:r>
      <w:r w:rsidRPr="00C7014F">
        <w:rPr>
          <w:rFonts w:ascii="Palatino Linotype" w:hAnsi="Palatino Linotype"/>
          <w:sz w:val="20"/>
        </w:rPr>
        <w:t xml:space="preserve"> mission continues to operate beyond its design</w:t>
      </w:r>
      <w:r w:rsidR="005A4135" w:rsidRPr="00C7014F">
        <w:rPr>
          <w:rFonts w:ascii="Palatino Linotype" w:hAnsi="Palatino Linotype"/>
          <w:sz w:val="20"/>
        </w:rPr>
        <w:t>ed</w:t>
      </w:r>
      <w:r w:rsidRPr="00C7014F">
        <w:rPr>
          <w:rFonts w:ascii="Palatino Linotype" w:hAnsi="Palatino Linotype"/>
          <w:sz w:val="20"/>
        </w:rPr>
        <w:t xml:space="preserve"> life</w:t>
      </w:r>
      <w:r w:rsidR="005A4135" w:rsidRPr="00C7014F">
        <w:rPr>
          <w:rFonts w:ascii="Palatino Linotype" w:hAnsi="Palatino Linotype"/>
          <w:sz w:val="20"/>
        </w:rPr>
        <w:t>time</w:t>
      </w:r>
      <w:r w:rsidRPr="00C7014F">
        <w:rPr>
          <w:rFonts w:ascii="Palatino Linotype" w:hAnsi="Palatino Linotype"/>
          <w:sz w:val="20"/>
        </w:rPr>
        <w:t xml:space="preserve">, </w:t>
      </w:r>
      <w:r w:rsidR="004A2E39" w:rsidRPr="00C7014F">
        <w:rPr>
          <w:rFonts w:ascii="Palatino Linotype" w:hAnsi="Palatino Linotype"/>
          <w:sz w:val="20"/>
        </w:rPr>
        <w:t xml:space="preserve">this approximation </w:t>
      </w:r>
      <w:r w:rsidR="005A4135" w:rsidRPr="00C7014F">
        <w:rPr>
          <w:rFonts w:ascii="Palatino Linotype" w:hAnsi="Palatino Linotype"/>
          <w:sz w:val="20"/>
        </w:rPr>
        <w:t>no longer</w:t>
      </w:r>
      <w:r w:rsidR="000E1B37" w:rsidRPr="00C7014F">
        <w:rPr>
          <w:rFonts w:ascii="Palatino Linotype" w:hAnsi="Palatino Linotype"/>
          <w:sz w:val="20"/>
        </w:rPr>
        <w:t xml:space="preserve"> meet</w:t>
      </w:r>
      <w:r w:rsidR="005A4135" w:rsidRPr="00C7014F">
        <w:rPr>
          <w:rFonts w:ascii="Palatino Linotype" w:hAnsi="Palatino Linotype"/>
          <w:sz w:val="20"/>
        </w:rPr>
        <w:t>s the</w:t>
      </w:r>
      <w:r w:rsidR="000E1B37" w:rsidRPr="00C7014F">
        <w:rPr>
          <w:rFonts w:ascii="Palatino Linotype" w:hAnsi="Palatino Linotype"/>
          <w:sz w:val="20"/>
        </w:rPr>
        <w:t xml:space="preserve"> L1B calibration accuracy requirements</w:t>
      </w:r>
      <w:r w:rsidR="004A2E39" w:rsidRPr="00C7014F">
        <w:rPr>
          <w:rFonts w:ascii="Palatino Linotype" w:hAnsi="Palatino Linotype"/>
          <w:sz w:val="20"/>
        </w:rPr>
        <w:t>, especially at short wavelengths</w:t>
      </w:r>
      <w:r w:rsidR="000E1B37" w:rsidRPr="00C7014F">
        <w:rPr>
          <w:rFonts w:ascii="Palatino Linotype" w:hAnsi="Palatino Linotype"/>
          <w:sz w:val="20"/>
        </w:rPr>
        <w:t xml:space="preserve">. As a result, the </w:t>
      </w:r>
      <w:r w:rsidR="004A2E39" w:rsidRPr="00C7014F">
        <w:rPr>
          <w:rFonts w:ascii="Palatino Linotype" w:hAnsi="Palatino Linotype"/>
          <w:sz w:val="20"/>
        </w:rPr>
        <w:t xml:space="preserve">EV response trends at multiple AOIs </w:t>
      </w:r>
      <w:r w:rsidR="000E1B37" w:rsidRPr="00C7014F">
        <w:rPr>
          <w:rFonts w:ascii="Palatino Linotype" w:hAnsi="Palatino Linotype"/>
          <w:sz w:val="20"/>
        </w:rPr>
        <w:t xml:space="preserve">have been </w:t>
      </w:r>
      <w:r w:rsidR="004A2E39" w:rsidRPr="00C7014F">
        <w:rPr>
          <w:rFonts w:ascii="Palatino Linotype" w:hAnsi="Palatino Linotype"/>
          <w:sz w:val="20"/>
        </w:rPr>
        <w:t xml:space="preserve">used </w:t>
      </w:r>
      <w:r w:rsidR="000E1B37" w:rsidRPr="00C7014F">
        <w:rPr>
          <w:rFonts w:ascii="Palatino Linotype" w:hAnsi="Palatino Linotype"/>
          <w:sz w:val="20"/>
        </w:rPr>
        <w:t xml:space="preserve">together with </w:t>
      </w:r>
      <w:r w:rsidR="004A2E39" w:rsidRPr="00C7014F">
        <w:rPr>
          <w:rFonts w:ascii="Palatino Linotype" w:hAnsi="Palatino Linotype"/>
          <w:sz w:val="20"/>
        </w:rPr>
        <w:t xml:space="preserve">on-orbit </w:t>
      </w:r>
      <w:r w:rsidR="000E1B37" w:rsidRPr="00C7014F">
        <w:rPr>
          <w:rFonts w:ascii="Palatino Linotype" w:hAnsi="Palatino Linotype"/>
          <w:sz w:val="20"/>
        </w:rPr>
        <w:t xml:space="preserve">SD and </w:t>
      </w:r>
      <w:r w:rsidR="004A2E39" w:rsidRPr="00C7014F">
        <w:rPr>
          <w:rFonts w:ascii="Palatino Linotype" w:hAnsi="Palatino Linotype"/>
          <w:sz w:val="20"/>
        </w:rPr>
        <w:t xml:space="preserve">lunar measurements to </w:t>
      </w:r>
      <w:r w:rsidR="000E1B37" w:rsidRPr="00C7014F">
        <w:rPr>
          <w:rFonts w:ascii="Palatino Linotype" w:hAnsi="Palatino Linotype"/>
          <w:sz w:val="20"/>
        </w:rPr>
        <w:t>track on-orbit changes in</w:t>
      </w:r>
      <w:r w:rsidR="005A4135" w:rsidRPr="00C7014F">
        <w:rPr>
          <w:rFonts w:ascii="Palatino Linotype" w:hAnsi="Palatino Linotype"/>
          <w:sz w:val="20"/>
        </w:rPr>
        <w:t xml:space="preserve"> the</w:t>
      </w:r>
      <w:r w:rsidR="000E1B37" w:rsidRPr="00C7014F">
        <w:rPr>
          <w:rFonts w:ascii="Palatino Linotype" w:hAnsi="Palatino Linotype"/>
          <w:sz w:val="20"/>
        </w:rPr>
        <w:t xml:space="preserve"> RVS for </w:t>
      </w:r>
      <w:r w:rsidR="00914F93" w:rsidRPr="00C7014F">
        <w:rPr>
          <w:rFonts w:ascii="Palatino Linotype" w:hAnsi="Palatino Linotype"/>
          <w:sz w:val="20"/>
        </w:rPr>
        <w:t xml:space="preserve">a few </w:t>
      </w:r>
      <w:r w:rsidR="000E1B37" w:rsidRPr="00C7014F">
        <w:rPr>
          <w:rFonts w:ascii="Palatino Linotype" w:hAnsi="Palatino Linotype"/>
          <w:sz w:val="20"/>
        </w:rPr>
        <w:t xml:space="preserve">select bands, starting </w:t>
      </w:r>
      <w:r w:rsidR="00C9676A" w:rsidRPr="00C7014F">
        <w:rPr>
          <w:rFonts w:ascii="Palatino Linotype" w:hAnsi="Palatino Linotype"/>
          <w:sz w:val="20"/>
        </w:rPr>
        <w:t xml:space="preserve">from </w:t>
      </w:r>
      <w:r w:rsidR="004A2E39" w:rsidRPr="00C7014F">
        <w:rPr>
          <w:rFonts w:ascii="Palatino Linotype" w:hAnsi="Palatino Linotype"/>
          <w:sz w:val="20"/>
        </w:rPr>
        <w:t>L1B Collection 6</w:t>
      </w:r>
      <w:r w:rsidR="00C9676A" w:rsidRPr="00C7014F">
        <w:rPr>
          <w:rFonts w:ascii="Palatino Linotype" w:hAnsi="Palatino Linotype"/>
          <w:sz w:val="20"/>
        </w:rPr>
        <w:t xml:space="preserve"> (C6) for both Terra and Aqua MODIS</w:t>
      </w:r>
      <w:r w:rsidR="004A2E39" w:rsidRPr="00C7014F">
        <w:rPr>
          <w:rFonts w:ascii="Palatino Linotype" w:hAnsi="Palatino Linotype"/>
          <w:sz w:val="20"/>
        </w:rPr>
        <w:t xml:space="preserve">. It is worth mentioning that the lunar results are not used for bands 1 and 2 </w:t>
      </w:r>
      <w:r w:rsidR="00A33AC3" w:rsidRPr="00C7014F">
        <w:rPr>
          <w:rFonts w:ascii="Palatino Linotype" w:hAnsi="Palatino Linotype"/>
          <w:sz w:val="20"/>
        </w:rPr>
        <w:t xml:space="preserve">EV </w:t>
      </w:r>
      <w:r w:rsidR="004A2E39" w:rsidRPr="00C7014F">
        <w:rPr>
          <w:rFonts w:ascii="Palatino Linotype" w:hAnsi="Palatino Linotype"/>
          <w:sz w:val="20"/>
        </w:rPr>
        <w:t>time-dependent RVS derivation due to the disagreement of lunar measurements with the EV response</w:t>
      </w:r>
      <w:r w:rsidR="00C9676A" w:rsidRPr="00C7014F">
        <w:rPr>
          <w:rFonts w:ascii="Palatino Linotype" w:hAnsi="Palatino Linotype"/>
          <w:sz w:val="20"/>
        </w:rPr>
        <w:t xml:space="preserve"> trending </w:t>
      </w:r>
      <w:r w:rsidR="00914F93" w:rsidRPr="00C7014F">
        <w:rPr>
          <w:rFonts w:ascii="Palatino Linotype" w:hAnsi="Palatino Linotype"/>
          <w:sz w:val="20"/>
        </w:rPr>
        <w:t xml:space="preserve">from the desert sites.  </w:t>
      </w:r>
      <w:r w:rsidR="004A2E39" w:rsidRPr="00C7014F">
        <w:rPr>
          <w:rFonts w:ascii="Palatino Linotype" w:hAnsi="Palatino Linotype"/>
          <w:sz w:val="20"/>
        </w:rPr>
        <w:t>[</w:t>
      </w:r>
      <w:r w:rsidR="00F73E78" w:rsidRPr="00C7014F">
        <w:rPr>
          <w:rFonts w:ascii="Palatino Linotype" w:hAnsi="Palatino Linotype"/>
          <w:sz w:val="20"/>
        </w:rPr>
        <w:t>50</w:t>
      </w:r>
      <w:r w:rsidR="00FF6D56" w:rsidRPr="00C7014F">
        <w:rPr>
          <w:rFonts w:ascii="Palatino Linotype" w:hAnsi="Palatino Linotype"/>
          <w:sz w:val="20"/>
        </w:rPr>
        <w:t>]</w:t>
      </w:r>
    </w:p>
    <w:p w14:paraId="0CAF6CC6" w14:textId="77777777" w:rsidR="004A2E39" w:rsidRPr="00C7014F" w:rsidRDefault="004A2E39" w:rsidP="004A2E39">
      <w:pPr>
        <w:spacing w:before="120" w:after="120"/>
        <w:jc w:val="both"/>
        <w:rPr>
          <w:rFonts w:ascii="Palatino Linotype" w:hAnsi="Palatino Linotype"/>
          <w:sz w:val="20"/>
        </w:rPr>
      </w:pPr>
    </w:p>
    <w:p w14:paraId="40EC8CCB" w14:textId="77777777" w:rsidR="002B1934" w:rsidRPr="00C7014F" w:rsidRDefault="002B1934" w:rsidP="004A2E39">
      <w:pPr>
        <w:spacing w:before="120" w:after="120"/>
        <w:jc w:val="both"/>
        <w:rPr>
          <w:rFonts w:ascii="Palatino Linotype" w:hAnsi="Palatino Linotype"/>
          <w:sz w:val="20"/>
        </w:rPr>
      </w:pPr>
      <w:r w:rsidRPr="00C7014F">
        <w:rPr>
          <w:rFonts w:ascii="Palatino Linotype" w:hAnsi="Palatino Linotype"/>
          <w:noProof/>
          <w:sz w:val="20"/>
        </w:rPr>
        <w:drawing>
          <wp:inline distT="0" distB="0" distL="0" distR="0" wp14:anchorId="29569C9A" wp14:editId="7AC29B21">
            <wp:extent cx="5943600" cy="1167130"/>
            <wp:effectExtent l="0" t="0" r="0" b="0"/>
            <wp:docPr id="9" name="Picture 2">
              <a:extLst xmlns:a="http://schemas.openxmlformats.org/drawingml/2006/main">
                <a:ext uri="{FF2B5EF4-FFF2-40B4-BE49-F238E27FC236}">
                  <a16:creationId xmlns:a16="http://schemas.microsoft.com/office/drawing/2014/main" id="{D73AD019-F6BA-7B34-9C91-787C36423A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73AD019-F6BA-7B34-9C91-787C36423A6B}"/>
                        </a:ext>
                      </a:extLst>
                    </pic:cNvPr>
                    <pic:cNvPicPr>
                      <a:picLocks noChangeAspect="1"/>
                    </pic:cNvPicPr>
                  </pic:nvPicPr>
                  <pic:blipFill>
                    <a:blip r:embed="rId8"/>
                    <a:srcRect/>
                    <a:stretch/>
                  </pic:blipFill>
                  <pic:spPr>
                    <a:xfrm>
                      <a:off x="0" y="0"/>
                      <a:ext cx="5943600" cy="1167130"/>
                    </a:xfrm>
                    <a:prstGeom prst="rect">
                      <a:avLst/>
                    </a:prstGeom>
                  </pic:spPr>
                </pic:pic>
              </a:graphicData>
            </a:graphic>
          </wp:inline>
        </w:drawing>
      </w:r>
    </w:p>
    <w:p w14:paraId="4DE22FAC" w14:textId="68B6AA08" w:rsidR="004A2E39" w:rsidRPr="00C7014F" w:rsidRDefault="000B4D60" w:rsidP="004A2E39">
      <w:pPr>
        <w:spacing w:before="120" w:after="120"/>
        <w:jc w:val="center"/>
        <w:rPr>
          <w:rFonts w:ascii="Palatino Linotype" w:hAnsi="Palatino Linotype"/>
          <w:sz w:val="20"/>
        </w:rPr>
      </w:pPr>
      <w:r w:rsidRPr="00C7014F">
        <w:rPr>
          <w:rFonts w:ascii="Palatino Linotype" w:hAnsi="Palatino Linotype"/>
          <w:sz w:val="20"/>
        </w:rPr>
        <w:t xml:space="preserve">Figure </w:t>
      </w:r>
      <w:r w:rsidR="004A2E39" w:rsidRPr="00C7014F">
        <w:rPr>
          <w:rFonts w:ascii="Palatino Linotype" w:hAnsi="Palatino Linotype"/>
          <w:sz w:val="20"/>
        </w:rPr>
        <w:t>3. (a) Terra and (b) Aqua MODIS SD and Lunar gain trending</w:t>
      </w:r>
      <w:r w:rsidR="00600EF9" w:rsidRPr="00C7014F">
        <w:rPr>
          <w:rFonts w:ascii="Palatino Linotype" w:hAnsi="Palatino Linotype"/>
          <w:sz w:val="20"/>
        </w:rPr>
        <w:t xml:space="preserve"> for bands 1 and 8.</w:t>
      </w:r>
    </w:p>
    <w:p w14:paraId="42A5F628" w14:textId="73E14308" w:rsidR="00A30358" w:rsidRPr="00C7014F" w:rsidRDefault="00A30358" w:rsidP="004A2E39">
      <w:pPr>
        <w:spacing w:before="120" w:after="120"/>
        <w:jc w:val="center"/>
        <w:rPr>
          <w:rFonts w:ascii="Palatino Linotype" w:hAnsi="Palatino Linotype"/>
          <w:sz w:val="20"/>
        </w:rPr>
      </w:pPr>
    </w:p>
    <w:p w14:paraId="23D57654" w14:textId="77777777" w:rsidR="00A30358" w:rsidRPr="00C7014F" w:rsidRDefault="00A30358" w:rsidP="004A2E39">
      <w:pPr>
        <w:spacing w:before="120" w:after="120"/>
        <w:jc w:val="center"/>
        <w:rPr>
          <w:rFonts w:ascii="Palatino Linotype" w:hAnsi="Palatino Linotype"/>
          <w:sz w:val="20"/>
        </w:rPr>
      </w:pPr>
    </w:p>
    <w:p w14:paraId="794BB0D9" w14:textId="77777777" w:rsidR="004A2E39" w:rsidRPr="00C7014F" w:rsidRDefault="004A2E39" w:rsidP="006E3294">
      <w:pPr>
        <w:pStyle w:val="ListParagraph"/>
        <w:numPr>
          <w:ilvl w:val="1"/>
          <w:numId w:val="6"/>
        </w:numPr>
        <w:spacing w:before="240" w:after="120"/>
        <w:rPr>
          <w:rFonts w:ascii="Palatino Linotype" w:hAnsi="Palatino Linotype"/>
          <w:sz w:val="20"/>
        </w:rPr>
      </w:pPr>
      <w:r w:rsidRPr="00C7014F">
        <w:rPr>
          <w:rFonts w:ascii="Palatino Linotype" w:hAnsi="Palatino Linotype"/>
          <w:sz w:val="20"/>
        </w:rPr>
        <w:lastRenderedPageBreak/>
        <w:t>VIIRS</w:t>
      </w:r>
    </w:p>
    <w:p w14:paraId="67CC6D17" w14:textId="330C5EE5"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Similar to MODIS, a simple smooth function is applied to establish the relationship between the incident radiance and </w:t>
      </w:r>
      <w:r w:rsidR="007A6674" w:rsidRPr="00C7014F">
        <w:rPr>
          <w:rFonts w:ascii="Palatino Linotype" w:hAnsi="Palatino Linotype"/>
          <w:sz w:val="20"/>
        </w:rPr>
        <w:t xml:space="preserve">detector digital </w:t>
      </w:r>
      <w:r w:rsidRPr="00C7014F">
        <w:rPr>
          <w:rFonts w:ascii="Palatino Linotype" w:hAnsi="Palatino Linotype"/>
          <w:sz w:val="20"/>
        </w:rPr>
        <w:t xml:space="preserve">response for the </w:t>
      </w:r>
      <w:r w:rsidR="007A6674" w:rsidRPr="00C7014F">
        <w:rPr>
          <w:rFonts w:ascii="Palatino Linotype" w:hAnsi="Palatino Linotype"/>
          <w:sz w:val="20"/>
        </w:rPr>
        <w:t xml:space="preserve">VIIRS </w:t>
      </w:r>
      <w:r w:rsidRPr="00C7014F">
        <w:rPr>
          <w:rFonts w:ascii="Palatino Linotype" w:hAnsi="Palatino Linotype"/>
          <w:sz w:val="20"/>
        </w:rPr>
        <w:t xml:space="preserve">RSB. For all </w:t>
      </w:r>
      <w:r w:rsidR="00A73C88" w:rsidRPr="00C7014F">
        <w:rPr>
          <w:rFonts w:ascii="Palatino Linotype" w:hAnsi="Palatino Linotype"/>
          <w:sz w:val="20"/>
        </w:rPr>
        <w:t>SNPP</w:t>
      </w:r>
      <w:r w:rsidRPr="00C7014F">
        <w:rPr>
          <w:rFonts w:ascii="Palatino Linotype" w:hAnsi="Palatino Linotype"/>
          <w:sz w:val="20"/>
        </w:rPr>
        <w:t xml:space="preserve"> VIIRS RSB and </w:t>
      </w:r>
      <w:r w:rsidR="00A73C88" w:rsidRPr="00C7014F">
        <w:rPr>
          <w:rFonts w:ascii="Palatino Linotype" w:hAnsi="Palatino Linotype"/>
          <w:sz w:val="20"/>
        </w:rPr>
        <w:t>N20</w:t>
      </w:r>
      <w:r w:rsidRPr="00C7014F">
        <w:rPr>
          <w:rFonts w:ascii="Palatino Linotype" w:hAnsi="Palatino Linotype"/>
          <w:sz w:val="20"/>
        </w:rPr>
        <w:t xml:space="preserve"> VIIRS </w:t>
      </w:r>
      <w:r w:rsidR="00197445" w:rsidRPr="00C7014F">
        <w:rPr>
          <w:rFonts w:ascii="Palatino Linotype" w:hAnsi="Palatino Linotype"/>
          <w:sz w:val="20"/>
        </w:rPr>
        <w:t>VIS and NIR</w:t>
      </w:r>
      <w:r w:rsidRPr="00C7014F">
        <w:rPr>
          <w:rFonts w:ascii="Palatino Linotype" w:hAnsi="Palatino Linotype"/>
          <w:sz w:val="20"/>
        </w:rPr>
        <w:t xml:space="preserve"> bands, a qua</w:t>
      </w:r>
      <w:r w:rsidR="007A6674" w:rsidRPr="00C7014F">
        <w:rPr>
          <w:rFonts w:ascii="Palatino Linotype" w:hAnsi="Palatino Linotype"/>
          <w:sz w:val="20"/>
        </w:rPr>
        <w:t xml:space="preserve">dratic approximation is applied, </w:t>
      </w:r>
      <w:r w:rsidRPr="00C7014F">
        <w:rPr>
          <w:rFonts w:ascii="Palatino Linotype" w:hAnsi="Palatino Linotype"/>
          <w:sz w:val="20"/>
        </w:rPr>
        <w:t>while for N20 VIIRS SWIR a third order polynomial is used due to a significant nonlinearity effect for these bands. [</w:t>
      </w:r>
      <w:r w:rsidR="00F655A6" w:rsidRPr="00C7014F">
        <w:rPr>
          <w:rFonts w:ascii="Palatino Linotype" w:hAnsi="Palatino Linotype"/>
          <w:sz w:val="20"/>
        </w:rPr>
        <w:t>51</w:t>
      </w:r>
      <w:r w:rsidRPr="00C7014F">
        <w:rPr>
          <w:rFonts w:ascii="Palatino Linotype" w:hAnsi="Palatino Linotype"/>
          <w:sz w:val="20"/>
        </w:rPr>
        <w:t xml:space="preserve">] The relationship between the incident radiance and instrument response for the VIIRS RSBs can be written as  </w:t>
      </w:r>
    </w:p>
    <w:p w14:paraId="2881F9BA" w14:textId="77777777" w:rsidR="004A2E39" w:rsidRPr="00C7014F" w:rsidRDefault="004A2E39" w:rsidP="004A2E39">
      <w:pPr>
        <w:widowControl w:val="0"/>
        <w:tabs>
          <w:tab w:val="left" w:pos="1350"/>
        </w:tabs>
        <w:autoSpaceDE w:val="0"/>
        <w:autoSpaceDN w:val="0"/>
        <w:adjustRightInd w:val="0"/>
        <w:spacing w:line="252" w:lineRule="auto"/>
        <w:ind w:left="403"/>
        <w:jc w:val="both"/>
        <w:rPr>
          <w:rFonts w:ascii="Book Antiqua" w:eastAsia="Malgun Gothic" w:hAnsi="Book Antiqua" w:cs="Book Antiqua"/>
          <w:spacing w:val="-8"/>
          <w:sz w:val="20"/>
        </w:rPr>
      </w:pPr>
      <w:r w:rsidRPr="00C7014F">
        <w:rPr>
          <w:rFonts w:ascii="Book Antiqua" w:eastAsia="Book Antiqua" w:hAnsi="Book Antiqua" w:cs="Book Antiqua"/>
          <w:sz w:val="20"/>
        </w:rPr>
        <w:t xml:space="preserve">                                                                 </w:t>
      </w:r>
      <m:oMath>
        <m:r>
          <w:rPr>
            <w:rFonts w:ascii="Cambria Math" w:eastAsia="Book Antiqua" w:hAnsi="Cambria Math" w:cs="Book Antiqua"/>
            <w:sz w:val="20"/>
            <w:szCs w:val="20"/>
          </w:rPr>
          <m:t>L=</m:t>
        </m:r>
        <m:f>
          <m:fPr>
            <m:ctrlPr>
              <w:rPr>
                <w:rFonts w:ascii="Cambria Math" w:eastAsia="Calibri" w:hAnsi="Cambria Math" w:cs="Book Antiqua"/>
                <w:i/>
                <w:sz w:val="20"/>
                <w:szCs w:val="20"/>
              </w:rPr>
            </m:ctrlPr>
          </m:fPr>
          <m:num>
            <m:r>
              <w:rPr>
                <w:rFonts w:ascii="Cambria Math" w:eastAsia="Book Antiqua" w:hAnsi="Cambria Math" w:cs="Book Antiqua"/>
                <w:sz w:val="20"/>
                <w:szCs w:val="20"/>
              </w:rPr>
              <m:t>F</m:t>
            </m:r>
            <m:nary>
              <m:naryPr>
                <m:chr m:val="∑"/>
                <m:limLoc m:val="undOvr"/>
                <m:supHide m:val="1"/>
                <m:ctrlPr>
                  <w:rPr>
                    <w:rFonts w:ascii="Cambria Math" w:eastAsia="Calibri" w:hAnsi="Cambria Math" w:cs="Book Antiqua"/>
                    <w:i/>
                    <w:sz w:val="20"/>
                    <w:szCs w:val="20"/>
                  </w:rPr>
                </m:ctrlPr>
              </m:naryPr>
              <m:sub>
                <m:r>
                  <w:rPr>
                    <w:rFonts w:ascii="Cambria Math" w:eastAsia="Book Antiqua" w:hAnsi="Cambria Math" w:cs="Book Antiqua"/>
                    <w:sz w:val="20"/>
                    <w:szCs w:val="20"/>
                  </w:rPr>
                  <m:t>i</m:t>
                </m:r>
              </m:sub>
              <m:sup/>
              <m:e>
                <m:sSub>
                  <m:sSubPr>
                    <m:ctrlPr>
                      <w:rPr>
                        <w:rFonts w:ascii="Cambria Math" w:eastAsia="Calibri" w:hAnsi="Cambria Math" w:cs="Book Antiqua"/>
                        <w:i/>
                        <w:sz w:val="20"/>
                        <w:szCs w:val="20"/>
                      </w:rPr>
                    </m:ctrlPr>
                  </m:sSubPr>
                  <m:e>
                    <m:r>
                      <w:rPr>
                        <w:rFonts w:ascii="Cambria Math" w:eastAsia="Book Antiqua" w:hAnsi="Cambria Math" w:cs="Book Antiqua"/>
                        <w:sz w:val="20"/>
                        <w:szCs w:val="20"/>
                      </w:rPr>
                      <m:t>c</m:t>
                    </m:r>
                  </m:e>
                  <m:sub>
                    <m:r>
                      <w:rPr>
                        <w:rFonts w:ascii="Cambria Math" w:eastAsia="Book Antiqua" w:hAnsi="Cambria Math" w:cs="Book Antiqua"/>
                        <w:sz w:val="20"/>
                        <w:szCs w:val="20"/>
                      </w:rPr>
                      <m:t>i</m:t>
                    </m:r>
                  </m:sub>
                </m:sSub>
                <m:sSup>
                  <m:sSupPr>
                    <m:ctrlPr>
                      <w:rPr>
                        <w:rFonts w:ascii="Cambria Math" w:eastAsia="Calibri" w:hAnsi="Cambria Math" w:cs="Book Antiqua"/>
                        <w:i/>
                        <w:sz w:val="20"/>
                        <w:szCs w:val="20"/>
                      </w:rPr>
                    </m:ctrlPr>
                  </m:sSupPr>
                  <m:e>
                    <m:r>
                      <w:rPr>
                        <w:rFonts w:ascii="Cambria Math" w:eastAsia="Book Antiqua" w:hAnsi="Cambria Math" w:cs="Book Antiqua"/>
                        <w:sz w:val="20"/>
                        <w:szCs w:val="20"/>
                      </w:rPr>
                      <m:t>∙dn</m:t>
                    </m:r>
                  </m:e>
                  <m:sup>
                    <m:r>
                      <w:rPr>
                        <w:rFonts w:ascii="Cambria Math" w:eastAsia="Book Antiqua" w:hAnsi="Cambria Math" w:cs="Book Antiqua"/>
                        <w:sz w:val="20"/>
                        <w:szCs w:val="20"/>
                      </w:rPr>
                      <m:t>i</m:t>
                    </m:r>
                  </m:sup>
                </m:sSup>
              </m:e>
            </m:nary>
          </m:num>
          <m:den>
            <m:r>
              <w:rPr>
                <w:rFonts w:ascii="Cambria Math" w:eastAsia="Book Antiqua" w:hAnsi="Cambria Math" w:cs="Book Antiqua"/>
                <w:sz w:val="20"/>
                <w:szCs w:val="20"/>
              </w:rPr>
              <m:t>RVS</m:t>
            </m:r>
          </m:den>
        </m:f>
      </m:oMath>
      <w:r w:rsidRPr="00C7014F">
        <w:rPr>
          <w:rFonts w:ascii="Book Antiqua" w:eastAsia="Malgun Gothic" w:hAnsi="Book Antiqua" w:cs="Book Antiqua"/>
          <w:spacing w:val="-8"/>
          <w:sz w:val="20"/>
        </w:rPr>
        <w:t xml:space="preserve"> ,                                                                                           (6) </w:t>
      </w:r>
    </w:p>
    <w:p w14:paraId="1D561D67" w14:textId="7B3A7800" w:rsidR="004A2E39" w:rsidRPr="00C7014F" w:rsidRDefault="004A2E39" w:rsidP="004A2E39">
      <w:pPr>
        <w:spacing w:before="120" w:after="120"/>
        <w:jc w:val="both"/>
        <w:rPr>
          <w:rFonts w:ascii="Palatino Linotype" w:hAnsi="Palatino Linotype"/>
          <w:sz w:val="20"/>
        </w:rPr>
      </w:pPr>
      <w:r w:rsidRPr="00C7014F">
        <w:rPr>
          <w:rFonts w:ascii="Palatino Linotype" w:eastAsia="Malgun Gothic" w:hAnsi="Palatino Linotype" w:cs="Book Antiqua"/>
          <w:spacing w:val="-8"/>
          <w:sz w:val="20"/>
        </w:rPr>
        <w:t xml:space="preserve">where </w:t>
      </w:r>
      <w:r w:rsidRPr="00C7014F">
        <w:rPr>
          <w:rFonts w:ascii="Palatino Linotype" w:eastAsia="Malgun Gothic" w:hAnsi="Palatino Linotype" w:cs="Book Antiqua"/>
          <w:i/>
          <w:spacing w:val="-8"/>
          <w:sz w:val="20"/>
        </w:rPr>
        <w:t>c</w:t>
      </w:r>
      <w:r w:rsidR="007A6674" w:rsidRPr="00C7014F">
        <w:rPr>
          <w:rFonts w:ascii="Palatino Linotype" w:eastAsia="Malgun Gothic" w:hAnsi="Palatino Linotype" w:cs="Book Antiqua"/>
          <w:i/>
          <w:spacing w:val="-8"/>
          <w:sz w:val="20"/>
          <w:vertAlign w:val="subscript"/>
        </w:rPr>
        <w:t>i</w:t>
      </w:r>
      <w:r w:rsidR="007A6674" w:rsidRPr="00C7014F">
        <w:rPr>
          <w:rFonts w:ascii="Palatino Linotype" w:eastAsia="Malgun Gothic" w:hAnsi="Palatino Linotype" w:cs="Book Antiqua"/>
          <w:spacing w:val="-8"/>
          <w:sz w:val="20"/>
        </w:rPr>
        <w:t xml:space="preserve"> (</w:t>
      </w:r>
      <w:r w:rsidR="007A6674" w:rsidRPr="00C7014F">
        <w:rPr>
          <w:rFonts w:ascii="Palatino Linotype" w:eastAsia="Malgun Gothic" w:hAnsi="Palatino Linotype" w:cs="Book Antiqua"/>
          <w:i/>
          <w:iCs/>
          <w:spacing w:val="-8"/>
          <w:sz w:val="20"/>
        </w:rPr>
        <w:t xml:space="preserve">i = 0, 1, 2, </w:t>
      </w:r>
      <w:r w:rsidRPr="00C7014F">
        <w:rPr>
          <w:rFonts w:ascii="Palatino Linotype" w:eastAsia="Malgun Gothic" w:hAnsi="Palatino Linotype" w:cs="Book Antiqua"/>
          <w:i/>
          <w:iCs/>
          <w:spacing w:val="-8"/>
          <w:sz w:val="20"/>
        </w:rPr>
        <w:t>3</w:t>
      </w:r>
      <w:r w:rsidR="007A6674" w:rsidRPr="00C7014F">
        <w:rPr>
          <w:rFonts w:ascii="Palatino Linotype" w:eastAsia="Malgun Gothic" w:hAnsi="Palatino Linotype" w:cs="Book Antiqua"/>
          <w:i/>
          <w:iCs/>
          <w:spacing w:val="-8"/>
          <w:sz w:val="20"/>
        </w:rPr>
        <w:t>)</w:t>
      </w:r>
      <w:r w:rsidRPr="00C7014F">
        <w:rPr>
          <w:rFonts w:ascii="Palatino Linotype" w:eastAsia="Malgun Gothic" w:hAnsi="Palatino Linotype" w:cs="Book Antiqua"/>
          <w:spacing w:val="-8"/>
          <w:sz w:val="20"/>
        </w:rPr>
        <w:t xml:space="preserve">, are </w:t>
      </w:r>
      <w:r w:rsidR="007A6674" w:rsidRPr="00C7014F">
        <w:rPr>
          <w:rFonts w:ascii="Palatino Linotype" w:eastAsia="Malgun Gothic" w:hAnsi="Palatino Linotype" w:cs="Book Antiqua"/>
          <w:spacing w:val="-8"/>
          <w:sz w:val="20"/>
        </w:rPr>
        <w:t xml:space="preserve">the </w:t>
      </w:r>
      <w:r w:rsidRPr="00C7014F">
        <w:rPr>
          <w:rFonts w:ascii="Palatino Linotype" w:eastAsia="Malgun Gothic" w:hAnsi="Palatino Linotype" w:cs="Book Antiqua"/>
          <w:spacing w:val="-8"/>
          <w:sz w:val="20"/>
        </w:rPr>
        <w:t xml:space="preserve">prelaunch measured calibration coefficients of the polynomial, </w:t>
      </w:r>
      <w:r w:rsidRPr="00C7014F">
        <w:rPr>
          <w:rFonts w:ascii="Palatino Linotype" w:eastAsia="Malgun Gothic" w:hAnsi="Palatino Linotype" w:cs="Book Antiqua"/>
          <w:i/>
          <w:iCs/>
          <w:spacing w:val="-8"/>
          <w:sz w:val="20"/>
        </w:rPr>
        <w:t>F</w:t>
      </w:r>
      <w:r w:rsidRPr="00C7014F">
        <w:rPr>
          <w:rFonts w:ascii="Palatino Linotype" w:eastAsia="Malgun Gothic" w:hAnsi="Palatino Linotype" w:cs="Book Antiqua"/>
          <w:spacing w:val="-8"/>
          <w:sz w:val="20"/>
        </w:rPr>
        <w:t>, called F-factor, is the ratio of the on-orbit coefficients of the polynomial at the time of the measuremen</w:t>
      </w:r>
      <w:r w:rsidR="00CD577F" w:rsidRPr="00C7014F">
        <w:rPr>
          <w:rFonts w:ascii="Palatino Linotype" w:eastAsia="Malgun Gothic" w:hAnsi="Palatino Linotype" w:cs="Book Antiqua"/>
          <w:spacing w:val="-8"/>
          <w:sz w:val="20"/>
        </w:rPr>
        <w:t>t to the prelaunch coefficients, assuming</w:t>
      </w:r>
      <w:r w:rsidRPr="00C7014F">
        <w:rPr>
          <w:rFonts w:ascii="Palatino Linotype" w:eastAsia="Malgun Gothic" w:hAnsi="Palatino Linotype" w:cs="Book Antiqua"/>
          <w:spacing w:val="-8"/>
          <w:sz w:val="20"/>
        </w:rPr>
        <w:t xml:space="preserve"> that the coefficients of the polynomial change proportionally with each other on-orbit, </w:t>
      </w:r>
      <w:r w:rsidRPr="00C7014F">
        <w:rPr>
          <w:rFonts w:ascii="Palatino Linotype" w:eastAsia="Malgun Gothic" w:hAnsi="Palatino Linotype" w:cs="Book Antiqua"/>
          <w:i/>
          <w:iCs/>
          <w:spacing w:val="-8"/>
          <w:sz w:val="20"/>
        </w:rPr>
        <w:t>dn</w:t>
      </w:r>
      <w:r w:rsidRPr="00C7014F">
        <w:rPr>
          <w:rFonts w:ascii="Palatino Linotype" w:eastAsia="Malgun Gothic" w:hAnsi="Palatino Linotype" w:cs="Book Antiqua"/>
          <w:spacing w:val="-8"/>
          <w:sz w:val="20"/>
        </w:rPr>
        <w:t xml:space="preserve"> is the background subtracted instrument response, and </w:t>
      </w:r>
      <w:r w:rsidRPr="00C7014F">
        <w:rPr>
          <w:rFonts w:ascii="Palatino Linotype" w:eastAsia="Malgun Gothic" w:hAnsi="Palatino Linotype" w:cs="Book Antiqua"/>
          <w:i/>
          <w:iCs/>
          <w:spacing w:val="-8"/>
          <w:sz w:val="20"/>
        </w:rPr>
        <w:t>RVS</w:t>
      </w:r>
      <w:r w:rsidRPr="00C7014F">
        <w:rPr>
          <w:rFonts w:ascii="Palatino Linotype" w:eastAsia="Malgun Gothic" w:hAnsi="Palatino Linotype" w:cs="Book Antiqua"/>
          <w:spacing w:val="-8"/>
          <w:sz w:val="20"/>
        </w:rPr>
        <w:t xml:space="preserve"> is the response versus scan angle of the half-angle mirror (HAM). The calibration coefficients, c</w:t>
      </w:r>
      <w:r w:rsidRPr="00C7014F">
        <w:rPr>
          <w:rFonts w:ascii="Palatino Linotype" w:eastAsia="Malgun Gothic" w:hAnsi="Palatino Linotype" w:cs="Book Antiqua"/>
          <w:spacing w:val="-8"/>
          <w:sz w:val="20"/>
          <w:vertAlign w:val="subscript"/>
        </w:rPr>
        <w:t>0</w:t>
      </w:r>
      <w:r w:rsidRPr="00C7014F">
        <w:rPr>
          <w:rFonts w:ascii="Palatino Linotype" w:eastAsia="Malgun Gothic" w:hAnsi="Palatino Linotype" w:cs="Book Antiqua"/>
          <w:spacing w:val="-8"/>
          <w:sz w:val="20"/>
        </w:rPr>
        <w:t>, c</w:t>
      </w:r>
      <w:r w:rsidRPr="00C7014F">
        <w:rPr>
          <w:rFonts w:ascii="Palatino Linotype" w:eastAsia="Malgun Gothic" w:hAnsi="Palatino Linotype" w:cs="Book Antiqua"/>
          <w:spacing w:val="-8"/>
          <w:sz w:val="20"/>
          <w:vertAlign w:val="subscript"/>
        </w:rPr>
        <w:t>1</w:t>
      </w:r>
      <w:r w:rsidRPr="00C7014F">
        <w:rPr>
          <w:rFonts w:ascii="Palatino Linotype" w:eastAsia="Malgun Gothic" w:hAnsi="Palatino Linotype" w:cs="Book Antiqua"/>
          <w:spacing w:val="-8"/>
          <w:sz w:val="20"/>
        </w:rPr>
        <w:t>, c</w:t>
      </w:r>
      <w:r w:rsidRPr="00C7014F">
        <w:rPr>
          <w:rFonts w:ascii="Palatino Linotype" w:eastAsia="Malgun Gothic" w:hAnsi="Palatino Linotype" w:cs="Book Antiqua"/>
          <w:spacing w:val="-8"/>
          <w:sz w:val="20"/>
          <w:vertAlign w:val="subscript"/>
        </w:rPr>
        <w:t>2</w:t>
      </w:r>
      <w:r w:rsidRPr="00C7014F">
        <w:rPr>
          <w:rFonts w:ascii="Palatino Linotype" w:eastAsia="Malgun Gothic" w:hAnsi="Palatino Linotype" w:cs="Book Antiqua"/>
          <w:spacing w:val="-8"/>
          <w:sz w:val="20"/>
        </w:rPr>
        <w:t>, and c</w:t>
      </w:r>
      <w:r w:rsidRPr="00C7014F">
        <w:rPr>
          <w:rFonts w:ascii="Palatino Linotype" w:eastAsia="Malgun Gothic" w:hAnsi="Palatino Linotype" w:cs="Book Antiqua"/>
          <w:spacing w:val="-8"/>
          <w:sz w:val="20"/>
          <w:vertAlign w:val="subscript"/>
        </w:rPr>
        <w:t>3,</w:t>
      </w:r>
      <w:r w:rsidRPr="00C7014F">
        <w:rPr>
          <w:rFonts w:ascii="Palatino Linotype" w:eastAsia="Malgun Gothic" w:hAnsi="Palatino Linotype" w:cs="Book Antiqua"/>
          <w:spacing w:val="-8"/>
          <w:sz w:val="20"/>
        </w:rPr>
        <w:t xml:space="preserve"> are instrument </w:t>
      </w:r>
      <w:r w:rsidR="006E3294" w:rsidRPr="00C7014F">
        <w:rPr>
          <w:rFonts w:ascii="Palatino Linotype" w:eastAsia="Malgun Gothic" w:hAnsi="Palatino Linotype" w:cs="Book Antiqua"/>
          <w:spacing w:val="-8"/>
          <w:sz w:val="20"/>
        </w:rPr>
        <w:t>and electronic</w:t>
      </w:r>
      <w:r w:rsidR="00DD0FAC" w:rsidRPr="00C7014F">
        <w:rPr>
          <w:rFonts w:ascii="Palatino Linotype" w:eastAsia="Malgun Gothic" w:hAnsi="Palatino Linotype" w:cs="Book Antiqua"/>
          <w:spacing w:val="-8"/>
          <w:sz w:val="20"/>
        </w:rPr>
        <w:t>s</w:t>
      </w:r>
      <w:r w:rsidR="006E3294" w:rsidRPr="00C7014F">
        <w:rPr>
          <w:rFonts w:ascii="Palatino Linotype" w:eastAsia="Malgun Gothic" w:hAnsi="Palatino Linotype" w:cs="Book Antiqua"/>
          <w:spacing w:val="-8"/>
          <w:sz w:val="20"/>
        </w:rPr>
        <w:t xml:space="preserve"> </w:t>
      </w:r>
      <w:r w:rsidRPr="00C7014F">
        <w:rPr>
          <w:rFonts w:ascii="Palatino Linotype" w:eastAsia="Malgun Gothic" w:hAnsi="Palatino Linotype" w:cs="Book Antiqua"/>
          <w:spacing w:val="-8"/>
          <w:sz w:val="20"/>
        </w:rPr>
        <w:t xml:space="preserve">temperature dependent. </w:t>
      </w:r>
      <w:r w:rsidRPr="00C7014F">
        <w:rPr>
          <w:rFonts w:ascii="Palatino Linotype" w:hAnsi="Palatino Linotype"/>
          <w:sz w:val="20"/>
        </w:rPr>
        <w:t xml:space="preserve">Both </w:t>
      </w:r>
      <w:r w:rsidRPr="00C7014F">
        <w:rPr>
          <w:rFonts w:ascii="Palatino Linotype" w:hAnsi="Palatino Linotype"/>
          <w:i/>
          <w:iCs/>
          <w:sz w:val="20"/>
        </w:rPr>
        <w:t>F</w:t>
      </w:r>
      <w:r w:rsidRPr="00C7014F">
        <w:rPr>
          <w:rFonts w:ascii="Palatino Linotype" w:hAnsi="Palatino Linotype"/>
          <w:sz w:val="20"/>
          <w:vertAlign w:val="subscript"/>
        </w:rPr>
        <w:t xml:space="preserve"> </w:t>
      </w:r>
      <w:r w:rsidRPr="00C7014F">
        <w:rPr>
          <w:rFonts w:ascii="Palatino Linotype" w:hAnsi="Palatino Linotype"/>
          <w:sz w:val="20"/>
        </w:rPr>
        <w:t xml:space="preserve">and the </w:t>
      </w:r>
      <w:r w:rsidRPr="00C7014F">
        <w:rPr>
          <w:rFonts w:ascii="Palatino Linotype" w:hAnsi="Palatino Linotype"/>
          <w:i/>
          <w:iCs/>
          <w:sz w:val="20"/>
        </w:rPr>
        <w:t>RVS</w:t>
      </w:r>
      <w:r w:rsidRPr="00C7014F">
        <w:rPr>
          <w:rFonts w:ascii="Palatino Linotype" w:hAnsi="Palatino Linotype"/>
          <w:sz w:val="20"/>
        </w:rPr>
        <w:t xml:space="preserve"> in Eq. (6) may, in principle, change temporally on-orbit. However, there is no evidence to suggest that the </w:t>
      </w:r>
      <w:r w:rsidRPr="00C7014F">
        <w:rPr>
          <w:rFonts w:ascii="Palatino Linotype" w:hAnsi="Palatino Linotype"/>
          <w:i/>
          <w:iCs/>
          <w:sz w:val="20"/>
        </w:rPr>
        <w:t>RVS</w:t>
      </w:r>
      <w:r w:rsidRPr="00C7014F">
        <w:rPr>
          <w:rFonts w:ascii="Palatino Linotype" w:hAnsi="Palatino Linotype"/>
          <w:sz w:val="20"/>
        </w:rPr>
        <w:t xml:space="preserve"> has a noticeable on-orbit change for either VIIRS instrument. As a result, only the </w:t>
      </w:r>
      <w:r w:rsidR="00CD577F" w:rsidRPr="00C7014F">
        <w:rPr>
          <w:rFonts w:ascii="Palatino Linotype" w:hAnsi="Palatino Linotype"/>
          <w:sz w:val="20"/>
        </w:rPr>
        <w:t xml:space="preserve">F-factors have been </w:t>
      </w:r>
      <w:r w:rsidRPr="00C7014F">
        <w:rPr>
          <w:rFonts w:ascii="Palatino Linotype" w:hAnsi="Palatino Linotype"/>
          <w:sz w:val="20"/>
        </w:rPr>
        <w:t xml:space="preserve">updated regularly on-orbit by using SD and lunar calibrations </w:t>
      </w:r>
      <w:r w:rsidR="00CD577F" w:rsidRPr="00C7014F">
        <w:rPr>
          <w:rFonts w:ascii="Palatino Linotype" w:hAnsi="Palatino Linotype"/>
          <w:sz w:val="20"/>
        </w:rPr>
        <w:t xml:space="preserve">on an </w:t>
      </w:r>
      <w:r w:rsidRPr="00C7014F">
        <w:rPr>
          <w:rFonts w:ascii="Palatino Linotype" w:hAnsi="Palatino Linotype"/>
          <w:sz w:val="20"/>
        </w:rPr>
        <w:t>as</w:t>
      </w:r>
      <w:r w:rsidR="00DD0FAC" w:rsidRPr="00C7014F">
        <w:rPr>
          <w:rFonts w:ascii="Palatino Linotype" w:hAnsi="Palatino Linotype"/>
          <w:sz w:val="20"/>
        </w:rPr>
        <w:t>-</w:t>
      </w:r>
      <w:r w:rsidRPr="00C7014F">
        <w:rPr>
          <w:rFonts w:ascii="Palatino Linotype" w:hAnsi="Palatino Linotype"/>
          <w:sz w:val="20"/>
        </w:rPr>
        <w:t>needed</w:t>
      </w:r>
      <w:r w:rsidR="00CD577F" w:rsidRPr="00C7014F">
        <w:rPr>
          <w:rFonts w:ascii="Palatino Linotype" w:hAnsi="Palatino Linotype"/>
          <w:sz w:val="20"/>
        </w:rPr>
        <w:t xml:space="preserve"> basis</w:t>
      </w:r>
      <w:r w:rsidRPr="00C7014F">
        <w:rPr>
          <w:rFonts w:ascii="Palatino Linotype" w:hAnsi="Palatino Linotype"/>
          <w:sz w:val="20"/>
        </w:rPr>
        <w:t>. For the VIIRS EV, the TOA radiance is the primary L1B</w:t>
      </w:r>
      <w:r w:rsidR="00CD577F" w:rsidRPr="00C7014F">
        <w:rPr>
          <w:rFonts w:ascii="Palatino Linotype" w:hAnsi="Palatino Linotype"/>
          <w:sz w:val="20"/>
        </w:rPr>
        <w:t xml:space="preserve"> product, which can be easily converted to its TOA reflectance factor. The VIIRS L1B products are also referred to as the </w:t>
      </w:r>
      <w:r w:rsidRPr="00C7014F">
        <w:rPr>
          <w:rFonts w:ascii="Palatino Linotype" w:hAnsi="Palatino Linotype"/>
          <w:sz w:val="20"/>
        </w:rPr>
        <w:t xml:space="preserve">sensor data records (SDR). </w:t>
      </w:r>
    </w:p>
    <w:p w14:paraId="0BB2C12D" w14:textId="6F40510A" w:rsidR="004A2E39" w:rsidRPr="00C7014F" w:rsidRDefault="004A2E39" w:rsidP="004A2E39">
      <w:pPr>
        <w:spacing w:before="120" w:after="120"/>
        <w:jc w:val="both"/>
        <w:rPr>
          <w:rFonts w:ascii="Palatino Linotype" w:hAnsi="Palatino Linotype"/>
          <w:sz w:val="20"/>
        </w:rPr>
      </w:pPr>
      <w:r w:rsidRPr="00C7014F">
        <w:rPr>
          <w:rFonts w:ascii="Palatino Linotype" w:hAnsi="Palatino Linotype"/>
          <w:sz w:val="20"/>
        </w:rPr>
        <w:t xml:space="preserve">VIIRS has </w:t>
      </w:r>
      <w:r w:rsidR="004849A4" w:rsidRPr="00C7014F">
        <w:rPr>
          <w:rFonts w:ascii="Palatino Linotype" w:hAnsi="Palatino Linotype"/>
          <w:sz w:val="20"/>
        </w:rPr>
        <w:t>the</w:t>
      </w:r>
      <w:r w:rsidRPr="00C7014F">
        <w:rPr>
          <w:rFonts w:ascii="Palatino Linotype" w:hAnsi="Palatino Linotype"/>
          <w:sz w:val="20"/>
        </w:rPr>
        <w:t xml:space="preserve"> same type of SD as MODIS. The radiance of the sunlight </w:t>
      </w:r>
      <w:r w:rsidR="00A16955" w:rsidRPr="00C7014F">
        <w:rPr>
          <w:rFonts w:ascii="Palatino Linotype" w:hAnsi="Palatino Linotype"/>
          <w:sz w:val="20"/>
        </w:rPr>
        <w:t>diffusely reflected</w:t>
      </w:r>
      <w:r w:rsidRPr="00C7014F">
        <w:rPr>
          <w:rFonts w:ascii="Palatino Linotype" w:hAnsi="Palatino Linotype"/>
          <w:sz w:val="20"/>
        </w:rPr>
        <w:t xml:space="preserve"> from the VIIRS SD can </w:t>
      </w:r>
      <w:r w:rsidR="00227E38" w:rsidRPr="00C7014F">
        <w:rPr>
          <w:rFonts w:ascii="Palatino Linotype" w:hAnsi="Palatino Linotype"/>
          <w:sz w:val="20"/>
        </w:rPr>
        <w:t xml:space="preserve">also </w:t>
      </w:r>
      <w:r w:rsidRPr="00C7014F">
        <w:rPr>
          <w:rFonts w:ascii="Palatino Linotype" w:hAnsi="Palatino Linotype"/>
          <w:sz w:val="20"/>
        </w:rPr>
        <w:t>be calculated by Eq. (</w:t>
      </w:r>
      <w:r w:rsidR="002508A4" w:rsidRPr="00C7014F">
        <w:rPr>
          <w:rFonts w:ascii="Palatino Linotype" w:hAnsi="Palatino Linotype"/>
          <w:sz w:val="20"/>
        </w:rPr>
        <w:t>2</w:t>
      </w:r>
      <w:r w:rsidRPr="00C7014F">
        <w:rPr>
          <w:rFonts w:ascii="Palatino Linotype" w:hAnsi="Palatino Linotype"/>
          <w:sz w:val="20"/>
        </w:rPr>
        <w:t>)</w:t>
      </w:r>
      <w:r w:rsidR="00A47222" w:rsidRPr="00C7014F">
        <w:rPr>
          <w:rFonts w:ascii="Palatino Linotype" w:hAnsi="Palatino Linotype"/>
          <w:sz w:val="20"/>
        </w:rPr>
        <w:t>. The VIIRS SD BR</w:t>
      </w:r>
      <w:r w:rsidRPr="00C7014F">
        <w:rPr>
          <w:rFonts w:ascii="Palatino Linotype" w:hAnsi="Palatino Linotype"/>
          <w:sz w:val="20"/>
        </w:rPr>
        <w:t xml:space="preserve">F, </w:t>
      </w:r>
      <w:r w:rsidRPr="00C7014F">
        <w:rPr>
          <w:rFonts w:ascii="Palatino Linotype" w:hAnsi="Palatino Linotype"/>
          <w:i/>
          <w:iCs/>
          <w:sz w:val="20"/>
        </w:rPr>
        <w:t>ρ</w:t>
      </w:r>
      <w:r w:rsidRPr="00C7014F">
        <w:rPr>
          <w:rFonts w:ascii="Palatino Linotype" w:hAnsi="Palatino Linotype"/>
          <w:i/>
          <w:iCs/>
          <w:sz w:val="20"/>
          <w:vertAlign w:val="subscript"/>
        </w:rPr>
        <w:t>SD</w:t>
      </w:r>
      <w:r w:rsidRPr="00C7014F">
        <w:rPr>
          <w:rFonts w:ascii="Palatino Linotype" w:hAnsi="Palatino Linotype"/>
          <w:sz w:val="20"/>
        </w:rPr>
        <w:t>, and the SDS transmittance, τ</w:t>
      </w:r>
      <w:r w:rsidRPr="00C7014F">
        <w:rPr>
          <w:rFonts w:ascii="Palatino Linotype" w:hAnsi="Palatino Linotype"/>
          <w:sz w:val="20"/>
          <w:vertAlign w:val="subscript"/>
        </w:rPr>
        <w:t>SDS</w:t>
      </w:r>
      <w:r w:rsidRPr="00C7014F">
        <w:rPr>
          <w:rFonts w:ascii="Palatino Linotype" w:hAnsi="Palatino Linotype"/>
          <w:sz w:val="20"/>
        </w:rPr>
        <w:t xml:space="preserve">, were measured prelaunch and refined on orbit by measurements </w:t>
      </w:r>
      <w:r w:rsidR="00A47222" w:rsidRPr="00C7014F">
        <w:rPr>
          <w:rFonts w:ascii="Palatino Linotype" w:hAnsi="Palatino Linotype"/>
          <w:sz w:val="20"/>
        </w:rPr>
        <w:t xml:space="preserve">made </w:t>
      </w:r>
      <w:r w:rsidRPr="00C7014F">
        <w:rPr>
          <w:rFonts w:ascii="Palatino Linotype" w:hAnsi="Palatino Linotype"/>
          <w:sz w:val="20"/>
        </w:rPr>
        <w:t>during yaw maneu</w:t>
      </w:r>
      <w:r w:rsidR="00227E38" w:rsidRPr="00C7014F">
        <w:rPr>
          <w:rFonts w:ascii="Palatino Linotype" w:hAnsi="Palatino Linotype"/>
          <w:sz w:val="20"/>
        </w:rPr>
        <w:t xml:space="preserve">vers. </w:t>
      </w:r>
      <w:r w:rsidR="00C81B9D" w:rsidRPr="00C7014F">
        <w:rPr>
          <w:rFonts w:ascii="Palatino Linotype" w:hAnsi="Palatino Linotype"/>
          <w:sz w:val="20"/>
        </w:rPr>
        <w:t>The</w:t>
      </w:r>
      <w:r w:rsidR="00227E38" w:rsidRPr="00C7014F">
        <w:rPr>
          <w:rFonts w:ascii="Palatino Linotype" w:hAnsi="Palatino Linotype"/>
          <w:sz w:val="20"/>
        </w:rPr>
        <w:t xml:space="preserve"> VIIRS SD degradation </w:t>
      </w:r>
      <w:r w:rsidRPr="00C7014F">
        <w:rPr>
          <w:rFonts w:ascii="Palatino Linotype" w:hAnsi="Palatino Linotype"/>
          <w:sz w:val="20"/>
        </w:rPr>
        <w:t>is tracked by the on</w:t>
      </w:r>
      <w:r w:rsidR="00227E38" w:rsidRPr="00C7014F">
        <w:rPr>
          <w:rFonts w:ascii="Palatino Linotype" w:hAnsi="Palatino Linotype"/>
          <w:sz w:val="20"/>
        </w:rPr>
        <w:t>-</w:t>
      </w:r>
      <w:r w:rsidRPr="00C7014F">
        <w:rPr>
          <w:rFonts w:ascii="Palatino Linotype" w:hAnsi="Palatino Linotype"/>
          <w:sz w:val="20"/>
        </w:rPr>
        <w:t>board SDSM at eight discrete wavelengths</w:t>
      </w:r>
      <w:r w:rsidR="00C81B9D" w:rsidRPr="00C7014F">
        <w:rPr>
          <w:rFonts w:ascii="Palatino Linotype" w:hAnsi="Palatino Linotype"/>
          <w:sz w:val="20"/>
        </w:rPr>
        <w:t>, compared to MODIS at nine different wavelengths of the same spectral range</w:t>
      </w:r>
      <w:r w:rsidRPr="00C7014F">
        <w:rPr>
          <w:rFonts w:ascii="Palatino Linotype" w:hAnsi="Palatino Linotype"/>
          <w:sz w:val="20"/>
        </w:rPr>
        <w:t xml:space="preserve">. The VIIRS SD port has a permanently </w:t>
      </w:r>
      <w:r w:rsidR="00C81B9D" w:rsidRPr="00C7014F">
        <w:rPr>
          <w:rFonts w:ascii="Palatino Linotype" w:hAnsi="Palatino Linotype"/>
          <w:sz w:val="20"/>
        </w:rPr>
        <w:t>fixed</w:t>
      </w:r>
      <w:r w:rsidR="00227E38" w:rsidRPr="00C7014F">
        <w:rPr>
          <w:rFonts w:ascii="Palatino Linotype" w:hAnsi="Palatino Linotype"/>
          <w:sz w:val="20"/>
        </w:rPr>
        <w:t xml:space="preserve"> attenuation screen</w:t>
      </w:r>
      <w:r w:rsidR="007C7620" w:rsidRPr="00C7014F">
        <w:rPr>
          <w:rFonts w:ascii="Palatino Linotype" w:hAnsi="Palatino Linotype"/>
          <w:sz w:val="20"/>
        </w:rPr>
        <w:t>,</w:t>
      </w:r>
      <w:r w:rsidR="00227E38" w:rsidRPr="00C7014F">
        <w:rPr>
          <w:rFonts w:ascii="Palatino Linotype" w:hAnsi="Palatino Linotype"/>
          <w:sz w:val="20"/>
        </w:rPr>
        <w:t xml:space="preserve"> </w:t>
      </w:r>
      <w:r w:rsidR="00DB58F7" w:rsidRPr="00C7014F">
        <w:rPr>
          <w:rFonts w:ascii="Palatino Linotype" w:hAnsi="Palatino Linotype"/>
          <w:sz w:val="20"/>
        </w:rPr>
        <w:t>but</w:t>
      </w:r>
      <w:r w:rsidR="00227E38" w:rsidRPr="00C7014F">
        <w:rPr>
          <w:rFonts w:ascii="Palatino Linotype" w:hAnsi="Palatino Linotype"/>
          <w:sz w:val="20"/>
        </w:rPr>
        <w:t xml:space="preserve"> </w:t>
      </w:r>
      <w:r w:rsidR="002508A4" w:rsidRPr="00C7014F">
        <w:rPr>
          <w:rFonts w:ascii="Palatino Linotype" w:hAnsi="Palatino Linotype"/>
          <w:sz w:val="20"/>
        </w:rPr>
        <w:t>it does not have a</w:t>
      </w:r>
      <w:r w:rsidR="00227E38" w:rsidRPr="00C7014F">
        <w:rPr>
          <w:rFonts w:ascii="Palatino Linotype" w:hAnsi="Palatino Linotype"/>
          <w:sz w:val="20"/>
        </w:rPr>
        <w:t xml:space="preserve"> dedicated </w:t>
      </w:r>
      <w:r w:rsidRPr="00C7014F">
        <w:rPr>
          <w:rFonts w:ascii="Palatino Linotype" w:hAnsi="Palatino Linotype"/>
          <w:sz w:val="20"/>
        </w:rPr>
        <w:t>door</w:t>
      </w:r>
      <w:r w:rsidR="00227E38" w:rsidRPr="00C7014F">
        <w:rPr>
          <w:rFonts w:ascii="Palatino Linotype" w:hAnsi="Palatino Linotype"/>
          <w:sz w:val="20"/>
        </w:rPr>
        <w:t xml:space="preserve"> cover</w:t>
      </w:r>
      <w:r w:rsidR="00DB58F7" w:rsidRPr="00C7014F">
        <w:rPr>
          <w:rFonts w:ascii="Palatino Linotype" w:hAnsi="Palatino Linotype"/>
          <w:sz w:val="20"/>
        </w:rPr>
        <w:t xml:space="preserve"> like MODIS</w:t>
      </w:r>
      <w:r w:rsidRPr="00C7014F">
        <w:rPr>
          <w:rFonts w:ascii="Palatino Linotype" w:hAnsi="Palatino Linotype"/>
          <w:sz w:val="20"/>
        </w:rPr>
        <w:t xml:space="preserve">. This means that the SD is illuminated by the Sun every orbit. The assumption applied to the MODIS SD calibration that the SD degrades uniformly with respect to incident and outgoing directions is also applied to the VIIRS SD calibration.   </w:t>
      </w:r>
    </w:p>
    <w:p w14:paraId="63A99D22" w14:textId="2F51F683" w:rsidR="004A2E39" w:rsidRPr="00C7014F" w:rsidRDefault="0095725C" w:rsidP="004A2E39">
      <w:pPr>
        <w:tabs>
          <w:tab w:val="left" w:pos="6480"/>
        </w:tabs>
        <w:spacing w:before="120" w:after="120"/>
        <w:jc w:val="both"/>
        <w:rPr>
          <w:rFonts w:ascii="Palatino Linotype" w:hAnsi="Palatino Linotype"/>
          <w:sz w:val="20"/>
        </w:rPr>
      </w:pPr>
      <w:r w:rsidRPr="00C7014F">
        <w:rPr>
          <w:rFonts w:ascii="Palatino Linotype" w:eastAsia="Calibri" w:hAnsi="Palatino Linotype"/>
          <w:sz w:val="20"/>
        </w:rPr>
        <w:t>Comparing the predicted solar radiance (</w:t>
      </w:r>
      <m:oMath>
        <m:sSub>
          <m:sSubPr>
            <m:ctrlPr>
              <w:rPr>
                <w:rFonts w:ascii="Cambria Math" w:hAnsi="Cambria Math"/>
                <w:i/>
                <w:sz w:val="20"/>
              </w:rPr>
            </m:ctrlPr>
          </m:sSubPr>
          <m:e>
            <m:r>
              <w:rPr>
                <w:rFonts w:ascii="Cambria Math" w:hAnsi="Cambria Math"/>
                <w:sz w:val="20"/>
              </w:rPr>
              <m:t>L</m:t>
            </m:r>
          </m:e>
          <m:sub>
            <m:r>
              <w:rPr>
                <w:rFonts w:ascii="Cambria Math" w:hAnsi="Cambria Math"/>
                <w:sz w:val="20"/>
              </w:rPr>
              <m:t>SD</m:t>
            </m:r>
          </m:sub>
        </m:sSub>
      </m:oMath>
      <w:r w:rsidRPr="00C7014F">
        <w:rPr>
          <w:rFonts w:ascii="Palatino Linotype" w:eastAsia="Calibri" w:hAnsi="Palatino Linotype"/>
          <w:sz w:val="20"/>
        </w:rPr>
        <w:t>) with that measured using Eq. (6) via detector response (</w:t>
      </w:r>
      <m:oMath>
        <m:sSub>
          <m:sSubPr>
            <m:ctrlPr>
              <w:rPr>
                <w:rFonts w:ascii="Cambria Math" w:hAnsi="Cambria Math"/>
                <w:i/>
                <w:sz w:val="20"/>
              </w:rPr>
            </m:ctrlPr>
          </m:sSubPr>
          <m:e>
            <m:r>
              <w:rPr>
                <w:rFonts w:ascii="Cambria Math" w:hAnsi="Cambria Math"/>
                <w:sz w:val="20"/>
              </w:rPr>
              <m:t>dn</m:t>
            </m:r>
          </m:e>
          <m:sub>
            <m:r>
              <w:rPr>
                <w:rFonts w:ascii="Cambria Math" w:hAnsi="Cambria Math"/>
                <w:sz w:val="20"/>
              </w:rPr>
              <m:t>SD</m:t>
            </m:r>
          </m:sub>
        </m:sSub>
        <m:r>
          <w:rPr>
            <w:rFonts w:ascii="Cambria Math" w:hAnsi="Cambria Math"/>
            <w:sz w:val="20"/>
          </w:rPr>
          <m:t>)</m:t>
        </m:r>
      </m:oMath>
      <w:r w:rsidRPr="00C7014F">
        <w:rPr>
          <w:rFonts w:ascii="Palatino Linotype" w:eastAsia="Calibri" w:hAnsi="Palatino Linotype"/>
          <w:sz w:val="20"/>
        </w:rPr>
        <w:t xml:space="preserve"> to the SD,</w:t>
      </w:r>
      <w:r w:rsidR="004A2E39" w:rsidRPr="00C7014F">
        <w:rPr>
          <w:rFonts w:ascii="Palatino Linotype" w:eastAsia="Calibri" w:hAnsi="Palatino Linotype"/>
          <w:sz w:val="20"/>
        </w:rPr>
        <w:t xml:space="preserve"> </w:t>
      </w:r>
      <w:r w:rsidR="003549E3" w:rsidRPr="00C7014F">
        <w:rPr>
          <w:rFonts w:ascii="Palatino Linotype" w:eastAsia="Calibri" w:hAnsi="Palatino Linotype"/>
          <w:sz w:val="20"/>
        </w:rPr>
        <w:t>the F-factors</w:t>
      </w:r>
      <w:r w:rsidR="004A2E39" w:rsidRPr="00C7014F">
        <w:rPr>
          <w:rFonts w:ascii="Palatino Linotype" w:eastAsia="Calibri" w:hAnsi="Palatino Linotype"/>
          <w:sz w:val="20"/>
        </w:rPr>
        <w:t xml:space="preserve"> for </w:t>
      </w:r>
      <w:r w:rsidR="00DB58F7" w:rsidRPr="00C7014F">
        <w:rPr>
          <w:rFonts w:ascii="Palatino Linotype" w:eastAsia="Calibri" w:hAnsi="Palatino Linotype"/>
          <w:sz w:val="20"/>
        </w:rPr>
        <w:t>the VIIRS</w:t>
      </w:r>
      <w:r w:rsidR="004A2E39" w:rsidRPr="00C7014F">
        <w:rPr>
          <w:rFonts w:ascii="Palatino Linotype" w:eastAsia="Calibri" w:hAnsi="Palatino Linotype"/>
          <w:sz w:val="20"/>
        </w:rPr>
        <w:t xml:space="preserve"> RSB </w:t>
      </w:r>
      <w:r w:rsidR="003549E3" w:rsidRPr="00C7014F">
        <w:rPr>
          <w:rFonts w:ascii="Palatino Linotype" w:eastAsia="Calibri" w:hAnsi="Palatino Linotype"/>
          <w:sz w:val="20"/>
        </w:rPr>
        <w:t xml:space="preserve">calibration </w:t>
      </w:r>
      <w:r w:rsidR="004A2E39" w:rsidRPr="00C7014F">
        <w:rPr>
          <w:rFonts w:ascii="Palatino Linotype" w:eastAsia="Calibri" w:hAnsi="Palatino Linotype"/>
          <w:sz w:val="20"/>
        </w:rPr>
        <w:t>can be calculated by</w:t>
      </w:r>
    </w:p>
    <w:p w14:paraId="7CFE0D9F" w14:textId="4C40930C" w:rsidR="00754A88" w:rsidRPr="00C7014F" w:rsidRDefault="004A2E39" w:rsidP="00754A88">
      <w:pPr>
        <w:spacing w:before="120" w:after="120" w:line="360" w:lineRule="auto"/>
        <w:ind w:left="115" w:right="115" w:firstLine="432"/>
        <w:contextualSpacing/>
        <w:jc w:val="both"/>
        <w:rPr>
          <w:rFonts w:ascii="Book Antiqua" w:eastAsia="Calibri" w:hAnsi="Book Antiqua"/>
          <w:noProof/>
          <w:position w:val="-32"/>
          <w:sz w:val="20"/>
        </w:rPr>
      </w:pPr>
      <w:r w:rsidRPr="00C7014F">
        <w:rPr>
          <w:rFonts w:ascii="Book Antiqua" w:hAnsi="Book Antiqua"/>
          <w:noProof/>
          <w:sz w:val="20"/>
        </w:rPr>
        <w:t xml:space="preserve">                                                  </w:t>
      </w:r>
      <m:oMath>
        <m:r>
          <w:rPr>
            <w:rFonts w:ascii="Cambria Math" w:eastAsia="Calibri" w:hAnsi="Cambria Math"/>
            <w:noProof/>
            <w:sz w:val="20"/>
            <w:szCs w:val="20"/>
          </w:rPr>
          <m:t>F</m:t>
        </m:r>
        <m:r>
          <w:rPr>
            <w:rFonts w:ascii="Cambria Math" w:eastAsia="Calibri" w:hAnsi="Book Antiqua"/>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w:rPr>
                    <w:rFonts w:ascii="Cambria Math" w:eastAsia="Calibri" w:hAnsi="Book Antiqua"/>
                    <w:noProof/>
                    <w:sz w:val="20"/>
                    <w:szCs w:val="20"/>
                  </w:rPr>
                  <m:t>RVS</m:t>
                </m:r>
              </m:e>
              <m:sub>
                <m:r>
                  <w:rPr>
                    <w:rFonts w:ascii="Cambria Math" w:eastAsia="Calibri" w:hAnsi="Book Antiqua"/>
                    <w:noProof/>
                    <w:sz w:val="20"/>
                    <w:szCs w:val="20"/>
                  </w:rPr>
                  <m:t>SD</m:t>
                </m:r>
              </m:sub>
            </m:sSub>
            <m:nary>
              <m:naryPr>
                <m:subHide m:val="1"/>
                <m:supHide m:val="1"/>
                <m:ctrlPr>
                  <w:rPr>
                    <w:rFonts w:ascii="Cambria Math" w:eastAsia="Calibri" w:hAnsi="Cambria Math"/>
                    <w:i/>
                    <w:noProof/>
                    <w:sz w:val="20"/>
                    <w:szCs w:val="20"/>
                  </w:rPr>
                </m:ctrlPr>
              </m:naryPr>
              <m:sub/>
              <m:sup/>
              <m:e>
                <m:r>
                  <w:rPr>
                    <w:rFonts w:ascii="Cambria Math" w:eastAsia="Calibri" w:hAnsi="Book Antiqua"/>
                    <w:noProof/>
                    <w:sz w:val="20"/>
                    <w:szCs w:val="20"/>
                  </w:rPr>
                  <m:t>RSR(λ,t)</m:t>
                </m:r>
                <m:r>
                  <w:rPr>
                    <w:rFonts w:ascii="Cambria Math" w:eastAsia="Calibri" w:hAnsi="Cambria Math" w:cs="Cambria Math"/>
                    <w:noProof/>
                    <w:sz w:val="20"/>
                    <w:szCs w:val="20"/>
                  </w:rPr>
                  <m:t>⋅</m:t>
                </m:r>
                <m:sSub>
                  <m:sSubPr>
                    <m:ctrlPr>
                      <w:rPr>
                        <w:rFonts w:ascii="Cambria Math" w:eastAsia="Calibri" w:hAnsi="Cambria Math"/>
                        <w:i/>
                        <w:noProof/>
                        <w:sz w:val="20"/>
                        <w:szCs w:val="20"/>
                      </w:rPr>
                    </m:ctrlPr>
                  </m:sSubPr>
                  <m:e>
                    <m:r>
                      <w:rPr>
                        <w:rFonts w:ascii="Cambria Math" w:eastAsia="Calibri" w:hAnsi="Book Antiqua"/>
                        <w:noProof/>
                        <w:sz w:val="20"/>
                        <w:szCs w:val="20"/>
                      </w:rPr>
                      <m:t>L</m:t>
                    </m:r>
                  </m:e>
                  <m:sub>
                    <m:r>
                      <w:rPr>
                        <w:rFonts w:ascii="Cambria Math" w:eastAsia="Calibri" w:hAnsi="Book Antiqua"/>
                        <w:noProof/>
                        <w:sz w:val="20"/>
                        <w:szCs w:val="20"/>
                      </w:rPr>
                      <m:t>SD</m:t>
                    </m:r>
                  </m:sub>
                </m:sSub>
                <m:r>
                  <w:rPr>
                    <w:rFonts w:ascii="Cambria Math" w:eastAsia="Calibri" w:hAnsi="Book Antiqua"/>
                    <w:noProof/>
                    <w:sz w:val="20"/>
                    <w:szCs w:val="20"/>
                  </w:rPr>
                  <m:t>(λ)dλ</m:t>
                </m:r>
              </m:e>
            </m:nary>
          </m:num>
          <m:den>
            <w:bookmarkStart w:id="8" w:name="_Hlk69212550"/>
            <m:d>
              <m:dPr>
                <m:begChr m:val="["/>
                <m:endChr m:val="]"/>
                <m:ctrlPr>
                  <w:rPr>
                    <w:rFonts w:ascii="Cambria Math" w:eastAsia="Calibri" w:hAnsi="Cambria Math"/>
                    <w:i/>
                    <w:noProof/>
                    <w:sz w:val="20"/>
                    <w:szCs w:val="20"/>
                  </w:rPr>
                </m:ctrlPr>
              </m:dPr>
              <m:e>
                <m:nary>
                  <m:naryPr>
                    <m:chr m:val="∑"/>
                    <m:limLoc m:val="subSup"/>
                    <m:supHide m:val="1"/>
                    <m:ctrlPr>
                      <w:rPr>
                        <w:rFonts w:ascii="Cambria Math" w:eastAsia="Calibri" w:hAnsi="Cambria Math"/>
                        <w:i/>
                        <w:noProof/>
                        <w:sz w:val="20"/>
                        <w:szCs w:val="20"/>
                      </w:rPr>
                    </m:ctrlPr>
                  </m:naryPr>
                  <m:sub>
                    <m:r>
                      <w:rPr>
                        <w:rFonts w:ascii="Cambria Math" w:eastAsia="Calibri" w:hAnsi="Cambria Math"/>
                        <w:noProof/>
                        <w:sz w:val="20"/>
                        <w:szCs w:val="20"/>
                      </w:rPr>
                      <m:t>i</m:t>
                    </m:r>
                  </m:sub>
                  <m:sup/>
                  <m:e>
                    <m:sSubSup>
                      <m:sSubSupPr>
                        <m:ctrlPr>
                          <w:rPr>
                            <w:rFonts w:ascii="Cambria Math" w:hAnsi="Cambria Math"/>
                            <w:i/>
                            <w:sz w:val="20"/>
                            <w:szCs w:val="20"/>
                          </w:rPr>
                        </m:ctrlPr>
                      </m:sSubSupPr>
                      <m:e>
                        <m:sSub>
                          <m:sSubPr>
                            <m:ctrlPr>
                              <w:rPr>
                                <w:rFonts w:ascii="Cambria Math" w:eastAsia="Calibri" w:hAnsi="Cambria Math" w:cs="Book Antiqua"/>
                                <w:i/>
                                <w:sz w:val="20"/>
                                <w:szCs w:val="20"/>
                              </w:rPr>
                            </m:ctrlPr>
                          </m:sSubPr>
                          <m:e>
                            <m:r>
                              <w:rPr>
                                <w:rFonts w:ascii="Cambria Math" w:eastAsia="Book Antiqua" w:hAnsi="Cambria Math" w:cs="Book Antiqua"/>
                                <w:sz w:val="20"/>
                                <w:szCs w:val="20"/>
                              </w:rPr>
                              <m:t>c</m:t>
                            </m:r>
                          </m:e>
                          <m:sub>
                            <m:r>
                              <w:rPr>
                                <w:rFonts w:ascii="Cambria Math" w:eastAsia="Book Antiqua" w:hAnsi="Cambria Math" w:cs="Book Antiqua"/>
                                <w:sz w:val="20"/>
                                <w:szCs w:val="20"/>
                              </w:rPr>
                              <m:t>i</m:t>
                            </m:r>
                          </m:sub>
                        </m:sSub>
                        <m:r>
                          <w:rPr>
                            <w:rFonts w:ascii="Cambria Math" w:hAnsi="Cambria Math"/>
                            <w:sz w:val="20"/>
                            <w:szCs w:val="20"/>
                          </w:rPr>
                          <m:t>dn</m:t>
                        </m:r>
                      </m:e>
                      <m:sub>
                        <m:r>
                          <w:rPr>
                            <w:rFonts w:ascii="Cambria Math" w:hAnsi="Cambria Math"/>
                            <w:sz w:val="20"/>
                            <w:szCs w:val="20"/>
                          </w:rPr>
                          <m:t>SD</m:t>
                        </m:r>
                      </m:sub>
                      <m:sup>
                        <m:r>
                          <w:rPr>
                            <w:rFonts w:ascii="Cambria Math" w:hAnsi="Cambria Math"/>
                            <w:sz w:val="20"/>
                            <w:szCs w:val="20"/>
                          </w:rPr>
                          <m:t>i</m:t>
                        </m:r>
                      </m:sup>
                    </m:sSubSup>
                  </m:e>
                </m:nary>
              </m:e>
            </m:d>
            <w:bookmarkEnd w:id="8"/>
            <m:nary>
              <m:naryPr>
                <m:subHide m:val="1"/>
                <m:supHide m:val="1"/>
                <m:ctrlPr>
                  <w:rPr>
                    <w:rFonts w:ascii="Cambria Math" w:eastAsia="Calibri" w:hAnsi="Cambria Math"/>
                    <w:i/>
                    <w:noProof/>
                    <w:sz w:val="20"/>
                    <w:szCs w:val="20"/>
                  </w:rPr>
                </m:ctrlPr>
              </m:naryPr>
              <m:sub/>
              <m:sup/>
              <m:e>
                <m:r>
                  <w:rPr>
                    <w:rFonts w:ascii="Cambria Math" w:eastAsia="Calibri" w:hAnsi="Book Antiqua"/>
                    <w:noProof/>
                    <w:sz w:val="20"/>
                    <w:szCs w:val="20"/>
                  </w:rPr>
                  <m:t>RSR(λ,t)dλ</m:t>
                </m:r>
              </m:e>
            </m:nary>
          </m:den>
        </m:f>
      </m:oMath>
      <w:r w:rsidRPr="00C7014F">
        <w:rPr>
          <w:rFonts w:ascii="Book Antiqua" w:eastAsia="Calibri" w:hAnsi="Book Antiqua"/>
          <w:sz w:val="20"/>
        </w:rPr>
        <w:t xml:space="preserve">                                                  (</w:t>
      </w:r>
      <w:r w:rsidR="00DB58F7" w:rsidRPr="00C7014F">
        <w:rPr>
          <w:rFonts w:ascii="Book Antiqua" w:eastAsia="Calibri" w:hAnsi="Book Antiqua"/>
          <w:sz w:val="20"/>
        </w:rPr>
        <w:t>7</w:t>
      </w:r>
      <w:r w:rsidRPr="00C7014F">
        <w:rPr>
          <w:rFonts w:ascii="Book Antiqua" w:eastAsia="Calibri" w:hAnsi="Book Antiqua"/>
          <w:sz w:val="20"/>
        </w:rPr>
        <w:t>)</w:t>
      </w:r>
    </w:p>
    <w:p w14:paraId="395D78A9" w14:textId="53E85F0C" w:rsidR="00B52DE8" w:rsidRPr="00C7014F" w:rsidRDefault="004A2E39" w:rsidP="00B52DE8">
      <w:pPr>
        <w:spacing w:before="120" w:after="120" w:line="262" w:lineRule="auto"/>
        <w:jc w:val="both"/>
        <w:rPr>
          <w:rFonts w:ascii="Book Antiqua" w:eastAsia="Calibri" w:hAnsi="Book Antiqua"/>
          <w:noProof/>
          <w:position w:val="-32"/>
          <w:sz w:val="20"/>
        </w:rPr>
      </w:pPr>
      <w:r w:rsidRPr="00C7014F">
        <w:rPr>
          <w:rFonts w:ascii="Palatino Linotype" w:eastAsia="Calibri" w:hAnsi="Palatino Linotype"/>
          <w:sz w:val="20"/>
        </w:rPr>
        <w:t xml:space="preserve">where </w:t>
      </w:r>
      <m:oMath>
        <m:sSub>
          <m:sSubPr>
            <m:ctrlPr>
              <w:rPr>
                <w:rFonts w:ascii="Cambria Math" w:eastAsia="Calibri" w:hAnsi="Cambria Math"/>
                <w:i/>
                <w:noProof/>
                <w:sz w:val="20"/>
              </w:rPr>
            </m:ctrlPr>
          </m:sSubPr>
          <m:e>
            <m:r>
              <w:rPr>
                <w:rFonts w:ascii="Cambria Math" w:eastAsia="Calibri" w:hAnsi="Book Antiqua"/>
                <w:noProof/>
                <w:sz w:val="20"/>
              </w:rPr>
              <m:t>RVS</m:t>
            </m:r>
          </m:e>
          <m:sub>
            <m:r>
              <w:rPr>
                <w:rFonts w:ascii="Cambria Math" w:eastAsia="Calibri" w:hAnsi="Book Antiqua"/>
                <w:noProof/>
                <w:sz w:val="20"/>
              </w:rPr>
              <m:t>SD</m:t>
            </m:r>
          </m:sub>
        </m:sSub>
      </m:oMath>
      <w:r w:rsidRPr="00C7014F">
        <w:rPr>
          <w:rFonts w:ascii="Palatino Linotype" w:eastAsia="Calibri" w:hAnsi="Palatino Linotype"/>
          <w:noProof/>
          <w:sz w:val="20"/>
        </w:rPr>
        <w:t xml:space="preserve"> is the RVS at the AOI of the SD. </w:t>
      </w:r>
      <w:r w:rsidRPr="00C7014F">
        <w:rPr>
          <w:rFonts w:ascii="Palatino Linotype" w:eastAsia="Calibri" w:hAnsi="Palatino Linotype"/>
          <w:sz w:val="20"/>
        </w:rPr>
        <w:t xml:space="preserve">The </w:t>
      </w:r>
      <w:r w:rsidR="00DB58F7" w:rsidRPr="00C7014F">
        <w:rPr>
          <w:rFonts w:ascii="Palatino Linotype" w:eastAsia="Calibri" w:hAnsi="Palatino Linotype"/>
          <w:sz w:val="20"/>
        </w:rPr>
        <w:t xml:space="preserve">VIIRS RSB </w:t>
      </w:r>
      <w:r w:rsidR="00590A93" w:rsidRPr="00C7014F">
        <w:rPr>
          <w:rFonts w:ascii="Palatino Linotype" w:eastAsia="Calibri" w:hAnsi="Palatino Linotype"/>
          <w:sz w:val="20"/>
        </w:rPr>
        <w:t>calibration</w:t>
      </w:r>
      <w:r w:rsidRPr="00C7014F">
        <w:rPr>
          <w:rFonts w:ascii="Palatino Linotype" w:eastAsia="Calibri" w:hAnsi="Palatino Linotype"/>
          <w:sz w:val="20"/>
        </w:rPr>
        <w:t xml:space="preserve"> is performed for each </w:t>
      </w:r>
      <w:r w:rsidR="00F82CBB" w:rsidRPr="00C7014F">
        <w:rPr>
          <w:rFonts w:ascii="Palatino Linotype" w:eastAsia="Calibri" w:hAnsi="Palatino Linotype"/>
          <w:sz w:val="20"/>
        </w:rPr>
        <w:t xml:space="preserve">scan using </w:t>
      </w:r>
      <w:r w:rsidR="007A7D55" w:rsidRPr="00C7014F">
        <w:rPr>
          <w:rFonts w:ascii="Palatino Linotype" w:eastAsia="Calibri" w:hAnsi="Palatino Linotype"/>
          <w:sz w:val="20"/>
        </w:rPr>
        <w:t>the</w:t>
      </w:r>
      <w:r w:rsidR="00F82CBB" w:rsidRPr="00C7014F">
        <w:rPr>
          <w:rFonts w:ascii="Palatino Linotype" w:eastAsia="Calibri" w:hAnsi="Palatino Linotype"/>
          <w:sz w:val="20"/>
        </w:rPr>
        <w:t xml:space="preserve"> detector’s average response to the SD </w:t>
      </w:r>
      <w:r w:rsidR="00F82681" w:rsidRPr="00C7014F">
        <w:rPr>
          <w:rFonts w:ascii="Palatino Linotype" w:eastAsia="Calibri" w:hAnsi="Palatino Linotype"/>
          <w:sz w:val="20"/>
        </w:rPr>
        <w:t>averaged</w:t>
      </w:r>
      <w:r w:rsidR="00F82CBB" w:rsidRPr="00C7014F">
        <w:rPr>
          <w:rFonts w:ascii="Palatino Linotype" w:eastAsia="Calibri" w:hAnsi="Palatino Linotype"/>
          <w:sz w:val="20"/>
        </w:rPr>
        <w:t xml:space="preserve"> over the scans in the select</w:t>
      </w:r>
      <w:r w:rsidRPr="00C7014F">
        <w:rPr>
          <w:rFonts w:ascii="Palatino Linotype" w:eastAsia="Calibri" w:hAnsi="Palatino Linotype"/>
          <w:sz w:val="20"/>
        </w:rPr>
        <w:t xml:space="preserve"> “sweet spot” which is defined by the angle between the solar vector and SD s</w:t>
      </w:r>
      <w:r w:rsidR="00CD4D77" w:rsidRPr="00C7014F">
        <w:rPr>
          <w:rFonts w:ascii="Palatino Linotype" w:eastAsia="Calibri" w:hAnsi="Palatino Linotype"/>
          <w:sz w:val="20"/>
        </w:rPr>
        <w:t xml:space="preserve">urface in the declination angle, </w:t>
      </w:r>
      <w:r w:rsidRPr="00C7014F">
        <w:rPr>
          <w:rFonts w:ascii="Palatino Linotype" w:eastAsia="Calibri" w:hAnsi="Palatino Linotype"/>
          <w:sz w:val="20"/>
        </w:rPr>
        <w:t>rang</w:t>
      </w:r>
      <w:r w:rsidR="00F82CBB" w:rsidRPr="00C7014F">
        <w:rPr>
          <w:rFonts w:ascii="Palatino Linotype" w:eastAsia="Calibri" w:hAnsi="Palatino Linotype"/>
          <w:sz w:val="20"/>
        </w:rPr>
        <w:t>ing</w:t>
      </w:r>
      <w:r w:rsidRPr="00C7014F">
        <w:rPr>
          <w:rFonts w:ascii="Palatino Linotype" w:eastAsia="Calibri" w:hAnsi="Palatino Linotype"/>
          <w:sz w:val="20"/>
        </w:rPr>
        <w:t xml:space="preserve"> from 34° to 37°. The </w:t>
      </w:r>
      <w:r w:rsidRPr="00C7014F">
        <w:rPr>
          <w:rFonts w:ascii="Palatino Linotype" w:eastAsia="Calibri" w:hAnsi="Palatino Linotype"/>
          <w:i/>
          <w:iCs/>
          <w:sz w:val="20"/>
        </w:rPr>
        <w:t>RSR(λ, t)</w:t>
      </w:r>
      <w:r w:rsidRPr="00C7014F">
        <w:rPr>
          <w:rFonts w:ascii="Palatino Linotype" w:eastAsia="Calibri" w:hAnsi="Palatino Linotype"/>
          <w:sz w:val="20"/>
        </w:rPr>
        <w:t xml:space="preserve"> in Eq. (</w:t>
      </w:r>
      <w:r w:rsidR="00AF335F" w:rsidRPr="00C7014F">
        <w:rPr>
          <w:rFonts w:ascii="Palatino Linotype" w:eastAsia="Calibri" w:hAnsi="Palatino Linotype"/>
          <w:sz w:val="20"/>
        </w:rPr>
        <w:t xml:space="preserve">7) is </w:t>
      </w:r>
      <w:r w:rsidRPr="00C7014F">
        <w:rPr>
          <w:rFonts w:ascii="Palatino Linotype" w:eastAsia="Calibri" w:hAnsi="Palatino Linotype"/>
          <w:sz w:val="20"/>
        </w:rPr>
        <w:t>time-dependent for SNPP VIIRS RSBs</w:t>
      </w:r>
      <w:r w:rsidR="00791467" w:rsidRPr="00C7014F">
        <w:rPr>
          <w:rFonts w:ascii="Palatino Linotype" w:eastAsia="Calibri" w:hAnsi="Palatino Linotype"/>
          <w:sz w:val="20"/>
        </w:rPr>
        <w:t xml:space="preserve"> as a result of</w:t>
      </w:r>
      <w:r w:rsidR="007B78A9" w:rsidRPr="00C7014F">
        <w:rPr>
          <w:rFonts w:ascii="Palatino Linotype" w:eastAsia="Calibri" w:hAnsi="Palatino Linotype"/>
          <w:sz w:val="20"/>
        </w:rPr>
        <w:t xml:space="preserve"> the</w:t>
      </w:r>
      <w:r w:rsidR="00791467" w:rsidRPr="00C7014F">
        <w:rPr>
          <w:rFonts w:ascii="Palatino Linotype" w:eastAsia="Calibri" w:hAnsi="Palatino Linotype"/>
          <w:sz w:val="20"/>
        </w:rPr>
        <w:t xml:space="preserve"> wavelength</w:t>
      </w:r>
      <w:r w:rsidR="007B78A9" w:rsidRPr="00C7014F">
        <w:rPr>
          <w:rFonts w:ascii="Palatino Linotype" w:eastAsia="Calibri" w:hAnsi="Palatino Linotype"/>
          <w:sz w:val="20"/>
        </w:rPr>
        <w:t>-</w:t>
      </w:r>
      <w:r w:rsidR="00791467" w:rsidRPr="00C7014F">
        <w:rPr>
          <w:rFonts w:ascii="Palatino Linotype" w:eastAsia="Calibri" w:hAnsi="Palatino Linotype"/>
          <w:sz w:val="20"/>
        </w:rPr>
        <w:t xml:space="preserve">dependent degradation in SNPP RTA optics and </w:t>
      </w:r>
      <w:r w:rsidR="00B5444A" w:rsidRPr="00C7014F">
        <w:rPr>
          <w:rFonts w:ascii="Palatino Linotype" w:eastAsia="Calibri" w:hAnsi="Palatino Linotype"/>
          <w:sz w:val="20"/>
        </w:rPr>
        <w:t>large</w:t>
      </w:r>
      <w:r w:rsidRPr="00C7014F">
        <w:rPr>
          <w:rFonts w:ascii="Palatino Linotype" w:eastAsia="Calibri" w:hAnsi="Palatino Linotype"/>
          <w:sz w:val="20"/>
        </w:rPr>
        <w:t xml:space="preserve"> OOB RSR c</w:t>
      </w:r>
      <w:r w:rsidR="00AF335F" w:rsidRPr="00C7014F">
        <w:rPr>
          <w:rFonts w:ascii="Palatino Linotype" w:eastAsia="Calibri" w:hAnsi="Palatino Linotype"/>
          <w:sz w:val="20"/>
        </w:rPr>
        <w:t>ontributions</w:t>
      </w:r>
      <w:r w:rsidRPr="00C7014F">
        <w:rPr>
          <w:rFonts w:ascii="Palatino Linotype" w:eastAsia="Calibri" w:hAnsi="Palatino Linotype"/>
          <w:sz w:val="20"/>
        </w:rPr>
        <w:t>. [</w:t>
      </w:r>
      <w:r w:rsidR="002F4E43" w:rsidRPr="00C7014F">
        <w:rPr>
          <w:rFonts w:ascii="Palatino Linotype" w:eastAsia="Calibri" w:hAnsi="Palatino Linotype"/>
          <w:sz w:val="20"/>
        </w:rPr>
        <w:t>52</w:t>
      </w:r>
      <w:r w:rsidRPr="00C7014F">
        <w:rPr>
          <w:rFonts w:ascii="Palatino Linotype" w:eastAsia="Calibri" w:hAnsi="Palatino Linotype"/>
          <w:sz w:val="20"/>
        </w:rPr>
        <w:t xml:space="preserve">] The SD calibration is performed for each orbit and the F-factor is derived for each RSB detector, HAM side, and gain stage </w:t>
      </w:r>
      <w:r w:rsidR="00E22A93" w:rsidRPr="00C7014F">
        <w:rPr>
          <w:rFonts w:ascii="Palatino Linotype" w:eastAsia="Calibri" w:hAnsi="Palatino Linotype"/>
          <w:sz w:val="20"/>
        </w:rPr>
        <w:t>for the dual</w:t>
      </w:r>
      <w:r w:rsidRPr="00C7014F">
        <w:rPr>
          <w:rFonts w:ascii="Palatino Linotype" w:eastAsia="Calibri" w:hAnsi="Palatino Linotype"/>
          <w:sz w:val="20"/>
        </w:rPr>
        <w:t xml:space="preserve"> gain band</w:t>
      </w:r>
      <w:r w:rsidR="00E22A93" w:rsidRPr="00C7014F">
        <w:rPr>
          <w:rFonts w:ascii="Palatino Linotype" w:eastAsia="Calibri" w:hAnsi="Palatino Linotype"/>
          <w:sz w:val="20"/>
        </w:rPr>
        <w:t>s.</w:t>
      </w:r>
      <w:r w:rsidR="00591404" w:rsidRPr="00C7014F">
        <w:rPr>
          <w:rFonts w:ascii="Palatino Linotype" w:eastAsia="Calibri" w:hAnsi="Palatino Linotype"/>
          <w:sz w:val="20"/>
        </w:rPr>
        <w:t xml:space="preserve"> </w:t>
      </w:r>
      <w:r w:rsidR="00566A18" w:rsidRPr="00C7014F">
        <w:rPr>
          <w:rFonts w:ascii="Palatino Linotype" w:eastAsia="Calibri" w:hAnsi="Palatino Linotype"/>
          <w:sz w:val="20"/>
        </w:rPr>
        <w:t>Compared to Eq. (4)</w:t>
      </w:r>
      <w:r w:rsidR="007B78A9" w:rsidRPr="00C7014F">
        <w:rPr>
          <w:rFonts w:ascii="Palatino Linotype" w:eastAsia="Calibri" w:hAnsi="Palatino Linotype"/>
          <w:sz w:val="20"/>
        </w:rPr>
        <w:t>,</w:t>
      </w:r>
      <w:r w:rsidR="00566A18" w:rsidRPr="00C7014F">
        <w:rPr>
          <w:rFonts w:ascii="Palatino Linotype" w:eastAsia="Calibri" w:hAnsi="Palatino Linotype"/>
          <w:sz w:val="20"/>
        </w:rPr>
        <w:t xml:space="preserve"> designed to derive </w:t>
      </w:r>
      <w:r w:rsidR="00611EBE" w:rsidRPr="00C7014F">
        <w:rPr>
          <w:rFonts w:ascii="Palatino Linotype" w:eastAsia="Calibri" w:hAnsi="Palatino Linotype"/>
          <w:sz w:val="20"/>
        </w:rPr>
        <w:t xml:space="preserve">the </w:t>
      </w:r>
      <w:r w:rsidR="00566A18" w:rsidRPr="00C7014F">
        <w:rPr>
          <w:rFonts w:ascii="Palatino Linotype" w:eastAsia="Calibri" w:hAnsi="Palatino Linotype"/>
          <w:sz w:val="20"/>
        </w:rPr>
        <w:t xml:space="preserve">MODIS RSB reflectance calibration coefficient, Eq. (7) is used to compute the radiance calibration coefficients for the VIIRS RSB. </w:t>
      </w:r>
      <w:r w:rsidR="00E5749E" w:rsidRPr="00C7014F">
        <w:rPr>
          <w:rFonts w:ascii="Palatino Linotype" w:eastAsia="Calibri" w:hAnsi="Palatino Linotype"/>
          <w:sz w:val="20"/>
        </w:rPr>
        <w:t xml:space="preserve">In addition to </w:t>
      </w:r>
      <w:r w:rsidR="007B78A9" w:rsidRPr="00C7014F">
        <w:rPr>
          <w:rFonts w:ascii="Palatino Linotype" w:eastAsia="Calibri" w:hAnsi="Palatino Linotype"/>
          <w:sz w:val="20"/>
        </w:rPr>
        <w:t xml:space="preserve">the </w:t>
      </w:r>
      <w:r w:rsidR="00591404" w:rsidRPr="00C7014F">
        <w:rPr>
          <w:rFonts w:ascii="Palatino Linotype" w:eastAsia="Calibri" w:hAnsi="Palatino Linotype"/>
          <w:sz w:val="20"/>
        </w:rPr>
        <w:t>SD bi-direction</w:t>
      </w:r>
      <w:r w:rsidR="00ED4ACA" w:rsidRPr="00C7014F">
        <w:rPr>
          <w:rFonts w:ascii="Palatino Linotype" w:eastAsia="Calibri" w:hAnsi="Palatino Linotype"/>
          <w:sz w:val="20"/>
        </w:rPr>
        <w:t>al reflectance function</w:t>
      </w:r>
      <w:r w:rsidR="00E5749E" w:rsidRPr="00C7014F">
        <w:rPr>
          <w:rFonts w:ascii="Palatino Linotype" w:eastAsia="Calibri" w:hAnsi="Palatino Linotype"/>
          <w:sz w:val="20"/>
        </w:rPr>
        <w:t xml:space="preserve"> and </w:t>
      </w:r>
      <w:r w:rsidR="00591404" w:rsidRPr="00C7014F">
        <w:rPr>
          <w:rFonts w:ascii="Palatino Linotype" w:eastAsia="Calibri" w:hAnsi="Palatino Linotype"/>
          <w:sz w:val="20"/>
        </w:rPr>
        <w:t xml:space="preserve">solar attenuation screen transmission, </w:t>
      </w:r>
      <w:r w:rsidR="00E5749E" w:rsidRPr="00C7014F">
        <w:rPr>
          <w:rFonts w:ascii="Palatino Linotype" w:eastAsia="Calibri" w:hAnsi="Palatino Linotype"/>
          <w:sz w:val="20"/>
        </w:rPr>
        <w:t xml:space="preserve">the sensor’s solar spectral irradiance is also needed to determine the predicted radiance </w:t>
      </w:r>
      <w:r w:rsidR="003D1066" w:rsidRPr="00C7014F">
        <w:rPr>
          <w:rFonts w:ascii="Palatino Linotype" w:eastAsia="Calibri" w:hAnsi="Palatino Linotype"/>
          <w:sz w:val="20"/>
        </w:rPr>
        <w:t xml:space="preserve">reflected off the SD </w:t>
      </w:r>
      <w:r w:rsidR="00E5749E" w:rsidRPr="00C7014F">
        <w:rPr>
          <w:rFonts w:ascii="Palatino Linotype" w:eastAsia="Calibri" w:hAnsi="Palatino Linotype"/>
          <w:sz w:val="20"/>
        </w:rPr>
        <w:t>(</w:t>
      </w:r>
      <m:oMath>
        <m:sSub>
          <m:sSubPr>
            <m:ctrlPr>
              <w:rPr>
                <w:rFonts w:ascii="Cambria Math" w:hAnsi="Cambria Math"/>
                <w:i/>
                <w:sz w:val="20"/>
              </w:rPr>
            </m:ctrlPr>
          </m:sSubPr>
          <m:e>
            <m:r>
              <w:rPr>
                <w:rFonts w:ascii="Cambria Math" w:hAnsi="Cambria Math"/>
                <w:sz w:val="20"/>
              </w:rPr>
              <m:t>L</m:t>
            </m:r>
          </m:e>
          <m:sub>
            <m:r>
              <w:rPr>
                <w:rFonts w:ascii="Cambria Math" w:hAnsi="Cambria Math"/>
                <w:sz w:val="20"/>
              </w:rPr>
              <m:t>SD</m:t>
            </m:r>
          </m:sub>
        </m:sSub>
      </m:oMath>
      <w:r w:rsidR="00E5749E" w:rsidRPr="00C7014F">
        <w:rPr>
          <w:rFonts w:ascii="Palatino Linotype" w:eastAsia="Calibri" w:hAnsi="Palatino Linotype"/>
          <w:sz w:val="20"/>
        </w:rPr>
        <w:t xml:space="preserve">) used to compute the F in Eq. (7). </w:t>
      </w:r>
      <w:r w:rsidR="00BA3A02" w:rsidRPr="00C7014F">
        <w:rPr>
          <w:rFonts w:ascii="Palatino Linotype" w:eastAsia="Calibri" w:hAnsi="Palatino Linotype"/>
          <w:sz w:val="20"/>
        </w:rPr>
        <w:t xml:space="preserve">The SNPP uses Kurucz spectra from MODTRAN 4.3 while N20 uses the Thuillier spectra </w:t>
      </w:r>
      <w:r w:rsidR="00A06FC3" w:rsidRPr="00C7014F">
        <w:rPr>
          <w:rFonts w:ascii="Palatino Linotype" w:eastAsia="Calibri" w:hAnsi="Palatino Linotype"/>
          <w:sz w:val="20"/>
        </w:rPr>
        <w:t>[</w:t>
      </w:r>
      <w:r w:rsidR="00193ECD" w:rsidRPr="00C7014F">
        <w:rPr>
          <w:rFonts w:ascii="Palatino Linotype" w:eastAsia="Calibri" w:hAnsi="Palatino Linotype"/>
          <w:sz w:val="20"/>
        </w:rPr>
        <w:t>53</w:t>
      </w:r>
      <w:r w:rsidR="00A06FC3" w:rsidRPr="00C7014F">
        <w:rPr>
          <w:rFonts w:ascii="Palatino Linotype" w:eastAsia="Calibri" w:hAnsi="Palatino Linotype"/>
          <w:sz w:val="20"/>
        </w:rPr>
        <w:t>]</w:t>
      </w:r>
      <w:r w:rsidR="00BA3A02" w:rsidRPr="00C7014F">
        <w:rPr>
          <w:rFonts w:ascii="Palatino Linotype" w:eastAsia="Calibri" w:hAnsi="Palatino Linotype"/>
          <w:sz w:val="20"/>
        </w:rPr>
        <w:t xml:space="preserve">. </w:t>
      </w:r>
      <w:r w:rsidR="00591404" w:rsidRPr="00C7014F">
        <w:rPr>
          <w:rFonts w:ascii="Palatino Linotype" w:eastAsia="Calibri" w:hAnsi="Palatino Linotype"/>
          <w:sz w:val="20"/>
        </w:rPr>
        <w:t xml:space="preserve">  </w:t>
      </w:r>
    </w:p>
    <w:p w14:paraId="51EAB473" w14:textId="77777777" w:rsidR="004A2E39" w:rsidRPr="00C7014F" w:rsidRDefault="005E1473" w:rsidP="00B52DE8">
      <w:pPr>
        <w:spacing w:before="120" w:after="120" w:line="262" w:lineRule="auto"/>
        <w:contextualSpacing/>
        <w:jc w:val="both"/>
        <w:rPr>
          <w:rFonts w:ascii="Book Antiqua" w:eastAsia="Calibri" w:hAnsi="Book Antiqua"/>
          <w:noProof/>
          <w:position w:val="-32"/>
          <w:sz w:val="20"/>
        </w:rPr>
      </w:pPr>
      <w:r w:rsidRPr="00C7014F">
        <w:rPr>
          <w:rFonts w:ascii="Palatino Linotype" w:hAnsi="Palatino Linotype"/>
          <w:sz w:val="20"/>
        </w:rPr>
        <w:lastRenderedPageBreak/>
        <w:t>Applying</w:t>
      </w:r>
      <w:r w:rsidR="004A2E39" w:rsidRPr="00C7014F">
        <w:rPr>
          <w:rFonts w:ascii="Palatino Linotype" w:hAnsi="Palatino Linotype"/>
          <w:sz w:val="20"/>
        </w:rPr>
        <w:t xml:space="preserve"> Eq. (</w:t>
      </w:r>
      <w:r w:rsidR="001460EB" w:rsidRPr="00C7014F">
        <w:rPr>
          <w:rFonts w:ascii="Palatino Linotype" w:hAnsi="Palatino Linotype"/>
          <w:sz w:val="20"/>
        </w:rPr>
        <w:t>6</w:t>
      </w:r>
      <w:r w:rsidR="004A2E39" w:rsidRPr="00C7014F">
        <w:rPr>
          <w:rFonts w:ascii="Palatino Linotype" w:hAnsi="Palatino Linotype"/>
          <w:sz w:val="20"/>
        </w:rPr>
        <w:t>)</w:t>
      </w:r>
      <w:r w:rsidR="00BC0DB1" w:rsidRPr="00C7014F">
        <w:rPr>
          <w:rFonts w:ascii="Palatino Linotype" w:hAnsi="Palatino Linotype"/>
          <w:sz w:val="20"/>
        </w:rPr>
        <w:t xml:space="preserve"> to the SV lunar observations</w:t>
      </w:r>
      <w:r w:rsidRPr="00C7014F">
        <w:rPr>
          <w:rFonts w:ascii="Palatino Linotype" w:hAnsi="Palatino Linotype"/>
          <w:sz w:val="20"/>
        </w:rPr>
        <w:t xml:space="preserve">, </w:t>
      </w:r>
      <w:r w:rsidR="004A2E39" w:rsidRPr="00C7014F">
        <w:rPr>
          <w:rFonts w:ascii="Palatino Linotype" w:hAnsi="Palatino Linotype"/>
          <w:sz w:val="20"/>
        </w:rPr>
        <w:t xml:space="preserve">the </w:t>
      </w:r>
      <w:r w:rsidRPr="00C7014F">
        <w:rPr>
          <w:rFonts w:ascii="Palatino Linotype" w:hAnsi="Palatino Linotype"/>
          <w:sz w:val="20"/>
        </w:rPr>
        <w:t xml:space="preserve">integrated </w:t>
      </w:r>
      <w:r w:rsidR="004A2E39" w:rsidRPr="00C7014F">
        <w:rPr>
          <w:rFonts w:ascii="Palatino Linotype" w:hAnsi="Palatino Linotype"/>
          <w:sz w:val="20"/>
        </w:rPr>
        <w:t xml:space="preserve">lunar irradiance measured by a VIIRS RSB can be calculated </w:t>
      </w:r>
      <w:r w:rsidRPr="00C7014F">
        <w:rPr>
          <w:rFonts w:ascii="Palatino Linotype" w:hAnsi="Palatino Linotype"/>
          <w:sz w:val="20"/>
        </w:rPr>
        <w:t>using</w:t>
      </w:r>
    </w:p>
    <w:p w14:paraId="34197D70" w14:textId="2AA61604" w:rsidR="004A2E39" w:rsidRPr="00C7014F" w:rsidRDefault="004A2E39" w:rsidP="00BC0DB1">
      <w:pPr>
        <w:spacing w:after="0" w:line="360" w:lineRule="auto"/>
        <w:rPr>
          <w:rFonts w:ascii="Palatino Linotype" w:hAnsi="Palatino Linotype"/>
          <w:sz w:val="20"/>
        </w:rPr>
      </w:pPr>
      <w:r w:rsidRPr="00C7014F">
        <w:rPr>
          <w:rFonts w:ascii="Palatino Linotype" w:hAnsi="Palatino Linotype"/>
          <w:sz w:val="20"/>
        </w:rPr>
        <w:t xml:space="preserve">                                                                      </w:t>
      </w:r>
      <m:oMath>
        <m:r>
          <w:rPr>
            <w:rFonts w:ascii="Cambria Math" w:hAnsi="Cambria Math"/>
            <w:sz w:val="20"/>
            <w:szCs w:val="20"/>
          </w:rPr>
          <m:t>I=</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N</m:t>
            </m:r>
          </m:den>
        </m:f>
        <m:f>
          <m:fPr>
            <m:ctrlPr>
              <w:rPr>
                <w:rFonts w:ascii="Cambria Math" w:hAnsi="Cambria Math"/>
                <w:i/>
                <w:sz w:val="20"/>
                <w:szCs w:val="20"/>
              </w:rPr>
            </m:ctrlPr>
          </m:fPr>
          <m:num>
            <m:r>
              <w:rPr>
                <w:rFonts w:ascii="Cambria Math" w:hAnsi="Cambria Math"/>
                <w:sz w:val="20"/>
                <w:szCs w:val="20"/>
              </w:rPr>
              <m:t>F</m:t>
            </m:r>
            <m:nary>
              <m:naryPr>
                <m:chr m:val="∑"/>
                <m:limLoc m:val="subSup"/>
                <m:supHide m:val="1"/>
                <m:ctrlPr>
                  <w:rPr>
                    <w:rFonts w:ascii="Cambria Math" w:hAnsi="Cambria Math"/>
                    <w:i/>
                    <w:sz w:val="20"/>
                    <w:szCs w:val="20"/>
                  </w:rPr>
                </m:ctrlPr>
              </m:naryPr>
              <m:sub>
                <m:r>
                  <w:rPr>
                    <w:rFonts w:ascii="Cambria Math" w:hAnsi="Cambria Math"/>
                    <w:sz w:val="20"/>
                    <w:szCs w:val="20"/>
                  </w:rPr>
                  <m:t>i</m:t>
                </m:r>
              </m:sub>
              <m:sup/>
              <m:e>
                <m:sSubSup>
                  <m:sSubSupPr>
                    <m:ctrlPr>
                      <w:rPr>
                        <w:rFonts w:ascii="Cambria Math" w:hAnsi="Cambria Math"/>
                        <w:i/>
                        <w:sz w:val="20"/>
                        <w:szCs w:val="20"/>
                      </w:rPr>
                    </m:ctrlPr>
                  </m:sSubSupPr>
                  <m:e>
                    <m:sSub>
                      <m:sSubPr>
                        <m:ctrlPr>
                          <w:rPr>
                            <w:rFonts w:ascii="Cambria Math" w:eastAsia="Calibri" w:hAnsi="Cambria Math" w:cs="Book Antiqua"/>
                            <w:i/>
                            <w:sz w:val="20"/>
                            <w:szCs w:val="20"/>
                          </w:rPr>
                        </m:ctrlPr>
                      </m:sSubPr>
                      <m:e>
                        <m:r>
                          <w:rPr>
                            <w:rFonts w:ascii="Cambria Math" w:eastAsia="Book Antiqua" w:hAnsi="Cambria Math" w:cs="Book Antiqua"/>
                            <w:sz w:val="20"/>
                            <w:szCs w:val="20"/>
                          </w:rPr>
                          <m:t>c</m:t>
                        </m:r>
                      </m:e>
                      <m:sub>
                        <m:r>
                          <w:rPr>
                            <w:rFonts w:ascii="Cambria Math" w:eastAsia="Book Antiqua" w:hAnsi="Cambria Math" w:cs="Book Antiqua"/>
                            <w:sz w:val="20"/>
                            <w:szCs w:val="20"/>
                          </w:rPr>
                          <m:t>i</m:t>
                        </m:r>
                      </m:sub>
                    </m:sSub>
                    <m:r>
                      <w:rPr>
                        <w:rFonts w:ascii="Cambria Math" w:hAnsi="Cambria Math"/>
                        <w:sz w:val="20"/>
                        <w:szCs w:val="20"/>
                      </w:rPr>
                      <m:t>dn</m:t>
                    </m:r>
                  </m:e>
                  <m:sub>
                    <m:r>
                      <w:rPr>
                        <w:rFonts w:ascii="Cambria Math" w:hAnsi="Cambria Math"/>
                        <w:sz w:val="20"/>
                        <w:szCs w:val="20"/>
                      </w:rPr>
                      <m:t>Moon</m:t>
                    </m:r>
                  </m:sub>
                  <m:sup>
                    <m:r>
                      <w:rPr>
                        <w:rFonts w:ascii="Cambria Math" w:hAnsi="Cambria Math"/>
                        <w:sz w:val="20"/>
                        <w:szCs w:val="20"/>
                      </w:rPr>
                      <m:t>i</m:t>
                    </m:r>
                  </m:sup>
                </m:sSubSup>
              </m:e>
            </m:nary>
            <m:r>
              <w:rPr>
                <w:rFonts w:ascii="Cambria Math" w:hAnsi="Cambria Math"/>
                <w:sz w:val="20"/>
                <w:szCs w:val="20"/>
              </w:rPr>
              <m:t>ω</m:t>
            </m:r>
          </m:num>
          <m:den>
            <m:sSub>
              <m:sSubPr>
                <m:ctrlPr>
                  <w:rPr>
                    <w:rFonts w:ascii="Cambria Math" w:hAnsi="Cambria Math"/>
                    <w:i/>
                    <w:sz w:val="20"/>
                    <w:szCs w:val="20"/>
                  </w:rPr>
                </m:ctrlPr>
              </m:sSubPr>
              <m:e>
                <m:r>
                  <w:rPr>
                    <w:rFonts w:ascii="Cambria Math" w:hAnsi="Cambria Math"/>
                    <w:sz w:val="20"/>
                    <w:szCs w:val="20"/>
                  </w:rPr>
                  <m:t>RVS</m:t>
                </m:r>
              </m:e>
              <m:sub>
                <m:r>
                  <w:rPr>
                    <w:rFonts w:ascii="Cambria Math" w:hAnsi="Cambria Math"/>
                    <w:sz w:val="20"/>
                    <w:szCs w:val="20"/>
                  </w:rPr>
                  <m:t>SV</m:t>
                </m:r>
              </m:sub>
            </m:sSub>
          </m:den>
        </m:f>
      </m:oMath>
      <w:r w:rsidRPr="00C7014F">
        <w:rPr>
          <w:rFonts w:ascii="Palatino Linotype" w:hAnsi="Palatino Linotype"/>
          <w:sz w:val="20"/>
        </w:rPr>
        <w:t>,                                                                       (</w:t>
      </w:r>
      <w:r w:rsidR="00824848" w:rsidRPr="00C7014F">
        <w:rPr>
          <w:rFonts w:ascii="Palatino Linotype" w:hAnsi="Palatino Linotype"/>
          <w:sz w:val="20"/>
        </w:rPr>
        <w:t>8</w:t>
      </w:r>
      <w:r w:rsidRPr="00C7014F">
        <w:rPr>
          <w:rFonts w:ascii="Palatino Linotype" w:hAnsi="Palatino Linotype"/>
          <w:sz w:val="20"/>
        </w:rPr>
        <w:t>)</w:t>
      </w:r>
    </w:p>
    <w:p w14:paraId="50EE0D79" w14:textId="625AD5D7" w:rsidR="004A2E39" w:rsidRPr="00C7014F" w:rsidRDefault="004A2E39" w:rsidP="004A2E39">
      <w:pPr>
        <w:spacing w:after="120"/>
        <w:jc w:val="both"/>
        <w:rPr>
          <w:rFonts w:ascii="Palatino Linotype" w:hAnsi="Palatino Linotype"/>
          <w:sz w:val="20"/>
        </w:rPr>
      </w:pPr>
      <w:r w:rsidRPr="00C7014F">
        <w:rPr>
          <w:rFonts w:ascii="Palatino Linotype" w:hAnsi="Palatino Linotype"/>
          <w:sz w:val="20"/>
        </w:rPr>
        <w:t xml:space="preserve">where </w:t>
      </w:r>
      <w:r w:rsidRPr="00C7014F">
        <w:rPr>
          <w:rFonts w:ascii="Symbol" w:hAnsi="Symbol"/>
          <w:i/>
          <w:iCs/>
          <w:sz w:val="20"/>
        </w:rPr>
        <w:t></w:t>
      </w:r>
      <w:r w:rsidRPr="00C7014F">
        <w:rPr>
          <w:rFonts w:ascii="Palatino Linotype" w:hAnsi="Palatino Linotype"/>
          <w:i/>
          <w:iCs/>
          <w:sz w:val="20"/>
        </w:rPr>
        <w:t xml:space="preserve"> = (S/824)</w:t>
      </w:r>
      <w:r w:rsidRPr="00C7014F">
        <w:rPr>
          <w:rFonts w:ascii="Palatino Linotype" w:hAnsi="Palatino Linotype"/>
          <w:i/>
          <w:iCs/>
          <w:sz w:val="20"/>
          <w:vertAlign w:val="superscript"/>
        </w:rPr>
        <w:t>2</w:t>
      </w:r>
      <w:r w:rsidRPr="00C7014F">
        <w:rPr>
          <w:rFonts w:ascii="Palatino Linotype" w:hAnsi="Palatino Linotype"/>
          <w:sz w:val="20"/>
        </w:rPr>
        <w:t xml:space="preserve"> is the solid angle (steradians) of each pixel of the band. </w:t>
      </w:r>
      <w:r w:rsidRPr="00C7014F">
        <w:rPr>
          <w:rFonts w:ascii="Palatino Linotype" w:hAnsi="Palatino Linotype"/>
          <w:i/>
          <w:iCs/>
          <w:sz w:val="20"/>
        </w:rPr>
        <w:t>S</w:t>
      </w:r>
      <w:r w:rsidRPr="00C7014F">
        <w:rPr>
          <w:rFonts w:ascii="Palatino Linotype" w:hAnsi="Palatino Linotype"/>
          <w:sz w:val="20"/>
        </w:rPr>
        <w:t xml:space="preserve"> is 0.375 for an I-band and 0.75 for M-band and 824 km is the nominal orbital altitude. </w:t>
      </w:r>
      <w:r w:rsidR="00C4072D" w:rsidRPr="00C7014F">
        <w:rPr>
          <w:rFonts w:ascii="Palatino Linotype" w:hAnsi="Palatino Linotype"/>
          <w:sz w:val="20"/>
        </w:rPr>
        <w:t xml:space="preserve">The </w:t>
      </w:r>
      <w:r w:rsidR="00CA5BB8" w:rsidRPr="00C7014F">
        <w:rPr>
          <w:rFonts w:ascii="Palatino Linotype" w:hAnsi="Palatino Linotype"/>
          <w:sz w:val="20"/>
        </w:rPr>
        <w:t xml:space="preserve">VIIRS SV has the same AOI as its SD at which the RSB RVS is normalized, thus the </w:t>
      </w:r>
      <m:oMath>
        <m:sSub>
          <m:sSubPr>
            <m:ctrlPr>
              <w:rPr>
                <w:rFonts w:ascii="Cambria Math" w:hAnsi="Cambria Math"/>
                <w:i/>
                <w:sz w:val="20"/>
                <w:szCs w:val="20"/>
              </w:rPr>
            </m:ctrlPr>
          </m:sSubPr>
          <m:e>
            <m:r>
              <w:rPr>
                <w:rFonts w:ascii="Cambria Math" w:hAnsi="Cambria Math"/>
                <w:sz w:val="20"/>
                <w:szCs w:val="20"/>
              </w:rPr>
              <m:t>RVS</m:t>
            </m:r>
          </m:e>
          <m:sub>
            <m:r>
              <w:rPr>
                <w:rFonts w:ascii="Cambria Math" w:hAnsi="Cambria Math"/>
                <w:sz w:val="20"/>
                <w:szCs w:val="20"/>
              </w:rPr>
              <m:t>SV</m:t>
            </m:r>
          </m:sub>
        </m:sSub>
      </m:oMath>
      <w:r w:rsidR="00CA5BB8" w:rsidRPr="00C7014F">
        <w:rPr>
          <w:rFonts w:ascii="Palatino Linotype" w:eastAsiaTheme="minorEastAsia" w:hAnsi="Palatino Linotype"/>
          <w:sz w:val="20"/>
          <w:szCs w:val="20"/>
        </w:rPr>
        <w:t xml:space="preserve"> </w:t>
      </w:r>
      <w:r w:rsidR="00CA5BB8" w:rsidRPr="00C7014F">
        <w:rPr>
          <w:rFonts w:ascii="Palatino Linotype" w:hAnsi="Palatino Linotype"/>
          <w:sz w:val="20"/>
        </w:rPr>
        <w:t xml:space="preserve">in Eq. (8) is equal to 1. </w:t>
      </w:r>
      <w:r w:rsidRPr="00C7014F">
        <w:rPr>
          <w:rFonts w:ascii="Palatino Linotype" w:hAnsi="Palatino Linotype"/>
          <w:sz w:val="20"/>
        </w:rPr>
        <w:t xml:space="preserve">Like the lunar calibration for MODIS, the VIIRS lunar calibrations use only the </w:t>
      </w:r>
      <w:r w:rsidRPr="00C7014F">
        <w:rPr>
          <w:rFonts w:ascii="Palatino Linotype" w:hAnsi="Palatino Linotype"/>
          <w:i/>
          <w:iCs/>
          <w:sz w:val="20"/>
        </w:rPr>
        <w:t>N</w:t>
      </w:r>
      <w:r w:rsidRPr="00C7014F">
        <w:rPr>
          <w:rFonts w:ascii="Palatino Linotype" w:hAnsi="Palatino Linotype"/>
          <w:sz w:val="20"/>
        </w:rPr>
        <w:t xml:space="preserve"> scans in which the full disk of the Moon can be observed </w:t>
      </w:r>
      <w:r w:rsidR="00BC0DB1" w:rsidRPr="00C7014F">
        <w:rPr>
          <w:rFonts w:ascii="Palatino Linotype" w:hAnsi="Palatino Linotype"/>
          <w:sz w:val="20"/>
        </w:rPr>
        <w:t>during</w:t>
      </w:r>
      <w:r w:rsidRPr="00C7014F">
        <w:rPr>
          <w:rFonts w:ascii="Palatino Linotype" w:hAnsi="Palatino Linotype"/>
          <w:sz w:val="20"/>
        </w:rPr>
        <w:t xml:space="preserve"> each scheduled lunar observation. For all regular</w:t>
      </w:r>
      <w:r w:rsidR="00C4072D" w:rsidRPr="00C7014F">
        <w:rPr>
          <w:rFonts w:ascii="Palatino Linotype" w:hAnsi="Palatino Linotype"/>
          <w:sz w:val="20"/>
        </w:rPr>
        <w:t>ly</w:t>
      </w:r>
      <w:r w:rsidRPr="00C7014F">
        <w:rPr>
          <w:rFonts w:ascii="Palatino Linotype" w:hAnsi="Palatino Linotype"/>
          <w:sz w:val="20"/>
        </w:rPr>
        <w:t xml:space="preserve"> scheduled lunar observations of both SNPP and N20 VIIRS, the gain stages of all dual-gain bands are fixed at high gain. </w:t>
      </w:r>
      <w:r w:rsidR="00550D9B" w:rsidRPr="00C7014F">
        <w:rPr>
          <w:rFonts w:ascii="Palatino Linotype" w:hAnsi="Palatino Linotype"/>
          <w:sz w:val="20"/>
        </w:rPr>
        <w:t>E</w:t>
      </w:r>
      <w:r w:rsidRPr="00C7014F">
        <w:rPr>
          <w:rFonts w:ascii="Palatino Linotype" w:hAnsi="Palatino Linotype"/>
          <w:sz w:val="20"/>
        </w:rPr>
        <w:t>xample</w:t>
      </w:r>
      <w:r w:rsidR="00550D9B" w:rsidRPr="00C7014F">
        <w:rPr>
          <w:rFonts w:ascii="Palatino Linotype" w:hAnsi="Palatino Linotype"/>
          <w:sz w:val="20"/>
        </w:rPr>
        <w:t>s</w:t>
      </w:r>
      <w:r w:rsidRPr="00C7014F">
        <w:rPr>
          <w:rFonts w:ascii="Palatino Linotype" w:hAnsi="Palatino Linotype"/>
          <w:sz w:val="20"/>
        </w:rPr>
        <w:t xml:space="preserve"> of SNPP lunar image</w:t>
      </w:r>
      <w:r w:rsidR="00550D9B" w:rsidRPr="00C7014F">
        <w:rPr>
          <w:rFonts w:ascii="Palatino Linotype" w:hAnsi="Palatino Linotype"/>
          <w:sz w:val="20"/>
        </w:rPr>
        <w:t>s</w:t>
      </w:r>
      <w:r w:rsidRPr="00C7014F">
        <w:rPr>
          <w:rFonts w:ascii="Palatino Linotype" w:hAnsi="Palatino Linotype"/>
          <w:sz w:val="20"/>
        </w:rPr>
        <w:t xml:space="preserve"> for bands I1 and M1 </w:t>
      </w:r>
      <w:r w:rsidR="00550D9B" w:rsidRPr="00C7014F">
        <w:rPr>
          <w:rFonts w:ascii="Palatino Linotype" w:hAnsi="Palatino Linotype"/>
          <w:sz w:val="20"/>
        </w:rPr>
        <w:t>are</w:t>
      </w:r>
      <w:r w:rsidRPr="00C7014F">
        <w:rPr>
          <w:rFonts w:ascii="Palatino Linotype" w:hAnsi="Palatino Linotype"/>
          <w:sz w:val="20"/>
        </w:rPr>
        <w:t xml:space="preserve"> </w:t>
      </w:r>
      <w:r w:rsidR="000B4D60" w:rsidRPr="00C7014F">
        <w:rPr>
          <w:rFonts w:ascii="Palatino Linotype" w:hAnsi="Palatino Linotype"/>
          <w:sz w:val="20"/>
        </w:rPr>
        <w:t xml:space="preserve">also </w:t>
      </w:r>
      <w:r w:rsidRPr="00C7014F">
        <w:rPr>
          <w:rFonts w:ascii="Palatino Linotype" w:hAnsi="Palatino Linotype"/>
          <w:sz w:val="20"/>
        </w:rPr>
        <w:t xml:space="preserve">shown in Figure </w:t>
      </w:r>
      <w:r w:rsidR="000B4D60" w:rsidRPr="00C7014F">
        <w:rPr>
          <w:rFonts w:ascii="Palatino Linotype" w:hAnsi="Palatino Linotype"/>
          <w:sz w:val="20"/>
        </w:rPr>
        <w:t>2</w:t>
      </w:r>
      <w:r w:rsidRPr="00C7014F">
        <w:rPr>
          <w:rFonts w:ascii="Palatino Linotype" w:hAnsi="Palatino Linotype"/>
          <w:sz w:val="20"/>
        </w:rPr>
        <w:t>. For VIIRS lunar observations, only band M7 in N20 has shown any signs of saturation, and even then</w:t>
      </w:r>
      <w:r w:rsidR="00746574" w:rsidRPr="00C7014F">
        <w:rPr>
          <w:rFonts w:ascii="Palatino Linotype" w:hAnsi="Palatino Linotype"/>
          <w:sz w:val="20"/>
        </w:rPr>
        <w:t>,</w:t>
      </w:r>
      <w:r w:rsidRPr="00C7014F">
        <w:rPr>
          <w:rFonts w:ascii="Palatino Linotype" w:hAnsi="Palatino Linotype"/>
          <w:sz w:val="20"/>
        </w:rPr>
        <w:t xml:space="preserve"> for only a few pixels.  To correct this, the same approach as used for MODIS bands 13-16 is employed, this time with band M5 as a reference. It is worth mentioning that a sector rotation is applied to collect lunar data in </w:t>
      </w:r>
      <w:r w:rsidR="000B4D60" w:rsidRPr="00C7014F">
        <w:rPr>
          <w:rFonts w:ascii="Palatino Linotype" w:hAnsi="Palatino Linotype"/>
          <w:sz w:val="20"/>
        </w:rPr>
        <w:t xml:space="preserve">the </w:t>
      </w:r>
      <w:r w:rsidRPr="00C7014F">
        <w:rPr>
          <w:rFonts w:ascii="Palatino Linotype" w:hAnsi="Palatino Linotype"/>
          <w:sz w:val="20"/>
        </w:rPr>
        <w:t xml:space="preserve">EV </w:t>
      </w:r>
      <w:r w:rsidR="000B4D60" w:rsidRPr="00C7014F">
        <w:rPr>
          <w:rFonts w:ascii="Palatino Linotype" w:hAnsi="Palatino Linotype"/>
          <w:sz w:val="20"/>
        </w:rPr>
        <w:t xml:space="preserve">data </w:t>
      </w:r>
      <w:r w:rsidRPr="00C7014F">
        <w:rPr>
          <w:rFonts w:ascii="Palatino Linotype" w:hAnsi="Palatino Linotype"/>
          <w:sz w:val="20"/>
        </w:rPr>
        <w:t xml:space="preserve">sector. VIIRS EV has three different aggregation regions. SNPP and N20 VIIRS lunar data are </w:t>
      </w:r>
      <w:r w:rsidR="00C14A22" w:rsidRPr="00C7014F">
        <w:rPr>
          <w:rFonts w:ascii="Palatino Linotype" w:hAnsi="Palatino Linotype"/>
          <w:sz w:val="20"/>
        </w:rPr>
        <w:t xml:space="preserve">collected </w:t>
      </w:r>
      <w:r w:rsidRPr="00C7014F">
        <w:rPr>
          <w:rFonts w:ascii="Palatino Linotype" w:hAnsi="Palatino Linotype"/>
          <w:sz w:val="20"/>
        </w:rPr>
        <w:t>in different aggregation regions and special attention should be paid for the summation over pixels along the scan direction in Eq. (</w:t>
      </w:r>
      <w:r w:rsidR="00C6437A" w:rsidRPr="00C7014F">
        <w:rPr>
          <w:rFonts w:ascii="Palatino Linotype" w:hAnsi="Palatino Linotype"/>
          <w:sz w:val="20"/>
        </w:rPr>
        <w:t>8</w:t>
      </w:r>
      <w:r w:rsidRPr="00C7014F">
        <w:rPr>
          <w:rFonts w:ascii="Palatino Linotype" w:hAnsi="Palatino Linotype"/>
          <w:sz w:val="20"/>
        </w:rPr>
        <w:t xml:space="preserve">). In this analysis, prelaunch </w:t>
      </w:r>
      <w:r w:rsidRPr="00C7014F">
        <w:rPr>
          <w:rFonts w:ascii="Palatino Linotype" w:hAnsi="Palatino Linotype"/>
          <w:i/>
          <w:iCs/>
          <w:sz w:val="20"/>
        </w:rPr>
        <w:t>RVS</w:t>
      </w:r>
      <w:r w:rsidRPr="00C7014F">
        <w:rPr>
          <w:rFonts w:ascii="Palatino Linotype" w:hAnsi="Palatino Linotype"/>
          <w:sz w:val="20"/>
        </w:rPr>
        <w:t xml:space="preserve"> and </w:t>
      </w:r>
      <w:r w:rsidR="002B5562" w:rsidRPr="00C7014F">
        <w:rPr>
          <w:rFonts w:ascii="Palatino Linotype" w:hAnsi="Palatino Linotype"/>
          <w:sz w:val="20"/>
        </w:rPr>
        <w:t xml:space="preserve">C2 </w:t>
      </w:r>
      <w:r w:rsidRPr="00C7014F">
        <w:rPr>
          <w:rFonts w:ascii="Palatino Linotype" w:hAnsi="Palatino Linotype"/>
          <w:sz w:val="20"/>
        </w:rPr>
        <w:t>F-factor LUTs are applied in Eq. (</w:t>
      </w:r>
      <w:r w:rsidR="00C6437A" w:rsidRPr="00C7014F">
        <w:rPr>
          <w:rFonts w:ascii="Palatino Linotype" w:hAnsi="Palatino Linotype"/>
          <w:sz w:val="20"/>
        </w:rPr>
        <w:t>8</w:t>
      </w:r>
      <w:r w:rsidRPr="00C7014F">
        <w:rPr>
          <w:rFonts w:ascii="Palatino Linotype" w:hAnsi="Palatino Linotype"/>
          <w:sz w:val="20"/>
        </w:rPr>
        <w:t xml:space="preserve">) for SNPP and </w:t>
      </w:r>
      <w:r w:rsidR="002B5562" w:rsidRPr="00C7014F">
        <w:rPr>
          <w:rFonts w:ascii="Palatino Linotype" w:hAnsi="Palatino Linotype"/>
          <w:sz w:val="20"/>
        </w:rPr>
        <w:t xml:space="preserve">C2.1 LUTs for </w:t>
      </w:r>
      <w:r w:rsidRPr="00C7014F">
        <w:rPr>
          <w:rFonts w:ascii="Palatino Linotype" w:hAnsi="Palatino Linotype"/>
          <w:sz w:val="20"/>
        </w:rPr>
        <w:t xml:space="preserve">N20 VIIRS. </w:t>
      </w:r>
    </w:p>
    <w:p w14:paraId="5787C85A" w14:textId="77777777" w:rsidR="004A2E39" w:rsidRPr="00C7014F" w:rsidRDefault="004A2E39" w:rsidP="004A2E39">
      <w:pPr>
        <w:spacing w:before="120" w:after="120"/>
        <w:jc w:val="both"/>
        <w:rPr>
          <w:rFonts w:ascii="Palatino Linotype" w:hAnsi="Palatino Linotype"/>
          <w:sz w:val="20"/>
        </w:rPr>
      </w:pPr>
      <w:r w:rsidRPr="00C7014F">
        <w:rPr>
          <w:rFonts w:ascii="Palatino Linotype" w:eastAsia="Calibri" w:hAnsi="Palatino Linotype"/>
          <w:sz w:val="20"/>
        </w:rPr>
        <w:t xml:space="preserve">Same as for </w:t>
      </w:r>
      <w:r w:rsidR="008D3349" w:rsidRPr="00C7014F">
        <w:rPr>
          <w:rFonts w:ascii="Palatino Linotype" w:eastAsia="Calibri" w:hAnsi="Palatino Linotype"/>
          <w:sz w:val="20"/>
        </w:rPr>
        <w:t xml:space="preserve">the </w:t>
      </w:r>
      <w:r w:rsidRPr="00C7014F">
        <w:rPr>
          <w:rFonts w:ascii="Palatino Linotype" w:eastAsia="Calibri" w:hAnsi="Palatino Linotype"/>
          <w:sz w:val="20"/>
        </w:rPr>
        <w:t xml:space="preserve">MODIS RSBs, </w:t>
      </w:r>
      <w:r w:rsidR="001345A6" w:rsidRPr="00C7014F">
        <w:rPr>
          <w:rFonts w:ascii="Palatino Linotype" w:eastAsia="Calibri" w:hAnsi="Palatino Linotype"/>
          <w:sz w:val="20"/>
        </w:rPr>
        <w:t xml:space="preserve">the </w:t>
      </w:r>
      <w:r w:rsidRPr="00C7014F">
        <w:rPr>
          <w:rFonts w:ascii="Palatino Linotype" w:eastAsia="Calibri" w:hAnsi="Palatino Linotype"/>
          <w:sz w:val="20"/>
        </w:rPr>
        <w:t xml:space="preserve">impact of the detector difference on the calibration coefficients derived from a lunar observation for a VIIRS RSB can be assumed to be negligible. Then the detector-averaged relative </w:t>
      </w:r>
      <w:r w:rsidRPr="00C7014F">
        <w:rPr>
          <w:rFonts w:ascii="Palatino Linotype" w:eastAsia="Calibri" w:hAnsi="Palatino Linotype"/>
          <w:i/>
          <w:iCs/>
          <w:sz w:val="20"/>
        </w:rPr>
        <w:t>F</w:t>
      </w:r>
      <w:r w:rsidRPr="00C7014F">
        <w:rPr>
          <w:rFonts w:ascii="Palatino Linotype" w:eastAsia="Calibri" w:hAnsi="Palatino Linotype"/>
          <w:sz w:val="20"/>
        </w:rPr>
        <w:t xml:space="preserve"> factor can be derived from each of the scheduled lunar observations </w:t>
      </w:r>
      <w:r w:rsidR="008F57B6" w:rsidRPr="00C7014F">
        <w:rPr>
          <w:rFonts w:ascii="Palatino Linotype" w:eastAsia="Calibri" w:hAnsi="Palatino Linotype"/>
          <w:sz w:val="20"/>
        </w:rPr>
        <w:t>using</w:t>
      </w:r>
    </w:p>
    <w:p w14:paraId="0F1E0608" w14:textId="5A899A8C" w:rsidR="004A2E39" w:rsidRPr="00C7014F" w:rsidRDefault="004A2E39" w:rsidP="004A2E39">
      <w:pPr>
        <w:spacing w:before="120" w:after="120"/>
        <w:jc w:val="center"/>
        <w:rPr>
          <w:rFonts w:ascii="Times New Roman" w:eastAsia="Calibri" w:hAnsi="Times New Roman"/>
        </w:rPr>
      </w:pPr>
      <w:r w:rsidRPr="00C7014F">
        <w:rPr>
          <w:rFonts w:ascii="Times New Roman" w:eastAsia="Calibri" w:hAnsi="Times New Roman"/>
        </w:rPr>
        <w:t xml:space="preserve">                        </w:t>
      </w:r>
      <w:r w:rsidR="002D0B1A" w:rsidRPr="00C7014F">
        <w:rPr>
          <w:rFonts w:ascii="Times New Roman" w:eastAsia="Calibri" w:hAnsi="Times New Roman"/>
        </w:rPr>
        <w:tab/>
      </w:r>
      <w:r w:rsidR="002D0B1A" w:rsidRPr="00C7014F">
        <w:rPr>
          <w:rFonts w:ascii="Times New Roman" w:eastAsia="Calibri" w:hAnsi="Times New Roman"/>
        </w:rPr>
        <w:tab/>
      </w:r>
      <w:r w:rsidRPr="00C7014F">
        <w:rPr>
          <w:rFonts w:ascii="Times New Roman" w:eastAsia="Calibri" w:hAnsi="Times New Roman"/>
        </w:rPr>
        <w:t xml:space="preserve">      </w:t>
      </w:r>
      <m:oMath>
        <m:sSup>
          <m:sSupPr>
            <m:ctrlPr>
              <w:rPr>
                <w:rFonts w:ascii="Cambria Math" w:eastAsia="Calibri" w:hAnsi="Calibri"/>
                <w:i/>
                <w:sz w:val="20"/>
                <w:szCs w:val="20"/>
              </w:rPr>
            </m:ctrlPr>
          </m:sSupPr>
          <m:e>
            <m:r>
              <w:rPr>
                <w:rFonts w:ascii="Cambria Math" w:eastAsia="Calibri" w:hAnsi="Calibri"/>
                <w:sz w:val="20"/>
                <w:szCs w:val="20"/>
              </w:rPr>
              <m:t>F</m:t>
            </m:r>
          </m:e>
          <m:sup>
            <m:r>
              <w:rPr>
                <w:rFonts w:ascii="Cambria Math" w:eastAsia="Calibri" w:hAnsi="Calibri"/>
                <w:sz w:val="20"/>
                <w:szCs w:val="20"/>
              </w:rPr>
              <m:t>Moon</m:t>
            </m:r>
          </m:sup>
        </m:sSup>
        <m:r>
          <w:rPr>
            <w:rFonts w:ascii="Cambria Math" w:eastAsia="Calibri" w:hAnsi="Calibri"/>
            <w:sz w:val="20"/>
            <w:szCs w:val="20"/>
          </w:rPr>
          <m:t>=</m:t>
        </m:r>
        <m:f>
          <m:fPr>
            <m:ctrlPr>
              <w:rPr>
                <w:rFonts w:ascii="Cambria Math" w:eastAsia="Calibri" w:hAnsi="Calibri"/>
                <w:i/>
                <w:sz w:val="20"/>
                <w:szCs w:val="20"/>
              </w:rPr>
            </m:ctrlPr>
          </m:fPr>
          <m:num>
            <m:r>
              <w:rPr>
                <w:rFonts w:ascii="Cambria Math" w:eastAsia="Calibri" w:hAnsi="Calibri"/>
                <w:sz w:val="20"/>
                <w:szCs w:val="20"/>
              </w:rPr>
              <m:t>I N</m:t>
            </m:r>
          </m:num>
          <m:den>
            <m:nary>
              <m:naryPr>
                <m:chr m:val="∑"/>
                <m:limLoc m:val="undOvr"/>
                <m:supHide m:val="1"/>
                <m:ctrlPr>
                  <w:rPr>
                    <w:rFonts w:ascii="Cambria Math" w:eastAsia="Calibri" w:hAnsi="Calibri"/>
                    <w:i/>
                    <w:sz w:val="20"/>
                    <w:szCs w:val="20"/>
                  </w:rPr>
                </m:ctrlPr>
              </m:naryPr>
              <m:sub>
                <m:r>
                  <w:rPr>
                    <w:rFonts w:ascii="Cambria Math" w:eastAsia="Calibri" w:hAnsi="Calibri"/>
                    <w:sz w:val="20"/>
                    <w:szCs w:val="20"/>
                  </w:rPr>
                  <m:t>i</m:t>
                </m:r>
              </m:sub>
              <m:sup/>
              <m:e>
                <m:sSub>
                  <m:sSubPr>
                    <m:ctrlPr>
                      <w:rPr>
                        <w:rFonts w:ascii="Cambria Math" w:eastAsia="Calibri" w:hAnsi="Calibri"/>
                        <w:i/>
                        <w:sz w:val="20"/>
                        <w:szCs w:val="20"/>
                      </w:rPr>
                    </m:ctrlPr>
                  </m:sSubPr>
                  <m:e>
                    <m:r>
                      <w:rPr>
                        <w:rFonts w:ascii="Cambria Math" w:eastAsia="Calibri" w:hAnsi="Calibri"/>
                        <w:sz w:val="20"/>
                        <w:szCs w:val="20"/>
                      </w:rPr>
                      <m:t>c</m:t>
                    </m:r>
                  </m:e>
                  <m:sub>
                    <m:r>
                      <w:rPr>
                        <w:rFonts w:ascii="Cambria Math" w:eastAsia="Calibri" w:hAnsi="Calibri"/>
                        <w:sz w:val="20"/>
                        <w:szCs w:val="20"/>
                      </w:rPr>
                      <m:t>i</m:t>
                    </m:r>
                  </m:sub>
                </m:sSub>
              </m:e>
            </m:nary>
            <m:sSubSup>
              <m:sSubSupPr>
                <m:ctrlPr>
                  <w:rPr>
                    <w:rFonts w:ascii="Cambria Math" w:eastAsia="Calibri" w:hAnsi="Calibri"/>
                    <w:i/>
                    <w:sz w:val="20"/>
                    <w:szCs w:val="20"/>
                  </w:rPr>
                </m:ctrlPr>
              </m:sSubSupPr>
              <m:e>
                <m:r>
                  <w:rPr>
                    <w:rFonts w:ascii="Cambria Math" w:eastAsia="Calibri" w:hAnsi="Calibri"/>
                    <w:sz w:val="20"/>
                    <w:szCs w:val="20"/>
                  </w:rPr>
                  <m:t>dn</m:t>
                </m:r>
              </m:e>
              <m:sub>
                <m:r>
                  <w:rPr>
                    <w:rFonts w:ascii="Cambria Math" w:eastAsia="Calibri" w:hAnsi="Calibri"/>
                    <w:sz w:val="20"/>
                    <w:szCs w:val="20"/>
                  </w:rPr>
                  <m:t>Moon</m:t>
                </m:r>
              </m:sub>
              <m:sup>
                <m:r>
                  <w:rPr>
                    <w:rFonts w:ascii="Cambria Math" w:eastAsia="Calibri" w:hAnsi="Calibri"/>
                    <w:sz w:val="20"/>
                    <w:szCs w:val="20"/>
                  </w:rPr>
                  <m:t>i</m:t>
                </m:r>
              </m:sup>
            </m:sSubSup>
            <m:ctrlPr>
              <w:rPr>
                <w:rFonts w:ascii="Cambria Math" w:eastAsia="Calibri" w:hAnsi="Cambria Math"/>
                <w:i/>
                <w:sz w:val="20"/>
                <w:szCs w:val="20"/>
              </w:rPr>
            </m:ctrlPr>
          </m:den>
        </m:f>
      </m:oMath>
      <w:r w:rsidRPr="00C7014F">
        <w:rPr>
          <w:rFonts w:ascii="Times New Roman" w:eastAsia="Calibri" w:hAnsi="Times New Roman"/>
        </w:rPr>
        <w:t xml:space="preserve">.                              </w:t>
      </w:r>
      <w:r w:rsidR="002D0B1A" w:rsidRPr="00C7014F">
        <w:rPr>
          <w:rFonts w:ascii="Times New Roman" w:eastAsia="Calibri" w:hAnsi="Times New Roman"/>
        </w:rPr>
        <w:tab/>
      </w:r>
      <w:r w:rsidR="002D0B1A" w:rsidRPr="00C7014F">
        <w:rPr>
          <w:rFonts w:ascii="Times New Roman" w:eastAsia="Calibri" w:hAnsi="Times New Roman"/>
        </w:rPr>
        <w:tab/>
      </w:r>
      <w:r w:rsidR="002D0B1A" w:rsidRPr="00C7014F">
        <w:rPr>
          <w:rFonts w:ascii="Times New Roman" w:eastAsia="Calibri" w:hAnsi="Times New Roman"/>
        </w:rPr>
        <w:tab/>
      </w:r>
      <w:r w:rsidRPr="00C7014F">
        <w:rPr>
          <w:rFonts w:ascii="Times New Roman" w:eastAsia="Calibri" w:hAnsi="Times New Roman"/>
        </w:rPr>
        <w:t xml:space="preserve"> (</w:t>
      </w:r>
      <w:r w:rsidR="00824848" w:rsidRPr="00C7014F">
        <w:rPr>
          <w:rFonts w:ascii="Times New Roman" w:eastAsia="Calibri" w:hAnsi="Times New Roman"/>
        </w:rPr>
        <w:t>9</w:t>
      </w:r>
      <w:r w:rsidRPr="00C7014F">
        <w:rPr>
          <w:rFonts w:ascii="Times New Roman" w:eastAsia="Calibri" w:hAnsi="Times New Roman"/>
        </w:rPr>
        <w:t>)</w:t>
      </w:r>
    </w:p>
    <w:p w14:paraId="0DDA1283" w14:textId="4DE7A667" w:rsidR="004A2E39" w:rsidRPr="00C7014F" w:rsidRDefault="004A2E39" w:rsidP="004A2E39">
      <w:pPr>
        <w:spacing w:before="120" w:after="120"/>
        <w:jc w:val="both"/>
        <w:rPr>
          <w:rFonts w:ascii="Palatino Linotype" w:hAnsi="Palatino Linotype"/>
          <w:sz w:val="20"/>
        </w:rPr>
      </w:pPr>
      <w:r w:rsidRPr="00C7014F">
        <w:rPr>
          <w:rFonts w:ascii="Palatino Linotype" w:eastAsia="Calibri" w:hAnsi="Palatino Linotype"/>
          <w:sz w:val="20"/>
        </w:rPr>
        <w:t xml:space="preserve">The predicted lunar irradiance </w:t>
      </w:r>
      <w:r w:rsidR="008D3349" w:rsidRPr="00C7014F">
        <w:rPr>
          <w:rFonts w:ascii="Palatino Linotype" w:eastAsia="Calibri" w:hAnsi="Palatino Linotype"/>
          <w:sz w:val="20"/>
        </w:rPr>
        <w:t xml:space="preserve">for each lunar observation event, </w:t>
      </w:r>
      <w:r w:rsidR="008D3349" w:rsidRPr="00C7014F">
        <w:rPr>
          <w:rFonts w:ascii="Palatino Linotype" w:eastAsia="Calibri" w:hAnsi="Palatino Linotype"/>
          <w:i/>
          <w:sz w:val="20"/>
        </w:rPr>
        <w:t>I</w:t>
      </w:r>
      <w:r w:rsidR="008D3349" w:rsidRPr="00C7014F">
        <w:rPr>
          <w:rFonts w:ascii="Palatino Linotype" w:eastAsia="Calibri" w:hAnsi="Palatino Linotype"/>
          <w:sz w:val="20"/>
        </w:rPr>
        <w:t xml:space="preserve">, is provided by </w:t>
      </w:r>
      <w:r w:rsidRPr="00C7014F">
        <w:rPr>
          <w:rFonts w:ascii="Palatino Linotype" w:eastAsia="Calibri" w:hAnsi="Palatino Linotype"/>
          <w:sz w:val="20"/>
        </w:rPr>
        <w:t>the ROLO model</w:t>
      </w:r>
      <w:r w:rsidR="008D3349" w:rsidRPr="00C7014F">
        <w:rPr>
          <w:rFonts w:ascii="Palatino Linotype" w:eastAsia="Calibri" w:hAnsi="Palatino Linotype"/>
          <w:sz w:val="20"/>
        </w:rPr>
        <w:t xml:space="preserve">. </w:t>
      </w:r>
      <w:r w:rsidRPr="00C7014F">
        <w:rPr>
          <w:rFonts w:ascii="Palatino Linotype" w:eastAsia="Calibri" w:hAnsi="Palatino Linotype"/>
          <w:sz w:val="20"/>
        </w:rPr>
        <w:t xml:space="preserve">To distinguish the F-factor derived from the SD/SDSM calibration, a superscript “Moon” is </w:t>
      </w:r>
      <w:r w:rsidR="00161455" w:rsidRPr="00C7014F">
        <w:rPr>
          <w:rFonts w:ascii="Palatino Linotype" w:eastAsia="Calibri" w:hAnsi="Palatino Linotype"/>
          <w:sz w:val="20"/>
        </w:rPr>
        <w:t xml:space="preserve">added to the </w:t>
      </w:r>
      <w:r w:rsidR="00161455" w:rsidRPr="00C7014F">
        <w:rPr>
          <w:rFonts w:ascii="Palatino Linotype" w:eastAsia="Calibri" w:hAnsi="Palatino Linotype"/>
          <w:i/>
          <w:sz w:val="20"/>
        </w:rPr>
        <w:t>F</w:t>
      </w:r>
      <w:r w:rsidRPr="00C7014F">
        <w:rPr>
          <w:rFonts w:ascii="Palatino Linotype" w:eastAsia="Calibri" w:hAnsi="Palatino Linotype"/>
          <w:sz w:val="20"/>
        </w:rPr>
        <w:t xml:space="preserve">. </w:t>
      </w:r>
      <w:r w:rsidR="006957F8" w:rsidRPr="00C7014F">
        <w:rPr>
          <w:rFonts w:ascii="Palatino Linotype" w:eastAsia="Calibri" w:hAnsi="Palatino Linotype"/>
          <w:sz w:val="20"/>
        </w:rPr>
        <w:t>Similar to MODIS, the VIIRS lunar calibration is only used to track its RSB on-orbit changes</w:t>
      </w:r>
      <w:r w:rsidR="002A764F" w:rsidRPr="00C7014F">
        <w:rPr>
          <w:rFonts w:ascii="Palatino Linotype" w:eastAsia="Calibri" w:hAnsi="Palatino Linotype"/>
          <w:sz w:val="20"/>
        </w:rPr>
        <w:t xml:space="preserve"> and some of the constant parameters in Eq. (8) are dropped in Eq. (9)</w:t>
      </w:r>
      <w:r w:rsidR="006957F8" w:rsidRPr="00C7014F">
        <w:rPr>
          <w:rFonts w:ascii="Palatino Linotype" w:eastAsia="Calibri" w:hAnsi="Palatino Linotype"/>
          <w:sz w:val="20"/>
        </w:rPr>
        <w:t xml:space="preserve">. </w:t>
      </w:r>
      <w:r w:rsidRPr="00C7014F">
        <w:rPr>
          <w:rFonts w:ascii="Palatino Linotype" w:eastAsia="Calibri" w:hAnsi="Palatino Linotype"/>
          <w:sz w:val="20"/>
        </w:rPr>
        <w:t>T</w:t>
      </w:r>
      <w:r w:rsidRPr="00C7014F">
        <w:rPr>
          <w:rFonts w:ascii="Palatino Linotype" w:hAnsi="Palatino Linotype"/>
          <w:sz w:val="20"/>
        </w:rPr>
        <w:t>he VIIRS lunar calibration coefficients are scaled by normalizing the lunar F-factors derived from Eq. (</w:t>
      </w:r>
      <w:r w:rsidR="00C6437A" w:rsidRPr="00C7014F">
        <w:rPr>
          <w:rFonts w:ascii="Palatino Linotype" w:hAnsi="Palatino Linotype"/>
          <w:sz w:val="20"/>
        </w:rPr>
        <w:t>8</w:t>
      </w:r>
      <w:r w:rsidRPr="00C7014F">
        <w:rPr>
          <w:rFonts w:ascii="Palatino Linotype" w:hAnsi="Palatino Linotype"/>
          <w:sz w:val="20"/>
        </w:rPr>
        <w:t xml:space="preserve">) to the corresponding F-factors derived from the SD/SDSM calibration at the time of instrument launch to get absolute values of the lunar calibration coefficients.  </w:t>
      </w:r>
    </w:p>
    <w:p w14:paraId="0204E883" w14:textId="7ECB00EA" w:rsidR="004A2E39" w:rsidRPr="00C7014F" w:rsidRDefault="004A2E39" w:rsidP="002B1934">
      <w:pPr>
        <w:spacing w:before="120" w:after="240"/>
        <w:jc w:val="both"/>
        <w:rPr>
          <w:rFonts w:ascii="Palatino Linotype" w:eastAsia="Calibri" w:hAnsi="Palatino Linotype"/>
          <w:sz w:val="20"/>
        </w:rPr>
      </w:pPr>
      <w:r w:rsidRPr="00C7014F">
        <w:rPr>
          <w:rFonts w:ascii="Palatino Linotype" w:hAnsi="Palatino Linotype"/>
          <w:sz w:val="20"/>
        </w:rPr>
        <w:t>VIIRS RSBs view the SD and the SV at same AOI of the HAM and thus the SD calibration and lunar calibration should provide identical on-orbit changes for the RSBs if both the SD and lunar calibration results are accurate. It is known that the SD degrades non-uniformly with respect to incident and outgoing direction</w:t>
      </w:r>
      <w:r w:rsidR="004E56E3" w:rsidRPr="00C7014F">
        <w:rPr>
          <w:rFonts w:ascii="Palatino Linotype" w:hAnsi="Palatino Linotype"/>
          <w:sz w:val="20"/>
        </w:rPr>
        <w:t xml:space="preserve"> [</w:t>
      </w:r>
      <w:r w:rsidR="001D2F78" w:rsidRPr="00C7014F">
        <w:rPr>
          <w:rFonts w:ascii="Palatino Linotype" w:hAnsi="Palatino Linotype"/>
          <w:sz w:val="20"/>
        </w:rPr>
        <w:t>44</w:t>
      </w:r>
      <w:r w:rsidR="004E56E3" w:rsidRPr="00C7014F">
        <w:rPr>
          <w:rFonts w:ascii="Palatino Linotype" w:hAnsi="Palatino Linotype"/>
          <w:sz w:val="20"/>
        </w:rPr>
        <w:t>]</w:t>
      </w:r>
      <w:r w:rsidRPr="00C7014F">
        <w:rPr>
          <w:rFonts w:ascii="Palatino Linotype" w:hAnsi="Palatino Linotype"/>
          <w:sz w:val="20"/>
        </w:rPr>
        <w:t xml:space="preserve">. Thus, the SD degradation from the SDSM view direction when applied to the RSB view direction may result in long-term biases in the F-factors derived from the SD calibration, especially for short wavelength bands, as also confirmed by </w:t>
      </w:r>
      <w:r w:rsidR="00DC5433" w:rsidRPr="00C7014F">
        <w:rPr>
          <w:rFonts w:ascii="Palatino Linotype" w:hAnsi="Palatino Linotype"/>
          <w:sz w:val="20"/>
        </w:rPr>
        <w:t>EV</w:t>
      </w:r>
      <w:r w:rsidRPr="00C7014F">
        <w:rPr>
          <w:rFonts w:ascii="Palatino Linotype" w:hAnsi="Palatino Linotype"/>
          <w:sz w:val="20"/>
        </w:rPr>
        <w:t xml:space="preserve"> measurements. A comparison between the two sets of F-factors can identify the long-term biases in the SD F-factors and can be used to obtain the SD degradation differences between the two view directions. </w:t>
      </w:r>
      <w:r w:rsidR="002D516B" w:rsidRPr="00C7014F">
        <w:rPr>
          <w:rFonts w:ascii="Palatino Linotype" w:hAnsi="Palatino Linotype"/>
          <w:sz w:val="20"/>
        </w:rPr>
        <w:t>Combining</w:t>
      </w:r>
      <w:r w:rsidRPr="00C7014F">
        <w:rPr>
          <w:rFonts w:ascii="Palatino Linotype" w:hAnsi="Palatino Linotype"/>
          <w:sz w:val="20"/>
        </w:rPr>
        <w:t xml:space="preserve"> the SD and lunar calibration results provides the RSB F-factors with both long-term accuracy and short-term </w:t>
      </w:r>
      <w:r w:rsidR="00550D9B" w:rsidRPr="00C7014F">
        <w:rPr>
          <w:rFonts w:ascii="Palatino Linotype" w:hAnsi="Palatino Linotype"/>
          <w:sz w:val="20"/>
        </w:rPr>
        <w:t>stability</w:t>
      </w:r>
      <w:r w:rsidRPr="00C7014F">
        <w:rPr>
          <w:rFonts w:ascii="Palatino Linotype" w:hAnsi="Palatino Linotype"/>
          <w:sz w:val="20"/>
        </w:rPr>
        <w:t>.</w:t>
      </w:r>
    </w:p>
    <w:p w14:paraId="1158908E" w14:textId="77777777" w:rsidR="002B1934" w:rsidRPr="00C7014F" w:rsidRDefault="002B1934" w:rsidP="004A2E39">
      <w:pPr>
        <w:spacing w:before="120" w:after="120"/>
        <w:jc w:val="both"/>
      </w:pPr>
      <w:r w:rsidRPr="00C7014F">
        <w:rPr>
          <w:noProof/>
        </w:rPr>
        <w:lastRenderedPageBreak/>
        <w:drawing>
          <wp:inline distT="0" distB="0" distL="0" distR="0" wp14:anchorId="16C6435E" wp14:editId="4F1322B9">
            <wp:extent cx="5943600" cy="1136650"/>
            <wp:effectExtent l="0" t="0" r="0" b="6350"/>
            <wp:docPr id="3" name="Picture 2">
              <a:extLst xmlns:a="http://schemas.openxmlformats.org/drawingml/2006/main">
                <a:ext uri="{FF2B5EF4-FFF2-40B4-BE49-F238E27FC236}">
                  <a16:creationId xmlns:a16="http://schemas.microsoft.com/office/drawing/2014/main" id="{54A73830-1BE8-1D7C-8C88-ADF8FF80C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4A73830-1BE8-1D7C-8C88-ADF8FF80C0B0}"/>
                        </a:ext>
                      </a:extLst>
                    </pic:cNvPr>
                    <pic:cNvPicPr>
                      <a:picLocks noChangeAspect="1"/>
                    </pic:cNvPicPr>
                  </pic:nvPicPr>
                  <pic:blipFill>
                    <a:blip r:embed="rId9"/>
                    <a:srcRect/>
                    <a:stretch/>
                  </pic:blipFill>
                  <pic:spPr>
                    <a:xfrm>
                      <a:off x="0" y="0"/>
                      <a:ext cx="5943600" cy="1136650"/>
                    </a:xfrm>
                    <a:prstGeom prst="rect">
                      <a:avLst/>
                    </a:prstGeom>
                  </pic:spPr>
                </pic:pic>
              </a:graphicData>
            </a:graphic>
          </wp:inline>
        </w:drawing>
      </w:r>
    </w:p>
    <w:p w14:paraId="0DAE5C73" w14:textId="6505FC1A" w:rsidR="004A2E39" w:rsidRPr="00C7014F" w:rsidRDefault="000B4D60" w:rsidP="004A2E39">
      <w:pPr>
        <w:spacing w:before="120" w:after="120"/>
        <w:jc w:val="center"/>
        <w:rPr>
          <w:rFonts w:ascii="Palatino Linotype" w:hAnsi="Palatino Linotype"/>
          <w:sz w:val="20"/>
        </w:rPr>
      </w:pPr>
      <w:r w:rsidRPr="00C7014F">
        <w:rPr>
          <w:rFonts w:ascii="Palatino Linotype" w:hAnsi="Palatino Linotype"/>
          <w:sz w:val="20"/>
        </w:rPr>
        <w:t xml:space="preserve">Figure </w:t>
      </w:r>
      <w:r w:rsidR="004A2E39" w:rsidRPr="00C7014F">
        <w:rPr>
          <w:rFonts w:ascii="Palatino Linotype" w:hAnsi="Palatino Linotype"/>
          <w:sz w:val="20"/>
        </w:rPr>
        <w:t>4. (a) SNPP and (b) N20 VIIRS SD and Lunar gain trending</w:t>
      </w:r>
      <w:r w:rsidR="00600EF9" w:rsidRPr="00C7014F">
        <w:rPr>
          <w:rFonts w:ascii="Palatino Linotype" w:hAnsi="Palatino Linotype"/>
          <w:sz w:val="20"/>
        </w:rPr>
        <w:t xml:space="preserve"> for bands I1 and M1.</w:t>
      </w:r>
    </w:p>
    <w:p w14:paraId="751D6F7B" w14:textId="26B1D5F7" w:rsidR="004A2E39" w:rsidRPr="00C7014F" w:rsidRDefault="004A2E39" w:rsidP="008A4AF4">
      <w:pPr>
        <w:spacing w:before="120" w:after="120"/>
        <w:jc w:val="both"/>
        <w:rPr>
          <w:rFonts w:ascii="Palatino Linotype" w:hAnsi="Palatino Linotype"/>
          <w:sz w:val="20"/>
        </w:rPr>
      </w:pPr>
      <w:r w:rsidRPr="00C7014F">
        <w:rPr>
          <w:rFonts w:ascii="Palatino Linotype" w:hAnsi="Palatino Linotype"/>
          <w:sz w:val="20"/>
        </w:rPr>
        <w:t>Similar to t</w:t>
      </w:r>
      <w:r w:rsidR="00B81757" w:rsidRPr="00C7014F">
        <w:rPr>
          <w:rFonts w:ascii="Palatino Linotype" w:hAnsi="Palatino Linotype"/>
          <w:sz w:val="20"/>
        </w:rPr>
        <w:t xml:space="preserve">he MODIS gains shown in Figure </w:t>
      </w:r>
      <w:r w:rsidRPr="00C7014F">
        <w:rPr>
          <w:rFonts w:ascii="Palatino Linotype" w:hAnsi="Palatino Linotype"/>
          <w:sz w:val="20"/>
        </w:rPr>
        <w:t xml:space="preserve">3, the VIIRS gains are shown in </w:t>
      </w:r>
      <w:r w:rsidR="00B81757" w:rsidRPr="00C7014F">
        <w:rPr>
          <w:rFonts w:ascii="Palatino Linotype" w:hAnsi="Palatino Linotype"/>
          <w:sz w:val="20"/>
        </w:rPr>
        <w:t xml:space="preserve">Figure </w:t>
      </w:r>
      <w:r w:rsidRPr="00C7014F">
        <w:rPr>
          <w:rFonts w:ascii="Palatino Linotype" w:hAnsi="Palatino Linotype"/>
          <w:sz w:val="20"/>
        </w:rPr>
        <w:t xml:space="preserve">4 for the VIS band M1 (412 nm) and NIR band I1 (645 nm). Unlike the RVS-caused separation between the lunar and SD gains in MODIS, the separation between the two sources is a result of the inadequacy in SDSM to accurately characterize the non-uniform degradation in the SD, which manifests as a divergence with the lunar gain.  The lunar data can be used as a method for correcting the SD degradation trends </w:t>
      </w:r>
      <w:r w:rsidR="00044E70" w:rsidRPr="00C7014F">
        <w:rPr>
          <w:rFonts w:ascii="Palatino Linotype" w:hAnsi="Palatino Linotype"/>
          <w:sz w:val="20"/>
        </w:rPr>
        <w:t xml:space="preserve">so </w:t>
      </w:r>
      <w:r w:rsidRPr="00C7014F">
        <w:rPr>
          <w:rFonts w:ascii="Palatino Linotype" w:hAnsi="Palatino Linotype"/>
          <w:sz w:val="20"/>
        </w:rPr>
        <w:t>that the SD and</w:t>
      </w:r>
      <w:r w:rsidR="008A4AF4" w:rsidRPr="00C7014F">
        <w:rPr>
          <w:rFonts w:ascii="Palatino Linotype" w:hAnsi="Palatino Linotype"/>
          <w:sz w:val="20"/>
        </w:rPr>
        <w:t xml:space="preserve"> lunar trends </w:t>
      </w:r>
      <w:r w:rsidR="00044E70" w:rsidRPr="00C7014F">
        <w:rPr>
          <w:rFonts w:ascii="Palatino Linotype" w:hAnsi="Palatino Linotype"/>
          <w:sz w:val="20"/>
        </w:rPr>
        <w:t>agree</w:t>
      </w:r>
      <w:r w:rsidR="008A4AF4" w:rsidRPr="00C7014F">
        <w:rPr>
          <w:rFonts w:ascii="Palatino Linotype" w:hAnsi="Palatino Linotype"/>
          <w:sz w:val="20"/>
        </w:rPr>
        <w:t>.</w:t>
      </w:r>
    </w:p>
    <w:p w14:paraId="054ABB5F" w14:textId="77777777" w:rsidR="008A4AF4" w:rsidRPr="00C7014F" w:rsidRDefault="008A4AF4" w:rsidP="008A4AF4">
      <w:pPr>
        <w:spacing w:before="120" w:after="120"/>
        <w:jc w:val="both"/>
        <w:rPr>
          <w:rFonts w:ascii="Palatino Linotype" w:hAnsi="Palatino Linotype"/>
          <w:sz w:val="20"/>
          <w:szCs w:val="20"/>
        </w:rPr>
      </w:pPr>
    </w:p>
    <w:p w14:paraId="1F02DE64" w14:textId="3724671F" w:rsidR="004A2E39" w:rsidRPr="00C7014F" w:rsidRDefault="004A2E39" w:rsidP="004A2E39">
      <w:pPr>
        <w:spacing w:line="300" w:lineRule="exact"/>
        <w:rPr>
          <w:rFonts w:ascii="Palatino Linotype" w:hAnsi="Palatino Linotype"/>
          <w:b/>
          <w:sz w:val="20"/>
          <w:szCs w:val="20"/>
        </w:rPr>
      </w:pPr>
      <w:r w:rsidRPr="00C7014F">
        <w:rPr>
          <w:rFonts w:ascii="Palatino Linotype" w:hAnsi="Palatino Linotype"/>
          <w:b/>
          <w:sz w:val="20"/>
          <w:szCs w:val="20"/>
        </w:rPr>
        <w:t xml:space="preserve">3.   Calibration Inter-comparison Using Lunar Observations </w:t>
      </w:r>
    </w:p>
    <w:p w14:paraId="4C1A629E" w14:textId="29902858" w:rsidR="00CA40DC" w:rsidRPr="00C7014F" w:rsidRDefault="00821DE3" w:rsidP="00821DE3">
      <w:pPr>
        <w:spacing w:line="300" w:lineRule="exact"/>
        <w:jc w:val="both"/>
        <w:rPr>
          <w:rFonts w:ascii="Palatino Linotype" w:hAnsi="Palatino Linotype"/>
          <w:sz w:val="20"/>
          <w:szCs w:val="20"/>
        </w:rPr>
      </w:pPr>
      <w:r w:rsidRPr="00C7014F">
        <w:rPr>
          <w:rFonts w:ascii="Palatino Linotype" w:hAnsi="Palatino Linotype"/>
          <w:sz w:val="20"/>
          <w:szCs w:val="20"/>
        </w:rPr>
        <w:t xml:space="preserve">Calibration inter-comparisons of two sensors are often made using their near simultaneous </w:t>
      </w:r>
      <w:r w:rsidR="007E45BD" w:rsidRPr="00C7014F">
        <w:rPr>
          <w:rFonts w:ascii="Palatino Linotype" w:hAnsi="Palatino Linotype"/>
          <w:sz w:val="20"/>
          <w:szCs w:val="20"/>
        </w:rPr>
        <w:t xml:space="preserve">nadir </w:t>
      </w:r>
      <w:r w:rsidRPr="00C7014F">
        <w:rPr>
          <w:rFonts w:ascii="Palatino Linotype" w:hAnsi="Palatino Linotype"/>
          <w:sz w:val="20"/>
          <w:szCs w:val="20"/>
        </w:rPr>
        <w:t xml:space="preserve">observations (SNO) or via </w:t>
      </w:r>
      <w:r w:rsidR="008C59DD" w:rsidRPr="00C7014F">
        <w:rPr>
          <w:rFonts w:ascii="Palatino Linotype" w:hAnsi="Palatino Linotype"/>
          <w:sz w:val="20"/>
          <w:szCs w:val="20"/>
        </w:rPr>
        <w:t xml:space="preserve">measurements over </w:t>
      </w:r>
      <w:r w:rsidRPr="00C7014F">
        <w:rPr>
          <w:rFonts w:ascii="Palatino Linotype" w:hAnsi="Palatino Linotype"/>
          <w:sz w:val="20"/>
          <w:szCs w:val="20"/>
        </w:rPr>
        <w:t xml:space="preserve">pseudo-invariant </w:t>
      </w:r>
      <w:r w:rsidR="00DC5433" w:rsidRPr="00C7014F">
        <w:rPr>
          <w:rFonts w:ascii="Palatino Linotype" w:hAnsi="Palatino Linotype"/>
          <w:sz w:val="20"/>
          <w:szCs w:val="20"/>
        </w:rPr>
        <w:t>EV</w:t>
      </w:r>
      <w:r w:rsidR="00341358" w:rsidRPr="00C7014F">
        <w:rPr>
          <w:rFonts w:ascii="Palatino Linotype" w:hAnsi="Palatino Linotype"/>
          <w:sz w:val="20"/>
          <w:szCs w:val="20"/>
        </w:rPr>
        <w:t xml:space="preserve"> </w:t>
      </w:r>
      <w:r w:rsidRPr="00C7014F">
        <w:rPr>
          <w:rFonts w:ascii="Palatino Linotype" w:hAnsi="Palatino Linotype"/>
          <w:sz w:val="20"/>
          <w:szCs w:val="20"/>
        </w:rPr>
        <w:t>targets, such as deep convective clo</w:t>
      </w:r>
      <w:r w:rsidR="00755BD6" w:rsidRPr="00C7014F">
        <w:rPr>
          <w:rFonts w:ascii="Palatino Linotype" w:hAnsi="Palatino Linotype"/>
          <w:sz w:val="20"/>
          <w:szCs w:val="20"/>
        </w:rPr>
        <w:t>uds (DCC) and carefully select</w:t>
      </w:r>
      <w:r w:rsidR="001D4525" w:rsidRPr="00C7014F">
        <w:rPr>
          <w:rFonts w:ascii="Palatino Linotype" w:hAnsi="Palatino Linotype"/>
          <w:sz w:val="20"/>
          <w:szCs w:val="20"/>
        </w:rPr>
        <w:t>ed</w:t>
      </w:r>
      <w:r w:rsidRPr="00C7014F">
        <w:rPr>
          <w:rFonts w:ascii="Palatino Linotype" w:hAnsi="Palatino Linotype"/>
          <w:sz w:val="20"/>
          <w:szCs w:val="20"/>
        </w:rPr>
        <w:t xml:space="preserve"> desert sites</w:t>
      </w:r>
      <w:r w:rsidR="00527B03" w:rsidRPr="00C7014F">
        <w:rPr>
          <w:rFonts w:ascii="Palatino Linotype" w:hAnsi="Palatino Linotype"/>
          <w:sz w:val="20"/>
          <w:szCs w:val="20"/>
        </w:rPr>
        <w:t xml:space="preserve"> [</w:t>
      </w:r>
      <w:r w:rsidR="009E21AE" w:rsidRPr="00C7014F">
        <w:rPr>
          <w:rFonts w:ascii="Palatino Linotype" w:hAnsi="Palatino Linotype"/>
          <w:sz w:val="20"/>
          <w:szCs w:val="20"/>
        </w:rPr>
        <w:t>54</w:t>
      </w:r>
      <w:r w:rsidR="00527B03" w:rsidRPr="00C7014F">
        <w:rPr>
          <w:rFonts w:ascii="Palatino Linotype" w:hAnsi="Palatino Linotype"/>
          <w:sz w:val="20"/>
          <w:szCs w:val="20"/>
        </w:rPr>
        <w:t>]</w:t>
      </w:r>
      <w:r w:rsidRPr="00C7014F">
        <w:rPr>
          <w:rFonts w:ascii="Palatino Linotype" w:hAnsi="Palatino Linotype"/>
          <w:sz w:val="20"/>
          <w:szCs w:val="20"/>
        </w:rPr>
        <w:t xml:space="preserve">. </w:t>
      </w:r>
      <w:r w:rsidR="00432D4B" w:rsidRPr="00C7014F">
        <w:rPr>
          <w:rFonts w:ascii="Palatino Linotype" w:hAnsi="Palatino Linotype"/>
          <w:sz w:val="20"/>
          <w:szCs w:val="20"/>
        </w:rPr>
        <w:t xml:space="preserve">In addition to sensor specific </w:t>
      </w:r>
      <w:r w:rsidR="001D4525" w:rsidRPr="00C7014F">
        <w:rPr>
          <w:rFonts w:ascii="Palatino Linotype" w:hAnsi="Palatino Linotype"/>
          <w:sz w:val="20"/>
          <w:szCs w:val="20"/>
        </w:rPr>
        <w:t>RSR</w:t>
      </w:r>
      <w:r w:rsidR="00755BD6" w:rsidRPr="00C7014F">
        <w:rPr>
          <w:rFonts w:ascii="Palatino Linotype" w:hAnsi="Palatino Linotype"/>
          <w:sz w:val="20"/>
          <w:szCs w:val="20"/>
        </w:rPr>
        <w:t xml:space="preserve"> </w:t>
      </w:r>
      <w:r w:rsidR="00432D4B" w:rsidRPr="00C7014F">
        <w:rPr>
          <w:rFonts w:ascii="Palatino Linotype" w:hAnsi="Palatino Linotype"/>
          <w:sz w:val="20"/>
          <w:szCs w:val="20"/>
        </w:rPr>
        <w:t>and calibration reference (e.g. the solar</w:t>
      </w:r>
      <w:r w:rsidR="00341358" w:rsidRPr="00C7014F">
        <w:rPr>
          <w:rFonts w:ascii="Palatino Linotype" w:hAnsi="Palatino Linotype"/>
          <w:sz w:val="20"/>
          <w:szCs w:val="20"/>
        </w:rPr>
        <w:t xml:space="preserve"> spectral irradiance </w:t>
      </w:r>
      <w:r w:rsidR="008C59DD" w:rsidRPr="00C7014F">
        <w:rPr>
          <w:rFonts w:ascii="Palatino Linotype" w:hAnsi="Palatino Linotype"/>
          <w:sz w:val="20"/>
          <w:szCs w:val="20"/>
        </w:rPr>
        <w:t>applied</w:t>
      </w:r>
      <w:r w:rsidR="00341358" w:rsidRPr="00C7014F">
        <w:rPr>
          <w:rFonts w:ascii="Palatino Linotype" w:hAnsi="Palatino Linotype"/>
          <w:sz w:val="20"/>
          <w:szCs w:val="20"/>
        </w:rPr>
        <w:t xml:space="preserve"> for the RSB calibration and retrieval)</w:t>
      </w:r>
      <w:r w:rsidR="00432D4B" w:rsidRPr="00C7014F">
        <w:rPr>
          <w:rFonts w:ascii="Palatino Linotype" w:hAnsi="Palatino Linotype"/>
          <w:sz w:val="20"/>
          <w:szCs w:val="20"/>
        </w:rPr>
        <w:t xml:space="preserve">, these approaches often require corrections to </w:t>
      </w:r>
      <w:r w:rsidR="008C59DD" w:rsidRPr="00C7014F">
        <w:rPr>
          <w:rFonts w:ascii="Palatino Linotype" w:hAnsi="Palatino Linotype"/>
          <w:sz w:val="20"/>
          <w:szCs w:val="20"/>
        </w:rPr>
        <w:t>reduce</w:t>
      </w:r>
      <w:r w:rsidR="00341358" w:rsidRPr="00C7014F">
        <w:rPr>
          <w:rFonts w:ascii="Palatino Linotype" w:hAnsi="Palatino Linotype"/>
          <w:sz w:val="20"/>
          <w:szCs w:val="20"/>
        </w:rPr>
        <w:t xml:space="preserve"> </w:t>
      </w:r>
      <w:r w:rsidR="00755BD6" w:rsidRPr="00C7014F">
        <w:rPr>
          <w:rFonts w:ascii="Palatino Linotype" w:hAnsi="Palatino Linotype"/>
          <w:sz w:val="20"/>
          <w:szCs w:val="20"/>
        </w:rPr>
        <w:t>the</w:t>
      </w:r>
      <w:r w:rsidR="00432D4B" w:rsidRPr="00C7014F">
        <w:rPr>
          <w:rFonts w:ascii="Palatino Linotype" w:hAnsi="Palatino Linotype"/>
          <w:sz w:val="20"/>
          <w:szCs w:val="20"/>
        </w:rPr>
        <w:t xml:space="preserve"> </w:t>
      </w:r>
      <w:r w:rsidR="00341358" w:rsidRPr="00C7014F">
        <w:rPr>
          <w:rFonts w:ascii="Palatino Linotype" w:hAnsi="Palatino Linotype"/>
          <w:sz w:val="20"/>
          <w:szCs w:val="20"/>
        </w:rPr>
        <w:t xml:space="preserve">effects due to variability of atmospheric dynamics </w:t>
      </w:r>
      <w:r w:rsidR="00755BD6" w:rsidRPr="00C7014F">
        <w:rPr>
          <w:rFonts w:ascii="Palatino Linotype" w:hAnsi="Palatino Linotype"/>
          <w:sz w:val="20"/>
          <w:szCs w:val="20"/>
        </w:rPr>
        <w:t xml:space="preserve">and </w:t>
      </w:r>
      <w:r w:rsidR="00341358" w:rsidRPr="00C7014F">
        <w:rPr>
          <w:rFonts w:ascii="Palatino Linotype" w:hAnsi="Palatino Linotype"/>
          <w:sz w:val="20"/>
          <w:szCs w:val="20"/>
        </w:rPr>
        <w:t>surface reflectance properties</w:t>
      </w:r>
      <w:r w:rsidR="008C59DD" w:rsidRPr="00C7014F">
        <w:rPr>
          <w:rFonts w:ascii="Palatino Linotype" w:hAnsi="Palatino Linotype"/>
          <w:sz w:val="20"/>
          <w:szCs w:val="20"/>
        </w:rPr>
        <w:t xml:space="preserve"> involved in the observations</w:t>
      </w:r>
      <w:r w:rsidR="00341358" w:rsidRPr="00C7014F">
        <w:rPr>
          <w:rFonts w:ascii="Palatino Linotype" w:hAnsi="Palatino Linotype"/>
          <w:sz w:val="20"/>
          <w:szCs w:val="20"/>
        </w:rPr>
        <w:t xml:space="preserve">. </w:t>
      </w:r>
      <w:r w:rsidRPr="00C7014F">
        <w:rPr>
          <w:rFonts w:ascii="Palatino Linotype" w:hAnsi="Palatino Linotype"/>
          <w:sz w:val="20"/>
          <w:szCs w:val="20"/>
        </w:rPr>
        <w:t>In this study we us</w:t>
      </w:r>
      <w:r w:rsidR="00527B03" w:rsidRPr="00C7014F">
        <w:rPr>
          <w:rFonts w:ascii="Palatino Linotype" w:hAnsi="Palatino Linotype"/>
          <w:sz w:val="20"/>
          <w:szCs w:val="20"/>
        </w:rPr>
        <w:t>e</w:t>
      </w:r>
      <w:r w:rsidRPr="00C7014F">
        <w:rPr>
          <w:rFonts w:ascii="Palatino Linotype" w:hAnsi="Palatino Linotype"/>
          <w:sz w:val="20"/>
          <w:szCs w:val="20"/>
        </w:rPr>
        <w:t xml:space="preserve"> lunar observations made by</w:t>
      </w:r>
      <w:r w:rsidR="001D4525" w:rsidRPr="00C7014F">
        <w:rPr>
          <w:rFonts w:ascii="Palatino Linotype" w:hAnsi="Palatino Linotype"/>
          <w:sz w:val="20"/>
          <w:szCs w:val="20"/>
        </w:rPr>
        <w:t xml:space="preserve"> the</w:t>
      </w:r>
      <w:r w:rsidRPr="00C7014F">
        <w:rPr>
          <w:rFonts w:ascii="Palatino Linotype" w:hAnsi="Palatino Linotype"/>
          <w:sz w:val="20"/>
          <w:szCs w:val="20"/>
        </w:rPr>
        <w:t xml:space="preserve"> MODIS and VIIRS instruments to assess their </w:t>
      </w:r>
      <w:r w:rsidR="00341358" w:rsidRPr="00C7014F">
        <w:rPr>
          <w:rFonts w:ascii="Palatino Linotype" w:hAnsi="Palatino Linotype"/>
          <w:sz w:val="20"/>
          <w:szCs w:val="20"/>
        </w:rPr>
        <w:t>calibration consistency.</w:t>
      </w:r>
      <w:r w:rsidR="00CA40DC" w:rsidRPr="00C7014F">
        <w:t xml:space="preserve"> </w:t>
      </w:r>
      <w:r w:rsidR="00CA40DC" w:rsidRPr="00C7014F">
        <w:rPr>
          <w:rFonts w:ascii="Palatino Linotype" w:hAnsi="Palatino Linotype"/>
          <w:sz w:val="20"/>
          <w:szCs w:val="20"/>
        </w:rPr>
        <w:t xml:space="preserve">One of the advantages of using the Moon as a calibration </w:t>
      </w:r>
      <w:r w:rsidR="008C59DD" w:rsidRPr="00C7014F">
        <w:rPr>
          <w:rFonts w:ascii="Palatino Linotype" w:hAnsi="Palatino Linotype"/>
          <w:sz w:val="20"/>
          <w:szCs w:val="20"/>
        </w:rPr>
        <w:t xml:space="preserve">or common </w:t>
      </w:r>
      <w:r w:rsidR="00CA40DC" w:rsidRPr="00C7014F">
        <w:rPr>
          <w:rFonts w:ascii="Palatino Linotype" w:hAnsi="Palatino Linotype"/>
          <w:sz w:val="20"/>
          <w:szCs w:val="20"/>
        </w:rPr>
        <w:t xml:space="preserve">reference target </w:t>
      </w:r>
      <w:r w:rsidR="00527B03" w:rsidRPr="00C7014F">
        <w:rPr>
          <w:rFonts w:ascii="Palatino Linotype" w:hAnsi="Palatino Linotype"/>
          <w:sz w:val="20"/>
          <w:szCs w:val="20"/>
        </w:rPr>
        <w:t xml:space="preserve">for sensor on-orbit calibration </w:t>
      </w:r>
      <w:r w:rsidR="00CA40DC" w:rsidRPr="00C7014F">
        <w:rPr>
          <w:rFonts w:ascii="Palatino Linotype" w:hAnsi="Palatino Linotype"/>
          <w:sz w:val="20"/>
          <w:szCs w:val="20"/>
        </w:rPr>
        <w:t xml:space="preserve">is that no atmospheric </w:t>
      </w:r>
      <w:r w:rsidR="00755BD6" w:rsidRPr="00C7014F">
        <w:rPr>
          <w:rFonts w:ascii="Palatino Linotype" w:hAnsi="Palatino Linotype"/>
          <w:sz w:val="20"/>
          <w:szCs w:val="20"/>
        </w:rPr>
        <w:t xml:space="preserve">correction is </w:t>
      </w:r>
      <w:r w:rsidR="00CA40DC" w:rsidRPr="00C7014F">
        <w:rPr>
          <w:rFonts w:ascii="Palatino Linotype" w:hAnsi="Palatino Linotype"/>
          <w:sz w:val="20"/>
          <w:szCs w:val="20"/>
        </w:rPr>
        <w:t>need</w:t>
      </w:r>
      <w:r w:rsidR="00755BD6" w:rsidRPr="00C7014F">
        <w:rPr>
          <w:rFonts w:ascii="Palatino Linotype" w:hAnsi="Palatino Linotype"/>
          <w:sz w:val="20"/>
          <w:szCs w:val="20"/>
        </w:rPr>
        <w:t>ed.</w:t>
      </w:r>
      <w:r w:rsidR="00CA40DC" w:rsidRPr="00C7014F">
        <w:rPr>
          <w:rFonts w:ascii="Palatino Linotype" w:hAnsi="Palatino Linotype"/>
          <w:sz w:val="20"/>
          <w:szCs w:val="20"/>
        </w:rPr>
        <w:t xml:space="preserve"> Plus, the lunar surface reflectance property </w:t>
      </w:r>
      <w:r w:rsidR="00755BD6" w:rsidRPr="00C7014F">
        <w:rPr>
          <w:rFonts w:ascii="Palatino Linotype" w:hAnsi="Palatino Linotype"/>
          <w:sz w:val="20"/>
          <w:szCs w:val="20"/>
        </w:rPr>
        <w:t>is</w:t>
      </w:r>
      <w:r w:rsidR="00CA40DC" w:rsidRPr="00C7014F">
        <w:rPr>
          <w:rFonts w:ascii="Palatino Linotype" w:hAnsi="Palatino Linotype"/>
          <w:sz w:val="20"/>
          <w:szCs w:val="20"/>
        </w:rPr>
        <w:t xml:space="preserve"> extremely stable and depends only on the viewing geometry that can be accurately predicted by a lunar mode</w:t>
      </w:r>
      <w:r w:rsidR="007744C0" w:rsidRPr="00C7014F">
        <w:rPr>
          <w:rFonts w:ascii="Palatino Linotype" w:hAnsi="Palatino Linotype"/>
          <w:sz w:val="20"/>
          <w:szCs w:val="20"/>
        </w:rPr>
        <w:t>l</w:t>
      </w:r>
      <w:r w:rsidR="00CA40DC" w:rsidRPr="00C7014F">
        <w:rPr>
          <w:rFonts w:ascii="Palatino Linotype" w:hAnsi="Palatino Linotype"/>
          <w:sz w:val="20"/>
          <w:szCs w:val="20"/>
        </w:rPr>
        <w:t>.</w:t>
      </w:r>
      <w:r w:rsidR="00755BD6" w:rsidRPr="00C7014F">
        <w:rPr>
          <w:rFonts w:ascii="Palatino Linotype" w:hAnsi="Palatino Linotype"/>
          <w:sz w:val="20"/>
          <w:szCs w:val="20"/>
        </w:rPr>
        <w:t xml:space="preserve"> This lunar calibration inter-comparison approach was initially developed and applied for</w:t>
      </w:r>
      <w:r w:rsidR="007744C0" w:rsidRPr="00C7014F">
        <w:rPr>
          <w:rFonts w:ascii="Palatino Linotype" w:hAnsi="Palatino Linotype"/>
          <w:sz w:val="20"/>
          <w:szCs w:val="20"/>
        </w:rPr>
        <w:t xml:space="preserve"> assessing the</w:t>
      </w:r>
      <w:r w:rsidR="00755BD6" w:rsidRPr="00C7014F">
        <w:rPr>
          <w:rFonts w:ascii="Palatino Linotype" w:hAnsi="Palatino Linotype"/>
          <w:sz w:val="20"/>
          <w:szCs w:val="20"/>
        </w:rPr>
        <w:t xml:space="preserve"> Terra and Aqua MODIS calibration consistency </w:t>
      </w:r>
      <w:r w:rsidR="008C59DD" w:rsidRPr="00C7014F">
        <w:rPr>
          <w:rFonts w:ascii="Palatino Linotype" w:hAnsi="Palatino Linotype"/>
          <w:sz w:val="20"/>
          <w:szCs w:val="20"/>
        </w:rPr>
        <w:t>[</w:t>
      </w:r>
      <w:r w:rsidR="00CD6D1B" w:rsidRPr="00C7014F">
        <w:rPr>
          <w:rFonts w:ascii="Palatino Linotype" w:hAnsi="Palatino Linotype"/>
          <w:sz w:val="20"/>
          <w:szCs w:val="20"/>
        </w:rPr>
        <w:t>38</w:t>
      </w:r>
      <w:r w:rsidR="008C59DD" w:rsidRPr="00C7014F">
        <w:rPr>
          <w:rFonts w:ascii="Palatino Linotype" w:hAnsi="Palatino Linotype"/>
          <w:sz w:val="20"/>
          <w:szCs w:val="20"/>
        </w:rPr>
        <w:t>]</w:t>
      </w:r>
      <w:r w:rsidR="00755BD6" w:rsidRPr="00C7014F">
        <w:rPr>
          <w:rFonts w:ascii="Palatino Linotype" w:hAnsi="Palatino Linotype"/>
          <w:sz w:val="20"/>
          <w:szCs w:val="20"/>
        </w:rPr>
        <w:t xml:space="preserve">. </w:t>
      </w:r>
      <w:r w:rsidR="002144C9" w:rsidRPr="00C7014F">
        <w:rPr>
          <w:rFonts w:ascii="Palatino Linotype" w:hAnsi="Palatino Linotype"/>
          <w:sz w:val="20"/>
          <w:szCs w:val="20"/>
        </w:rPr>
        <w:t xml:space="preserve">We extend its application to VIIRS and to </w:t>
      </w:r>
      <w:r w:rsidR="007744C0" w:rsidRPr="00C7014F">
        <w:rPr>
          <w:rFonts w:ascii="Palatino Linotype" w:hAnsi="Palatino Linotype"/>
          <w:sz w:val="20"/>
          <w:szCs w:val="20"/>
        </w:rPr>
        <w:t xml:space="preserve">a </w:t>
      </w:r>
      <w:r w:rsidR="002144C9" w:rsidRPr="00C7014F">
        <w:rPr>
          <w:rFonts w:ascii="Palatino Linotype" w:hAnsi="Palatino Linotype"/>
          <w:sz w:val="20"/>
          <w:szCs w:val="20"/>
        </w:rPr>
        <w:t>calibration inter-comparison</w:t>
      </w:r>
      <w:r w:rsidR="008C59DD" w:rsidRPr="00C7014F">
        <w:rPr>
          <w:rFonts w:ascii="Palatino Linotype" w:hAnsi="Palatino Linotype"/>
          <w:sz w:val="20"/>
          <w:szCs w:val="20"/>
        </w:rPr>
        <w:t xml:space="preserve"> between</w:t>
      </w:r>
      <w:r w:rsidR="007744C0" w:rsidRPr="00C7014F">
        <w:rPr>
          <w:rFonts w:ascii="Palatino Linotype" w:hAnsi="Palatino Linotype"/>
          <w:sz w:val="20"/>
          <w:szCs w:val="20"/>
        </w:rPr>
        <w:t xml:space="preserve"> the</w:t>
      </w:r>
      <w:r w:rsidR="008C59DD" w:rsidRPr="00C7014F">
        <w:rPr>
          <w:rFonts w:ascii="Palatino Linotype" w:hAnsi="Palatino Linotype"/>
          <w:sz w:val="20"/>
          <w:szCs w:val="20"/>
        </w:rPr>
        <w:t xml:space="preserve"> MODIS and VIIRS instruments</w:t>
      </w:r>
      <w:r w:rsidR="002144C9" w:rsidRPr="00C7014F">
        <w:rPr>
          <w:rFonts w:ascii="Palatino Linotype" w:hAnsi="Palatino Linotype"/>
          <w:sz w:val="20"/>
          <w:szCs w:val="20"/>
        </w:rPr>
        <w:t>.</w:t>
      </w:r>
    </w:p>
    <w:p w14:paraId="2B461B65" w14:textId="77777777" w:rsidR="00754A88" w:rsidRPr="00C7014F" w:rsidRDefault="004C0295" w:rsidP="00821DE3">
      <w:pPr>
        <w:spacing w:line="300" w:lineRule="exact"/>
        <w:jc w:val="both"/>
        <w:rPr>
          <w:rFonts w:ascii="Palatino Linotype" w:hAnsi="Palatino Linotype"/>
          <w:sz w:val="20"/>
          <w:szCs w:val="20"/>
        </w:rPr>
      </w:pPr>
      <w:r w:rsidRPr="00C7014F">
        <w:rPr>
          <w:rFonts w:ascii="Palatino Linotype" w:hAnsi="Palatino Linotype"/>
          <w:sz w:val="20"/>
          <w:szCs w:val="20"/>
        </w:rPr>
        <w:t>In this study, t</w:t>
      </w:r>
      <w:r w:rsidR="00754A88" w:rsidRPr="00C7014F">
        <w:rPr>
          <w:rFonts w:ascii="Palatino Linotype" w:hAnsi="Palatino Linotype"/>
          <w:sz w:val="20"/>
          <w:szCs w:val="20"/>
        </w:rPr>
        <w:t>he integrated lunar irradiance</w:t>
      </w:r>
      <w:r w:rsidRPr="00C7014F">
        <w:rPr>
          <w:rFonts w:ascii="Palatino Linotype" w:hAnsi="Palatino Linotype"/>
          <w:sz w:val="20"/>
          <w:szCs w:val="20"/>
        </w:rPr>
        <w:t>s,</w:t>
      </w:r>
      <w:r w:rsidR="00754A88" w:rsidRPr="00C7014F">
        <w:rPr>
          <w:rFonts w:ascii="Palatino Linotype" w:hAnsi="Palatino Linotype"/>
          <w:sz w:val="20"/>
          <w:szCs w:val="20"/>
        </w:rPr>
        <w:t xml:space="preserve">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Meas_A</m:t>
            </m:r>
          </m:sub>
        </m:sSub>
      </m:oMath>
      <w:r w:rsidRPr="00C7014F">
        <w:rPr>
          <w:rFonts w:ascii="Palatino Linotype" w:hAnsi="Palatino Linotype"/>
          <w:sz w:val="20"/>
          <w:szCs w:val="20"/>
        </w:rPr>
        <w:t xml:space="preserve"> and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Meas_B</m:t>
            </m:r>
          </m:sub>
        </m:sSub>
      </m:oMath>
      <w:r w:rsidRPr="00C7014F">
        <w:rPr>
          <w:rFonts w:ascii="Palatino Linotype" w:hAnsi="Palatino Linotype"/>
          <w:sz w:val="20"/>
          <w:szCs w:val="20"/>
        </w:rPr>
        <w:t xml:space="preserve">, measured by </w:t>
      </w:r>
      <w:r w:rsidR="00754A88" w:rsidRPr="00C7014F">
        <w:rPr>
          <w:rFonts w:ascii="Palatino Linotype" w:hAnsi="Palatino Linotype"/>
          <w:sz w:val="20"/>
          <w:szCs w:val="20"/>
        </w:rPr>
        <w:t>sensors</w:t>
      </w:r>
      <w:r w:rsidRPr="00C7014F">
        <w:rPr>
          <w:rFonts w:ascii="Palatino Linotype" w:hAnsi="Palatino Linotype"/>
          <w:sz w:val="20"/>
          <w:szCs w:val="20"/>
        </w:rPr>
        <w:t xml:space="preserve"> A and B</w:t>
      </w:r>
      <w:r w:rsidR="00754A88" w:rsidRPr="00C7014F">
        <w:rPr>
          <w:rFonts w:ascii="Palatino Linotype" w:hAnsi="Palatino Linotype"/>
          <w:sz w:val="20"/>
          <w:szCs w:val="20"/>
        </w:rPr>
        <w:t xml:space="preserve"> </w:t>
      </w:r>
      <w:r w:rsidRPr="00C7014F">
        <w:rPr>
          <w:rFonts w:ascii="Palatino Linotype" w:hAnsi="Palatino Linotype"/>
          <w:sz w:val="20"/>
          <w:szCs w:val="20"/>
        </w:rPr>
        <w:t>are</w:t>
      </w:r>
      <w:r w:rsidR="00754A88" w:rsidRPr="00C7014F">
        <w:rPr>
          <w:rFonts w:ascii="Palatino Linotype" w:hAnsi="Palatino Linotype"/>
          <w:sz w:val="20"/>
          <w:szCs w:val="20"/>
        </w:rPr>
        <w:t xml:space="preserve"> used to perform their calibration inter-comparison via the following ratio (</w:t>
      </w: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A/B</m:t>
            </m:r>
          </m:sub>
        </m:sSub>
      </m:oMath>
      <w:r w:rsidR="00754A88" w:rsidRPr="00C7014F">
        <w:rPr>
          <w:rFonts w:ascii="Palatino Linotype" w:hAnsi="Palatino Linotype"/>
          <w:sz w:val="20"/>
          <w:szCs w:val="20"/>
        </w:rPr>
        <w:t>)</w:t>
      </w:r>
      <w:r w:rsidR="002144C9" w:rsidRPr="00C7014F">
        <w:rPr>
          <w:rFonts w:ascii="Palatino Linotype" w:hAnsi="Palatino Linotype"/>
          <w:sz w:val="20"/>
          <w:szCs w:val="20"/>
        </w:rPr>
        <w:t>,</w:t>
      </w:r>
    </w:p>
    <w:p w14:paraId="3B95BCEC" w14:textId="77777777" w:rsidR="00754A88" w:rsidRPr="00C7014F" w:rsidRDefault="00000000" w:rsidP="00754A88">
      <w:pPr>
        <w:spacing w:line="240" w:lineRule="auto"/>
        <w:jc w:val="center"/>
        <w:rPr>
          <w:rFonts w:ascii="Palatino Linotype" w:eastAsiaTheme="minorEastAsia" w:hAnsi="Palatino Linotype"/>
          <w:sz w:val="20"/>
          <w:szCs w:val="20"/>
        </w:rPr>
      </w:pPr>
      <m:oMath>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A/B</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Meas_A</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Model_A</m:t>
                </m:r>
              </m:sub>
            </m:sSub>
          </m:num>
          <m:den>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Meas_B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Model_B</m:t>
                </m:r>
              </m:sub>
            </m:sSub>
          </m:den>
        </m:f>
      </m:oMath>
      <w:r w:rsidR="00754A88" w:rsidRPr="00C7014F">
        <w:rPr>
          <w:rFonts w:ascii="Palatino Linotype" w:eastAsiaTheme="minorEastAsia" w:hAnsi="Palatino Linotype"/>
          <w:sz w:val="20"/>
          <w:szCs w:val="20"/>
        </w:rPr>
        <w:tab/>
      </w:r>
      <w:r w:rsidR="00754A88" w:rsidRPr="00C7014F">
        <w:rPr>
          <w:rFonts w:ascii="Palatino Linotype" w:eastAsiaTheme="minorEastAsia" w:hAnsi="Palatino Linotype"/>
          <w:sz w:val="20"/>
          <w:szCs w:val="20"/>
        </w:rPr>
        <w:tab/>
      </w:r>
      <w:r w:rsidR="00754A88" w:rsidRPr="00C7014F">
        <w:rPr>
          <w:rFonts w:ascii="Palatino Linotype" w:eastAsiaTheme="minorEastAsia" w:hAnsi="Palatino Linotype"/>
          <w:sz w:val="20"/>
          <w:szCs w:val="20"/>
        </w:rPr>
        <w:tab/>
      </w:r>
      <w:r w:rsidR="00754A88" w:rsidRPr="00C7014F">
        <w:rPr>
          <w:rFonts w:ascii="Palatino Linotype" w:eastAsiaTheme="minorEastAsia" w:hAnsi="Palatino Linotype"/>
          <w:sz w:val="20"/>
          <w:szCs w:val="20"/>
        </w:rPr>
        <w:tab/>
      </w:r>
      <w:r w:rsidR="00754A88" w:rsidRPr="00C7014F">
        <w:rPr>
          <w:rFonts w:ascii="Palatino Linotype" w:eastAsiaTheme="minorEastAsia" w:hAnsi="Palatino Linotype"/>
          <w:sz w:val="20"/>
          <w:szCs w:val="20"/>
        </w:rPr>
        <w:tab/>
        <w:t>(</w:t>
      </w:r>
      <w:r w:rsidR="004C0295" w:rsidRPr="00C7014F">
        <w:rPr>
          <w:rFonts w:ascii="Palatino Linotype" w:eastAsiaTheme="minorEastAsia" w:hAnsi="Palatino Linotype"/>
          <w:sz w:val="20"/>
          <w:szCs w:val="20"/>
        </w:rPr>
        <w:t>10</w:t>
      </w:r>
      <w:r w:rsidR="00754A88" w:rsidRPr="00C7014F">
        <w:rPr>
          <w:rFonts w:ascii="Palatino Linotype" w:eastAsiaTheme="minorEastAsia" w:hAnsi="Palatino Linotype"/>
          <w:sz w:val="20"/>
          <w:szCs w:val="20"/>
        </w:rPr>
        <w:t>)</w:t>
      </w:r>
    </w:p>
    <w:p w14:paraId="7A7D6B4B" w14:textId="7D227AA5" w:rsidR="00357252" w:rsidRPr="00C7014F" w:rsidRDefault="00B55E89" w:rsidP="00EE4DD8">
      <w:pPr>
        <w:spacing w:line="300" w:lineRule="exact"/>
        <w:jc w:val="both"/>
        <w:rPr>
          <w:rFonts w:ascii="Palatino Linotype" w:hAnsi="Palatino Linotype"/>
          <w:sz w:val="20"/>
          <w:szCs w:val="20"/>
        </w:rPr>
      </w:pPr>
      <w:r w:rsidRPr="00C7014F">
        <w:rPr>
          <w:rFonts w:ascii="Palatino Linotype" w:hAnsi="Palatino Linotype"/>
          <w:sz w:val="20"/>
          <w:szCs w:val="20"/>
        </w:rPr>
        <w:t xml:space="preserve">where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Model_A</m:t>
            </m:r>
          </m:sub>
        </m:sSub>
      </m:oMath>
      <w:r w:rsidRPr="00C7014F">
        <w:rPr>
          <w:rFonts w:ascii="Palatino Linotype" w:hAnsi="Palatino Linotype"/>
          <w:sz w:val="20"/>
          <w:szCs w:val="20"/>
        </w:rPr>
        <w:t xml:space="preserve"> and </w:t>
      </w:r>
      <m:oMath>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Model_B</m:t>
            </m:r>
          </m:sub>
        </m:sSub>
      </m:oMath>
      <w:r w:rsidRPr="00C7014F">
        <w:rPr>
          <w:rFonts w:ascii="Palatino Linotype" w:hAnsi="Palatino Linotype"/>
          <w:sz w:val="20"/>
          <w:szCs w:val="20"/>
        </w:rPr>
        <w:t xml:space="preserve"> are the </w:t>
      </w:r>
      <w:r w:rsidR="002144C9" w:rsidRPr="00C7014F">
        <w:rPr>
          <w:rFonts w:ascii="Palatino Linotype" w:hAnsi="Palatino Linotype"/>
          <w:sz w:val="20"/>
          <w:szCs w:val="20"/>
        </w:rPr>
        <w:t>model-predicted lunar irradiances</w:t>
      </w:r>
      <w:r w:rsidRPr="00C7014F">
        <w:rPr>
          <w:rFonts w:ascii="Palatino Linotype" w:hAnsi="Palatino Linotype"/>
          <w:sz w:val="20"/>
          <w:szCs w:val="20"/>
        </w:rPr>
        <w:t xml:space="preserve"> for the corresponding sensor lunar </w:t>
      </w:r>
      <w:r w:rsidR="004C0295" w:rsidRPr="00C7014F">
        <w:rPr>
          <w:rFonts w:ascii="Palatino Linotype" w:hAnsi="Palatino Linotype"/>
          <w:sz w:val="20"/>
          <w:szCs w:val="20"/>
        </w:rPr>
        <w:t>observations</w:t>
      </w:r>
      <w:r w:rsidR="002144C9" w:rsidRPr="00C7014F">
        <w:rPr>
          <w:rFonts w:ascii="Palatino Linotype" w:hAnsi="Palatino Linotype"/>
          <w:sz w:val="20"/>
          <w:szCs w:val="20"/>
        </w:rPr>
        <w:t xml:space="preserve">. </w:t>
      </w:r>
      <w:r w:rsidR="00EE4DD8" w:rsidRPr="00C7014F">
        <w:rPr>
          <w:rFonts w:ascii="Palatino Linotype" w:hAnsi="Palatino Linotype"/>
          <w:sz w:val="20"/>
          <w:szCs w:val="20"/>
        </w:rPr>
        <w:t xml:space="preserve">The reference </w:t>
      </w:r>
      <w:r w:rsidR="004C0295" w:rsidRPr="00C7014F">
        <w:rPr>
          <w:rFonts w:ascii="Palatino Linotype" w:hAnsi="Palatino Linotype"/>
          <w:sz w:val="20"/>
          <w:szCs w:val="20"/>
        </w:rPr>
        <w:t xml:space="preserve">or normalization </w:t>
      </w:r>
      <w:r w:rsidR="00EE4DD8" w:rsidRPr="00C7014F">
        <w:rPr>
          <w:rFonts w:ascii="Palatino Linotype" w:hAnsi="Palatino Linotype"/>
          <w:sz w:val="20"/>
          <w:szCs w:val="20"/>
        </w:rPr>
        <w:t xml:space="preserve">to the model-predicted lunar irradiances </w:t>
      </w:r>
      <w:r w:rsidR="00BB6B8D" w:rsidRPr="00C7014F">
        <w:rPr>
          <w:rFonts w:ascii="Palatino Linotype" w:hAnsi="Palatino Linotype"/>
          <w:sz w:val="20"/>
          <w:szCs w:val="20"/>
        </w:rPr>
        <w:t>corrects</w:t>
      </w:r>
      <w:r w:rsidR="00EE4DD8" w:rsidRPr="00C7014F">
        <w:rPr>
          <w:rFonts w:ascii="Palatino Linotype" w:hAnsi="Palatino Linotype"/>
          <w:sz w:val="20"/>
          <w:szCs w:val="20"/>
        </w:rPr>
        <w:t xml:space="preserve"> for the effect</w:t>
      </w:r>
      <w:r w:rsidR="00AA1933" w:rsidRPr="00C7014F">
        <w:rPr>
          <w:rFonts w:ascii="Palatino Linotype" w:hAnsi="Palatino Linotype"/>
          <w:sz w:val="20"/>
          <w:szCs w:val="20"/>
        </w:rPr>
        <w:t>s</w:t>
      </w:r>
      <w:r w:rsidR="00EE4DD8" w:rsidRPr="00C7014F">
        <w:rPr>
          <w:rFonts w:ascii="Palatino Linotype" w:hAnsi="Palatino Linotype"/>
          <w:sz w:val="20"/>
          <w:szCs w:val="20"/>
        </w:rPr>
        <w:t xml:space="preserve"> due to lunar viewing geometry</w:t>
      </w:r>
      <w:r w:rsidR="00BB6B8D" w:rsidRPr="00C7014F">
        <w:rPr>
          <w:rFonts w:ascii="Palatino Linotype" w:hAnsi="Palatino Linotype"/>
          <w:sz w:val="20"/>
          <w:szCs w:val="20"/>
        </w:rPr>
        <w:t xml:space="preserve"> </w:t>
      </w:r>
      <w:r w:rsidR="00ED4898" w:rsidRPr="00C7014F">
        <w:rPr>
          <w:rFonts w:ascii="Palatino Linotype" w:hAnsi="Palatino Linotype"/>
          <w:sz w:val="20"/>
          <w:szCs w:val="20"/>
        </w:rPr>
        <w:t>difference</w:t>
      </w:r>
      <w:r w:rsidR="00B810B5" w:rsidRPr="00C7014F">
        <w:rPr>
          <w:rFonts w:ascii="Palatino Linotype" w:hAnsi="Palatino Linotype"/>
          <w:sz w:val="20"/>
          <w:szCs w:val="20"/>
        </w:rPr>
        <w:t>s</w:t>
      </w:r>
      <w:r w:rsidR="00ED4898" w:rsidRPr="00C7014F">
        <w:rPr>
          <w:rFonts w:ascii="Palatino Linotype" w:hAnsi="Palatino Linotype"/>
          <w:sz w:val="20"/>
          <w:szCs w:val="20"/>
        </w:rPr>
        <w:t xml:space="preserve"> between observations </w:t>
      </w:r>
      <w:r w:rsidR="00BB6B8D" w:rsidRPr="00C7014F">
        <w:rPr>
          <w:rFonts w:ascii="Palatino Linotype" w:hAnsi="Palatino Linotype"/>
          <w:sz w:val="20"/>
          <w:szCs w:val="20"/>
        </w:rPr>
        <w:t>and</w:t>
      </w:r>
      <w:r w:rsidR="00EE4DD8" w:rsidRPr="00C7014F">
        <w:rPr>
          <w:rFonts w:ascii="Palatino Linotype" w:hAnsi="Palatino Linotype"/>
          <w:sz w:val="20"/>
          <w:szCs w:val="20"/>
        </w:rPr>
        <w:t xml:space="preserve"> </w:t>
      </w:r>
      <w:r w:rsidR="00ED4898" w:rsidRPr="00C7014F">
        <w:rPr>
          <w:rFonts w:ascii="Palatino Linotype" w:hAnsi="Palatino Linotype"/>
          <w:sz w:val="20"/>
          <w:szCs w:val="20"/>
        </w:rPr>
        <w:t>the impact</w:t>
      </w:r>
      <w:r w:rsidR="00EE4DD8" w:rsidRPr="00C7014F">
        <w:rPr>
          <w:rFonts w:ascii="Palatino Linotype" w:hAnsi="Palatino Linotype"/>
          <w:sz w:val="20"/>
          <w:szCs w:val="20"/>
        </w:rPr>
        <w:t xml:space="preserve"> due to sensor </w:t>
      </w:r>
      <w:r w:rsidR="00BB6B8D" w:rsidRPr="00C7014F">
        <w:rPr>
          <w:rFonts w:ascii="Palatino Linotype" w:hAnsi="Palatino Linotype"/>
          <w:sz w:val="20"/>
          <w:szCs w:val="20"/>
        </w:rPr>
        <w:t>specific RSR</w:t>
      </w:r>
      <w:r w:rsidR="00ED4898" w:rsidRPr="00C7014F">
        <w:rPr>
          <w:rFonts w:ascii="Palatino Linotype" w:hAnsi="Palatino Linotype"/>
          <w:sz w:val="20"/>
          <w:szCs w:val="20"/>
        </w:rPr>
        <w:t xml:space="preserve"> </w:t>
      </w:r>
      <w:r w:rsidR="00BB6B8D" w:rsidRPr="00C7014F">
        <w:rPr>
          <w:rFonts w:ascii="Palatino Linotype" w:hAnsi="Palatino Linotype"/>
          <w:sz w:val="20"/>
          <w:szCs w:val="20"/>
        </w:rPr>
        <w:t xml:space="preserve">as it is part of the input parameters </w:t>
      </w:r>
      <w:r w:rsidR="003B7772" w:rsidRPr="00C7014F">
        <w:rPr>
          <w:rFonts w:ascii="Palatino Linotype" w:hAnsi="Palatino Linotype"/>
          <w:sz w:val="20"/>
          <w:szCs w:val="20"/>
        </w:rPr>
        <w:t xml:space="preserve">for </w:t>
      </w:r>
      <w:r w:rsidR="00BB6B8D" w:rsidRPr="00C7014F">
        <w:rPr>
          <w:rFonts w:ascii="Palatino Linotype" w:hAnsi="Palatino Linotype"/>
          <w:sz w:val="20"/>
          <w:szCs w:val="20"/>
        </w:rPr>
        <w:t>the lunar mode</w:t>
      </w:r>
      <w:r w:rsidR="003B7772" w:rsidRPr="00C7014F">
        <w:rPr>
          <w:rFonts w:ascii="Palatino Linotype" w:hAnsi="Palatino Linotype"/>
          <w:sz w:val="20"/>
          <w:szCs w:val="20"/>
        </w:rPr>
        <w:t>l</w:t>
      </w:r>
      <w:r w:rsidR="00BB6B8D" w:rsidRPr="00C7014F">
        <w:rPr>
          <w:rFonts w:ascii="Palatino Linotype" w:hAnsi="Palatino Linotype"/>
          <w:sz w:val="20"/>
          <w:szCs w:val="20"/>
        </w:rPr>
        <w:t xml:space="preserve"> to generate predicted lunar irradiance</w:t>
      </w:r>
      <w:r w:rsidR="003B7772" w:rsidRPr="00C7014F">
        <w:rPr>
          <w:rFonts w:ascii="Palatino Linotype" w:hAnsi="Palatino Linotype"/>
          <w:sz w:val="20"/>
          <w:szCs w:val="20"/>
        </w:rPr>
        <w:t xml:space="preserve"> for a </w:t>
      </w:r>
      <w:r w:rsidR="004C0295" w:rsidRPr="00C7014F">
        <w:rPr>
          <w:rFonts w:ascii="Palatino Linotype" w:hAnsi="Palatino Linotype"/>
          <w:sz w:val="20"/>
          <w:szCs w:val="20"/>
        </w:rPr>
        <w:t xml:space="preserve">given </w:t>
      </w:r>
      <w:r w:rsidR="00ED4898" w:rsidRPr="00C7014F">
        <w:rPr>
          <w:rFonts w:ascii="Palatino Linotype" w:hAnsi="Palatino Linotype"/>
          <w:sz w:val="20"/>
          <w:szCs w:val="20"/>
        </w:rPr>
        <w:t xml:space="preserve">lunar </w:t>
      </w:r>
      <w:r w:rsidR="003B7772" w:rsidRPr="00C7014F">
        <w:rPr>
          <w:rFonts w:ascii="Palatino Linotype" w:hAnsi="Palatino Linotype"/>
          <w:sz w:val="20"/>
          <w:szCs w:val="20"/>
        </w:rPr>
        <w:t>calibration event</w:t>
      </w:r>
      <w:r w:rsidR="00BB6B8D" w:rsidRPr="00C7014F">
        <w:rPr>
          <w:rFonts w:ascii="Palatino Linotype" w:hAnsi="Palatino Linotype"/>
          <w:sz w:val="20"/>
          <w:szCs w:val="20"/>
        </w:rPr>
        <w:t>.</w:t>
      </w:r>
      <w:r w:rsidR="004C0295" w:rsidRPr="00C7014F">
        <w:rPr>
          <w:rFonts w:ascii="Palatino Linotype" w:hAnsi="Palatino Linotype"/>
          <w:sz w:val="20"/>
          <w:szCs w:val="20"/>
        </w:rPr>
        <w:t xml:space="preserve"> Both MODIS and VIIRS use the </w:t>
      </w:r>
      <w:r w:rsidR="00ED4898" w:rsidRPr="00C7014F">
        <w:rPr>
          <w:rFonts w:ascii="Palatino Linotype" w:hAnsi="Palatino Linotype"/>
          <w:sz w:val="20"/>
          <w:szCs w:val="20"/>
        </w:rPr>
        <w:t xml:space="preserve">same </w:t>
      </w:r>
      <w:r w:rsidR="004C0295" w:rsidRPr="00C7014F">
        <w:rPr>
          <w:rFonts w:ascii="Palatino Linotype" w:hAnsi="Palatino Linotype"/>
          <w:sz w:val="20"/>
          <w:szCs w:val="20"/>
        </w:rPr>
        <w:t>ROLO model for their lunar calibrations.</w:t>
      </w:r>
      <w:r w:rsidR="003B7772" w:rsidRPr="00C7014F">
        <w:rPr>
          <w:rFonts w:ascii="Palatino Linotype" w:hAnsi="Palatino Linotype"/>
          <w:sz w:val="20"/>
          <w:szCs w:val="20"/>
        </w:rPr>
        <w:t xml:space="preserve"> </w:t>
      </w:r>
      <w:r w:rsidR="000B38B5" w:rsidRPr="00C7014F">
        <w:rPr>
          <w:rFonts w:ascii="Palatino Linotype" w:hAnsi="Palatino Linotype"/>
          <w:sz w:val="20"/>
          <w:szCs w:val="20"/>
        </w:rPr>
        <w:t>The measured lunar irradiance</w:t>
      </w:r>
      <w:r w:rsidR="004C0295" w:rsidRPr="00C7014F">
        <w:rPr>
          <w:rFonts w:ascii="Palatino Linotype" w:hAnsi="Palatino Linotype"/>
          <w:sz w:val="20"/>
          <w:szCs w:val="20"/>
        </w:rPr>
        <w:t>s</w:t>
      </w:r>
      <w:r w:rsidR="000B38B5" w:rsidRPr="00C7014F">
        <w:rPr>
          <w:rFonts w:ascii="Palatino Linotype" w:hAnsi="Palatino Linotype"/>
          <w:sz w:val="20"/>
          <w:szCs w:val="20"/>
        </w:rPr>
        <w:t xml:space="preserve"> by MODIS and VIIRS can be computed using Eq. (4) and (</w:t>
      </w:r>
      <w:r w:rsidR="004C0295" w:rsidRPr="00C7014F">
        <w:rPr>
          <w:rFonts w:ascii="Palatino Linotype" w:hAnsi="Palatino Linotype"/>
          <w:sz w:val="20"/>
          <w:szCs w:val="20"/>
        </w:rPr>
        <w:t>8</w:t>
      </w:r>
      <w:r w:rsidR="000B38B5" w:rsidRPr="00C7014F">
        <w:rPr>
          <w:rFonts w:ascii="Palatino Linotype" w:hAnsi="Palatino Linotype"/>
          <w:sz w:val="20"/>
          <w:szCs w:val="20"/>
        </w:rPr>
        <w:t>), respectively.</w:t>
      </w:r>
    </w:p>
    <w:p w14:paraId="388A19FA" w14:textId="13980FC0" w:rsidR="00B52DE8" w:rsidRPr="00C7014F" w:rsidRDefault="003B7772" w:rsidP="00EE4DD8">
      <w:pPr>
        <w:spacing w:line="300" w:lineRule="exact"/>
        <w:jc w:val="both"/>
        <w:rPr>
          <w:rFonts w:ascii="Palatino Linotype" w:hAnsi="Palatino Linotype"/>
          <w:sz w:val="20"/>
          <w:szCs w:val="20"/>
        </w:rPr>
      </w:pPr>
      <w:r w:rsidRPr="00C7014F">
        <w:rPr>
          <w:rFonts w:ascii="Palatino Linotype" w:hAnsi="Palatino Linotype"/>
          <w:sz w:val="20"/>
          <w:szCs w:val="20"/>
        </w:rPr>
        <w:lastRenderedPageBreak/>
        <w:t>Eq. (</w:t>
      </w:r>
      <w:r w:rsidR="00DD7D84" w:rsidRPr="00C7014F">
        <w:rPr>
          <w:rFonts w:ascii="Palatino Linotype" w:hAnsi="Palatino Linotype"/>
          <w:sz w:val="20"/>
          <w:szCs w:val="20"/>
        </w:rPr>
        <w:t>10</w:t>
      </w:r>
      <w:r w:rsidRPr="00C7014F">
        <w:rPr>
          <w:rFonts w:ascii="Palatino Linotype" w:hAnsi="Palatino Linotype"/>
          <w:sz w:val="20"/>
          <w:szCs w:val="20"/>
        </w:rPr>
        <w:t>) can be used for calibration inter-comparison of two MODIS instruments</w:t>
      </w:r>
      <w:r w:rsidR="00DD7D84" w:rsidRPr="00C7014F">
        <w:rPr>
          <w:rFonts w:ascii="Palatino Linotype" w:hAnsi="Palatino Linotype"/>
          <w:sz w:val="20"/>
          <w:szCs w:val="20"/>
        </w:rPr>
        <w:t>, which use the same solar spectral irradiance in their RSB calibration</w:t>
      </w:r>
      <w:r w:rsidRPr="00C7014F">
        <w:rPr>
          <w:rFonts w:ascii="Palatino Linotype" w:hAnsi="Palatino Linotype"/>
          <w:sz w:val="20"/>
          <w:szCs w:val="20"/>
        </w:rPr>
        <w:t>. For SNPP and N20 VIIRS, an additional correction is needed to address th</w:t>
      </w:r>
      <w:r w:rsidR="00DD7D84" w:rsidRPr="00C7014F">
        <w:rPr>
          <w:rFonts w:ascii="Palatino Linotype" w:hAnsi="Palatino Linotype"/>
          <w:sz w:val="20"/>
          <w:szCs w:val="20"/>
        </w:rPr>
        <w:t>eir solar spectra</w:t>
      </w:r>
      <w:r w:rsidR="00B52DE8" w:rsidRPr="00C7014F">
        <w:rPr>
          <w:rFonts w:ascii="Palatino Linotype" w:hAnsi="Palatino Linotype"/>
          <w:sz w:val="20"/>
          <w:szCs w:val="20"/>
        </w:rPr>
        <w:t xml:space="preserve"> differences.</w:t>
      </w:r>
      <w:r w:rsidR="00B52AB8" w:rsidRPr="00C7014F">
        <w:rPr>
          <w:rFonts w:ascii="Palatino Linotype" w:hAnsi="Palatino Linotype"/>
          <w:sz w:val="20"/>
          <w:szCs w:val="20"/>
        </w:rPr>
        <w:t xml:space="preserve"> </w:t>
      </w:r>
      <w:r w:rsidR="000B38B5" w:rsidRPr="00C7014F">
        <w:rPr>
          <w:rFonts w:ascii="Palatino Linotype" w:hAnsi="Palatino Linotype"/>
          <w:sz w:val="20"/>
          <w:szCs w:val="20"/>
        </w:rPr>
        <w:t xml:space="preserve">This correction is </w:t>
      </w:r>
      <w:r w:rsidR="00DD7D84" w:rsidRPr="00C7014F">
        <w:rPr>
          <w:rFonts w:ascii="Palatino Linotype" w:hAnsi="Palatino Linotype"/>
          <w:sz w:val="20"/>
          <w:szCs w:val="20"/>
        </w:rPr>
        <w:t xml:space="preserve">also </w:t>
      </w:r>
      <w:r w:rsidR="000B38B5" w:rsidRPr="00C7014F">
        <w:rPr>
          <w:rFonts w:ascii="Palatino Linotype" w:hAnsi="Palatino Linotype"/>
          <w:sz w:val="20"/>
          <w:szCs w:val="20"/>
        </w:rPr>
        <w:t>needed for MODIS and VIIRS</w:t>
      </w:r>
      <w:r w:rsidR="00DD7D84" w:rsidRPr="00C7014F">
        <w:rPr>
          <w:rFonts w:ascii="Palatino Linotype" w:hAnsi="Palatino Linotype"/>
          <w:sz w:val="20"/>
          <w:szCs w:val="20"/>
        </w:rPr>
        <w:t xml:space="preserve"> calibration inter-comparison</w:t>
      </w:r>
      <w:r w:rsidR="000B38B5" w:rsidRPr="00C7014F">
        <w:rPr>
          <w:rFonts w:ascii="Palatino Linotype" w:hAnsi="Palatino Linotype"/>
          <w:sz w:val="20"/>
          <w:szCs w:val="20"/>
        </w:rPr>
        <w:t xml:space="preserve">. </w:t>
      </w:r>
      <w:r w:rsidR="00B52AB8" w:rsidRPr="00C7014F">
        <w:rPr>
          <w:rFonts w:ascii="Palatino Linotype" w:hAnsi="Palatino Linotype"/>
          <w:sz w:val="20"/>
          <w:szCs w:val="20"/>
        </w:rPr>
        <w:t xml:space="preserve">Figure 5 </w:t>
      </w:r>
      <w:r w:rsidR="00B810B5" w:rsidRPr="00C7014F">
        <w:rPr>
          <w:rFonts w:ascii="Palatino Linotype" w:hAnsi="Palatino Linotype"/>
          <w:sz w:val="20"/>
          <w:szCs w:val="20"/>
        </w:rPr>
        <w:t>illustrates</w:t>
      </w:r>
      <w:r w:rsidR="00B52AB8" w:rsidRPr="00C7014F">
        <w:rPr>
          <w:rFonts w:ascii="Palatino Linotype" w:hAnsi="Palatino Linotype"/>
          <w:sz w:val="20"/>
          <w:szCs w:val="20"/>
        </w:rPr>
        <w:t xml:space="preserve"> the normalized </w:t>
      </w:r>
      <w:r w:rsidR="000B38B5" w:rsidRPr="00C7014F">
        <w:rPr>
          <w:rFonts w:ascii="Palatino Linotype" w:hAnsi="Palatino Linotype"/>
          <w:sz w:val="20"/>
          <w:szCs w:val="20"/>
        </w:rPr>
        <w:t>solar</w:t>
      </w:r>
      <w:r w:rsidR="00B52AB8" w:rsidRPr="00C7014F">
        <w:rPr>
          <w:rFonts w:ascii="Palatino Linotype" w:hAnsi="Palatino Linotype"/>
          <w:sz w:val="20"/>
          <w:szCs w:val="20"/>
        </w:rPr>
        <w:t xml:space="preserve"> spectrum </w:t>
      </w:r>
      <w:r w:rsidR="009154CD" w:rsidRPr="00C7014F">
        <w:rPr>
          <w:rFonts w:ascii="Palatino Linotype" w:hAnsi="Palatino Linotype"/>
          <w:sz w:val="20"/>
          <w:szCs w:val="20"/>
        </w:rPr>
        <w:t>adopted by</w:t>
      </w:r>
      <w:r w:rsidR="00B52AB8" w:rsidRPr="00C7014F">
        <w:rPr>
          <w:rFonts w:ascii="Palatino Linotype" w:hAnsi="Palatino Linotype"/>
          <w:sz w:val="20"/>
          <w:szCs w:val="20"/>
        </w:rPr>
        <w:t xml:space="preserve"> M</w:t>
      </w:r>
      <w:r w:rsidR="00DD7D84" w:rsidRPr="00C7014F">
        <w:rPr>
          <w:rFonts w:ascii="Palatino Linotype" w:hAnsi="Palatino Linotype"/>
          <w:sz w:val="20"/>
          <w:szCs w:val="20"/>
        </w:rPr>
        <w:t xml:space="preserve">ODIS and two VIIRS instruments and </w:t>
      </w:r>
      <w:r w:rsidR="009154CD" w:rsidRPr="00C7014F">
        <w:rPr>
          <w:rFonts w:ascii="Palatino Linotype" w:hAnsi="Palatino Linotype"/>
          <w:sz w:val="20"/>
          <w:szCs w:val="20"/>
        </w:rPr>
        <w:t xml:space="preserve">their RSB </w:t>
      </w:r>
      <w:r w:rsidR="00DD7D84" w:rsidRPr="00C7014F">
        <w:rPr>
          <w:rFonts w:ascii="Palatino Linotype" w:hAnsi="Palatino Linotype"/>
          <w:sz w:val="20"/>
          <w:szCs w:val="20"/>
        </w:rPr>
        <w:t>center wavelength locations.</w:t>
      </w:r>
      <w:r w:rsidR="00A127F7" w:rsidRPr="00C7014F">
        <w:rPr>
          <w:rFonts w:ascii="Palatino Linotype" w:hAnsi="Palatino Linotype"/>
          <w:sz w:val="20"/>
          <w:szCs w:val="20"/>
        </w:rPr>
        <w:t xml:space="preserve"> Examples of MODIS (bands 1 and 8) and VIIRS (bands M1 and I1) RSR are shown in Figure 6. </w:t>
      </w:r>
      <w:r w:rsidR="009154CD" w:rsidRPr="00C7014F">
        <w:rPr>
          <w:rFonts w:ascii="Palatino Linotype" w:hAnsi="Palatino Linotype"/>
          <w:sz w:val="20"/>
          <w:szCs w:val="20"/>
        </w:rPr>
        <w:t>In general, Terra and Aqua MODIS RSB RSR are very similar. However, there are small but noticeable differences between SNPP and N20 VIIRS RSB RSR</w:t>
      </w:r>
      <w:r w:rsidR="00D541FA" w:rsidRPr="00C7014F">
        <w:rPr>
          <w:rFonts w:ascii="Palatino Linotype" w:hAnsi="Palatino Linotype"/>
          <w:sz w:val="20"/>
          <w:szCs w:val="20"/>
        </w:rPr>
        <w:t xml:space="preserve">, resulting from sensor </w:t>
      </w:r>
      <w:r w:rsidR="009154CD" w:rsidRPr="00C7014F">
        <w:rPr>
          <w:rFonts w:ascii="Palatino Linotype" w:hAnsi="Palatino Linotype"/>
          <w:sz w:val="20"/>
          <w:szCs w:val="20"/>
        </w:rPr>
        <w:t>build</w:t>
      </w:r>
      <w:r w:rsidR="00A00A5A" w:rsidRPr="00C7014F">
        <w:rPr>
          <w:rFonts w:ascii="Palatino Linotype" w:hAnsi="Palatino Linotype"/>
          <w:sz w:val="20"/>
          <w:szCs w:val="20"/>
        </w:rPr>
        <w:t>-</w:t>
      </w:r>
      <w:r w:rsidR="009154CD" w:rsidRPr="00C7014F">
        <w:rPr>
          <w:rFonts w:ascii="Palatino Linotype" w:hAnsi="Palatino Linotype"/>
          <w:sz w:val="20"/>
          <w:szCs w:val="20"/>
        </w:rPr>
        <w:t>to</w:t>
      </w:r>
      <w:r w:rsidR="00A00A5A" w:rsidRPr="00C7014F">
        <w:rPr>
          <w:rFonts w:ascii="Palatino Linotype" w:hAnsi="Palatino Linotype"/>
          <w:sz w:val="20"/>
          <w:szCs w:val="20"/>
        </w:rPr>
        <w:t>-</w:t>
      </w:r>
      <w:r w:rsidR="009154CD" w:rsidRPr="00C7014F">
        <w:rPr>
          <w:rFonts w:ascii="Palatino Linotype" w:hAnsi="Palatino Linotype"/>
          <w:sz w:val="20"/>
          <w:szCs w:val="20"/>
        </w:rPr>
        <w:t>build differences</w:t>
      </w:r>
      <w:r w:rsidR="00D541FA" w:rsidRPr="00C7014F">
        <w:rPr>
          <w:rFonts w:ascii="Palatino Linotype" w:hAnsi="Palatino Linotype"/>
          <w:sz w:val="20"/>
          <w:szCs w:val="20"/>
        </w:rPr>
        <w:t>. Both MODIS and VIIRS RSR were well characterized during their pre-launch testing campaign phases</w:t>
      </w:r>
      <w:r w:rsidR="000717FF" w:rsidRPr="00C7014F">
        <w:rPr>
          <w:rFonts w:ascii="Palatino Linotype" w:hAnsi="Palatino Linotype"/>
          <w:sz w:val="20"/>
          <w:szCs w:val="20"/>
        </w:rPr>
        <w:t xml:space="preserve"> [</w:t>
      </w:r>
      <w:r w:rsidR="006D77E4" w:rsidRPr="00C7014F">
        <w:rPr>
          <w:rFonts w:ascii="Palatino Linotype" w:hAnsi="Palatino Linotype"/>
          <w:sz w:val="20"/>
          <w:szCs w:val="20"/>
        </w:rPr>
        <w:t>25, 55, 56</w:t>
      </w:r>
      <w:r w:rsidR="000717FF" w:rsidRPr="00C7014F">
        <w:rPr>
          <w:rFonts w:ascii="Palatino Linotype" w:hAnsi="Palatino Linotype"/>
          <w:sz w:val="20"/>
          <w:szCs w:val="20"/>
        </w:rPr>
        <w:t>]</w:t>
      </w:r>
      <w:r w:rsidR="00D541FA" w:rsidRPr="00C7014F">
        <w:rPr>
          <w:rFonts w:ascii="Palatino Linotype" w:hAnsi="Palatino Linotype"/>
          <w:sz w:val="20"/>
          <w:szCs w:val="20"/>
        </w:rPr>
        <w:t xml:space="preserve">. </w:t>
      </w:r>
      <w:r w:rsidR="000717FF" w:rsidRPr="00C7014F">
        <w:rPr>
          <w:rFonts w:ascii="Palatino Linotype" w:hAnsi="Palatino Linotype"/>
          <w:sz w:val="20"/>
          <w:szCs w:val="20"/>
        </w:rPr>
        <w:t>For SNPP, an on-orbit modulation is applied to the pre-launch RSR in response to strong wavelength</w:t>
      </w:r>
      <w:r w:rsidR="00A00A5A" w:rsidRPr="00C7014F">
        <w:rPr>
          <w:rFonts w:ascii="Palatino Linotype" w:hAnsi="Palatino Linotype"/>
          <w:sz w:val="20"/>
          <w:szCs w:val="20"/>
        </w:rPr>
        <w:t>-</w:t>
      </w:r>
      <w:r w:rsidR="000717FF" w:rsidRPr="00C7014F">
        <w:rPr>
          <w:rFonts w:ascii="Palatino Linotype" w:hAnsi="Palatino Linotype"/>
          <w:sz w:val="20"/>
          <w:szCs w:val="20"/>
        </w:rPr>
        <w:t>dependent degradation of its RTA optics [</w:t>
      </w:r>
      <w:r w:rsidR="0011402F" w:rsidRPr="00C7014F">
        <w:rPr>
          <w:rFonts w:ascii="Palatino Linotype" w:hAnsi="Palatino Linotype"/>
          <w:sz w:val="20"/>
          <w:szCs w:val="20"/>
        </w:rPr>
        <w:t>52</w:t>
      </w:r>
      <w:r w:rsidR="000717FF" w:rsidRPr="00C7014F">
        <w:rPr>
          <w:rFonts w:ascii="Palatino Linotype" w:hAnsi="Palatino Linotype"/>
          <w:sz w:val="20"/>
          <w:szCs w:val="20"/>
        </w:rPr>
        <w:t xml:space="preserve">].  </w:t>
      </w:r>
    </w:p>
    <w:p w14:paraId="25135DDE" w14:textId="77777777" w:rsidR="00BB6B8D" w:rsidRPr="00C7014F" w:rsidRDefault="00B52DE8" w:rsidP="00B52DE8">
      <w:pPr>
        <w:spacing w:line="240" w:lineRule="auto"/>
        <w:jc w:val="center"/>
        <w:rPr>
          <w:rFonts w:ascii="Palatino Linotype" w:hAnsi="Palatino Linotype"/>
          <w:sz w:val="20"/>
          <w:szCs w:val="20"/>
        </w:rPr>
      </w:pPr>
      <w:r w:rsidRPr="00C7014F">
        <w:rPr>
          <w:rFonts w:ascii="Palatino Linotype" w:hAnsi="Palatino Linotype"/>
          <w:noProof/>
          <w:sz w:val="20"/>
          <w:szCs w:val="20"/>
        </w:rPr>
        <w:drawing>
          <wp:inline distT="0" distB="0" distL="0" distR="0" wp14:anchorId="2C27E82D" wp14:editId="1202DF71">
            <wp:extent cx="4791456" cy="1728216"/>
            <wp:effectExtent l="0" t="0" r="0" b="5715"/>
            <wp:docPr id="4" name="Picture 2">
              <a:extLst xmlns:a="http://schemas.openxmlformats.org/drawingml/2006/main">
                <a:ext uri="{FF2B5EF4-FFF2-40B4-BE49-F238E27FC236}">
                  <a16:creationId xmlns:a16="http://schemas.microsoft.com/office/drawing/2014/main" id="{3BFD8D38-87A8-5C22-DA37-9A54C02451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BFD8D38-87A8-5C22-DA37-9A54C02451E8}"/>
                        </a:ext>
                      </a:extLst>
                    </pic:cNvPr>
                    <pic:cNvPicPr>
                      <a:picLocks noChangeAspect="1"/>
                    </pic:cNvPicPr>
                  </pic:nvPicPr>
                  <pic:blipFill>
                    <a:blip r:embed="rId10"/>
                    <a:srcRect/>
                    <a:stretch/>
                  </pic:blipFill>
                  <pic:spPr>
                    <a:xfrm>
                      <a:off x="0" y="0"/>
                      <a:ext cx="4791456" cy="1728216"/>
                    </a:xfrm>
                    <a:prstGeom prst="rect">
                      <a:avLst/>
                    </a:prstGeom>
                  </pic:spPr>
                </pic:pic>
              </a:graphicData>
            </a:graphic>
          </wp:inline>
        </w:drawing>
      </w:r>
    </w:p>
    <w:p w14:paraId="7304E383" w14:textId="7DAFA77D" w:rsidR="00A127F7" w:rsidRPr="00C7014F" w:rsidRDefault="00615A71" w:rsidP="00A127F7">
      <w:pPr>
        <w:spacing w:line="240" w:lineRule="auto"/>
        <w:jc w:val="center"/>
        <w:rPr>
          <w:rFonts w:ascii="Palatino Linotype" w:hAnsi="Palatino Linotype"/>
          <w:sz w:val="20"/>
          <w:szCs w:val="20"/>
        </w:rPr>
      </w:pPr>
      <w:r w:rsidRPr="00C7014F">
        <w:rPr>
          <w:rFonts w:ascii="Palatino Linotype" w:hAnsi="Palatino Linotype"/>
          <w:sz w:val="20"/>
        </w:rPr>
        <w:t>Figure 5</w:t>
      </w:r>
      <w:r w:rsidR="00EF1AD3" w:rsidRPr="00C7014F">
        <w:rPr>
          <w:rFonts w:ascii="Palatino Linotype" w:hAnsi="Palatino Linotype"/>
          <w:sz w:val="20"/>
        </w:rPr>
        <w:t xml:space="preserve">. </w:t>
      </w:r>
      <w:r w:rsidR="00160026" w:rsidRPr="00C7014F">
        <w:rPr>
          <w:rFonts w:ascii="Palatino Linotype" w:hAnsi="Palatino Linotype"/>
          <w:sz w:val="20"/>
        </w:rPr>
        <w:t>Solar spectrum for MODIS (</w:t>
      </w:r>
      <w:r w:rsidR="00EF1AD3" w:rsidRPr="00C7014F">
        <w:rPr>
          <w:rFonts w:ascii="Palatino Linotype" w:hAnsi="Palatino Linotype"/>
          <w:sz w:val="20"/>
        </w:rPr>
        <w:t xml:space="preserve">same for </w:t>
      </w:r>
      <w:r w:rsidR="00160026" w:rsidRPr="00C7014F">
        <w:rPr>
          <w:rFonts w:ascii="Palatino Linotype" w:hAnsi="Palatino Linotype"/>
          <w:sz w:val="20"/>
        </w:rPr>
        <w:t xml:space="preserve">both Terra and Aqua), </w:t>
      </w:r>
      <w:r w:rsidR="00A73C88" w:rsidRPr="00C7014F">
        <w:rPr>
          <w:rFonts w:ascii="Palatino Linotype" w:hAnsi="Palatino Linotype"/>
          <w:sz w:val="20"/>
        </w:rPr>
        <w:t>SNPP</w:t>
      </w:r>
      <w:r w:rsidR="00160026" w:rsidRPr="00C7014F">
        <w:rPr>
          <w:rFonts w:ascii="Palatino Linotype" w:hAnsi="Palatino Linotype"/>
          <w:sz w:val="20"/>
        </w:rPr>
        <w:t xml:space="preserve"> VIIRS, and </w:t>
      </w:r>
      <w:r w:rsidR="00A73C88" w:rsidRPr="00C7014F">
        <w:rPr>
          <w:rFonts w:ascii="Palatino Linotype" w:hAnsi="Palatino Linotype"/>
          <w:sz w:val="20"/>
        </w:rPr>
        <w:t>N20</w:t>
      </w:r>
      <w:r w:rsidR="00160026" w:rsidRPr="00C7014F">
        <w:rPr>
          <w:rFonts w:ascii="Palatino Linotype" w:hAnsi="Palatino Linotype"/>
          <w:sz w:val="20"/>
        </w:rPr>
        <w:t xml:space="preserve"> VIIRS. </w:t>
      </w:r>
      <w:r w:rsidR="00A65F86" w:rsidRPr="00C7014F">
        <w:rPr>
          <w:rFonts w:ascii="Palatino Linotype" w:hAnsi="Palatino Linotype"/>
          <w:sz w:val="20"/>
        </w:rPr>
        <w:t xml:space="preserve"> Band locations </w:t>
      </w:r>
      <w:r w:rsidR="00160026" w:rsidRPr="00C7014F">
        <w:rPr>
          <w:rFonts w:ascii="Palatino Linotype" w:hAnsi="Palatino Linotype"/>
          <w:sz w:val="20"/>
        </w:rPr>
        <w:t xml:space="preserve">are </w:t>
      </w:r>
      <w:r w:rsidR="00A65F86" w:rsidRPr="00C7014F">
        <w:rPr>
          <w:rFonts w:ascii="Palatino Linotype" w:hAnsi="Palatino Linotype"/>
          <w:sz w:val="20"/>
        </w:rPr>
        <w:t>marked according to their wavelengths</w:t>
      </w:r>
      <w:r w:rsidR="00160026" w:rsidRPr="00C7014F">
        <w:rPr>
          <w:rFonts w:ascii="Palatino Linotype" w:hAnsi="Palatino Linotype"/>
          <w:sz w:val="20"/>
        </w:rPr>
        <w:t xml:space="preserve"> at the </w:t>
      </w:r>
      <w:r w:rsidR="00A65F86" w:rsidRPr="00C7014F">
        <w:rPr>
          <w:rFonts w:ascii="Palatino Linotype" w:hAnsi="Palatino Linotype"/>
          <w:sz w:val="20"/>
        </w:rPr>
        <w:t xml:space="preserve">top (VIIRS) or </w:t>
      </w:r>
      <w:r w:rsidR="00160026" w:rsidRPr="00C7014F">
        <w:rPr>
          <w:rFonts w:ascii="Palatino Linotype" w:hAnsi="Palatino Linotype"/>
          <w:sz w:val="20"/>
        </w:rPr>
        <w:t xml:space="preserve">bottom </w:t>
      </w:r>
      <w:r w:rsidR="00A65F86" w:rsidRPr="00C7014F">
        <w:rPr>
          <w:rFonts w:ascii="Palatino Linotype" w:hAnsi="Palatino Linotype"/>
          <w:sz w:val="20"/>
        </w:rPr>
        <w:t xml:space="preserve">(MODIS) </w:t>
      </w:r>
      <w:r w:rsidR="00AA1933" w:rsidRPr="00C7014F">
        <w:rPr>
          <w:rFonts w:ascii="Palatino Linotype" w:hAnsi="Palatino Linotype"/>
          <w:sz w:val="20"/>
        </w:rPr>
        <w:t xml:space="preserve">of </w:t>
      </w:r>
      <w:r w:rsidR="00A65F86" w:rsidRPr="00C7014F">
        <w:rPr>
          <w:rFonts w:ascii="Palatino Linotype" w:hAnsi="Palatino Linotype"/>
          <w:sz w:val="20"/>
        </w:rPr>
        <w:t>the figure</w:t>
      </w:r>
      <w:r w:rsidR="00160026" w:rsidRPr="00C7014F">
        <w:rPr>
          <w:rFonts w:ascii="Palatino Linotype" w:hAnsi="Palatino Linotype"/>
          <w:sz w:val="20"/>
        </w:rPr>
        <w:t>.</w:t>
      </w:r>
    </w:p>
    <w:p w14:paraId="1D991EF0" w14:textId="77777777" w:rsidR="00A127F7" w:rsidRPr="00C7014F" w:rsidRDefault="00A127F7" w:rsidP="00A127F7">
      <w:pPr>
        <w:spacing w:line="240" w:lineRule="auto"/>
        <w:jc w:val="center"/>
        <w:rPr>
          <w:rFonts w:ascii="Palatino Linotype" w:hAnsi="Palatino Linotype"/>
          <w:sz w:val="20"/>
          <w:szCs w:val="20"/>
        </w:rPr>
      </w:pPr>
      <w:r w:rsidRPr="00C7014F">
        <w:rPr>
          <w:rFonts w:ascii="Palatino Linotype" w:hAnsi="Palatino Linotype"/>
          <w:noProof/>
          <w:sz w:val="20"/>
          <w:szCs w:val="20"/>
        </w:rPr>
        <w:drawing>
          <wp:inline distT="0" distB="0" distL="0" distR="0" wp14:anchorId="1342A468" wp14:editId="7EA9DFA7">
            <wp:extent cx="5056632" cy="1362456"/>
            <wp:effectExtent l="0" t="0" r="0" b="9525"/>
            <wp:docPr id="18" name="Picture 2">
              <a:extLst xmlns:a="http://schemas.openxmlformats.org/drawingml/2006/main">
                <a:ext uri="{FF2B5EF4-FFF2-40B4-BE49-F238E27FC236}">
                  <a16:creationId xmlns:a16="http://schemas.microsoft.com/office/drawing/2014/main" id="{38DDB8D8-CE85-4714-ED0F-2145755CF9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8DDB8D8-CE85-4714-ED0F-2145755CF994}"/>
                        </a:ext>
                      </a:extLst>
                    </pic:cNvPr>
                    <pic:cNvPicPr>
                      <a:picLocks noChangeAspect="1"/>
                    </pic:cNvPicPr>
                  </pic:nvPicPr>
                  <pic:blipFill>
                    <a:blip r:embed="rId11"/>
                    <a:srcRect/>
                    <a:stretch/>
                  </pic:blipFill>
                  <pic:spPr>
                    <a:xfrm>
                      <a:off x="0" y="0"/>
                      <a:ext cx="5056632" cy="1362456"/>
                    </a:xfrm>
                    <a:prstGeom prst="rect">
                      <a:avLst/>
                    </a:prstGeom>
                  </pic:spPr>
                </pic:pic>
              </a:graphicData>
            </a:graphic>
          </wp:inline>
        </w:drawing>
      </w:r>
    </w:p>
    <w:p w14:paraId="1644AAE4" w14:textId="31AF1DAD" w:rsidR="00615A71" w:rsidRPr="00C7014F" w:rsidRDefault="00EF1AD3" w:rsidP="00615A71">
      <w:pPr>
        <w:spacing w:before="120" w:after="120"/>
        <w:jc w:val="center"/>
        <w:rPr>
          <w:rFonts w:ascii="Palatino Linotype" w:hAnsi="Palatino Linotype"/>
          <w:sz w:val="20"/>
        </w:rPr>
      </w:pPr>
      <w:r w:rsidRPr="00C7014F">
        <w:rPr>
          <w:rFonts w:ascii="Palatino Linotype" w:hAnsi="Palatino Linotype"/>
          <w:sz w:val="20"/>
        </w:rPr>
        <w:t xml:space="preserve">Figure 6. </w:t>
      </w:r>
      <w:r w:rsidR="00847041" w:rsidRPr="00C7014F">
        <w:rPr>
          <w:rFonts w:ascii="Palatino Linotype" w:hAnsi="Palatino Linotype"/>
          <w:sz w:val="20"/>
        </w:rPr>
        <w:t>RSR comparison for bands in all four instruments near (a) 410 nm and (b) 640 nm.</w:t>
      </w:r>
    </w:p>
    <w:p w14:paraId="635CAE2A" w14:textId="4BA0F332" w:rsidR="009B4E5C" w:rsidRPr="00C7014F" w:rsidRDefault="00701C69" w:rsidP="00EE4DD8">
      <w:pPr>
        <w:spacing w:line="300" w:lineRule="exact"/>
        <w:jc w:val="both"/>
        <w:rPr>
          <w:rFonts w:ascii="Palatino Linotype" w:hAnsi="Palatino Linotype"/>
          <w:sz w:val="20"/>
          <w:szCs w:val="20"/>
        </w:rPr>
      </w:pPr>
      <w:r w:rsidRPr="00C7014F">
        <w:rPr>
          <w:rFonts w:ascii="Palatino Linotype" w:hAnsi="Palatino Linotype"/>
          <w:sz w:val="20"/>
          <w:szCs w:val="20"/>
        </w:rPr>
        <w:t>By i</w:t>
      </w:r>
      <w:r w:rsidR="009B4E5C" w:rsidRPr="00C7014F">
        <w:rPr>
          <w:rFonts w:ascii="Palatino Linotype" w:hAnsi="Palatino Linotype"/>
          <w:sz w:val="20"/>
          <w:szCs w:val="20"/>
        </w:rPr>
        <w:t xml:space="preserve">ncluding </w:t>
      </w:r>
      <w:r w:rsidRPr="00C7014F">
        <w:rPr>
          <w:rFonts w:ascii="Palatino Linotype" w:hAnsi="Palatino Linotype"/>
          <w:sz w:val="20"/>
          <w:szCs w:val="20"/>
        </w:rPr>
        <w:t xml:space="preserve">a </w:t>
      </w:r>
      <w:r w:rsidR="009B4E5C" w:rsidRPr="00C7014F">
        <w:rPr>
          <w:rFonts w:ascii="Palatino Linotype" w:hAnsi="Palatino Linotype"/>
          <w:sz w:val="20"/>
          <w:szCs w:val="20"/>
        </w:rPr>
        <w:t xml:space="preserve">correction </w:t>
      </w:r>
      <w:r w:rsidRPr="00C7014F">
        <w:rPr>
          <w:rFonts w:ascii="Palatino Linotype" w:hAnsi="Palatino Linotype"/>
          <w:sz w:val="20"/>
          <w:szCs w:val="20"/>
        </w:rPr>
        <w:t xml:space="preserve">to remove the calibration difference </w:t>
      </w:r>
      <w:r w:rsidR="00A16679" w:rsidRPr="00C7014F">
        <w:rPr>
          <w:rFonts w:ascii="Palatino Linotype" w:hAnsi="Palatino Linotype"/>
          <w:sz w:val="20"/>
          <w:szCs w:val="20"/>
        </w:rPr>
        <w:t>resulting from</w:t>
      </w:r>
      <w:r w:rsidRPr="00C7014F">
        <w:rPr>
          <w:rFonts w:ascii="Palatino Linotype" w:hAnsi="Palatino Linotype"/>
          <w:sz w:val="20"/>
          <w:szCs w:val="20"/>
        </w:rPr>
        <w:t xml:space="preserve"> the use of different solar spectra</w:t>
      </w:r>
      <w:r w:rsidR="000717FF" w:rsidRPr="00C7014F">
        <w:rPr>
          <w:rFonts w:ascii="Palatino Linotype" w:hAnsi="Palatino Linotype"/>
          <w:sz w:val="20"/>
          <w:szCs w:val="20"/>
        </w:rPr>
        <w:t xml:space="preserve"> by sensors A and B</w:t>
      </w:r>
      <w:r w:rsidR="009B4E5C" w:rsidRPr="00C7014F">
        <w:rPr>
          <w:rFonts w:ascii="Palatino Linotype" w:hAnsi="Palatino Linotype"/>
          <w:sz w:val="20"/>
          <w:szCs w:val="20"/>
        </w:rPr>
        <w:t xml:space="preserve">, the calibration difference between sensors </w:t>
      </w:r>
      <w:r w:rsidRPr="00C7014F">
        <w:rPr>
          <w:rFonts w:ascii="Palatino Linotype" w:hAnsi="Palatino Linotype"/>
          <w:sz w:val="20"/>
          <w:szCs w:val="20"/>
        </w:rPr>
        <w:t xml:space="preserve">A and B </w:t>
      </w:r>
      <w:r w:rsidR="000717FF" w:rsidRPr="00C7014F">
        <w:rPr>
          <w:rFonts w:ascii="Palatino Linotype" w:hAnsi="Palatino Linotype"/>
          <w:sz w:val="20"/>
          <w:szCs w:val="20"/>
        </w:rPr>
        <w:t>described by Eq. (10) needs to be modified as</w:t>
      </w:r>
      <w:r w:rsidR="009B4E5C" w:rsidRPr="00C7014F">
        <w:rPr>
          <w:rFonts w:ascii="Palatino Linotype" w:hAnsi="Palatino Linotype"/>
          <w:sz w:val="20"/>
          <w:szCs w:val="20"/>
        </w:rPr>
        <w:t>,</w:t>
      </w:r>
    </w:p>
    <w:p w14:paraId="75926A14" w14:textId="77777777" w:rsidR="009B4E5C" w:rsidRPr="00C7014F" w:rsidRDefault="00000000" w:rsidP="00701C69">
      <w:pPr>
        <w:spacing w:line="240" w:lineRule="auto"/>
        <w:jc w:val="center"/>
        <w:rPr>
          <w:rFonts w:ascii="Palatino Linotype" w:eastAsiaTheme="minorEastAsia" w:hAnsi="Palatino Linotype"/>
          <w:sz w:val="20"/>
          <w:szCs w:val="20"/>
        </w:rPr>
      </w:pP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A/B</m:t>
            </m:r>
          </m:sub>
          <m:sup>
            <m:r>
              <w:rPr>
                <w:rFonts w:ascii="Cambria Math" w:hAnsi="Cambria Math"/>
                <w:sz w:val="20"/>
                <w:szCs w:val="20"/>
              </w:rPr>
              <m:t>*</m:t>
            </m:r>
          </m:sup>
        </m:sSub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A/B</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A/B</m:t>
            </m:r>
          </m:sub>
        </m:sSub>
      </m:oMath>
      <w:r w:rsidR="00701C69" w:rsidRPr="00C7014F">
        <w:rPr>
          <w:rFonts w:ascii="Palatino Linotype" w:eastAsiaTheme="minorEastAsia" w:hAnsi="Palatino Linotype"/>
          <w:sz w:val="20"/>
          <w:szCs w:val="20"/>
        </w:rPr>
        <w:tab/>
      </w:r>
      <w:r w:rsidR="00701C69" w:rsidRPr="00C7014F">
        <w:rPr>
          <w:rFonts w:ascii="Palatino Linotype" w:eastAsiaTheme="minorEastAsia" w:hAnsi="Palatino Linotype"/>
          <w:sz w:val="20"/>
          <w:szCs w:val="20"/>
        </w:rPr>
        <w:tab/>
      </w:r>
      <w:r w:rsidR="00701C69" w:rsidRPr="00C7014F">
        <w:rPr>
          <w:rFonts w:ascii="Palatino Linotype" w:eastAsiaTheme="minorEastAsia" w:hAnsi="Palatino Linotype"/>
          <w:sz w:val="20"/>
          <w:szCs w:val="20"/>
        </w:rPr>
        <w:tab/>
      </w:r>
      <w:r w:rsidR="00701C69" w:rsidRPr="00C7014F">
        <w:rPr>
          <w:rFonts w:ascii="Palatino Linotype" w:eastAsiaTheme="minorEastAsia" w:hAnsi="Palatino Linotype"/>
          <w:sz w:val="20"/>
          <w:szCs w:val="20"/>
        </w:rPr>
        <w:tab/>
        <w:t>(11)</w:t>
      </w:r>
    </w:p>
    <w:p w14:paraId="0CFC85E4" w14:textId="77777777" w:rsidR="009B4E5C" w:rsidRPr="00C7014F" w:rsidRDefault="00701C69" w:rsidP="00701C69">
      <w:pPr>
        <w:spacing w:before="120" w:after="120" w:line="240" w:lineRule="auto"/>
        <w:rPr>
          <w:rFonts w:ascii="Palatino Linotype" w:eastAsiaTheme="minorEastAsia" w:hAnsi="Palatino Linotype"/>
          <w:sz w:val="20"/>
          <w:szCs w:val="20"/>
        </w:rPr>
      </w:pPr>
      <w:r w:rsidRPr="00C7014F">
        <w:rPr>
          <w:rFonts w:ascii="Palatino Linotype" w:eastAsiaTheme="minorEastAsia" w:hAnsi="Palatino Linotype"/>
          <w:sz w:val="20"/>
          <w:szCs w:val="20"/>
        </w:rPr>
        <w:t>w</w:t>
      </w:r>
      <w:r w:rsidR="009B4E5C" w:rsidRPr="00C7014F">
        <w:rPr>
          <w:rFonts w:ascii="Palatino Linotype" w:eastAsiaTheme="minorEastAsia" w:hAnsi="Palatino Linotype"/>
          <w:sz w:val="20"/>
          <w:szCs w:val="20"/>
        </w:rPr>
        <w:t xml:space="preserve">here </w:t>
      </w:r>
    </w:p>
    <w:p w14:paraId="4EA942C9" w14:textId="072B40D8" w:rsidR="009B4E5C" w:rsidRPr="00C7014F" w:rsidRDefault="00000000" w:rsidP="00701C69">
      <w:pPr>
        <w:spacing w:line="240" w:lineRule="auto"/>
        <w:jc w:val="center"/>
        <w:rPr>
          <w:rFonts w:ascii="Palatino Linotype" w:hAnsi="Palatino Linotype"/>
          <w:sz w:val="20"/>
          <w:szCs w:val="20"/>
        </w:rPr>
      </w:pPr>
      <m:oMath>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A/B</m:t>
            </m:r>
          </m:sub>
        </m:sSub>
        <m:r>
          <w:rPr>
            <w:rFonts w:ascii="Cambria Math" w:hAnsi="Cambria Math"/>
            <w:sz w:val="20"/>
            <w:szCs w:val="20"/>
          </w:rPr>
          <m:t>=</m:t>
        </m:r>
        <m:f>
          <m:fPr>
            <m:ctrlPr>
              <w:rPr>
                <w:rFonts w:ascii="Cambria Math" w:hAnsi="Cambria Math"/>
                <w:i/>
                <w:sz w:val="20"/>
                <w:szCs w:val="20"/>
              </w:rPr>
            </m:ctrlPr>
          </m:fPr>
          <m:num>
            <m:nary>
              <m:naryPr>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RSR</m:t>
                    </m:r>
                  </m:e>
                  <m:sub>
                    <m:r>
                      <w:rPr>
                        <w:rFonts w:ascii="Cambria Math" w:hAnsi="Cambria Math"/>
                        <w:sz w:val="20"/>
                        <w:szCs w:val="20"/>
                      </w:rPr>
                      <m:t>A</m:t>
                    </m:r>
                  </m:sub>
                </m:sSub>
                <m:d>
                  <m:dPr>
                    <m:ctrlPr>
                      <w:rPr>
                        <w:rFonts w:ascii="Cambria Math" w:hAnsi="Cambria Math"/>
                        <w:i/>
                        <w:sz w:val="20"/>
                        <w:szCs w:val="20"/>
                      </w:rPr>
                    </m:ctrlPr>
                  </m:dPr>
                  <m:e>
                    <m:r>
                      <w:rPr>
                        <w:rFonts w:ascii="Cambria Math" w:hAnsi="Cambria Math"/>
                        <w:i/>
                        <w:sz w:val="20"/>
                        <w:szCs w:val="20"/>
                      </w:rPr>
                      <w:sym w:font="Symbol" w:char="F06C"/>
                    </m:r>
                  </m:e>
                </m:d>
              </m:e>
            </m:nary>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SUN_B</m:t>
                </m:r>
              </m:sub>
            </m:sSub>
            <m:d>
              <m:dPr>
                <m:ctrlPr>
                  <w:rPr>
                    <w:rFonts w:ascii="Cambria Math" w:hAnsi="Cambria Math"/>
                    <w:i/>
                    <w:sz w:val="20"/>
                    <w:szCs w:val="20"/>
                  </w:rPr>
                </m:ctrlPr>
              </m:dPr>
              <m:e>
                <m:r>
                  <w:rPr>
                    <w:rFonts w:ascii="Cambria Math" w:hAnsi="Cambria Math"/>
                    <w:i/>
                    <w:sz w:val="20"/>
                    <w:szCs w:val="20"/>
                  </w:rPr>
                  <w:sym w:font="Symbol" w:char="F06C"/>
                </m:r>
              </m:e>
            </m:d>
            <m:r>
              <w:rPr>
                <w:rFonts w:ascii="Cambria Math" w:hAnsi="Cambria Math"/>
                <w:sz w:val="20"/>
                <w:szCs w:val="20"/>
              </w:rPr>
              <m:t>d</m:t>
            </m:r>
            <m:r>
              <w:rPr>
                <w:rFonts w:ascii="Cambria Math" w:hAnsi="Cambria Math"/>
                <w:i/>
                <w:sz w:val="20"/>
                <w:szCs w:val="20"/>
              </w:rPr>
              <w:sym w:font="Symbol" w:char="F06C"/>
            </m:r>
            <m:r>
              <w:rPr>
                <w:rFonts w:ascii="Cambria Math" w:hAnsi="Cambria Math"/>
                <w:sz w:val="20"/>
                <w:szCs w:val="20"/>
              </w:rPr>
              <m:t>/</m:t>
            </m:r>
            <m:nary>
              <m:naryPr>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RSR</m:t>
                    </m:r>
                  </m:e>
                  <m:sub>
                    <m:r>
                      <w:rPr>
                        <w:rFonts w:ascii="Cambria Math" w:hAnsi="Cambria Math"/>
                        <w:sz w:val="20"/>
                        <w:szCs w:val="20"/>
                      </w:rPr>
                      <m:t>A</m:t>
                    </m:r>
                  </m:sub>
                </m:sSub>
                <m:d>
                  <m:dPr>
                    <m:ctrlPr>
                      <w:rPr>
                        <w:rFonts w:ascii="Cambria Math" w:hAnsi="Cambria Math"/>
                        <w:i/>
                        <w:sz w:val="20"/>
                        <w:szCs w:val="20"/>
                      </w:rPr>
                    </m:ctrlPr>
                  </m:dPr>
                  <m:e>
                    <m:r>
                      <w:rPr>
                        <w:rFonts w:ascii="Cambria Math" w:hAnsi="Cambria Math"/>
                        <w:i/>
                        <w:sz w:val="20"/>
                        <w:szCs w:val="20"/>
                      </w:rPr>
                      <w:sym w:font="Symbol" w:char="F06C"/>
                    </m:r>
                  </m:e>
                </m:d>
              </m:e>
            </m:nary>
            <m:r>
              <w:rPr>
                <w:rFonts w:ascii="Cambria Math" w:hAnsi="Cambria Math"/>
                <w:sz w:val="20"/>
                <w:szCs w:val="20"/>
              </w:rPr>
              <m:t>d</m:t>
            </m:r>
            <m:r>
              <w:rPr>
                <w:rFonts w:ascii="Cambria Math" w:hAnsi="Cambria Math"/>
                <w:i/>
                <w:sz w:val="20"/>
                <w:szCs w:val="20"/>
              </w:rPr>
              <w:sym w:font="Symbol" w:char="F06C"/>
            </m:r>
          </m:num>
          <m:den>
            <m:nary>
              <m:naryPr>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RSR</m:t>
                    </m:r>
                  </m:e>
                  <m:sub>
                    <m:r>
                      <w:rPr>
                        <w:rFonts w:ascii="Cambria Math" w:hAnsi="Cambria Math"/>
                        <w:sz w:val="20"/>
                        <w:szCs w:val="20"/>
                      </w:rPr>
                      <m:t>A</m:t>
                    </m:r>
                  </m:sub>
                </m:sSub>
                <m:d>
                  <m:dPr>
                    <m:ctrlPr>
                      <w:rPr>
                        <w:rFonts w:ascii="Cambria Math" w:hAnsi="Cambria Math"/>
                        <w:i/>
                        <w:sz w:val="20"/>
                        <w:szCs w:val="20"/>
                      </w:rPr>
                    </m:ctrlPr>
                  </m:dPr>
                  <m:e>
                    <m:r>
                      <w:rPr>
                        <w:rFonts w:ascii="Cambria Math" w:hAnsi="Cambria Math"/>
                        <w:i/>
                        <w:sz w:val="20"/>
                        <w:szCs w:val="20"/>
                      </w:rPr>
                      <w:sym w:font="Symbol" w:char="F06C"/>
                    </m:r>
                  </m:e>
                </m:d>
              </m:e>
            </m:nary>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SUN_A</m:t>
                </m:r>
              </m:sub>
            </m:sSub>
            <m:d>
              <m:dPr>
                <m:ctrlPr>
                  <w:rPr>
                    <w:rFonts w:ascii="Cambria Math" w:hAnsi="Cambria Math"/>
                    <w:i/>
                    <w:sz w:val="20"/>
                    <w:szCs w:val="20"/>
                  </w:rPr>
                </m:ctrlPr>
              </m:dPr>
              <m:e>
                <m:r>
                  <w:rPr>
                    <w:rFonts w:ascii="Cambria Math" w:hAnsi="Cambria Math"/>
                    <w:i/>
                    <w:sz w:val="20"/>
                    <w:szCs w:val="20"/>
                  </w:rPr>
                  <w:sym w:font="Symbol" w:char="F06C"/>
                </m:r>
              </m:e>
            </m:d>
            <m:r>
              <w:rPr>
                <w:rFonts w:ascii="Cambria Math" w:hAnsi="Cambria Math"/>
                <w:sz w:val="20"/>
                <w:szCs w:val="20"/>
              </w:rPr>
              <m:t>d</m:t>
            </m:r>
            <m:r>
              <w:rPr>
                <w:rFonts w:ascii="Cambria Math" w:hAnsi="Cambria Math"/>
                <w:i/>
                <w:sz w:val="20"/>
                <w:szCs w:val="20"/>
              </w:rPr>
              <w:sym w:font="Symbol" w:char="F06C"/>
            </m:r>
            <m:r>
              <w:rPr>
                <w:rFonts w:ascii="Cambria Math" w:hAnsi="Cambria Math"/>
                <w:sz w:val="20"/>
                <w:szCs w:val="20"/>
              </w:rPr>
              <m:t>/</m:t>
            </m:r>
            <m:nary>
              <m:naryPr>
                <m:limLoc m:val="undOvr"/>
                <m:subHide m:val="1"/>
                <m:supHide m:val="1"/>
                <m:ctrlPr>
                  <w:rPr>
                    <w:rFonts w:ascii="Cambria Math" w:hAnsi="Cambria Math"/>
                    <w:i/>
                    <w:sz w:val="20"/>
                    <w:szCs w:val="20"/>
                  </w:rPr>
                </m:ctrlPr>
              </m:naryPr>
              <m:sub/>
              <m:sup/>
              <m:e>
                <m:sSub>
                  <m:sSubPr>
                    <m:ctrlPr>
                      <w:rPr>
                        <w:rFonts w:ascii="Cambria Math" w:hAnsi="Cambria Math"/>
                        <w:i/>
                        <w:sz w:val="20"/>
                        <w:szCs w:val="20"/>
                      </w:rPr>
                    </m:ctrlPr>
                  </m:sSubPr>
                  <m:e>
                    <m:r>
                      <w:rPr>
                        <w:rFonts w:ascii="Cambria Math" w:hAnsi="Cambria Math"/>
                        <w:sz w:val="20"/>
                        <w:szCs w:val="20"/>
                      </w:rPr>
                      <m:t>RSR</m:t>
                    </m:r>
                  </m:e>
                  <m:sub>
                    <m:r>
                      <w:rPr>
                        <w:rFonts w:ascii="Cambria Math" w:hAnsi="Cambria Math"/>
                        <w:sz w:val="20"/>
                        <w:szCs w:val="20"/>
                      </w:rPr>
                      <m:t>A</m:t>
                    </m:r>
                  </m:sub>
                </m:sSub>
                <m:d>
                  <m:dPr>
                    <m:ctrlPr>
                      <w:rPr>
                        <w:rFonts w:ascii="Cambria Math" w:hAnsi="Cambria Math"/>
                        <w:i/>
                        <w:sz w:val="20"/>
                        <w:szCs w:val="20"/>
                      </w:rPr>
                    </m:ctrlPr>
                  </m:dPr>
                  <m:e>
                    <m:r>
                      <w:rPr>
                        <w:rFonts w:ascii="Cambria Math" w:hAnsi="Cambria Math"/>
                        <w:i/>
                        <w:sz w:val="20"/>
                        <w:szCs w:val="20"/>
                      </w:rPr>
                      <w:sym w:font="Symbol" w:char="F06C"/>
                    </m:r>
                  </m:e>
                </m:d>
              </m:e>
            </m:nary>
            <m:r>
              <w:rPr>
                <w:rFonts w:ascii="Cambria Math" w:hAnsi="Cambria Math"/>
                <w:sz w:val="20"/>
                <w:szCs w:val="20"/>
              </w:rPr>
              <m:t>d</m:t>
            </m:r>
            <m:r>
              <w:rPr>
                <w:rFonts w:ascii="Cambria Math" w:hAnsi="Cambria Math"/>
                <w:i/>
                <w:sz w:val="20"/>
                <w:szCs w:val="20"/>
              </w:rPr>
              <w:sym w:font="Symbol" w:char="F06C"/>
            </m:r>
          </m:den>
        </m:f>
      </m:oMath>
      <w:r w:rsidR="00701C69" w:rsidRPr="00C7014F">
        <w:rPr>
          <w:rFonts w:ascii="Palatino Linotype" w:eastAsiaTheme="minorEastAsia" w:hAnsi="Palatino Linotype"/>
          <w:sz w:val="20"/>
          <w:szCs w:val="20"/>
        </w:rPr>
        <w:tab/>
      </w:r>
      <w:r w:rsidR="00701C69" w:rsidRPr="00C7014F">
        <w:rPr>
          <w:rFonts w:ascii="Palatino Linotype" w:eastAsiaTheme="minorEastAsia" w:hAnsi="Palatino Linotype"/>
          <w:sz w:val="20"/>
          <w:szCs w:val="20"/>
        </w:rPr>
        <w:tab/>
        <w:t>(12)</w:t>
      </w:r>
    </w:p>
    <w:p w14:paraId="4E73F362" w14:textId="23F3594D" w:rsidR="000F4098" w:rsidRPr="00C7014F" w:rsidRDefault="00DA2185" w:rsidP="00EE4DD8">
      <w:pPr>
        <w:spacing w:line="300" w:lineRule="exact"/>
        <w:jc w:val="both"/>
        <w:rPr>
          <w:rFonts w:ascii="Palatino Linotype" w:hAnsi="Palatino Linotype"/>
          <w:sz w:val="20"/>
          <w:szCs w:val="20"/>
        </w:rPr>
      </w:pPr>
      <w:r w:rsidRPr="00C7014F">
        <w:rPr>
          <w:rFonts w:ascii="Palatino Linotype" w:hAnsi="Palatino Linotype"/>
          <w:sz w:val="20"/>
          <w:szCs w:val="20"/>
        </w:rPr>
        <w:t xml:space="preserve">is the correction factor </w:t>
      </w:r>
      <w:r w:rsidR="00357252" w:rsidRPr="00C7014F">
        <w:rPr>
          <w:rFonts w:ascii="Palatino Linotype" w:hAnsi="Palatino Linotype"/>
          <w:sz w:val="20"/>
          <w:szCs w:val="20"/>
        </w:rPr>
        <w:t xml:space="preserve">that depends on </w:t>
      </w:r>
      <w:r w:rsidRPr="00C7014F">
        <w:rPr>
          <w:rFonts w:ascii="Palatino Linotype" w:hAnsi="Palatino Linotype"/>
          <w:sz w:val="20"/>
          <w:szCs w:val="20"/>
        </w:rPr>
        <w:t>sensor specific solar spectra</w:t>
      </w:r>
      <w:r w:rsidR="00357252" w:rsidRPr="00C7014F">
        <w:rPr>
          <w:rFonts w:ascii="Palatino Linotype" w:hAnsi="Palatino Linotype"/>
          <w:sz w:val="20"/>
          <w:szCs w:val="20"/>
        </w:rPr>
        <w:t xml:space="preserve"> (</w:t>
      </w:r>
      <m:oMath>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Sun</m:t>
            </m:r>
          </m:sub>
        </m:sSub>
      </m:oMath>
      <w:r w:rsidR="00357252" w:rsidRPr="00C7014F">
        <w:rPr>
          <w:rFonts w:ascii="Palatino Linotype" w:hAnsi="Palatino Linotype"/>
          <w:sz w:val="20"/>
          <w:szCs w:val="20"/>
        </w:rPr>
        <w:t xml:space="preserve">) and </w:t>
      </w:r>
      <w:r w:rsidR="00E04652" w:rsidRPr="00C7014F">
        <w:rPr>
          <w:rFonts w:ascii="Palatino Linotype" w:hAnsi="Palatino Linotype"/>
          <w:sz w:val="20"/>
          <w:szCs w:val="20"/>
        </w:rPr>
        <w:t xml:space="preserve">RSR. </w:t>
      </w:r>
      <w:r w:rsidR="000F4098" w:rsidRPr="00C7014F">
        <w:rPr>
          <w:rFonts w:ascii="Palatino Linotype" w:hAnsi="Palatino Linotype"/>
          <w:sz w:val="20"/>
          <w:szCs w:val="20"/>
        </w:rPr>
        <w:t xml:space="preserve">The solar spectral reference used in the lunar model has no impact on this inter-comparison approach as long as the same </w:t>
      </w:r>
      <w:r w:rsidR="009E59CE" w:rsidRPr="00C7014F">
        <w:rPr>
          <w:rFonts w:ascii="Palatino Linotype" w:hAnsi="Palatino Linotype"/>
          <w:sz w:val="20"/>
          <w:szCs w:val="20"/>
        </w:rPr>
        <w:t xml:space="preserve">lunar model is used </w:t>
      </w:r>
      <w:r w:rsidR="000F4098" w:rsidRPr="00C7014F">
        <w:rPr>
          <w:rFonts w:ascii="Palatino Linotype" w:hAnsi="Palatino Linotype"/>
          <w:sz w:val="20"/>
          <w:szCs w:val="20"/>
        </w:rPr>
        <w:t>to provide the predicted lunar irradiance</w:t>
      </w:r>
      <w:r w:rsidR="004B7E25" w:rsidRPr="00C7014F">
        <w:rPr>
          <w:rFonts w:ascii="Palatino Linotype" w:hAnsi="Palatino Linotype"/>
          <w:sz w:val="20"/>
          <w:szCs w:val="20"/>
        </w:rPr>
        <w:t>s</w:t>
      </w:r>
      <w:r w:rsidR="000F4098" w:rsidRPr="00C7014F">
        <w:rPr>
          <w:rFonts w:ascii="Palatino Linotype" w:hAnsi="Palatino Linotype"/>
          <w:sz w:val="20"/>
          <w:szCs w:val="20"/>
        </w:rPr>
        <w:t xml:space="preserve"> for both sensors.</w:t>
      </w:r>
    </w:p>
    <w:p w14:paraId="2066C495" w14:textId="1AACD162" w:rsidR="003003CD" w:rsidRPr="00C7014F" w:rsidRDefault="00DA2185" w:rsidP="00EE4DD8">
      <w:pPr>
        <w:spacing w:line="300" w:lineRule="exact"/>
        <w:jc w:val="both"/>
        <w:rPr>
          <w:rFonts w:ascii="Palatino Linotype" w:hAnsi="Palatino Linotype"/>
          <w:sz w:val="20"/>
          <w:szCs w:val="20"/>
        </w:rPr>
      </w:pPr>
      <w:r w:rsidRPr="00C7014F">
        <w:rPr>
          <w:rFonts w:ascii="Palatino Linotype" w:hAnsi="Palatino Linotype"/>
          <w:sz w:val="20"/>
          <w:szCs w:val="20"/>
        </w:rPr>
        <w:lastRenderedPageBreak/>
        <w:t xml:space="preserve">Ideally, if all sensors use the same solar spectra, as recommended by </w:t>
      </w:r>
      <w:r w:rsidR="00790A71" w:rsidRPr="00C7014F">
        <w:rPr>
          <w:rFonts w:ascii="Palatino Linotype" w:hAnsi="Palatino Linotype"/>
          <w:sz w:val="20"/>
          <w:szCs w:val="20"/>
        </w:rPr>
        <w:t xml:space="preserve">the international </w:t>
      </w:r>
      <w:r w:rsidR="00DC5433" w:rsidRPr="00C7014F">
        <w:rPr>
          <w:rFonts w:ascii="Palatino Linotype" w:hAnsi="Palatino Linotype"/>
          <w:sz w:val="20"/>
          <w:szCs w:val="20"/>
        </w:rPr>
        <w:t>E</w:t>
      </w:r>
      <w:r w:rsidR="00790A71" w:rsidRPr="00C7014F">
        <w:rPr>
          <w:rFonts w:ascii="Palatino Linotype" w:hAnsi="Palatino Linotype"/>
          <w:sz w:val="20"/>
          <w:szCs w:val="20"/>
        </w:rPr>
        <w:t xml:space="preserve">arth-observation calibration and validation communities, such as the Committee on Earth Observation Satellites (CEOS) Working Group on Calibration and Validation (WGCV) and the Global Space-based Inter-Calibration System (GSICS), </w:t>
      </w:r>
      <w:r w:rsidR="009E59CE" w:rsidRPr="00C7014F">
        <w:rPr>
          <w:rFonts w:ascii="Palatino Linotype" w:hAnsi="Palatino Linotype"/>
          <w:sz w:val="20"/>
          <w:szCs w:val="20"/>
        </w:rPr>
        <w:t xml:space="preserve">the calibration inter-comparisons between two sensors will become more straightforward and accurate </w:t>
      </w:r>
      <w:r w:rsidR="000A5015" w:rsidRPr="00C7014F">
        <w:rPr>
          <w:rFonts w:ascii="Palatino Linotype" w:hAnsi="Palatino Linotype"/>
          <w:sz w:val="20"/>
          <w:szCs w:val="20"/>
        </w:rPr>
        <w:t>and require no additional</w:t>
      </w:r>
      <w:r w:rsidR="009E59CE" w:rsidRPr="00C7014F">
        <w:rPr>
          <w:rFonts w:ascii="Palatino Linotype" w:hAnsi="Palatino Linotype"/>
          <w:sz w:val="20"/>
          <w:szCs w:val="20"/>
        </w:rPr>
        <w:t xml:space="preserve"> </w:t>
      </w:r>
      <w:r w:rsidR="00790A71" w:rsidRPr="00C7014F">
        <w:rPr>
          <w:rFonts w:ascii="Palatino Linotype" w:hAnsi="Palatino Linotype"/>
          <w:sz w:val="20"/>
          <w:szCs w:val="20"/>
        </w:rPr>
        <w:t>correction</w:t>
      </w:r>
      <w:r w:rsidR="00BD2012" w:rsidRPr="00C7014F">
        <w:rPr>
          <w:rFonts w:ascii="Palatino Linotype" w:hAnsi="Palatino Linotype"/>
          <w:sz w:val="20"/>
          <w:szCs w:val="20"/>
        </w:rPr>
        <w:t xml:space="preserve">. </w:t>
      </w:r>
      <w:r w:rsidR="003003CD" w:rsidRPr="00C7014F">
        <w:rPr>
          <w:rFonts w:ascii="Palatino Linotype" w:hAnsi="Palatino Linotype"/>
          <w:sz w:val="20"/>
          <w:szCs w:val="20"/>
        </w:rPr>
        <w:t xml:space="preserve">As an illustration, we also perform a calibration inter-comparison using lunar irradiances generated </w:t>
      </w:r>
      <w:r w:rsidR="00C17774" w:rsidRPr="00C7014F">
        <w:rPr>
          <w:rFonts w:ascii="Palatino Linotype" w:hAnsi="Palatino Linotype"/>
          <w:sz w:val="20"/>
          <w:szCs w:val="20"/>
        </w:rPr>
        <w:t xml:space="preserve">by </w:t>
      </w:r>
      <w:r w:rsidR="00FE535D" w:rsidRPr="00C7014F">
        <w:rPr>
          <w:rFonts w:ascii="Palatino Linotype" w:hAnsi="Palatino Linotype"/>
          <w:sz w:val="20"/>
          <w:szCs w:val="20"/>
        </w:rPr>
        <w:t xml:space="preserve">using </w:t>
      </w:r>
      <w:r w:rsidR="00C17774" w:rsidRPr="00C7014F">
        <w:rPr>
          <w:rFonts w:ascii="Palatino Linotype" w:hAnsi="Palatino Linotype"/>
          <w:sz w:val="20"/>
          <w:szCs w:val="20"/>
        </w:rPr>
        <w:t xml:space="preserve">a set of new calibration coefficients and parameters </w:t>
      </w:r>
      <w:r w:rsidR="00BD2012" w:rsidRPr="00C7014F">
        <w:rPr>
          <w:rFonts w:ascii="Palatino Linotype" w:hAnsi="Palatino Linotype"/>
          <w:sz w:val="20"/>
          <w:szCs w:val="20"/>
        </w:rPr>
        <w:t xml:space="preserve">derived by applying </w:t>
      </w:r>
      <w:r w:rsidR="00C17774" w:rsidRPr="00C7014F">
        <w:rPr>
          <w:rFonts w:ascii="Palatino Linotype" w:hAnsi="Palatino Linotype"/>
          <w:sz w:val="20"/>
          <w:szCs w:val="20"/>
        </w:rPr>
        <w:t>the same reference solar spectra</w:t>
      </w:r>
      <w:r w:rsidR="00BD2012" w:rsidRPr="00C7014F">
        <w:rPr>
          <w:rFonts w:ascii="Palatino Linotype" w:hAnsi="Palatino Linotype"/>
          <w:sz w:val="20"/>
          <w:szCs w:val="20"/>
        </w:rPr>
        <w:t xml:space="preserve"> for all MODIS</w:t>
      </w:r>
      <w:r w:rsidR="00736A16" w:rsidRPr="00C7014F">
        <w:rPr>
          <w:rFonts w:ascii="Palatino Linotype" w:hAnsi="Palatino Linotype"/>
          <w:sz w:val="20"/>
          <w:szCs w:val="20"/>
        </w:rPr>
        <w:t xml:space="preserve"> and VIIRS instruments</w:t>
      </w:r>
      <w:r w:rsidR="00C17774" w:rsidRPr="00C7014F">
        <w:rPr>
          <w:rFonts w:ascii="Palatino Linotype" w:hAnsi="Palatino Linotype"/>
          <w:sz w:val="20"/>
          <w:szCs w:val="20"/>
        </w:rPr>
        <w:t>.</w:t>
      </w:r>
      <w:r w:rsidR="003003CD" w:rsidRPr="00C7014F">
        <w:rPr>
          <w:rFonts w:ascii="Palatino Linotype" w:hAnsi="Palatino Linotype"/>
          <w:sz w:val="20"/>
          <w:szCs w:val="20"/>
        </w:rPr>
        <w:t xml:space="preserve"> The TSIS-1 Hybrid Solar Reference Spectrum [</w:t>
      </w:r>
      <w:r w:rsidR="006072BC" w:rsidRPr="00C7014F">
        <w:rPr>
          <w:rFonts w:ascii="Palatino Linotype" w:hAnsi="Palatino Linotype"/>
          <w:sz w:val="20"/>
          <w:szCs w:val="20"/>
        </w:rPr>
        <w:t>57</w:t>
      </w:r>
      <w:r w:rsidR="003003CD" w:rsidRPr="00C7014F">
        <w:rPr>
          <w:rFonts w:ascii="Palatino Linotype" w:hAnsi="Palatino Linotype"/>
          <w:sz w:val="20"/>
          <w:szCs w:val="20"/>
        </w:rPr>
        <w:t xml:space="preserve">], which is a recommended reference spectrum by the CEOS WGCV and GSICS community, </w:t>
      </w:r>
      <w:r w:rsidR="00BD2012" w:rsidRPr="00C7014F">
        <w:rPr>
          <w:rFonts w:ascii="Palatino Linotype" w:hAnsi="Palatino Linotype"/>
          <w:sz w:val="20"/>
          <w:szCs w:val="20"/>
        </w:rPr>
        <w:t xml:space="preserve">will be </w:t>
      </w:r>
      <w:r w:rsidR="003003CD" w:rsidRPr="00C7014F">
        <w:rPr>
          <w:rFonts w:ascii="Palatino Linotype" w:hAnsi="Palatino Linotype"/>
          <w:sz w:val="20"/>
          <w:szCs w:val="20"/>
        </w:rPr>
        <w:t>used in this demonstration.</w:t>
      </w:r>
      <w:r w:rsidR="00BD2012" w:rsidRPr="00C7014F">
        <w:rPr>
          <w:rFonts w:ascii="Palatino Linotype" w:hAnsi="Palatino Linotype"/>
          <w:sz w:val="20"/>
          <w:szCs w:val="20"/>
        </w:rPr>
        <w:t xml:space="preserve"> </w:t>
      </w:r>
      <w:r w:rsidR="003003CD" w:rsidRPr="00C7014F">
        <w:rPr>
          <w:rFonts w:ascii="Palatino Linotype" w:hAnsi="Palatino Linotype"/>
          <w:sz w:val="20"/>
          <w:szCs w:val="20"/>
        </w:rPr>
        <w:t xml:space="preserve">The inter-comparison results from this </w:t>
      </w:r>
      <w:r w:rsidR="00BD2012" w:rsidRPr="00C7014F">
        <w:rPr>
          <w:rFonts w:ascii="Palatino Linotype" w:hAnsi="Palatino Linotype"/>
          <w:sz w:val="20"/>
          <w:szCs w:val="20"/>
        </w:rPr>
        <w:t>exercise</w:t>
      </w:r>
      <w:r w:rsidR="003003CD" w:rsidRPr="00C7014F">
        <w:rPr>
          <w:rFonts w:ascii="Palatino Linotype" w:hAnsi="Palatino Linotype"/>
          <w:sz w:val="20"/>
          <w:szCs w:val="20"/>
        </w:rPr>
        <w:t xml:space="preserve"> where all sensor calibrations are referenced to a common solar spectrum will be used to validate the results derived from current calibration approach tied to sensor specific solar spectrum</w:t>
      </w:r>
      <w:r w:rsidR="00BD2012" w:rsidRPr="00C7014F">
        <w:rPr>
          <w:rFonts w:ascii="Palatino Linotype" w:hAnsi="Palatino Linotype"/>
          <w:sz w:val="20"/>
          <w:szCs w:val="20"/>
        </w:rPr>
        <w:t>.</w:t>
      </w:r>
    </w:p>
    <w:p w14:paraId="06970B52" w14:textId="77777777" w:rsidR="004A2E39" w:rsidRPr="00C7014F" w:rsidRDefault="004A2E39" w:rsidP="00D50C2F">
      <w:pPr>
        <w:spacing w:after="0" w:line="300" w:lineRule="exact"/>
        <w:rPr>
          <w:rFonts w:ascii="Palatino Linotype" w:hAnsi="Palatino Linotype"/>
          <w:sz w:val="20"/>
          <w:szCs w:val="20"/>
        </w:rPr>
      </w:pPr>
    </w:p>
    <w:p w14:paraId="6B99FBE3" w14:textId="74BE2005" w:rsidR="004A2E39" w:rsidRPr="00C7014F" w:rsidRDefault="004A2E39" w:rsidP="004A2E39">
      <w:pPr>
        <w:spacing w:line="300" w:lineRule="exact"/>
        <w:rPr>
          <w:rFonts w:ascii="Palatino Linotype" w:hAnsi="Palatino Linotype"/>
          <w:b/>
          <w:sz w:val="20"/>
          <w:szCs w:val="20"/>
        </w:rPr>
      </w:pPr>
      <w:r w:rsidRPr="00C7014F">
        <w:rPr>
          <w:rFonts w:ascii="Palatino Linotype" w:hAnsi="Palatino Linotype"/>
          <w:b/>
          <w:sz w:val="20"/>
          <w:szCs w:val="20"/>
        </w:rPr>
        <w:t xml:space="preserve">4.   Results and Discussion </w:t>
      </w:r>
    </w:p>
    <w:p w14:paraId="62B6DD74" w14:textId="70661960" w:rsidR="00FC5C5A" w:rsidRPr="00C7014F" w:rsidRDefault="00FC5C5A" w:rsidP="00FC5C5A">
      <w:pPr>
        <w:spacing w:before="120" w:after="120"/>
        <w:jc w:val="both"/>
        <w:rPr>
          <w:rFonts w:ascii="Palatino Linotype" w:eastAsia="Calibri" w:hAnsi="Palatino Linotype"/>
          <w:sz w:val="20"/>
        </w:rPr>
      </w:pPr>
      <w:r w:rsidRPr="00C7014F">
        <w:rPr>
          <w:rFonts w:ascii="Palatino Linotype" w:hAnsi="Palatino Linotype"/>
          <w:sz w:val="20"/>
          <w:szCs w:val="20"/>
        </w:rPr>
        <w:t>Inter</w:t>
      </w:r>
      <w:r w:rsidR="000A5015" w:rsidRPr="00C7014F">
        <w:rPr>
          <w:rFonts w:ascii="Palatino Linotype" w:hAnsi="Palatino Linotype"/>
          <w:sz w:val="20"/>
          <w:szCs w:val="20"/>
        </w:rPr>
        <w:t>-</w:t>
      </w:r>
      <w:r w:rsidRPr="00C7014F">
        <w:rPr>
          <w:rFonts w:ascii="Palatino Linotype" w:hAnsi="Palatino Linotype"/>
          <w:sz w:val="20"/>
          <w:szCs w:val="20"/>
        </w:rPr>
        <w:t xml:space="preserve">comparison analyses between the </w:t>
      </w:r>
      <w:r w:rsidR="00FC3FF2" w:rsidRPr="00C7014F">
        <w:rPr>
          <w:rFonts w:ascii="Palatino Linotype" w:hAnsi="Palatino Linotype"/>
          <w:sz w:val="20"/>
          <w:szCs w:val="20"/>
        </w:rPr>
        <w:t>two MODIS and two</w:t>
      </w:r>
      <w:r w:rsidRPr="00C7014F">
        <w:rPr>
          <w:rFonts w:ascii="Palatino Linotype" w:hAnsi="Palatino Linotype"/>
          <w:sz w:val="20"/>
          <w:szCs w:val="20"/>
        </w:rPr>
        <w:t xml:space="preserve"> VIIRS </w:t>
      </w:r>
      <w:r w:rsidR="000A5015" w:rsidRPr="00C7014F">
        <w:rPr>
          <w:rFonts w:ascii="Palatino Linotype" w:hAnsi="Palatino Linotype"/>
          <w:sz w:val="20"/>
          <w:szCs w:val="20"/>
        </w:rPr>
        <w:t>instruments first require</w:t>
      </w:r>
      <w:r w:rsidRPr="00C7014F">
        <w:rPr>
          <w:rFonts w:ascii="Palatino Linotype" w:hAnsi="Palatino Linotype"/>
          <w:sz w:val="20"/>
          <w:szCs w:val="20"/>
        </w:rPr>
        <w:t xml:space="preserve"> a comparison of </w:t>
      </w:r>
      <w:r w:rsidR="002017BB" w:rsidRPr="00C7014F">
        <w:rPr>
          <w:rFonts w:ascii="Palatino Linotype" w:hAnsi="Palatino Linotype"/>
          <w:sz w:val="20"/>
          <w:szCs w:val="20"/>
        </w:rPr>
        <w:t xml:space="preserve">sensor </w:t>
      </w:r>
      <w:r w:rsidRPr="00C7014F">
        <w:rPr>
          <w:rFonts w:ascii="Palatino Linotype" w:hAnsi="Palatino Linotype"/>
          <w:sz w:val="20"/>
          <w:szCs w:val="20"/>
        </w:rPr>
        <w:t>measure</w:t>
      </w:r>
      <w:r w:rsidR="002017BB" w:rsidRPr="00C7014F">
        <w:rPr>
          <w:rFonts w:ascii="Palatino Linotype" w:hAnsi="Palatino Linotype"/>
          <w:sz w:val="20"/>
          <w:szCs w:val="20"/>
        </w:rPr>
        <w:t>d</w:t>
      </w:r>
      <w:r w:rsidRPr="00C7014F">
        <w:rPr>
          <w:rFonts w:ascii="Palatino Linotype" w:hAnsi="Palatino Linotype"/>
          <w:sz w:val="20"/>
          <w:szCs w:val="20"/>
        </w:rPr>
        <w:t xml:space="preserve"> </w:t>
      </w:r>
      <w:r w:rsidR="002017BB" w:rsidRPr="00C7014F">
        <w:rPr>
          <w:rFonts w:ascii="Palatino Linotype" w:hAnsi="Palatino Linotype"/>
          <w:sz w:val="20"/>
          <w:szCs w:val="20"/>
        </w:rPr>
        <w:t xml:space="preserve">lunar irradiances </w:t>
      </w:r>
      <w:r w:rsidRPr="00C7014F">
        <w:rPr>
          <w:rFonts w:ascii="Palatino Linotype" w:hAnsi="Palatino Linotype"/>
          <w:sz w:val="20"/>
          <w:szCs w:val="20"/>
        </w:rPr>
        <w:t>with predict</w:t>
      </w:r>
      <w:r w:rsidR="002017BB" w:rsidRPr="00C7014F">
        <w:rPr>
          <w:rFonts w:ascii="Palatino Linotype" w:hAnsi="Palatino Linotype"/>
          <w:sz w:val="20"/>
          <w:szCs w:val="20"/>
        </w:rPr>
        <w:t xml:space="preserve">ed values by </w:t>
      </w:r>
      <w:r w:rsidRPr="00C7014F">
        <w:rPr>
          <w:rFonts w:ascii="Palatino Linotype" w:hAnsi="Palatino Linotype"/>
          <w:sz w:val="20"/>
          <w:szCs w:val="20"/>
        </w:rPr>
        <w:t xml:space="preserve">the </w:t>
      </w:r>
      <w:r w:rsidR="000A5015" w:rsidRPr="00C7014F">
        <w:rPr>
          <w:rFonts w:ascii="Palatino Linotype" w:hAnsi="Palatino Linotype"/>
          <w:sz w:val="20"/>
          <w:szCs w:val="20"/>
        </w:rPr>
        <w:t>lunar</w:t>
      </w:r>
      <w:r w:rsidRPr="00C7014F">
        <w:rPr>
          <w:rFonts w:ascii="Palatino Linotype" w:hAnsi="Palatino Linotype"/>
          <w:sz w:val="20"/>
          <w:szCs w:val="20"/>
        </w:rPr>
        <w:t xml:space="preserve"> model.</w:t>
      </w:r>
      <w:r w:rsidR="000A5015" w:rsidRPr="00C7014F">
        <w:rPr>
          <w:rFonts w:ascii="Palatino Linotype" w:hAnsi="Palatino Linotype"/>
          <w:sz w:val="20"/>
          <w:szCs w:val="20"/>
        </w:rPr>
        <w:t xml:space="preserve"> </w:t>
      </w:r>
      <w:r w:rsidR="002017BB" w:rsidRPr="00C7014F">
        <w:rPr>
          <w:rFonts w:ascii="Palatino Linotype" w:hAnsi="Palatino Linotype"/>
          <w:sz w:val="20"/>
          <w:szCs w:val="20"/>
        </w:rPr>
        <w:t xml:space="preserve">This study uses the USGS ROLO model </w:t>
      </w:r>
      <w:r w:rsidR="000A5015" w:rsidRPr="00C7014F">
        <w:rPr>
          <w:rFonts w:ascii="Palatino Linotype" w:hAnsi="Palatino Linotype"/>
          <w:sz w:val="20"/>
          <w:szCs w:val="20"/>
        </w:rPr>
        <w:t>to provide the</w:t>
      </w:r>
      <w:r w:rsidR="002017BB" w:rsidRPr="00C7014F">
        <w:rPr>
          <w:rFonts w:ascii="Palatino Linotype" w:hAnsi="Palatino Linotype"/>
          <w:sz w:val="20"/>
          <w:szCs w:val="20"/>
        </w:rPr>
        <w:t xml:space="preserve"> predicted lunar irradiances. </w:t>
      </w:r>
      <w:r w:rsidRPr="00C7014F">
        <w:rPr>
          <w:rFonts w:ascii="Palatino Linotype" w:hAnsi="Palatino Linotype"/>
          <w:sz w:val="20"/>
          <w:szCs w:val="20"/>
        </w:rPr>
        <w:t xml:space="preserve">While the </w:t>
      </w:r>
      <w:r w:rsidR="004D1443" w:rsidRPr="00C7014F">
        <w:rPr>
          <w:rFonts w:ascii="Palatino Linotype" w:hAnsi="Palatino Linotype"/>
          <w:sz w:val="20"/>
          <w:szCs w:val="20"/>
        </w:rPr>
        <w:t xml:space="preserve">ROLO </w:t>
      </w:r>
      <w:r w:rsidRPr="00C7014F">
        <w:rPr>
          <w:rFonts w:ascii="Palatino Linotype" w:hAnsi="Palatino Linotype"/>
          <w:sz w:val="20"/>
          <w:szCs w:val="20"/>
        </w:rPr>
        <w:t>model is used to correct for difference</w:t>
      </w:r>
      <w:r w:rsidR="00B74395" w:rsidRPr="00C7014F">
        <w:rPr>
          <w:rFonts w:ascii="Palatino Linotype" w:hAnsi="Palatino Linotype"/>
          <w:sz w:val="20"/>
          <w:szCs w:val="20"/>
        </w:rPr>
        <w:t>s</w:t>
      </w:r>
      <w:r w:rsidRPr="00C7014F">
        <w:rPr>
          <w:rFonts w:ascii="Palatino Linotype" w:hAnsi="Palatino Linotype"/>
          <w:sz w:val="20"/>
          <w:szCs w:val="20"/>
        </w:rPr>
        <w:t xml:space="preserve"> in view geometry, particularly </w:t>
      </w:r>
      <w:r w:rsidR="004D1443" w:rsidRPr="00C7014F">
        <w:rPr>
          <w:rFonts w:ascii="Palatino Linotype" w:hAnsi="Palatino Linotype"/>
          <w:sz w:val="20"/>
          <w:szCs w:val="20"/>
        </w:rPr>
        <w:t xml:space="preserve">the </w:t>
      </w:r>
      <w:r w:rsidRPr="00C7014F">
        <w:rPr>
          <w:rFonts w:ascii="Palatino Linotype" w:hAnsi="Palatino Linotype"/>
          <w:sz w:val="20"/>
          <w:szCs w:val="20"/>
        </w:rPr>
        <w:t>differences in the Earth-Sun and Earth-Moon distances and the lunar phase</w:t>
      </w:r>
      <w:r w:rsidR="0023455F" w:rsidRPr="00C7014F">
        <w:rPr>
          <w:rFonts w:ascii="Palatino Linotype" w:hAnsi="Palatino Linotype"/>
          <w:sz w:val="20"/>
          <w:szCs w:val="20"/>
        </w:rPr>
        <w:t xml:space="preserve"> and libration</w:t>
      </w:r>
      <w:r w:rsidRPr="00C7014F">
        <w:rPr>
          <w:rFonts w:ascii="Palatino Linotype" w:hAnsi="Palatino Linotype"/>
          <w:sz w:val="20"/>
          <w:szCs w:val="20"/>
        </w:rPr>
        <w:t xml:space="preserve"> angle</w:t>
      </w:r>
      <w:r w:rsidR="0023455F" w:rsidRPr="00C7014F">
        <w:rPr>
          <w:rFonts w:ascii="Palatino Linotype" w:hAnsi="Palatino Linotype"/>
          <w:sz w:val="20"/>
          <w:szCs w:val="20"/>
        </w:rPr>
        <w:t>s</w:t>
      </w:r>
      <w:r w:rsidRPr="00C7014F">
        <w:rPr>
          <w:rFonts w:ascii="Palatino Linotype" w:hAnsi="Palatino Linotype"/>
          <w:sz w:val="20"/>
          <w:szCs w:val="20"/>
        </w:rPr>
        <w:t>, each mission uses scheduled spacecraft roll maneuvers to constrain t</w:t>
      </w:r>
      <w:r w:rsidR="00FC3FF2" w:rsidRPr="00C7014F">
        <w:rPr>
          <w:rFonts w:ascii="Palatino Linotype" w:hAnsi="Palatino Linotype"/>
          <w:sz w:val="20"/>
          <w:szCs w:val="20"/>
        </w:rPr>
        <w:t>he phase angle</w:t>
      </w:r>
      <w:r w:rsidR="004D1443" w:rsidRPr="00C7014F">
        <w:rPr>
          <w:rFonts w:ascii="Palatino Linotype" w:hAnsi="Palatino Linotype"/>
          <w:sz w:val="20"/>
          <w:szCs w:val="20"/>
        </w:rPr>
        <w:t>s</w:t>
      </w:r>
      <w:r w:rsidR="00FC3FF2" w:rsidRPr="00C7014F">
        <w:rPr>
          <w:rFonts w:ascii="Palatino Linotype" w:hAnsi="Palatino Linotype"/>
          <w:sz w:val="20"/>
          <w:szCs w:val="20"/>
        </w:rPr>
        <w:t xml:space="preserve"> within a </w:t>
      </w:r>
      <w:r w:rsidR="004D1443" w:rsidRPr="00C7014F">
        <w:rPr>
          <w:rFonts w:ascii="Palatino Linotype" w:hAnsi="Palatino Linotype"/>
          <w:sz w:val="20"/>
          <w:szCs w:val="20"/>
        </w:rPr>
        <w:t>small</w:t>
      </w:r>
      <w:r w:rsidRPr="00C7014F">
        <w:rPr>
          <w:rFonts w:ascii="Palatino Linotype" w:hAnsi="Palatino Linotype"/>
          <w:sz w:val="20"/>
          <w:szCs w:val="20"/>
        </w:rPr>
        <w:t xml:space="preserve"> range. For some bands, this constraint provides a significant improvement in the consistency of the measured and modeled data [</w:t>
      </w:r>
      <w:r w:rsidR="006A732F" w:rsidRPr="00C7014F">
        <w:rPr>
          <w:rFonts w:ascii="Palatino Linotype" w:hAnsi="Palatino Linotype"/>
          <w:sz w:val="20"/>
          <w:szCs w:val="20"/>
        </w:rPr>
        <w:t>58</w:t>
      </w:r>
      <w:r w:rsidRPr="00C7014F">
        <w:rPr>
          <w:rFonts w:ascii="Palatino Linotype" w:hAnsi="Palatino Linotype"/>
          <w:sz w:val="20"/>
          <w:szCs w:val="20"/>
        </w:rPr>
        <w:t xml:space="preserve">]. </w:t>
      </w:r>
      <w:r w:rsidRPr="00C7014F">
        <w:rPr>
          <w:rFonts w:ascii="Palatino Linotype" w:eastAsia="Calibri" w:hAnsi="Palatino Linotype"/>
          <w:sz w:val="20"/>
        </w:rPr>
        <w:t>Table 2 shows a summary of</w:t>
      </w:r>
      <w:r w:rsidR="00932C35" w:rsidRPr="00C7014F">
        <w:rPr>
          <w:rFonts w:ascii="Palatino Linotype" w:eastAsia="Calibri" w:hAnsi="Palatino Linotype"/>
          <w:sz w:val="20"/>
        </w:rPr>
        <w:t xml:space="preserve"> the</w:t>
      </w:r>
      <w:r w:rsidRPr="00C7014F">
        <w:rPr>
          <w:rFonts w:ascii="Palatino Linotype" w:eastAsia="Calibri" w:hAnsi="Palatino Linotype"/>
          <w:sz w:val="20"/>
        </w:rPr>
        <w:t xml:space="preserve"> number of scheduled lunar events for each instrument along with the roll angle and nominal phase angle ranges in which these rolls are constrained. Over the years, the phase angle criterion is occasionally relaxed when </w:t>
      </w:r>
      <w:r w:rsidR="00FC3FF2" w:rsidRPr="00C7014F">
        <w:rPr>
          <w:rFonts w:ascii="Palatino Linotype" w:eastAsia="Calibri" w:hAnsi="Palatino Linotype"/>
          <w:sz w:val="20"/>
        </w:rPr>
        <w:t xml:space="preserve">the </w:t>
      </w:r>
      <w:r w:rsidRPr="00C7014F">
        <w:rPr>
          <w:rFonts w:ascii="Palatino Linotype" w:eastAsia="Calibri" w:hAnsi="Palatino Linotype"/>
          <w:sz w:val="20"/>
        </w:rPr>
        <w:t>desired phase angle is o</w:t>
      </w:r>
      <w:r w:rsidR="00FC3FF2" w:rsidRPr="00C7014F">
        <w:rPr>
          <w:rFonts w:ascii="Palatino Linotype" w:eastAsia="Calibri" w:hAnsi="Palatino Linotype"/>
          <w:sz w:val="20"/>
        </w:rPr>
        <w:t>utside of the roll angle range</w:t>
      </w:r>
      <w:r w:rsidRPr="00C7014F">
        <w:rPr>
          <w:rFonts w:ascii="Palatino Linotype" w:eastAsia="Calibri" w:hAnsi="Palatino Linotype"/>
          <w:sz w:val="20"/>
        </w:rPr>
        <w:t xml:space="preserve">. These events are also counted among those </w:t>
      </w:r>
      <w:r w:rsidR="00FC3FF2" w:rsidRPr="00C7014F">
        <w:rPr>
          <w:rFonts w:ascii="Palatino Linotype" w:eastAsia="Calibri" w:hAnsi="Palatino Linotype"/>
          <w:sz w:val="20"/>
        </w:rPr>
        <w:t xml:space="preserve">reported </w:t>
      </w:r>
      <w:r w:rsidRPr="00C7014F">
        <w:rPr>
          <w:rFonts w:ascii="Palatino Linotype" w:eastAsia="Calibri" w:hAnsi="Palatino Linotype"/>
          <w:sz w:val="20"/>
        </w:rPr>
        <w:t xml:space="preserve">in Table 2. Typically, both the MODIS and VIIRS instruments acquire 9 to 10 scheduled lunar rolls per year. </w:t>
      </w:r>
      <w:r w:rsidR="00FE13CF" w:rsidRPr="00C7014F">
        <w:rPr>
          <w:rFonts w:ascii="Palatino Linotype" w:eastAsia="Calibri" w:hAnsi="Palatino Linotype"/>
          <w:sz w:val="20"/>
        </w:rPr>
        <w:t xml:space="preserve">Only </w:t>
      </w:r>
      <w:r w:rsidRPr="00C7014F">
        <w:rPr>
          <w:rFonts w:ascii="Palatino Linotype" w:eastAsia="Calibri" w:hAnsi="Palatino Linotype"/>
          <w:sz w:val="20"/>
        </w:rPr>
        <w:t>the lunar mea</w:t>
      </w:r>
      <w:r w:rsidR="00FE13CF" w:rsidRPr="00C7014F">
        <w:rPr>
          <w:rFonts w:ascii="Palatino Linotype" w:eastAsia="Calibri" w:hAnsi="Palatino Linotype"/>
          <w:sz w:val="20"/>
        </w:rPr>
        <w:t xml:space="preserve">surements in the nominal ranges, made by all four instruments </w:t>
      </w:r>
      <w:r w:rsidRPr="00C7014F">
        <w:rPr>
          <w:rFonts w:ascii="Palatino Linotype" w:eastAsia="Calibri" w:hAnsi="Palatino Linotype"/>
          <w:sz w:val="20"/>
        </w:rPr>
        <w:t xml:space="preserve">between January 1, 2018 and </w:t>
      </w:r>
      <w:r w:rsidR="004D1443" w:rsidRPr="00C7014F">
        <w:rPr>
          <w:rFonts w:ascii="Palatino Linotype" w:eastAsia="Calibri" w:hAnsi="Palatino Linotype"/>
          <w:sz w:val="20"/>
        </w:rPr>
        <w:t>July 1</w:t>
      </w:r>
      <w:r w:rsidRPr="00C7014F">
        <w:rPr>
          <w:rFonts w:ascii="Palatino Linotype" w:eastAsia="Calibri" w:hAnsi="Palatino Linotype"/>
          <w:sz w:val="20"/>
        </w:rPr>
        <w:t>, 2022</w:t>
      </w:r>
      <w:r w:rsidR="00FE13CF" w:rsidRPr="00C7014F">
        <w:rPr>
          <w:rFonts w:ascii="Palatino Linotype" w:eastAsia="Calibri" w:hAnsi="Palatino Linotype"/>
          <w:sz w:val="20"/>
        </w:rPr>
        <w:t>,</w:t>
      </w:r>
      <w:r w:rsidRPr="00C7014F">
        <w:rPr>
          <w:rFonts w:ascii="Palatino Linotype" w:eastAsia="Calibri" w:hAnsi="Palatino Linotype"/>
          <w:sz w:val="20"/>
        </w:rPr>
        <w:t xml:space="preserve"> are used in this </w:t>
      </w:r>
      <w:r w:rsidR="00FE13CF" w:rsidRPr="00C7014F">
        <w:rPr>
          <w:rFonts w:ascii="Palatino Linotype" w:eastAsia="Calibri" w:hAnsi="Palatino Linotype"/>
          <w:sz w:val="20"/>
        </w:rPr>
        <w:t xml:space="preserve">study </w:t>
      </w:r>
      <w:r w:rsidR="002017BB" w:rsidRPr="00C7014F">
        <w:rPr>
          <w:rFonts w:ascii="Palatino Linotype" w:eastAsia="Calibri" w:hAnsi="Palatino Linotype"/>
          <w:sz w:val="20"/>
        </w:rPr>
        <w:t xml:space="preserve">for </w:t>
      </w:r>
      <w:r w:rsidRPr="00C7014F">
        <w:rPr>
          <w:rFonts w:ascii="Palatino Linotype" w:eastAsia="Calibri" w:hAnsi="Palatino Linotype"/>
          <w:sz w:val="20"/>
        </w:rPr>
        <w:t xml:space="preserve">the calibration inter-comparison </w:t>
      </w:r>
      <w:r w:rsidR="00FE13CF" w:rsidRPr="00C7014F">
        <w:rPr>
          <w:rFonts w:ascii="Palatino Linotype" w:eastAsia="Calibri" w:hAnsi="Palatino Linotype"/>
          <w:sz w:val="20"/>
        </w:rPr>
        <w:t xml:space="preserve">of both </w:t>
      </w:r>
      <w:r w:rsidRPr="00C7014F">
        <w:rPr>
          <w:rFonts w:ascii="Palatino Linotype" w:eastAsia="Calibri" w:hAnsi="Palatino Linotype"/>
          <w:sz w:val="20"/>
        </w:rPr>
        <w:t>MODIS and VIIRS instruments.</w:t>
      </w:r>
      <w:r w:rsidR="000C0C10" w:rsidRPr="00C7014F">
        <w:t xml:space="preserve"> </w:t>
      </w:r>
      <w:r w:rsidR="00220E69" w:rsidRPr="00C7014F">
        <w:rPr>
          <w:rFonts w:ascii="Palatino Linotype" w:eastAsia="Calibri" w:hAnsi="Palatino Linotype"/>
          <w:sz w:val="20"/>
        </w:rPr>
        <w:t>During this period,</w:t>
      </w:r>
      <w:r w:rsidR="000C0C10" w:rsidRPr="00C7014F">
        <w:rPr>
          <w:rFonts w:ascii="Palatino Linotype" w:eastAsia="Calibri" w:hAnsi="Palatino Linotype"/>
          <w:sz w:val="20"/>
        </w:rPr>
        <w:t xml:space="preserve"> Terra, Aqua, SNPP, N20 have had 41, 47, 37, and 38 lunar observations, respectively. The difference in </w:t>
      </w:r>
      <w:r w:rsidR="00476809" w:rsidRPr="00C7014F">
        <w:rPr>
          <w:rFonts w:ascii="Palatino Linotype" w:eastAsia="Calibri" w:hAnsi="Palatino Linotype"/>
          <w:sz w:val="20"/>
        </w:rPr>
        <w:t xml:space="preserve">their scheduled lunar calibration events </w:t>
      </w:r>
      <w:r w:rsidR="000C0C10" w:rsidRPr="00C7014F">
        <w:rPr>
          <w:rFonts w:ascii="Palatino Linotype" w:eastAsia="Calibri" w:hAnsi="Palatino Linotype"/>
          <w:sz w:val="20"/>
        </w:rPr>
        <w:t>is a result</w:t>
      </w:r>
      <w:r w:rsidR="00220E69" w:rsidRPr="00C7014F">
        <w:rPr>
          <w:rFonts w:ascii="Palatino Linotype" w:eastAsia="Calibri" w:hAnsi="Palatino Linotype"/>
          <w:sz w:val="20"/>
        </w:rPr>
        <w:t xml:space="preserve"> of orbit geometry differences, spacecraft </w:t>
      </w:r>
      <w:r w:rsidR="00476809" w:rsidRPr="00C7014F">
        <w:rPr>
          <w:rFonts w:ascii="Palatino Linotype" w:eastAsia="Calibri" w:hAnsi="Palatino Linotype"/>
          <w:sz w:val="20"/>
        </w:rPr>
        <w:t>operation constraints</w:t>
      </w:r>
      <w:r w:rsidR="00357C3A" w:rsidRPr="00C7014F">
        <w:rPr>
          <w:rFonts w:ascii="Palatino Linotype" w:eastAsia="Calibri" w:hAnsi="Palatino Linotype"/>
          <w:sz w:val="20"/>
        </w:rPr>
        <w:t>,</w:t>
      </w:r>
      <w:r w:rsidR="000C0C10" w:rsidRPr="00C7014F">
        <w:rPr>
          <w:rFonts w:ascii="Palatino Linotype" w:eastAsia="Calibri" w:hAnsi="Palatino Linotype"/>
          <w:sz w:val="20"/>
        </w:rPr>
        <w:t xml:space="preserve"> and </w:t>
      </w:r>
      <w:r w:rsidR="00476809" w:rsidRPr="00C7014F">
        <w:rPr>
          <w:rFonts w:ascii="Palatino Linotype" w:eastAsia="Calibri" w:hAnsi="Palatino Linotype"/>
          <w:sz w:val="20"/>
        </w:rPr>
        <w:t>occasionally, other instrument related activities or events.</w:t>
      </w:r>
    </w:p>
    <w:p w14:paraId="6A69EE34" w14:textId="77777777" w:rsidR="00794C58" w:rsidRPr="00C7014F" w:rsidRDefault="00794C58" w:rsidP="00FC5C5A">
      <w:pPr>
        <w:spacing w:before="120" w:after="120"/>
        <w:jc w:val="both"/>
        <w:rPr>
          <w:rFonts w:ascii="Palatino Linotype" w:eastAsia="Calibri" w:hAnsi="Palatino Linotype"/>
          <w:sz w:val="20"/>
        </w:rPr>
      </w:pPr>
    </w:p>
    <w:p w14:paraId="1C5A952B" w14:textId="2B179907" w:rsidR="00FC5C5A" w:rsidRPr="00C7014F" w:rsidRDefault="00794C58" w:rsidP="00794C58">
      <w:pPr>
        <w:spacing w:before="120" w:after="120"/>
        <w:ind w:left="360" w:right="360"/>
        <w:jc w:val="center"/>
        <w:rPr>
          <w:rFonts w:ascii="Palatino Linotype" w:hAnsi="Palatino Linotype"/>
          <w:sz w:val="20"/>
        </w:rPr>
      </w:pPr>
      <w:r w:rsidRPr="00C7014F">
        <w:rPr>
          <w:rFonts w:ascii="Palatino Linotype" w:hAnsi="Palatino Linotype"/>
          <w:sz w:val="20"/>
        </w:rPr>
        <w:t>Table 2.</w:t>
      </w:r>
      <w:r w:rsidR="00FC5C5A" w:rsidRPr="00C7014F">
        <w:rPr>
          <w:rFonts w:ascii="Palatino Linotype" w:hAnsi="Palatino Linotype"/>
          <w:sz w:val="20"/>
        </w:rPr>
        <w:t xml:space="preserve"> Summary of scheduled lunar events for MODIS and VIIRS instruments. The number of events listed is from the beginning of each mission through July 1, 2022.</w:t>
      </w:r>
    </w:p>
    <w:tbl>
      <w:tblPr>
        <w:tblStyle w:val="TableGrid"/>
        <w:tblW w:w="8544" w:type="dxa"/>
        <w:tblInd w:w="445" w:type="dxa"/>
        <w:tblLook w:val="04A0" w:firstRow="1" w:lastRow="0" w:firstColumn="1" w:lastColumn="0" w:noHBand="0" w:noVBand="1"/>
      </w:tblPr>
      <w:tblGrid>
        <w:gridCol w:w="1350"/>
        <w:gridCol w:w="1260"/>
        <w:gridCol w:w="1350"/>
        <w:gridCol w:w="1440"/>
        <w:gridCol w:w="1269"/>
        <w:gridCol w:w="1875"/>
      </w:tblGrid>
      <w:tr w:rsidR="00C7014F" w:rsidRPr="00C7014F" w14:paraId="22263221" w14:textId="77777777" w:rsidTr="00794C58">
        <w:trPr>
          <w:trHeight w:val="557"/>
        </w:trPr>
        <w:tc>
          <w:tcPr>
            <w:tcW w:w="1350" w:type="dxa"/>
          </w:tcPr>
          <w:p w14:paraId="5A1946EB"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Instrument</w:t>
            </w:r>
          </w:p>
        </w:tc>
        <w:tc>
          <w:tcPr>
            <w:tcW w:w="1260" w:type="dxa"/>
          </w:tcPr>
          <w:p w14:paraId="16C29D56"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Launch Year</w:t>
            </w:r>
          </w:p>
        </w:tc>
        <w:tc>
          <w:tcPr>
            <w:tcW w:w="1350" w:type="dxa"/>
          </w:tcPr>
          <w:p w14:paraId="431A984D"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Roll Angle Range</w:t>
            </w:r>
          </w:p>
        </w:tc>
        <w:tc>
          <w:tcPr>
            <w:tcW w:w="1440" w:type="dxa"/>
          </w:tcPr>
          <w:p w14:paraId="6E519451" w14:textId="76FE2BD4" w:rsidR="00FC5C5A" w:rsidRPr="00C7014F" w:rsidRDefault="00794C58" w:rsidP="00912670">
            <w:pPr>
              <w:spacing w:before="60" w:after="60"/>
              <w:jc w:val="center"/>
              <w:rPr>
                <w:rFonts w:ascii="Palatino Linotype" w:hAnsi="Palatino Linotype"/>
                <w:sz w:val="18"/>
                <w:szCs w:val="18"/>
              </w:rPr>
            </w:pPr>
            <w:r w:rsidRPr="00C7014F">
              <w:rPr>
                <w:rFonts w:ascii="Palatino Linotype" w:hAnsi="Palatino Linotype"/>
                <w:sz w:val="18"/>
                <w:szCs w:val="18"/>
              </w:rPr>
              <w:t>Phase Angle R</w:t>
            </w:r>
            <w:r w:rsidR="00FC5C5A" w:rsidRPr="00C7014F">
              <w:rPr>
                <w:rFonts w:ascii="Palatino Linotype" w:hAnsi="Palatino Linotype"/>
                <w:sz w:val="18"/>
                <w:szCs w:val="18"/>
              </w:rPr>
              <w:t>ange</w:t>
            </w:r>
          </w:p>
        </w:tc>
        <w:tc>
          <w:tcPr>
            <w:tcW w:w="1269" w:type="dxa"/>
          </w:tcPr>
          <w:p w14:paraId="4AB3D92B"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Number of Events</w:t>
            </w:r>
          </w:p>
        </w:tc>
        <w:tc>
          <w:tcPr>
            <w:tcW w:w="1875" w:type="dxa"/>
          </w:tcPr>
          <w:p w14:paraId="709F1644" w14:textId="04A71072"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Number of</w:t>
            </w:r>
            <w:r w:rsidR="00794C58" w:rsidRPr="00C7014F">
              <w:rPr>
                <w:rFonts w:ascii="Palatino Linotype" w:hAnsi="Palatino Linotype"/>
                <w:sz w:val="18"/>
                <w:szCs w:val="18"/>
              </w:rPr>
              <w:t xml:space="preserve"> E</w:t>
            </w:r>
            <w:r w:rsidRPr="00C7014F">
              <w:rPr>
                <w:rFonts w:ascii="Palatino Linotype" w:hAnsi="Palatino Linotype"/>
                <w:sz w:val="18"/>
                <w:szCs w:val="18"/>
              </w:rPr>
              <w:t xml:space="preserve">vents </w:t>
            </w:r>
            <w:r w:rsidR="00794C58" w:rsidRPr="00C7014F">
              <w:rPr>
                <w:rFonts w:ascii="Palatino Linotype" w:hAnsi="Palatino Linotype"/>
                <w:sz w:val="18"/>
                <w:szCs w:val="18"/>
              </w:rPr>
              <w:t>Outside the Nominal R</w:t>
            </w:r>
            <w:r w:rsidRPr="00C7014F">
              <w:rPr>
                <w:rFonts w:ascii="Palatino Linotype" w:hAnsi="Palatino Linotype"/>
                <w:sz w:val="18"/>
                <w:szCs w:val="18"/>
              </w:rPr>
              <w:t>ange</w:t>
            </w:r>
          </w:p>
        </w:tc>
      </w:tr>
      <w:tr w:rsidR="00C7014F" w:rsidRPr="00C7014F" w14:paraId="1D572A71" w14:textId="77777777" w:rsidTr="00794C58">
        <w:trPr>
          <w:trHeight w:val="386"/>
        </w:trPr>
        <w:tc>
          <w:tcPr>
            <w:tcW w:w="1350" w:type="dxa"/>
          </w:tcPr>
          <w:p w14:paraId="2E5DE68B"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Terra MODIS</w:t>
            </w:r>
          </w:p>
        </w:tc>
        <w:tc>
          <w:tcPr>
            <w:tcW w:w="1260" w:type="dxa"/>
          </w:tcPr>
          <w:p w14:paraId="63623211"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1999</w:t>
            </w:r>
          </w:p>
        </w:tc>
        <w:tc>
          <w:tcPr>
            <w:tcW w:w="1350" w:type="dxa"/>
          </w:tcPr>
          <w:p w14:paraId="4927B2A2"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w:t>
            </w:r>
            <w:r w:rsidRPr="00C7014F">
              <w:rPr>
                <w:rFonts w:ascii="Palatino Linotype" w:hAnsi="Palatino Linotype"/>
                <w:sz w:val="18"/>
                <w:szCs w:val="18"/>
              </w:rPr>
              <w:sym w:font="Symbol" w:char="F0B0"/>
            </w:r>
            <w:r w:rsidRPr="00C7014F">
              <w:rPr>
                <w:rFonts w:ascii="Palatino Linotype" w:hAnsi="Palatino Linotype"/>
                <w:sz w:val="18"/>
                <w:szCs w:val="18"/>
              </w:rPr>
              <w:t xml:space="preserve"> to 0</w:t>
            </w:r>
            <w:r w:rsidRPr="00C7014F">
              <w:rPr>
                <w:rFonts w:ascii="Palatino Linotype" w:hAnsi="Palatino Linotype"/>
                <w:sz w:val="18"/>
                <w:szCs w:val="18"/>
              </w:rPr>
              <w:sym w:font="Symbol" w:char="F0B0"/>
            </w:r>
          </w:p>
        </w:tc>
        <w:tc>
          <w:tcPr>
            <w:tcW w:w="1440" w:type="dxa"/>
          </w:tcPr>
          <w:p w14:paraId="12FCBF61"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55</w:t>
            </w:r>
            <w:r w:rsidRPr="00C7014F">
              <w:rPr>
                <w:rFonts w:ascii="Palatino Linotype" w:hAnsi="Palatino Linotype"/>
                <w:sz w:val="18"/>
                <w:szCs w:val="18"/>
              </w:rPr>
              <w:sym w:font="Symbol" w:char="F0B0"/>
            </w:r>
            <w:r w:rsidRPr="00C7014F">
              <w:rPr>
                <w:rFonts w:ascii="Palatino Linotype" w:hAnsi="Palatino Linotype"/>
                <w:sz w:val="18"/>
                <w:szCs w:val="18"/>
              </w:rPr>
              <w:t xml:space="preserve"> to 56</w:t>
            </w:r>
            <w:r w:rsidRPr="00C7014F">
              <w:rPr>
                <w:rFonts w:ascii="Palatino Linotype" w:hAnsi="Palatino Linotype"/>
                <w:sz w:val="18"/>
                <w:szCs w:val="18"/>
              </w:rPr>
              <w:sym w:font="Symbol" w:char="F0B0"/>
            </w:r>
          </w:p>
        </w:tc>
        <w:tc>
          <w:tcPr>
            <w:tcW w:w="1269" w:type="dxa"/>
          </w:tcPr>
          <w:p w14:paraId="0546AD81"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216</w:t>
            </w:r>
          </w:p>
        </w:tc>
        <w:tc>
          <w:tcPr>
            <w:tcW w:w="1875" w:type="dxa"/>
          </w:tcPr>
          <w:p w14:paraId="037AE95C"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42</w:t>
            </w:r>
          </w:p>
        </w:tc>
      </w:tr>
      <w:tr w:rsidR="00C7014F" w:rsidRPr="00C7014F" w14:paraId="5B86F081" w14:textId="77777777" w:rsidTr="00912670">
        <w:trPr>
          <w:trHeight w:val="377"/>
        </w:trPr>
        <w:tc>
          <w:tcPr>
            <w:tcW w:w="1350" w:type="dxa"/>
          </w:tcPr>
          <w:p w14:paraId="3403F77C"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Aqua MODIS</w:t>
            </w:r>
          </w:p>
        </w:tc>
        <w:tc>
          <w:tcPr>
            <w:tcW w:w="1260" w:type="dxa"/>
          </w:tcPr>
          <w:p w14:paraId="173A2000"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2002</w:t>
            </w:r>
          </w:p>
        </w:tc>
        <w:tc>
          <w:tcPr>
            <w:tcW w:w="1350" w:type="dxa"/>
          </w:tcPr>
          <w:p w14:paraId="2BEA4C36"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w:t>
            </w:r>
            <w:r w:rsidRPr="00C7014F">
              <w:rPr>
                <w:rFonts w:ascii="Palatino Linotype" w:hAnsi="Palatino Linotype"/>
                <w:sz w:val="18"/>
                <w:szCs w:val="18"/>
              </w:rPr>
              <w:sym w:font="Symbol" w:char="F0B0"/>
            </w:r>
            <w:r w:rsidRPr="00C7014F">
              <w:rPr>
                <w:rFonts w:ascii="Palatino Linotype" w:hAnsi="Palatino Linotype"/>
                <w:sz w:val="18"/>
                <w:szCs w:val="18"/>
              </w:rPr>
              <w:t xml:space="preserve"> to 0</w:t>
            </w:r>
            <w:r w:rsidRPr="00C7014F">
              <w:rPr>
                <w:rFonts w:ascii="Palatino Linotype" w:hAnsi="Palatino Linotype"/>
                <w:sz w:val="18"/>
                <w:szCs w:val="18"/>
              </w:rPr>
              <w:sym w:font="Symbol" w:char="F0B0"/>
            </w:r>
          </w:p>
        </w:tc>
        <w:tc>
          <w:tcPr>
            <w:tcW w:w="1440" w:type="dxa"/>
          </w:tcPr>
          <w:p w14:paraId="567A6D89"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-55</w:t>
            </w:r>
            <w:r w:rsidRPr="00C7014F">
              <w:rPr>
                <w:rFonts w:ascii="Palatino Linotype" w:hAnsi="Palatino Linotype"/>
                <w:sz w:val="18"/>
                <w:szCs w:val="18"/>
              </w:rPr>
              <w:sym w:font="Symbol" w:char="F0B0"/>
            </w:r>
            <w:r w:rsidRPr="00C7014F">
              <w:rPr>
                <w:rFonts w:ascii="Palatino Linotype" w:hAnsi="Palatino Linotype"/>
                <w:sz w:val="18"/>
                <w:szCs w:val="18"/>
              </w:rPr>
              <w:t xml:space="preserve"> to -56</w:t>
            </w:r>
            <w:r w:rsidRPr="00C7014F">
              <w:rPr>
                <w:rFonts w:ascii="Palatino Linotype" w:hAnsi="Palatino Linotype"/>
                <w:sz w:val="18"/>
                <w:szCs w:val="18"/>
              </w:rPr>
              <w:sym w:font="Symbol" w:char="F0B0"/>
            </w:r>
          </w:p>
        </w:tc>
        <w:tc>
          <w:tcPr>
            <w:tcW w:w="1269" w:type="dxa"/>
          </w:tcPr>
          <w:p w14:paraId="31C90A45"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205</w:t>
            </w:r>
          </w:p>
        </w:tc>
        <w:tc>
          <w:tcPr>
            <w:tcW w:w="1875" w:type="dxa"/>
          </w:tcPr>
          <w:p w14:paraId="089BC951"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48</w:t>
            </w:r>
          </w:p>
        </w:tc>
      </w:tr>
      <w:tr w:rsidR="00C7014F" w:rsidRPr="00C7014F" w14:paraId="0E334236" w14:textId="77777777" w:rsidTr="00794C58">
        <w:trPr>
          <w:trHeight w:val="329"/>
        </w:trPr>
        <w:tc>
          <w:tcPr>
            <w:tcW w:w="1350" w:type="dxa"/>
          </w:tcPr>
          <w:p w14:paraId="62C57B06"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SNPP VIIRS</w:t>
            </w:r>
          </w:p>
        </w:tc>
        <w:tc>
          <w:tcPr>
            <w:tcW w:w="1260" w:type="dxa"/>
          </w:tcPr>
          <w:p w14:paraId="4D0D802D"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2011</w:t>
            </w:r>
          </w:p>
        </w:tc>
        <w:tc>
          <w:tcPr>
            <w:tcW w:w="1350" w:type="dxa"/>
          </w:tcPr>
          <w:p w14:paraId="19FB26E0"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-14</w:t>
            </w:r>
            <w:r w:rsidRPr="00C7014F">
              <w:rPr>
                <w:rFonts w:ascii="Palatino Linotype" w:hAnsi="Palatino Linotype"/>
                <w:sz w:val="18"/>
                <w:szCs w:val="18"/>
              </w:rPr>
              <w:sym w:font="Symbol" w:char="F0B0"/>
            </w:r>
            <w:r w:rsidRPr="00C7014F">
              <w:rPr>
                <w:rFonts w:ascii="Palatino Linotype" w:hAnsi="Palatino Linotype"/>
                <w:sz w:val="18"/>
                <w:szCs w:val="18"/>
              </w:rPr>
              <w:t xml:space="preserve"> to 0</w:t>
            </w:r>
            <w:r w:rsidRPr="00C7014F">
              <w:rPr>
                <w:rFonts w:ascii="Palatino Linotype" w:hAnsi="Palatino Linotype"/>
                <w:sz w:val="18"/>
                <w:szCs w:val="18"/>
              </w:rPr>
              <w:sym w:font="Symbol" w:char="F0B0"/>
            </w:r>
          </w:p>
        </w:tc>
        <w:tc>
          <w:tcPr>
            <w:tcW w:w="1440" w:type="dxa"/>
          </w:tcPr>
          <w:p w14:paraId="530F21C3"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-50.5</w:t>
            </w:r>
            <w:r w:rsidRPr="00C7014F">
              <w:rPr>
                <w:rFonts w:ascii="Palatino Linotype" w:hAnsi="Palatino Linotype"/>
                <w:sz w:val="18"/>
                <w:szCs w:val="18"/>
              </w:rPr>
              <w:sym w:font="Symbol" w:char="F0B0"/>
            </w:r>
            <w:r w:rsidRPr="00C7014F">
              <w:rPr>
                <w:rFonts w:ascii="Palatino Linotype" w:hAnsi="Palatino Linotype"/>
                <w:sz w:val="18"/>
                <w:szCs w:val="18"/>
              </w:rPr>
              <w:t xml:space="preserve"> to -51.5</w:t>
            </w:r>
            <w:r w:rsidRPr="00C7014F">
              <w:rPr>
                <w:rFonts w:ascii="Palatino Linotype" w:hAnsi="Palatino Linotype"/>
                <w:sz w:val="18"/>
                <w:szCs w:val="18"/>
              </w:rPr>
              <w:sym w:font="Symbol" w:char="F0B0"/>
            </w:r>
          </w:p>
        </w:tc>
        <w:tc>
          <w:tcPr>
            <w:tcW w:w="1269" w:type="dxa"/>
          </w:tcPr>
          <w:p w14:paraId="068F0D23"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90</w:t>
            </w:r>
          </w:p>
        </w:tc>
        <w:tc>
          <w:tcPr>
            <w:tcW w:w="1875" w:type="dxa"/>
          </w:tcPr>
          <w:p w14:paraId="38F79C48"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w:t>
            </w:r>
          </w:p>
        </w:tc>
      </w:tr>
      <w:tr w:rsidR="00FC5C5A" w:rsidRPr="00C7014F" w14:paraId="3D112FF0" w14:textId="77777777" w:rsidTr="00794C58">
        <w:trPr>
          <w:trHeight w:val="47"/>
        </w:trPr>
        <w:tc>
          <w:tcPr>
            <w:tcW w:w="1350" w:type="dxa"/>
          </w:tcPr>
          <w:p w14:paraId="5F7FD31A"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N20 VIIRS</w:t>
            </w:r>
          </w:p>
        </w:tc>
        <w:tc>
          <w:tcPr>
            <w:tcW w:w="1260" w:type="dxa"/>
          </w:tcPr>
          <w:p w14:paraId="45D28335"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2017</w:t>
            </w:r>
          </w:p>
        </w:tc>
        <w:tc>
          <w:tcPr>
            <w:tcW w:w="1350" w:type="dxa"/>
          </w:tcPr>
          <w:p w14:paraId="38005E46"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-14</w:t>
            </w:r>
            <w:r w:rsidRPr="00C7014F">
              <w:rPr>
                <w:rFonts w:ascii="Palatino Linotype" w:hAnsi="Palatino Linotype"/>
                <w:sz w:val="18"/>
                <w:szCs w:val="18"/>
              </w:rPr>
              <w:sym w:font="Symbol" w:char="F0B0"/>
            </w:r>
            <w:r w:rsidRPr="00C7014F">
              <w:rPr>
                <w:rFonts w:ascii="Palatino Linotype" w:hAnsi="Palatino Linotype"/>
                <w:sz w:val="18"/>
                <w:szCs w:val="18"/>
              </w:rPr>
              <w:t xml:space="preserve"> to 0</w:t>
            </w:r>
            <w:r w:rsidRPr="00C7014F">
              <w:rPr>
                <w:rFonts w:ascii="Palatino Linotype" w:hAnsi="Palatino Linotype"/>
                <w:sz w:val="18"/>
                <w:szCs w:val="18"/>
              </w:rPr>
              <w:sym w:font="Symbol" w:char="F0B0"/>
            </w:r>
          </w:p>
        </w:tc>
        <w:tc>
          <w:tcPr>
            <w:tcW w:w="1440" w:type="dxa"/>
          </w:tcPr>
          <w:p w14:paraId="012D6AFE"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-50.5</w:t>
            </w:r>
            <w:r w:rsidRPr="00C7014F">
              <w:rPr>
                <w:rFonts w:ascii="Palatino Linotype" w:hAnsi="Palatino Linotype"/>
                <w:sz w:val="18"/>
                <w:szCs w:val="18"/>
              </w:rPr>
              <w:sym w:font="Symbol" w:char="F0B0"/>
            </w:r>
            <w:r w:rsidRPr="00C7014F">
              <w:rPr>
                <w:rFonts w:ascii="Palatino Linotype" w:hAnsi="Palatino Linotype"/>
                <w:sz w:val="18"/>
                <w:szCs w:val="18"/>
              </w:rPr>
              <w:t xml:space="preserve"> to -51.5</w:t>
            </w:r>
            <w:r w:rsidRPr="00C7014F">
              <w:rPr>
                <w:rFonts w:ascii="Palatino Linotype" w:hAnsi="Palatino Linotype"/>
                <w:sz w:val="18"/>
                <w:szCs w:val="18"/>
              </w:rPr>
              <w:sym w:font="Symbol" w:char="F0B0"/>
            </w:r>
          </w:p>
        </w:tc>
        <w:tc>
          <w:tcPr>
            <w:tcW w:w="1269" w:type="dxa"/>
          </w:tcPr>
          <w:p w14:paraId="466E314B"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39</w:t>
            </w:r>
          </w:p>
        </w:tc>
        <w:tc>
          <w:tcPr>
            <w:tcW w:w="1875" w:type="dxa"/>
          </w:tcPr>
          <w:p w14:paraId="0C65EBBC" w14:textId="77777777" w:rsidR="00FC5C5A" w:rsidRPr="00C7014F" w:rsidRDefault="00FC5C5A" w:rsidP="00912670">
            <w:pPr>
              <w:spacing w:before="60" w:after="60"/>
              <w:jc w:val="center"/>
              <w:rPr>
                <w:rFonts w:ascii="Palatino Linotype" w:hAnsi="Palatino Linotype"/>
                <w:sz w:val="18"/>
                <w:szCs w:val="18"/>
              </w:rPr>
            </w:pPr>
            <w:r w:rsidRPr="00C7014F">
              <w:rPr>
                <w:rFonts w:ascii="Palatino Linotype" w:hAnsi="Palatino Linotype"/>
                <w:sz w:val="18"/>
                <w:szCs w:val="18"/>
              </w:rPr>
              <w:t>8</w:t>
            </w:r>
          </w:p>
        </w:tc>
      </w:tr>
    </w:tbl>
    <w:p w14:paraId="3B6E2C07" w14:textId="77777777" w:rsidR="00EB3B61" w:rsidRPr="00C7014F" w:rsidRDefault="00EB3B61" w:rsidP="00EB3B61">
      <w:pPr>
        <w:spacing w:line="300" w:lineRule="exact"/>
        <w:jc w:val="both"/>
        <w:rPr>
          <w:rFonts w:ascii="Palatino Linotype" w:hAnsi="Palatino Linotype"/>
          <w:sz w:val="20"/>
          <w:szCs w:val="20"/>
        </w:rPr>
      </w:pPr>
    </w:p>
    <w:p w14:paraId="503BE30E" w14:textId="52E922BA" w:rsidR="00EB3B61" w:rsidRPr="00C7014F" w:rsidRDefault="00EB3B61" w:rsidP="00EB3B61">
      <w:pPr>
        <w:spacing w:line="300" w:lineRule="exact"/>
        <w:jc w:val="both"/>
        <w:rPr>
          <w:rFonts w:ascii="Palatino Linotype" w:hAnsi="Palatino Linotype"/>
          <w:sz w:val="20"/>
          <w:szCs w:val="20"/>
        </w:rPr>
      </w:pPr>
      <w:r w:rsidRPr="00C7014F">
        <w:rPr>
          <w:rFonts w:ascii="Palatino Linotype" w:hAnsi="Palatino Linotype"/>
          <w:sz w:val="20"/>
          <w:szCs w:val="20"/>
        </w:rPr>
        <w:t xml:space="preserve">Figure 7 shows the sensor measured and model predicted lunar irradiances for Aqua MODIS bands 1 and 8 and for SNPP VIIRS bands I1 and M1 using their regularly scheduled lunar observations over their respective missions. For the measured data, the time-dependent calibration coefficients </w:t>
      </w:r>
      <w:r w:rsidRPr="00C7014F">
        <w:rPr>
          <w:rFonts w:ascii="Palatino Linotype" w:hAnsi="Palatino Linotype"/>
          <w:i/>
          <w:iCs/>
          <w:sz w:val="20"/>
          <w:szCs w:val="20"/>
        </w:rPr>
        <w:t>m</w:t>
      </w:r>
      <w:r w:rsidRPr="00C7014F">
        <w:rPr>
          <w:rFonts w:ascii="Palatino Linotype" w:hAnsi="Palatino Linotype"/>
          <w:i/>
          <w:iCs/>
          <w:sz w:val="20"/>
          <w:szCs w:val="20"/>
          <w:vertAlign w:val="subscript"/>
        </w:rPr>
        <w:t>1</w:t>
      </w:r>
      <w:r w:rsidRPr="00C7014F">
        <w:rPr>
          <w:rFonts w:ascii="Palatino Linotype" w:hAnsi="Palatino Linotype"/>
          <w:sz w:val="20"/>
          <w:szCs w:val="20"/>
        </w:rPr>
        <w:t xml:space="preserve"> and RVS are applied for MODIS and </w:t>
      </w:r>
      <w:r w:rsidRPr="00C7014F">
        <w:rPr>
          <w:rFonts w:ascii="Palatino Linotype" w:hAnsi="Palatino Linotype"/>
          <w:i/>
          <w:iCs/>
          <w:sz w:val="20"/>
          <w:szCs w:val="20"/>
        </w:rPr>
        <w:t>F</w:t>
      </w:r>
      <w:r w:rsidRPr="00C7014F">
        <w:rPr>
          <w:rFonts w:ascii="Palatino Linotype" w:hAnsi="Palatino Linotype"/>
          <w:sz w:val="20"/>
          <w:szCs w:val="20"/>
        </w:rPr>
        <w:t xml:space="preserve"> for VIIRS. Both the measurements and the model predictions show large and similar seasonal oscillations, which are associated with changes in the view geometry, primarily the Earth-Sun and Earth-Moon distances. While </w:t>
      </w:r>
      <w:r w:rsidR="00D52003" w:rsidRPr="00C7014F">
        <w:rPr>
          <w:rFonts w:ascii="Palatino Linotype" w:hAnsi="Palatino Linotype"/>
          <w:sz w:val="20"/>
          <w:szCs w:val="20"/>
        </w:rPr>
        <w:t xml:space="preserve">the </w:t>
      </w:r>
      <w:r w:rsidRPr="00C7014F">
        <w:rPr>
          <w:rFonts w:ascii="Palatino Linotype" w:hAnsi="Palatino Linotype"/>
          <w:sz w:val="20"/>
          <w:szCs w:val="20"/>
        </w:rPr>
        <w:t>seasonal variation of the measured and modeled data is nearly the same, there is a wavelength-dependent bias between the measurements and the ROLO model, where the MODIS and VIIRS measurements are generally higher than the ROLO predictions. The gaps in the data occur when the geometry of the lunar orbit moves the Moon out of the roll angle range specified in Table 2.</w:t>
      </w:r>
    </w:p>
    <w:p w14:paraId="5768DD35" w14:textId="77777777" w:rsidR="00FC5C5A" w:rsidRPr="00C7014F" w:rsidRDefault="00FC5C5A" w:rsidP="003827E3">
      <w:pPr>
        <w:spacing w:after="0" w:line="300" w:lineRule="exact"/>
        <w:rPr>
          <w:rFonts w:ascii="Palatino Linotype" w:hAnsi="Palatino Linotype"/>
          <w:sz w:val="20"/>
          <w:szCs w:val="20"/>
        </w:rPr>
      </w:pPr>
    </w:p>
    <w:p w14:paraId="1703A570" w14:textId="5F3F1824" w:rsidR="00FC5C5A" w:rsidRPr="00C7014F" w:rsidRDefault="009C16E8" w:rsidP="00FC5C5A">
      <w:pPr>
        <w:spacing w:line="240" w:lineRule="auto"/>
        <w:rPr>
          <w:rFonts w:ascii="Palatino Linotype" w:hAnsi="Palatino Linotype"/>
          <w:sz w:val="20"/>
          <w:szCs w:val="20"/>
        </w:rPr>
      </w:pPr>
      <w:r w:rsidRPr="00C7014F">
        <w:rPr>
          <w:rFonts w:ascii="Palatino Linotype" w:hAnsi="Palatino Linotype"/>
          <w:noProof/>
          <w:sz w:val="20"/>
          <w:szCs w:val="20"/>
        </w:rPr>
        <w:drawing>
          <wp:inline distT="0" distB="0" distL="0" distR="0" wp14:anchorId="128E0FCC" wp14:editId="072E9868">
            <wp:extent cx="5943600" cy="1609090"/>
            <wp:effectExtent l="0" t="0" r="0"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609090"/>
                    </a:xfrm>
                    <a:prstGeom prst="rect">
                      <a:avLst/>
                    </a:prstGeom>
                  </pic:spPr>
                </pic:pic>
              </a:graphicData>
            </a:graphic>
          </wp:inline>
        </w:drawing>
      </w:r>
    </w:p>
    <w:p w14:paraId="01EE7AA8" w14:textId="155E4B94" w:rsidR="00FC5C5A" w:rsidRPr="00C7014F" w:rsidRDefault="00FC5C5A" w:rsidP="00FC5C5A">
      <w:pPr>
        <w:spacing w:line="240" w:lineRule="auto"/>
        <w:jc w:val="center"/>
        <w:rPr>
          <w:rFonts w:ascii="Palatino Linotype" w:hAnsi="Palatino Linotype"/>
          <w:sz w:val="20"/>
        </w:rPr>
      </w:pPr>
      <w:r w:rsidRPr="00C7014F">
        <w:rPr>
          <w:rFonts w:ascii="Palatino Linotype" w:hAnsi="Palatino Linotype"/>
          <w:sz w:val="20"/>
        </w:rPr>
        <w:t>Figure 7</w:t>
      </w:r>
      <w:r w:rsidR="00794C58" w:rsidRPr="00C7014F">
        <w:rPr>
          <w:rFonts w:ascii="Palatino Linotype" w:hAnsi="Palatino Linotype"/>
          <w:sz w:val="20"/>
        </w:rPr>
        <w:t>.</w:t>
      </w:r>
      <w:r w:rsidRPr="00C7014F">
        <w:rPr>
          <w:rFonts w:ascii="Palatino Linotype" w:hAnsi="Palatino Linotype"/>
          <w:sz w:val="20"/>
        </w:rPr>
        <w:t xml:space="preserve"> Comparison of the measured lunar irradiance (circles) and ROLO model predicted irradiance (x’s) for (a) Aqua MODIS bands 1 and 8 and (b) </w:t>
      </w:r>
      <w:r w:rsidR="00A73C88" w:rsidRPr="00C7014F">
        <w:rPr>
          <w:rFonts w:ascii="Palatino Linotype" w:hAnsi="Palatino Linotype"/>
          <w:sz w:val="20"/>
        </w:rPr>
        <w:t>SNPP</w:t>
      </w:r>
      <w:r w:rsidRPr="00C7014F">
        <w:rPr>
          <w:rFonts w:ascii="Palatino Linotype" w:hAnsi="Palatino Linotype"/>
          <w:sz w:val="20"/>
        </w:rPr>
        <w:t xml:space="preserve"> VIIRS bands I1 and M1.</w:t>
      </w:r>
    </w:p>
    <w:p w14:paraId="34E41EA7" w14:textId="50CD02E9" w:rsidR="00FC5C5A" w:rsidRPr="00C7014F" w:rsidRDefault="00EB3B61" w:rsidP="00FC5C5A">
      <w:pPr>
        <w:spacing w:line="300" w:lineRule="exact"/>
        <w:jc w:val="both"/>
        <w:rPr>
          <w:rFonts w:ascii="Palatino Linotype" w:hAnsi="Palatino Linotype"/>
          <w:sz w:val="20"/>
          <w:szCs w:val="20"/>
        </w:rPr>
      </w:pPr>
      <w:r w:rsidRPr="00C7014F">
        <w:rPr>
          <w:rFonts w:ascii="Palatino Linotype" w:hAnsi="Palatino Linotype"/>
          <w:sz w:val="20"/>
          <w:szCs w:val="20"/>
        </w:rPr>
        <w:t>We use the time series of ratios of the measured to</w:t>
      </w:r>
      <w:r w:rsidR="00FC5C5A" w:rsidRPr="00C7014F">
        <w:rPr>
          <w:rFonts w:ascii="Palatino Linotype" w:hAnsi="Palatino Linotype"/>
          <w:sz w:val="20"/>
          <w:szCs w:val="20"/>
        </w:rPr>
        <w:t xml:space="preserve"> </w:t>
      </w:r>
      <w:r w:rsidRPr="00C7014F">
        <w:rPr>
          <w:rFonts w:ascii="Palatino Linotype" w:hAnsi="Palatino Linotype"/>
          <w:sz w:val="20"/>
          <w:szCs w:val="20"/>
        </w:rPr>
        <w:t>the predicted lunar irradiances to assess instrument calibration performance</w:t>
      </w:r>
      <w:r w:rsidR="00FC5C5A" w:rsidRPr="00C7014F">
        <w:rPr>
          <w:rFonts w:ascii="Palatino Linotype" w:hAnsi="Palatino Linotype"/>
          <w:sz w:val="20"/>
          <w:szCs w:val="20"/>
        </w:rPr>
        <w:t xml:space="preserve">. When the pre-launch calibration coefficients are used in the measured data, the ratio is a measure of the trending gain of each band at the AOI of the SV. When the on-orbit coefficients are used, the trending data represents the residual gain change in the instrument, with the expectation that well calibrated data will be flat over long </w:t>
      </w:r>
      <w:r w:rsidR="004D1443" w:rsidRPr="00C7014F">
        <w:rPr>
          <w:rFonts w:ascii="Palatino Linotype" w:hAnsi="Palatino Linotype"/>
          <w:sz w:val="20"/>
          <w:szCs w:val="20"/>
        </w:rPr>
        <w:t>periods</w:t>
      </w:r>
      <w:r w:rsidR="00FC5C5A" w:rsidRPr="00C7014F">
        <w:rPr>
          <w:rFonts w:ascii="Palatino Linotype" w:hAnsi="Palatino Linotype"/>
          <w:sz w:val="20"/>
          <w:szCs w:val="20"/>
        </w:rPr>
        <w:t xml:space="preserve">. The absolute offset shows the bias between the </w:t>
      </w:r>
      <w:r w:rsidR="00856DE0" w:rsidRPr="00C7014F">
        <w:rPr>
          <w:rFonts w:ascii="Palatino Linotype" w:hAnsi="Palatino Linotype"/>
          <w:sz w:val="20"/>
          <w:szCs w:val="20"/>
        </w:rPr>
        <w:t>sensor-</w:t>
      </w:r>
      <w:r w:rsidR="00FC5C5A" w:rsidRPr="00C7014F">
        <w:rPr>
          <w:rFonts w:ascii="Palatino Linotype" w:hAnsi="Palatino Linotype"/>
          <w:sz w:val="20"/>
          <w:szCs w:val="20"/>
        </w:rPr>
        <w:t>measured and the mode</w:t>
      </w:r>
      <w:r w:rsidR="00DA7D33" w:rsidRPr="00C7014F">
        <w:rPr>
          <w:rFonts w:ascii="Palatino Linotype" w:hAnsi="Palatino Linotype"/>
          <w:sz w:val="20"/>
          <w:szCs w:val="20"/>
        </w:rPr>
        <w:t>l</w:t>
      </w:r>
      <w:r w:rsidR="00856DE0" w:rsidRPr="00C7014F">
        <w:rPr>
          <w:rFonts w:ascii="Palatino Linotype" w:hAnsi="Palatino Linotype"/>
          <w:sz w:val="20"/>
          <w:szCs w:val="20"/>
        </w:rPr>
        <w:t>-predicted</w:t>
      </w:r>
      <w:r w:rsidR="00FC5C5A" w:rsidRPr="00C7014F">
        <w:rPr>
          <w:rFonts w:ascii="Palatino Linotype" w:hAnsi="Palatino Linotype"/>
          <w:sz w:val="20"/>
          <w:szCs w:val="20"/>
        </w:rPr>
        <w:t xml:space="preserve"> data</w:t>
      </w:r>
      <w:r w:rsidR="007D0E2E" w:rsidRPr="00C7014F">
        <w:rPr>
          <w:rFonts w:ascii="Palatino Linotype" w:hAnsi="Palatino Linotype"/>
          <w:sz w:val="20"/>
          <w:szCs w:val="20"/>
        </w:rPr>
        <w:t xml:space="preserve">. It depends on the uncertainties in the lunar measurements and the model. </w:t>
      </w:r>
      <w:r w:rsidR="00B36F23" w:rsidRPr="00C7014F">
        <w:rPr>
          <w:rFonts w:ascii="Palatino Linotype" w:hAnsi="Palatino Linotype"/>
          <w:sz w:val="20"/>
          <w:szCs w:val="20"/>
        </w:rPr>
        <w:t xml:space="preserve">As expected, the </w:t>
      </w:r>
      <w:r w:rsidR="00807E92" w:rsidRPr="00C7014F">
        <w:rPr>
          <w:rFonts w:ascii="Palatino Linotype" w:hAnsi="Palatino Linotype"/>
          <w:sz w:val="20"/>
          <w:szCs w:val="20"/>
        </w:rPr>
        <w:t xml:space="preserve">absolute differences between the model-predicted and sensor-measured irradiance should have little impact on calibration-stability </w:t>
      </w:r>
      <w:r w:rsidR="001C72D9" w:rsidRPr="00C7014F">
        <w:rPr>
          <w:rFonts w:ascii="Palatino Linotype" w:hAnsi="Palatino Linotype"/>
          <w:sz w:val="20"/>
          <w:szCs w:val="20"/>
        </w:rPr>
        <w:t xml:space="preserve">monitoring. </w:t>
      </w:r>
      <w:r w:rsidR="007D0E2E" w:rsidRPr="00C7014F">
        <w:rPr>
          <w:rFonts w:ascii="Palatino Linotype" w:hAnsi="Palatino Linotype"/>
          <w:sz w:val="20"/>
          <w:szCs w:val="20"/>
        </w:rPr>
        <w:t xml:space="preserve">Apart from </w:t>
      </w:r>
      <w:r w:rsidR="00036C87" w:rsidRPr="00C7014F">
        <w:rPr>
          <w:rFonts w:ascii="Palatino Linotype" w:hAnsi="Palatino Linotype"/>
          <w:sz w:val="20"/>
          <w:szCs w:val="20"/>
        </w:rPr>
        <w:t xml:space="preserve">the </w:t>
      </w:r>
      <w:r w:rsidR="007D0E2E" w:rsidRPr="00C7014F">
        <w:rPr>
          <w:rFonts w:ascii="Palatino Linotype" w:hAnsi="Palatino Linotype"/>
          <w:sz w:val="20"/>
          <w:szCs w:val="20"/>
        </w:rPr>
        <w:t>correction for the view geometry, the</w:t>
      </w:r>
      <w:r w:rsidR="00FC5C5A" w:rsidRPr="00C7014F">
        <w:rPr>
          <w:rFonts w:ascii="Palatino Linotype" w:hAnsi="Palatino Linotype"/>
          <w:sz w:val="20"/>
          <w:szCs w:val="20"/>
        </w:rPr>
        <w:t xml:space="preserve"> </w:t>
      </w:r>
      <w:r w:rsidR="00F54544" w:rsidRPr="00C7014F">
        <w:rPr>
          <w:rFonts w:ascii="Palatino Linotype" w:hAnsi="Palatino Linotype"/>
          <w:sz w:val="20"/>
          <w:szCs w:val="20"/>
        </w:rPr>
        <w:t xml:space="preserve">use of </w:t>
      </w:r>
      <w:r w:rsidR="00036C87" w:rsidRPr="00C7014F">
        <w:rPr>
          <w:rFonts w:ascii="Palatino Linotype" w:hAnsi="Palatino Linotype"/>
          <w:sz w:val="20"/>
          <w:szCs w:val="20"/>
        </w:rPr>
        <w:t xml:space="preserve">the </w:t>
      </w:r>
      <w:r w:rsidR="00FC5C5A" w:rsidRPr="00C7014F">
        <w:rPr>
          <w:rFonts w:ascii="Palatino Linotype" w:hAnsi="Palatino Linotype"/>
          <w:sz w:val="20"/>
          <w:szCs w:val="20"/>
        </w:rPr>
        <w:t>ROLO model allow</w:t>
      </w:r>
      <w:r w:rsidR="00036C87" w:rsidRPr="00C7014F">
        <w:rPr>
          <w:rFonts w:ascii="Palatino Linotype" w:hAnsi="Palatino Linotype"/>
          <w:sz w:val="20"/>
          <w:szCs w:val="20"/>
        </w:rPr>
        <w:t>s</w:t>
      </w:r>
      <w:r w:rsidR="00FC5C5A" w:rsidRPr="00C7014F">
        <w:rPr>
          <w:rFonts w:ascii="Palatino Linotype" w:hAnsi="Palatino Linotype"/>
          <w:sz w:val="20"/>
          <w:szCs w:val="20"/>
        </w:rPr>
        <w:t xml:space="preserve"> us to compare bands of different instruments by accounting for the differences in the</w:t>
      </w:r>
      <w:r w:rsidR="007D0E2E" w:rsidRPr="00C7014F">
        <w:rPr>
          <w:rFonts w:ascii="Palatino Linotype" w:hAnsi="Palatino Linotype"/>
          <w:sz w:val="20"/>
          <w:szCs w:val="20"/>
        </w:rPr>
        <w:t>ir</w:t>
      </w:r>
      <w:r w:rsidR="00FC5C5A" w:rsidRPr="00C7014F">
        <w:rPr>
          <w:rFonts w:ascii="Palatino Linotype" w:hAnsi="Palatino Linotype"/>
          <w:sz w:val="20"/>
          <w:szCs w:val="20"/>
        </w:rPr>
        <w:t xml:space="preserve"> RSR.</w:t>
      </w:r>
      <w:r w:rsidR="009D6D96" w:rsidRPr="00C7014F">
        <w:rPr>
          <w:rFonts w:ascii="Palatino Linotype" w:hAnsi="Palatino Linotype"/>
          <w:sz w:val="20"/>
          <w:szCs w:val="20"/>
        </w:rPr>
        <w:t xml:space="preserve"> [</w:t>
      </w:r>
      <w:r w:rsidR="006460A0" w:rsidRPr="00C7014F">
        <w:rPr>
          <w:rFonts w:ascii="Palatino Linotype" w:hAnsi="Palatino Linotype"/>
          <w:sz w:val="20"/>
          <w:szCs w:val="20"/>
        </w:rPr>
        <w:t>59</w:t>
      </w:r>
      <w:r w:rsidR="009D6D96" w:rsidRPr="00C7014F">
        <w:rPr>
          <w:rFonts w:ascii="Palatino Linotype" w:hAnsi="Palatino Linotype"/>
          <w:sz w:val="20"/>
          <w:szCs w:val="20"/>
        </w:rPr>
        <w:t>]</w:t>
      </w:r>
      <w:r w:rsidR="00F54544" w:rsidRPr="00C7014F">
        <w:rPr>
          <w:rFonts w:ascii="Palatino Linotype" w:hAnsi="Palatino Linotype"/>
          <w:sz w:val="20"/>
          <w:szCs w:val="20"/>
        </w:rPr>
        <w:t xml:space="preserve">. </w:t>
      </w:r>
      <w:r w:rsidR="00FC5C5A" w:rsidRPr="00C7014F">
        <w:rPr>
          <w:rFonts w:ascii="Palatino Linotype" w:hAnsi="Palatino Linotype"/>
          <w:sz w:val="20"/>
          <w:szCs w:val="20"/>
        </w:rPr>
        <w:t xml:space="preserve">In Figure 8, we show the </w:t>
      </w:r>
      <w:r w:rsidR="00DA7D33" w:rsidRPr="00C7014F">
        <w:rPr>
          <w:rFonts w:ascii="Palatino Linotype" w:hAnsi="Palatino Linotype"/>
          <w:sz w:val="20"/>
          <w:szCs w:val="20"/>
        </w:rPr>
        <w:t xml:space="preserve">ratio of </w:t>
      </w:r>
      <w:r w:rsidR="00FC5C5A" w:rsidRPr="00C7014F">
        <w:rPr>
          <w:rFonts w:ascii="Palatino Linotype" w:hAnsi="Palatino Linotype"/>
          <w:sz w:val="20"/>
          <w:szCs w:val="20"/>
        </w:rPr>
        <w:t>measured</w:t>
      </w:r>
      <w:r w:rsidR="00DA7D33" w:rsidRPr="00C7014F">
        <w:rPr>
          <w:rFonts w:ascii="Palatino Linotype" w:hAnsi="Palatino Linotype"/>
          <w:sz w:val="20"/>
          <w:szCs w:val="20"/>
        </w:rPr>
        <w:t xml:space="preserve"> to </w:t>
      </w:r>
      <w:r w:rsidR="00FC5C5A" w:rsidRPr="00C7014F">
        <w:rPr>
          <w:rFonts w:ascii="Palatino Linotype" w:hAnsi="Palatino Linotype"/>
          <w:sz w:val="20"/>
          <w:szCs w:val="20"/>
        </w:rPr>
        <w:t xml:space="preserve">model </w:t>
      </w:r>
      <w:r w:rsidR="00DA7D33" w:rsidRPr="00C7014F">
        <w:rPr>
          <w:rFonts w:ascii="Palatino Linotype" w:hAnsi="Palatino Linotype"/>
          <w:sz w:val="20"/>
          <w:szCs w:val="20"/>
        </w:rPr>
        <w:t>trend</w:t>
      </w:r>
      <w:r w:rsidR="00932C35" w:rsidRPr="00C7014F">
        <w:rPr>
          <w:rFonts w:ascii="Palatino Linotype" w:hAnsi="Palatino Linotype"/>
          <w:sz w:val="20"/>
          <w:szCs w:val="20"/>
        </w:rPr>
        <w:t>s</w:t>
      </w:r>
      <w:r w:rsidR="00DA7D33" w:rsidRPr="00C7014F">
        <w:rPr>
          <w:rFonts w:ascii="Palatino Linotype" w:hAnsi="Palatino Linotype"/>
          <w:sz w:val="20"/>
          <w:szCs w:val="20"/>
        </w:rPr>
        <w:t xml:space="preserve"> </w:t>
      </w:r>
      <w:r w:rsidR="00FC5C5A" w:rsidRPr="00C7014F">
        <w:rPr>
          <w:rFonts w:ascii="Palatino Linotype" w:hAnsi="Palatino Linotype"/>
          <w:sz w:val="20"/>
          <w:szCs w:val="20"/>
        </w:rPr>
        <w:t xml:space="preserve">for bands centered at </w:t>
      </w:r>
      <w:r w:rsidR="004C05ED" w:rsidRPr="00C7014F">
        <w:rPr>
          <w:rFonts w:ascii="Palatino Linotype" w:hAnsi="Palatino Linotype"/>
          <w:sz w:val="20"/>
          <w:szCs w:val="20"/>
        </w:rPr>
        <w:t>0.41</w:t>
      </w:r>
      <w:r w:rsidR="004C68AA" w:rsidRPr="00C7014F">
        <w:rPr>
          <w:rFonts w:ascii="Palatino Linotype" w:hAnsi="Palatino Linotype"/>
          <w:sz w:val="20"/>
          <w:szCs w:val="20"/>
        </w:rPr>
        <w:t>2</w:t>
      </w:r>
      <w:r w:rsidR="004C05ED" w:rsidRPr="00C7014F">
        <w:rPr>
          <w:rFonts w:ascii="Palatino Linotype" w:hAnsi="Palatino Linotype"/>
          <w:sz w:val="20"/>
          <w:szCs w:val="20"/>
        </w:rPr>
        <w:t xml:space="preserve"> </w:t>
      </w:r>
      <w:r w:rsidR="004C05ED" w:rsidRPr="00C7014F">
        <w:rPr>
          <w:rFonts w:ascii="Symbol" w:hAnsi="Symbol"/>
          <w:sz w:val="20"/>
          <w:szCs w:val="20"/>
        </w:rPr>
        <w:t></w:t>
      </w:r>
      <w:r w:rsidR="004C05ED" w:rsidRPr="00C7014F">
        <w:rPr>
          <w:rFonts w:ascii="Palatino Linotype" w:hAnsi="Palatino Linotype"/>
          <w:sz w:val="20"/>
          <w:szCs w:val="20"/>
        </w:rPr>
        <w:t>m</w:t>
      </w:r>
      <w:r w:rsidR="00FC5C5A" w:rsidRPr="00C7014F">
        <w:rPr>
          <w:rFonts w:ascii="Palatino Linotype" w:hAnsi="Palatino Linotype"/>
          <w:sz w:val="20"/>
          <w:szCs w:val="20"/>
        </w:rPr>
        <w:t xml:space="preserve"> (band 8 in MODIS, M1 in VI</w:t>
      </w:r>
      <w:r w:rsidR="004C05ED" w:rsidRPr="00C7014F">
        <w:rPr>
          <w:rFonts w:ascii="Palatino Linotype" w:hAnsi="Palatino Linotype"/>
          <w:sz w:val="20"/>
          <w:szCs w:val="20"/>
        </w:rPr>
        <w:t>IRS) and 0.64</w:t>
      </w:r>
      <w:r w:rsidR="004C68AA" w:rsidRPr="00C7014F">
        <w:rPr>
          <w:rFonts w:ascii="Palatino Linotype" w:hAnsi="Palatino Linotype"/>
          <w:sz w:val="20"/>
          <w:szCs w:val="20"/>
        </w:rPr>
        <w:t>0</w:t>
      </w:r>
      <w:r w:rsidR="004C05ED" w:rsidRPr="00C7014F">
        <w:rPr>
          <w:rFonts w:ascii="Palatino Linotype" w:hAnsi="Palatino Linotype"/>
          <w:sz w:val="20"/>
          <w:szCs w:val="20"/>
        </w:rPr>
        <w:t xml:space="preserve"> </w:t>
      </w:r>
      <w:r w:rsidR="004C05ED" w:rsidRPr="00C7014F">
        <w:rPr>
          <w:rFonts w:ascii="Symbol" w:hAnsi="Symbol"/>
          <w:sz w:val="20"/>
          <w:szCs w:val="20"/>
        </w:rPr>
        <w:t></w:t>
      </w:r>
      <w:r w:rsidR="004C05ED" w:rsidRPr="00C7014F">
        <w:rPr>
          <w:rFonts w:ascii="Palatino Linotype" w:hAnsi="Palatino Linotype"/>
          <w:sz w:val="20"/>
          <w:szCs w:val="20"/>
        </w:rPr>
        <w:t>m</w:t>
      </w:r>
      <w:r w:rsidR="00FC5C5A" w:rsidRPr="00C7014F">
        <w:rPr>
          <w:rFonts w:ascii="Palatino Linotype" w:hAnsi="Palatino Linotype"/>
          <w:sz w:val="20"/>
          <w:szCs w:val="20"/>
        </w:rPr>
        <w:t xml:space="preserve"> (band 1 in MOD</w:t>
      </w:r>
      <w:r w:rsidR="00494CD7" w:rsidRPr="00C7014F">
        <w:rPr>
          <w:rFonts w:ascii="Palatino Linotype" w:hAnsi="Palatino Linotype"/>
          <w:sz w:val="20"/>
          <w:szCs w:val="20"/>
        </w:rPr>
        <w:t xml:space="preserve">IS, I1 in VIIRS). For each band, </w:t>
      </w:r>
      <w:r w:rsidR="00FC5C5A" w:rsidRPr="00C7014F">
        <w:rPr>
          <w:rFonts w:ascii="Palatino Linotype" w:hAnsi="Palatino Linotype"/>
          <w:sz w:val="20"/>
          <w:szCs w:val="20"/>
        </w:rPr>
        <w:t xml:space="preserve">the trend of the ratios is stable </w:t>
      </w:r>
      <w:r w:rsidR="00B0666B" w:rsidRPr="00C7014F">
        <w:rPr>
          <w:rFonts w:ascii="Palatino Linotype" w:hAnsi="Palatino Linotype"/>
          <w:sz w:val="20"/>
          <w:szCs w:val="20"/>
        </w:rPr>
        <w:t>over the select time series</w:t>
      </w:r>
      <w:r w:rsidR="00FC5C5A" w:rsidRPr="00C7014F">
        <w:rPr>
          <w:rFonts w:ascii="Palatino Linotype" w:hAnsi="Palatino Linotype"/>
          <w:sz w:val="20"/>
          <w:szCs w:val="20"/>
        </w:rPr>
        <w:t xml:space="preserve">. Each band also shows small seasonal oscillations on the order of 1%, which are associated with residual uncertainties in the ROLO model lunar libration angle correction. </w:t>
      </w:r>
      <w:r w:rsidR="00494CD7" w:rsidRPr="00C7014F">
        <w:rPr>
          <w:rFonts w:ascii="Palatino Linotype" w:hAnsi="Palatino Linotype"/>
          <w:sz w:val="20"/>
          <w:szCs w:val="20"/>
        </w:rPr>
        <w:t>For most spectral bands,</w:t>
      </w:r>
      <w:r w:rsidR="00FC5C5A" w:rsidRPr="00C7014F">
        <w:rPr>
          <w:rFonts w:ascii="Palatino Linotype" w:hAnsi="Palatino Linotype"/>
          <w:sz w:val="20"/>
          <w:szCs w:val="20"/>
        </w:rPr>
        <w:t xml:space="preserve"> Terra, Aqua, and </w:t>
      </w:r>
      <w:r w:rsidR="00A73C88" w:rsidRPr="00C7014F">
        <w:rPr>
          <w:rFonts w:ascii="Palatino Linotype" w:hAnsi="Palatino Linotype"/>
          <w:sz w:val="20"/>
          <w:szCs w:val="20"/>
        </w:rPr>
        <w:t>N20</w:t>
      </w:r>
      <w:r w:rsidR="00FC5C5A" w:rsidRPr="00C7014F">
        <w:rPr>
          <w:rFonts w:ascii="Palatino Linotype" w:hAnsi="Palatino Linotype"/>
          <w:sz w:val="20"/>
          <w:szCs w:val="20"/>
        </w:rPr>
        <w:t xml:space="preserve"> are generally in good </w:t>
      </w:r>
      <w:r w:rsidR="0020505B" w:rsidRPr="00C7014F">
        <w:rPr>
          <w:rFonts w:ascii="Palatino Linotype" w:hAnsi="Palatino Linotype"/>
          <w:sz w:val="20"/>
          <w:szCs w:val="20"/>
        </w:rPr>
        <w:t>agreement;</w:t>
      </w:r>
      <w:r w:rsidR="00FC5C5A" w:rsidRPr="00C7014F">
        <w:rPr>
          <w:rFonts w:ascii="Palatino Linotype" w:hAnsi="Palatino Linotype"/>
          <w:sz w:val="20"/>
          <w:szCs w:val="20"/>
        </w:rPr>
        <w:t xml:space="preserve"> however, </w:t>
      </w:r>
      <w:r w:rsidR="00A73C88" w:rsidRPr="00C7014F">
        <w:rPr>
          <w:rFonts w:ascii="Palatino Linotype" w:hAnsi="Palatino Linotype"/>
          <w:sz w:val="20"/>
          <w:szCs w:val="20"/>
        </w:rPr>
        <w:t>SNPP</w:t>
      </w:r>
      <w:r w:rsidR="00FC5C5A" w:rsidRPr="00C7014F">
        <w:rPr>
          <w:rFonts w:ascii="Palatino Linotype" w:hAnsi="Palatino Linotype"/>
          <w:sz w:val="20"/>
          <w:szCs w:val="20"/>
        </w:rPr>
        <w:t xml:space="preserve"> shows an offset </w:t>
      </w:r>
      <w:r w:rsidR="002A7E43" w:rsidRPr="00C7014F">
        <w:rPr>
          <w:rFonts w:ascii="Palatino Linotype" w:hAnsi="Palatino Linotype"/>
          <w:sz w:val="20"/>
          <w:szCs w:val="20"/>
        </w:rPr>
        <w:t>with</w:t>
      </w:r>
      <w:r w:rsidR="00E13304" w:rsidRPr="00C7014F">
        <w:rPr>
          <w:rFonts w:ascii="Palatino Linotype" w:hAnsi="Palatino Linotype"/>
          <w:sz w:val="20"/>
          <w:szCs w:val="20"/>
        </w:rPr>
        <w:t xml:space="preserve"> the</w:t>
      </w:r>
      <w:r w:rsidR="00FC5C5A" w:rsidRPr="00C7014F">
        <w:rPr>
          <w:rFonts w:ascii="Palatino Linotype" w:hAnsi="Palatino Linotype"/>
          <w:sz w:val="20"/>
          <w:szCs w:val="20"/>
        </w:rPr>
        <w:t xml:space="preserve"> </w:t>
      </w:r>
      <w:r w:rsidR="00B0666B" w:rsidRPr="00C7014F">
        <w:rPr>
          <w:rFonts w:ascii="Palatino Linotype" w:hAnsi="Palatino Linotype"/>
          <w:sz w:val="20"/>
          <w:szCs w:val="20"/>
        </w:rPr>
        <w:t>other instruments</w:t>
      </w:r>
      <w:r w:rsidR="00FC5C5A" w:rsidRPr="00C7014F">
        <w:rPr>
          <w:rFonts w:ascii="Palatino Linotype" w:hAnsi="Palatino Linotype"/>
          <w:sz w:val="20"/>
          <w:szCs w:val="20"/>
        </w:rPr>
        <w:t>.</w:t>
      </w:r>
    </w:p>
    <w:p w14:paraId="2E78B92C" w14:textId="4DFABC94" w:rsidR="00FC5C5A" w:rsidRPr="00C7014F" w:rsidRDefault="009C16E8" w:rsidP="00FC5C5A">
      <w:pPr>
        <w:spacing w:line="240" w:lineRule="auto"/>
        <w:rPr>
          <w:rFonts w:ascii="Palatino Linotype" w:hAnsi="Palatino Linotype"/>
          <w:sz w:val="20"/>
          <w:szCs w:val="20"/>
        </w:rPr>
      </w:pPr>
      <w:r w:rsidRPr="00C7014F">
        <w:rPr>
          <w:rFonts w:ascii="Palatino Linotype" w:hAnsi="Palatino Linotype"/>
          <w:noProof/>
          <w:sz w:val="20"/>
          <w:szCs w:val="20"/>
        </w:rPr>
        <w:lastRenderedPageBreak/>
        <w:drawing>
          <wp:inline distT="0" distB="0" distL="0" distR="0" wp14:anchorId="2721691C" wp14:editId="7E290841">
            <wp:extent cx="5943600" cy="1602105"/>
            <wp:effectExtent l="0" t="0" r="0" b="0"/>
            <wp:docPr id="6" name="Picture 6" descr="Scatte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atter chart&#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602105"/>
                    </a:xfrm>
                    <a:prstGeom prst="rect">
                      <a:avLst/>
                    </a:prstGeom>
                  </pic:spPr>
                </pic:pic>
              </a:graphicData>
            </a:graphic>
          </wp:inline>
        </w:drawing>
      </w:r>
    </w:p>
    <w:p w14:paraId="6864A8EB" w14:textId="7844DA64" w:rsidR="00FC5C5A" w:rsidRPr="00C7014F" w:rsidRDefault="00FC5C5A" w:rsidP="00FC5C5A">
      <w:pPr>
        <w:spacing w:before="120" w:after="120"/>
        <w:jc w:val="center"/>
        <w:rPr>
          <w:rFonts w:ascii="Palatino Linotype" w:hAnsi="Palatino Linotype"/>
          <w:sz w:val="20"/>
        </w:rPr>
      </w:pPr>
      <w:r w:rsidRPr="00C7014F">
        <w:rPr>
          <w:rFonts w:ascii="Palatino Linotype" w:hAnsi="Palatino Linotype"/>
          <w:sz w:val="20"/>
        </w:rPr>
        <w:t xml:space="preserve">Figure 8 Trending measured/model data for bands in all four instruments near (a) </w:t>
      </w:r>
      <w:r w:rsidR="004C05ED" w:rsidRPr="00C7014F">
        <w:rPr>
          <w:rFonts w:ascii="Palatino Linotype" w:hAnsi="Palatino Linotype"/>
          <w:sz w:val="20"/>
          <w:szCs w:val="20"/>
        </w:rPr>
        <w:t>0.41</w:t>
      </w:r>
      <w:r w:rsidR="004C68AA" w:rsidRPr="00C7014F">
        <w:rPr>
          <w:rFonts w:ascii="Palatino Linotype" w:hAnsi="Palatino Linotype"/>
          <w:sz w:val="20"/>
          <w:szCs w:val="20"/>
        </w:rPr>
        <w:t>2</w:t>
      </w:r>
      <w:r w:rsidR="004C05ED" w:rsidRPr="00C7014F">
        <w:rPr>
          <w:rFonts w:ascii="Palatino Linotype" w:hAnsi="Palatino Linotype"/>
          <w:sz w:val="20"/>
          <w:szCs w:val="20"/>
        </w:rPr>
        <w:t xml:space="preserve"> </w:t>
      </w:r>
      <w:r w:rsidR="004C05ED" w:rsidRPr="00C7014F">
        <w:rPr>
          <w:rFonts w:ascii="Symbol" w:hAnsi="Symbol"/>
          <w:sz w:val="20"/>
          <w:szCs w:val="20"/>
        </w:rPr>
        <w:t></w:t>
      </w:r>
      <w:r w:rsidR="004C05ED" w:rsidRPr="00C7014F">
        <w:rPr>
          <w:rFonts w:ascii="Palatino Linotype" w:hAnsi="Palatino Linotype"/>
          <w:sz w:val="20"/>
          <w:szCs w:val="20"/>
        </w:rPr>
        <w:t>m</w:t>
      </w:r>
      <w:r w:rsidR="004C05ED" w:rsidRPr="00C7014F">
        <w:rPr>
          <w:rFonts w:ascii="Palatino Linotype" w:hAnsi="Palatino Linotype"/>
          <w:sz w:val="20"/>
        </w:rPr>
        <w:t xml:space="preserve"> </w:t>
      </w:r>
      <w:r w:rsidRPr="00C7014F">
        <w:rPr>
          <w:rFonts w:ascii="Palatino Linotype" w:hAnsi="Palatino Linotype"/>
          <w:sz w:val="20"/>
        </w:rPr>
        <w:t xml:space="preserve">(MODIS band 8, VIIRS Band M1) and (b) </w:t>
      </w:r>
      <w:r w:rsidR="004C05ED" w:rsidRPr="00C7014F">
        <w:rPr>
          <w:rFonts w:ascii="Palatino Linotype" w:hAnsi="Palatino Linotype"/>
          <w:sz w:val="20"/>
          <w:szCs w:val="20"/>
        </w:rPr>
        <w:t>0.64</w:t>
      </w:r>
      <w:r w:rsidR="004C68AA" w:rsidRPr="00C7014F">
        <w:rPr>
          <w:rFonts w:ascii="Palatino Linotype" w:hAnsi="Palatino Linotype"/>
          <w:sz w:val="20"/>
          <w:szCs w:val="20"/>
        </w:rPr>
        <w:t>0</w:t>
      </w:r>
      <w:r w:rsidR="004C05ED" w:rsidRPr="00C7014F">
        <w:rPr>
          <w:rFonts w:ascii="Palatino Linotype" w:hAnsi="Palatino Linotype"/>
          <w:sz w:val="20"/>
          <w:szCs w:val="20"/>
        </w:rPr>
        <w:t xml:space="preserve"> </w:t>
      </w:r>
      <w:r w:rsidR="004C05ED" w:rsidRPr="00C7014F">
        <w:rPr>
          <w:rFonts w:ascii="Symbol" w:hAnsi="Symbol"/>
          <w:sz w:val="20"/>
          <w:szCs w:val="20"/>
        </w:rPr>
        <w:t></w:t>
      </w:r>
      <w:r w:rsidR="004C05ED" w:rsidRPr="00C7014F">
        <w:rPr>
          <w:rFonts w:ascii="Palatino Linotype" w:hAnsi="Palatino Linotype"/>
          <w:sz w:val="20"/>
          <w:szCs w:val="20"/>
        </w:rPr>
        <w:t>m</w:t>
      </w:r>
      <w:r w:rsidRPr="00C7014F">
        <w:rPr>
          <w:rFonts w:ascii="Palatino Linotype" w:hAnsi="Palatino Linotype"/>
          <w:sz w:val="20"/>
        </w:rPr>
        <w:t xml:space="preserve"> (MODIS Band 1, VIIRS Band I1).</w:t>
      </w:r>
    </w:p>
    <w:p w14:paraId="4225E47B" w14:textId="2D6BD06F" w:rsidR="00FC5C5A" w:rsidRPr="00C7014F" w:rsidRDefault="00FC5C5A" w:rsidP="00FC5C5A">
      <w:pPr>
        <w:spacing w:line="300" w:lineRule="exact"/>
        <w:jc w:val="both"/>
        <w:rPr>
          <w:rFonts w:ascii="Palatino Linotype" w:hAnsi="Palatino Linotype"/>
          <w:sz w:val="20"/>
          <w:szCs w:val="20"/>
        </w:rPr>
      </w:pPr>
      <w:r w:rsidRPr="00C7014F">
        <w:rPr>
          <w:rFonts w:ascii="Palatino Linotype" w:hAnsi="Palatino Linotype"/>
          <w:sz w:val="20"/>
          <w:szCs w:val="20"/>
        </w:rPr>
        <w:t>In Figure 9, we show the mean value</w:t>
      </w:r>
      <w:r w:rsidR="00B0666B" w:rsidRPr="00C7014F">
        <w:rPr>
          <w:rFonts w:ascii="Palatino Linotype" w:hAnsi="Palatino Linotype"/>
          <w:sz w:val="20"/>
          <w:szCs w:val="20"/>
        </w:rPr>
        <w:t>s</w:t>
      </w:r>
      <w:r w:rsidRPr="00C7014F">
        <w:rPr>
          <w:rFonts w:ascii="Palatino Linotype" w:hAnsi="Palatino Linotype"/>
          <w:sz w:val="20"/>
          <w:szCs w:val="20"/>
        </w:rPr>
        <w:t xml:space="preserve"> of the measured/model data </w:t>
      </w:r>
      <w:r w:rsidR="003B3165" w:rsidRPr="00C7014F">
        <w:rPr>
          <w:rFonts w:ascii="Palatino Linotype" w:hAnsi="Palatino Linotype"/>
          <w:sz w:val="20"/>
          <w:szCs w:val="20"/>
        </w:rPr>
        <w:t xml:space="preserve">of </w:t>
      </w:r>
      <w:r w:rsidR="003827E3" w:rsidRPr="00C7014F">
        <w:rPr>
          <w:rFonts w:ascii="Palatino Linotype" w:hAnsi="Palatino Linotype"/>
          <w:sz w:val="20"/>
          <w:szCs w:val="20"/>
        </w:rPr>
        <w:t xml:space="preserve">MODIS and VIIRS VIS/NIR bands </w:t>
      </w:r>
      <w:r w:rsidR="003B3165" w:rsidRPr="00C7014F">
        <w:rPr>
          <w:rFonts w:ascii="Palatino Linotype" w:hAnsi="Palatino Linotype"/>
          <w:sz w:val="20"/>
          <w:szCs w:val="20"/>
        </w:rPr>
        <w:t>from</w:t>
      </w:r>
      <w:r w:rsidRPr="00C7014F">
        <w:rPr>
          <w:rFonts w:ascii="Palatino Linotype" w:hAnsi="Palatino Linotype"/>
          <w:sz w:val="20"/>
          <w:szCs w:val="20"/>
        </w:rPr>
        <w:t xml:space="preserve"> January 1, 2018 </w:t>
      </w:r>
      <w:r w:rsidR="003B3165" w:rsidRPr="00C7014F">
        <w:rPr>
          <w:rFonts w:ascii="Palatino Linotype" w:hAnsi="Palatino Linotype"/>
          <w:sz w:val="20"/>
          <w:szCs w:val="20"/>
        </w:rPr>
        <w:t>to</w:t>
      </w:r>
      <w:r w:rsidRPr="00C7014F">
        <w:rPr>
          <w:rFonts w:ascii="Palatino Linotype" w:hAnsi="Palatino Linotype"/>
          <w:sz w:val="20"/>
          <w:szCs w:val="20"/>
        </w:rPr>
        <w:t xml:space="preserve"> July 1, 2022. For each instrument, the ratios are lower in the middle wavelength range comp</w:t>
      </w:r>
      <w:r w:rsidR="003B3165" w:rsidRPr="00C7014F">
        <w:rPr>
          <w:rFonts w:ascii="Palatino Linotype" w:hAnsi="Palatino Linotype"/>
          <w:sz w:val="20"/>
          <w:szCs w:val="20"/>
        </w:rPr>
        <w:t xml:space="preserve">ared to the data </w:t>
      </w:r>
      <w:r w:rsidR="00AD6890" w:rsidRPr="00C7014F">
        <w:rPr>
          <w:rFonts w:ascii="Palatino Linotype" w:hAnsi="Palatino Linotype"/>
          <w:sz w:val="20"/>
          <w:szCs w:val="20"/>
        </w:rPr>
        <w:t>at other wavelengths</w:t>
      </w:r>
      <w:r w:rsidRPr="00C7014F">
        <w:rPr>
          <w:rFonts w:ascii="Palatino Linotype" w:hAnsi="Palatino Linotype"/>
          <w:sz w:val="20"/>
          <w:szCs w:val="20"/>
        </w:rPr>
        <w:t xml:space="preserve">. At shorter wavelengths, Terra, Aqua, and </w:t>
      </w:r>
      <w:r w:rsidR="00A73C88" w:rsidRPr="00C7014F">
        <w:rPr>
          <w:rFonts w:ascii="Palatino Linotype" w:hAnsi="Palatino Linotype"/>
          <w:sz w:val="20"/>
          <w:szCs w:val="20"/>
        </w:rPr>
        <w:t>N20</w:t>
      </w:r>
      <w:r w:rsidRPr="00C7014F">
        <w:rPr>
          <w:rFonts w:ascii="Palatino Linotype" w:hAnsi="Palatino Linotype"/>
          <w:sz w:val="20"/>
          <w:szCs w:val="20"/>
        </w:rPr>
        <w:t xml:space="preserve"> are in better agreement compared to </w:t>
      </w:r>
      <w:r w:rsidR="00A73C88" w:rsidRPr="00C7014F">
        <w:rPr>
          <w:rFonts w:ascii="Palatino Linotype" w:hAnsi="Palatino Linotype"/>
          <w:sz w:val="20"/>
          <w:szCs w:val="20"/>
        </w:rPr>
        <w:t>SNPP</w:t>
      </w:r>
      <w:r w:rsidRPr="00C7014F">
        <w:rPr>
          <w:rFonts w:ascii="Palatino Linotype" w:hAnsi="Palatino Linotype"/>
          <w:sz w:val="20"/>
          <w:szCs w:val="20"/>
        </w:rPr>
        <w:t xml:space="preserve"> except for band M2, which has a similar ratio to MODIS band 9. MODIS band 12 also shows a higher ratio than MODIS band 4 and </w:t>
      </w:r>
      <w:r w:rsidR="00A73C88" w:rsidRPr="00C7014F">
        <w:rPr>
          <w:rFonts w:ascii="Palatino Linotype" w:hAnsi="Palatino Linotype"/>
          <w:sz w:val="20"/>
          <w:szCs w:val="20"/>
        </w:rPr>
        <w:t>N20</w:t>
      </w:r>
      <w:r w:rsidRPr="00C7014F">
        <w:rPr>
          <w:rFonts w:ascii="Palatino Linotype" w:hAnsi="Palatino Linotype"/>
          <w:sz w:val="20"/>
          <w:szCs w:val="20"/>
        </w:rPr>
        <w:t xml:space="preserve"> band M4</w:t>
      </w:r>
      <w:r w:rsidR="003B3165" w:rsidRPr="00C7014F">
        <w:rPr>
          <w:rFonts w:ascii="Palatino Linotype" w:hAnsi="Palatino Linotype"/>
          <w:sz w:val="20"/>
          <w:szCs w:val="20"/>
        </w:rPr>
        <w:t xml:space="preserve"> at a similar wavelength</w:t>
      </w:r>
      <w:r w:rsidRPr="00C7014F">
        <w:rPr>
          <w:rFonts w:ascii="Palatino Linotype" w:hAnsi="Palatino Linotype"/>
          <w:sz w:val="20"/>
          <w:szCs w:val="20"/>
        </w:rPr>
        <w:t xml:space="preserve">. For the high gain ocean bands </w:t>
      </w:r>
      <w:r w:rsidR="0032789F" w:rsidRPr="00C7014F">
        <w:rPr>
          <w:rFonts w:ascii="Palatino Linotype" w:hAnsi="Palatino Linotype"/>
          <w:sz w:val="20"/>
          <w:szCs w:val="20"/>
        </w:rPr>
        <w:t>of</w:t>
      </w:r>
      <w:r w:rsidRPr="00C7014F">
        <w:rPr>
          <w:rFonts w:ascii="Palatino Linotype" w:hAnsi="Palatino Linotype"/>
          <w:sz w:val="20"/>
          <w:szCs w:val="20"/>
        </w:rPr>
        <w:t xml:space="preserve"> MODIS (13-16), the impact of saturation </w:t>
      </w:r>
      <w:r w:rsidR="0032789F" w:rsidRPr="00C7014F">
        <w:rPr>
          <w:rFonts w:ascii="Palatino Linotype" w:hAnsi="Palatino Linotype"/>
          <w:sz w:val="20"/>
          <w:szCs w:val="20"/>
        </w:rPr>
        <w:t xml:space="preserve">could lead to </w:t>
      </w:r>
      <w:r w:rsidRPr="00C7014F">
        <w:rPr>
          <w:rFonts w:ascii="Palatino Linotype" w:hAnsi="Palatino Linotype"/>
          <w:sz w:val="20"/>
          <w:szCs w:val="20"/>
        </w:rPr>
        <w:t xml:space="preserve">more disagreement over that wavelength range, particularly for Aqua MODIS </w:t>
      </w:r>
      <w:r w:rsidR="0032789F" w:rsidRPr="00C7014F">
        <w:rPr>
          <w:rFonts w:ascii="Palatino Linotype" w:hAnsi="Palatino Linotype"/>
          <w:sz w:val="20"/>
          <w:szCs w:val="20"/>
        </w:rPr>
        <w:t>with</w:t>
      </w:r>
      <w:r w:rsidR="00D757BA" w:rsidRPr="00C7014F">
        <w:rPr>
          <w:rFonts w:ascii="Palatino Linotype" w:hAnsi="Palatino Linotype"/>
          <w:sz w:val="20"/>
          <w:szCs w:val="20"/>
        </w:rPr>
        <w:t xml:space="preserve"> more</w:t>
      </w:r>
      <w:r w:rsidRPr="00C7014F">
        <w:rPr>
          <w:rFonts w:ascii="Palatino Linotype" w:hAnsi="Palatino Linotype"/>
          <w:sz w:val="20"/>
          <w:szCs w:val="20"/>
        </w:rPr>
        <w:t xml:space="preserve"> saturat</w:t>
      </w:r>
      <w:r w:rsidR="0032789F" w:rsidRPr="00C7014F">
        <w:rPr>
          <w:rFonts w:ascii="Palatino Linotype" w:hAnsi="Palatino Linotype"/>
          <w:sz w:val="20"/>
          <w:szCs w:val="20"/>
        </w:rPr>
        <w:t xml:space="preserve">ed lunar pixels that require </w:t>
      </w:r>
      <w:r w:rsidR="00157DF6" w:rsidRPr="00C7014F">
        <w:rPr>
          <w:rFonts w:ascii="Palatino Linotype" w:hAnsi="Palatino Linotype"/>
          <w:sz w:val="20"/>
          <w:szCs w:val="20"/>
        </w:rPr>
        <w:t>a correction</w:t>
      </w:r>
      <w:r w:rsidR="00CA3AC6" w:rsidRPr="00C7014F">
        <w:rPr>
          <w:rFonts w:ascii="Palatino Linotype" w:hAnsi="Palatino Linotype"/>
          <w:sz w:val="20"/>
          <w:szCs w:val="20"/>
        </w:rPr>
        <w:t xml:space="preserve"> [</w:t>
      </w:r>
      <w:r w:rsidR="006460A0" w:rsidRPr="00C7014F">
        <w:rPr>
          <w:rFonts w:ascii="Palatino Linotype" w:hAnsi="Palatino Linotype"/>
          <w:sz w:val="20"/>
          <w:szCs w:val="20"/>
        </w:rPr>
        <w:t>48</w:t>
      </w:r>
      <w:r w:rsidR="00CA3AC6" w:rsidRPr="00C7014F">
        <w:rPr>
          <w:rFonts w:ascii="Palatino Linotype" w:hAnsi="Palatino Linotype"/>
          <w:sz w:val="20"/>
          <w:szCs w:val="20"/>
        </w:rPr>
        <w:t>]</w:t>
      </w:r>
      <w:r w:rsidR="00157DF6" w:rsidRPr="00C7014F">
        <w:rPr>
          <w:rFonts w:ascii="Palatino Linotype" w:hAnsi="Palatino Linotype"/>
          <w:sz w:val="20"/>
          <w:szCs w:val="20"/>
        </w:rPr>
        <w:t>.</w:t>
      </w:r>
    </w:p>
    <w:p w14:paraId="42BB1B79" w14:textId="57ABD265" w:rsidR="00FC5C5A" w:rsidRPr="00C7014F" w:rsidRDefault="009C16E8" w:rsidP="00FC5C5A">
      <w:pPr>
        <w:spacing w:line="240" w:lineRule="auto"/>
        <w:jc w:val="center"/>
        <w:rPr>
          <w:rFonts w:ascii="Palatino Linotype" w:hAnsi="Palatino Linotype"/>
          <w:sz w:val="20"/>
          <w:szCs w:val="20"/>
        </w:rPr>
      </w:pPr>
      <w:r w:rsidRPr="00C7014F">
        <w:rPr>
          <w:rFonts w:ascii="Palatino Linotype" w:hAnsi="Palatino Linotype"/>
          <w:noProof/>
          <w:sz w:val="20"/>
          <w:szCs w:val="20"/>
        </w:rPr>
        <w:drawing>
          <wp:inline distT="0" distB="0" distL="0" distR="0" wp14:anchorId="75B3494D" wp14:editId="2DA5F811">
            <wp:extent cx="5129784" cy="2240280"/>
            <wp:effectExtent l="0" t="0" r="0" b="762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29784" cy="2240280"/>
                    </a:xfrm>
                    <a:prstGeom prst="rect">
                      <a:avLst/>
                    </a:prstGeom>
                  </pic:spPr>
                </pic:pic>
              </a:graphicData>
            </a:graphic>
          </wp:inline>
        </w:drawing>
      </w:r>
    </w:p>
    <w:p w14:paraId="1F19D42A" w14:textId="4C8A00B9" w:rsidR="00FC5C5A" w:rsidRPr="00C7014F" w:rsidRDefault="00FC5C5A" w:rsidP="00FC5C5A">
      <w:pPr>
        <w:spacing w:line="240" w:lineRule="auto"/>
        <w:jc w:val="center"/>
        <w:rPr>
          <w:rFonts w:ascii="Palatino Linotype" w:hAnsi="Palatino Linotype"/>
          <w:sz w:val="20"/>
        </w:rPr>
      </w:pPr>
      <w:r w:rsidRPr="00C7014F">
        <w:rPr>
          <w:rFonts w:ascii="Palatino Linotype" w:hAnsi="Palatino Linotype"/>
          <w:sz w:val="20"/>
        </w:rPr>
        <w:t>Figure 9</w:t>
      </w:r>
      <w:r w:rsidR="00794C58" w:rsidRPr="00C7014F">
        <w:rPr>
          <w:rFonts w:ascii="Palatino Linotype" w:hAnsi="Palatino Linotype"/>
          <w:sz w:val="20"/>
        </w:rPr>
        <w:t>.</w:t>
      </w:r>
      <w:r w:rsidRPr="00C7014F">
        <w:rPr>
          <w:rFonts w:ascii="Palatino Linotype" w:hAnsi="Palatino Linotype"/>
          <w:sz w:val="20"/>
        </w:rPr>
        <w:t xml:space="preserve"> Ratio of the measured data and the ROLO model data as a function of wavelength for the VIS/NIR bands in both MODIS and VIIRS. The ratios are taken from data between January 1, 2018 and July 1, 2022 as shown in Figure 8. The error bars show the standard deviation.</w:t>
      </w:r>
    </w:p>
    <w:p w14:paraId="18CC8D55" w14:textId="21B6AB79" w:rsidR="009E40D2" w:rsidRPr="00C7014F" w:rsidRDefault="009E40D2" w:rsidP="003827E3">
      <w:pPr>
        <w:spacing w:after="0" w:line="240" w:lineRule="auto"/>
        <w:jc w:val="center"/>
        <w:rPr>
          <w:rFonts w:ascii="Palatino Linotype" w:hAnsi="Palatino Linotype"/>
          <w:sz w:val="20"/>
        </w:rPr>
      </w:pPr>
    </w:p>
    <w:p w14:paraId="7048A08F" w14:textId="1079F3A7" w:rsidR="00D642B0" w:rsidRPr="00C7014F" w:rsidRDefault="007C799D" w:rsidP="003827E3">
      <w:pPr>
        <w:spacing w:line="300" w:lineRule="exact"/>
        <w:jc w:val="both"/>
        <w:rPr>
          <w:rFonts w:ascii="Palatino Linotype" w:hAnsi="Palatino Linotype"/>
          <w:sz w:val="20"/>
          <w:szCs w:val="20"/>
        </w:rPr>
      </w:pPr>
      <w:r w:rsidRPr="00C7014F">
        <w:rPr>
          <w:rFonts w:ascii="Palatino Linotype" w:hAnsi="Palatino Linotype"/>
          <w:sz w:val="20"/>
          <w:szCs w:val="20"/>
        </w:rPr>
        <w:t xml:space="preserve">With the exception of small residual uncertainties among different lunar phases and libration angles, the absolute uncertainty of </w:t>
      </w:r>
      <w:r w:rsidR="003E4242" w:rsidRPr="00C7014F">
        <w:rPr>
          <w:rFonts w:ascii="Palatino Linotype" w:hAnsi="Palatino Linotype"/>
          <w:sz w:val="20"/>
          <w:szCs w:val="20"/>
        </w:rPr>
        <w:t xml:space="preserve">the </w:t>
      </w:r>
      <w:r w:rsidRPr="00C7014F">
        <w:rPr>
          <w:rFonts w:ascii="Palatino Linotype" w:hAnsi="Palatino Linotype"/>
          <w:sz w:val="20"/>
          <w:szCs w:val="20"/>
        </w:rPr>
        <w:t xml:space="preserve">lunar model is cancelled in this lunar calibration inter-comparison. In this study, we have used a large number of lunar observations made at nearly the same phase angles and the impact due </w:t>
      </w:r>
      <w:r w:rsidR="004D14A2" w:rsidRPr="00C7014F">
        <w:rPr>
          <w:rFonts w:ascii="Palatino Linotype" w:hAnsi="Palatino Linotype"/>
          <w:sz w:val="20"/>
          <w:szCs w:val="20"/>
        </w:rPr>
        <w:t xml:space="preserve">to </w:t>
      </w:r>
      <w:r w:rsidRPr="00C7014F">
        <w:rPr>
          <w:rFonts w:ascii="Palatino Linotype" w:hAnsi="Palatino Linotype"/>
          <w:sz w:val="20"/>
          <w:szCs w:val="20"/>
        </w:rPr>
        <w:t xml:space="preserve">small residual uncertainties in the lunar model is therefore minimized. </w:t>
      </w:r>
      <w:r w:rsidR="003827E3" w:rsidRPr="00C7014F">
        <w:rPr>
          <w:rFonts w:ascii="Palatino Linotype" w:hAnsi="Palatino Linotype"/>
          <w:sz w:val="20"/>
          <w:szCs w:val="20"/>
        </w:rPr>
        <w:t xml:space="preserve">Presented in Tables 3, 4, and 5 are the lunar calibration inter-comparison results for Terra and Aqua MODIS, SNPP and N20 VIIRS, and Aqua MODIS and N20 VIIRS, respectively, using their regularly scheduled lunar observations made </w:t>
      </w:r>
      <w:r w:rsidR="003827E3" w:rsidRPr="00C7014F">
        <w:rPr>
          <w:rFonts w:ascii="Palatino Linotype" w:hAnsi="Palatino Linotype"/>
          <w:sz w:val="20"/>
          <w:szCs w:val="20"/>
        </w:rPr>
        <w:lastRenderedPageBreak/>
        <w:t>between January 1, 2018, and July 1</w:t>
      </w:r>
      <w:r w:rsidR="007B168D" w:rsidRPr="00C7014F">
        <w:rPr>
          <w:rFonts w:ascii="Palatino Linotype" w:hAnsi="Palatino Linotype"/>
          <w:sz w:val="20"/>
          <w:szCs w:val="20"/>
        </w:rPr>
        <w:t>,</w:t>
      </w:r>
      <w:r w:rsidR="003827E3" w:rsidRPr="00C7014F">
        <w:rPr>
          <w:rFonts w:ascii="Palatino Linotype" w:hAnsi="Palatino Linotype"/>
          <w:sz w:val="20"/>
          <w:szCs w:val="20"/>
        </w:rPr>
        <w:t xml:space="preserve"> 2022. The results for SNPP and N20 VIIRS and for Aqua MODIS and N20 VIIRS have included a correction (Eq. 11) to remove the impact due to different solar spectra used in their on-orbit calibration. It requires no additional correction for Terra and Aqua MODIS </w:t>
      </w:r>
      <w:r w:rsidR="00D642B0" w:rsidRPr="00C7014F">
        <w:rPr>
          <w:rFonts w:ascii="Palatino Linotype" w:hAnsi="Palatino Linotype"/>
          <w:sz w:val="20"/>
          <w:szCs w:val="20"/>
        </w:rPr>
        <w:t xml:space="preserve">lunar calibration </w:t>
      </w:r>
      <w:r w:rsidR="003827E3" w:rsidRPr="00C7014F">
        <w:rPr>
          <w:rFonts w:ascii="Palatino Linotype" w:hAnsi="Palatino Linotype"/>
          <w:sz w:val="20"/>
          <w:szCs w:val="20"/>
        </w:rPr>
        <w:t>inter-comparison as both use the same solar spectra</w:t>
      </w:r>
      <w:r w:rsidR="00D642B0" w:rsidRPr="00C7014F">
        <w:rPr>
          <w:rFonts w:ascii="Palatino Linotype" w:hAnsi="Palatino Linotype"/>
          <w:sz w:val="20"/>
          <w:szCs w:val="20"/>
        </w:rPr>
        <w:t xml:space="preserve">. </w:t>
      </w:r>
      <w:r w:rsidR="003827E3" w:rsidRPr="00C7014F">
        <w:rPr>
          <w:rFonts w:ascii="Palatino Linotype" w:hAnsi="Palatino Linotype"/>
          <w:sz w:val="20"/>
          <w:szCs w:val="20"/>
        </w:rPr>
        <w:t xml:space="preserve">The calibration differences </w:t>
      </w:r>
      <w:r w:rsidR="005F691D" w:rsidRPr="00C7014F">
        <w:rPr>
          <w:rFonts w:ascii="Palatino Linotype" w:hAnsi="Palatino Linotype"/>
          <w:sz w:val="20"/>
          <w:szCs w:val="20"/>
        </w:rPr>
        <w:t xml:space="preserve">(DIF) </w:t>
      </w:r>
      <w:r w:rsidR="003827E3" w:rsidRPr="00C7014F">
        <w:rPr>
          <w:rFonts w:ascii="Palatino Linotype" w:hAnsi="Palatino Linotype"/>
          <w:sz w:val="20"/>
          <w:szCs w:val="20"/>
        </w:rPr>
        <w:t>in these tables, expressed in percentage (%), are computed using the averages of measured/ predicted</w:t>
      </w:r>
      <w:r w:rsidR="00D642B0" w:rsidRPr="00C7014F">
        <w:rPr>
          <w:rFonts w:ascii="Palatino Linotype" w:hAnsi="Palatino Linotype"/>
          <w:sz w:val="20"/>
          <w:szCs w:val="20"/>
        </w:rPr>
        <w:t xml:space="preserve"> ratios of </w:t>
      </w:r>
      <w:r w:rsidR="003827E3" w:rsidRPr="00C7014F">
        <w:rPr>
          <w:rFonts w:ascii="Palatino Linotype" w:hAnsi="Palatino Linotype"/>
          <w:sz w:val="20"/>
          <w:szCs w:val="20"/>
        </w:rPr>
        <w:t xml:space="preserve">the </w:t>
      </w:r>
      <w:r w:rsidR="00D642B0" w:rsidRPr="00C7014F">
        <w:rPr>
          <w:rFonts w:ascii="Palatino Linotype" w:hAnsi="Palatino Linotype"/>
          <w:sz w:val="20"/>
          <w:szCs w:val="20"/>
        </w:rPr>
        <w:t xml:space="preserve">same </w:t>
      </w:r>
      <w:r w:rsidR="003827E3" w:rsidRPr="00C7014F">
        <w:rPr>
          <w:rFonts w:ascii="Palatino Linotype" w:hAnsi="Palatino Linotype"/>
          <w:sz w:val="20"/>
          <w:szCs w:val="20"/>
        </w:rPr>
        <w:t>(or matching) s</w:t>
      </w:r>
      <w:r w:rsidR="00D642B0" w:rsidRPr="00C7014F">
        <w:rPr>
          <w:rFonts w:ascii="Palatino Linotype" w:hAnsi="Palatino Linotype"/>
          <w:sz w:val="20"/>
          <w:szCs w:val="20"/>
        </w:rPr>
        <w:t xml:space="preserve">pectral bands from </w:t>
      </w:r>
      <w:r w:rsidR="003827E3" w:rsidRPr="00C7014F">
        <w:rPr>
          <w:rFonts w:ascii="Palatino Linotype" w:hAnsi="Palatino Linotype"/>
          <w:sz w:val="20"/>
          <w:szCs w:val="20"/>
        </w:rPr>
        <w:t>the two instruments</w:t>
      </w:r>
      <w:r w:rsidR="00006B20" w:rsidRPr="00C7014F">
        <w:rPr>
          <w:rFonts w:ascii="Palatino Linotype" w:hAnsi="Palatino Linotype"/>
          <w:sz w:val="20"/>
          <w:szCs w:val="20"/>
        </w:rPr>
        <w:t xml:space="preserve"> (i.e., </w:t>
      </w:r>
      <w:r w:rsidR="00FE1232" w:rsidRPr="00C7014F">
        <w:rPr>
          <w:rFonts w:ascii="Palatino Linotype" w:hAnsi="Palatino Linotype"/>
          <w:sz w:val="20"/>
          <w:szCs w:val="20"/>
        </w:rPr>
        <w:t>DIF</w:t>
      </w:r>
      <w:r w:rsidR="00006B20" w:rsidRPr="00C7014F">
        <w:rPr>
          <w:rFonts w:ascii="Palatino Linotype" w:hAnsi="Palatino Linotype"/>
          <w:sz w:val="20"/>
          <w:szCs w:val="20"/>
        </w:rPr>
        <w:t xml:space="preserve"> = ( </w:t>
      </w:r>
      <m:oMath>
        <m:sSubSup>
          <m:sSubSupPr>
            <m:ctrlPr>
              <w:rPr>
                <w:rFonts w:ascii="Cambria Math" w:hAnsi="Cambria Math"/>
                <w:i/>
                <w:sz w:val="20"/>
                <w:szCs w:val="20"/>
              </w:rPr>
            </m:ctrlPr>
          </m:sSubSupPr>
          <m:e>
            <m:r>
              <w:rPr>
                <w:rFonts w:ascii="Cambria Math" w:hAnsi="Cambria Math"/>
                <w:sz w:val="20"/>
                <w:szCs w:val="20"/>
              </w:rPr>
              <m:t>R</m:t>
            </m:r>
          </m:e>
          <m:sub>
            <m:r>
              <w:rPr>
                <w:rFonts w:ascii="Cambria Math" w:hAnsi="Cambria Math"/>
                <w:sz w:val="20"/>
                <w:szCs w:val="20"/>
              </w:rPr>
              <m:t>A/B</m:t>
            </m:r>
          </m:sub>
          <m:sup>
            <m:r>
              <w:rPr>
                <w:rFonts w:ascii="Cambria Math" w:hAnsi="Cambria Math"/>
                <w:sz w:val="20"/>
                <w:szCs w:val="20"/>
              </w:rPr>
              <m:t>*</m:t>
            </m:r>
          </m:sup>
        </m:sSubSup>
      </m:oMath>
      <w:r w:rsidR="00006B20" w:rsidRPr="00C7014F">
        <w:rPr>
          <w:rFonts w:ascii="Palatino Linotype" w:hAnsi="Palatino Linotype"/>
          <w:sz w:val="20"/>
          <w:szCs w:val="20"/>
        </w:rPr>
        <w:t>-1)*100)</w:t>
      </w:r>
      <w:r w:rsidR="003827E3" w:rsidRPr="00C7014F">
        <w:rPr>
          <w:rFonts w:ascii="Palatino Linotype" w:hAnsi="Palatino Linotype"/>
          <w:sz w:val="20"/>
          <w:szCs w:val="20"/>
        </w:rPr>
        <w:t>. The standard deviations reported in the tables are the combined values based the</w:t>
      </w:r>
      <w:r w:rsidR="00D642B0" w:rsidRPr="00C7014F">
        <w:rPr>
          <w:rFonts w:ascii="Palatino Linotype" w:hAnsi="Palatino Linotype"/>
          <w:sz w:val="20"/>
          <w:szCs w:val="20"/>
        </w:rPr>
        <w:t>ir</w:t>
      </w:r>
      <w:r w:rsidR="003827E3" w:rsidRPr="00C7014F">
        <w:rPr>
          <w:rFonts w:ascii="Palatino Linotype" w:hAnsi="Palatino Linotype"/>
          <w:sz w:val="20"/>
          <w:szCs w:val="20"/>
        </w:rPr>
        <w:t xml:space="preserve"> time-series</w:t>
      </w:r>
      <w:r w:rsidR="00A359A2" w:rsidRPr="00C7014F">
        <w:rPr>
          <w:rFonts w:ascii="Palatino Linotype" w:hAnsi="Palatino Linotype"/>
          <w:sz w:val="20"/>
          <w:szCs w:val="20"/>
        </w:rPr>
        <w:t>.</w:t>
      </w:r>
    </w:p>
    <w:p w14:paraId="77DD16E6" w14:textId="77777777" w:rsidR="003827E3" w:rsidRPr="00C7014F" w:rsidRDefault="003827E3" w:rsidP="00D642B0">
      <w:pPr>
        <w:spacing w:after="0" w:line="240" w:lineRule="auto"/>
        <w:jc w:val="center"/>
        <w:rPr>
          <w:rFonts w:ascii="Palatino Linotype" w:hAnsi="Palatino Linotype"/>
          <w:sz w:val="20"/>
        </w:rPr>
      </w:pPr>
    </w:p>
    <w:p w14:paraId="346F4F99" w14:textId="4DAD2024" w:rsidR="009E40D2" w:rsidRPr="00C7014F" w:rsidRDefault="009E40D2" w:rsidP="00FC5C5A">
      <w:pPr>
        <w:spacing w:line="240" w:lineRule="auto"/>
        <w:jc w:val="center"/>
        <w:rPr>
          <w:rFonts w:ascii="Palatino Linotype" w:hAnsi="Palatino Linotype"/>
          <w:sz w:val="20"/>
        </w:rPr>
      </w:pPr>
      <w:r w:rsidRPr="00C7014F">
        <w:rPr>
          <w:rFonts w:ascii="Palatino Linotype" w:hAnsi="Palatino Linotype"/>
          <w:sz w:val="20"/>
        </w:rPr>
        <w:t>Table 3: Lunar calibration inter-comparison results for Terra and Aqua MODIS</w:t>
      </w:r>
      <w:r w:rsidR="009D4DAD" w:rsidRPr="00C7014F">
        <w:rPr>
          <w:rFonts w:ascii="Palatino Linotype" w:hAnsi="Palatino Linotype"/>
          <w:sz w:val="20"/>
        </w:rPr>
        <w:t xml:space="preserve"> (WL: wavelength; DIF: difference; STD: standard deviation; UC: uncertainty)</w:t>
      </w:r>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864"/>
        <w:gridCol w:w="864"/>
        <w:gridCol w:w="864"/>
        <w:gridCol w:w="864"/>
        <w:gridCol w:w="864"/>
        <w:gridCol w:w="864"/>
        <w:gridCol w:w="864"/>
        <w:gridCol w:w="864"/>
      </w:tblGrid>
      <w:tr w:rsidR="00C7014F" w:rsidRPr="00C7014F" w14:paraId="2ECB859E" w14:textId="77777777" w:rsidTr="008A5ED0">
        <w:trPr>
          <w:trHeight w:val="290"/>
          <w:jc w:val="center"/>
        </w:trPr>
        <w:tc>
          <w:tcPr>
            <w:tcW w:w="1400" w:type="dxa"/>
            <w:shd w:val="clear" w:color="auto" w:fill="auto"/>
            <w:noWrap/>
            <w:vAlign w:val="center"/>
            <w:hideMark/>
          </w:tcPr>
          <w:p w14:paraId="656455C6"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Band</w:t>
            </w:r>
          </w:p>
        </w:tc>
        <w:tc>
          <w:tcPr>
            <w:tcW w:w="864" w:type="dxa"/>
            <w:shd w:val="clear" w:color="auto" w:fill="auto"/>
            <w:noWrap/>
            <w:vAlign w:val="center"/>
            <w:hideMark/>
          </w:tcPr>
          <w:p w14:paraId="553B6FD6"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w:t>
            </w:r>
          </w:p>
        </w:tc>
        <w:tc>
          <w:tcPr>
            <w:tcW w:w="864" w:type="dxa"/>
            <w:shd w:val="clear" w:color="auto" w:fill="auto"/>
            <w:noWrap/>
            <w:vAlign w:val="center"/>
            <w:hideMark/>
          </w:tcPr>
          <w:p w14:paraId="643E3597"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w:t>
            </w:r>
          </w:p>
        </w:tc>
        <w:tc>
          <w:tcPr>
            <w:tcW w:w="864" w:type="dxa"/>
            <w:shd w:val="clear" w:color="auto" w:fill="auto"/>
            <w:noWrap/>
            <w:vAlign w:val="center"/>
            <w:hideMark/>
          </w:tcPr>
          <w:p w14:paraId="419ABB5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w:t>
            </w:r>
          </w:p>
        </w:tc>
        <w:tc>
          <w:tcPr>
            <w:tcW w:w="864" w:type="dxa"/>
            <w:shd w:val="clear" w:color="auto" w:fill="auto"/>
            <w:noWrap/>
            <w:vAlign w:val="center"/>
            <w:hideMark/>
          </w:tcPr>
          <w:p w14:paraId="68110DFB"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w:t>
            </w:r>
          </w:p>
        </w:tc>
        <w:tc>
          <w:tcPr>
            <w:tcW w:w="864" w:type="dxa"/>
            <w:shd w:val="clear" w:color="auto" w:fill="auto"/>
            <w:noWrap/>
            <w:vAlign w:val="center"/>
            <w:hideMark/>
          </w:tcPr>
          <w:p w14:paraId="7152442D"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w:t>
            </w:r>
          </w:p>
        </w:tc>
        <w:tc>
          <w:tcPr>
            <w:tcW w:w="864" w:type="dxa"/>
            <w:shd w:val="clear" w:color="auto" w:fill="auto"/>
            <w:noWrap/>
            <w:vAlign w:val="center"/>
            <w:hideMark/>
          </w:tcPr>
          <w:p w14:paraId="7C0E650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09</w:t>
            </w:r>
          </w:p>
        </w:tc>
        <w:tc>
          <w:tcPr>
            <w:tcW w:w="864" w:type="dxa"/>
            <w:shd w:val="clear" w:color="auto" w:fill="auto"/>
            <w:noWrap/>
            <w:vAlign w:val="center"/>
            <w:hideMark/>
          </w:tcPr>
          <w:p w14:paraId="4F47F43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10</w:t>
            </w:r>
          </w:p>
        </w:tc>
        <w:tc>
          <w:tcPr>
            <w:tcW w:w="864" w:type="dxa"/>
            <w:shd w:val="clear" w:color="auto" w:fill="auto"/>
            <w:noWrap/>
            <w:vAlign w:val="center"/>
            <w:hideMark/>
          </w:tcPr>
          <w:p w14:paraId="16720236"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11</w:t>
            </w:r>
          </w:p>
        </w:tc>
      </w:tr>
      <w:tr w:rsidR="00C7014F" w:rsidRPr="00C7014F" w14:paraId="7E1FD889" w14:textId="77777777" w:rsidTr="008A5ED0">
        <w:trPr>
          <w:trHeight w:val="290"/>
          <w:jc w:val="center"/>
        </w:trPr>
        <w:tc>
          <w:tcPr>
            <w:tcW w:w="1400" w:type="dxa"/>
            <w:shd w:val="clear" w:color="auto" w:fill="auto"/>
            <w:noWrap/>
            <w:vAlign w:val="center"/>
            <w:hideMark/>
          </w:tcPr>
          <w:p w14:paraId="50D1DA7C" w14:textId="1F18D509" w:rsidR="00086ECA" w:rsidRPr="00C7014F" w:rsidRDefault="00086ECA" w:rsidP="007F6718">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WL</w:t>
            </w:r>
            <w:r w:rsidR="007F6718" w:rsidRPr="00C7014F">
              <w:rPr>
                <w:rFonts w:ascii="Palatino Linotype" w:eastAsia="Times New Roman" w:hAnsi="Palatino Linotype" w:cs="Calibri"/>
                <w:sz w:val="18"/>
                <w:szCs w:val="18"/>
              </w:rPr>
              <w:t xml:space="preserve"> (</w:t>
            </w:r>
            <w:r w:rsidR="007F6718" w:rsidRPr="00C7014F">
              <w:rPr>
                <w:rFonts w:ascii="Symbol" w:eastAsia="Times New Roman" w:hAnsi="Symbol" w:cs="Calibri"/>
                <w:sz w:val="18"/>
                <w:szCs w:val="18"/>
              </w:rPr>
              <w:t></w:t>
            </w:r>
            <w:r w:rsidR="007F6718" w:rsidRPr="00C7014F">
              <w:rPr>
                <w:rFonts w:ascii="Palatino Linotype" w:eastAsia="Times New Roman" w:hAnsi="Palatino Linotype" w:cs="Calibri"/>
                <w:sz w:val="18"/>
                <w:szCs w:val="18"/>
              </w:rPr>
              <w:t>)</w:t>
            </w:r>
          </w:p>
        </w:tc>
        <w:tc>
          <w:tcPr>
            <w:tcW w:w="864" w:type="dxa"/>
            <w:shd w:val="clear" w:color="auto" w:fill="auto"/>
            <w:noWrap/>
            <w:vAlign w:val="center"/>
            <w:hideMark/>
          </w:tcPr>
          <w:p w14:paraId="1DB7A9F4"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0.65</w:t>
            </w:r>
          </w:p>
        </w:tc>
        <w:tc>
          <w:tcPr>
            <w:tcW w:w="864" w:type="dxa"/>
            <w:shd w:val="clear" w:color="auto" w:fill="auto"/>
            <w:noWrap/>
            <w:vAlign w:val="center"/>
            <w:hideMark/>
          </w:tcPr>
          <w:p w14:paraId="29FFC67D"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0.86</w:t>
            </w:r>
          </w:p>
        </w:tc>
        <w:tc>
          <w:tcPr>
            <w:tcW w:w="864" w:type="dxa"/>
            <w:shd w:val="clear" w:color="auto" w:fill="auto"/>
            <w:noWrap/>
            <w:vAlign w:val="center"/>
            <w:hideMark/>
          </w:tcPr>
          <w:p w14:paraId="546E82E0"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0.47</w:t>
            </w:r>
          </w:p>
        </w:tc>
        <w:tc>
          <w:tcPr>
            <w:tcW w:w="864" w:type="dxa"/>
            <w:shd w:val="clear" w:color="auto" w:fill="auto"/>
            <w:noWrap/>
            <w:vAlign w:val="center"/>
            <w:hideMark/>
          </w:tcPr>
          <w:p w14:paraId="2E9FA09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0.56</w:t>
            </w:r>
          </w:p>
        </w:tc>
        <w:tc>
          <w:tcPr>
            <w:tcW w:w="864" w:type="dxa"/>
            <w:shd w:val="clear" w:color="auto" w:fill="auto"/>
            <w:noWrap/>
            <w:vAlign w:val="center"/>
            <w:hideMark/>
          </w:tcPr>
          <w:p w14:paraId="3CDFC8AC"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0.41</w:t>
            </w:r>
          </w:p>
        </w:tc>
        <w:tc>
          <w:tcPr>
            <w:tcW w:w="864" w:type="dxa"/>
            <w:shd w:val="clear" w:color="auto" w:fill="auto"/>
            <w:noWrap/>
            <w:vAlign w:val="center"/>
            <w:hideMark/>
          </w:tcPr>
          <w:p w14:paraId="70223AD5"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0.44</w:t>
            </w:r>
          </w:p>
        </w:tc>
        <w:tc>
          <w:tcPr>
            <w:tcW w:w="864" w:type="dxa"/>
            <w:shd w:val="clear" w:color="auto" w:fill="auto"/>
            <w:noWrap/>
            <w:vAlign w:val="center"/>
            <w:hideMark/>
          </w:tcPr>
          <w:p w14:paraId="6C38011A"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0.49</w:t>
            </w:r>
          </w:p>
        </w:tc>
        <w:tc>
          <w:tcPr>
            <w:tcW w:w="864" w:type="dxa"/>
            <w:shd w:val="clear" w:color="auto" w:fill="auto"/>
            <w:noWrap/>
            <w:vAlign w:val="center"/>
            <w:hideMark/>
          </w:tcPr>
          <w:p w14:paraId="3B8F28D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0.53</w:t>
            </w:r>
          </w:p>
        </w:tc>
      </w:tr>
      <w:tr w:rsidR="00C7014F" w:rsidRPr="00C7014F" w14:paraId="529546CE" w14:textId="77777777" w:rsidTr="008A5ED0">
        <w:trPr>
          <w:trHeight w:val="290"/>
          <w:jc w:val="center"/>
        </w:trPr>
        <w:tc>
          <w:tcPr>
            <w:tcW w:w="1400" w:type="dxa"/>
            <w:shd w:val="clear" w:color="auto" w:fill="auto"/>
            <w:noWrap/>
            <w:vAlign w:val="center"/>
            <w:hideMark/>
          </w:tcPr>
          <w:p w14:paraId="26C304B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DIF</w:t>
            </w:r>
          </w:p>
        </w:tc>
        <w:tc>
          <w:tcPr>
            <w:tcW w:w="864" w:type="dxa"/>
            <w:shd w:val="clear" w:color="auto" w:fill="auto"/>
            <w:noWrap/>
            <w:vAlign w:val="center"/>
            <w:hideMark/>
          </w:tcPr>
          <w:p w14:paraId="2297DD2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-1.27</w:t>
            </w:r>
          </w:p>
        </w:tc>
        <w:tc>
          <w:tcPr>
            <w:tcW w:w="864" w:type="dxa"/>
            <w:shd w:val="clear" w:color="auto" w:fill="auto"/>
            <w:noWrap/>
            <w:vAlign w:val="center"/>
            <w:hideMark/>
          </w:tcPr>
          <w:p w14:paraId="370B2B3B"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-0.82</w:t>
            </w:r>
          </w:p>
        </w:tc>
        <w:tc>
          <w:tcPr>
            <w:tcW w:w="864" w:type="dxa"/>
            <w:shd w:val="clear" w:color="auto" w:fill="auto"/>
            <w:noWrap/>
            <w:vAlign w:val="center"/>
            <w:hideMark/>
          </w:tcPr>
          <w:p w14:paraId="42865405"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1.15</w:t>
            </w:r>
          </w:p>
        </w:tc>
        <w:tc>
          <w:tcPr>
            <w:tcW w:w="864" w:type="dxa"/>
            <w:shd w:val="clear" w:color="auto" w:fill="auto"/>
            <w:noWrap/>
            <w:vAlign w:val="center"/>
            <w:hideMark/>
          </w:tcPr>
          <w:p w14:paraId="365218A3"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0.52</w:t>
            </w:r>
          </w:p>
        </w:tc>
        <w:tc>
          <w:tcPr>
            <w:tcW w:w="864" w:type="dxa"/>
            <w:shd w:val="clear" w:color="auto" w:fill="auto"/>
            <w:noWrap/>
            <w:vAlign w:val="center"/>
            <w:hideMark/>
          </w:tcPr>
          <w:p w14:paraId="0687F05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0.15</w:t>
            </w:r>
          </w:p>
        </w:tc>
        <w:tc>
          <w:tcPr>
            <w:tcW w:w="864" w:type="dxa"/>
            <w:shd w:val="clear" w:color="auto" w:fill="auto"/>
            <w:noWrap/>
            <w:vAlign w:val="center"/>
            <w:hideMark/>
          </w:tcPr>
          <w:p w14:paraId="281D271C"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-0.40</w:t>
            </w:r>
          </w:p>
        </w:tc>
        <w:tc>
          <w:tcPr>
            <w:tcW w:w="864" w:type="dxa"/>
            <w:shd w:val="clear" w:color="auto" w:fill="auto"/>
            <w:noWrap/>
            <w:vAlign w:val="center"/>
            <w:hideMark/>
          </w:tcPr>
          <w:p w14:paraId="0172124D"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-0.37</w:t>
            </w:r>
          </w:p>
        </w:tc>
        <w:tc>
          <w:tcPr>
            <w:tcW w:w="864" w:type="dxa"/>
            <w:shd w:val="clear" w:color="auto" w:fill="auto"/>
            <w:noWrap/>
            <w:vAlign w:val="center"/>
            <w:hideMark/>
          </w:tcPr>
          <w:p w14:paraId="1034BF2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0.33</w:t>
            </w:r>
          </w:p>
        </w:tc>
      </w:tr>
      <w:tr w:rsidR="00C7014F" w:rsidRPr="00C7014F" w14:paraId="3683A7DD" w14:textId="77777777" w:rsidTr="008A5ED0">
        <w:trPr>
          <w:trHeight w:val="290"/>
          <w:jc w:val="center"/>
        </w:trPr>
        <w:tc>
          <w:tcPr>
            <w:tcW w:w="1400" w:type="dxa"/>
            <w:shd w:val="clear" w:color="auto" w:fill="auto"/>
            <w:noWrap/>
            <w:vAlign w:val="center"/>
            <w:hideMark/>
          </w:tcPr>
          <w:p w14:paraId="43CA2ECE"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STD</w:t>
            </w:r>
          </w:p>
        </w:tc>
        <w:tc>
          <w:tcPr>
            <w:tcW w:w="864" w:type="dxa"/>
            <w:shd w:val="clear" w:color="auto" w:fill="auto"/>
            <w:noWrap/>
            <w:vAlign w:val="center"/>
            <w:hideMark/>
          </w:tcPr>
          <w:p w14:paraId="3E726E73"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0.43</w:t>
            </w:r>
          </w:p>
        </w:tc>
        <w:tc>
          <w:tcPr>
            <w:tcW w:w="864" w:type="dxa"/>
            <w:shd w:val="clear" w:color="auto" w:fill="auto"/>
            <w:noWrap/>
            <w:vAlign w:val="center"/>
            <w:hideMark/>
          </w:tcPr>
          <w:p w14:paraId="470414E8"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0.56</w:t>
            </w:r>
          </w:p>
        </w:tc>
        <w:tc>
          <w:tcPr>
            <w:tcW w:w="864" w:type="dxa"/>
            <w:shd w:val="clear" w:color="auto" w:fill="auto"/>
            <w:noWrap/>
            <w:vAlign w:val="center"/>
            <w:hideMark/>
          </w:tcPr>
          <w:p w14:paraId="02A2EE0A"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0.45</w:t>
            </w:r>
          </w:p>
        </w:tc>
        <w:tc>
          <w:tcPr>
            <w:tcW w:w="864" w:type="dxa"/>
            <w:shd w:val="clear" w:color="auto" w:fill="auto"/>
            <w:noWrap/>
            <w:vAlign w:val="center"/>
            <w:hideMark/>
          </w:tcPr>
          <w:p w14:paraId="3F929C5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0.56</w:t>
            </w:r>
          </w:p>
        </w:tc>
        <w:tc>
          <w:tcPr>
            <w:tcW w:w="864" w:type="dxa"/>
            <w:shd w:val="clear" w:color="auto" w:fill="auto"/>
            <w:noWrap/>
            <w:vAlign w:val="center"/>
            <w:hideMark/>
          </w:tcPr>
          <w:p w14:paraId="7685BED4"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0.45</w:t>
            </w:r>
          </w:p>
        </w:tc>
        <w:tc>
          <w:tcPr>
            <w:tcW w:w="864" w:type="dxa"/>
            <w:shd w:val="clear" w:color="auto" w:fill="auto"/>
            <w:noWrap/>
            <w:vAlign w:val="center"/>
            <w:hideMark/>
          </w:tcPr>
          <w:p w14:paraId="03F6C574"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0.37</w:t>
            </w:r>
          </w:p>
        </w:tc>
        <w:tc>
          <w:tcPr>
            <w:tcW w:w="864" w:type="dxa"/>
            <w:shd w:val="clear" w:color="auto" w:fill="auto"/>
            <w:noWrap/>
            <w:vAlign w:val="center"/>
            <w:hideMark/>
          </w:tcPr>
          <w:p w14:paraId="2D019F20"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0.40</w:t>
            </w:r>
          </w:p>
        </w:tc>
        <w:tc>
          <w:tcPr>
            <w:tcW w:w="864" w:type="dxa"/>
            <w:shd w:val="clear" w:color="auto" w:fill="auto"/>
            <w:noWrap/>
            <w:vAlign w:val="center"/>
            <w:hideMark/>
          </w:tcPr>
          <w:p w14:paraId="32425A01"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0.42</w:t>
            </w:r>
          </w:p>
        </w:tc>
      </w:tr>
      <w:tr w:rsidR="00C7014F" w:rsidRPr="00C7014F" w14:paraId="5F162FFB" w14:textId="77777777" w:rsidTr="008A5ED0">
        <w:trPr>
          <w:trHeight w:val="290"/>
          <w:jc w:val="center"/>
        </w:trPr>
        <w:tc>
          <w:tcPr>
            <w:tcW w:w="1400" w:type="dxa"/>
            <w:tcBorders>
              <w:bottom w:val="double" w:sz="4" w:space="0" w:color="auto"/>
            </w:tcBorders>
            <w:shd w:val="clear" w:color="auto" w:fill="auto"/>
            <w:noWrap/>
            <w:vAlign w:val="center"/>
            <w:hideMark/>
          </w:tcPr>
          <w:p w14:paraId="73CB9868"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UC</w:t>
            </w:r>
          </w:p>
        </w:tc>
        <w:tc>
          <w:tcPr>
            <w:tcW w:w="864" w:type="dxa"/>
            <w:tcBorders>
              <w:bottom w:val="double" w:sz="4" w:space="0" w:color="auto"/>
            </w:tcBorders>
            <w:shd w:val="clear" w:color="auto" w:fill="auto"/>
            <w:noWrap/>
            <w:vAlign w:val="center"/>
            <w:hideMark/>
          </w:tcPr>
          <w:p w14:paraId="64A2C6CA"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2.92</w:t>
            </w:r>
          </w:p>
        </w:tc>
        <w:tc>
          <w:tcPr>
            <w:tcW w:w="864" w:type="dxa"/>
            <w:tcBorders>
              <w:bottom w:val="double" w:sz="4" w:space="0" w:color="auto"/>
            </w:tcBorders>
            <w:shd w:val="clear" w:color="auto" w:fill="auto"/>
            <w:noWrap/>
            <w:vAlign w:val="center"/>
            <w:hideMark/>
          </w:tcPr>
          <w:p w14:paraId="53B11AB5"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3.01</w:t>
            </w:r>
          </w:p>
        </w:tc>
        <w:tc>
          <w:tcPr>
            <w:tcW w:w="864" w:type="dxa"/>
            <w:tcBorders>
              <w:bottom w:val="double" w:sz="4" w:space="0" w:color="auto"/>
            </w:tcBorders>
            <w:shd w:val="clear" w:color="auto" w:fill="auto"/>
            <w:noWrap/>
            <w:vAlign w:val="center"/>
            <w:hideMark/>
          </w:tcPr>
          <w:p w14:paraId="4C5A7E1A"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2.48</w:t>
            </w:r>
          </w:p>
        </w:tc>
        <w:tc>
          <w:tcPr>
            <w:tcW w:w="864" w:type="dxa"/>
            <w:tcBorders>
              <w:bottom w:val="double" w:sz="4" w:space="0" w:color="auto"/>
            </w:tcBorders>
            <w:shd w:val="clear" w:color="auto" w:fill="auto"/>
            <w:noWrap/>
            <w:vAlign w:val="center"/>
            <w:hideMark/>
          </w:tcPr>
          <w:p w14:paraId="46A477F2"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2.32</w:t>
            </w:r>
          </w:p>
        </w:tc>
        <w:tc>
          <w:tcPr>
            <w:tcW w:w="864" w:type="dxa"/>
            <w:tcBorders>
              <w:bottom w:val="double" w:sz="4" w:space="0" w:color="auto"/>
            </w:tcBorders>
            <w:shd w:val="clear" w:color="auto" w:fill="auto"/>
            <w:noWrap/>
            <w:vAlign w:val="center"/>
            <w:hideMark/>
          </w:tcPr>
          <w:p w14:paraId="2E9A6A36"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2.43</w:t>
            </w:r>
          </w:p>
        </w:tc>
        <w:tc>
          <w:tcPr>
            <w:tcW w:w="864" w:type="dxa"/>
            <w:tcBorders>
              <w:bottom w:val="double" w:sz="4" w:space="0" w:color="auto"/>
            </w:tcBorders>
            <w:shd w:val="clear" w:color="auto" w:fill="auto"/>
            <w:noWrap/>
            <w:vAlign w:val="center"/>
            <w:hideMark/>
          </w:tcPr>
          <w:p w14:paraId="74E977A6"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2.31</w:t>
            </w:r>
          </w:p>
        </w:tc>
        <w:tc>
          <w:tcPr>
            <w:tcW w:w="864" w:type="dxa"/>
            <w:tcBorders>
              <w:bottom w:val="double" w:sz="4" w:space="0" w:color="auto"/>
            </w:tcBorders>
            <w:shd w:val="clear" w:color="auto" w:fill="auto"/>
            <w:noWrap/>
            <w:vAlign w:val="center"/>
            <w:hideMark/>
          </w:tcPr>
          <w:p w14:paraId="3BA019EF"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2.26</w:t>
            </w:r>
          </w:p>
        </w:tc>
        <w:tc>
          <w:tcPr>
            <w:tcW w:w="864" w:type="dxa"/>
            <w:tcBorders>
              <w:bottom w:val="double" w:sz="4" w:space="0" w:color="auto"/>
            </w:tcBorders>
            <w:shd w:val="clear" w:color="auto" w:fill="auto"/>
            <w:noWrap/>
            <w:vAlign w:val="center"/>
            <w:hideMark/>
          </w:tcPr>
          <w:p w14:paraId="080FBEC5" w14:textId="77777777" w:rsidR="00086ECA" w:rsidRPr="00C7014F" w:rsidRDefault="00086ECA" w:rsidP="00086ECA">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2.26</w:t>
            </w:r>
          </w:p>
        </w:tc>
      </w:tr>
      <w:tr w:rsidR="00C7014F" w:rsidRPr="00C7014F" w14:paraId="163F124C" w14:textId="77777777" w:rsidTr="008A5ED0">
        <w:trPr>
          <w:trHeight w:val="290"/>
          <w:jc w:val="center"/>
        </w:trPr>
        <w:tc>
          <w:tcPr>
            <w:tcW w:w="1400" w:type="dxa"/>
            <w:tcBorders>
              <w:top w:val="double" w:sz="4" w:space="0" w:color="auto"/>
              <w:left w:val="single" w:sz="4" w:space="0" w:color="auto"/>
            </w:tcBorders>
            <w:shd w:val="clear" w:color="auto" w:fill="auto"/>
            <w:noWrap/>
            <w:vAlign w:val="center"/>
            <w:hideMark/>
          </w:tcPr>
          <w:p w14:paraId="713B94A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Band</w:t>
            </w:r>
          </w:p>
        </w:tc>
        <w:tc>
          <w:tcPr>
            <w:tcW w:w="864" w:type="dxa"/>
            <w:tcBorders>
              <w:top w:val="double" w:sz="4" w:space="0" w:color="auto"/>
            </w:tcBorders>
            <w:shd w:val="clear" w:color="auto" w:fill="auto"/>
            <w:noWrap/>
            <w:vAlign w:val="center"/>
            <w:hideMark/>
          </w:tcPr>
          <w:p w14:paraId="15C3077D" w14:textId="387375D8"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12</w:t>
            </w:r>
          </w:p>
        </w:tc>
        <w:tc>
          <w:tcPr>
            <w:tcW w:w="864" w:type="dxa"/>
            <w:tcBorders>
              <w:top w:val="double" w:sz="4" w:space="0" w:color="auto"/>
            </w:tcBorders>
            <w:shd w:val="clear" w:color="auto" w:fill="auto"/>
            <w:noWrap/>
            <w:vAlign w:val="center"/>
            <w:hideMark/>
          </w:tcPr>
          <w:p w14:paraId="7603160E" w14:textId="0D78EAE2"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13</w:t>
            </w:r>
          </w:p>
        </w:tc>
        <w:tc>
          <w:tcPr>
            <w:tcW w:w="864" w:type="dxa"/>
            <w:tcBorders>
              <w:top w:val="double" w:sz="4" w:space="0" w:color="auto"/>
            </w:tcBorders>
            <w:shd w:val="clear" w:color="auto" w:fill="auto"/>
            <w:noWrap/>
            <w:vAlign w:val="center"/>
            <w:hideMark/>
          </w:tcPr>
          <w:p w14:paraId="6F721A82" w14:textId="51205F23"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14</w:t>
            </w:r>
          </w:p>
        </w:tc>
        <w:tc>
          <w:tcPr>
            <w:tcW w:w="864" w:type="dxa"/>
            <w:tcBorders>
              <w:top w:val="double" w:sz="4" w:space="0" w:color="auto"/>
            </w:tcBorders>
            <w:shd w:val="clear" w:color="auto" w:fill="auto"/>
            <w:noWrap/>
            <w:vAlign w:val="center"/>
            <w:hideMark/>
          </w:tcPr>
          <w:p w14:paraId="076FDE26" w14:textId="1CBDC6A3"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15</w:t>
            </w:r>
          </w:p>
        </w:tc>
        <w:tc>
          <w:tcPr>
            <w:tcW w:w="864" w:type="dxa"/>
            <w:tcBorders>
              <w:top w:val="double" w:sz="4" w:space="0" w:color="auto"/>
            </w:tcBorders>
            <w:shd w:val="clear" w:color="auto" w:fill="auto"/>
            <w:noWrap/>
            <w:vAlign w:val="center"/>
            <w:hideMark/>
          </w:tcPr>
          <w:p w14:paraId="69AA0117" w14:textId="60E8AA1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16</w:t>
            </w:r>
          </w:p>
        </w:tc>
        <w:tc>
          <w:tcPr>
            <w:tcW w:w="864" w:type="dxa"/>
            <w:tcBorders>
              <w:top w:val="double" w:sz="4" w:space="0" w:color="auto"/>
            </w:tcBorders>
            <w:shd w:val="clear" w:color="auto" w:fill="auto"/>
            <w:noWrap/>
            <w:vAlign w:val="center"/>
            <w:hideMark/>
          </w:tcPr>
          <w:p w14:paraId="39F8AC6B" w14:textId="11DE3325"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17</w:t>
            </w:r>
          </w:p>
        </w:tc>
        <w:tc>
          <w:tcPr>
            <w:tcW w:w="864" w:type="dxa"/>
            <w:tcBorders>
              <w:top w:val="double" w:sz="4" w:space="0" w:color="auto"/>
            </w:tcBorders>
            <w:shd w:val="clear" w:color="auto" w:fill="auto"/>
            <w:noWrap/>
            <w:vAlign w:val="center"/>
            <w:hideMark/>
          </w:tcPr>
          <w:p w14:paraId="13FB4F47" w14:textId="456F6210"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18</w:t>
            </w:r>
          </w:p>
        </w:tc>
        <w:tc>
          <w:tcPr>
            <w:tcW w:w="864" w:type="dxa"/>
            <w:tcBorders>
              <w:top w:val="double" w:sz="4" w:space="0" w:color="auto"/>
              <w:right w:val="single" w:sz="4" w:space="0" w:color="auto"/>
            </w:tcBorders>
            <w:shd w:val="clear" w:color="auto" w:fill="auto"/>
            <w:noWrap/>
            <w:vAlign w:val="center"/>
            <w:hideMark/>
          </w:tcPr>
          <w:p w14:paraId="2B1D186F" w14:textId="0ED2449F"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19</w:t>
            </w:r>
          </w:p>
        </w:tc>
      </w:tr>
      <w:tr w:rsidR="00C7014F" w:rsidRPr="00C7014F" w14:paraId="435D473C" w14:textId="77777777" w:rsidTr="008A5ED0">
        <w:trPr>
          <w:trHeight w:val="290"/>
          <w:jc w:val="center"/>
        </w:trPr>
        <w:tc>
          <w:tcPr>
            <w:tcW w:w="1400" w:type="dxa"/>
            <w:tcBorders>
              <w:left w:val="single" w:sz="4" w:space="0" w:color="auto"/>
            </w:tcBorders>
            <w:shd w:val="clear" w:color="auto" w:fill="auto"/>
            <w:noWrap/>
            <w:vAlign w:val="center"/>
            <w:hideMark/>
          </w:tcPr>
          <w:p w14:paraId="0CADBB63" w14:textId="0F31CDB6"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WL (</w:t>
            </w:r>
            <w:r w:rsidRPr="00C7014F">
              <w:rPr>
                <w:rFonts w:ascii="Symbol" w:eastAsia="Times New Roman" w:hAnsi="Symbol" w:cs="Calibri"/>
                <w:sz w:val="18"/>
                <w:szCs w:val="18"/>
              </w:rPr>
              <w:t></w:t>
            </w:r>
            <w:r w:rsidRPr="00C7014F">
              <w:rPr>
                <w:rFonts w:ascii="Palatino Linotype" w:eastAsia="Times New Roman" w:hAnsi="Palatino Linotype" w:cs="Calibri"/>
                <w:sz w:val="18"/>
                <w:szCs w:val="18"/>
              </w:rPr>
              <w:t>)</w:t>
            </w:r>
          </w:p>
        </w:tc>
        <w:tc>
          <w:tcPr>
            <w:tcW w:w="864" w:type="dxa"/>
            <w:shd w:val="clear" w:color="auto" w:fill="auto"/>
            <w:noWrap/>
            <w:vAlign w:val="center"/>
            <w:hideMark/>
          </w:tcPr>
          <w:p w14:paraId="7FFA8D44" w14:textId="008D8F5E"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0.57</w:t>
            </w:r>
          </w:p>
        </w:tc>
        <w:tc>
          <w:tcPr>
            <w:tcW w:w="864" w:type="dxa"/>
            <w:shd w:val="clear" w:color="auto" w:fill="auto"/>
            <w:noWrap/>
            <w:vAlign w:val="center"/>
            <w:hideMark/>
          </w:tcPr>
          <w:p w14:paraId="4A0A74C5" w14:textId="11540D75"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0.65</w:t>
            </w:r>
          </w:p>
        </w:tc>
        <w:tc>
          <w:tcPr>
            <w:tcW w:w="864" w:type="dxa"/>
            <w:shd w:val="clear" w:color="auto" w:fill="auto"/>
            <w:noWrap/>
            <w:vAlign w:val="center"/>
            <w:hideMark/>
          </w:tcPr>
          <w:p w14:paraId="0E2E8834" w14:textId="4BC3C729"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0.68</w:t>
            </w:r>
          </w:p>
        </w:tc>
        <w:tc>
          <w:tcPr>
            <w:tcW w:w="864" w:type="dxa"/>
            <w:shd w:val="clear" w:color="auto" w:fill="auto"/>
            <w:noWrap/>
            <w:vAlign w:val="center"/>
            <w:hideMark/>
          </w:tcPr>
          <w:p w14:paraId="2A2BF62E" w14:textId="418DECAB"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0.75</w:t>
            </w:r>
          </w:p>
        </w:tc>
        <w:tc>
          <w:tcPr>
            <w:tcW w:w="864" w:type="dxa"/>
            <w:shd w:val="clear" w:color="auto" w:fill="auto"/>
            <w:noWrap/>
            <w:vAlign w:val="center"/>
            <w:hideMark/>
          </w:tcPr>
          <w:p w14:paraId="738FFA88" w14:textId="020E0D12"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0.87</w:t>
            </w:r>
          </w:p>
        </w:tc>
        <w:tc>
          <w:tcPr>
            <w:tcW w:w="864" w:type="dxa"/>
            <w:shd w:val="clear" w:color="auto" w:fill="auto"/>
            <w:noWrap/>
            <w:vAlign w:val="center"/>
            <w:hideMark/>
          </w:tcPr>
          <w:p w14:paraId="758B199B" w14:textId="65A78DF1"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0.91</w:t>
            </w:r>
          </w:p>
        </w:tc>
        <w:tc>
          <w:tcPr>
            <w:tcW w:w="864" w:type="dxa"/>
            <w:shd w:val="clear" w:color="auto" w:fill="auto"/>
            <w:noWrap/>
            <w:vAlign w:val="center"/>
            <w:hideMark/>
          </w:tcPr>
          <w:p w14:paraId="74624638" w14:textId="774D3CF6"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0.94</w:t>
            </w:r>
          </w:p>
        </w:tc>
        <w:tc>
          <w:tcPr>
            <w:tcW w:w="864" w:type="dxa"/>
            <w:tcBorders>
              <w:right w:val="single" w:sz="4" w:space="0" w:color="auto"/>
            </w:tcBorders>
            <w:shd w:val="clear" w:color="auto" w:fill="auto"/>
            <w:noWrap/>
            <w:vAlign w:val="center"/>
            <w:hideMark/>
          </w:tcPr>
          <w:p w14:paraId="792CB65F" w14:textId="58BBCF40"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0.94</w:t>
            </w:r>
          </w:p>
        </w:tc>
      </w:tr>
      <w:tr w:rsidR="00C7014F" w:rsidRPr="00C7014F" w14:paraId="3285F59F" w14:textId="77777777" w:rsidTr="008A5ED0">
        <w:trPr>
          <w:trHeight w:val="290"/>
          <w:jc w:val="center"/>
        </w:trPr>
        <w:tc>
          <w:tcPr>
            <w:tcW w:w="1400" w:type="dxa"/>
            <w:tcBorders>
              <w:left w:val="single" w:sz="4" w:space="0" w:color="auto"/>
            </w:tcBorders>
            <w:shd w:val="clear" w:color="auto" w:fill="auto"/>
            <w:noWrap/>
            <w:vAlign w:val="center"/>
            <w:hideMark/>
          </w:tcPr>
          <w:p w14:paraId="6C8291D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DIF</w:t>
            </w:r>
          </w:p>
        </w:tc>
        <w:tc>
          <w:tcPr>
            <w:tcW w:w="864" w:type="dxa"/>
            <w:shd w:val="clear" w:color="auto" w:fill="auto"/>
            <w:noWrap/>
            <w:vAlign w:val="center"/>
            <w:hideMark/>
          </w:tcPr>
          <w:p w14:paraId="682235DB" w14:textId="0BBBB2BA"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0.09</w:t>
            </w:r>
          </w:p>
        </w:tc>
        <w:tc>
          <w:tcPr>
            <w:tcW w:w="864" w:type="dxa"/>
            <w:shd w:val="clear" w:color="auto" w:fill="auto"/>
            <w:noWrap/>
            <w:vAlign w:val="center"/>
            <w:hideMark/>
          </w:tcPr>
          <w:p w14:paraId="0378EE80" w14:textId="18C2405E"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-1.09</w:t>
            </w:r>
          </w:p>
        </w:tc>
        <w:tc>
          <w:tcPr>
            <w:tcW w:w="864" w:type="dxa"/>
            <w:shd w:val="clear" w:color="auto" w:fill="auto"/>
            <w:noWrap/>
            <w:vAlign w:val="center"/>
            <w:hideMark/>
          </w:tcPr>
          <w:p w14:paraId="5162531B" w14:textId="06B979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-1.90</w:t>
            </w:r>
          </w:p>
        </w:tc>
        <w:tc>
          <w:tcPr>
            <w:tcW w:w="864" w:type="dxa"/>
            <w:shd w:val="clear" w:color="auto" w:fill="auto"/>
            <w:noWrap/>
            <w:vAlign w:val="center"/>
            <w:hideMark/>
          </w:tcPr>
          <w:p w14:paraId="441B0BE6" w14:textId="7B784E02"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-1.34</w:t>
            </w:r>
          </w:p>
        </w:tc>
        <w:tc>
          <w:tcPr>
            <w:tcW w:w="864" w:type="dxa"/>
            <w:shd w:val="clear" w:color="auto" w:fill="auto"/>
            <w:noWrap/>
            <w:vAlign w:val="center"/>
            <w:hideMark/>
          </w:tcPr>
          <w:p w14:paraId="5CA44F45" w14:textId="5B7B2BAD"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-1.63</w:t>
            </w:r>
          </w:p>
        </w:tc>
        <w:tc>
          <w:tcPr>
            <w:tcW w:w="864" w:type="dxa"/>
            <w:shd w:val="clear" w:color="auto" w:fill="auto"/>
            <w:noWrap/>
            <w:vAlign w:val="center"/>
            <w:hideMark/>
          </w:tcPr>
          <w:p w14:paraId="2681E64E" w14:textId="1117C27C"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-0.40</w:t>
            </w:r>
          </w:p>
        </w:tc>
        <w:tc>
          <w:tcPr>
            <w:tcW w:w="864" w:type="dxa"/>
            <w:shd w:val="clear" w:color="auto" w:fill="auto"/>
            <w:noWrap/>
            <w:vAlign w:val="center"/>
            <w:hideMark/>
          </w:tcPr>
          <w:p w14:paraId="606D08D0" w14:textId="4D60083D"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-0.62</w:t>
            </w:r>
          </w:p>
        </w:tc>
        <w:tc>
          <w:tcPr>
            <w:tcW w:w="864" w:type="dxa"/>
            <w:tcBorders>
              <w:right w:val="single" w:sz="4" w:space="0" w:color="auto"/>
            </w:tcBorders>
            <w:shd w:val="clear" w:color="auto" w:fill="auto"/>
            <w:noWrap/>
            <w:vAlign w:val="center"/>
            <w:hideMark/>
          </w:tcPr>
          <w:p w14:paraId="51F80288" w14:textId="57289BD9"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-0.21</w:t>
            </w:r>
          </w:p>
        </w:tc>
      </w:tr>
      <w:tr w:rsidR="00C7014F" w:rsidRPr="00C7014F" w14:paraId="160ED59A" w14:textId="77777777" w:rsidTr="008A5ED0">
        <w:trPr>
          <w:trHeight w:val="290"/>
          <w:jc w:val="center"/>
        </w:trPr>
        <w:tc>
          <w:tcPr>
            <w:tcW w:w="1400" w:type="dxa"/>
            <w:tcBorders>
              <w:left w:val="single" w:sz="4" w:space="0" w:color="auto"/>
            </w:tcBorders>
            <w:shd w:val="clear" w:color="auto" w:fill="auto"/>
            <w:noWrap/>
            <w:vAlign w:val="center"/>
            <w:hideMark/>
          </w:tcPr>
          <w:p w14:paraId="582CA2E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STD</w:t>
            </w:r>
          </w:p>
        </w:tc>
        <w:tc>
          <w:tcPr>
            <w:tcW w:w="864" w:type="dxa"/>
            <w:shd w:val="clear" w:color="auto" w:fill="auto"/>
            <w:noWrap/>
            <w:vAlign w:val="center"/>
            <w:hideMark/>
          </w:tcPr>
          <w:p w14:paraId="4372AFCB" w14:textId="463F61A3"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0.46</w:t>
            </w:r>
          </w:p>
        </w:tc>
        <w:tc>
          <w:tcPr>
            <w:tcW w:w="864" w:type="dxa"/>
            <w:shd w:val="clear" w:color="auto" w:fill="auto"/>
            <w:noWrap/>
            <w:vAlign w:val="center"/>
            <w:hideMark/>
          </w:tcPr>
          <w:p w14:paraId="21CECED9" w14:textId="5213984A"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0.55</w:t>
            </w:r>
          </w:p>
        </w:tc>
        <w:tc>
          <w:tcPr>
            <w:tcW w:w="864" w:type="dxa"/>
            <w:shd w:val="clear" w:color="auto" w:fill="auto"/>
            <w:noWrap/>
            <w:vAlign w:val="center"/>
            <w:hideMark/>
          </w:tcPr>
          <w:p w14:paraId="15E214FB" w14:textId="54A16A03"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0.56</w:t>
            </w:r>
          </w:p>
        </w:tc>
        <w:tc>
          <w:tcPr>
            <w:tcW w:w="864" w:type="dxa"/>
            <w:shd w:val="clear" w:color="auto" w:fill="auto"/>
            <w:noWrap/>
            <w:vAlign w:val="center"/>
            <w:hideMark/>
          </w:tcPr>
          <w:p w14:paraId="1D4B92DD" w14:textId="1C8A8F4A"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0.86</w:t>
            </w:r>
          </w:p>
        </w:tc>
        <w:tc>
          <w:tcPr>
            <w:tcW w:w="864" w:type="dxa"/>
            <w:shd w:val="clear" w:color="auto" w:fill="auto"/>
            <w:noWrap/>
            <w:vAlign w:val="center"/>
            <w:hideMark/>
          </w:tcPr>
          <w:p w14:paraId="774DEC2B" w14:textId="63B01AB5"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0.74</w:t>
            </w:r>
          </w:p>
        </w:tc>
        <w:tc>
          <w:tcPr>
            <w:tcW w:w="864" w:type="dxa"/>
            <w:shd w:val="clear" w:color="auto" w:fill="auto"/>
            <w:noWrap/>
            <w:vAlign w:val="center"/>
            <w:hideMark/>
          </w:tcPr>
          <w:p w14:paraId="036A1D31" w14:textId="199C0F49"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0.41</w:t>
            </w:r>
          </w:p>
        </w:tc>
        <w:tc>
          <w:tcPr>
            <w:tcW w:w="864" w:type="dxa"/>
            <w:shd w:val="clear" w:color="auto" w:fill="auto"/>
            <w:noWrap/>
            <w:vAlign w:val="center"/>
            <w:hideMark/>
          </w:tcPr>
          <w:p w14:paraId="18EEA61D" w14:textId="7A11753C"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0.44</w:t>
            </w:r>
          </w:p>
        </w:tc>
        <w:tc>
          <w:tcPr>
            <w:tcW w:w="864" w:type="dxa"/>
            <w:tcBorders>
              <w:right w:val="single" w:sz="4" w:space="0" w:color="auto"/>
            </w:tcBorders>
            <w:shd w:val="clear" w:color="auto" w:fill="auto"/>
            <w:noWrap/>
            <w:vAlign w:val="center"/>
            <w:hideMark/>
          </w:tcPr>
          <w:p w14:paraId="16675AB0" w14:textId="3ABA416C"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0.41</w:t>
            </w:r>
          </w:p>
        </w:tc>
      </w:tr>
      <w:tr w:rsidR="008A5ED0" w:rsidRPr="00C7014F" w14:paraId="0B9AA962" w14:textId="77777777" w:rsidTr="008A5ED0">
        <w:trPr>
          <w:trHeight w:val="290"/>
          <w:jc w:val="center"/>
        </w:trPr>
        <w:tc>
          <w:tcPr>
            <w:tcW w:w="1400" w:type="dxa"/>
            <w:tcBorders>
              <w:left w:val="single" w:sz="4" w:space="0" w:color="auto"/>
              <w:bottom w:val="single" w:sz="4" w:space="0" w:color="auto"/>
            </w:tcBorders>
            <w:shd w:val="clear" w:color="auto" w:fill="auto"/>
            <w:noWrap/>
            <w:vAlign w:val="center"/>
            <w:hideMark/>
          </w:tcPr>
          <w:p w14:paraId="5225293F"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UC</w:t>
            </w:r>
          </w:p>
        </w:tc>
        <w:tc>
          <w:tcPr>
            <w:tcW w:w="864" w:type="dxa"/>
            <w:tcBorders>
              <w:bottom w:val="single" w:sz="4" w:space="0" w:color="auto"/>
            </w:tcBorders>
            <w:shd w:val="clear" w:color="auto" w:fill="auto"/>
            <w:noWrap/>
            <w:vAlign w:val="center"/>
            <w:hideMark/>
          </w:tcPr>
          <w:p w14:paraId="76AC277B" w14:textId="5F6E6C9E"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2.25</w:t>
            </w:r>
          </w:p>
        </w:tc>
        <w:tc>
          <w:tcPr>
            <w:tcW w:w="864" w:type="dxa"/>
            <w:tcBorders>
              <w:bottom w:val="single" w:sz="4" w:space="0" w:color="auto"/>
            </w:tcBorders>
            <w:shd w:val="clear" w:color="auto" w:fill="auto"/>
            <w:noWrap/>
            <w:vAlign w:val="center"/>
            <w:hideMark/>
          </w:tcPr>
          <w:p w14:paraId="45739278" w14:textId="0BA1C04D"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 </w:t>
            </w:r>
            <w:r w:rsidR="00E60F4A" w:rsidRPr="00C7014F">
              <w:rPr>
                <w:rFonts w:ascii="Palatino Linotype" w:hAnsi="Palatino Linotype" w:cs="Calibri"/>
                <w:sz w:val="18"/>
                <w:szCs w:val="18"/>
              </w:rPr>
              <w:t>2.40</w:t>
            </w:r>
          </w:p>
        </w:tc>
        <w:tc>
          <w:tcPr>
            <w:tcW w:w="864" w:type="dxa"/>
            <w:tcBorders>
              <w:bottom w:val="single" w:sz="4" w:space="0" w:color="auto"/>
            </w:tcBorders>
            <w:shd w:val="clear" w:color="auto" w:fill="auto"/>
            <w:noWrap/>
            <w:vAlign w:val="center"/>
            <w:hideMark/>
          </w:tcPr>
          <w:p w14:paraId="7DC6D7F0" w14:textId="40DF2E20" w:rsidR="008A5ED0" w:rsidRPr="00C7014F" w:rsidRDefault="00E60F4A" w:rsidP="008A5ED0">
            <w:pPr>
              <w:spacing w:after="0" w:line="240" w:lineRule="auto"/>
              <w:jc w:val="center"/>
              <w:rPr>
                <w:rFonts w:ascii="Palatino Linotype" w:eastAsia="Times New Roman" w:hAnsi="Palatino Linotype" w:cs="Times New Roman"/>
                <w:sz w:val="18"/>
                <w:szCs w:val="18"/>
              </w:rPr>
            </w:pPr>
            <w:r w:rsidRPr="00C7014F">
              <w:rPr>
                <w:rFonts w:ascii="Palatino Linotype" w:hAnsi="Palatino Linotype" w:cs="Calibri"/>
                <w:sz w:val="18"/>
                <w:szCs w:val="18"/>
              </w:rPr>
              <w:t>2.41</w:t>
            </w:r>
            <w:r w:rsidR="008A5ED0" w:rsidRPr="00C7014F">
              <w:rPr>
                <w:rFonts w:ascii="Palatino Linotype" w:hAnsi="Palatino Linotype" w:cs="Calibri"/>
                <w:sz w:val="18"/>
                <w:szCs w:val="18"/>
              </w:rPr>
              <w:t> </w:t>
            </w:r>
          </w:p>
        </w:tc>
        <w:tc>
          <w:tcPr>
            <w:tcW w:w="864" w:type="dxa"/>
            <w:tcBorders>
              <w:bottom w:val="single" w:sz="4" w:space="0" w:color="auto"/>
            </w:tcBorders>
            <w:shd w:val="clear" w:color="auto" w:fill="auto"/>
            <w:noWrap/>
            <w:vAlign w:val="center"/>
            <w:hideMark/>
          </w:tcPr>
          <w:p w14:paraId="505703EE" w14:textId="65D45E14" w:rsidR="008A5ED0" w:rsidRPr="00C7014F" w:rsidRDefault="00E60F4A" w:rsidP="008A5ED0">
            <w:pPr>
              <w:spacing w:after="0" w:line="240" w:lineRule="auto"/>
              <w:jc w:val="center"/>
              <w:rPr>
                <w:rFonts w:ascii="Palatino Linotype" w:eastAsia="Times New Roman" w:hAnsi="Palatino Linotype" w:cs="Times New Roman"/>
                <w:sz w:val="18"/>
                <w:szCs w:val="18"/>
              </w:rPr>
            </w:pPr>
            <w:r w:rsidRPr="00C7014F">
              <w:rPr>
                <w:rFonts w:ascii="Palatino Linotype" w:hAnsi="Palatino Linotype" w:cs="Calibri"/>
                <w:sz w:val="18"/>
                <w:szCs w:val="18"/>
              </w:rPr>
              <w:t>2.44</w:t>
            </w:r>
            <w:r w:rsidR="008A5ED0" w:rsidRPr="00C7014F">
              <w:rPr>
                <w:rFonts w:ascii="Palatino Linotype" w:hAnsi="Palatino Linotype" w:cs="Calibri"/>
                <w:sz w:val="18"/>
                <w:szCs w:val="18"/>
              </w:rPr>
              <w:t> </w:t>
            </w:r>
          </w:p>
        </w:tc>
        <w:tc>
          <w:tcPr>
            <w:tcW w:w="864" w:type="dxa"/>
            <w:tcBorders>
              <w:bottom w:val="single" w:sz="4" w:space="0" w:color="auto"/>
            </w:tcBorders>
            <w:shd w:val="clear" w:color="auto" w:fill="auto"/>
            <w:noWrap/>
            <w:vAlign w:val="center"/>
            <w:hideMark/>
          </w:tcPr>
          <w:p w14:paraId="353E911C" w14:textId="25D0134C" w:rsidR="008A5ED0" w:rsidRPr="00C7014F" w:rsidRDefault="008A5ED0" w:rsidP="008A5ED0">
            <w:pPr>
              <w:spacing w:after="0" w:line="240" w:lineRule="auto"/>
              <w:jc w:val="center"/>
              <w:rPr>
                <w:rFonts w:ascii="Palatino Linotype" w:eastAsia="Times New Roman" w:hAnsi="Palatino Linotype" w:cs="Times New Roman"/>
                <w:sz w:val="18"/>
                <w:szCs w:val="18"/>
              </w:rPr>
            </w:pPr>
            <w:r w:rsidRPr="00C7014F">
              <w:rPr>
                <w:rFonts w:ascii="Palatino Linotype" w:hAnsi="Palatino Linotype" w:cs="Calibri"/>
                <w:sz w:val="18"/>
                <w:szCs w:val="18"/>
              </w:rPr>
              <w:t> </w:t>
            </w:r>
            <w:r w:rsidR="00E60F4A" w:rsidRPr="00C7014F">
              <w:rPr>
                <w:rFonts w:ascii="Palatino Linotype" w:hAnsi="Palatino Linotype" w:cs="Calibri"/>
                <w:sz w:val="18"/>
                <w:szCs w:val="18"/>
              </w:rPr>
              <w:t>2.56</w:t>
            </w:r>
          </w:p>
        </w:tc>
        <w:tc>
          <w:tcPr>
            <w:tcW w:w="864" w:type="dxa"/>
            <w:tcBorders>
              <w:bottom w:val="single" w:sz="4" w:space="0" w:color="auto"/>
            </w:tcBorders>
            <w:shd w:val="clear" w:color="auto" w:fill="auto"/>
            <w:noWrap/>
            <w:vAlign w:val="center"/>
            <w:hideMark/>
          </w:tcPr>
          <w:p w14:paraId="3C51BC3C" w14:textId="5A1BF6E2"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2.32</w:t>
            </w:r>
          </w:p>
        </w:tc>
        <w:tc>
          <w:tcPr>
            <w:tcW w:w="864" w:type="dxa"/>
            <w:tcBorders>
              <w:bottom w:val="single" w:sz="4" w:space="0" w:color="auto"/>
            </w:tcBorders>
            <w:shd w:val="clear" w:color="auto" w:fill="auto"/>
            <w:noWrap/>
            <w:vAlign w:val="center"/>
            <w:hideMark/>
          </w:tcPr>
          <w:p w14:paraId="26AF1434" w14:textId="59C2E643"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2.38</w:t>
            </w:r>
          </w:p>
        </w:tc>
        <w:tc>
          <w:tcPr>
            <w:tcW w:w="864" w:type="dxa"/>
            <w:tcBorders>
              <w:bottom w:val="single" w:sz="4" w:space="0" w:color="auto"/>
              <w:right w:val="single" w:sz="4" w:space="0" w:color="auto"/>
            </w:tcBorders>
            <w:shd w:val="clear" w:color="auto" w:fill="auto"/>
            <w:noWrap/>
            <w:vAlign w:val="center"/>
            <w:hideMark/>
          </w:tcPr>
          <w:p w14:paraId="25A6D088" w14:textId="5432F0CA"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2.33</w:t>
            </w:r>
          </w:p>
        </w:tc>
      </w:tr>
    </w:tbl>
    <w:p w14:paraId="02F9837C" w14:textId="77777777" w:rsidR="00FC5C5A" w:rsidRPr="00C7014F" w:rsidRDefault="00FC5C5A" w:rsidP="00FC5C5A">
      <w:pPr>
        <w:spacing w:line="240" w:lineRule="auto"/>
        <w:jc w:val="center"/>
        <w:rPr>
          <w:rFonts w:ascii="Palatino Linotype" w:hAnsi="Palatino Linotype"/>
          <w:sz w:val="20"/>
          <w:szCs w:val="20"/>
        </w:rPr>
      </w:pPr>
    </w:p>
    <w:p w14:paraId="3935CAEB" w14:textId="42852157" w:rsidR="00FC5C5A" w:rsidRPr="00C7014F" w:rsidRDefault="009E40D2" w:rsidP="00FC5C5A">
      <w:pPr>
        <w:spacing w:line="240" w:lineRule="auto"/>
        <w:jc w:val="center"/>
        <w:rPr>
          <w:rFonts w:ascii="Palatino Linotype" w:hAnsi="Palatino Linotype"/>
          <w:sz w:val="20"/>
          <w:szCs w:val="20"/>
        </w:rPr>
      </w:pPr>
      <w:r w:rsidRPr="00C7014F">
        <w:rPr>
          <w:rFonts w:ascii="Palatino Linotype" w:hAnsi="Palatino Linotype"/>
          <w:sz w:val="20"/>
        </w:rPr>
        <w:t xml:space="preserve">Table 4: </w:t>
      </w:r>
      <w:r w:rsidR="009D4DAD" w:rsidRPr="00C7014F">
        <w:rPr>
          <w:rFonts w:ascii="Palatino Linotype" w:hAnsi="Palatino Linotype"/>
          <w:sz w:val="20"/>
        </w:rPr>
        <w:t>Lunar calibration inter-comparison results for SNPP and N20 VIIRS (WL: wavelength; DIF: difference; STD: standard deviation; UC: uncertainty)</w:t>
      </w:r>
    </w:p>
    <w:tbl>
      <w:tblPr>
        <w:tblW w:w="7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960"/>
        <w:gridCol w:w="960"/>
        <w:gridCol w:w="960"/>
        <w:gridCol w:w="960"/>
        <w:gridCol w:w="960"/>
        <w:gridCol w:w="960"/>
      </w:tblGrid>
      <w:tr w:rsidR="00C7014F" w:rsidRPr="00C7014F" w14:paraId="66000BEC" w14:textId="77777777" w:rsidTr="008A5ED0">
        <w:trPr>
          <w:trHeight w:val="310"/>
          <w:jc w:val="center"/>
        </w:trPr>
        <w:tc>
          <w:tcPr>
            <w:tcW w:w="960" w:type="dxa"/>
            <w:shd w:val="clear" w:color="auto" w:fill="auto"/>
            <w:noWrap/>
            <w:vAlign w:val="center"/>
            <w:hideMark/>
          </w:tcPr>
          <w:p w14:paraId="467EEA74"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Band</w:t>
            </w:r>
          </w:p>
        </w:tc>
        <w:tc>
          <w:tcPr>
            <w:tcW w:w="960" w:type="dxa"/>
            <w:shd w:val="clear" w:color="auto" w:fill="auto"/>
            <w:noWrap/>
            <w:vAlign w:val="center"/>
            <w:hideMark/>
          </w:tcPr>
          <w:p w14:paraId="0DF5483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M1</w:t>
            </w:r>
          </w:p>
        </w:tc>
        <w:tc>
          <w:tcPr>
            <w:tcW w:w="960" w:type="dxa"/>
            <w:shd w:val="clear" w:color="auto" w:fill="auto"/>
            <w:noWrap/>
            <w:vAlign w:val="center"/>
            <w:hideMark/>
          </w:tcPr>
          <w:p w14:paraId="15DFF62B"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M2</w:t>
            </w:r>
          </w:p>
        </w:tc>
        <w:tc>
          <w:tcPr>
            <w:tcW w:w="960" w:type="dxa"/>
            <w:shd w:val="clear" w:color="auto" w:fill="auto"/>
            <w:noWrap/>
            <w:vAlign w:val="center"/>
            <w:hideMark/>
          </w:tcPr>
          <w:p w14:paraId="4BF38C1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M3</w:t>
            </w:r>
          </w:p>
        </w:tc>
        <w:tc>
          <w:tcPr>
            <w:tcW w:w="960" w:type="dxa"/>
            <w:shd w:val="clear" w:color="auto" w:fill="auto"/>
            <w:noWrap/>
            <w:vAlign w:val="center"/>
            <w:hideMark/>
          </w:tcPr>
          <w:p w14:paraId="5952183C"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M4</w:t>
            </w:r>
          </w:p>
        </w:tc>
        <w:tc>
          <w:tcPr>
            <w:tcW w:w="960" w:type="dxa"/>
            <w:shd w:val="clear" w:color="auto" w:fill="auto"/>
            <w:noWrap/>
            <w:vAlign w:val="center"/>
            <w:hideMark/>
          </w:tcPr>
          <w:p w14:paraId="3D78936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I1</w:t>
            </w:r>
          </w:p>
        </w:tc>
        <w:tc>
          <w:tcPr>
            <w:tcW w:w="960" w:type="dxa"/>
            <w:shd w:val="clear" w:color="auto" w:fill="auto"/>
            <w:noWrap/>
            <w:vAlign w:val="center"/>
            <w:hideMark/>
          </w:tcPr>
          <w:p w14:paraId="55BAEB6B"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M5</w:t>
            </w:r>
          </w:p>
        </w:tc>
        <w:tc>
          <w:tcPr>
            <w:tcW w:w="960" w:type="dxa"/>
            <w:shd w:val="clear" w:color="auto" w:fill="auto"/>
            <w:noWrap/>
            <w:vAlign w:val="center"/>
            <w:hideMark/>
          </w:tcPr>
          <w:p w14:paraId="7EE6596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M6</w:t>
            </w:r>
          </w:p>
        </w:tc>
      </w:tr>
      <w:tr w:rsidR="00C7014F" w:rsidRPr="00C7014F" w14:paraId="740BACBE" w14:textId="77777777" w:rsidTr="008A5ED0">
        <w:trPr>
          <w:trHeight w:val="300"/>
          <w:jc w:val="center"/>
        </w:trPr>
        <w:tc>
          <w:tcPr>
            <w:tcW w:w="960" w:type="dxa"/>
            <w:shd w:val="clear" w:color="auto" w:fill="auto"/>
            <w:noWrap/>
            <w:vAlign w:val="center"/>
            <w:hideMark/>
          </w:tcPr>
          <w:p w14:paraId="2AD6386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WL (</w:t>
            </w:r>
            <w:r w:rsidRPr="00C7014F">
              <w:rPr>
                <w:rFonts w:ascii="Symbol" w:eastAsia="Times New Roman" w:hAnsi="Symbol" w:cs="Calibri"/>
                <w:sz w:val="18"/>
                <w:szCs w:val="18"/>
              </w:rPr>
              <w:t></w:t>
            </w:r>
            <w:r w:rsidRPr="00C7014F">
              <w:rPr>
                <w:rFonts w:ascii="Palatino Linotype" w:eastAsia="Times New Roman" w:hAnsi="Palatino Linotype" w:cs="Calibri"/>
                <w:sz w:val="18"/>
                <w:szCs w:val="18"/>
              </w:rPr>
              <w:t>)</w:t>
            </w:r>
          </w:p>
        </w:tc>
        <w:tc>
          <w:tcPr>
            <w:tcW w:w="960" w:type="dxa"/>
            <w:shd w:val="clear" w:color="auto" w:fill="auto"/>
            <w:noWrap/>
            <w:vAlign w:val="center"/>
            <w:hideMark/>
          </w:tcPr>
          <w:p w14:paraId="773D73F8"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0.41</w:t>
            </w:r>
          </w:p>
        </w:tc>
        <w:tc>
          <w:tcPr>
            <w:tcW w:w="960" w:type="dxa"/>
            <w:shd w:val="clear" w:color="auto" w:fill="auto"/>
            <w:noWrap/>
            <w:vAlign w:val="center"/>
            <w:hideMark/>
          </w:tcPr>
          <w:p w14:paraId="0B96DAAC"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0.45</w:t>
            </w:r>
          </w:p>
        </w:tc>
        <w:tc>
          <w:tcPr>
            <w:tcW w:w="960" w:type="dxa"/>
            <w:shd w:val="clear" w:color="auto" w:fill="auto"/>
            <w:noWrap/>
            <w:vAlign w:val="center"/>
            <w:hideMark/>
          </w:tcPr>
          <w:p w14:paraId="354FA96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0.49</w:t>
            </w:r>
          </w:p>
        </w:tc>
        <w:tc>
          <w:tcPr>
            <w:tcW w:w="960" w:type="dxa"/>
            <w:shd w:val="clear" w:color="auto" w:fill="auto"/>
            <w:noWrap/>
            <w:vAlign w:val="center"/>
            <w:hideMark/>
          </w:tcPr>
          <w:p w14:paraId="4C23127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0.56</w:t>
            </w:r>
          </w:p>
        </w:tc>
        <w:tc>
          <w:tcPr>
            <w:tcW w:w="960" w:type="dxa"/>
            <w:shd w:val="clear" w:color="auto" w:fill="auto"/>
            <w:noWrap/>
            <w:vAlign w:val="center"/>
            <w:hideMark/>
          </w:tcPr>
          <w:p w14:paraId="78871EBD"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0.64</w:t>
            </w:r>
          </w:p>
        </w:tc>
        <w:tc>
          <w:tcPr>
            <w:tcW w:w="960" w:type="dxa"/>
            <w:shd w:val="clear" w:color="auto" w:fill="auto"/>
            <w:noWrap/>
            <w:vAlign w:val="center"/>
            <w:hideMark/>
          </w:tcPr>
          <w:p w14:paraId="72B3208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0.67</w:t>
            </w:r>
          </w:p>
        </w:tc>
        <w:tc>
          <w:tcPr>
            <w:tcW w:w="960" w:type="dxa"/>
            <w:shd w:val="clear" w:color="auto" w:fill="auto"/>
            <w:noWrap/>
            <w:vAlign w:val="center"/>
            <w:hideMark/>
          </w:tcPr>
          <w:p w14:paraId="5CF3122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0.75</w:t>
            </w:r>
          </w:p>
        </w:tc>
      </w:tr>
      <w:tr w:rsidR="00C7014F" w:rsidRPr="00C7014F" w14:paraId="62E3BED1" w14:textId="77777777" w:rsidTr="008A5ED0">
        <w:trPr>
          <w:trHeight w:val="300"/>
          <w:jc w:val="center"/>
        </w:trPr>
        <w:tc>
          <w:tcPr>
            <w:tcW w:w="960" w:type="dxa"/>
            <w:shd w:val="clear" w:color="auto" w:fill="auto"/>
            <w:noWrap/>
            <w:vAlign w:val="center"/>
            <w:hideMark/>
          </w:tcPr>
          <w:p w14:paraId="7EEEE1A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DIF</w:t>
            </w:r>
          </w:p>
        </w:tc>
        <w:tc>
          <w:tcPr>
            <w:tcW w:w="960" w:type="dxa"/>
            <w:shd w:val="clear" w:color="auto" w:fill="auto"/>
            <w:noWrap/>
            <w:vAlign w:val="center"/>
            <w:hideMark/>
          </w:tcPr>
          <w:p w14:paraId="2D5445A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3.78</w:t>
            </w:r>
          </w:p>
        </w:tc>
        <w:tc>
          <w:tcPr>
            <w:tcW w:w="960" w:type="dxa"/>
            <w:shd w:val="clear" w:color="auto" w:fill="auto"/>
            <w:noWrap/>
            <w:vAlign w:val="center"/>
            <w:hideMark/>
          </w:tcPr>
          <w:p w14:paraId="1500B3C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3.41</w:t>
            </w:r>
          </w:p>
        </w:tc>
        <w:tc>
          <w:tcPr>
            <w:tcW w:w="960" w:type="dxa"/>
            <w:shd w:val="clear" w:color="auto" w:fill="auto"/>
            <w:noWrap/>
            <w:vAlign w:val="center"/>
            <w:hideMark/>
          </w:tcPr>
          <w:p w14:paraId="56FD447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3.09</w:t>
            </w:r>
          </w:p>
        </w:tc>
        <w:tc>
          <w:tcPr>
            <w:tcW w:w="960" w:type="dxa"/>
            <w:shd w:val="clear" w:color="auto" w:fill="auto"/>
            <w:noWrap/>
            <w:vAlign w:val="center"/>
            <w:hideMark/>
          </w:tcPr>
          <w:p w14:paraId="4D38500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3.14</w:t>
            </w:r>
          </w:p>
        </w:tc>
        <w:tc>
          <w:tcPr>
            <w:tcW w:w="960" w:type="dxa"/>
            <w:shd w:val="clear" w:color="auto" w:fill="auto"/>
            <w:noWrap/>
            <w:vAlign w:val="center"/>
            <w:hideMark/>
          </w:tcPr>
          <w:p w14:paraId="04635C1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2.41</w:t>
            </w:r>
          </w:p>
        </w:tc>
        <w:tc>
          <w:tcPr>
            <w:tcW w:w="960" w:type="dxa"/>
            <w:shd w:val="clear" w:color="auto" w:fill="auto"/>
            <w:noWrap/>
            <w:vAlign w:val="center"/>
            <w:hideMark/>
          </w:tcPr>
          <w:p w14:paraId="72CF8FC7"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2.64</w:t>
            </w:r>
          </w:p>
        </w:tc>
        <w:tc>
          <w:tcPr>
            <w:tcW w:w="960" w:type="dxa"/>
            <w:shd w:val="clear" w:color="auto" w:fill="auto"/>
            <w:noWrap/>
            <w:vAlign w:val="center"/>
            <w:hideMark/>
          </w:tcPr>
          <w:p w14:paraId="1FCBA774"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2.89</w:t>
            </w:r>
          </w:p>
        </w:tc>
      </w:tr>
      <w:tr w:rsidR="00C7014F" w:rsidRPr="00C7014F" w14:paraId="2EA6704E" w14:textId="77777777" w:rsidTr="008A5ED0">
        <w:trPr>
          <w:trHeight w:val="300"/>
          <w:jc w:val="center"/>
        </w:trPr>
        <w:tc>
          <w:tcPr>
            <w:tcW w:w="960" w:type="dxa"/>
            <w:shd w:val="clear" w:color="auto" w:fill="auto"/>
            <w:noWrap/>
            <w:vAlign w:val="center"/>
            <w:hideMark/>
          </w:tcPr>
          <w:p w14:paraId="561C422C"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STD</w:t>
            </w:r>
          </w:p>
        </w:tc>
        <w:tc>
          <w:tcPr>
            <w:tcW w:w="960" w:type="dxa"/>
            <w:shd w:val="clear" w:color="auto" w:fill="auto"/>
            <w:noWrap/>
            <w:vAlign w:val="center"/>
            <w:hideMark/>
          </w:tcPr>
          <w:p w14:paraId="1523818E"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0.50</w:t>
            </w:r>
          </w:p>
        </w:tc>
        <w:tc>
          <w:tcPr>
            <w:tcW w:w="960" w:type="dxa"/>
            <w:shd w:val="clear" w:color="auto" w:fill="auto"/>
            <w:noWrap/>
            <w:vAlign w:val="center"/>
            <w:hideMark/>
          </w:tcPr>
          <w:p w14:paraId="0E2DE9D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0.37</w:t>
            </w:r>
          </w:p>
        </w:tc>
        <w:tc>
          <w:tcPr>
            <w:tcW w:w="960" w:type="dxa"/>
            <w:shd w:val="clear" w:color="auto" w:fill="auto"/>
            <w:noWrap/>
            <w:vAlign w:val="center"/>
            <w:hideMark/>
          </w:tcPr>
          <w:p w14:paraId="126FF0D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0.34</w:t>
            </w:r>
          </w:p>
        </w:tc>
        <w:tc>
          <w:tcPr>
            <w:tcW w:w="960" w:type="dxa"/>
            <w:shd w:val="clear" w:color="auto" w:fill="auto"/>
            <w:noWrap/>
            <w:vAlign w:val="center"/>
            <w:hideMark/>
          </w:tcPr>
          <w:p w14:paraId="6B77098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0.33</w:t>
            </w:r>
          </w:p>
        </w:tc>
        <w:tc>
          <w:tcPr>
            <w:tcW w:w="960" w:type="dxa"/>
            <w:shd w:val="clear" w:color="auto" w:fill="auto"/>
            <w:noWrap/>
            <w:vAlign w:val="center"/>
            <w:hideMark/>
          </w:tcPr>
          <w:p w14:paraId="50B533F8"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0.33</w:t>
            </w:r>
          </w:p>
        </w:tc>
        <w:tc>
          <w:tcPr>
            <w:tcW w:w="960" w:type="dxa"/>
            <w:shd w:val="clear" w:color="auto" w:fill="auto"/>
            <w:noWrap/>
            <w:vAlign w:val="center"/>
            <w:hideMark/>
          </w:tcPr>
          <w:p w14:paraId="5297864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0.29</w:t>
            </w:r>
          </w:p>
        </w:tc>
        <w:tc>
          <w:tcPr>
            <w:tcW w:w="960" w:type="dxa"/>
            <w:shd w:val="clear" w:color="auto" w:fill="auto"/>
            <w:noWrap/>
            <w:vAlign w:val="center"/>
            <w:hideMark/>
          </w:tcPr>
          <w:p w14:paraId="1A078C84"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0.28</w:t>
            </w:r>
          </w:p>
        </w:tc>
      </w:tr>
      <w:tr w:rsidR="00C7014F" w:rsidRPr="00C7014F" w14:paraId="7ACDED1C" w14:textId="77777777" w:rsidTr="008A5ED0">
        <w:trPr>
          <w:trHeight w:val="300"/>
          <w:jc w:val="center"/>
        </w:trPr>
        <w:tc>
          <w:tcPr>
            <w:tcW w:w="960" w:type="dxa"/>
            <w:tcBorders>
              <w:bottom w:val="double" w:sz="4" w:space="0" w:color="auto"/>
            </w:tcBorders>
            <w:shd w:val="clear" w:color="auto" w:fill="auto"/>
            <w:noWrap/>
            <w:vAlign w:val="center"/>
            <w:hideMark/>
          </w:tcPr>
          <w:p w14:paraId="422F3DB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UC</w:t>
            </w:r>
          </w:p>
        </w:tc>
        <w:tc>
          <w:tcPr>
            <w:tcW w:w="960" w:type="dxa"/>
            <w:tcBorders>
              <w:bottom w:val="double" w:sz="4" w:space="0" w:color="auto"/>
            </w:tcBorders>
            <w:shd w:val="clear" w:color="auto" w:fill="auto"/>
            <w:noWrap/>
            <w:vAlign w:val="center"/>
            <w:hideMark/>
          </w:tcPr>
          <w:p w14:paraId="295EBBF1"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2.04</w:t>
            </w:r>
          </w:p>
        </w:tc>
        <w:tc>
          <w:tcPr>
            <w:tcW w:w="960" w:type="dxa"/>
            <w:tcBorders>
              <w:bottom w:val="double" w:sz="4" w:space="0" w:color="auto"/>
            </w:tcBorders>
            <w:shd w:val="clear" w:color="auto" w:fill="auto"/>
            <w:noWrap/>
            <w:vAlign w:val="center"/>
            <w:hideMark/>
          </w:tcPr>
          <w:p w14:paraId="325CE411"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2.02</w:t>
            </w:r>
          </w:p>
        </w:tc>
        <w:tc>
          <w:tcPr>
            <w:tcW w:w="960" w:type="dxa"/>
            <w:tcBorders>
              <w:bottom w:val="double" w:sz="4" w:space="0" w:color="auto"/>
            </w:tcBorders>
            <w:shd w:val="clear" w:color="auto" w:fill="auto"/>
            <w:noWrap/>
            <w:vAlign w:val="center"/>
            <w:hideMark/>
          </w:tcPr>
          <w:p w14:paraId="30A6400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1.95</w:t>
            </w:r>
          </w:p>
        </w:tc>
        <w:tc>
          <w:tcPr>
            <w:tcW w:w="960" w:type="dxa"/>
            <w:tcBorders>
              <w:bottom w:val="double" w:sz="4" w:space="0" w:color="auto"/>
            </w:tcBorders>
            <w:shd w:val="clear" w:color="auto" w:fill="auto"/>
            <w:noWrap/>
            <w:vAlign w:val="center"/>
            <w:hideMark/>
          </w:tcPr>
          <w:p w14:paraId="74F272C7"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1.94</w:t>
            </w:r>
          </w:p>
        </w:tc>
        <w:tc>
          <w:tcPr>
            <w:tcW w:w="960" w:type="dxa"/>
            <w:tcBorders>
              <w:bottom w:val="double" w:sz="4" w:space="0" w:color="auto"/>
            </w:tcBorders>
            <w:shd w:val="clear" w:color="auto" w:fill="auto"/>
            <w:noWrap/>
            <w:vAlign w:val="center"/>
            <w:hideMark/>
          </w:tcPr>
          <w:p w14:paraId="142A254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1.91</w:t>
            </w:r>
          </w:p>
        </w:tc>
        <w:tc>
          <w:tcPr>
            <w:tcW w:w="960" w:type="dxa"/>
            <w:tcBorders>
              <w:bottom w:val="double" w:sz="4" w:space="0" w:color="auto"/>
            </w:tcBorders>
            <w:shd w:val="clear" w:color="auto" w:fill="auto"/>
            <w:noWrap/>
            <w:vAlign w:val="center"/>
            <w:hideMark/>
          </w:tcPr>
          <w:p w14:paraId="2FE48DF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1.95</w:t>
            </w:r>
          </w:p>
        </w:tc>
        <w:tc>
          <w:tcPr>
            <w:tcW w:w="960" w:type="dxa"/>
            <w:tcBorders>
              <w:bottom w:val="double" w:sz="4" w:space="0" w:color="auto"/>
            </w:tcBorders>
            <w:shd w:val="clear" w:color="auto" w:fill="auto"/>
            <w:noWrap/>
            <w:vAlign w:val="center"/>
            <w:hideMark/>
          </w:tcPr>
          <w:p w14:paraId="6E27755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2.05</w:t>
            </w:r>
          </w:p>
        </w:tc>
      </w:tr>
      <w:tr w:rsidR="00C7014F" w:rsidRPr="00C7014F" w14:paraId="7035F019" w14:textId="77777777" w:rsidTr="008A5ED0">
        <w:trPr>
          <w:trHeight w:val="310"/>
          <w:jc w:val="center"/>
        </w:trPr>
        <w:tc>
          <w:tcPr>
            <w:tcW w:w="960" w:type="dxa"/>
            <w:tcBorders>
              <w:top w:val="double" w:sz="4" w:space="0" w:color="auto"/>
            </w:tcBorders>
            <w:shd w:val="clear" w:color="auto" w:fill="auto"/>
            <w:noWrap/>
            <w:vAlign w:val="center"/>
            <w:hideMark/>
          </w:tcPr>
          <w:p w14:paraId="490E4F4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Band</w:t>
            </w:r>
          </w:p>
        </w:tc>
        <w:tc>
          <w:tcPr>
            <w:tcW w:w="960" w:type="dxa"/>
            <w:tcBorders>
              <w:top w:val="double" w:sz="4" w:space="0" w:color="auto"/>
            </w:tcBorders>
            <w:shd w:val="clear" w:color="auto" w:fill="auto"/>
            <w:noWrap/>
            <w:vAlign w:val="center"/>
            <w:hideMark/>
          </w:tcPr>
          <w:p w14:paraId="4503ECE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I2</w:t>
            </w:r>
          </w:p>
        </w:tc>
        <w:tc>
          <w:tcPr>
            <w:tcW w:w="960" w:type="dxa"/>
            <w:tcBorders>
              <w:top w:val="double" w:sz="4" w:space="0" w:color="auto"/>
            </w:tcBorders>
            <w:shd w:val="clear" w:color="auto" w:fill="auto"/>
            <w:noWrap/>
            <w:vAlign w:val="center"/>
            <w:hideMark/>
          </w:tcPr>
          <w:p w14:paraId="42A3FD6F"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M7</w:t>
            </w:r>
          </w:p>
        </w:tc>
        <w:tc>
          <w:tcPr>
            <w:tcW w:w="960" w:type="dxa"/>
            <w:tcBorders>
              <w:top w:val="double" w:sz="4" w:space="0" w:color="auto"/>
            </w:tcBorders>
            <w:shd w:val="clear" w:color="auto" w:fill="auto"/>
            <w:noWrap/>
            <w:vAlign w:val="center"/>
            <w:hideMark/>
          </w:tcPr>
          <w:p w14:paraId="283E68E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M8</w:t>
            </w:r>
          </w:p>
        </w:tc>
        <w:tc>
          <w:tcPr>
            <w:tcW w:w="960" w:type="dxa"/>
            <w:tcBorders>
              <w:top w:val="double" w:sz="4" w:space="0" w:color="auto"/>
            </w:tcBorders>
            <w:shd w:val="clear" w:color="auto" w:fill="auto"/>
            <w:noWrap/>
            <w:vAlign w:val="center"/>
            <w:hideMark/>
          </w:tcPr>
          <w:p w14:paraId="7D4B877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M9</w:t>
            </w:r>
          </w:p>
        </w:tc>
        <w:tc>
          <w:tcPr>
            <w:tcW w:w="960" w:type="dxa"/>
            <w:tcBorders>
              <w:top w:val="double" w:sz="4" w:space="0" w:color="auto"/>
            </w:tcBorders>
            <w:shd w:val="clear" w:color="auto" w:fill="auto"/>
            <w:noWrap/>
            <w:vAlign w:val="center"/>
            <w:hideMark/>
          </w:tcPr>
          <w:p w14:paraId="5598AB6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I3</w:t>
            </w:r>
          </w:p>
        </w:tc>
        <w:tc>
          <w:tcPr>
            <w:tcW w:w="960" w:type="dxa"/>
            <w:tcBorders>
              <w:top w:val="double" w:sz="4" w:space="0" w:color="auto"/>
            </w:tcBorders>
            <w:shd w:val="clear" w:color="auto" w:fill="auto"/>
            <w:noWrap/>
            <w:vAlign w:val="center"/>
            <w:hideMark/>
          </w:tcPr>
          <w:p w14:paraId="5CF3AFA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M10</w:t>
            </w:r>
          </w:p>
        </w:tc>
        <w:tc>
          <w:tcPr>
            <w:tcW w:w="960" w:type="dxa"/>
            <w:tcBorders>
              <w:top w:val="double" w:sz="4" w:space="0" w:color="auto"/>
            </w:tcBorders>
            <w:shd w:val="clear" w:color="auto" w:fill="auto"/>
            <w:noWrap/>
            <w:vAlign w:val="center"/>
            <w:hideMark/>
          </w:tcPr>
          <w:p w14:paraId="0BA5BC5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M11</w:t>
            </w:r>
          </w:p>
        </w:tc>
      </w:tr>
      <w:tr w:rsidR="00C7014F" w:rsidRPr="00C7014F" w14:paraId="4153FD24" w14:textId="77777777" w:rsidTr="008A5ED0">
        <w:trPr>
          <w:trHeight w:val="300"/>
          <w:jc w:val="center"/>
        </w:trPr>
        <w:tc>
          <w:tcPr>
            <w:tcW w:w="960" w:type="dxa"/>
            <w:shd w:val="clear" w:color="auto" w:fill="auto"/>
            <w:noWrap/>
            <w:vAlign w:val="center"/>
            <w:hideMark/>
          </w:tcPr>
          <w:p w14:paraId="6048E14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WL (</w:t>
            </w:r>
            <w:r w:rsidRPr="00C7014F">
              <w:rPr>
                <w:rFonts w:ascii="Symbol" w:eastAsia="Times New Roman" w:hAnsi="Symbol" w:cs="Calibri"/>
                <w:sz w:val="18"/>
                <w:szCs w:val="18"/>
              </w:rPr>
              <w:t></w:t>
            </w:r>
            <w:r w:rsidRPr="00C7014F">
              <w:rPr>
                <w:rFonts w:ascii="Palatino Linotype" w:eastAsia="Times New Roman" w:hAnsi="Palatino Linotype" w:cs="Calibri"/>
                <w:sz w:val="18"/>
                <w:szCs w:val="18"/>
              </w:rPr>
              <w:t>)</w:t>
            </w:r>
          </w:p>
        </w:tc>
        <w:tc>
          <w:tcPr>
            <w:tcW w:w="960" w:type="dxa"/>
            <w:shd w:val="clear" w:color="auto" w:fill="auto"/>
            <w:noWrap/>
            <w:vAlign w:val="center"/>
            <w:hideMark/>
          </w:tcPr>
          <w:p w14:paraId="66F70D6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0.87</w:t>
            </w:r>
          </w:p>
        </w:tc>
        <w:tc>
          <w:tcPr>
            <w:tcW w:w="960" w:type="dxa"/>
            <w:shd w:val="clear" w:color="auto" w:fill="auto"/>
            <w:noWrap/>
            <w:vAlign w:val="center"/>
            <w:hideMark/>
          </w:tcPr>
          <w:p w14:paraId="2EC8F8A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0.87</w:t>
            </w:r>
          </w:p>
        </w:tc>
        <w:tc>
          <w:tcPr>
            <w:tcW w:w="960" w:type="dxa"/>
            <w:shd w:val="clear" w:color="auto" w:fill="auto"/>
            <w:noWrap/>
            <w:vAlign w:val="center"/>
            <w:hideMark/>
          </w:tcPr>
          <w:p w14:paraId="6EF75A1B"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1.24</w:t>
            </w:r>
          </w:p>
        </w:tc>
        <w:tc>
          <w:tcPr>
            <w:tcW w:w="960" w:type="dxa"/>
            <w:shd w:val="clear" w:color="auto" w:fill="auto"/>
            <w:noWrap/>
            <w:vAlign w:val="center"/>
            <w:hideMark/>
          </w:tcPr>
          <w:p w14:paraId="2248B64C"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1.38</w:t>
            </w:r>
          </w:p>
        </w:tc>
        <w:tc>
          <w:tcPr>
            <w:tcW w:w="960" w:type="dxa"/>
            <w:shd w:val="clear" w:color="auto" w:fill="auto"/>
            <w:noWrap/>
            <w:vAlign w:val="center"/>
            <w:hideMark/>
          </w:tcPr>
          <w:p w14:paraId="5A86381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1.61</w:t>
            </w:r>
          </w:p>
        </w:tc>
        <w:tc>
          <w:tcPr>
            <w:tcW w:w="960" w:type="dxa"/>
            <w:shd w:val="clear" w:color="auto" w:fill="auto"/>
            <w:noWrap/>
            <w:vAlign w:val="center"/>
            <w:hideMark/>
          </w:tcPr>
          <w:p w14:paraId="6A22597D"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1.61</w:t>
            </w:r>
          </w:p>
        </w:tc>
        <w:tc>
          <w:tcPr>
            <w:tcW w:w="960" w:type="dxa"/>
            <w:shd w:val="clear" w:color="auto" w:fill="auto"/>
            <w:noWrap/>
            <w:vAlign w:val="center"/>
            <w:hideMark/>
          </w:tcPr>
          <w:p w14:paraId="42D004C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2.25</w:t>
            </w:r>
          </w:p>
        </w:tc>
      </w:tr>
      <w:tr w:rsidR="00C7014F" w:rsidRPr="00C7014F" w14:paraId="2D928377" w14:textId="77777777" w:rsidTr="008A5ED0">
        <w:trPr>
          <w:trHeight w:val="300"/>
          <w:jc w:val="center"/>
        </w:trPr>
        <w:tc>
          <w:tcPr>
            <w:tcW w:w="960" w:type="dxa"/>
            <w:shd w:val="clear" w:color="auto" w:fill="auto"/>
            <w:noWrap/>
            <w:vAlign w:val="center"/>
            <w:hideMark/>
          </w:tcPr>
          <w:p w14:paraId="4E23266B"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DIF</w:t>
            </w:r>
          </w:p>
        </w:tc>
        <w:tc>
          <w:tcPr>
            <w:tcW w:w="960" w:type="dxa"/>
            <w:shd w:val="clear" w:color="auto" w:fill="auto"/>
            <w:noWrap/>
            <w:vAlign w:val="center"/>
            <w:hideMark/>
          </w:tcPr>
          <w:p w14:paraId="3585B6A1"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2.93</w:t>
            </w:r>
          </w:p>
        </w:tc>
        <w:tc>
          <w:tcPr>
            <w:tcW w:w="960" w:type="dxa"/>
            <w:shd w:val="clear" w:color="auto" w:fill="auto"/>
            <w:noWrap/>
            <w:vAlign w:val="center"/>
            <w:hideMark/>
          </w:tcPr>
          <w:p w14:paraId="65BC1D9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2.95</w:t>
            </w:r>
          </w:p>
        </w:tc>
        <w:tc>
          <w:tcPr>
            <w:tcW w:w="960" w:type="dxa"/>
            <w:shd w:val="clear" w:color="auto" w:fill="auto"/>
            <w:noWrap/>
            <w:vAlign w:val="center"/>
            <w:hideMark/>
          </w:tcPr>
          <w:p w14:paraId="7CC7572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3.70</w:t>
            </w:r>
          </w:p>
        </w:tc>
        <w:tc>
          <w:tcPr>
            <w:tcW w:w="960" w:type="dxa"/>
            <w:shd w:val="clear" w:color="auto" w:fill="auto"/>
            <w:noWrap/>
            <w:vAlign w:val="center"/>
            <w:hideMark/>
          </w:tcPr>
          <w:p w14:paraId="06669F2D"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2.98</w:t>
            </w:r>
          </w:p>
        </w:tc>
        <w:tc>
          <w:tcPr>
            <w:tcW w:w="960" w:type="dxa"/>
            <w:shd w:val="clear" w:color="auto" w:fill="auto"/>
            <w:noWrap/>
            <w:vAlign w:val="center"/>
            <w:hideMark/>
          </w:tcPr>
          <w:p w14:paraId="29F5438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3.30</w:t>
            </w:r>
          </w:p>
        </w:tc>
        <w:tc>
          <w:tcPr>
            <w:tcW w:w="960" w:type="dxa"/>
            <w:shd w:val="clear" w:color="auto" w:fill="auto"/>
            <w:noWrap/>
            <w:vAlign w:val="center"/>
            <w:hideMark/>
          </w:tcPr>
          <w:p w14:paraId="412BBAFA"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2.56</w:t>
            </w:r>
          </w:p>
        </w:tc>
        <w:tc>
          <w:tcPr>
            <w:tcW w:w="960" w:type="dxa"/>
            <w:shd w:val="clear" w:color="auto" w:fill="auto"/>
            <w:noWrap/>
            <w:vAlign w:val="center"/>
            <w:hideMark/>
          </w:tcPr>
          <w:p w14:paraId="45B0E01D"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2.56</w:t>
            </w:r>
          </w:p>
        </w:tc>
      </w:tr>
      <w:tr w:rsidR="00C7014F" w:rsidRPr="00C7014F" w14:paraId="07DCDAF3" w14:textId="77777777" w:rsidTr="008A5ED0">
        <w:trPr>
          <w:trHeight w:val="300"/>
          <w:jc w:val="center"/>
        </w:trPr>
        <w:tc>
          <w:tcPr>
            <w:tcW w:w="960" w:type="dxa"/>
            <w:shd w:val="clear" w:color="auto" w:fill="auto"/>
            <w:noWrap/>
            <w:vAlign w:val="center"/>
            <w:hideMark/>
          </w:tcPr>
          <w:p w14:paraId="68CA3848"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STD</w:t>
            </w:r>
          </w:p>
        </w:tc>
        <w:tc>
          <w:tcPr>
            <w:tcW w:w="960" w:type="dxa"/>
            <w:shd w:val="clear" w:color="auto" w:fill="auto"/>
            <w:noWrap/>
            <w:vAlign w:val="center"/>
            <w:hideMark/>
          </w:tcPr>
          <w:p w14:paraId="30DE0A02"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0.17</w:t>
            </w:r>
          </w:p>
        </w:tc>
        <w:tc>
          <w:tcPr>
            <w:tcW w:w="960" w:type="dxa"/>
            <w:shd w:val="clear" w:color="auto" w:fill="auto"/>
            <w:noWrap/>
            <w:vAlign w:val="center"/>
            <w:hideMark/>
          </w:tcPr>
          <w:p w14:paraId="5132BF2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0.20</w:t>
            </w:r>
          </w:p>
        </w:tc>
        <w:tc>
          <w:tcPr>
            <w:tcW w:w="960" w:type="dxa"/>
            <w:shd w:val="clear" w:color="auto" w:fill="auto"/>
            <w:noWrap/>
            <w:vAlign w:val="center"/>
            <w:hideMark/>
          </w:tcPr>
          <w:p w14:paraId="22DB04A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0.29</w:t>
            </w:r>
          </w:p>
        </w:tc>
        <w:tc>
          <w:tcPr>
            <w:tcW w:w="960" w:type="dxa"/>
            <w:shd w:val="clear" w:color="auto" w:fill="auto"/>
            <w:noWrap/>
            <w:vAlign w:val="center"/>
            <w:hideMark/>
          </w:tcPr>
          <w:p w14:paraId="474DF57F"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0.33</w:t>
            </w:r>
          </w:p>
        </w:tc>
        <w:tc>
          <w:tcPr>
            <w:tcW w:w="960" w:type="dxa"/>
            <w:shd w:val="clear" w:color="auto" w:fill="auto"/>
            <w:noWrap/>
            <w:vAlign w:val="center"/>
            <w:hideMark/>
          </w:tcPr>
          <w:p w14:paraId="14CFF4E3"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0.31</w:t>
            </w:r>
          </w:p>
        </w:tc>
        <w:tc>
          <w:tcPr>
            <w:tcW w:w="960" w:type="dxa"/>
            <w:shd w:val="clear" w:color="auto" w:fill="auto"/>
            <w:noWrap/>
            <w:vAlign w:val="center"/>
            <w:hideMark/>
          </w:tcPr>
          <w:p w14:paraId="08F26396"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0.32</w:t>
            </w:r>
          </w:p>
        </w:tc>
        <w:tc>
          <w:tcPr>
            <w:tcW w:w="960" w:type="dxa"/>
            <w:shd w:val="clear" w:color="auto" w:fill="auto"/>
            <w:noWrap/>
            <w:vAlign w:val="center"/>
            <w:hideMark/>
          </w:tcPr>
          <w:p w14:paraId="55E33108"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0.45</w:t>
            </w:r>
          </w:p>
        </w:tc>
      </w:tr>
      <w:tr w:rsidR="008A5ED0" w:rsidRPr="00C7014F" w14:paraId="156FD68C" w14:textId="77777777" w:rsidTr="008A5ED0">
        <w:trPr>
          <w:trHeight w:val="300"/>
          <w:jc w:val="center"/>
        </w:trPr>
        <w:tc>
          <w:tcPr>
            <w:tcW w:w="960" w:type="dxa"/>
            <w:shd w:val="clear" w:color="auto" w:fill="auto"/>
            <w:noWrap/>
            <w:vAlign w:val="center"/>
            <w:hideMark/>
          </w:tcPr>
          <w:p w14:paraId="3EC843FD"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UC</w:t>
            </w:r>
          </w:p>
        </w:tc>
        <w:tc>
          <w:tcPr>
            <w:tcW w:w="960" w:type="dxa"/>
            <w:shd w:val="clear" w:color="auto" w:fill="auto"/>
            <w:noWrap/>
            <w:vAlign w:val="center"/>
            <w:hideMark/>
          </w:tcPr>
          <w:p w14:paraId="23E52517"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1.95</w:t>
            </w:r>
          </w:p>
        </w:tc>
        <w:tc>
          <w:tcPr>
            <w:tcW w:w="960" w:type="dxa"/>
            <w:shd w:val="clear" w:color="auto" w:fill="auto"/>
            <w:noWrap/>
            <w:vAlign w:val="center"/>
            <w:hideMark/>
          </w:tcPr>
          <w:p w14:paraId="28CCB794"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1.92</w:t>
            </w:r>
          </w:p>
        </w:tc>
        <w:tc>
          <w:tcPr>
            <w:tcW w:w="960" w:type="dxa"/>
            <w:shd w:val="clear" w:color="auto" w:fill="auto"/>
            <w:noWrap/>
            <w:vAlign w:val="center"/>
            <w:hideMark/>
          </w:tcPr>
          <w:p w14:paraId="50AB6289"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2.02</w:t>
            </w:r>
          </w:p>
        </w:tc>
        <w:tc>
          <w:tcPr>
            <w:tcW w:w="960" w:type="dxa"/>
            <w:shd w:val="clear" w:color="auto" w:fill="auto"/>
            <w:noWrap/>
            <w:vAlign w:val="center"/>
            <w:hideMark/>
          </w:tcPr>
          <w:p w14:paraId="59EFFD55"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2.07</w:t>
            </w:r>
          </w:p>
        </w:tc>
        <w:tc>
          <w:tcPr>
            <w:tcW w:w="960" w:type="dxa"/>
            <w:shd w:val="clear" w:color="auto" w:fill="auto"/>
            <w:noWrap/>
            <w:vAlign w:val="center"/>
            <w:hideMark/>
          </w:tcPr>
          <w:p w14:paraId="66D67E5E"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2.68</w:t>
            </w:r>
          </w:p>
        </w:tc>
        <w:tc>
          <w:tcPr>
            <w:tcW w:w="960" w:type="dxa"/>
            <w:shd w:val="clear" w:color="auto" w:fill="auto"/>
            <w:noWrap/>
            <w:vAlign w:val="center"/>
            <w:hideMark/>
          </w:tcPr>
          <w:p w14:paraId="4DBAC9D8"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2.01</w:t>
            </w:r>
          </w:p>
        </w:tc>
        <w:tc>
          <w:tcPr>
            <w:tcW w:w="960" w:type="dxa"/>
            <w:shd w:val="clear" w:color="auto" w:fill="auto"/>
            <w:noWrap/>
            <w:vAlign w:val="center"/>
            <w:hideMark/>
          </w:tcPr>
          <w:p w14:paraId="11DE3A50" w14:textId="77777777" w:rsidR="008A5ED0" w:rsidRPr="00C7014F" w:rsidRDefault="008A5ED0" w:rsidP="008A5ED0">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2.70</w:t>
            </w:r>
          </w:p>
        </w:tc>
      </w:tr>
    </w:tbl>
    <w:p w14:paraId="5DF5DE4F" w14:textId="77777777" w:rsidR="00FC5C5A" w:rsidRPr="00C7014F" w:rsidRDefault="00FC5C5A" w:rsidP="00FC5C5A">
      <w:pPr>
        <w:spacing w:line="240" w:lineRule="auto"/>
        <w:jc w:val="center"/>
        <w:rPr>
          <w:rFonts w:ascii="Palatino Linotype" w:hAnsi="Palatino Linotype"/>
          <w:sz w:val="20"/>
          <w:szCs w:val="20"/>
        </w:rPr>
      </w:pPr>
    </w:p>
    <w:p w14:paraId="3C5E54BE" w14:textId="3835A4F6" w:rsidR="00FC5C5A" w:rsidRPr="00C7014F" w:rsidRDefault="009E40D2" w:rsidP="009D4DAD">
      <w:pPr>
        <w:spacing w:line="240" w:lineRule="auto"/>
        <w:jc w:val="center"/>
        <w:rPr>
          <w:rFonts w:ascii="Palatino Linotype" w:hAnsi="Palatino Linotype"/>
          <w:sz w:val="20"/>
        </w:rPr>
      </w:pPr>
      <w:r w:rsidRPr="00C7014F">
        <w:rPr>
          <w:rFonts w:ascii="Palatino Linotype" w:hAnsi="Palatino Linotype"/>
          <w:sz w:val="20"/>
          <w:szCs w:val="20"/>
        </w:rPr>
        <w:t>Table 5</w:t>
      </w:r>
      <w:r w:rsidRPr="00C7014F">
        <w:rPr>
          <w:rFonts w:ascii="Palatino Linotype" w:hAnsi="Palatino Linotype"/>
          <w:sz w:val="20"/>
        </w:rPr>
        <w:t xml:space="preserve">: </w:t>
      </w:r>
      <w:r w:rsidR="009D4DAD" w:rsidRPr="00C7014F">
        <w:rPr>
          <w:rFonts w:ascii="Palatino Linotype" w:hAnsi="Palatino Linotype"/>
          <w:sz w:val="20"/>
        </w:rPr>
        <w:t>Lunar calibration inter-comparison results for Aqua MODIS and N20 VIIRS (WL: wavelength; DIF: difference; STD: standard deviation; UC: uncertainty)</w:t>
      </w:r>
    </w:p>
    <w:tbl>
      <w:tblPr>
        <w:tblW w:w="7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90"/>
        <w:gridCol w:w="779"/>
        <w:gridCol w:w="789"/>
        <w:gridCol w:w="789"/>
        <w:gridCol w:w="762"/>
        <w:gridCol w:w="789"/>
        <w:gridCol w:w="789"/>
        <w:gridCol w:w="762"/>
        <w:gridCol w:w="789"/>
      </w:tblGrid>
      <w:tr w:rsidR="00C7014F" w:rsidRPr="00C7014F" w14:paraId="6124F0F7" w14:textId="77777777" w:rsidTr="005301E7">
        <w:trPr>
          <w:trHeight w:val="290"/>
          <w:jc w:val="center"/>
        </w:trPr>
        <w:tc>
          <w:tcPr>
            <w:tcW w:w="900" w:type="dxa"/>
            <w:shd w:val="clear" w:color="auto" w:fill="auto"/>
            <w:noWrap/>
            <w:vAlign w:val="center"/>
            <w:hideMark/>
          </w:tcPr>
          <w:p w14:paraId="34886714" w14:textId="77777777" w:rsidR="004D6959" w:rsidRPr="00C7014F" w:rsidRDefault="004D6959" w:rsidP="004D6959">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Bands</w:t>
            </w:r>
          </w:p>
        </w:tc>
        <w:tc>
          <w:tcPr>
            <w:tcW w:w="690" w:type="dxa"/>
            <w:shd w:val="clear" w:color="auto" w:fill="auto"/>
            <w:noWrap/>
            <w:vAlign w:val="center"/>
            <w:hideMark/>
          </w:tcPr>
          <w:p w14:paraId="6FE73E2F"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8/M1</w:t>
            </w:r>
          </w:p>
        </w:tc>
        <w:tc>
          <w:tcPr>
            <w:tcW w:w="779" w:type="dxa"/>
            <w:shd w:val="clear" w:color="auto" w:fill="auto"/>
            <w:noWrap/>
            <w:vAlign w:val="center"/>
            <w:hideMark/>
          </w:tcPr>
          <w:p w14:paraId="15497BB3"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9/M2</w:t>
            </w:r>
          </w:p>
        </w:tc>
        <w:tc>
          <w:tcPr>
            <w:tcW w:w="789" w:type="dxa"/>
            <w:shd w:val="clear" w:color="auto" w:fill="auto"/>
            <w:noWrap/>
            <w:vAlign w:val="center"/>
            <w:hideMark/>
          </w:tcPr>
          <w:p w14:paraId="3F1B47C9" w14:textId="06EAD9E0" w:rsidR="004D6959" w:rsidRPr="00C7014F" w:rsidRDefault="0091026C"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3</w:t>
            </w:r>
            <w:r w:rsidR="004D6959" w:rsidRPr="00C7014F">
              <w:rPr>
                <w:rFonts w:ascii="Palatino Linotype" w:eastAsia="Times New Roman" w:hAnsi="Palatino Linotype" w:cs="Arial"/>
                <w:sz w:val="18"/>
                <w:szCs w:val="18"/>
              </w:rPr>
              <w:t>/M3</w:t>
            </w:r>
          </w:p>
        </w:tc>
        <w:tc>
          <w:tcPr>
            <w:tcW w:w="789" w:type="dxa"/>
            <w:shd w:val="clear" w:color="auto" w:fill="auto"/>
            <w:noWrap/>
            <w:vAlign w:val="center"/>
            <w:hideMark/>
          </w:tcPr>
          <w:p w14:paraId="149DC7FC" w14:textId="0FC1807E" w:rsidR="004D6959" w:rsidRPr="00C7014F" w:rsidRDefault="0091026C"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4</w:t>
            </w:r>
            <w:r w:rsidR="004D6959" w:rsidRPr="00C7014F">
              <w:rPr>
                <w:rFonts w:ascii="Palatino Linotype" w:eastAsia="Times New Roman" w:hAnsi="Palatino Linotype" w:cs="Arial"/>
                <w:sz w:val="18"/>
                <w:szCs w:val="18"/>
              </w:rPr>
              <w:t>/M4</w:t>
            </w:r>
          </w:p>
        </w:tc>
        <w:tc>
          <w:tcPr>
            <w:tcW w:w="762" w:type="dxa"/>
            <w:shd w:val="clear" w:color="auto" w:fill="auto"/>
            <w:noWrap/>
            <w:vAlign w:val="center"/>
            <w:hideMark/>
          </w:tcPr>
          <w:p w14:paraId="040DB97C"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1/I1</w:t>
            </w:r>
          </w:p>
        </w:tc>
        <w:tc>
          <w:tcPr>
            <w:tcW w:w="789" w:type="dxa"/>
            <w:shd w:val="clear" w:color="auto" w:fill="auto"/>
            <w:noWrap/>
            <w:vAlign w:val="center"/>
            <w:hideMark/>
          </w:tcPr>
          <w:p w14:paraId="1D918099"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13/M5</w:t>
            </w:r>
          </w:p>
        </w:tc>
        <w:tc>
          <w:tcPr>
            <w:tcW w:w="789" w:type="dxa"/>
            <w:shd w:val="clear" w:color="auto" w:fill="auto"/>
            <w:noWrap/>
            <w:vAlign w:val="center"/>
            <w:hideMark/>
          </w:tcPr>
          <w:p w14:paraId="71FF2A0C"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15/M6</w:t>
            </w:r>
          </w:p>
        </w:tc>
        <w:tc>
          <w:tcPr>
            <w:tcW w:w="762" w:type="dxa"/>
            <w:shd w:val="clear" w:color="auto" w:fill="auto"/>
            <w:noWrap/>
            <w:vAlign w:val="center"/>
            <w:hideMark/>
          </w:tcPr>
          <w:p w14:paraId="64FCFE9A"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2/I2</w:t>
            </w:r>
          </w:p>
        </w:tc>
        <w:tc>
          <w:tcPr>
            <w:tcW w:w="789" w:type="dxa"/>
            <w:shd w:val="clear" w:color="auto" w:fill="auto"/>
            <w:noWrap/>
            <w:vAlign w:val="center"/>
            <w:hideMark/>
          </w:tcPr>
          <w:p w14:paraId="58C037AE" w14:textId="77777777" w:rsidR="004D6959" w:rsidRPr="00C7014F" w:rsidRDefault="004D6959" w:rsidP="004D6959">
            <w:pPr>
              <w:spacing w:after="0" w:line="240" w:lineRule="auto"/>
              <w:jc w:val="center"/>
              <w:rPr>
                <w:rFonts w:ascii="Palatino Linotype" w:eastAsia="Times New Roman" w:hAnsi="Palatino Linotype" w:cs="Arial"/>
                <w:sz w:val="18"/>
                <w:szCs w:val="18"/>
              </w:rPr>
            </w:pPr>
            <w:r w:rsidRPr="00C7014F">
              <w:rPr>
                <w:rFonts w:ascii="Palatino Linotype" w:eastAsia="Times New Roman" w:hAnsi="Palatino Linotype" w:cs="Arial"/>
                <w:sz w:val="18"/>
                <w:szCs w:val="18"/>
              </w:rPr>
              <w:t>16/M7</w:t>
            </w:r>
          </w:p>
        </w:tc>
      </w:tr>
      <w:tr w:rsidR="00C7014F" w:rsidRPr="00C7014F" w14:paraId="350CA8C6" w14:textId="77777777" w:rsidTr="00131E32">
        <w:trPr>
          <w:trHeight w:val="290"/>
          <w:jc w:val="center"/>
        </w:trPr>
        <w:tc>
          <w:tcPr>
            <w:tcW w:w="900" w:type="dxa"/>
            <w:shd w:val="clear" w:color="auto" w:fill="auto"/>
            <w:noWrap/>
            <w:vAlign w:val="center"/>
            <w:hideMark/>
          </w:tcPr>
          <w:p w14:paraId="613D1D01"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DIF</w:t>
            </w:r>
          </w:p>
        </w:tc>
        <w:tc>
          <w:tcPr>
            <w:tcW w:w="690" w:type="dxa"/>
            <w:shd w:val="clear" w:color="auto" w:fill="auto"/>
            <w:noWrap/>
            <w:vAlign w:val="center"/>
            <w:hideMark/>
          </w:tcPr>
          <w:p w14:paraId="008E9113"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-0.86</w:t>
            </w:r>
          </w:p>
        </w:tc>
        <w:tc>
          <w:tcPr>
            <w:tcW w:w="779" w:type="dxa"/>
            <w:shd w:val="clear" w:color="auto" w:fill="auto"/>
            <w:noWrap/>
            <w:vAlign w:val="center"/>
            <w:hideMark/>
          </w:tcPr>
          <w:p w14:paraId="786033FB"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0.11</w:t>
            </w:r>
          </w:p>
        </w:tc>
        <w:tc>
          <w:tcPr>
            <w:tcW w:w="789" w:type="dxa"/>
            <w:shd w:val="clear" w:color="auto" w:fill="auto"/>
            <w:noWrap/>
            <w:vAlign w:val="center"/>
            <w:hideMark/>
          </w:tcPr>
          <w:p w14:paraId="1DB7193A" w14:textId="348E6D5A"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-1.73</w:t>
            </w:r>
          </w:p>
        </w:tc>
        <w:tc>
          <w:tcPr>
            <w:tcW w:w="789" w:type="dxa"/>
            <w:shd w:val="clear" w:color="auto" w:fill="auto"/>
            <w:noWrap/>
            <w:vAlign w:val="center"/>
            <w:hideMark/>
          </w:tcPr>
          <w:p w14:paraId="144F7A73" w14:textId="18AC58FD"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-1.17</w:t>
            </w:r>
          </w:p>
        </w:tc>
        <w:tc>
          <w:tcPr>
            <w:tcW w:w="762" w:type="dxa"/>
            <w:shd w:val="clear" w:color="auto" w:fill="auto"/>
            <w:noWrap/>
            <w:vAlign w:val="center"/>
            <w:hideMark/>
          </w:tcPr>
          <w:p w14:paraId="48193FFB"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-2.37</w:t>
            </w:r>
          </w:p>
        </w:tc>
        <w:tc>
          <w:tcPr>
            <w:tcW w:w="789" w:type="dxa"/>
            <w:shd w:val="clear" w:color="auto" w:fill="auto"/>
            <w:noWrap/>
            <w:vAlign w:val="center"/>
            <w:hideMark/>
          </w:tcPr>
          <w:p w14:paraId="0BB84E7D"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0.77</w:t>
            </w:r>
          </w:p>
        </w:tc>
        <w:tc>
          <w:tcPr>
            <w:tcW w:w="789" w:type="dxa"/>
            <w:shd w:val="clear" w:color="auto" w:fill="auto"/>
            <w:noWrap/>
            <w:vAlign w:val="center"/>
            <w:hideMark/>
          </w:tcPr>
          <w:p w14:paraId="38A7BDC5"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0.72</w:t>
            </w:r>
          </w:p>
        </w:tc>
        <w:tc>
          <w:tcPr>
            <w:tcW w:w="762" w:type="dxa"/>
            <w:shd w:val="clear" w:color="auto" w:fill="auto"/>
            <w:noWrap/>
            <w:vAlign w:val="center"/>
            <w:hideMark/>
          </w:tcPr>
          <w:p w14:paraId="1627F66D"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-2.63</w:t>
            </w:r>
          </w:p>
        </w:tc>
        <w:tc>
          <w:tcPr>
            <w:tcW w:w="789" w:type="dxa"/>
            <w:shd w:val="clear" w:color="auto" w:fill="auto"/>
            <w:noWrap/>
            <w:vAlign w:val="center"/>
            <w:hideMark/>
          </w:tcPr>
          <w:p w14:paraId="16256E7F"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r>
      <w:tr w:rsidR="00C7014F" w:rsidRPr="00C7014F" w14:paraId="03F288DC" w14:textId="77777777" w:rsidTr="00131E32">
        <w:trPr>
          <w:trHeight w:val="290"/>
          <w:jc w:val="center"/>
        </w:trPr>
        <w:tc>
          <w:tcPr>
            <w:tcW w:w="900" w:type="dxa"/>
            <w:shd w:val="clear" w:color="auto" w:fill="auto"/>
            <w:noWrap/>
            <w:vAlign w:val="center"/>
            <w:hideMark/>
          </w:tcPr>
          <w:p w14:paraId="41B374F8"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STD</w:t>
            </w:r>
          </w:p>
        </w:tc>
        <w:tc>
          <w:tcPr>
            <w:tcW w:w="690" w:type="dxa"/>
            <w:shd w:val="clear" w:color="auto" w:fill="auto"/>
            <w:noWrap/>
            <w:vAlign w:val="center"/>
            <w:hideMark/>
          </w:tcPr>
          <w:p w14:paraId="1C9B1B0C"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0.51</w:t>
            </w:r>
          </w:p>
        </w:tc>
        <w:tc>
          <w:tcPr>
            <w:tcW w:w="779" w:type="dxa"/>
            <w:shd w:val="clear" w:color="auto" w:fill="auto"/>
            <w:noWrap/>
            <w:vAlign w:val="center"/>
            <w:hideMark/>
          </w:tcPr>
          <w:p w14:paraId="056963BE"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0.39</w:t>
            </w:r>
          </w:p>
        </w:tc>
        <w:tc>
          <w:tcPr>
            <w:tcW w:w="789" w:type="dxa"/>
            <w:shd w:val="clear" w:color="auto" w:fill="auto"/>
            <w:noWrap/>
            <w:vAlign w:val="center"/>
            <w:hideMark/>
          </w:tcPr>
          <w:p w14:paraId="37243555" w14:textId="466E8D9C"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0.40</w:t>
            </w:r>
          </w:p>
        </w:tc>
        <w:tc>
          <w:tcPr>
            <w:tcW w:w="789" w:type="dxa"/>
            <w:shd w:val="clear" w:color="auto" w:fill="auto"/>
            <w:noWrap/>
            <w:vAlign w:val="center"/>
            <w:hideMark/>
          </w:tcPr>
          <w:p w14:paraId="031ED865" w14:textId="7321F8E9"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0.46</w:t>
            </w:r>
          </w:p>
        </w:tc>
        <w:tc>
          <w:tcPr>
            <w:tcW w:w="762" w:type="dxa"/>
            <w:shd w:val="clear" w:color="auto" w:fill="auto"/>
            <w:noWrap/>
            <w:vAlign w:val="center"/>
            <w:hideMark/>
          </w:tcPr>
          <w:p w14:paraId="51605E5A"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0.40</w:t>
            </w:r>
          </w:p>
        </w:tc>
        <w:tc>
          <w:tcPr>
            <w:tcW w:w="789" w:type="dxa"/>
            <w:shd w:val="clear" w:color="auto" w:fill="auto"/>
            <w:noWrap/>
            <w:vAlign w:val="center"/>
            <w:hideMark/>
          </w:tcPr>
          <w:p w14:paraId="79107D5C"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0.52</w:t>
            </w:r>
          </w:p>
        </w:tc>
        <w:tc>
          <w:tcPr>
            <w:tcW w:w="789" w:type="dxa"/>
            <w:shd w:val="clear" w:color="auto" w:fill="auto"/>
            <w:noWrap/>
            <w:vAlign w:val="center"/>
            <w:hideMark/>
          </w:tcPr>
          <w:p w14:paraId="08A61B07"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0.81</w:t>
            </w:r>
          </w:p>
        </w:tc>
        <w:tc>
          <w:tcPr>
            <w:tcW w:w="762" w:type="dxa"/>
            <w:shd w:val="clear" w:color="auto" w:fill="auto"/>
            <w:noWrap/>
            <w:vAlign w:val="center"/>
            <w:hideMark/>
          </w:tcPr>
          <w:p w14:paraId="67677E88"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0.31</w:t>
            </w:r>
          </w:p>
        </w:tc>
        <w:tc>
          <w:tcPr>
            <w:tcW w:w="789" w:type="dxa"/>
            <w:shd w:val="clear" w:color="auto" w:fill="auto"/>
            <w:noWrap/>
            <w:vAlign w:val="center"/>
            <w:hideMark/>
          </w:tcPr>
          <w:p w14:paraId="086E20F2"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0.65</w:t>
            </w:r>
          </w:p>
        </w:tc>
      </w:tr>
      <w:tr w:rsidR="00131E32" w:rsidRPr="00C7014F" w14:paraId="24F0C141" w14:textId="77777777" w:rsidTr="00131E32">
        <w:trPr>
          <w:trHeight w:val="290"/>
          <w:jc w:val="center"/>
        </w:trPr>
        <w:tc>
          <w:tcPr>
            <w:tcW w:w="900" w:type="dxa"/>
            <w:shd w:val="clear" w:color="auto" w:fill="auto"/>
            <w:noWrap/>
            <w:vAlign w:val="center"/>
            <w:hideMark/>
          </w:tcPr>
          <w:p w14:paraId="0A790218" w14:textId="77777777"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UC</w:t>
            </w:r>
          </w:p>
        </w:tc>
        <w:tc>
          <w:tcPr>
            <w:tcW w:w="690" w:type="dxa"/>
            <w:shd w:val="clear" w:color="auto" w:fill="auto"/>
            <w:noWrap/>
            <w:vAlign w:val="center"/>
            <w:hideMark/>
          </w:tcPr>
          <w:p w14:paraId="5F51FF99" w14:textId="40510560"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2.14</w:t>
            </w:r>
          </w:p>
        </w:tc>
        <w:tc>
          <w:tcPr>
            <w:tcW w:w="779" w:type="dxa"/>
            <w:shd w:val="clear" w:color="auto" w:fill="auto"/>
            <w:noWrap/>
            <w:vAlign w:val="center"/>
            <w:hideMark/>
          </w:tcPr>
          <w:p w14:paraId="67C78937" w14:textId="0BCFA54F"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2.07</w:t>
            </w:r>
          </w:p>
        </w:tc>
        <w:tc>
          <w:tcPr>
            <w:tcW w:w="789" w:type="dxa"/>
            <w:shd w:val="clear" w:color="auto" w:fill="auto"/>
            <w:noWrap/>
            <w:vAlign w:val="center"/>
            <w:hideMark/>
          </w:tcPr>
          <w:p w14:paraId="6CE7EDC0" w14:textId="16E7951B"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2.14</w:t>
            </w:r>
          </w:p>
        </w:tc>
        <w:tc>
          <w:tcPr>
            <w:tcW w:w="789" w:type="dxa"/>
            <w:shd w:val="clear" w:color="auto" w:fill="auto"/>
            <w:noWrap/>
            <w:vAlign w:val="center"/>
            <w:hideMark/>
          </w:tcPr>
          <w:p w14:paraId="1898D8BC" w14:textId="0E9B0854"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2.08</w:t>
            </w:r>
          </w:p>
        </w:tc>
        <w:tc>
          <w:tcPr>
            <w:tcW w:w="762" w:type="dxa"/>
            <w:shd w:val="clear" w:color="auto" w:fill="auto"/>
            <w:noWrap/>
            <w:vAlign w:val="center"/>
            <w:hideMark/>
          </w:tcPr>
          <w:p w14:paraId="3ABF730C" w14:textId="2807FDE2"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cs="Calibri"/>
                <w:sz w:val="18"/>
                <w:szCs w:val="18"/>
              </w:rPr>
              <w:t>2.41</w:t>
            </w:r>
          </w:p>
        </w:tc>
        <w:tc>
          <w:tcPr>
            <w:tcW w:w="789" w:type="dxa"/>
            <w:shd w:val="clear" w:color="auto" w:fill="auto"/>
            <w:noWrap/>
            <w:vAlign w:val="center"/>
            <w:hideMark/>
          </w:tcPr>
          <w:p w14:paraId="5DAD6987" w14:textId="1400A699"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sz w:val="18"/>
                <w:szCs w:val="18"/>
              </w:rPr>
              <w:t>2.12</w:t>
            </w:r>
          </w:p>
        </w:tc>
        <w:tc>
          <w:tcPr>
            <w:tcW w:w="789" w:type="dxa"/>
            <w:shd w:val="clear" w:color="auto" w:fill="auto"/>
            <w:noWrap/>
            <w:vAlign w:val="center"/>
            <w:hideMark/>
          </w:tcPr>
          <w:p w14:paraId="60B63589" w14:textId="78040815" w:rsidR="00131E32" w:rsidRPr="00C7014F" w:rsidRDefault="00131E32" w:rsidP="00131E32">
            <w:pPr>
              <w:spacing w:after="0" w:line="240" w:lineRule="auto"/>
              <w:jc w:val="center"/>
              <w:rPr>
                <w:rFonts w:ascii="Palatino Linotype" w:eastAsia="Times New Roman" w:hAnsi="Palatino Linotype" w:cs="Times New Roman"/>
                <w:sz w:val="18"/>
                <w:szCs w:val="18"/>
              </w:rPr>
            </w:pPr>
            <w:r w:rsidRPr="00C7014F">
              <w:rPr>
                <w:rFonts w:ascii="Palatino Linotype" w:hAnsi="Palatino Linotype"/>
                <w:sz w:val="18"/>
                <w:szCs w:val="18"/>
              </w:rPr>
              <w:t>2.17</w:t>
            </w:r>
          </w:p>
        </w:tc>
        <w:tc>
          <w:tcPr>
            <w:tcW w:w="762" w:type="dxa"/>
            <w:shd w:val="clear" w:color="auto" w:fill="auto"/>
            <w:noWrap/>
            <w:vAlign w:val="center"/>
            <w:hideMark/>
          </w:tcPr>
          <w:p w14:paraId="4930AC46" w14:textId="7F787A21"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sz w:val="18"/>
                <w:szCs w:val="18"/>
              </w:rPr>
              <w:t>2.49</w:t>
            </w:r>
          </w:p>
        </w:tc>
        <w:tc>
          <w:tcPr>
            <w:tcW w:w="789" w:type="dxa"/>
            <w:shd w:val="clear" w:color="auto" w:fill="auto"/>
            <w:noWrap/>
            <w:vAlign w:val="center"/>
            <w:hideMark/>
          </w:tcPr>
          <w:p w14:paraId="6B4DDBA9" w14:textId="4BF2429E" w:rsidR="00131E32" w:rsidRPr="00C7014F" w:rsidRDefault="00131E32" w:rsidP="00131E32">
            <w:pPr>
              <w:spacing w:after="0" w:line="240" w:lineRule="auto"/>
              <w:jc w:val="center"/>
              <w:rPr>
                <w:rFonts w:ascii="Palatino Linotype" w:eastAsia="Times New Roman" w:hAnsi="Palatino Linotype" w:cs="Calibri"/>
                <w:sz w:val="18"/>
                <w:szCs w:val="18"/>
              </w:rPr>
            </w:pPr>
            <w:r w:rsidRPr="00C7014F">
              <w:rPr>
                <w:rFonts w:ascii="Palatino Linotype" w:hAnsi="Palatino Linotype"/>
                <w:sz w:val="18"/>
                <w:szCs w:val="18"/>
              </w:rPr>
              <w:t>2.21</w:t>
            </w:r>
          </w:p>
        </w:tc>
      </w:tr>
    </w:tbl>
    <w:p w14:paraId="210B5EFD" w14:textId="77777777" w:rsidR="00FC5C5A" w:rsidRPr="00C7014F" w:rsidRDefault="00FC5C5A" w:rsidP="00FC5C5A">
      <w:pPr>
        <w:spacing w:line="240" w:lineRule="auto"/>
        <w:jc w:val="center"/>
        <w:rPr>
          <w:rFonts w:ascii="Palatino Linotype" w:hAnsi="Palatino Linotype"/>
          <w:sz w:val="20"/>
          <w:szCs w:val="20"/>
        </w:rPr>
      </w:pPr>
    </w:p>
    <w:p w14:paraId="646EA72B" w14:textId="7858839A" w:rsidR="004D7D43" w:rsidRPr="00C7014F" w:rsidRDefault="00C47EA7" w:rsidP="00D642B0">
      <w:pPr>
        <w:spacing w:line="300" w:lineRule="exact"/>
        <w:jc w:val="both"/>
        <w:rPr>
          <w:rFonts w:ascii="Palatino Linotype" w:hAnsi="Palatino Linotype"/>
          <w:sz w:val="20"/>
          <w:szCs w:val="20"/>
        </w:rPr>
      </w:pPr>
      <w:r w:rsidRPr="00C7014F">
        <w:rPr>
          <w:rFonts w:ascii="Palatino Linotype" w:hAnsi="Palatino Linotype"/>
          <w:sz w:val="20"/>
          <w:szCs w:val="20"/>
        </w:rPr>
        <w:t>For Terra and Aqua MODIS</w:t>
      </w:r>
      <w:r w:rsidR="004F69CE" w:rsidRPr="00C7014F">
        <w:rPr>
          <w:rFonts w:ascii="Palatino Linotype" w:hAnsi="Palatino Linotype"/>
          <w:sz w:val="20"/>
          <w:szCs w:val="20"/>
        </w:rPr>
        <w:t>, their</w:t>
      </w:r>
      <w:r w:rsidRPr="00C7014F">
        <w:rPr>
          <w:rFonts w:ascii="Palatino Linotype" w:hAnsi="Palatino Linotype"/>
          <w:sz w:val="20"/>
          <w:szCs w:val="20"/>
        </w:rPr>
        <w:t xml:space="preserve"> lunar calibration inter-comparison</w:t>
      </w:r>
      <w:r w:rsidR="00BB48BA" w:rsidRPr="00C7014F">
        <w:rPr>
          <w:rFonts w:ascii="Palatino Linotype" w:hAnsi="Palatino Linotype"/>
          <w:sz w:val="20"/>
          <w:szCs w:val="20"/>
        </w:rPr>
        <w:t xml:space="preserve"> </w:t>
      </w:r>
      <w:r w:rsidR="004F69CE" w:rsidRPr="00C7014F">
        <w:rPr>
          <w:rFonts w:ascii="Palatino Linotype" w:hAnsi="Palatino Linotype"/>
          <w:sz w:val="20"/>
          <w:szCs w:val="20"/>
        </w:rPr>
        <w:t xml:space="preserve">results </w:t>
      </w:r>
      <w:r w:rsidR="00BB48BA" w:rsidRPr="00C7014F">
        <w:rPr>
          <w:rFonts w:ascii="Palatino Linotype" w:hAnsi="Palatino Linotype"/>
          <w:sz w:val="20"/>
          <w:szCs w:val="20"/>
        </w:rPr>
        <w:t>(Table 3)</w:t>
      </w:r>
      <w:r w:rsidR="004F69CE" w:rsidRPr="00C7014F">
        <w:rPr>
          <w:rFonts w:ascii="Palatino Linotype" w:hAnsi="Palatino Linotype"/>
          <w:sz w:val="20"/>
          <w:szCs w:val="20"/>
        </w:rPr>
        <w:t xml:space="preserve"> indicate that their </w:t>
      </w:r>
      <w:r w:rsidR="00AC74C1" w:rsidRPr="00C7014F">
        <w:rPr>
          <w:rFonts w:ascii="Palatino Linotype" w:hAnsi="Palatino Linotype"/>
          <w:sz w:val="20"/>
          <w:szCs w:val="20"/>
        </w:rPr>
        <w:t xml:space="preserve">on-orbit </w:t>
      </w:r>
      <w:r w:rsidR="004F69CE" w:rsidRPr="00C7014F">
        <w:rPr>
          <w:rFonts w:ascii="Palatino Linotype" w:hAnsi="Palatino Linotype"/>
          <w:sz w:val="20"/>
          <w:szCs w:val="20"/>
        </w:rPr>
        <w:t xml:space="preserve">calibration </w:t>
      </w:r>
      <w:r w:rsidRPr="00C7014F">
        <w:rPr>
          <w:rFonts w:ascii="Palatino Linotype" w:hAnsi="Palatino Linotype"/>
          <w:sz w:val="20"/>
          <w:szCs w:val="20"/>
        </w:rPr>
        <w:t xml:space="preserve">consistency </w:t>
      </w:r>
      <w:r w:rsidR="00FC5C5A" w:rsidRPr="00C7014F">
        <w:rPr>
          <w:rFonts w:ascii="Palatino Linotype" w:hAnsi="Palatino Linotype"/>
          <w:sz w:val="20"/>
          <w:szCs w:val="20"/>
        </w:rPr>
        <w:t>is generally within 1%</w:t>
      </w:r>
      <w:r w:rsidR="002C3AAF" w:rsidRPr="00C7014F">
        <w:rPr>
          <w:rFonts w:ascii="Palatino Linotype" w:hAnsi="Palatino Linotype"/>
          <w:sz w:val="20"/>
          <w:szCs w:val="20"/>
        </w:rPr>
        <w:t xml:space="preserve">, with </w:t>
      </w:r>
      <w:r w:rsidR="009F5E9F" w:rsidRPr="00C7014F">
        <w:rPr>
          <w:rFonts w:ascii="Palatino Linotype" w:hAnsi="Palatino Linotype"/>
          <w:sz w:val="20"/>
          <w:szCs w:val="20"/>
        </w:rPr>
        <w:t>exceptions of a few bands (1, 3, 13-16)</w:t>
      </w:r>
      <w:r w:rsidR="00AC74C1" w:rsidRPr="00C7014F">
        <w:rPr>
          <w:rFonts w:ascii="Palatino Linotype" w:hAnsi="Palatino Linotype"/>
          <w:sz w:val="20"/>
          <w:szCs w:val="20"/>
        </w:rPr>
        <w:t xml:space="preserve"> that are within 2%</w:t>
      </w:r>
      <w:r w:rsidR="009F5E9F" w:rsidRPr="00C7014F">
        <w:rPr>
          <w:rFonts w:ascii="Palatino Linotype" w:hAnsi="Palatino Linotype"/>
          <w:sz w:val="20"/>
          <w:szCs w:val="20"/>
        </w:rPr>
        <w:t xml:space="preserve">. As discussed earlier, </w:t>
      </w:r>
      <w:r w:rsidR="003A374A" w:rsidRPr="00C7014F">
        <w:rPr>
          <w:rFonts w:ascii="Palatino Linotype" w:hAnsi="Palatino Linotype"/>
          <w:sz w:val="20"/>
          <w:szCs w:val="20"/>
        </w:rPr>
        <w:t xml:space="preserve">the </w:t>
      </w:r>
      <w:r w:rsidR="00FC5C5A" w:rsidRPr="00C7014F">
        <w:rPr>
          <w:rFonts w:ascii="Palatino Linotype" w:hAnsi="Palatino Linotype"/>
          <w:sz w:val="20"/>
          <w:szCs w:val="20"/>
        </w:rPr>
        <w:t>high-gain ocean bands (13-16)</w:t>
      </w:r>
      <w:r w:rsidR="009F5E9F" w:rsidRPr="00C7014F">
        <w:rPr>
          <w:rFonts w:ascii="Palatino Linotype" w:hAnsi="Palatino Linotype"/>
          <w:sz w:val="20"/>
          <w:szCs w:val="20"/>
        </w:rPr>
        <w:t xml:space="preserve"> </w:t>
      </w:r>
      <w:r w:rsidRPr="00C7014F">
        <w:rPr>
          <w:rFonts w:ascii="Palatino Linotype" w:hAnsi="Palatino Linotype"/>
          <w:sz w:val="20"/>
          <w:szCs w:val="20"/>
        </w:rPr>
        <w:t xml:space="preserve">have utilized </w:t>
      </w:r>
      <w:r w:rsidR="009F5E9F" w:rsidRPr="00C7014F">
        <w:rPr>
          <w:rFonts w:ascii="Palatino Linotype" w:hAnsi="Palatino Linotype"/>
          <w:sz w:val="20"/>
          <w:szCs w:val="20"/>
        </w:rPr>
        <w:t>a</w:t>
      </w:r>
      <w:r w:rsidRPr="00C7014F">
        <w:rPr>
          <w:rFonts w:ascii="Palatino Linotype" w:hAnsi="Palatino Linotype"/>
          <w:sz w:val="20"/>
          <w:szCs w:val="20"/>
        </w:rPr>
        <w:t xml:space="preserve"> </w:t>
      </w:r>
      <w:r w:rsidR="009F5E9F" w:rsidRPr="00C7014F">
        <w:rPr>
          <w:rFonts w:ascii="Palatino Linotype" w:hAnsi="Palatino Linotype"/>
          <w:sz w:val="20"/>
          <w:szCs w:val="20"/>
        </w:rPr>
        <w:t>correc</w:t>
      </w:r>
      <w:r w:rsidRPr="00C7014F">
        <w:rPr>
          <w:rFonts w:ascii="Palatino Linotype" w:hAnsi="Palatino Linotype"/>
          <w:sz w:val="20"/>
          <w:szCs w:val="20"/>
        </w:rPr>
        <w:t xml:space="preserve">tion </w:t>
      </w:r>
      <w:r w:rsidR="009F5E9F" w:rsidRPr="00C7014F">
        <w:rPr>
          <w:rFonts w:ascii="Palatino Linotype" w:hAnsi="Palatino Linotype"/>
          <w:sz w:val="20"/>
          <w:szCs w:val="20"/>
        </w:rPr>
        <w:t>to mitigate the impact</w:t>
      </w:r>
      <w:r w:rsidRPr="00C7014F">
        <w:rPr>
          <w:rFonts w:ascii="Palatino Linotype" w:hAnsi="Palatino Linotype"/>
          <w:sz w:val="20"/>
          <w:szCs w:val="20"/>
        </w:rPr>
        <w:t xml:space="preserve"> due</w:t>
      </w:r>
      <w:r w:rsidR="001A2B60" w:rsidRPr="00C7014F">
        <w:rPr>
          <w:rFonts w:ascii="Palatino Linotype" w:hAnsi="Palatino Linotype"/>
          <w:sz w:val="20"/>
          <w:szCs w:val="20"/>
        </w:rPr>
        <w:t xml:space="preserve"> to</w:t>
      </w:r>
      <w:r w:rsidRPr="00C7014F">
        <w:rPr>
          <w:rFonts w:ascii="Palatino Linotype" w:hAnsi="Palatino Linotype"/>
          <w:sz w:val="20"/>
          <w:szCs w:val="20"/>
        </w:rPr>
        <w:t xml:space="preserve"> </w:t>
      </w:r>
      <w:r w:rsidR="00AC74C1" w:rsidRPr="00C7014F">
        <w:rPr>
          <w:rFonts w:ascii="Palatino Linotype" w:hAnsi="Palatino Linotype"/>
          <w:sz w:val="20"/>
          <w:szCs w:val="20"/>
        </w:rPr>
        <w:t xml:space="preserve">some </w:t>
      </w:r>
      <w:r w:rsidR="001A2B60" w:rsidRPr="00C7014F">
        <w:rPr>
          <w:rFonts w:ascii="Palatino Linotype" w:hAnsi="Palatino Linotype"/>
          <w:sz w:val="20"/>
          <w:szCs w:val="20"/>
        </w:rPr>
        <w:t>saturat</w:t>
      </w:r>
      <w:r w:rsidR="00AC74C1" w:rsidRPr="00C7014F">
        <w:rPr>
          <w:rFonts w:ascii="Palatino Linotype" w:hAnsi="Palatino Linotype"/>
          <w:sz w:val="20"/>
          <w:szCs w:val="20"/>
        </w:rPr>
        <w:t xml:space="preserve">ed pixels </w:t>
      </w:r>
      <w:r w:rsidRPr="00C7014F">
        <w:rPr>
          <w:rFonts w:ascii="Palatino Linotype" w:hAnsi="Palatino Linotype"/>
          <w:sz w:val="20"/>
          <w:szCs w:val="20"/>
        </w:rPr>
        <w:t xml:space="preserve">in their lunar </w:t>
      </w:r>
      <w:r w:rsidR="001A2B60" w:rsidRPr="00C7014F">
        <w:rPr>
          <w:rFonts w:ascii="Palatino Linotype" w:hAnsi="Palatino Linotype"/>
          <w:sz w:val="20"/>
          <w:szCs w:val="20"/>
        </w:rPr>
        <w:t>images</w:t>
      </w:r>
      <w:r w:rsidR="00E93FE3" w:rsidRPr="00C7014F">
        <w:rPr>
          <w:rFonts w:ascii="Palatino Linotype" w:hAnsi="Palatino Linotype"/>
          <w:sz w:val="20"/>
          <w:szCs w:val="20"/>
        </w:rPr>
        <w:t>.</w:t>
      </w:r>
      <w:r w:rsidR="00E56E21" w:rsidRPr="00C7014F">
        <w:rPr>
          <w:rFonts w:ascii="Palatino Linotype" w:hAnsi="Palatino Linotype"/>
          <w:sz w:val="20"/>
          <w:szCs w:val="20"/>
        </w:rPr>
        <w:t xml:space="preserve"> </w:t>
      </w:r>
      <w:r w:rsidR="00D50440" w:rsidRPr="00C7014F">
        <w:rPr>
          <w:rFonts w:ascii="Palatino Linotype" w:hAnsi="Palatino Linotype"/>
          <w:sz w:val="20"/>
          <w:szCs w:val="20"/>
        </w:rPr>
        <w:t xml:space="preserve">Unlike MODIS, the two VIIRS instruments (Table 4) show noticeably large calibration differences, ranging from </w:t>
      </w:r>
      <w:r w:rsidR="00A359A2" w:rsidRPr="00C7014F">
        <w:rPr>
          <w:rFonts w:ascii="Palatino Linotype" w:hAnsi="Palatino Linotype"/>
          <w:sz w:val="20"/>
          <w:szCs w:val="20"/>
        </w:rPr>
        <w:t xml:space="preserve">2.4 </w:t>
      </w:r>
      <w:r w:rsidR="00D50440" w:rsidRPr="00C7014F">
        <w:rPr>
          <w:rFonts w:ascii="Palatino Linotype" w:hAnsi="Palatino Linotype"/>
          <w:sz w:val="20"/>
          <w:szCs w:val="20"/>
        </w:rPr>
        <w:t>% (I1</w:t>
      </w:r>
      <w:r w:rsidR="00A359A2" w:rsidRPr="00C7014F">
        <w:rPr>
          <w:rFonts w:ascii="Palatino Linotype" w:hAnsi="Palatino Linotype"/>
          <w:sz w:val="20"/>
          <w:szCs w:val="20"/>
        </w:rPr>
        <w:t xml:space="preserve">) to 3.8 </w:t>
      </w:r>
      <w:r w:rsidR="00D50440" w:rsidRPr="00C7014F">
        <w:rPr>
          <w:rFonts w:ascii="Palatino Linotype" w:hAnsi="Palatino Linotype"/>
          <w:sz w:val="20"/>
          <w:szCs w:val="20"/>
        </w:rPr>
        <w:t>% (M1)</w:t>
      </w:r>
      <w:r w:rsidR="009950F8" w:rsidRPr="00C7014F">
        <w:rPr>
          <w:rFonts w:ascii="Palatino Linotype" w:hAnsi="Palatino Linotype"/>
          <w:sz w:val="20"/>
          <w:szCs w:val="20"/>
        </w:rPr>
        <w:t>, with SNPP report</w:t>
      </w:r>
      <w:r w:rsidR="00C82C53" w:rsidRPr="00C7014F">
        <w:rPr>
          <w:rFonts w:ascii="Palatino Linotype" w:hAnsi="Palatino Linotype"/>
          <w:sz w:val="20"/>
          <w:szCs w:val="20"/>
        </w:rPr>
        <w:t>ing</w:t>
      </w:r>
      <w:r w:rsidR="009950F8" w:rsidRPr="00C7014F">
        <w:rPr>
          <w:rFonts w:ascii="Palatino Linotype" w:hAnsi="Palatino Linotype"/>
          <w:sz w:val="20"/>
          <w:szCs w:val="20"/>
        </w:rPr>
        <w:t xml:space="preserve"> higher radiances than N20</w:t>
      </w:r>
      <w:r w:rsidR="00A359A2" w:rsidRPr="00C7014F">
        <w:rPr>
          <w:rFonts w:ascii="Palatino Linotype" w:hAnsi="Palatino Linotype"/>
          <w:sz w:val="20"/>
          <w:szCs w:val="20"/>
        </w:rPr>
        <w:t>. In nearly all cases, the standard deviations in VIIRS lunar measurement time series are smaller than MODIS, indicating a better calibration stability.</w:t>
      </w:r>
      <w:r w:rsidR="00374A9F" w:rsidRPr="00C7014F">
        <w:rPr>
          <w:rFonts w:ascii="Palatino Linotype" w:hAnsi="Palatino Linotype"/>
          <w:sz w:val="20"/>
          <w:szCs w:val="20"/>
        </w:rPr>
        <w:t xml:space="preserve"> Large calibration differences between </w:t>
      </w:r>
      <w:r w:rsidR="008C6774" w:rsidRPr="00C7014F">
        <w:rPr>
          <w:rFonts w:ascii="Palatino Linotype" w:hAnsi="Palatino Linotype"/>
          <w:sz w:val="20"/>
          <w:szCs w:val="20"/>
        </w:rPr>
        <w:t>the</w:t>
      </w:r>
      <w:r w:rsidR="00374A9F" w:rsidRPr="00C7014F">
        <w:rPr>
          <w:rFonts w:ascii="Palatino Linotype" w:hAnsi="Palatino Linotype"/>
          <w:sz w:val="20"/>
          <w:szCs w:val="20"/>
        </w:rPr>
        <w:t xml:space="preserve"> two VIIRS instruments </w:t>
      </w:r>
      <w:r w:rsidR="008C6774" w:rsidRPr="00C7014F">
        <w:rPr>
          <w:rFonts w:ascii="Palatino Linotype" w:hAnsi="Palatino Linotype"/>
          <w:sz w:val="20"/>
          <w:szCs w:val="20"/>
        </w:rPr>
        <w:t>are a known</w:t>
      </w:r>
      <w:r w:rsidR="00374A9F" w:rsidRPr="00C7014F">
        <w:rPr>
          <w:rFonts w:ascii="Palatino Linotype" w:hAnsi="Palatino Linotype"/>
          <w:sz w:val="20"/>
          <w:szCs w:val="20"/>
        </w:rPr>
        <w:t xml:space="preserve"> issue </w:t>
      </w:r>
      <w:r w:rsidR="006751A0" w:rsidRPr="00C7014F">
        <w:rPr>
          <w:rFonts w:ascii="Palatino Linotype" w:hAnsi="Palatino Linotype"/>
          <w:sz w:val="20"/>
          <w:szCs w:val="20"/>
        </w:rPr>
        <w:t xml:space="preserve">found </w:t>
      </w:r>
      <w:r w:rsidR="00374A9F" w:rsidRPr="00C7014F">
        <w:rPr>
          <w:rFonts w:ascii="Palatino Linotype" w:hAnsi="Palatino Linotype"/>
          <w:sz w:val="20"/>
          <w:szCs w:val="20"/>
        </w:rPr>
        <w:t xml:space="preserve">shortly after </w:t>
      </w:r>
      <w:r w:rsidR="006751A0" w:rsidRPr="00C7014F">
        <w:rPr>
          <w:rFonts w:ascii="Palatino Linotype" w:hAnsi="Palatino Linotype"/>
          <w:sz w:val="20"/>
          <w:szCs w:val="20"/>
        </w:rPr>
        <w:t xml:space="preserve">the </w:t>
      </w:r>
      <w:r w:rsidR="00374A9F" w:rsidRPr="00C7014F">
        <w:rPr>
          <w:rFonts w:ascii="Palatino Linotype" w:hAnsi="Palatino Linotype"/>
          <w:sz w:val="20"/>
          <w:szCs w:val="20"/>
        </w:rPr>
        <w:t xml:space="preserve">N20 </w:t>
      </w:r>
      <w:r w:rsidR="006751A0" w:rsidRPr="00C7014F">
        <w:rPr>
          <w:rFonts w:ascii="Palatino Linotype" w:hAnsi="Palatino Linotype"/>
          <w:sz w:val="20"/>
          <w:szCs w:val="20"/>
        </w:rPr>
        <w:t xml:space="preserve">VIIRS </w:t>
      </w:r>
      <w:r w:rsidR="00374A9F" w:rsidRPr="00C7014F">
        <w:rPr>
          <w:rFonts w:ascii="Palatino Linotype" w:hAnsi="Palatino Linotype"/>
          <w:sz w:val="20"/>
          <w:szCs w:val="20"/>
        </w:rPr>
        <w:t xml:space="preserve">began its nominal operation. </w:t>
      </w:r>
      <w:r w:rsidR="00BE1280" w:rsidRPr="00C7014F">
        <w:rPr>
          <w:rFonts w:ascii="Palatino Linotype" w:hAnsi="Palatino Linotype"/>
          <w:sz w:val="20"/>
          <w:szCs w:val="20"/>
        </w:rPr>
        <w:t xml:space="preserve">One of the </w:t>
      </w:r>
      <w:r w:rsidR="006751A0" w:rsidRPr="00C7014F">
        <w:rPr>
          <w:rFonts w:ascii="Palatino Linotype" w:hAnsi="Palatino Linotype"/>
          <w:sz w:val="20"/>
          <w:szCs w:val="20"/>
        </w:rPr>
        <w:t>likely cause</w:t>
      </w:r>
      <w:r w:rsidR="00BE1280" w:rsidRPr="00C7014F">
        <w:rPr>
          <w:rFonts w:ascii="Palatino Linotype" w:hAnsi="Palatino Linotype"/>
          <w:sz w:val="20"/>
          <w:szCs w:val="20"/>
        </w:rPr>
        <w:t>s</w:t>
      </w:r>
      <w:r w:rsidR="006751A0" w:rsidRPr="00C7014F">
        <w:rPr>
          <w:rFonts w:ascii="Palatino Linotype" w:hAnsi="Palatino Linotype"/>
          <w:sz w:val="20"/>
          <w:szCs w:val="20"/>
        </w:rPr>
        <w:t xml:space="preserve"> </w:t>
      </w:r>
      <w:r w:rsidR="00374A9F" w:rsidRPr="00C7014F">
        <w:rPr>
          <w:rFonts w:ascii="Palatino Linotype" w:hAnsi="Palatino Linotype"/>
          <w:sz w:val="20"/>
          <w:szCs w:val="20"/>
        </w:rPr>
        <w:t>is due to error</w:t>
      </w:r>
      <w:r w:rsidR="006751A0" w:rsidRPr="00C7014F">
        <w:rPr>
          <w:rFonts w:ascii="Palatino Linotype" w:hAnsi="Palatino Linotype"/>
          <w:sz w:val="20"/>
          <w:szCs w:val="20"/>
        </w:rPr>
        <w:t>s</w:t>
      </w:r>
      <w:r w:rsidR="00374A9F" w:rsidRPr="00C7014F">
        <w:rPr>
          <w:rFonts w:ascii="Palatino Linotype" w:hAnsi="Palatino Linotype"/>
          <w:sz w:val="20"/>
          <w:szCs w:val="20"/>
        </w:rPr>
        <w:t xml:space="preserve"> not </w:t>
      </w:r>
      <w:r w:rsidR="006751A0" w:rsidRPr="00C7014F">
        <w:rPr>
          <w:rFonts w:ascii="Palatino Linotype" w:hAnsi="Palatino Linotype"/>
          <w:sz w:val="20"/>
          <w:szCs w:val="20"/>
        </w:rPr>
        <w:t xml:space="preserve">identified and </w:t>
      </w:r>
      <w:r w:rsidR="00374A9F" w:rsidRPr="00C7014F">
        <w:rPr>
          <w:rFonts w:ascii="Palatino Linotype" w:hAnsi="Palatino Linotype"/>
          <w:sz w:val="20"/>
          <w:szCs w:val="20"/>
        </w:rPr>
        <w:t>accounted</w:t>
      </w:r>
      <w:r w:rsidR="006751A0" w:rsidRPr="00C7014F">
        <w:rPr>
          <w:rFonts w:ascii="Palatino Linotype" w:hAnsi="Palatino Linotype"/>
          <w:sz w:val="20"/>
          <w:szCs w:val="20"/>
        </w:rPr>
        <w:t xml:space="preserve"> for in pre-launch </w:t>
      </w:r>
      <w:r w:rsidR="00BE1280" w:rsidRPr="00C7014F">
        <w:rPr>
          <w:rFonts w:ascii="Palatino Linotype" w:hAnsi="Palatino Linotype"/>
          <w:sz w:val="20"/>
          <w:szCs w:val="20"/>
        </w:rPr>
        <w:t xml:space="preserve">SD </w:t>
      </w:r>
      <w:r w:rsidR="006751A0" w:rsidRPr="00C7014F">
        <w:rPr>
          <w:rFonts w:ascii="Palatino Linotype" w:hAnsi="Palatino Linotype"/>
          <w:sz w:val="20"/>
          <w:szCs w:val="20"/>
        </w:rPr>
        <w:t>BRF and/or screen transmission measurements</w:t>
      </w:r>
      <w:r w:rsidR="00816E65" w:rsidRPr="00C7014F">
        <w:rPr>
          <w:rFonts w:ascii="Palatino Linotype" w:hAnsi="Palatino Linotype"/>
          <w:sz w:val="20"/>
          <w:szCs w:val="20"/>
        </w:rPr>
        <w:t xml:space="preserve"> [</w:t>
      </w:r>
      <w:r w:rsidR="00E60589" w:rsidRPr="00C7014F">
        <w:rPr>
          <w:rFonts w:ascii="Palatino Linotype" w:hAnsi="Palatino Linotype"/>
          <w:sz w:val="20"/>
          <w:szCs w:val="20"/>
        </w:rPr>
        <w:t>60</w:t>
      </w:r>
      <w:r w:rsidR="00816E65" w:rsidRPr="00C7014F">
        <w:rPr>
          <w:rFonts w:ascii="Palatino Linotype" w:hAnsi="Palatino Linotype"/>
          <w:sz w:val="20"/>
          <w:szCs w:val="20"/>
        </w:rPr>
        <w:t>]</w:t>
      </w:r>
      <w:r w:rsidR="006751A0" w:rsidRPr="00C7014F">
        <w:rPr>
          <w:rFonts w:ascii="Palatino Linotype" w:hAnsi="Palatino Linotype"/>
          <w:sz w:val="20"/>
          <w:szCs w:val="20"/>
        </w:rPr>
        <w:t xml:space="preserve">. </w:t>
      </w:r>
      <w:r w:rsidR="009950F8" w:rsidRPr="00C7014F">
        <w:rPr>
          <w:rFonts w:ascii="Palatino Linotype" w:hAnsi="Palatino Linotype"/>
          <w:sz w:val="20"/>
          <w:szCs w:val="20"/>
        </w:rPr>
        <w:t xml:space="preserve">Table 5 is a summary of calibration inter-comparison results for </w:t>
      </w:r>
      <w:r w:rsidR="00C82C53" w:rsidRPr="00C7014F">
        <w:rPr>
          <w:rFonts w:ascii="Palatino Linotype" w:hAnsi="Palatino Linotype"/>
          <w:sz w:val="20"/>
          <w:szCs w:val="20"/>
        </w:rPr>
        <w:t>several</w:t>
      </w:r>
      <w:r w:rsidR="009950F8" w:rsidRPr="00C7014F">
        <w:rPr>
          <w:rFonts w:ascii="Palatino Linotype" w:hAnsi="Palatino Linotype"/>
          <w:sz w:val="20"/>
          <w:szCs w:val="20"/>
        </w:rPr>
        <w:t xml:space="preserve"> matching </w:t>
      </w:r>
      <w:r w:rsidR="006751A0" w:rsidRPr="00C7014F">
        <w:rPr>
          <w:rFonts w:ascii="Palatino Linotype" w:hAnsi="Palatino Linotype"/>
          <w:sz w:val="20"/>
          <w:szCs w:val="20"/>
        </w:rPr>
        <w:t xml:space="preserve">VIS/NIR </w:t>
      </w:r>
      <w:r w:rsidR="00741B95" w:rsidRPr="00C7014F">
        <w:rPr>
          <w:rFonts w:ascii="Palatino Linotype" w:hAnsi="Palatino Linotype"/>
          <w:sz w:val="20"/>
          <w:szCs w:val="20"/>
        </w:rPr>
        <w:t xml:space="preserve">spectral bands of </w:t>
      </w:r>
      <w:r w:rsidR="009950F8" w:rsidRPr="00C7014F">
        <w:rPr>
          <w:rFonts w:ascii="Palatino Linotype" w:hAnsi="Palatino Linotype"/>
          <w:sz w:val="20"/>
          <w:szCs w:val="20"/>
        </w:rPr>
        <w:t>Aqua MODIS and N20 VIIRS</w:t>
      </w:r>
      <w:r w:rsidR="00741B95" w:rsidRPr="00C7014F">
        <w:rPr>
          <w:rFonts w:ascii="Palatino Linotype" w:hAnsi="Palatino Linotype"/>
          <w:sz w:val="20"/>
          <w:szCs w:val="20"/>
        </w:rPr>
        <w:t xml:space="preserve">. </w:t>
      </w:r>
      <w:r w:rsidR="006751A0" w:rsidRPr="00C7014F">
        <w:rPr>
          <w:rFonts w:ascii="Palatino Linotype" w:hAnsi="Palatino Linotype"/>
          <w:sz w:val="20"/>
          <w:szCs w:val="20"/>
        </w:rPr>
        <w:t xml:space="preserve">The </w:t>
      </w:r>
      <w:r w:rsidR="00741B95" w:rsidRPr="00C7014F">
        <w:rPr>
          <w:rFonts w:ascii="Palatino Linotype" w:hAnsi="Palatino Linotype"/>
          <w:sz w:val="20"/>
          <w:szCs w:val="20"/>
        </w:rPr>
        <w:t>calibration</w:t>
      </w:r>
      <w:r w:rsidR="00FE1232" w:rsidRPr="00C7014F">
        <w:rPr>
          <w:rFonts w:ascii="Palatino Linotype" w:hAnsi="Palatino Linotype"/>
          <w:sz w:val="20"/>
          <w:szCs w:val="20"/>
        </w:rPr>
        <w:t xml:space="preserve"> differences</w:t>
      </w:r>
      <w:r w:rsidR="00741B95" w:rsidRPr="00C7014F">
        <w:rPr>
          <w:rFonts w:ascii="Palatino Linotype" w:hAnsi="Palatino Linotype"/>
          <w:sz w:val="20"/>
          <w:szCs w:val="20"/>
        </w:rPr>
        <w:t xml:space="preserve"> are within 2</w:t>
      </w:r>
      <w:r w:rsidR="004D7D43" w:rsidRPr="00C7014F">
        <w:rPr>
          <w:rFonts w:ascii="Palatino Linotype" w:hAnsi="Palatino Linotype"/>
          <w:sz w:val="20"/>
          <w:szCs w:val="20"/>
        </w:rPr>
        <w:t>%, with the exception of band pairs of 1/I1 and 2/I2 being slightly above 2%.</w:t>
      </w:r>
      <w:r w:rsidR="00741B95" w:rsidRPr="00C7014F">
        <w:rPr>
          <w:rFonts w:ascii="Palatino Linotype" w:hAnsi="Palatino Linotype"/>
          <w:sz w:val="20"/>
          <w:szCs w:val="20"/>
        </w:rPr>
        <w:t xml:space="preserve"> </w:t>
      </w:r>
      <w:r w:rsidR="009849B4" w:rsidRPr="00C7014F">
        <w:rPr>
          <w:rFonts w:ascii="Palatino Linotype" w:hAnsi="Palatino Linotype"/>
          <w:sz w:val="20"/>
          <w:szCs w:val="20"/>
        </w:rPr>
        <w:t>Combining results presented in</w:t>
      </w:r>
      <w:r w:rsidR="00741B95" w:rsidRPr="00C7014F">
        <w:rPr>
          <w:rFonts w:ascii="Palatino Linotype" w:hAnsi="Palatino Linotype"/>
          <w:sz w:val="20"/>
          <w:szCs w:val="20"/>
        </w:rPr>
        <w:t xml:space="preserve"> Tables 3</w:t>
      </w:r>
      <w:r w:rsidR="009849B4" w:rsidRPr="00C7014F">
        <w:rPr>
          <w:rFonts w:ascii="Palatino Linotype" w:hAnsi="Palatino Linotype"/>
          <w:sz w:val="20"/>
          <w:szCs w:val="20"/>
        </w:rPr>
        <w:t>, 4, and 5</w:t>
      </w:r>
      <w:r w:rsidR="00741B95" w:rsidRPr="00C7014F">
        <w:rPr>
          <w:rFonts w:ascii="Palatino Linotype" w:hAnsi="Palatino Linotype"/>
          <w:sz w:val="20"/>
          <w:szCs w:val="20"/>
        </w:rPr>
        <w:t xml:space="preserve">, one can also derive the calibration differences between </w:t>
      </w:r>
      <w:r w:rsidR="00F023C4" w:rsidRPr="00C7014F">
        <w:rPr>
          <w:rFonts w:ascii="Palatino Linotype" w:hAnsi="Palatino Linotype"/>
          <w:sz w:val="20"/>
          <w:szCs w:val="20"/>
        </w:rPr>
        <w:t>Terra</w:t>
      </w:r>
      <w:r w:rsidR="00741B95" w:rsidRPr="00C7014F">
        <w:rPr>
          <w:rFonts w:ascii="Palatino Linotype" w:hAnsi="Palatino Linotype"/>
          <w:sz w:val="20"/>
          <w:szCs w:val="20"/>
        </w:rPr>
        <w:t xml:space="preserve"> MODIS and</w:t>
      </w:r>
      <w:r w:rsidR="00F023C4" w:rsidRPr="00C7014F">
        <w:rPr>
          <w:rFonts w:ascii="Palatino Linotype" w:hAnsi="Palatino Linotype"/>
          <w:sz w:val="20"/>
          <w:szCs w:val="20"/>
        </w:rPr>
        <w:t xml:space="preserve"> N20 </w:t>
      </w:r>
      <w:r w:rsidR="00741B95" w:rsidRPr="00C7014F">
        <w:rPr>
          <w:rFonts w:ascii="Palatino Linotype" w:hAnsi="Palatino Linotype"/>
          <w:sz w:val="20"/>
          <w:szCs w:val="20"/>
        </w:rPr>
        <w:t>VIIRS</w:t>
      </w:r>
      <w:r w:rsidR="00724965" w:rsidRPr="00C7014F">
        <w:rPr>
          <w:rFonts w:ascii="Palatino Linotype" w:hAnsi="Palatino Linotype"/>
          <w:sz w:val="20"/>
          <w:szCs w:val="20"/>
        </w:rPr>
        <w:t xml:space="preserve"> and that </w:t>
      </w:r>
      <w:r w:rsidR="009849B4" w:rsidRPr="00C7014F">
        <w:rPr>
          <w:rFonts w:ascii="Palatino Linotype" w:hAnsi="Palatino Linotype"/>
          <w:sz w:val="20"/>
          <w:szCs w:val="20"/>
        </w:rPr>
        <w:t xml:space="preserve">between Terra (and Aqua) </w:t>
      </w:r>
      <w:r w:rsidR="00724965" w:rsidRPr="00C7014F">
        <w:rPr>
          <w:rFonts w:ascii="Palatino Linotype" w:hAnsi="Palatino Linotype"/>
          <w:sz w:val="20"/>
          <w:szCs w:val="20"/>
        </w:rPr>
        <w:t xml:space="preserve">MODIS </w:t>
      </w:r>
      <w:r w:rsidR="004D7D43" w:rsidRPr="00C7014F">
        <w:rPr>
          <w:rFonts w:ascii="Palatino Linotype" w:hAnsi="Palatino Linotype"/>
          <w:sz w:val="20"/>
          <w:szCs w:val="20"/>
        </w:rPr>
        <w:t>and SNPP VIIRS.</w:t>
      </w:r>
    </w:p>
    <w:p w14:paraId="686F52B0" w14:textId="0C98A716" w:rsidR="006B0403" w:rsidRPr="00C7014F" w:rsidRDefault="004D7D43" w:rsidP="00233DEF">
      <w:pPr>
        <w:spacing w:line="300" w:lineRule="exact"/>
        <w:jc w:val="both"/>
        <w:rPr>
          <w:rFonts w:ascii="Palatino Linotype" w:hAnsi="Palatino Linotype"/>
          <w:sz w:val="20"/>
          <w:szCs w:val="20"/>
        </w:rPr>
      </w:pPr>
      <w:r w:rsidRPr="00C7014F">
        <w:rPr>
          <w:rFonts w:ascii="Palatino Linotype" w:hAnsi="Palatino Linotype"/>
          <w:sz w:val="20"/>
          <w:szCs w:val="20"/>
        </w:rPr>
        <w:t xml:space="preserve">The lunar calibration inter-comparison uncertainties are also reported in Tables 3-5. They are derived </w:t>
      </w:r>
      <w:r w:rsidR="005E2E77" w:rsidRPr="00C7014F">
        <w:rPr>
          <w:rFonts w:ascii="Palatino Linotype" w:hAnsi="Palatino Linotype"/>
          <w:sz w:val="20"/>
          <w:szCs w:val="20"/>
        </w:rPr>
        <w:t xml:space="preserve">based on </w:t>
      </w:r>
      <w:r w:rsidRPr="00C7014F">
        <w:rPr>
          <w:rFonts w:ascii="Palatino Linotype" w:hAnsi="Palatino Linotype"/>
          <w:sz w:val="20"/>
          <w:szCs w:val="20"/>
        </w:rPr>
        <w:t xml:space="preserve">the uncertainties involved in </w:t>
      </w:r>
      <w:r w:rsidR="008820A4" w:rsidRPr="00C7014F">
        <w:rPr>
          <w:rFonts w:ascii="Palatino Linotype" w:hAnsi="Palatino Linotype"/>
          <w:sz w:val="20"/>
          <w:szCs w:val="20"/>
        </w:rPr>
        <w:t>both MODIS and VIIRS lunar</w:t>
      </w:r>
      <w:r w:rsidRPr="00C7014F">
        <w:rPr>
          <w:rFonts w:ascii="Palatino Linotype" w:hAnsi="Palatino Linotype"/>
          <w:sz w:val="20"/>
          <w:szCs w:val="20"/>
        </w:rPr>
        <w:t xml:space="preserve"> irradiance measurements (Eq. 4 and Eq. 8), including the uncertainties of their calibration coefficients (</w:t>
      </w:r>
      <w:r w:rsidRPr="00C7014F">
        <w:rPr>
          <w:rFonts w:ascii="Palatino Linotype" w:hAnsi="Palatino Linotype"/>
          <w:i/>
          <w:sz w:val="20"/>
          <w:szCs w:val="20"/>
        </w:rPr>
        <w:t>m</w:t>
      </w:r>
      <w:r w:rsidRPr="00C7014F">
        <w:rPr>
          <w:rFonts w:ascii="Palatino Linotype" w:hAnsi="Palatino Linotype"/>
          <w:i/>
          <w:sz w:val="20"/>
          <w:szCs w:val="20"/>
          <w:vertAlign w:val="subscript"/>
        </w:rPr>
        <w:t>1</w:t>
      </w:r>
      <w:r w:rsidRPr="00C7014F">
        <w:rPr>
          <w:rFonts w:ascii="Palatino Linotype" w:hAnsi="Palatino Linotype"/>
          <w:sz w:val="20"/>
          <w:szCs w:val="20"/>
        </w:rPr>
        <w:t xml:space="preserve"> for MODIS and </w:t>
      </w:r>
      <w:r w:rsidRPr="00C7014F">
        <w:rPr>
          <w:rFonts w:ascii="Palatino Linotype" w:hAnsi="Palatino Linotype"/>
          <w:i/>
          <w:sz w:val="20"/>
          <w:szCs w:val="20"/>
        </w:rPr>
        <w:t>F</w:t>
      </w:r>
      <w:r w:rsidRPr="00C7014F">
        <w:rPr>
          <w:rFonts w:ascii="Palatino Linotype" w:hAnsi="Palatino Linotype"/>
          <w:sz w:val="20"/>
          <w:szCs w:val="20"/>
        </w:rPr>
        <w:t xml:space="preserve"> for VIIRS), the measurement errors of </w:t>
      </w:r>
      <w:r w:rsidR="00F94B86" w:rsidRPr="00C7014F">
        <w:rPr>
          <w:rFonts w:ascii="Palatino Linotype" w:hAnsi="Palatino Linotype"/>
          <w:sz w:val="20"/>
          <w:szCs w:val="20"/>
        </w:rPr>
        <w:t xml:space="preserve">detectors’ </w:t>
      </w:r>
      <w:r w:rsidRPr="00C7014F">
        <w:rPr>
          <w:rFonts w:ascii="Palatino Linotype" w:hAnsi="Palatino Linotype"/>
          <w:sz w:val="20"/>
          <w:szCs w:val="20"/>
        </w:rPr>
        <w:t xml:space="preserve">lunar responses due to detector SNRs, and the RVS uncertainties (for MODIS). </w:t>
      </w:r>
      <w:r w:rsidR="008820A4" w:rsidRPr="00C7014F">
        <w:rPr>
          <w:rFonts w:ascii="Palatino Linotype" w:hAnsi="Palatino Linotype"/>
          <w:sz w:val="20"/>
          <w:szCs w:val="20"/>
        </w:rPr>
        <w:t>Details of MODIS and VIIRS on-orbit calibration uncertainty assessments can be found in a number of references [</w:t>
      </w:r>
      <w:r w:rsidR="005F7747" w:rsidRPr="00C7014F">
        <w:rPr>
          <w:rFonts w:ascii="Palatino Linotype" w:hAnsi="Palatino Linotype"/>
          <w:sz w:val="20"/>
          <w:szCs w:val="20"/>
        </w:rPr>
        <w:t>61-62</w:t>
      </w:r>
      <w:r w:rsidR="008820A4" w:rsidRPr="00C7014F">
        <w:rPr>
          <w:rFonts w:ascii="Palatino Linotype" w:hAnsi="Palatino Linotype"/>
          <w:sz w:val="20"/>
          <w:szCs w:val="20"/>
        </w:rPr>
        <w:t>]. T</w:t>
      </w:r>
      <w:r w:rsidRPr="00C7014F">
        <w:rPr>
          <w:rFonts w:ascii="Palatino Linotype" w:hAnsi="Palatino Linotype"/>
          <w:sz w:val="20"/>
          <w:szCs w:val="20"/>
        </w:rPr>
        <w:t xml:space="preserve">able 6 </w:t>
      </w:r>
      <w:r w:rsidR="00F94B86" w:rsidRPr="00C7014F">
        <w:rPr>
          <w:rFonts w:ascii="Palatino Linotype" w:hAnsi="Palatino Linotype"/>
          <w:sz w:val="20"/>
          <w:szCs w:val="20"/>
        </w:rPr>
        <w:t>provides</w:t>
      </w:r>
      <w:r w:rsidRPr="00C7014F">
        <w:rPr>
          <w:rFonts w:ascii="Palatino Linotype" w:hAnsi="Palatino Linotype"/>
          <w:sz w:val="20"/>
          <w:szCs w:val="20"/>
        </w:rPr>
        <w:t xml:space="preserve"> the uncertainties </w:t>
      </w:r>
      <w:r w:rsidR="008820A4" w:rsidRPr="00C7014F">
        <w:rPr>
          <w:rFonts w:ascii="Palatino Linotype" w:hAnsi="Palatino Linotype"/>
          <w:sz w:val="20"/>
          <w:szCs w:val="20"/>
        </w:rPr>
        <w:t>involved in the MODIS</w:t>
      </w:r>
      <w:r w:rsidRPr="00C7014F">
        <w:rPr>
          <w:rFonts w:ascii="Palatino Linotype" w:hAnsi="Palatino Linotype"/>
          <w:sz w:val="20"/>
          <w:szCs w:val="20"/>
        </w:rPr>
        <w:t xml:space="preserve"> lunar irradiance measurements. </w:t>
      </w:r>
      <w:r w:rsidR="008820A4" w:rsidRPr="00C7014F">
        <w:rPr>
          <w:rFonts w:ascii="Palatino Linotype" w:hAnsi="Palatino Linotype"/>
          <w:sz w:val="20"/>
          <w:szCs w:val="20"/>
        </w:rPr>
        <w:t xml:space="preserve">The </w:t>
      </w:r>
      <w:r w:rsidRPr="00C7014F">
        <w:rPr>
          <w:rFonts w:ascii="Palatino Linotype" w:hAnsi="Palatino Linotype"/>
          <w:sz w:val="20"/>
          <w:szCs w:val="20"/>
        </w:rPr>
        <w:t xml:space="preserve">U1 </w:t>
      </w:r>
      <w:r w:rsidR="008820A4" w:rsidRPr="00C7014F">
        <w:rPr>
          <w:rFonts w:ascii="Palatino Linotype" w:hAnsi="Palatino Linotype"/>
          <w:sz w:val="20"/>
          <w:szCs w:val="20"/>
        </w:rPr>
        <w:t xml:space="preserve">term </w:t>
      </w:r>
      <w:r w:rsidRPr="00C7014F">
        <w:rPr>
          <w:rFonts w:ascii="Palatino Linotype" w:hAnsi="Palatino Linotype"/>
          <w:sz w:val="20"/>
          <w:szCs w:val="20"/>
        </w:rPr>
        <w:t xml:space="preserve">is </w:t>
      </w:r>
      <w:r w:rsidR="008820A4" w:rsidRPr="00C7014F">
        <w:rPr>
          <w:rFonts w:ascii="Palatino Linotype" w:hAnsi="Palatino Linotype"/>
          <w:sz w:val="20"/>
          <w:szCs w:val="20"/>
        </w:rPr>
        <w:t>the uncertainty in the on-orbit</w:t>
      </w:r>
      <w:r w:rsidRPr="00C7014F">
        <w:rPr>
          <w:rFonts w:ascii="Palatino Linotype" w:hAnsi="Palatino Linotype"/>
          <w:sz w:val="20"/>
          <w:szCs w:val="20"/>
        </w:rPr>
        <w:t xml:space="preserve"> calibration coefficients and includes the uncertainties of SD BRF characterization, its on-orbit degradation, and SD screen transmission. The U2 term is </w:t>
      </w:r>
      <w:r w:rsidR="008820A4" w:rsidRPr="00C7014F">
        <w:rPr>
          <w:rFonts w:ascii="Palatino Linotype" w:hAnsi="Palatino Linotype"/>
          <w:sz w:val="20"/>
          <w:szCs w:val="20"/>
        </w:rPr>
        <w:t>the</w:t>
      </w:r>
      <w:r w:rsidRPr="00C7014F">
        <w:rPr>
          <w:rFonts w:ascii="Palatino Linotype" w:hAnsi="Palatino Linotype"/>
          <w:sz w:val="20"/>
          <w:szCs w:val="20"/>
        </w:rPr>
        <w:t xml:space="preserve"> RVS uncertainty and U3 term represents the uncertainty related to detector lunar responses. </w:t>
      </w:r>
      <w:r w:rsidR="004B4EC2" w:rsidRPr="00C7014F">
        <w:rPr>
          <w:rFonts w:ascii="Palatino Linotype" w:hAnsi="Palatino Linotype"/>
          <w:sz w:val="20"/>
          <w:szCs w:val="20"/>
        </w:rPr>
        <w:t xml:space="preserve">Due to special effort made to correct saturated pixels in bands 13-16 by referencing a non-saturated band, an extra 0.5% uncertainty is included to their total lunar calibration uncertainties. </w:t>
      </w:r>
      <w:r w:rsidRPr="00C7014F">
        <w:rPr>
          <w:rFonts w:ascii="Palatino Linotype" w:hAnsi="Palatino Linotype"/>
          <w:sz w:val="20"/>
          <w:szCs w:val="20"/>
        </w:rPr>
        <w:t xml:space="preserve">For VIIRS, the lunar calibration uncertainties shown in Table 7 are generally smaller than MODIS, mainly due to smaller uncertainties </w:t>
      </w:r>
      <w:r w:rsidR="00827762" w:rsidRPr="00C7014F">
        <w:rPr>
          <w:rFonts w:ascii="Palatino Linotype" w:hAnsi="Palatino Linotype"/>
          <w:sz w:val="20"/>
          <w:szCs w:val="20"/>
        </w:rPr>
        <w:t>reported</w:t>
      </w:r>
      <w:r w:rsidRPr="00C7014F">
        <w:rPr>
          <w:rFonts w:ascii="Palatino Linotype" w:hAnsi="Palatino Linotype"/>
          <w:sz w:val="20"/>
          <w:szCs w:val="20"/>
        </w:rPr>
        <w:t xml:space="preserve"> pre-launch SD BRF characterization. </w:t>
      </w:r>
      <w:r w:rsidR="001E0CE6" w:rsidRPr="00C7014F">
        <w:rPr>
          <w:rFonts w:ascii="Palatino Linotype" w:hAnsi="Palatino Linotype"/>
          <w:sz w:val="20"/>
          <w:szCs w:val="20"/>
        </w:rPr>
        <w:t xml:space="preserve">The U2 term </w:t>
      </w:r>
      <w:r w:rsidRPr="00C7014F">
        <w:rPr>
          <w:rFonts w:ascii="Palatino Linotype" w:hAnsi="Palatino Linotype"/>
          <w:sz w:val="20"/>
          <w:szCs w:val="20"/>
        </w:rPr>
        <w:t xml:space="preserve">in VIIRS is the </w:t>
      </w:r>
      <w:r w:rsidR="001E0CE6" w:rsidRPr="00C7014F">
        <w:rPr>
          <w:rFonts w:ascii="Palatino Linotype" w:hAnsi="Palatino Linotype"/>
          <w:sz w:val="20"/>
          <w:szCs w:val="20"/>
        </w:rPr>
        <w:t>uncertainty associated with the</w:t>
      </w:r>
      <w:r w:rsidRPr="00C7014F">
        <w:rPr>
          <w:rFonts w:ascii="Palatino Linotype" w:hAnsi="Palatino Linotype"/>
          <w:sz w:val="20"/>
          <w:szCs w:val="20"/>
        </w:rPr>
        <w:t xml:space="preserve"> pre-launch calibration coefficients (</w:t>
      </w:r>
      <w:r w:rsidRPr="00C7014F">
        <w:rPr>
          <w:rFonts w:ascii="Palatino Linotype" w:eastAsia="Malgun Gothic" w:hAnsi="Palatino Linotype" w:cs="Book Antiqua"/>
          <w:i/>
          <w:spacing w:val="-8"/>
          <w:sz w:val="20"/>
        </w:rPr>
        <w:t>c</w:t>
      </w:r>
      <w:r w:rsidRPr="00C7014F">
        <w:rPr>
          <w:rFonts w:ascii="Palatino Linotype" w:eastAsia="Malgun Gothic" w:hAnsi="Palatino Linotype" w:cs="Book Antiqua"/>
          <w:i/>
          <w:spacing w:val="-8"/>
          <w:sz w:val="20"/>
          <w:vertAlign w:val="subscript"/>
        </w:rPr>
        <w:t>i</w:t>
      </w:r>
      <w:r w:rsidRPr="00C7014F">
        <w:rPr>
          <w:rFonts w:ascii="Palatino Linotype" w:hAnsi="Palatino Linotype"/>
          <w:sz w:val="20"/>
          <w:szCs w:val="20"/>
        </w:rPr>
        <w:t>) as on-orbit F-factor (</w:t>
      </w:r>
      <w:r w:rsidRPr="00C7014F">
        <w:rPr>
          <w:rFonts w:ascii="Palatino Linotype" w:hAnsi="Palatino Linotype"/>
          <w:i/>
          <w:sz w:val="20"/>
          <w:szCs w:val="20"/>
        </w:rPr>
        <w:t>F</w:t>
      </w:r>
      <w:r w:rsidRPr="00C7014F">
        <w:rPr>
          <w:rFonts w:ascii="Palatino Linotype" w:hAnsi="Palatino Linotype"/>
          <w:sz w:val="20"/>
          <w:szCs w:val="20"/>
        </w:rPr>
        <w:t xml:space="preserve">) is derived by comparing </w:t>
      </w:r>
      <w:r w:rsidR="002B2937" w:rsidRPr="00C7014F">
        <w:rPr>
          <w:rFonts w:ascii="Palatino Linotype" w:hAnsi="Palatino Linotype"/>
          <w:sz w:val="20"/>
          <w:szCs w:val="20"/>
        </w:rPr>
        <w:t xml:space="preserve">the </w:t>
      </w:r>
      <w:r w:rsidRPr="00C7014F">
        <w:rPr>
          <w:rFonts w:ascii="Palatino Linotype" w:hAnsi="Palatino Linotype"/>
          <w:sz w:val="20"/>
          <w:szCs w:val="20"/>
        </w:rPr>
        <w:t xml:space="preserve">predicted radiance from </w:t>
      </w:r>
      <w:r w:rsidR="002B2937" w:rsidRPr="00C7014F">
        <w:rPr>
          <w:rFonts w:ascii="Palatino Linotype" w:hAnsi="Palatino Linotype"/>
          <w:sz w:val="20"/>
          <w:szCs w:val="20"/>
        </w:rPr>
        <w:t xml:space="preserve">the </w:t>
      </w:r>
      <w:r w:rsidRPr="00C7014F">
        <w:rPr>
          <w:rFonts w:ascii="Palatino Linotype" w:hAnsi="Palatino Linotype"/>
          <w:sz w:val="20"/>
          <w:szCs w:val="20"/>
        </w:rPr>
        <w:t>SD with that measured based on pre-launch calibration coefficients (</w:t>
      </w:r>
      <w:r w:rsidRPr="00C7014F">
        <w:rPr>
          <w:rFonts w:ascii="Palatino Linotype" w:eastAsia="Malgun Gothic" w:hAnsi="Palatino Linotype" w:cs="Book Antiqua"/>
          <w:i/>
          <w:spacing w:val="-8"/>
          <w:sz w:val="20"/>
        </w:rPr>
        <w:t>c</w:t>
      </w:r>
      <w:r w:rsidRPr="00C7014F">
        <w:rPr>
          <w:rFonts w:ascii="Palatino Linotype" w:eastAsia="Malgun Gothic" w:hAnsi="Palatino Linotype" w:cs="Book Antiqua"/>
          <w:i/>
          <w:spacing w:val="-8"/>
          <w:sz w:val="20"/>
          <w:vertAlign w:val="subscript"/>
        </w:rPr>
        <w:t>i</w:t>
      </w:r>
      <w:r w:rsidRPr="00C7014F">
        <w:rPr>
          <w:rFonts w:ascii="Palatino Linotype" w:hAnsi="Palatino Linotype"/>
          <w:sz w:val="20"/>
          <w:szCs w:val="20"/>
        </w:rPr>
        <w:t xml:space="preserve">). The </w:t>
      </w:r>
      <w:r w:rsidR="001E0CE6" w:rsidRPr="00C7014F">
        <w:rPr>
          <w:rFonts w:ascii="Palatino Linotype" w:hAnsi="Palatino Linotype"/>
          <w:sz w:val="20"/>
          <w:szCs w:val="20"/>
        </w:rPr>
        <w:t>u</w:t>
      </w:r>
      <w:r w:rsidRPr="00C7014F">
        <w:rPr>
          <w:rFonts w:ascii="Palatino Linotype" w:hAnsi="Palatino Linotype"/>
          <w:sz w:val="20"/>
          <w:szCs w:val="20"/>
        </w:rPr>
        <w:t xml:space="preserve">ncertainties </w:t>
      </w:r>
      <w:r w:rsidR="001E0CE6" w:rsidRPr="00C7014F">
        <w:rPr>
          <w:rFonts w:ascii="Palatino Linotype" w:hAnsi="Palatino Linotype"/>
          <w:sz w:val="20"/>
          <w:szCs w:val="20"/>
        </w:rPr>
        <w:t xml:space="preserve">shown </w:t>
      </w:r>
      <w:r w:rsidRPr="00C7014F">
        <w:rPr>
          <w:rFonts w:ascii="Palatino Linotype" w:hAnsi="Palatino Linotype"/>
          <w:sz w:val="20"/>
          <w:szCs w:val="20"/>
        </w:rPr>
        <w:t>in Table</w:t>
      </w:r>
      <w:r w:rsidR="00377EA6" w:rsidRPr="00C7014F">
        <w:rPr>
          <w:rFonts w:ascii="Palatino Linotype" w:hAnsi="Palatino Linotype"/>
          <w:sz w:val="20"/>
          <w:szCs w:val="20"/>
        </w:rPr>
        <w:t>s</w:t>
      </w:r>
      <w:r w:rsidRPr="00C7014F">
        <w:rPr>
          <w:rFonts w:ascii="Palatino Linotype" w:hAnsi="Palatino Linotype"/>
          <w:sz w:val="20"/>
          <w:szCs w:val="20"/>
        </w:rPr>
        <w:t xml:space="preserve"> 3-5 are the combined lunar measurement uncertainties </w:t>
      </w:r>
      <w:r w:rsidR="001E0CE6" w:rsidRPr="00C7014F">
        <w:rPr>
          <w:rFonts w:ascii="Palatino Linotype" w:hAnsi="Palatino Linotype"/>
          <w:sz w:val="20"/>
          <w:szCs w:val="20"/>
        </w:rPr>
        <w:t>of the same of matching band pairs.</w:t>
      </w:r>
      <w:r w:rsidR="007C799D" w:rsidRPr="00C7014F">
        <w:rPr>
          <w:rFonts w:ascii="Palatino Linotype" w:hAnsi="Palatino Linotype"/>
          <w:sz w:val="20"/>
          <w:szCs w:val="20"/>
        </w:rPr>
        <w:t xml:space="preserve"> </w:t>
      </w:r>
      <w:r w:rsidR="001E0CE6" w:rsidRPr="00C7014F">
        <w:rPr>
          <w:rFonts w:ascii="Palatino Linotype" w:hAnsi="Palatino Linotype"/>
          <w:sz w:val="20"/>
          <w:szCs w:val="20"/>
        </w:rPr>
        <w:t xml:space="preserve">Considering both MODIS and VIIRS have a calibration requirement of 2%, the lunar calibration inter-comparison results for two MODIS instruments and for Aqua MODIS and N20 VIIRS clearly meet their combined calibration </w:t>
      </w:r>
      <w:r w:rsidR="00816E65" w:rsidRPr="00C7014F">
        <w:rPr>
          <w:rFonts w:ascii="Palatino Linotype" w:hAnsi="Palatino Linotype"/>
          <w:sz w:val="20"/>
          <w:szCs w:val="20"/>
        </w:rPr>
        <w:t>requirement of 2.8%</w:t>
      </w:r>
      <w:r w:rsidR="001E0CE6" w:rsidRPr="00C7014F">
        <w:rPr>
          <w:rFonts w:ascii="Palatino Linotype" w:hAnsi="Palatino Linotype"/>
          <w:sz w:val="20"/>
          <w:szCs w:val="20"/>
        </w:rPr>
        <w:t xml:space="preserve">. </w:t>
      </w:r>
      <w:r w:rsidR="00816E65" w:rsidRPr="00C7014F">
        <w:rPr>
          <w:rFonts w:ascii="Palatino Linotype" w:hAnsi="Palatino Linotype"/>
          <w:sz w:val="20"/>
          <w:szCs w:val="20"/>
        </w:rPr>
        <w:t xml:space="preserve">On the other hand, the SNPP and N20 VIIRS calibration is not </w:t>
      </w:r>
      <w:r w:rsidR="001E0CE6" w:rsidRPr="00C7014F">
        <w:rPr>
          <w:rFonts w:ascii="Palatino Linotype" w:hAnsi="Palatino Linotype"/>
          <w:sz w:val="20"/>
          <w:szCs w:val="20"/>
        </w:rPr>
        <w:t>consist</w:t>
      </w:r>
      <w:r w:rsidR="00816E65" w:rsidRPr="00C7014F">
        <w:rPr>
          <w:rFonts w:ascii="Palatino Linotype" w:hAnsi="Palatino Linotype"/>
          <w:sz w:val="20"/>
          <w:szCs w:val="20"/>
        </w:rPr>
        <w:t>ent</w:t>
      </w:r>
      <w:r w:rsidR="001E0CE6" w:rsidRPr="00C7014F">
        <w:rPr>
          <w:rFonts w:ascii="Palatino Linotype" w:hAnsi="Palatino Linotype"/>
          <w:sz w:val="20"/>
          <w:szCs w:val="20"/>
        </w:rPr>
        <w:t xml:space="preserve"> to within their combined </w:t>
      </w:r>
      <w:r w:rsidR="00816E65" w:rsidRPr="00C7014F">
        <w:rPr>
          <w:rFonts w:ascii="Palatino Linotype" w:hAnsi="Palatino Linotype"/>
          <w:sz w:val="20"/>
          <w:szCs w:val="20"/>
        </w:rPr>
        <w:t xml:space="preserve">calibration </w:t>
      </w:r>
      <w:r w:rsidR="001E0CE6" w:rsidRPr="00C7014F">
        <w:rPr>
          <w:rFonts w:ascii="Palatino Linotype" w:hAnsi="Palatino Linotype"/>
          <w:sz w:val="20"/>
          <w:szCs w:val="20"/>
        </w:rPr>
        <w:t>requirement</w:t>
      </w:r>
      <w:r w:rsidR="00816E65" w:rsidRPr="00C7014F">
        <w:rPr>
          <w:rFonts w:ascii="Palatino Linotype" w:hAnsi="Palatino Linotype"/>
          <w:sz w:val="20"/>
          <w:szCs w:val="20"/>
        </w:rPr>
        <w:t xml:space="preserve"> </w:t>
      </w:r>
      <w:r w:rsidR="00BE1280" w:rsidRPr="00C7014F">
        <w:rPr>
          <w:rFonts w:ascii="Palatino Linotype" w:hAnsi="Palatino Linotype"/>
          <w:sz w:val="20"/>
          <w:szCs w:val="20"/>
        </w:rPr>
        <w:t xml:space="preserve">for several VIS/NIR bands. </w:t>
      </w:r>
      <w:r w:rsidR="00827762" w:rsidRPr="00C7014F">
        <w:rPr>
          <w:rFonts w:ascii="Palatino Linotype" w:hAnsi="Palatino Linotype"/>
          <w:sz w:val="20"/>
          <w:szCs w:val="20"/>
        </w:rPr>
        <w:t>This indicates</w:t>
      </w:r>
      <w:r w:rsidR="00976005" w:rsidRPr="00C7014F">
        <w:rPr>
          <w:rFonts w:ascii="Palatino Linotype" w:hAnsi="Palatino Linotype"/>
          <w:sz w:val="20"/>
          <w:szCs w:val="20"/>
        </w:rPr>
        <w:t xml:space="preserve"> that the U1 term in Table 7 is probably </w:t>
      </w:r>
      <w:r w:rsidR="00827762" w:rsidRPr="00C7014F">
        <w:rPr>
          <w:rFonts w:ascii="Palatino Linotype" w:hAnsi="Palatino Linotype"/>
          <w:sz w:val="20"/>
          <w:szCs w:val="20"/>
        </w:rPr>
        <w:t>underestimated for SNPP</w:t>
      </w:r>
      <w:r w:rsidR="008A09F1" w:rsidRPr="00C7014F">
        <w:rPr>
          <w:rFonts w:ascii="Palatino Linotype" w:hAnsi="Palatino Linotype"/>
          <w:sz w:val="20"/>
          <w:szCs w:val="20"/>
        </w:rPr>
        <w:t xml:space="preserve">. </w:t>
      </w:r>
      <w:r w:rsidR="00976005" w:rsidRPr="00C7014F">
        <w:rPr>
          <w:rFonts w:ascii="Palatino Linotype" w:hAnsi="Palatino Linotype"/>
          <w:sz w:val="20"/>
          <w:szCs w:val="20"/>
        </w:rPr>
        <w:t>As a result, s</w:t>
      </w:r>
      <w:r w:rsidR="00BE1280" w:rsidRPr="00C7014F">
        <w:rPr>
          <w:rFonts w:ascii="Palatino Linotype" w:hAnsi="Palatino Linotype"/>
          <w:sz w:val="20"/>
          <w:szCs w:val="20"/>
        </w:rPr>
        <w:t xml:space="preserve">pecial efforts must be made in order to generate high quality science products using measurements from both VIIRS instruments.  </w:t>
      </w:r>
    </w:p>
    <w:p w14:paraId="0B3A4A40" w14:textId="33287E3D" w:rsidR="00690F52" w:rsidRPr="00C7014F" w:rsidRDefault="006B0403" w:rsidP="004D7D43">
      <w:pPr>
        <w:spacing w:line="300" w:lineRule="exact"/>
        <w:jc w:val="both"/>
        <w:rPr>
          <w:rFonts w:ascii="Palatino Linotype" w:hAnsi="Palatino Linotype"/>
          <w:sz w:val="20"/>
          <w:szCs w:val="20"/>
        </w:rPr>
      </w:pPr>
      <w:r w:rsidRPr="00C7014F">
        <w:rPr>
          <w:rFonts w:ascii="Palatino Linotype" w:hAnsi="Palatino Linotype"/>
          <w:sz w:val="20"/>
          <w:szCs w:val="20"/>
        </w:rPr>
        <w:t>MODIS and VIIRS calibration i</w:t>
      </w:r>
      <w:r w:rsidR="007653AD" w:rsidRPr="00C7014F">
        <w:rPr>
          <w:rFonts w:ascii="Palatino Linotype" w:hAnsi="Palatino Linotype"/>
          <w:sz w:val="20"/>
          <w:szCs w:val="20"/>
        </w:rPr>
        <w:t xml:space="preserve">nter-comparison </w:t>
      </w:r>
      <w:r w:rsidRPr="00C7014F">
        <w:rPr>
          <w:rFonts w:ascii="Palatino Linotype" w:hAnsi="Palatino Linotype"/>
          <w:sz w:val="20"/>
          <w:szCs w:val="20"/>
        </w:rPr>
        <w:t xml:space="preserve">results can be found in a number of references with most approaches based on the use of </w:t>
      </w:r>
      <w:r w:rsidR="007653AD" w:rsidRPr="00C7014F">
        <w:rPr>
          <w:rFonts w:ascii="Palatino Linotype" w:hAnsi="Palatino Linotype"/>
          <w:sz w:val="20"/>
          <w:szCs w:val="20"/>
        </w:rPr>
        <w:t>simultaneous</w:t>
      </w:r>
      <w:r w:rsidRPr="00C7014F">
        <w:rPr>
          <w:rFonts w:ascii="Palatino Linotype" w:hAnsi="Palatino Linotype"/>
          <w:sz w:val="20"/>
          <w:szCs w:val="20"/>
        </w:rPr>
        <w:t xml:space="preserve"> nadir</w:t>
      </w:r>
      <w:r w:rsidR="007653AD" w:rsidRPr="00C7014F">
        <w:rPr>
          <w:rFonts w:ascii="Palatino Linotype" w:hAnsi="Palatino Linotype"/>
          <w:sz w:val="20"/>
          <w:szCs w:val="20"/>
        </w:rPr>
        <w:t xml:space="preserve"> observations (SNO) and pseudo-invariant targets, such as Libya-4 desert</w:t>
      </w:r>
      <w:r w:rsidR="005F394B" w:rsidRPr="00C7014F">
        <w:rPr>
          <w:rFonts w:ascii="Palatino Linotype" w:hAnsi="Palatino Linotype"/>
          <w:sz w:val="20"/>
          <w:szCs w:val="20"/>
        </w:rPr>
        <w:t>,</w:t>
      </w:r>
      <w:r w:rsidR="007653AD" w:rsidRPr="00C7014F">
        <w:rPr>
          <w:rFonts w:ascii="Palatino Linotype" w:hAnsi="Palatino Linotype"/>
          <w:sz w:val="20"/>
          <w:szCs w:val="20"/>
        </w:rPr>
        <w:t xml:space="preserve"> Dome C, and DCC</w:t>
      </w:r>
      <w:r w:rsidR="005F394B" w:rsidRPr="00C7014F">
        <w:rPr>
          <w:rFonts w:ascii="Palatino Linotype" w:hAnsi="Palatino Linotype"/>
          <w:sz w:val="20"/>
          <w:szCs w:val="20"/>
        </w:rPr>
        <w:t>s</w:t>
      </w:r>
      <w:r w:rsidRPr="00C7014F">
        <w:rPr>
          <w:rFonts w:ascii="Palatino Linotype" w:hAnsi="Palatino Linotype"/>
          <w:sz w:val="20"/>
          <w:szCs w:val="20"/>
        </w:rPr>
        <w:t xml:space="preserve">, and </w:t>
      </w:r>
      <w:r w:rsidR="00D84579" w:rsidRPr="00C7014F">
        <w:rPr>
          <w:rFonts w:ascii="Palatino Linotype" w:hAnsi="Palatino Linotype"/>
          <w:sz w:val="20"/>
          <w:szCs w:val="20"/>
        </w:rPr>
        <w:t xml:space="preserve">major </w:t>
      </w:r>
      <w:r w:rsidRPr="00C7014F">
        <w:rPr>
          <w:rFonts w:ascii="Palatino Linotype" w:hAnsi="Palatino Linotype"/>
          <w:sz w:val="20"/>
          <w:szCs w:val="20"/>
        </w:rPr>
        <w:t xml:space="preserve">efforts made by </w:t>
      </w:r>
      <w:r w:rsidR="00D84579" w:rsidRPr="00C7014F">
        <w:rPr>
          <w:rFonts w:ascii="Palatino Linotype" w:hAnsi="Palatino Linotype"/>
          <w:sz w:val="20"/>
          <w:szCs w:val="20"/>
        </w:rPr>
        <w:t>the NASA and NOAA calibration teams and different science groups [</w:t>
      </w:r>
      <w:r w:rsidR="00B1727D" w:rsidRPr="00C7014F">
        <w:rPr>
          <w:rFonts w:ascii="Palatino Linotype" w:hAnsi="Palatino Linotype"/>
          <w:sz w:val="20"/>
          <w:szCs w:val="20"/>
        </w:rPr>
        <w:t xml:space="preserve"> 19, </w:t>
      </w:r>
      <w:r w:rsidR="003027AB" w:rsidRPr="00C7014F">
        <w:rPr>
          <w:rFonts w:ascii="Palatino Linotype" w:hAnsi="Palatino Linotype"/>
          <w:sz w:val="20"/>
          <w:szCs w:val="20"/>
        </w:rPr>
        <w:t>26,</w:t>
      </w:r>
      <w:r w:rsidR="00F22EC0" w:rsidRPr="00C7014F">
        <w:rPr>
          <w:rFonts w:ascii="Palatino Linotype" w:hAnsi="Palatino Linotype"/>
          <w:sz w:val="20"/>
          <w:szCs w:val="20"/>
        </w:rPr>
        <w:t xml:space="preserve"> 53, 64</w:t>
      </w:r>
      <w:r w:rsidR="00117B8A" w:rsidRPr="00C7014F">
        <w:rPr>
          <w:rFonts w:ascii="Palatino Linotype" w:hAnsi="Palatino Linotype"/>
          <w:sz w:val="20"/>
          <w:szCs w:val="20"/>
        </w:rPr>
        <w:t>, 65</w:t>
      </w:r>
      <w:r w:rsidR="00D84579" w:rsidRPr="00C7014F">
        <w:rPr>
          <w:rFonts w:ascii="Palatino Linotype" w:hAnsi="Palatino Linotype"/>
          <w:sz w:val="20"/>
          <w:szCs w:val="20"/>
        </w:rPr>
        <w:t xml:space="preserve">]. As expected, </w:t>
      </w:r>
      <w:r w:rsidR="00097376" w:rsidRPr="00C7014F">
        <w:rPr>
          <w:rFonts w:ascii="Palatino Linotype" w:hAnsi="Palatino Linotype"/>
          <w:sz w:val="20"/>
          <w:szCs w:val="20"/>
        </w:rPr>
        <w:t xml:space="preserve">the </w:t>
      </w:r>
      <w:r w:rsidR="00D84579" w:rsidRPr="00C7014F">
        <w:rPr>
          <w:rFonts w:ascii="Palatino Linotype" w:hAnsi="Palatino Linotype"/>
          <w:sz w:val="20"/>
          <w:szCs w:val="20"/>
        </w:rPr>
        <w:t xml:space="preserve">ground-based approaches </w:t>
      </w:r>
      <w:r w:rsidR="00097376" w:rsidRPr="00C7014F">
        <w:rPr>
          <w:rFonts w:ascii="Palatino Linotype" w:hAnsi="Palatino Linotype"/>
          <w:sz w:val="20"/>
          <w:szCs w:val="20"/>
        </w:rPr>
        <w:t xml:space="preserve">can only </w:t>
      </w:r>
      <w:r w:rsidR="00097376" w:rsidRPr="00C7014F">
        <w:rPr>
          <w:rFonts w:ascii="Palatino Linotype" w:hAnsi="Palatino Linotype"/>
          <w:sz w:val="20"/>
          <w:szCs w:val="20"/>
        </w:rPr>
        <w:lastRenderedPageBreak/>
        <w:t xml:space="preserve">perform calibration inter-comparison for some of the </w:t>
      </w:r>
      <w:r w:rsidR="00D84579" w:rsidRPr="00C7014F">
        <w:rPr>
          <w:rFonts w:ascii="Palatino Linotype" w:hAnsi="Palatino Linotype"/>
          <w:sz w:val="20"/>
          <w:szCs w:val="20"/>
        </w:rPr>
        <w:t xml:space="preserve">spectral bands. For Terra and Aqua MODIS, ground-based calibration inter-comparison results are </w:t>
      </w:r>
      <w:r w:rsidR="004954CE" w:rsidRPr="00C7014F">
        <w:rPr>
          <w:rFonts w:ascii="Palatino Linotype" w:hAnsi="Palatino Linotype"/>
          <w:sz w:val="20"/>
          <w:szCs w:val="20"/>
        </w:rPr>
        <w:t>wavelength and the EV surface property dependent and, on average, are l</w:t>
      </w:r>
      <w:r w:rsidR="00C508CC" w:rsidRPr="00C7014F">
        <w:rPr>
          <w:rFonts w:ascii="Palatino Linotype" w:hAnsi="Palatino Linotype"/>
          <w:sz w:val="20"/>
          <w:szCs w:val="20"/>
        </w:rPr>
        <w:t xml:space="preserve">ess than </w:t>
      </w:r>
      <w:r w:rsidR="000C1EC5" w:rsidRPr="00C7014F">
        <w:rPr>
          <w:rFonts w:ascii="Palatino Linotype" w:hAnsi="Palatino Linotype"/>
          <w:sz w:val="20"/>
          <w:szCs w:val="20"/>
        </w:rPr>
        <w:t>±</w:t>
      </w:r>
      <w:r w:rsidR="00C508CC" w:rsidRPr="00C7014F">
        <w:rPr>
          <w:rFonts w:ascii="Palatino Linotype" w:hAnsi="Palatino Linotype"/>
          <w:sz w:val="20"/>
          <w:szCs w:val="20"/>
        </w:rPr>
        <w:t>1%</w:t>
      </w:r>
      <w:r w:rsidR="00073B8C" w:rsidRPr="00C7014F">
        <w:rPr>
          <w:rFonts w:ascii="Palatino Linotype" w:hAnsi="Palatino Linotype"/>
          <w:sz w:val="20"/>
          <w:szCs w:val="20"/>
        </w:rPr>
        <w:t xml:space="preserve"> for most spectral bands</w:t>
      </w:r>
      <w:r w:rsidR="00C508CC" w:rsidRPr="00C7014F">
        <w:rPr>
          <w:rFonts w:ascii="Palatino Linotype" w:hAnsi="Palatino Linotype"/>
          <w:sz w:val="20"/>
          <w:szCs w:val="20"/>
        </w:rPr>
        <w:t>, except for band 3 (1.3-2.3%), band 8 (0.5-1.9%), and band 11 (</w:t>
      </w:r>
      <w:r w:rsidR="00844034" w:rsidRPr="00C7014F">
        <w:rPr>
          <w:rFonts w:ascii="Palatino Linotype" w:hAnsi="Palatino Linotype"/>
          <w:sz w:val="20"/>
          <w:szCs w:val="20"/>
        </w:rPr>
        <w:t>-</w:t>
      </w:r>
      <w:r w:rsidR="00C508CC" w:rsidRPr="00C7014F">
        <w:rPr>
          <w:rFonts w:ascii="Palatino Linotype" w:hAnsi="Palatino Linotype"/>
          <w:sz w:val="20"/>
          <w:szCs w:val="20"/>
        </w:rPr>
        <w:t>1.7%).</w:t>
      </w:r>
      <w:r w:rsidR="00D84579" w:rsidRPr="00C7014F">
        <w:rPr>
          <w:rFonts w:ascii="Palatino Linotype" w:hAnsi="Palatino Linotype"/>
          <w:sz w:val="20"/>
          <w:szCs w:val="20"/>
        </w:rPr>
        <w:t xml:space="preserve"> </w:t>
      </w:r>
      <w:r w:rsidR="00073B8C" w:rsidRPr="00C7014F">
        <w:rPr>
          <w:rFonts w:ascii="Palatino Linotype" w:hAnsi="Palatino Linotype"/>
          <w:sz w:val="20"/>
          <w:szCs w:val="20"/>
        </w:rPr>
        <w:t xml:space="preserve">No ground-based inter-comparison results are available for band 13-16 as many pixels over the </w:t>
      </w:r>
      <w:r w:rsidR="004954CE" w:rsidRPr="00C7014F">
        <w:rPr>
          <w:rFonts w:ascii="Palatino Linotype" w:hAnsi="Palatino Linotype"/>
          <w:sz w:val="20"/>
          <w:szCs w:val="20"/>
        </w:rPr>
        <w:t xml:space="preserve">select </w:t>
      </w:r>
      <w:r w:rsidR="00073B8C" w:rsidRPr="00C7014F">
        <w:rPr>
          <w:rFonts w:ascii="Palatino Linotype" w:hAnsi="Palatino Linotype"/>
          <w:sz w:val="20"/>
          <w:szCs w:val="20"/>
        </w:rPr>
        <w:t>EV targets saturate.</w:t>
      </w:r>
      <w:r w:rsidR="000411AB" w:rsidRPr="00C7014F">
        <w:rPr>
          <w:rFonts w:ascii="Palatino Linotype" w:hAnsi="Palatino Linotype"/>
          <w:sz w:val="20"/>
          <w:szCs w:val="20"/>
        </w:rPr>
        <w:t xml:space="preserve"> For SNPP and N20 VIIRS, results from </w:t>
      </w:r>
      <w:r w:rsidR="002F3BD8" w:rsidRPr="00C7014F">
        <w:rPr>
          <w:rFonts w:ascii="Palatino Linotype" w:hAnsi="Palatino Linotype"/>
          <w:sz w:val="20"/>
          <w:szCs w:val="20"/>
        </w:rPr>
        <w:t xml:space="preserve">ground-based approaches </w:t>
      </w:r>
      <w:r w:rsidR="000411AB" w:rsidRPr="00C7014F">
        <w:rPr>
          <w:rFonts w:ascii="Palatino Linotype" w:hAnsi="Palatino Linotype"/>
          <w:sz w:val="20"/>
          <w:szCs w:val="20"/>
        </w:rPr>
        <w:t xml:space="preserve">applied by different groups </w:t>
      </w:r>
      <w:r w:rsidR="00E02A74" w:rsidRPr="00C7014F">
        <w:rPr>
          <w:rFonts w:ascii="Palatino Linotype" w:hAnsi="Palatino Linotype"/>
          <w:sz w:val="20"/>
          <w:szCs w:val="20"/>
        </w:rPr>
        <w:t xml:space="preserve">all indicate </w:t>
      </w:r>
      <w:r w:rsidR="002F3BD8" w:rsidRPr="00C7014F">
        <w:rPr>
          <w:rFonts w:ascii="Palatino Linotype" w:hAnsi="Palatino Linotype"/>
          <w:sz w:val="20"/>
          <w:szCs w:val="20"/>
        </w:rPr>
        <w:t>large c</w:t>
      </w:r>
      <w:r w:rsidR="000411AB" w:rsidRPr="00C7014F">
        <w:rPr>
          <w:rFonts w:ascii="Palatino Linotype" w:hAnsi="Palatino Linotype"/>
          <w:sz w:val="20"/>
          <w:szCs w:val="20"/>
        </w:rPr>
        <w:t xml:space="preserve">alibration differences for several </w:t>
      </w:r>
      <w:r w:rsidR="002F3BD8" w:rsidRPr="00C7014F">
        <w:rPr>
          <w:rFonts w:ascii="Palatino Linotype" w:hAnsi="Palatino Linotype"/>
          <w:sz w:val="20"/>
          <w:szCs w:val="20"/>
        </w:rPr>
        <w:t>VIS/NIR bands</w:t>
      </w:r>
      <w:r w:rsidR="000411AB" w:rsidRPr="00C7014F">
        <w:rPr>
          <w:rFonts w:ascii="Palatino Linotype" w:hAnsi="Palatino Linotype"/>
          <w:sz w:val="20"/>
          <w:szCs w:val="20"/>
        </w:rPr>
        <w:t>, which</w:t>
      </w:r>
      <w:r w:rsidR="00183CF7" w:rsidRPr="00C7014F">
        <w:rPr>
          <w:rFonts w:ascii="Palatino Linotype" w:hAnsi="Palatino Linotype"/>
          <w:sz w:val="20"/>
          <w:szCs w:val="20"/>
        </w:rPr>
        <w:t xml:space="preserve"> is</w:t>
      </w:r>
      <w:r w:rsidR="000411AB" w:rsidRPr="00C7014F">
        <w:rPr>
          <w:rFonts w:ascii="Palatino Linotype" w:hAnsi="Palatino Linotype"/>
          <w:sz w:val="20"/>
          <w:szCs w:val="20"/>
        </w:rPr>
        <w:t xml:space="preserve"> consistent with the </w:t>
      </w:r>
      <w:r w:rsidR="00183CF7" w:rsidRPr="00C7014F">
        <w:rPr>
          <w:rFonts w:ascii="Palatino Linotype" w:hAnsi="Palatino Linotype"/>
          <w:sz w:val="20"/>
          <w:szCs w:val="20"/>
        </w:rPr>
        <w:t xml:space="preserve">conclusion </w:t>
      </w:r>
      <w:r w:rsidR="000411AB" w:rsidRPr="00C7014F">
        <w:rPr>
          <w:rFonts w:ascii="Palatino Linotype" w:hAnsi="Palatino Linotype"/>
          <w:sz w:val="20"/>
          <w:szCs w:val="20"/>
        </w:rPr>
        <w:t>from lunar calibration inter-comparison</w:t>
      </w:r>
      <w:r w:rsidR="00183CF7" w:rsidRPr="00C7014F">
        <w:rPr>
          <w:rFonts w:ascii="Palatino Linotype" w:hAnsi="Palatino Linotype"/>
          <w:sz w:val="20"/>
          <w:szCs w:val="20"/>
        </w:rPr>
        <w:t xml:space="preserve">s. Vicarious calibration results show that N20 VIIRS reflectances are systematically lower than SNPP by 2 to 4% for most bands, but a larger disagreement (6-7%) is observed for the shortest wavelength bands (M1-M3). </w:t>
      </w:r>
      <w:r w:rsidR="003234CE" w:rsidRPr="00C7014F">
        <w:rPr>
          <w:rFonts w:ascii="Palatino Linotype" w:hAnsi="Palatino Linotype"/>
          <w:sz w:val="20"/>
          <w:szCs w:val="20"/>
        </w:rPr>
        <w:t>For Aqua MODIS and N20 VIIRS, the ground-based calibration inter-comparisons also show larger calibration difference</w:t>
      </w:r>
      <w:r w:rsidR="00183CF7" w:rsidRPr="00C7014F">
        <w:rPr>
          <w:rFonts w:ascii="Palatino Linotype" w:hAnsi="Palatino Linotype"/>
          <w:sz w:val="20"/>
          <w:szCs w:val="20"/>
        </w:rPr>
        <w:t xml:space="preserve">s, but </w:t>
      </w:r>
      <w:r w:rsidR="003234CE" w:rsidRPr="00C7014F">
        <w:rPr>
          <w:rFonts w:ascii="Palatino Linotype" w:hAnsi="Palatino Linotype"/>
          <w:sz w:val="20"/>
          <w:szCs w:val="20"/>
        </w:rPr>
        <w:t xml:space="preserve">smaller than the differences between </w:t>
      </w:r>
      <w:r w:rsidR="00183CF7" w:rsidRPr="00C7014F">
        <w:rPr>
          <w:rFonts w:ascii="Palatino Linotype" w:hAnsi="Palatino Linotype"/>
          <w:sz w:val="20"/>
          <w:szCs w:val="20"/>
        </w:rPr>
        <w:t xml:space="preserve">the </w:t>
      </w:r>
      <w:r w:rsidR="003234CE" w:rsidRPr="00C7014F">
        <w:rPr>
          <w:rFonts w:ascii="Palatino Linotype" w:hAnsi="Palatino Linotype"/>
          <w:sz w:val="20"/>
          <w:szCs w:val="20"/>
        </w:rPr>
        <w:t xml:space="preserve">two VIIRS instruments. </w:t>
      </w:r>
      <w:r w:rsidR="004D7D43" w:rsidRPr="00C7014F">
        <w:rPr>
          <w:rFonts w:ascii="Palatino Linotype" w:hAnsi="Palatino Linotype"/>
          <w:sz w:val="20"/>
          <w:szCs w:val="20"/>
        </w:rPr>
        <w:t xml:space="preserve">Apart from large standard deviations involved in the EV observations, the results from different vicarious approaches </w:t>
      </w:r>
      <w:r w:rsidR="00690F52" w:rsidRPr="00C7014F">
        <w:rPr>
          <w:rFonts w:ascii="Palatino Linotype" w:hAnsi="Palatino Linotype"/>
          <w:sz w:val="20"/>
          <w:szCs w:val="20"/>
        </w:rPr>
        <w:t>or</w:t>
      </w:r>
      <w:r w:rsidR="001D6F7A" w:rsidRPr="00C7014F">
        <w:rPr>
          <w:rFonts w:ascii="Palatino Linotype" w:hAnsi="Palatino Linotype"/>
          <w:sz w:val="20"/>
          <w:szCs w:val="20"/>
        </w:rPr>
        <w:t xml:space="preserve"> derived by</w:t>
      </w:r>
      <w:r w:rsidR="00690F52" w:rsidRPr="00C7014F">
        <w:rPr>
          <w:rFonts w:ascii="Palatino Linotype" w:hAnsi="Palatino Linotype"/>
          <w:sz w:val="20"/>
          <w:szCs w:val="20"/>
        </w:rPr>
        <w:t xml:space="preserve"> different groups could vary </w:t>
      </w:r>
      <w:r w:rsidR="001D6F7A" w:rsidRPr="00C7014F">
        <w:rPr>
          <w:rFonts w:ascii="Palatino Linotype" w:hAnsi="Palatino Linotype"/>
          <w:sz w:val="20"/>
          <w:szCs w:val="20"/>
        </w:rPr>
        <w:t>(</w:t>
      </w:r>
      <w:r w:rsidR="00690F52" w:rsidRPr="00C7014F">
        <w:rPr>
          <w:rFonts w:ascii="Palatino Linotype" w:hAnsi="Palatino Linotype"/>
          <w:sz w:val="20"/>
          <w:szCs w:val="20"/>
        </w:rPr>
        <w:t>up to 1-3%</w:t>
      </w:r>
      <w:r w:rsidR="001D6F7A" w:rsidRPr="00C7014F">
        <w:rPr>
          <w:rFonts w:ascii="Palatino Linotype" w:hAnsi="Palatino Linotype"/>
          <w:sz w:val="20"/>
          <w:szCs w:val="20"/>
        </w:rPr>
        <w:t>)</w:t>
      </w:r>
      <w:r w:rsidR="00690F52" w:rsidRPr="00C7014F">
        <w:rPr>
          <w:rFonts w:ascii="Palatino Linotype" w:hAnsi="Palatino Linotype"/>
          <w:sz w:val="20"/>
          <w:szCs w:val="20"/>
        </w:rPr>
        <w:t xml:space="preserve"> as it is extremely difficult to make accurate correction</w:t>
      </w:r>
      <w:r w:rsidR="001D6F7A" w:rsidRPr="00C7014F">
        <w:rPr>
          <w:rFonts w:ascii="Palatino Linotype" w:hAnsi="Palatino Linotype"/>
          <w:sz w:val="20"/>
          <w:szCs w:val="20"/>
        </w:rPr>
        <w:t xml:space="preserve">s </w:t>
      </w:r>
      <w:r w:rsidR="00690F52" w:rsidRPr="00C7014F">
        <w:rPr>
          <w:rFonts w:ascii="Palatino Linotype" w:hAnsi="Palatino Linotype"/>
          <w:sz w:val="20"/>
          <w:szCs w:val="20"/>
        </w:rPr>
        <w:t xml:space="preserve">for the surface reflectance profile </w:t>
      </w:r>
      <w:r w:rsidR="004D7D43" w:rsidRPr="00C7014F">
        <w:rPr>
          <w:rFonts w:ascii="Palatino Linotype" w:hAnsi="Palatino Linotype"/>
          <w:sz w:val="20"/>
          <w:szCs w:val="20"/>
        </w:rPr>
        <w:t>and atmospheric ef</w:t>
      </w:r>
      <w:r w:rsidR="001D6F7A" w:rsidRPr="00C7014F">
        <w:rPr>
          <w:rFonts w:ascii="Palatino Linotype" w:hAnsi="Palatino Linotype"/>
          <w:sz w:val="20"/>
          <w:szCs w:val="20"/>
        </w:rPr>
        <w:t>fect</w:t>
      </w:r>
      <w:r w:rsidR="00690F52" w:rsidRPr="00C7014F">
        <w:rPr>
          <w:rFonts w:ascii="Palatino Linotype" w:hAnsi="Palatino Linotype"/>
          <w:sz w:val="20"/>
          <w:szCs w:val="20"/>
        </w:rPr>
        <w:t xml:space="preserve"> </w:t>
      </w:r>
      <w:r w:rsidR="001D6F7A" w:rsidRPr="00C7014F">
        <w:rPr>
          <w:rFonts w:ascii="Palatino Linotype" w:hAnsi="Palatino Linotype"/>
          <w:sz w:val="20"/>
          <w:szCs w:val="20"/>
        </w:rPr>
        <w:t>for observations made at different times</w:t>
      </w:r>
      <w:r w:rsidR="00690F52" w:rsidRPr="00C7014F">
        <w:rPr>
          <w:rFonts w:ascii="Palatino Linotype" w:hAnsi="Palatino Linotype"/>
          <w:sz w:val="20"/>
          <w:szCs w:val="20"/>
        </w:rPr>
        <w:t>.</w:t>
      </w:r>
      <w:r w:rsidR="00D31543" w:rsidRPr="00C7014F">
        <w:rPr>
          <w:rFonts w:ascii="Palatino Linotype" w:hAnsi="Palatino Linotype"/>
          <w:sz w:val="20"/>
          <w:szCs w:val="20"/>
        </w:rPr>
        <w:t xml:space="preserve"> The calibration differences </w:t>
      </w:r>
      <w:r w:rsidR="00183CF7" w:rsidRPr="00C7014F">
        <w:rPr>
          <w:rFonts w:ascii="Palatino Linotype" w:hAnsi="Palatino Linotype"/>
          <w:sz w:val="20"/>
          <w:szCs w:val="20"/>
        </w:rPr>
        <w:t xml:space="preserve">could also </w:t>
      </w:r>
      <w:r w:rsidR="00D31543" w:rsidRPr="00C7014F">
        <w:rPr>
          <w:rFonts w:ascii="Palatino Linotype" w:hAnsi="Palatino Linotype"/>
          <w:sz w:val="20"/>
          <w:szCs w:val="20"/>
        </w:rPr>
        <w:t xml:space="preserve">depend on </w:t>
      </w:r>
      <w:r w:rsidR="00E02A74" w:rsidRPr="00C7014F">
        <w:rPr>
          <w:rFonts w:ascii="Palatino Linotype" w:hAnsi="Palatino Linotype"/>
          <w:sz w:val="20"/>
          <w:szCs w:val="20"/>
        </w:rPr>
        <w:t xml:space="preserve">the </w:t>
      </w:r>
      <w:r w:rsidR="0042391B" w:rsidRPr="00C7014F">
        <w:rPr>
          <w:rFonts w:ascii="Palatino Linotype" w:hAnsi="Palatino Linotype"/>
          <w:sz w:val="20"/>
          <w:szCs w:val="20"/>
        </w:rPr>
        <w:t xml:space="preserve">L1B data used in the </w:t>
      </w:r>
      <w:r w:rsidR="00E02A74" w:rsidRPr="00C7014F">
        <w:rPr>
          <w:rFonts w:ascii="Palatino Linotype" w:hAnsi="Palatino Linotype"/>
          <w:sz w:val="20"/>
          <w:szCs w:val="20"/>
        </w:rPr>
        <w:t xml:space="preserve">performance </w:t>
      </w:r>
      <w:r w:rsidR="0042391B" w:rsidRPr="00C7014F">
        <w:rPr>
          <w:rFonts w:ascii="Palatino Linotype" w:hAnsi="Palatino Linotype"/>
          <w:sz w:val="20"/>
          <w:szCs w:val="20"/>
        </w:rPr>
        <w:t xml:space="preserve">assessments, such as </w:t>
      </w:r>
      <w:r w:rsidR="00183CF7" w:rsidRPr="00C7014F">
        <w:rPr>
          <w:rFonts w:ascii="Palatino Linotype" w:hAnsi="Palatino Linotype"/>
          <w:sz w:val="20"/>
          <w:szCs w:val="20"/>
        </w:rPr>
        <w:t xml:space="preserve">the </w:t>
      </w:r>
      <w:r w:rsidR="0042391B" w:rsidRPr="00C7014F">
        <w:rPr>
          <w:rFonts w:ascii="Palatino Linotype" w:hAnsi="Palatino Linotype"/>
          <w:sz w:val="20"/>
          <w:szCs w:val="20"/>
        </w:rPr>
        <w:t>dat</w:t>
      </w:r>
      <w:r w:rsidR="00E02A74" w:rsidRPr="00C7014F">
        <w:rPr>
          <w:rFonts w:ascii="Palatino Linotype" w:hAnsi="Palatino Linotype"/>
          <w:sz w:val="20"/>
          <w:szCs w:val="20"/>
        </w:rPr>
        <w:t>a s</w:t>
      </w:r>
      <w:r w:rsidR="0042391B" w:rsidRPr="00C7014F">
        <w:rPr>
          <w:rFonts w:ascii="Palatino Linotype" w:hAnsi="Palatino Linotype"/>
          <w:sz w:val="20"/>
          <w:szCs w:val="20"/>
        </w:rPr>
        <w:t>ource</w:t>
      </w:r>
      <w:r w:rsidR="00E02A74" w:rsidRPr="00C7014F">
        <w:rPr>
          <w:rFonts w:ascii="Palatino Linotype" w:hAnsi="Palatino Linotype"/>
          <w:sz w:val="20"/>
          <w:szCs w:val="20"/>
        </w:rPr>
        <w:t xml:space="preserve"> and</w:t>
      </w:r>
      <w:r w:rsidR="0042391B" w:rsidRPr="00C7014F">
        <w:rPr>
          <w:rFonts w:ascii="Palatino Linotype" w:hAnsi="Palatino Linotype"/>
          <w:sz w:val="20"/>
          <w:szCs w:val="20"/>
        </w:rPr>
        <w:t xml:space="preserve"> collection.</w:t>
      </w:r>
      <w:r w:rsidR="00F46F29" w:rsidRPr="00C7014F">
        <w:rPr>
          <w:rFonts w:ascii="Palatino Linotype" w:hAnsi="Palatino Linotype"/>
          <w:sz w:val="20"/>
          <w:szCs w:val="20"/>
        </w:rPr>
        <w:t xml:space="preserve"> </w:t>
      </w:r>
      <w:r w:rsidR="00E02A74" w:rsidRPr="00C7014F">
        <w:rPr>
          <w:rFonts w:ascii="Palatino Linotype" w:hAnsi="Palatino Linotype"/>
          <w:sz w:val="20"/>
          <w:szCs w:val="20"/>
        </w:rPr>
        <w:t xml:space="preserve">  </w:t>
      </w:r>
    </w:p>
    <w:p w14:paraId="47DCBE28" w14:textId="387C87D9" w:rsidR="00EF1AD3" w:rsidRPr="00C7014F" w:rsidRDefault="00EF1AD3" w:rsidP="003234CE">
      <w:pPr>
        <w:spacing w:after="0" w:line="300" w:lineRule="exact"/>
        <w:jc w:val="both"/>
        <w:rPr>
          <w:rFonts w:ascii="Palatino Linotype" w:hAnsi="Palatino Linotype"/>
          <w:sz w:val="20"/>
          <w:szCs w:val="20"/>
        </w:rPr>
      </w:pPr>
    </w:p>
    <w:p w14:paraId="49454714" w14:textId="140FE941" w:rsidR="00BF1330" w:rsidRPr="00C7014F" w:rsidRDefault="009E40D2" w:rsidP="00BA3858">
      <w:pPr>
        <w:spacing w:line="240" w:lineRule="auto"/>
        <w:jc w:val="center"/>
        <w:rPr>
          <w:rFonts w:ascii="Palatino Linotype" w:hAnsi="Palatino Linotype"/>
          <w:sz w:val="20"/>
          <w:szCs w:val="20"/>
        </w:rPr>
      </w:pPr>
      <w:r w:rsidRPr="00C7014F">
        <w:rPr>
          <w:rFonts w:ascii="Palatino Linotype" w:hAnsi="Palatino Linotype"/>
          <w:sz w:val="20"/>
          <w:szCs w:val="20"/>
        </w:rPr>
        <w:t>Table 6</w:t>
      </w:r>
      <w:r w:rsidR="009D4DAD" w:rsidRPr="00C7014F">
        <w:rPr>
          <w:rFonts w:ascii="Palatino Linotype" w:hAnsi="Palatino Linotype"/>
          <w:sz w:val="20"/>
          <w:szCs w:val="20"/>
        </w:rPr>
        <w:t>: Terra and Aqua MODIS lunar calibration uncertainty</w:t>
      </w:r>
      <w:r w:rsidR="008633FE" w:rsidRPr="00C7014F">
        <w:rPr>
          <w:rFonts w:ascii="Palatino Linotype" w:hAnsi="Palatino Linotype"/>
          <w:sz w:val="20"/>
          <w:szCs w:val="20"/>
        </w:rPr>
        <w:t>.</w:t>
      </w:r>
    </w:p>
    <w:tbl>
      <w:tblPr>
        <w:tblW w:w="8043" w:type="dxa"/>
        <w:jc w:val="center"/>
        <w:tblLook w:val="04A0" w:firstRow="1" w:lastRow="0" w:firstColumn="1" w:lastColumn="0" w:noHBand="0" w:noVBand="1"/>
      </w:tblPr>
      <w:tblGrid>
        <w:gridCol w:w="991"/>
        <w:gridCol w:w="889"/>
        <w:gridCol w:w="900"/>
        <w:gridCol w:w="747"/>
        <w:gridCol w:w="839"/>
        <w:gridCol w:w="944"/>
        <w:gridCol w:w="900"/>
        <w:gridCol w:w="810"/>
        <w:gridCol w:w="1023"/>
      </w:tblGrid>
      <w:tr w:rsidR="00C7014F" w:rsidRPr="00C7014F" w14:paraId="597D820C" w14:textId="77777777" w:rsidTr="00CD4BD5">
        <w:trPr>
          <w:trHeight w:hRule="exact" w:val="288"/>
          <w:jc w:val="center"/>
        </w:trPr>
        <w:tc>
          <w:tcPr>
            <w:tcW w:w="4366"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DC8F379"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Terra MODIS</w:t>
            </w:r>
          </w:p>
        </w:tc>
        <w:tc>
          <w:tcPr>
            <w:tcW w:w="3677"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131405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Aqua MODIS</w:t>
            </w:r>
          </w:p>
        </w:tc>
      </w:tr>
      <w:tr w:rsidR="00C7014F" w:rsidRPr="00C7014F" w14:paraId="246E788B"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3EF2F4A8"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Band</w:t>
            </w:r>
          </w:p>
        </w:tc>
        <w:tc>
          <w:tcPr>
            <w:tcW w:w="889" w:type="dxa"/>
            <w:tcBorders>
              <w:top w:val="nil"/>
              <w:left w:val="nil"/>
              <w:bottom w:val="single" w:sz="4" w:space="0" w:color="auto"/>
              <w:right w:val="single" w:sz="4" w:space="0" w:color="auto"/>
            </w:tcBorders>
            <w:shd w:val="clear" w:color="auto" w:fill="auto"/>
            <w:vAlign w:val="center"/>
            <w:hideMark/>
          </w:tcPr>
          <w:p w14:paraId="09A09E5C"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1</w:t>
            </w:r>
          </w:p>
        </w:tc>
        <w:tc>
          <w:tcPr>
            <w:tcW w:w="900" w:type="dxa"/>
            <w:tcBorders>
              <w:top w:val="nil"/>
              <w:left w:val="nil"/>
              <w:bottom w:val="single" w:sz="4" w:space="0" w:color="auto"/>
              <w:right w:val="single" w:sz="4" w:space="0" w:color="auto"/>
            </w:tcBorders>
            <w:shd w:val="clear" w:color="auto" w:fill="auto"/>
            <w:vAlign w:val="center"/>
            <w:hideMark/>
          </w:tcPr>
          <w:p w14:paraId="71E7F447"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2</w:t>
            </w:r>
          </w:p>
        </w:tc>
        <w:tc>
          <w:tcPr>
            <w:tcW w:w="747" w:type="dxa"/>
            <w:tcBorders>
              <w:top w:val="nil"/>
              <w:left w:val="nil"/>
              <w:bottom w:val="single" w:sz="4" w:space="0" w:color="auto"/>
              <w:right w:val="single" w:sz="4" w:space="0" w:color="auto"/>
            </w:tcBorders>
            <w:shd w:val="clear" w:color="auto" w:fill="auto"/>
            <w:vAlign w:val="center"/>
            <w:hideMark/>
          </w:tcPr>
          <w:p w14:paraId="6A934538"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3</w:t>
            </w:r>
          </w:p>
        </w:tc>
        <w:tc>
          <w:tcPr>
            <w:tcW w:w="839" w:type="dxa"/>
            <w:tcBorders>
              <w:top w:val="nil"/>
              <w:left w:val="nil"/>
              <w:bottom w:val="single" w:sz="4" w:space="0" w:color="auto"/>
              <w:right w:val="single" w:sz="8" w:space="0" w:color="auto"/>
            </w:tcBorders>
            <w:shd w:val="clear" w:color="auto" w:fill="auto"/>
            <w:vAlign w:val="center"/>
            <w:hideMark/>
          </w:tcPr>
          <w:p w14:paraId="2ED3783F"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Total</w:t>
            </w:r>
          </w:p>
        </w:tc>
        <w:tc>
          <w:tcPr>
            <w:tcW w:w="944" w:type="dxa"/>
            <w:tcBorders>
              <w:top w:val="nil"/>
              <w:left w:val="nil"/>
              <w:bottom w:val="single" w:sz="4" w:space="0" w:color="auto"/>
              <w:right w:val="single" w:sz="4" w:space="0" w:color="auto"/>
            </w:tcBorders>
            <w:shd w:val="clear" w:color="auto" w:fill="auto"/>
            <w:vAlign w:val="center"/>
            <w:hideMark/>
          </w:tcPr>
          <w:p w14:paraId="01B8C8E1"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1</w:t>
            </w:r>
          </w:p>
        </w:tc>
        <w:tc>
          <w:tcPr>
            <w:tcW w:w="900" w:type="dxa"/>
            <w:tcBorders>
              <w:top w:val="nil"/>
              <w:left w:val="nil"/>
              <w:bottom w:val="single" w:sz="4" w:space="0" w:color="auto"/>
              <w:right w:val="single" w:sz="4" w:space="0" w:color="auto"/>
            </w:tcBorders>
            <w:shd w:val="clear" w:color="auto" w:fill="auto"/>
            <w:vAlign w:val="center"/>
            <w:hideMark/>
          </w:tcPr>
          <w:p w14:paraId="28FF17DC"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2</w:t>
            </w:r>
          </w:p>
        </w:tc>
        <w:tc>
          <w:tcPr>
            <w:tcW w:w="810" w:type="dxa"/>
            <w:tcBorders>
              <w:top w:val="nil"/>
              <w:left w:val="nil"/>
              <w:bottom w:val="single" w:sz="4" w:space="0" w:color="auto"/>
              <w:right w:val="single" w:sz="4" w:space="0" w:color="auto"/>
            </w:tcBorders>
            <w:shd w:val="clear" w:color="auto" w:fill="auto"/>
            <w:vAlign w:val="center"/>
            <w:hideMark/>
          </w:tcPr>
          <w:p w14:paraId="5D432EA3"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3</w:t>
            </w:r>
          </w:p>
        </w:tc>
        <w:tc>
          <w:tcPr>
            <w:tcW w:w="1023" w:type="dxa"/>
            <w:tcBorders>
              <w:top w:val="nil"/>
              <w:left w:val="nil"/>
              <w:bottom w:val="single" w:sz="4" w:space="0" w:color="auto"/>
              <w:right w:val="single" w:sz="8" w:space="0" w:color="auto"/>
            </w:tcBorders>
            <w:shd w:val="clear" w:color="auto" w:fill="auto"/>
            <w:vAlign w:val="center"/>
            <w:hideMark/>
          </w:tcPr>
          <w:p w14:paraId="7560FA47" w14:textId="77777777" w:rsidR="00461404" w:rsidRPr="00C7014F" w:rsidRDefault="00461404" w:rsidP="00461404">
            <w:pPr>
              <w:spacing w:after="0" w:line="240" w:lineRule="exact"/>
              <w:contextualSpacing/>
              <w:jc w:val="center"/>
              <w:rPr>
                <w:rFonts w:ascii="Palatino Linotype" w:eastAsia="Times New Roman" w:hAnsi="Palatino Linotype" w:cs="Calibri"/>
                <w:b/>
                <w:bCs/>
                <w:sz w:val="18"/>
                <w:szCs w:val="18"/>
              </w:rPr>
            </w:pPr>
            <w:r w:rsidRPr="00C7014F">
              <w:rPr>
                <w:rFonts w:ascii="Palatino Linotype" w:eastAsia="Times New Roman" w:hAnsi="Palatino Linotype" w:cs="Calibri"/>
                <w:b/>
                <w:bCs/>
                <w:sz w:val="18"/>
                <w:szCs w:val="18"/>
              </w:rPr>
              <w:t>Total</w:t>
            </w:r>
          </w:p>
        </w:tc>
      </w:tr>
      <w:tr w:rsidR="00C7014F" w:rsidRPr="00C7014F" w14:paraId="69D4E1FF"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3D1344F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w:t>
            </w:r>
          </w:p>
        </w:tc>
        <w:tc>
          <w:tcPr>
            <w:tcW w:w="889" w:type="dxa"/>
            <w:tcBorders>
              <w:top w:val="nil"/>
              <w:left w:val="nil"/>
              <w:bottom w:val="single" w:sz="4" w:space="0" w:color="auto"/>
              <w:right w:val="single" w:sz="4" w:space="0" w:color="auto"/>
            </w:tcBorders>
            <w:shd w:val="clear" w:color="auto" w:fill="auto"/>
            <w:vAlign w:val="center"/>
            <w:hideMark/>
          </w:tcPr>
          <w:p w14:paraId="274A653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1.60</w:t>
            </w:r>
          </w:p>
        </w:tc>
        <w:tc>
          <w:tcPr>
            <w:tcW w:w="900" w:type="dxa"/>
            <w:tcBorders>
              <w:top w:val="nil"/>
              <w:left w:val="nil"/>
              <w:bottom w:val="single" w:sz="4" w:space="0" w:color="auto"/>
              <w:right w:val="single" w:sz="4" w:space="0" w:color="auto"/>
            </w:tcBorders>
            <w:shd w:val="clear" w:color="auto" w:fill="auto"/>
            <w:vAlign w:val="center"/>
            <w:hideMark/>
          </w:tcPr>
          <w:p w14:paraId="6C1AD25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1.20</w:t>
            </w:r>
          </w:p>
        </w:tc>
        <w:tc>
          <w:tcPr>
            <w:tcW w:w="747" w:type="dxa"/>
            <w:tcBorders>
              <w:top w:val="nil"/>
              <w:left w:val="nil"/>
              <w:bottom w:val="single" w:sz="4" w:space="0" w:color="auto"/>
              <w:right w:val="single" w:sz="4" w:space="0" w:color="auto"/>
            </w:tcBorders>
            <w:shd w:val="clear" w:color="auto" w:fill="auto"/>
            <w:vAlign w:val="center"/>
            <w:hideMark/>
          </w:tcPr>
          <w:p w14:paraId="5C0527A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0.53</w:t>
            </w:r>
          </w:p>
        </w:tc>
        <w:tc>
          <w:tcPr>
            <w:tcW w:w="839" w:type="dxa"/>
            <w:tcBorders>
              <w:top w:val="nil"/>
              <w:left w:val="nil"/>
              <w:bottom w:val="single" w:sz="4" w:space="0" w:color="auto"/>
              <w:right w:val="single" w:sz="8" w:space="0" w:color="auto"/>
            </w:tcBorders>
            <w:shd w:val="clear" w:color="auto" w:fill="auto"/>
            <w:vAlign w:val="center"/>
            <w:hideMark/>
          </w:tcPr>
          <w:p w14:paraId="4CCE306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2.07</w:t>
            </w:r>
          </w:p>
        </w:tc>
        <w:tc>
          <w:tcPr>
            <w:tcW w:w="944" w:type="dxa"/>
            <w:tcBorders>
              <w:top w:val="nil"/>
              <w:left w:val="nil"/>
              <w:bottom w:val="single" w:sz="4" w:space="0" w:color="auto"/>
              <w:right w:val="single" w:sz="4" w:space="0" w:color="auto"/>
            </w:tcBorders>
            <w:shd w:val="clear" w:color="auto" w:fill="auto"/>
            <w:vAlign w:val="center"/>
            <w:hideMark/>
          </w:tcPr>
          <w:p w14:paraId="1D24460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w:t>
            </w:r>
          </w:p>
        </w:tc>
        <w:tc>
          <w:tcPr>
            <w:tcW w:w="900" w:type="dxa"/>
            <w:tcBorders>
              <w:top w:val="nil"/>
              <w:left w:val="nil"/>
              <w:bottom w:val="single" w:sz="4" w:space="0" w:color="auto"/>
              <w:right w:val="single" w:sz="4" w:space="0" w:color="auto"/>
            </w:tcBorders>
            <w:shd w:val="clear" w:color="auto" w:fill="auto"/>
            <w:vAlign w:val="center"/>
            <w:hideMark/>
          </w:tcPr>
          <w:p w14:paraId="13A017A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1.23</w:t>
            </w:r>
          </w:p>
        </w:tc>
        <w:tc>
          <w:tcPr>
            <w:tcW w:w="810" w:type="dxa"/>
            <w:tcBorders>
              <w:top w:val="nil"/>
              <w:left w:val="nil"/>
              <w:bottom w:val="single" w:sz="4" w:space="0" w:color="auto"/>
              <w:right w:val="single" w:sz="4" w:space="0" w:color="auto"/>
            </w:tcBorders>
            <w:shd w:val="clear" w:color="auto" w:fill="auto"/>
            <w:vAlign w:val="center"/>
            <w:hideMark/>
          </w:tcPr>
          <w:p w14:paraId="7FB7F43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0.43</w:t>
            </w:r>
          </w:p>
        </w:tc>
        <w:tc>
          <w:tcPr>
            <w:tcW w:w="1023" w:type="dxa"/>
            <w:tcBorders>
              <w:top w:val="nil"/>
              <w:left w:val="nil"/>
              <w:bottom w:val="single" w:sz="4" w:space="0" w:color="auto"/>
              <w:right w:val="single" w:sz="8" w:space="0" w:color="auto"/>
            </w:tcBorders>
            <w:shd w:val="clear" w:color="auto" w:fill="auto"/>
            <w:vAlign w:val="center"/>
            <w:hideMark/>
          </w:tcPr>
          <w:p w14:paraId="4F2216E3"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2.06</w:t>
            </w:r>
          </w:p>
        </w:tc>
      </w:tr>
      <w:tr w:rsidR="00C7014F" w:rsidRPr="00C7014F" w14:paraId="059E1D4D"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26EEE42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w:t>
            </w:r>
          </w:p>
        </w:tc>
        <w:tc>
          <w:tcPr>
            <w:tcW w:w="889" w:type="dxa"/>
            <w:tcBorders>
              <w:top w:val="nil"/>
              <w:left w:val="nil"/>
              <w:bottom w:val="single" w:sz="4" w:space="0" w:color="auto"/>
              <w:right w:val="single" w:sz="4" w:space="0" w:color="auto"/>
            </w:tcBorders>
            <w:shd w:val="clear" w:color="auto" w:fill="auto"/>
            <w:vAlign w:val="center"/>
            <w:hideMark/>
          </w:tcPr>
          <w:p w14:paraId="35B48BC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1.66</w:t>
            </w:r>
          </w:p>
        </w:tc>
        <w:tc>
          <w:tcPr>
            <w:tcW w:w="900" w:type="dxa"/>
            <w:tcBorders>
              <w:top w:val="nil"/>
              <w:left w:val="nil"/>
              <w:bottom w:val="single" w:sz="4" w:space="0" w:color="auto"/>
              <w:right w:val="single" w:sz="4" w:space="0" w:color="auto"/>
            </w:tcBorders>
            <w:shd w:val="clear" w:color="auto" w:fill="auto"/>
            <w:vAlign w:val="center"/>
            <w:hideMark/>
          </w:tcPr>
          <w:p w14:paraId="6A64488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1.27</w:t>
            </w:r>
          </w:p>
        </w:tc>
        <w:tc>
          <w:tcPr>
            <w:tcW w:w="747" w:type="dxa"/>
            <w:tcBorders>
              <w:top w:val="nil"/>
              <w:left w:val="nil"/>
              <w:bottom w:val="single" w:sz="4" w:space="0" w:color="auto"/>
              <w:right w:val="single" w:sz="4" w:space="0" w:color="auto"/>
            </w:tcBorders>
            <w:shd w:val="clear" w:color="auto" w:fill="auto"/>
            <w:vAlign w:val="center"/>
            <w:hideMark/>
          </w:tcPr>
          <w:p w14:paraId="243F7C6C"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0.31</w:t>
            </w:r>
          </w:p>
        </w:tc>
        <w:tc>
          <w:tcPr>
            <w:tcW w:w="839" w:type="dxa"/>
            <w:tcBorders>
              <w:top w:val="nil"/>
              <w:left w:val="nil"/>
              <w:bottom w:val="single" w:sz="4" w:space="0" w:color="auto"/>
              <w:right w:val="single" w:sz="8" w:space="0" w:color="auto"/>
            </w:tcBorders>
            <w:shd w:val="clear" w:color="auto" w:fill="auto"/>
            <w:vAlign w:val="center"/>
            <w:hideMark/>
          </w:tcPr>
          <w:p w14:paraId="32950E1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2.11</w:t>
            </w:r>
          </w:p>
        </w:tc>
        <w:tc>
          <w:tcPr>
            <w:tcW w:w="944" w:type="dxa"/>
            <w:tcBorders>
              <w:top w:val="nil"/>
              <w:left w:val="nil"/>
              <w:bottom w:val="single" w:sz="4" w:space="0" w:color="auto"/>
              <w:right w:val="single" w:sz="4" w:space="0" w:color="auto"/>
            </w:tcBorders>
            <w:shd w:val="clear" w:color="auto" w:fill="auto"/>
            <w:vAlign w:val="center"/>
            <w:hideMark/>
          </w:tcPr>
          <w:p w14:paraId="1B4AF79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1.63</w:t>
            </w:r>
          </w:p>
        </w:tc>
        <w:tc>
          <w:tcPr>
            <w:tcW w:w="900" w:type="dxa"/>
            <w:tcBorders>
              <w:top w:val="nil"/>
              <w:left w:val="nil"/>
              <w:bottom w:val="single" w:sz="4" w:space="0" w:color="auto"/>
              <w:right w:val="single" w:sz="4" w:space="0" w:color="auto"/>
            </w:tcBorders>
            <w:shd w:val="clear" w:color="auto" w:fill="auto"/>
            <w:vAlign w:val="center"/>
            <w:hideMark/>
          </w:tcPr>
          <w:p w14:paraId="2609A7F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1.38</w:t>
            </w:r>
          </w:p>
        </w:tc>
        <w:tc>
          <w:tcPr>
            <w:tcW w:w="810" w:type="dxa"/>
            <w:tcBorders>
              <w:top w:val="nil"/>
              <w:left w:val="nil"/>
              <w:bottom w:val="single" w:sz="4" w:space="0" w:color="auto"/>
              <w:right w:val="single" w:sz="4" w:space="0" w:color="auto"/>
            </w:tcBorders>
            <w:shd w:val="clear" w:color="auto" w:fill="auto"/>
            <w:vAlign w:val="center"/>
            <w:hideMark/>
          </w:tcPr>
          <w:p w14:paraId="5B7D5A1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0.25</w:t>
            </w:r>
          </w:p>
        </w:tc>
        <w:tc>
          <w:tcPr>
            <w:tcW w:w="1023" w:type="dxa"/>
            <w:tcBorders>
              <w:top w:val="nil"/>
              <w:left w:val="nil"/>
              <w:bottom w:val="single" w:sz="4" w:space="0" w:color="auto"/>
              <w:right w:val="single" w:sz="8" w:space="0" w:color="auto"/>
            </w:tcBorders>
            <w:shd w:val="clear" w:color="auto" w:fill="auto"/>
            <w:vAlign w:val="center"/>
            <w:hideMark/>
          </w:tcPr>
          <w:p w14:paraId="72F6EAE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2.15</w:t>
            </w:r>
          </w:p>
        </w:tc>
      </w:tr>
      <w:tr w:rsidR="00C7014F" w:rsidRPr="00C7014F" w14:paraId="25CE6C68"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1DD6B8D0"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3</w:t>
            </w:r>
          </w:p>
        </w:tc>
        <w:tc>
          <w:tcPr>
            <w:tcW w:w="889" w:type="dxa"/>
            <w:tcBorders>
              <w:top w:val="nil"/>
              <w:left w:val="nil"/>
              <w:bottom w:val="single" w:sz="4" w:space="0" w:color="auto"/>
              <w:right w:val="single" w:sz="4" w:space="0" w:color="auto"/>
            </w:tcBorders>
            <w:shd w:val="clear" w:color="auto" w:fill="auto"/>
            <w:vAlign w:val="center"/>
            <w:hideMark/>
          </w:tcPr>
          <w:p w14:paraId="517CD2FC"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1.55</w:t>
            </w:r>
          </w:p>
        </w:tc>
        <w:tc>
          <w:tcPr>
            <w:tcW w:w="900" w:type="dxa"/>
            <w:tcBorders>
              <w:top w:val="nil"/>
              <w:left w:val="nil"/>
              <w:bottom w:val="single" w:sz="4" w:space="0" w:color="auto"/>
              <w:right w:val="single" w:sz="4" w:space="0" w:color="auto"/>
            </w:tcBorders>
            <w:shd w:val="clear" w:color="auto" w:fill="auto"/>
            <w:vAlign w:val="center"/>
            <w:hideMark/>
          </w:tcPr>
          <w:p w14:paraId="3CB6FC1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0.30</w:t>
            </w:r>
          </w:p>
        </w:tc>
        <w:tc>
          <w:tcPr>
            <w:tcW w:w="747" w:type="dxa"/>
            <w:tcBorders>
              <w:top w:val="nil"/>
              <w:left w:val="nil"/>
              <w:bottom w:val="single" w:sz="4" w:space="0" w:color="auto"/>
              <w:right w:val="single" w:sz="4" w:space="0" w:color="auto"/>
            </w:tcBorders>
            <w:shd w:val="clear" w:color="auto" w:fill="auto"/>
            <w:vAlign w:val="center"/>
            <w:hideMark/>
          </w:tcPr>
          <w:p w14:paraId="52F0EEF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0.82</w:t>
            </w:r>
          </w:p>
        </w:tc>
        <w:tc>
          <w:tcPr>
            <w:tcW w:w="839" w:type="dxa"/>
            <w:tcBorders>
              <w:top w:val="nil"/>
              <w:left w:val="nil"/>
              <w:bottom w:val="single" w:sz="4" w:space="0" w:color="auto"/>
              <w:right w:val="single" w:sz="8" w:space="0" w:color="auto"/>
            </w:tcBorders>
            <w:shd w:val="clear" w:color="auto" w:fill="auto"/>
            <w:vAlign w:val="center"/>
            <w:hideMark/>
          </w:tcPr>
          <w:p w14:paraId="000B7A6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1.78</w:t>
            </w:r>
          </w:p>
        </w:tc>
        <w:tc>
          <w:tcPr>
            <w:tcW w:w="944" w:type="dxa"/>
            <w:tcBorders>
              <w:top w:val="nil"/>
              <w:left w:val="nil"/>
              <w:bottom w:val="single" w:sz="4" w:space="0" w:color="auto"/>
              <w:right w:val="single" w:sz="4" w:space="0" w:color="auto"/>
            </w:tcBorders>
            <w:shd w:val="clear" w:color="auto" w:fill="auto"/>
            <w:vAlign w:val="center"/>
            <w:hideMark/>
          </w:tcPr>
          <w:p w14:paraId="5364907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1.53</w:t>
            </w:r>
          </w:p>
        </w:tc>
        <w:tc>
          <w:tcPr>
            <w:tcW w:w="900" w:type="dxa"/>
            <w:tcBorders>
              <w:top w:val="nil"/>
              <w:left w:val="nil"/>
              <w:bottom w:val="single" w:sz="4" w:space="0" w:color="auto"/>
              <w:right w:val="single" w:sz="4" w:space="0" w:color="auto"/>
            </w:tcBorders>
            <w:shd w:val="clear" w:color="auto" w:fill="auto"/>
            <w:vAlign w:val="center"/>
            <w:hideMark/>
          </w:tcPr>
          <w:p w14:paraId="54083D5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w:t>
            </w:r>
          </w:p>
        </w:tc>
        <w:tc>
          <w:tcPr>
            <w:tcW w:w="810" w:type="dxa"/>
            <w:tcBorders>
              <w:top w:val="nil"/>
              <w:left w:val="nil"/>
              <w:bottom w:val="single" w:sz="4" w:space="0" w:color="auto"/>
              <w:right w:val="single" w:sz="4" w:space="0" w:color="auto"/>
            </w:tcBorders>
            <w:shd w:val="clear" w:color="auto" w:fill="auto"/>
            <w:vAlign w:val="center"/>
            <w:hideMark/>
          </w:tcPr>
          <w:p w14:paraId="5B270F7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0.63</w:t>
            </w:r>
          </w:p>
        </w:tc>
        <w:tc>
          <w:tcPr>
            <w:tcW w:w="1023" w:type="dxa"/>
            <w:tcBorders>
              <w:top w:val="nil"/>
              <w:left w:val="nil"/>
              <w:bottom w:val="single" w:sz="4" w:space="0" w:color="auto"/>
              <w:right w:val="single" w:sz="8" w:space="0" w:color="auto"/>
            </w:tcBorders>
            <w:shd w:val="clear" w:color="auto" w:fill="auto"/>
            <w:vAlign w:val="center"/>
            <w:hideMark/>
          </w:tcPr>
          <w:p w14:paraId="04896403"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1.73</w:t>
            </w:r>
          </w:p>
        </w:tc>
      </w:tr>
      <w:tr w:rsidR="00C7014F" w:rsidRPr="00C7014F" w14:paraId="4720E70A"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7B2196C9"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4</w:t>
            </w:r>
          </w:p>
        </w:tc>
        <w:tc>
          <w:tcPr>
            <w:tcW w:w="889" w:type="dxa"/>
            <w:tcBorders>
              <w:top w:val="nil"/>
              <w:left w:val="nil"/>
              <w:bottom w:val="single" w:sz="4" w:space="0" w:color="auto"/>
              <w:right w:val="single" w:sz="4" w:space="0" w:color="auto"/>
            </w:tcBorders>
            <w:shd w:val="clear" w:color="auto" w:fill="auto"/>
            <w:vAlign w:val="center"/>
            <w:hideMark/>
          </w:tcPr>
          <w:p w14:paraId="52A2A863"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1.51</w:t>
            </w:r>
          </w:p>
        </w:tc>
        <w:tc>
          <w:tcPr>
            <w:tcW w:w="900" w:type="dxa"/>
            <w:tcBorders>
              <w:top w:val="nil"/>
              <w:left w:val="nil"/>
              <w:bottom w:val="single" w:sz="4" w:space="0" w:color="auto"/>
              <w:right w:val="single" w:sz="4" w:space="0" w:color="auto"/>
            </w:tcBorders>
            <w:shd w:val="clear" w:color="auto" w:fill="auto"/>
            <w:vAlign w:val="center"/>
            <w:hideMark/>
          </w:tcPr>
          <w:p w14:paraId="4522B21C"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0.23</w:t>
            </w:r>
          </w:p>
        </w:tc>
        <w:tc>
          <w:tcPr>
            <w:tcW w:w="747" w:type="dxa"/>
            <w:tcBorders>
              <w:top w:val="nil"/>
              <w:left w:val="nil"/>
              <w:bottom w:val="single" w:sz="4" w:space="0" w:color="auto"/>
              <w:right w:val="single" w:sz="4" w:space="0" w:color="auto"/>
            </w:tcBorders>
            <w:shd w:val="clear" w:color="auto" w:fill="auto"/>
            <w:vAlign w:val="center"/>
            <w:hideMark/>
          </w:tcPr>
          <w:p w14:paraId="5F17B55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0.57</w:t>
            </w:r>
          </w:p>
        </w:tc>
        <w:tc>
          <w:tcPr>
            <w:tcW w:w="839" w:type="dxa"/>
            <w:tcBorders>
              <w:top w:val="nil"/>
              <w:left w:val="nil"/>
              <w:bottom w:val="single" w:sz="4" w:space="0" w:color="auto"/>
              <w:right w:val="single" w:sz="8" w:space="0" w:color="auto"/>
            </w:tcBorders>
            <w:shd w:val="clear" w:color="auto" w:fill="auto"/>
            <w:vAlign w:val="center"/>
            <w:hideMark/>
          </w:tcPr>
          <w:p w14:paraId="2B9483E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1.63</w:t>
            </w:r>
          </w:p>
        </w:tc>
        <w:tc>
          <w:tcPr>
            <w:tcW w:w="944" w:type="dxa"/>
            <w:tcBorders>
              <w:top w:val="nil"/>
              <w:left w:val="nil"/>
              <w:bottom w:val="single" w:sz="4" w:space="0" w:color="auto"/>
              <w:right w:val="single" w:sz="4" w:space="0" w:color="auto"/>
            </w:tcBorders>
            <w:shd w:val="clear" w:color="auto" w:fill="auto"/>
            <w:vAlign w:val="center"/>
            <w:hideMark/>
          </w:tcPr>
          <w:p w14:paraId="7B95F33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1.52</w:t>
            </w:r>
          </w:p>
        </w:tc>
        <w:tc>
          <w:tcPr>
            <w:tcW w:w="900" w:type="dxa"/>
            <w:tcBorders>
              <w:top w:val="nil"/>
              <w:left w:val="nil"/>
              <w:bottom w:val="single" w:sz="4" w:space="0" w:color="auto"/>
              <w:right w:val="single" w:sz="4" w:space="0" w:color="auto"/>
            </w:tcBorders>
            <w:shd w:val="clear" w:color="auto" w:fill="auto"/>
            <w:vAlign w:val="center"/>
            <w:hideMark/>
          </w:tcPr>
          <w:p w14:paraId="42A04FD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0.51</w:t>
            </w:r>
          </w:p>
        </w:tc>
        <w:tc>
          <w:tcPr>
            <w:tcW w:w="810" w:type="dxa"/>
            <w:tcBorders>
              <w:top w:val="nil"/>
              <w:left w:val="nil"/>
              <w:bottom w:val="single" w:sz="4" w:space="0" w:color="auto"/>
              <w:right w:val="single" w:sz="4" w:space="0" w:color="auto"/>
            </w:tcBorders>
            <w:shd w:val="clear" w:color="auto" w:fill="auto"/>
            <w:vAlign w:val="center"/>
            <w:hideMark/>
          </w:tcPr>
          <w:p w14:paraId="1B2389E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0.42</w:t>
            </w:r>
          </w:p>
        </w:tc>
        <w:tc>
          <w:tcPr>
            <w:tcW w:w="1023" w:type="dxa"/>
            <w:tcBorders>
              <w:top w:val="nil"/>
              <w:left w:val="nil"/>
              <w:bottom w:val="single" w:sz="4" w:space="0" w:color="auto"/>
              <w:right w:val="single" w:sz="8" w:space="0" w:color="auto"/>
            </w:tcBorders>
            <w:shd w:val="clear" w:color="auto" w:fill="auto"/>
            <w:vAlign w:val="center"/>
            <w:hideMark/>
          </w:tcPr>
          <w:p w14:paraId="3D6E2F7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1.66</w:t>
            </w:r>
          </w:p>
        </w:tc>
      </w:tr>
      <w:tr w:rsidR="00C7014F" w:rsidRPr="00C7014F" w14:paraId="5D5F3C03"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544C448C"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8</w:t>
            </w:r>
          </w:p>
        </w:tc>
        <w:tc>
          <w:tcPr>
            <w:tcW w:w="889" w:type="dxa"/>
            <w:tcBorders>
              <w:top w:val="nil"/>
              <w:left w:val="nil"/>
              <w:bottom w:val="single" w:sz="4" w:space="0" w:color="auto"/>
              <w:right w:val="single" w:sz="4" w:space="0" w:color="auto"/>
            </w:tcBorders>
            <w:shd w:val="clear" w:color="auto" w:fill="auto"/>
            <w:vAlign w:val="center"/>
            <w:hideMark/>
          </w:tcPr>
          <w:p w14:paraId="0CEE878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1.62</w:t>
            </w:r>
          </w:p>
        </w:tc>
        <w:tc>
          <w:tcPr>
            <w:tcW w:w="900" w:type="dxa"/>
            <w:tcBorders>
              <w:top w:val="nil"/>
              <w:left w:val="nil"/>
              <w:bottom w:val="single" w:sz="4" w:space="0" w:color="auto"/>
              <w:right w:val="single" w:sz="4" w:space="0" w:color="auto"/>
            </w:tcBorders>
            <w:shd w:val="clear" w:color="auto" w:fill="auto"/>
            <w:vAlign w:val="center"/>
            <w:hideMark/>
          </w:tcPr>
          <w:p w14:paraId="35D10EC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0.37</w:t>
            </w:r>
          </w:p>
        </w:tc>
        <w:tc>
          <w:tcPr>
            <w:tcW w:w="747" w:type="dxa"/>
            <w:tcBorders>
              <w:top w:val="nil"/>
              <w:left w:val="nil"/>
              <w:bottom w:val="single" w:sz="4" w:space="0" w:color="auto"/>
              <w:right w:val="single" w:sz="4" w:space="0" w:color="auto"/>
            </w:tcBorders>
            <w:shd w:val="clear" w:color="auto" w:fill="auto"/>
            <w:vAlign w:val="center"/>
            <w:hideMark/>
          </w:tcPr>
          <w:p w14:paraId="30306A2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0.53</w:t>
            </w:r>
          </w:p>
        </w:tc>
        <w:tc>
          <w:tcPr>
            <w:tcW w:w="839" w:type="dxa"/>
            <w:tcBorders>
              <w:top w:val="nil"/>
              <w:left w:val="nil"/>
              <w:bottom w:val="single" w:sz="4" w:space="0" w:color="auto"/>
              <w:right w:val="single" w:sz="8" w:space="0" w:color="auto"/>
            </w:tcBorders>
            <w:shd w:val="clear" w:color="auto" w:fill="auto"/>
            <w:vAlign w:val="center"/>
            <w:hideMark/>
          </w:tcPr>
          <w:p w14:paraId="4C65BBD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1.74</w:t>
            </w:r>
          </w:p>
        </w:tc>
        <w:tc>
          <w:tcPr>
            <w:tcW w:w="944" w:type="dxa"/>
            <w:tcBorders>
              <w:top w:val="nil"/>
              <w:left w:val="nil"/>
              <w:bottom w:val="single" w:sz="4" w:space="0" w:color="auto"/>
              <w:right w:val="single" w:sz="4" w:space="0" w:color="auto"/>
            </w:tcBorders>
            <w:shd w:val="clear" w:color="auto" w:fill="auto"/>
            <w:vAlign w:val="center"/>
            <w:hideMark/>
          </w:tcPr>
          <w:p w14:paraId="75E477E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1.58</w:t>
            </w:r>
          </w:p>
        </w:tc>
        <w:tc>
          <w:tcPr>
            <w:tcW w:w="900" w:type="dxa"/>
            <w:tcBorders>
              <w:top w:val="nil"/>
              <w:left w:val="nil"/>
              <w:bottom w:val="single" w:sz="4" w:space="0" w:color="auto"/>
              <w:right w:val="single" w:sz="4" w:space="0" w:color="auto"/>
            </w:tcBorders>
            <w:shd w:val="clear" w:color="auto" w:fill="auto"/>
            <w:vAlign w:val="center"/>
            <w:hideMark/>
          </w:tcPr>
          <w:p w14:paraId="58D9C83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0.35</w:t>
            </w:r>
          </w:p>
        </w:tc>
        <w:tc>
          <w:tcPr>
            <w:tcW w:w="810" w:type="dxa"/>
            <w:tcBorders>
              <w:top w:val="nil"/>
              <w:left w:val="nil"/>
              <w:bottom w:val="single" w:sz="4" w:space="0" w:color="auto"/>
              <w:right w:val="single" w:sz="4" w:space="0" w:color="auto"/>
            </w:tcBorders>
            <w:shd w:val="clear" w:color="auto" w:fill="auto"/>
            <w:vAlign w:val="center"/>
            <w:hideMark/>
          </w:tcPr>
          <w:p w14:paraId="35E2CF6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0.51</w:t>
            </w:r>
          </w:p>
        </w:tc>
        <w:tc>
          <w:tcPr>
            <w:tcW w:w="1023" w:type="dxa"/>
            <w:tcBorders>
              <w:top w:val="nil"/>
              <w:left w:val="nil"/>
              <w:bottom w:val="single" w:sz="4" w:space="0" w:color="auto"/>
              <w:right w:val="single" w:sz="8" w:space="0" w:color="auto"/>
            </w:tcBorders>
            <w:shd w:val="clear" w:color="auto" w:fill="auto"/>
            <w:vAlign w:val="center"/>
            <w:hideMark/>
          </w:tcPr>
          <w:p w14:paraId="593B920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1.70</w:t>
            </w:r>
          </w:p>
        </w:tc>
      </w:tr>
      <w:tr w:rsidR="00C7014F" w:rsidRPr="00C7014F" w14:paraId="5948BE37"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298E34E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9</w:t>
            </w:r>
          </w:p>
        </w:tc>
        <w:tc>
          <w:tcPr>
            <w:tcW w:w="889" w:type="dxa"/>
            <w:tcBorders>
              <w:top w:val="nil"/>
              <w:left w:val="nil"/>
              <w:bottom w:val="single" w:sz="4" w:space="0" w:color="auto"/>
              <w:right w:val="single" w:sz="4" w:space="0" w:color="auto"/>
            </w:tcBorders>
            <w:shd w:val="clear" w:color="auto" w:fill="auto"/>
            <w:vAlign w:val="center"/>
            <w:hideMark/>
          </w:tcPr>
          <w:p w14:paraId="4F8F63E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1.60</w:t>
            </w:r>
          </w:p>
        </w:tc>
        <w:tc>
          <w:tcPr>
            <w:tcW w:w="900" w:type="dxa"/>
            <w:tcBorders>
              <w:top w:val="nil"/>
              <w:left w:val="nil"/>
              <w:bottom w:val="single" w:sz="4" w:space="0" w:color="auto"/>
              <w:right w:val="single" w:sz="4" w:space="0" w:color="auto"/>
            </w:tcBorders>
            <w:shd w:val="clear" w:color="auto" w:fill="auto"/>
            <w:vAlign w:val="center"/>
            <w:hideMark/>
          </w:tcPr>
          <w:p w14:paraId="4AF81EF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0.30</w:t>
            </w:r>
          </w:p>
        </w:tc>
        <w:tc>
          <w:tcPr>
            <w:tcW w:w="747" w:type="dxa"/>
            <w:tcBorders>
              <w:top w:val="nil"/>
              <w:left w:val="nil"/>
              <w:bottom w:val="single" w:sz="4" w:space="0" w:color="auto"/>
              <w:right w:val="single" w:sz="4" w:space="0" w:color="auto"/>
            </w:tcBorders>
            <w:shd w:val="clear" w:color="auto" w:fill="auto"/>
            <w:vAlign w:val="center"/>
            <w:hideMark/>
          </w:tcPr>
          <w:p w14:paraId="2BC883E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0.30</w:t>
            </w:r>
          </w:p>
        </w:tc>
        <w:tc>
          <w:tcPr>
            <w:tcW w:w="839" w:type="dxa"/>
            <w:tcBorders>
              <w:top w:val="nil"/>
              <w:left w:val="nil"/>
              <w:bottom w:val="single" w:sz="4" w:space="0" w:color="auto"/>
              <w:right w:val="single" w:sz="8" w:space="0" w:color="auto"/>
            </w:tcBorders>
            <w:shd w:val="clear" w:color="auto" w:fill="auto"/>
            <w:vAlign w:val="center"/>
            <w:hideMark/>
          </w:tcPr>
          <w:p w14:paraId="467837A3"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1.66</w:t>
            </w:r>
          </w:p>
        </w:tc>
        <w:tc>
          <w:tcPr>
            <w:tcW w:w="944" w:type="dxa"/>
            <w:tcBorders>
              <w:top w:val="nil"/>
              <w:left w:val="nil"/>
              <w:bottom w:val="single" w:sz="4" w:space="0" w:color="auto"/>
              <w:right w:val="single" w:sz="4" w:space="0" w:color="auto"/>
            </w:tcBorders>
            <w:shd w:val="clear" w:color="auto" w:fill="auto"/>
            <w:vAlign w:val="center"/>
            <w:hideMark/>
          </w:tcPr>
          <w:p w14:paraId="0CFB4D7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1.57</w:t>
            </w:r>
          </w:p>
        </w:tc>
        <w:tc>
          <w:tcPr>
            <w:tcW w:w="900" w:type="dxa"/>
            <w:tcBorders>
              <w:top w:val="nil"/>
              <w:left w:val="nil"/>
              <w:bottom w:val="single" w:sz="4" w:space="0" w:color="auto"/>
              <w:right w:val="single" w:sz="4" w:space="0" w:color="auto"/>
            </w:tcBorders>
            <w:shd w:val="clear" w:color="auto" w:fill="auto"/>
            <w:vAlign w:val="center"/>
            <w:hideMark/>
          </w:tcPr>
          <w:p w14:paraId="1FD6D11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c>
          <w:tcPr>
            <w:tcW w:w="810" w:type="dxa"/>
            <w:tcBorders>
              <w:top w:val="nil"/>
              <w:left w:val="nil"/>
              <w:bottom w:val="single" w:sz="4" w:space="0" w:color="auto"/>
              <w:right w:val="single" w:sz="4" w:space="0" w:color="auto"/>
            </w:tcBorders>
            <w:shd w:val="clear" w:color="auto" w:fill="auto"/>
            <w:vAlign w:val="center"/>
            <w:hideMark/>
          </w:tcPr>
          <w:p w14:paraId="0F209F40"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c>
          <w:tcPr>
            <w:tcW w:w="1023" w:type="dxa"/>
            <w:tcBorders>
              <w:top w:val="nil"/>
              <w:left w:val="nil"/>
              <w:bottom w:val="single" w:sz="4" w:space="0" w:color="auto"/>
              <w:right w:val="single" w:sz="8" w:space="0" w:color="auto"/>
            </w:tcBorders>
            <w:shd w:val="clear" w:color="auto" w:fill="auto"/>
            <w:vAlign w:val="center"/>
            <w:hideMark/>
          </w:tcPr>
          <w:p w14:paraId="718A14B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1.61</w:t>
            </w:r>
          </w:p>
        </w:tc>
      </w:tr>
      <w:tr w:rsidR="00C7014F" w:rsidRPr="00C7014F" w14:paraId="7C8EDDF9"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56B61DD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10</w:t>
            </w:r>
          </w:p>
        </w:tc>
        <w:tc>
          <w:tcPr>
            <w:tcW w:w="889" w:type="dxa"/>
            <w:tcBorders>
              <w:top w:val="nil"/>
              <w:left w:val="nil"/>
              <w:bottom w:val="single" w:sz="4" w:space="0" w:color="auto"/>
              <w:right w:val="single" w:sz="4" w:space="0" w:color="auto"/>
            </w:tcBorders>
            <w:shd w:val="clear" w:color="auto" w:fill="auto"/>
            <w:vAlign w:val="center"/>
            <w:hideMark/>
          </w:tcPr>
          <w:p w14:paraId="23A2D2F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1.59</w:t>
            </w:r>
          </w:p>
        </w:tc>
        <w:tc>
          <w:tcPr>
            <w:tcW w:w="900" w:type="dxa"/>
            <w:tcBorders>
              <w:top w:val="nil"/>
              <w:left w:val="nil"/>
              <w:bottom w:val="single" w:sz="4" w:space="0" w:color="auto"/>
              <w:right w:val="single" w:sz="4" w:space="0" w:color="auto"/>
            </w:tcBorders>
            <w:shd w:val="clear" w:color="auto" w:fill="auto"/>
            <w:vAlign w:val="center"/>
            <w:hideMark/>
          </w:tcPr>
          <w:p w14:paraId="388400C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0.21</w:t>
            </w:r>
          </w:p>
        </w:tc>
        <w:tc>
          <w:tcPr>
            <w:tcW w:w="747" w:type="dxa"/>
            <w:tcBorders>
              <w:top w:val="nil"/>
              <w:left w:val="nil"/>
              <w:bottom w:val="single" w:sz="4" w:space="0" w:color="auto"/>
              <w:right w:val="single" w:sz="4" w:space="0" w:color="auto"/>
            </w:tcBorders>
            <w:shd w:val="clear" w:color="auto" w:fill="auto"/>
            <w:vAlign w:val="center"/>
            <w:hideMark/>
          </w:tcPr>
          <w:p w14:paraId="3B1DE0B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0.21</w:t>
            </w:r>
          </w:p>
        </w:tc>
        <w:tc>
          <w:tcPr>
            <w:tcW w:w="839" w:type="dxa"/>
            <w:tcBorders>
              <w:top w:val="nil"/>
              <w:left w:val="nil"/>
              <w:bottom w:val="single" w:sz="4" w:space="0" w:color="auto"/>
              <w:right w:val="single" w:sz="8" w:space="0" w:color="auto"/>
            </w:tcBorders>
            <w:shd w:val="clear" w:color="auto" w:fill="auto"/>
            <w:vAlign w:val="center"/>
            <w:hideMark/>
          </w:tcPr>
          <w:p w14:paraId="0442252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1.62</w:t>
            </w:r>
          </w:p>
        </w:tc>
        <w:tc>
          <w:tcPr>
            <w:tcW w:w="944" w:type="dxa"/>
            <w:tcBorders>
              <w:top w:val="nil"/>
              <w:left w:val="nil"/>
              <w:bottom w:val="single" w:sz="4" w:space="0" w:color="auto"/>
              <w:right w:val="single" w:sz="4" w:space="0" w:color="auto"/>
            </w:tcBorders>
            <w:shd w:val="clear" w:color="auto" w:fill="auto"/>
            <w:vAlign w:val="center"/>
            <w:hideMark/>
          </w:tcPr>
          <w:p w14:paraId="7897C86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1.56</w:t>
            </w:r>
          </w:p>
        </w:tc>
        <w:tc>
          <w:tcPr>
            <w:tcW w:w="900" w:type="dxa"/>
            <w:tcBorders>
              <w:top w:val="nil"/>
              <w:left w:val="nil"/>
              <w:bottom w:val="single" w:sz="4" w:space="0" w:color="auto"/>
              <w:right w:val="single" w:sz="4" w:space="0" w:color="auto"/>
            </w:tcBorders>
            <w:shd w:val="clear" w:color="auto" w:fill="auto"/>
            <w:vAlign w:val="center"/>
            <w:hideMark/>
          </w:tcPr>
          <w:p w14:paraId="71F091C0"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0.22</w:t>
            </w:r>
          </w:p>
        </w:tc>
        <w:tc>
          <w:tcPr>
            <w:tcW w:w="810" w:type="dxa"/>
            <w:tcBorders>
              <w:top w:val="nil"/>
              <w:left w:val="nil"/>
              <w:bottom w:val="single" w:sz="4" w:space="0" w:color="auto"/>
              <w:right w:val="single" w:sz="4" w:space="0" w:color="auto"/>
            </w:tcBorders>
            <w:shd w:val="clear" w:color="auto" w:fill="auto"/>
            <w:vAlign w:val="center"/>
            <w:hideMark/>
          </w:tcPr>
          <w:p w14:paraId="35146DB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0.14</w:t>
            </w:r>
          </w:p>
        </w:tc>
        <w:tc>
          <w:tcPr>
            <w:tcW w:w="1023" w:type="dxa"/>
            <w:tcBorders>
              <w:top w:val="nil"/>
              <w:left w:val="nil"/>
              <w:bottom w:val="single" w:sz="4" w:space="0" w:color="auto"/>
              <w:right w:val="single" w:sz="8" w:space="0" w:color="auto"/>
            </w:tcBorders>
            <w:shd w:val="clear" w:color="auto" w:fill="auto"/>
            <w:vAlign w:val="center"/>
            <w:hideMark/>
          </w:tcPr>
          <w:p w14:paraId="6BC19570"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1.58</w:t>
            </w:r>
          </w:p>
        </w:tc>
      </w:tr>
      <w:tr w:rsidR="00C7014F" w:rsidRPr="00C7014F" w14:paraId="361D432D"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0FE6961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11</w:t>
            </w:r>
          </w:p>
        </w:tc>
        <w:tc>
          <w:tcPr>
            <w:tcW w:w="889" w:type="dxa"/>
            <w:tcBorders>
              <w:top w:val="nil"/>
              <w:left w:val="nil"/>
              <w:bottom w:val="single" w:sz="4" w:space="0" w:color="auto"/>
              <w:right w:val="single" w:sz="4" w:space="0" w:color="auto"/>
            </w:tcBorders>
            <w:shd w:val="clear" w:color="auto" w:fill="auto"/>
            <w:vAlign w:val="center"/>
            <w:hideMark/>
          </w:tcPr>
          <w:p w14:paraId="1C17C05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1.58</w:t>
            </w:r>
          </w:p>
        </w:tc>
        <w:tc>
          <w:tcPr>
            <w:tcW w:w="900" w:type="dxa"/>
            <w:tcBorders>
              <w:top w:val="nil"/>
              <w:left w:val="nil"/>
              <w:bottom w:val="single" w:sz="4" w:space="0" w:color="auto"/>
              <w:right w:val="single" w:sz="4" w:space="0" w:color="auto"/>
            </w:tcBorders>
            <w:shd w:val="clear" w:color="auto" w:fill="auto"/>
            <w:vAlign w:val="center"/>
            <w:hideMark/>
          </w:tcPr>
          <w:p w14:paraId="563AFCA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0.26</w:t>
            </w:r>
          </w:p>
        </w:tc>
        <w:tc>
          <w:tcPr>
            <w:tcW w:w="747" w:type="dxa"/>
            <w:tcBorders>
              <w:top w:val="nil"/>
              <w:left w:val="nil"/>
              <w:bottom w:val="single" w:sz="4" w:space="0" w:color="auto"/>
              <w:right w:val="single" w:sz="4" w:space="0" w:color="auto"/>
            </w:tcBorders>
            <w:shd w:val="clear" w:color="auto" w:fill="auto"/>
            <w:vAlign w:val="center"/>
            <w:hideMark/>
          </w:tcPr>
          <w:p w14:paraId="2FFCA40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0.16</w:t>
            </w:r>
          </w:p>
        </w:tc>
        <w:tc>
          <w:tcPr>
            <w:tcW w:w="839" w:type="dxa"/>
            <w:tcBorders>
              <w:top w:val="nil"/>
              <w:left w:val="nil"/>
              <w:bottom w:val="single" w:sz="4" w:space="0" w:color="auto"/>
              <w:right w:val="single" w:sz="8" w:space="0" w:color="auto"/>
            </w:tcBorders>
            <w:shd w:val="clear" w:color="auto" w:fill="auto"/>
            <w:vAlign w:val="center"/>
            <w:hideMark/>
          </w:tcPr>
          <w:p w14:paraId="0A2EAF2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1.61</w:t>
            </w:r>
          </w:p>
        </w:tc>
        <w:tc>
          <w:tcPr>
            <w:tcW w:w="944" w:type="dxa"/>
            <w:tcBorders>
              <w:top w:val="nil"/>
              <w:left w:val="nil"/>
              <w:bottom w:val="single" w:sz="4" w:space="0" w:color="auto"/>
              <w:right w:val="single" w:sz="4" w:space="0" w:color="auto"/>
            </w:tcBorders>
            <w:shd w:val="clear" w:color="auto" w:fill="auto"/>
            <w:vAlign w:val="center"/>
            <w:hideMark/>
          </w:tcPr>
          <w:p w14:paraId="3C029E5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1.56</w:t>
            </w:r>
          </w:p>
        </w:tc>
        <w:tc>
          <w:tcPr>
            <w:tcW w:w="900" w:type="dxa"/>
            <w:tcBorders>
              <w:top w:val="nil"/>
              <w:left w:val="nil"/>
              <w:bottom w:val="single" w:sz="4" w:space="0" w:color="auto"/>
              <w:right w:val="single" w:sz="4" w:space="0" w:color="auto"/>
            </w:tcBorders>
            <w:shd w:val="clear" w:color="auto" w:fill="auto"/>
            <w:vAlign w:val="center"/>
            <w:hideMark/>
          </w:tcPr>
          <w:p w14:paraId="4B80953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c>
          <w:tcPr>
            <w:tcW w:w="810" w:type="dxa"/>
            <w:tcBorders>
              <w:top w:val="nil"/>
              <w:left w:val="nil"/>
              <w:bottom w:val="single" w:sz="4" w:space="0" w:color="auto"/>
              <w:right w:val="single" w:sz="4" w:space="0" w:color="auto"/>
            </w:tcBorders>
            <w:shd w:val="clear" w:color="auto" w:fill="auto"/>
            <w:vAlign w:val="center"/>
            <w:hideMark/>
          </w:tcPr>
          <w:p w14:paraId="1EEA431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w:t>
            </w:r>
          </w:p>
        </w:tc>
        <w:tc>
          <w:tcPr>
            <w:tcW w:w="1023" w:type="dxa"/>
            <w:tcBorders>
              <w:top w:val="nil"/>
              <w:left w:val="nil"/>
              <w:bottom w:val="single" w:sz="4" w:space="0" w:color="auto"/>
              <w:right w:val="single" w:sz="8" w:space="0" w:color="auto"/>
            </w:tcBorders>
            <w:shd w:val="clear" w:color="auto" w:fill="auto"/>
            <w:vAlign w:val="center"/>
            <w:hideMark/>
          </w:tcPr>
          <w:p w14:paraId="1C1D965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1.58</w:t>
            </w:r>
          </w:p>
        </w:tc>
      </w:tr>
      <w:tr w:rsidR="00C7014F" w:rsidRPr="00C7014F" w14:paraId="72235263"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1BA6D85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12</w:t>
            </w:r>
          </w:p>
        </w:tc>
        <w:tc>
          <w:tcPr>
            <w:tcW w:w="889" w:type="dxa"/>
            <w:tcBorders>
              <w:top w:val="nil"/>
              <w:left w:val="nil"/>
              <w:bottom w:val="single" w:sz="4" w:space="0" w:color="auto"/>
              <w:right w:val="single" w:sz="4" w:space="0" w:color="auto"/>
            </w:tcBorders>
            <w:shd w:val="clear" w:color="auto" w:fill="auto"/>
            <w:vAlign w:val="center"/>
            <w:hideMark/>
          </w:tcPr>
          <w:p w14:paraId="6AC61D8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1.57</w:t>
            </w:r>
          </w:p>
        </w:tc>
        <w:tc>
          <w:tcPr>
            <w:tcW w:w="900" w:type="dxa"/>
            <w:tcBorders>
              <w:top w:val="nil"/>
              <w:left w:val="nil"/>
              <w:bottom w:val="single" w:sz="4" w:space="0" w:color="auto"/>
              <w:right w:val="single" w:sz="4" w:space="0" w:color="auto"/>
            </w:tcBorders>
            <w:shd w:val="clear" w:color="auto" w:fill="auto"/>
            <w:vAlign w:val="center"/>
            <w:hideMark/>
          </w:tcPr>
          <w:p w14:paraId="4D68A0E9"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0.26</w:t>
            </w:r>
          </w:p>
        </w:tc>
        <w:tc>
          <w:tcPr>
            <w:tcW w:w="747" w:type="dxa"/>
            <w:tcBorders>
              <w:top w:val="nil"/>
              <w:left w:val="nil"/>
              <w:bottom w:val="single" w:sz="4" w:space="0" w:color="auto"/>
              <w:right w:val="single" w:sz="4" w:space="0" w:color="auto"/>
            </w:tcBorders>
            <w:shd w:val="clear" w:color="auto" w:fill="auto"/>
            <w:vAlign w:val="center"/>
            <w:hideMark/>
          </w:tcPr>
          <w:p w14:paraId="41F1D9B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0.16</w:t>
            </w:r>
          </w:p>
        </w:tc>
        <w:tc>
          <w:tcPr>
            <w:tcW w:w="839" w:type="dxa"/>
            <w:tcBorders>
              <w:top w:val="nil"/>
              <w:left w:val="nil"/>
              <w:bottom w:val="single" w:sz="4" w:space="0" w:color="auto"/>
              <w:right w:val="single" w:sz="8" w:space="0" w:color="auto"/>
            </w:tcBorders>
            <w:shd w:val="clear" w:color="auto" w:fill="auto"/>
            <w:vAlign w:val="center"/>
            <w:hideMark/>
          </w:tcPr>
          <w:p w14:paraId="76394D5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1.60</w:t>
            </w:r>
          </w:p>
        </w:tc>
        <w:tc>
          <w:tcPr>
            <w:tcW w:w="944" w:type="dxa"/>
            <w:tcBorders>
              <w:top w:val="nil"/>
              <w:left w:val="nil"/>
              <w:bottom w:val="single" w:sz="4" w:space="0" w:color="auto"/>
              <w:right w:val="single" w:sz="4" w:space="0" w:color="auto"/>
            </w:tcBorders>
            <w:shd w:val="clear" w:color="auto" w:fill="auto"/>
            <w:vAlign w:val="center"/>
            <w:hideMark/>
          </w:tcPr>
          <w:p w14:paraId="0F58EDF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1.56</w:t>
            </w:r>
          </w:p>
        </w:tc>
        <w:tc>
          <w:tcPr>
            <w:tcW w:w="900" w:type="dxa"/>
            <w:tcBorders>
              <w:top w:val="nil"/>
              <w:left w:val="nil"/>
              <w:bottom w:val="single" w:sz="4" w:space="0" w:color="auto"/>
              <w:right w:val="single" w:sz="4" w:space="0" w:color="auto"/>
            </w:tcBorders>
            <w:shd w:val="clear" w:color="auto" w:fill="auto"/>
            <w:vAlign w:val="center"/>
            <w:hideMark/>
          </w:tcPr>
          <w:p w14:paraId="61AE74E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c>
          <w:tcPr>
            <w:tcW w:w="810" w:type="dxa"/>
            <w:tcBorders>
              <w:top w:val="nil"/>
              <w:left w:val="nil"/>
              <w:bottom w:val="single" w:sz="4" w:space="0" w:color="auto"/>
              <w:right w:val="single" w:sz="4" w:space="0" w:color="auto"/>
            </w:tcBorders>
            <w:shd w:val="clear" w:color="auto" w:fill="auto"/>
            <w:vAlign w:val="center"/>
            <w:hideMark/>
          </w:tcPr>
          <w:p w14:paraId="7CC776A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0.09</w:t>
            </w:r>
          </w:p>
        </w:tc>
        <w:tc>
          <w:tcPr>
            <w:tcW w:w="1023" w:type="dxa"/>
            <w:tcBorders>
              <w:top w:val="nil"/>
              <w:left w:val="nil"/>
              <w:bottom w:val="single" w:sz="4" w:space="0" w:color="auto"/>
              <w:right w:val="single" w:sz="8" w:space="0" w:color="auto"/>
            </w:tcBorders>
            <w:shd w:val="clear" w:color="auto" w:fill="auto"/>
            <w:vAlign w:val="center"/>
            <w:hideMark/>
          </w:tcPr>
          <w:p w14:paraId="0B20532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1.58</w:t>
            </w:r>
          </w:p>
        </w:tc>
      </w:tr>
      <w:tr w:rsidR="00C7014F" w:rsidRPr="00C7014F" w14:paraId="243F30A5" w14:textId="77777777" w:rsidTr="00D8652F">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tcPr>
          <w:p w14:paraId="6334D364" w14:textId="6B178153"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13</w:t>
            </w:r>
          </w:p>
        </w:tc>
        <w:tc>
          <w:tcPr>
            <w:tcW w:w="889" w:type="dxa"/>
            <w:tcBorders>
              <w:top w:val="nil"/>
              <w:left w:val="nil"/>
              <w:bottom w:val="single" w:sz="4" w:space="0" w:color="auto"/>
              <w:right w:val="single" w:sz="4" w:space="0" w:color="auto"/>
            </w:tcBorders>
            <w:shd w:val="clear" w:color="auto" w:fill="auto"/>
          </w:tcPr>
          <w:p w14:paraId="7C9E912B" w14:textId="0E838387"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6A3429C3" w14:textId="66597AE0"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0.26</w:t>
            </w:r>
          </w:p>
        </w:tc>
        <w:tc>
          <w:tcPr>
            <w:tcW w:w="747" w:type="dxa"/>
            <w:tcBorders>
              <w:top w:val="nil"/>
              <w:left w:val="nil"/>
              <w:bottom w:val="single" w:sz="4" w:space="0" w:color="auto"/>
              <w:right w:val="single" w:sz="4" w:space="0" w:color="auto"/>
            </w:tcBorders>
            <w:shd w:val="clear" w:color="auto" w:fill="auto"/>
          </w:tcPr>
          <w:p w14:paraId="6E330384" w14:textId="11CBE35B"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0.09</w:t>
            </w:r>
          </w:p>
        </w:tc>
        <w:tc>
          <w:tcPr>
            <w:tcW w:w="839" w:type="dxa"/>
            <w:tcBorders>
              <w:top w:val="nil"/>
              <w:left w:val="nil"/>
              <w:bottom w:val="single" w:sz="4" w:space="0" w:color="auto"/>
              <w:right w:val="single" w:sz="8" w:space="0" w:color="auto"/>
            </w:tcBorders>
            <w:shd w:val="clear" w:color="auto" w:fill="auto"/>
          </w:tcPr>
          <w:p w14:paraId="361ACB73" w14:textId="55DDD6D3"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1.69</w:t>
            </w:r>
          </w:p>
        </w:tc>
        <w:tc>
          <w:tcPr>
            <w:tcW w:w="944" w:type="dxa"/>
            <w:tcBorders>
              <w:top w:val="nil"/>
              <w:left w:val="nil"/>
              <w:bottom w:val="single" w:sz="4" w:space="0" w:color="auto"/>
              <w:right w:val="single" w:sz="4" w:space="0" w:color="auto"/>
            </w:tcBorders>
            <w:shd w:val="clear" w:color="auto" w:fill="auto"/>
          </w:tcPr>
          <w:p w14:paraId="3CFBD537" w14:textId="3A874268"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242F820A" w14:textId="720B5CE1"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0.36</w:t>
            </w:r>
          </w:p>
        </w:tc>
        <w:tc>
          <w:tcPr>
            <w:tcW w:w="810" w:type="dxa"/>
            <w:tcBorders>
              <w:top w:val="nil"/>
              <w:left w:val="nil"/>
              <w:bottom w:val="single" w:sz="4" w:space="0" w:color="auto"/>
              <w:right w:val="single" w:sz="4" w:space="0" w:color="auto"/>
            </w:tcBorders>
            <w:shd w:val="clear" w:color="auto" w:fill="auto"/>
          </w:tcPr>
          <w:p w14:paraId="4D9C720E" w14:textId="38F7206B"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0.05</w:t>
            </w:r>
          </w:p>
        </w:tc>
        <w:tc>
          <w:tcPr>
            <w:tcW w:w="1023" w:type="dxa"/>
            <w:tcBorders>
              <w:top w:val="nil"/>
              <w:left w:val="nil"/>
              <w:bottom w:val="single" w:sz="4" w:space="0" w:color="auto"/>
              <w:right w:val="single" w:sz="8" w:space="0" w:color="auto"/>
            </w:tcBorders>
            <w:shd w:val="clear" w:color="auto" w:fill="auto"/>
          </w:tcPr>
          <w:p w14:paraId="05D05450" w14:textId="7BA38C4C"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1.71</w:t>
            </w:r>
          </w:p>
        </w:tc>
      </w:tr>
      <w:tr w:rsidR="00C7014F" w:rsidRPr="00C7014F" w14:paraId="1AF3A0FE" w14:textId="77777777" w:rsidTr="00D8652F">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tcPr>
          <w:p w14:paraId="2739EA88" w14:textId="68EB8AE7"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14</w:t>
            </w:r>
          </w:p>
        </w:tc>
        <w:tc>
          <w:tcPr>
            <w:tcW w:w="889" w:type="dxa"/>
            <w:tcBorders>
              <w:top w:val="nil"/>
              <w:left w:val="nil"/>
              <w:bottom w:val="single" w:sz="4" w:space="0" w:color="auto"/>
              <w:right w:val="single" w:sz="4" w:space="0" w:color="auto"/>
            </w:tcBorders>
            <w:shd w:val="clear" w:color="auto" w:fill="auto"/>
          </w:tcPr>
          <w:p w14:paraId="73E72CE8" w14:textId="4C4A413C"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06B2C7C1" w14:textId="57B57DED"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0.27</w:t>
            </w:r>
          </w:p>
        </w:tc>
        <w:tc>
          <w:tcPr>
            <w:tcW w:w="747" w:type="dxa"/>
            <w:tcBorders>
              <w:top w:val="nil"/>
              <w:left w:val="nil"/>
              <w:bottom w:val="single" w:sz="4" w:space="0" w:color="auto"/>
              <w:right w:val="single" w:sz="4" w:space="0" w:color="auto"/>
            </w:tcBorders>
            <w:shd w:val="clear" w:color="auto" w:fill="auto"/>
          </w:tcPr>
          <w:p w14:paraId="13A5FA2D" w14:textId="68ACD2D9"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0.09</w:t>
            </w:r>
          </w:p>
        </w:tc>
        <w:tc>
          <w:tcPr>
            <w:tcW w:w="839" w:type="dxa"/>
            <w:tcBorders>
              <w:top w:val="nil"/>
              <w:left w:val="nil"/>
              <w:bottom w:val="single" w:sz="4" w:space="0" w:color="auto"/>
              <w:right w:val="single" w:sz="8" w:space="0" w:color="auto"/>
            </w:tcBorders>
            <w:shd w:val="clear" w:color="auto" w:fill="auto"/>
          </w:tcPr>
          <w:p w14:paraId="617B59A0" w14:textId="4921C24C"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1.69</w:t>
            </w:r>
          </w:p>
        </w:tc>
        <w:tc>
          <w:tcPr>
            <w:tcW w:w="944" w:type="dxa"/>
            <w:tcBorders>
              <w:top w:val="nil"/>
              <w:left w:val="nil"/>
              <w:bottom w:val="single" w:sz="4" w:space="0" w:color="auto"/>
              <w:right w:val="single" w:sz="4" w:space="0" w:color="auto"/>
            </w:tcBorders>
            <w:shd w:val="clear" w:color="auto" w:fill="auto"/>
          </w:tcPr>
          <w:p w14:paraId="542A41B0" w14:textId="2F27B3EE"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7426F2B9" w14:textId="212E6E88"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0.39</w:t>
            </w:r>
          </w:p>
        </w:tc>
        <w:tc>
          <w:tcPr>
            <w:tcW w:w="810" w:type="dxa"/>
            <w:tcBorders>
              <w:top w:val="nil"/>
              <w:left w:val="nil"/>
              <w:bottom w:val="single" w:sz="4" w:space="0" w:color="auto"/>
              <w:right w:val="single" w:sz="4" w:space="0" w:color="auto"/>
            </w:tcBorders>
            <w:shd w:val="clear" w:color="auto" w:fill="auto"/>
          </w:tcPr>
          <w:p w14:paraId="153A91BB" w14:textId="0D530C4F"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0.05</w:t>
            </w:r>
          </w:p>
        </w:tc>
        <w:tc>
          <w:tcPr>
            <w:tcW w:w="1023" w:type="dxa"/>
            <w:tcBorders>
              <w:top w:val="nil"/>
              <w:left w:val="nil"/>
              <w:bottom w:val="single" w:sz="4" w:space="0" w:color="auto"/>
              <w:right w:val="single" w:sz="8" w:space="0" w:color="auto"/>
            </w:tcBorders>
            <w:shd w:val="clear" w:color="auto" w:fill="auto"/>
          </w:tcPr>
          <w:p w14:paraId="02F5636B" w14:textId="460BEF51"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1.71</w:t>
            </w:r>
          </w:p>
        </w:tc>
      </w:tr>
      <w:tr w:rsidR="00C7014F" w:rsidRPr="00C7014F" w14:paraId="74ACF52B" w14:textId="77777777" w:rsidTr="00D8652F">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tcPr>
          <w:p w14:paraId="0F73EEB2" w14:textId="47F6BEB1"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15</w:t>
            </w:r>
          </w:p>
        </w:tc>
        <w:tc>
          <w:tcPr>
            <w:tcW w:w="889" w:type="dxa"/>
            <w:tcBorders>
              <w:top w:val="nil"/>
              <w:left w:val="nil"/>
              <w:bottom w:val="single" w:sz="4" w:space="0" w:color="auto"/>
              <w:right w:val="single" w:sz="4" w:space="0" w:color="auto"/>
            </w:tcBorders>
            <w:shd w:val="clear" w:color="auto" w:fill="auto"/>
          </w:tcPr>
          <w:p w14:paraId="6D98D28A" w14:textId="52E8CE3E"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1AD1FAF6" w14:textId="483CF5DE"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0.31</w:t>
            </w:r>
          </w:p>
        </w:tc>
        <w:tc>
          <w:tcPr>
            <w:tcW w:w="747" w:type="dxa"/>
            <w:tcBorders>
              <w:top w:val="nil"/>
              <w:left w:val="nil"/>
              <w:bottom w:val="single" w:sz="4" w:space="0" w:color="auto"/>
              <w:right w:val="single" w:sz="4" w:space="0" w:color="auto"/>
            </w:tcBorders>
            <w:shd w:val="clear" w:color="auto" w:fill="auto"/>
          </w:tcPr>
          <w:p w14:paraId="0495688B" w14:textId="65B11B37"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0.10</w:t>
            </w:r>
          </w:p>
        </w:tc>
        <w:tc>
          <w:tcPr>
            <w:tcW w:w="839" w:type="dxa"/>
            <w:tcBorders>
              <w:top w:val="nil"/>
              <w:left w:val="nil"/>
              <w:bottom w:val="single" w:sz="4" w:space="0" w:color="auto"/>
              <w:right w:val="single" w:sz="8" w:space="0" w:color="auto"/>
            </w:tcBorders>
            <w:shd w:val="clear" w:color="auto" w:fill="auto"/>
          </w:tcPr>
          <w:p w14:paraId="72D8404F" w14:textId="566DF774"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1.70</w:t>
            </w:r>
          </w:p>
        </w:tc>
        <w:tc>
          <w:tcPr>
            <w:tcW w:w="944" w:type="dxa"/>
            <w:tcBorders>
              <w:top w:val="nil"/>
              <w:left w:val="nil"/>
              <w:bottom w:val="single" w:sz="4" w:space="0" w:color="auto"/>
              <w:right w:val="single" w:sz="4" w:space="0" w:color="auto"/>
            </w:tcBorders>
            <w:shd w:val="clear" w:color="auto" w:fill="auto"/>
          </w:tcPr>
          <w:p w14:paraId="6D281028" w14:textId="53BAFB40"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1.59</w:t>
            </w:r>
          </w:p>
        </w:tc>
        <w:tc>
          <w:tcPr>
            <w:tcW w:w="900" w:type="dxa"/>
            <w:tcBorders>
              <w:top w:val="nil"/>
              <w:left w:val="nil"/>
              <w:bottom w:val="single" w:sz="4" w:space="0" w:color="auto"/>
              <w:right w:val="single" w:sz="4" w:space="0" w:color="auto"/>
            </w:tcBorders>
            <w:shd w:val="clear" w:color="auto" w:fill="auto"/>
          </w:tcPr>
          <w:p w14:paraId="3500B94E" w14:textId="4745A57C"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0.52</w:t>
            </w:r>
          </w:p>
        </w:tc>
        <w:tc>
          <w:tcPr>
            <w:tcW w:w="810" w:type="dxa"/>
            <w:tcBorders>
              <w:top w:val="nil"/>
              <w:left w:val="nil"/>
              <w:bottom w:val="single" w:sz="4" w:space="0" w:color="auto"/>
              <w:right w:val="single" w:sz="4" w:space="0" w:color="auto"/>
            </w:tcBorders>
            <w:shd w:val="clear" w:color="auto" w:fill="auto"/>
          </w:tcPr>
          <w:p w14:paraId="77D1B907" w14:textId="55EA5AB7"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0.06</w:t>
            </w:r>
          </w:p>
        </w:tc>
        <w:tc>
          <w:tcPr>
            <w:tcW w:w="1023" w:type="dxa"/>
            <w:tcBorders>
              <w:top w:val="nil"/>
              <w:left w:val="nil"/>
              <w:bottom w:val="single" w:sz="4" w:space="0" w:color="auto"/>
              <w:right w:val="single" w:sz="8" w:space="0" w:color="auto"/>
            </w:tcBorders>
            <w:shd w:val="clear" w:color="auto" w:fill="auto"/>
          </w:tcPr>
          <w:p w14:paraId="43B43DA0" w14:textId="1AA70210"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1.75</w:t>
            </w:r>
          </w:p>
        </w:tc>
      </w:tr>
      <w:tr w:rsidR="00C7014F" w:rsidRPr="00C7014F" w14:paraId="05D411C6" w14:textId="77777777" w:rsidTr="00D8652F">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tcPr>
          <w:p w14:paraId="3522E5CC" w14:textId="3AA8E008"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w:t>
            </w:r>
          </w:p>
        </w:tc>
        <w:tc>
          <w:tcPr>
            <w:tcW w:w="889" w:type="dxa"/>
            <w:tcBorders>
              <w:top w:val="nil"/>
              <w:left w:val="nil"/>
              <w:bottom w:val="single" w:sz="4" w:space="0" w:color="auto"/>
              <w:right w:val="single" w:sz="4" w:space="0" w:color="auto"/>
            </w:tcBorders>
            <w:shd w:val="clear" w:color="auto" w:fill="auto"/>
          </w:tcPr>
          <w:p w14:paraId="16D68AF8" w14:textId="1406E2A7"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1.69</w:t>
            </w:r>
          </w:p>
        </w:tc>
        <w:tc>
          <w:tcPr>
            <w:tcW w:w="900" w:type="dxa"/>
            <w:tcBorders>
              <w:top w:val="nil"/>
              <w:left w:val="nil"/>
              <w:bottom w:val="single" w:sz="4" w:space="0" w:color="auto"/>
              <w:right w:val="single" w:sz="4" w:space="0" w:color="auto"/>
            </w:tcBorders>
            <w:shd w:val="clear" w:color="auto" w:fill="auto"/>
          </w:tcPr>
          <w:p w14:paraId="3F9E06FD" w14:textId="6731D50A"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0.32</w:t>
            </w:r>
          </w:p>
        </w:tc>
        <w:tc>
          <w:tcPr>
            <w:tcW w:w="747" w:type="dxa"/>
            <w:tcBorders>
              <w:top w:val="nil"/>
              <w:left w:val="nil"/>
              <w:bottom w:val="single" w:sz="4" w:space="0" w:color="auto"/>
              <w:right w:val="single" w:sz="4" w:space="0" w:color="auto"/>
            </w:tcBorders>
            <w:shd w:val="clear" w:color="auto" w:fill="auto"/>
          </w:tcPr>
          <w:p w14:paraId="2C7EE8E9" w14:textId="7DC6DF8F"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0.08</w:t>
            </w:r>
          </w:p>
        </w:tc>
        <w:tc>
          <w:tcPr>
            <w:tcW w:w="839" w:type="dxa"/>
            <w:tcBorders>
              <w:top w:val="nil"/>
              <w:left w:val="nil"/>
              <w:bottom w:val="single" w:sz="4" w:space="0" w:color="auto"/>
              <w:right w:val="single" w:sz="8" w:space="0" w:color="auto"/>
            </w:tcBorders>
            <w:shd w:val="clear" w:color="auto" w:fill="auto"/>
          </w:tcPr>
          <w:p w14:paraId="1BB9F3AF" w14:textId="517B659D"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1.79</w:t>
            </w:r>
          </w:p>
        </w:tc>
        <w:tc>
          <w:tcPr>
            <w:tcW w:w="944" w:type="dxa"/>
            <w:tcBorders>
              <w:top w:val="nil"/>
              <w:left w:val="nil"/>
              <w:bottom w:val="single" w:sz="4" w:space="0" w:color="auto"/>
              <w:right w:val="single" w:sz="4" w:space="0" w:color="auto"/>
            </w:tcBorders>
            <w:shd w:val="clear" w:color="auto" w:fill="auto"/>
          </w:tcPr>
          <w:p w14:paraId="47C64D87" w14:textId="05F60AD6"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1.67</w:t>
            </w:r>
          </w:p>
        </w:tc>
        <w:tc>
          <w:tcPr>
            <w:tcW w:w="900" w:type="dxa"/>
            <w:tcBorders>
              <w:top w:val="nil"/>
              <w:left w:val="nil"/>
              <w:bottom w:val="single" w:sz="4" w:space="0" w:color="auto"/>
              <w:right w:val="single" w:sz="4" w:space="0" w:color="auto"/>
            </w:tcBorders>
            <w:shd w:val="clear" w:color="auto" w:fill="auto"/>
          </w:tcPr>
          <w:p w14:paraId="1D98FC6D" w14:textId="4B0A5C34"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0.54</w:t>
            </w:r>
          </w:p>
        </w:tc>
        <w:tc>
          <w:tcPr>
            <w:tcW w:w="810" w:type="dxa"/>
            <w:tcBorders>
              <w:top w:val="nil"/>
              <w:left w:val="nil"/>
              <w:bottom w:val="single" w:sz="4" w:space="0" w:color="auto"/>
              <w:right w:val="single" w:sz="4" w:space="0" w:color="auto"/>
            </w:tcBorders>
            <w:shd w:val="clear" w:color="auto" w:fill="auto"/>
          </w:tcPr>
          <w:p w14:paraId="1118A6E9" w14:textId="67801406"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0.05</w:t>
            </w:r>
          </w:p>
        </w:tc>
        <w:tc>
          <w:tcPr>
            <w:tcW w:w="1023" w:type="dxa"/>
            <w:tcBorders>
              <w:top w:val="nil"/>
              <w:left w:val="nil"/>
              <w:bottom w:val="single" w:sz="4" w:space="0" w:color="auto"/>
              <w:right w:val="single" w:sz="8" w:space="0" w:color="auto"/>
            </w:tcBorders>
            <w:shd w:val="clear" w:color="auto" w:fill="auto"/>
          </w:tcPr>
          <w:p w14:paraId="79C7ECCB" w14:textId="378D21EA" w:rsidR="00D8652F" w:rsidRPr="00C7014F" w:rsidRDefault="00D8652F" w:rsidP="00D8652F">
            <w:pPr>
              <w:spacing w:after="0" w:line="240" w:lineRule="exact"/>
              <w:contextualSpacing/>
              <w:jc w:val="center"/>
              <w:rPr>
                <w:rFonts w:ascii="Palatino Linotype" w:eastAsia="Times New Roman" w:hAnsi="Palatino Linotype" w:cs="Calibri"/>
                <w:sz w:val="18"/>
                <w:szCs w:val="18"/>
              </w:rPr>
            </w:pPr>
            <w:r w:rsidRPr="00C7014F">
              <w:rPr>
                <w:rFonts w:ascii="Palatino Linotype" w:hAnsi="Palatino Linotype"/>
                <w:sz w:val="18"/>
                <w:szCs w:val="18"/>
              </w:rPr>
              <w:t>1.83</w:t>
            </w:r>
          </w:p>
        </w:tc>
      </w:tr>
      <w:tr w:rsidR="00C7014F" w:rsidRPr="00C7014F" w14:paraId="4D2F6B40"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501CA1E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17</w:t>
            </w:r>
          </w:p>
        </w:tc>
        <w:tc>
          <w:tcPr>
            <w:tcW w:w="889" w:type="dxa"/>
            <w:tcBorders>
              <w:top w:val="nil"/>
              <w:left w:val="nil"/>
              <w:bottom w:val="single" w:sz="4" w:space="0" w:color="auto"/>
              <w:right w:val="single" w:sz="4" w:space="0" w:color="auto"/>
            </w:tcBorders>
            <w:shd w:val="clear" w:color="auto" w:fill="auto"/>
            <w:vAlign w:val="center"/>
            <w:hideMark/>
          </w:tcPr>
          <w:p w14:paraId="757B8077"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1.62</w:t>
            </w:r>
          </w:p>
        </w:tc>
        <w:tc>
          <w:tcPr>
            <w:tcW w:w="900" w:type="dxa"/>
            <w:tcBorders>
              <w:top w:val="nil"/>
              <w:left w:val="nil"/>
              <w:bottom w:val="single" w:sz="4" w:space="0" w:color="auto"/>
              <w:right w:val="single" w:sz="4" w:space="0" w:color="auto"/>
            </w:tcBorders>
            <w:shd w:val="clear" w:color="auto" w:fill="auto"/>
            <w:vAlign w:val="center"/>
            <w:hideMark/>
          </w:tcPr>
          <w:p w14:paraId="1DFC50D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0.14</w:t>
            </w:r>
          </w:p>
        </w:tc>
        <w:tc>
          <w:tcPr>
            <w:tcW w:w="747" w:type="dxa"/>
            <w:tcBorders>
              <w:top w:val="nil"/>
              <w:left w:val="nil"/>
              <w:bottom w:val="single" w:sz="4" w:space="0" w:color="auto"/>
              <w:right w:val="single" w:sz="4" w:space="0" w:color="auto"/>
            </w:tcBorders>
            <w:shd w:val="clear" w:color="auto" w:fill="auto"/>
            <w:vAlign w:val="center"/>
            <w:hideMark/>
          </w:tcPr>
          <w:p w14:paraId="73B6FD0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0.26</w:t>
            </w:r>
          </w:p>
        </w:tc>
        <w:tc>
          <w:tcPr>
            <w:tcW w:w="839" w:type="dxa"/>
            <w:tcBorders>
              <w:top w:val="nil"/>
              <w:left w:val="nil"/>
              <w:bottom w:val="single" w:sz="4" w:space="0" w:color="auto"/>
              <w:right w:val="single" w:sz="8" w:space="0" w:color="auto"/>
            </w:tcBorders>
            <w:shd w:val="clear" w:color="auto" w:fill="auto"/>
            <w:vAlign w:val="center"/>
            <w:hideMark/>
          </w:tcPr>
          <w:p w14:paraId="4E161870"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1.65</w:t>
            </w:r>
          </w:p>
        </w:tc>
        <w:tc>
          <w:tcPr>
            <w:tcW w:w="944" w:type="dxa"/>
            <w:tcBorders>
              <w:top w:val="nil"/>
              <w:left w:val="nil"/>
              <w:bottom w:val="single" w:sz="4" w:space="0" w:color="auto"/>
              <w:right w:val="single" w:sz="4" w:space="0" w:color="auto"/>
            </w:tcBorders>
            <w:shd w:val="clear" w:color="auto" w:fill="auto"/>
            <w:vAlign w:val="center"/>
            <w:hideMark/>
          </w:tcPr>
          <w:p w14:paraId="40B4565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w:t>
            </w:r>
          </w:p>
        </w:tc>
        <w:tc>
          <w:tcPr>
            <w:tcW w:w="900" w:type="dxa"/>
            <w:tcBorders>
              <w:top w:val="nil"/>
              <w:left w:val="nil"/>
              <w:bottom w:val="single" w:sz="4" w:space="0" w:color="auto"/>
              <w:right w:val="single" w:sz="4" w:space="0" w:color="auto"/>
            </w:tcBorders>
            <w:shd w:val="clear" w:color="auto" w:fill="auto"/>
            <w:vAlign w:val="center"/>
            <w:hideMark/>
          </w:tcPr>
          <w:p w14:paraId="6160C5F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0.24</w:t>
            </w:r>
          </w:p>
        </w:tc>
        <w:tc>
          <w:tcPr>
            <w:tcW w:w="810" w:type="dxa"/>
            <w:tcBorders>
              <w:top w:val="nil"/>
              <w:left w:val="nil"/>
              <w:bottom w:val="single" w:sz="4" w:space="0" w:color="auto"/>
              <w:right w:val="single" w:sz="4" w:space="0" w:color="auto"/>
            </w:tcBorders>
            <w:shd w:val="clear" w:color="auto" w:fill="auto"/>
            <w:vAlign w:val="center"/>
            <w:hideMark/>
          </w:tcPr>
          <w:p w14:paraId="589721F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0.21</w:t>
            </w:r>
          </w:p>
        </w:tc>
        <w:tc>
          <w:tcPr>
            <w:tcW w:w="1023" w:type="dxa"/>
            <w:tcBorders>
              <w:top w:val="nil"/>
              <w:left w:val="nil"/>
              <w:bottom w:val="single" w:sz="4" w:space="0" w:color="auto"/>
              <w:right w:val="single" w:sz="8" w:space="0" w:color="auto"/>
            </w:tcBorders>
            <w:shd w:val="clear" w:color="auto" w:fill="auto"/>
            <w:vAlign w:val="center"/>
            <w:hideMark/>
          </w:tcPr>
          <w:p w14:paraId="38FFECE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1.63</w:t>
            </w:r>
          </w:p>
        </w:tc>
      </w:tr>
      <w:tr w:rsidR="00C7014F" w:rsidRPr="00C7014F" w14:paraId="6AFB471F" w14:textId="77777777" w:rsidTr="00CD4BD5">
        <w:trPr>
          <w:trHeight w:hRule="exact" w:val="288"/>
          <w:jc w:val="center"/>
        </w:trPr>
        <w:tc>
          <w:tcPr>
            <w:tcW w:w="991" w:type="dxa"/>
            <w:tcBorders>
              <w:top w:val="nil"/>
              <w:left w:val="single" w:sz="8" w:space="0" w:color="auto"/>
              <w:bottom w:val="single" w:sz="4" w:space="0" w:color="auto"/>
              <w:right w:val="single" w:sz="4" w:space="0" w:color="auto"/>
            </w:tcBorders>
            <w:shd w:val="clear" w:color="auto" w:fill="auto"/>
            <w:vAlign w:val="center"/>
            <w:hideMark/>
          </w:tcPr>
          <w:p w14:paraId="2F32453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18</w:t>
            </w:r>
          </w:p>
        </w:tc>
        <w:tc>
          <w:tcPr>
            <w:tcW w:w="889" w:type="dxa"/>
            <w:tcBorders>
              <w:top w:val="nil"/>
              <w:left w:val="nil"/>
              <w:bottom w:val="single" w:sz="4" w:space="0" w:color="auto"/>
              <w:right w:val="single" w:sz="4" w:space="0" w:color="auto"/>
            </w:tcBorders>
            <w:shd w:val="clear" w:color="auto" w:fill="auto"/>
            <w:vAlign w:val="center"/>
            <w:hideMark/>
          </w:tcPr>
          <w:p w14:paraId="369686C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1.64</w:t>
            </w:r>
          </w:p>
        </w:tc>
        <w:tc>
          <w:tcPr>
            <w:tcW w:w="900" w:type="dxa"/>
            <w:tcBorders>
              <w:top w:val="nil"/>
              <w:left w:val="nil"/>
              <w:bottom w:val="single" w:sz="4" w:space="0" w:color="auto"/>
              <w:right w:val="single" w:sz="4" w:space="0" w:color="auto"/>
            </w:tcBorders>
            <w:shd w:val="clear" w:color="auto" w:fill="auto"/>
            <w:vAlign w:val="center"/>
            <w:hideMark/>
          </w:tcPr>
          <w:p w14:paraId="47BD6FC9"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0.23</w:t>
            </w:r>
          </w:p>
        </w:tc>
        <w:tc>
          <w:tcPr>
            <w:tcW w:w="747" w:type="dxa"/>
            <w:tcBorders>
              <w:top w:val="nil"/>
              <w:left w:val="nil"/>
              <w:bottom w:val="single" w:sz="4" w:space="0" w:color="auto"/>
              <w:right w:val="single" w:sz="4" w:space="0" w:color="auto"/>
            </w:tcBorders>
            <w:shd w:val="clear" w:color="auto" w:fill="auto"/>
            <w:vAlign w:val="center"/>
            <w:hideMark/>
          </w:tcPr>
          <w:p w14:paraId="497656A6"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0.34</w:t>
            </w:r>
          </w:p>
        </w:tc>
        <w:tc>
          <w:tcPr>
            <w:tcW w:w="839" w:type="dxa"/>
            <w:tcBorders>
              <w:top w:val="nil"/>
              <w:left w:val="nil"/>
              <w:bottom w:val="single" w:sz="4" w:space="0" w:color="auto"/>
              <w:right w:val="single" w:sz="8" w:space="0" w:color="auto"/>
            </w:tcBorders>
            <w:shd w:val="clear" w:color="auto" w:fill="auto"/>
            <w:vAlign w:val="center"/>
            <w:hideMark/>
          </w:tcPr>
          <w:p w14:paraId="5BE6F5F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1.69</w:t>
            </w:r>
          </w:p>
        </w:tc>
        <w:tc>
          <w:tcPr>
            <w:tcW w:w="944" w:type="dxa"/>
            <w:tcBorders>
              <w:top w:val="nil"/>
              <w:left w:val="nil"/>
              <w:bottom w:val="single" w:sz="4" w:space="0" w:color="auto"/>
              <w:right w:val="single" w:sz="4" w:space="0" w:color="auto"/>
            </w:tcBorders>
            <w:shd w:val="clear" w:color="auto" w:fill="auto"/>
            <w:vAlign w:val="center"/>
            <w:hideMark/>
          </w:tcPr>
          <w:p w14:paraId="467718DD"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1.63</w:t>
            </w:r>
          </w:p>
        </w:tc>
        <w:tc>
          <w:tcPr>
            <w:tcW w:w="900" w:type="dxa"/>
            <w:tcBorders>
              <w:top w:val="nil"/>
              <w:left w:val="nil"/>
              <w:bottom w:val="single" w:sz="4" w:space="0" w:color="auto"/>
              <w:right w:val="single" w:sz="4" w:space="0" w:color="auto"/>
            </w:tcBorders>
            <w:shd w:val="clear" w:color="auto" w:fill="auto"/>
            <w:vAlign w:val="center"/>
            <w:hideMark/>
          </w:tcPr>
          <w:p w14:paraId="6201B418"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0.27</w:t>
            </w:r>
          </w:p>
        </w:tc>
        <w:tc>
          <w:tcPr>
            <w:tcW w:w="810" w:type="dxa"/>
            <w:tcBorders>
              <w:top w:val="nil"/>
              <w:left w:val="nil"/>
              <w:bottom w:val="single" w:sz="4" w:space="0" w:color="auto"/>
              <w:right w:val="single" w:sz="4" w:space="0" w:color="auto"/>
            </w:tcBorders>
            <w:shd w:val="clear" w:color="auto" w:fill="auto"/>
            <w:vAlign w:val="center"/>
            <w:hideMark/>
          </w:tcPr>
          <w:p w14:paraId="7666E671"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0.31</w:t>
            </w:r>
          </w:p>
        </w:tc>
        <w:tc>
          <w:tcPr>
            <w:tcW w:w="1023" w:type="dxa"/>
            <w:tcBorders>
              <w:top w:val="nil"/>
              <w:left w:val="nil"/>
              <w:bottom w:val="single" w:sz="4" w:space="0" w:color="auto"/>
              <w:right w:val="single" w:sz="8" w:space="0" w:color="auto"/>
            </w:tcBorders>
            <w:shd w:val="clear" w:color="auto" w:fill="auto"/>
            <w:vAlign w:val="center"/>
            <w:hideMark/>
          </w:tcPr>
          <w:p w14:paraId="64A3623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1.68</w:t>
            </w:r>
          </w:p>
        </w:tc>
      </w:tr>
      <w:tr w:rsidR="00CD4BD5" w:rsidRPr="00C7014F" w14:paraId="7D7442D1" w14:textId="77777777" w:rsidTr="00CD4BD5">
        <w:trPr>
          <w:trHeight w:hRule="exact" w:val="288"/>
          <w:jc w:val="center"/>
        </w:trPr>
        <w:tc>
          <w:tcPr>
            <w:tcW w:w="991" w:type="dxa"/>
            <w:tcBorders>
              <w:top w:val="nil"/>
              <w:left w:val="single" w:sz="8" w:space="0" w:color="auto"/>
              <w:bottom w:val="single" w:sz="8" w:space="0" w:color="auto"/>
              <w:right w:val="single" w:sz="4" w:space="0" w:color="auto"/>
            </w:tcBorders>
            <w:shd w:val="clear" w:color="auto" w:fill="auto"/>
            <w:vAlign w:val="center"/>
            <w:hideMark/>
          </w:tcPr>
          <w:p w14:paraId="44E44F1F"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19</w:t>
            </w:r>
          </w:p>
        </w:tc>
        <w:tc>
          <w:tcPr>
            <w:tcW w:w="889" w:type="dxa"/>
            <w:tcBorders>
              <w:top w:val="nil"/>
              <w:left w:val="nil"/>
              <w:bottom w:val="single" w:sz="8" w:space="0" w:color="auto"/>
              <w:right w:val="single" w:sz="4" w:space="0" w:color="auto"/>
            </w:tcBorders>
            <w:shd w:val="clear" w:color="auto" w:fill="auto"/>
            <w:vAlign w:val="center"/>
            <w:hideMark/>
          </w:tcPr>
          <w:p w14:paraId="05BC309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1.62</w:t>
            </w:r>
          </w:p>
        </w:tc>
        <w:tc>
          <w:tcPr>
            <w:tcW w:w="900" w:type="dxa"/>
            <w:tcBorders>
              <w:top w:val="nil"/>
              <w:left w:val="nil"/>
              <w:bottom w:val="single" w:sz="8" w:space="0" w:color="auto"/>
              <w:right w:val="single" w:sz="4" w:space="0" w:color="auto"/>
            </w:tcBorders>
            <w:shd w:val="clear" w:color="auto" w:fill="auto"/>
            <w:vAlign w:val="center"/>
            <w:hideMark/>
          </w:tcPr>
          <w:p w14:paraId="1FA163B5"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0.18</w:t>
            </w:r>
          </w:p>
        </w:tc>
        <w:tc>
          <w:tcPr>
            <w:tcW w:w="747" w:type="dxa"/>
            <w:tcBorders>
              <w:top w:val="nil"/>
              <w:left w:val="nil"/>
              <w:bottom w:val="single" w:sz="8" w:space="0" w:color="auto"/>
              <w:right w:val="single" w:sz="4" w:space="0" w:color="auto"/>
            </w:tcBorders>
            <w:shd w:val="clear" w:color="auto" w:fill="auto"/>
            <w:vAlign w:val="center"/>
            <w:hideMark/>
          </w:tcPr>
          <w:p w14:paraId="0D7ACF7A"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0.27</w:t>
            </w:r>
          </w:p>
        </w:tc>
        <w:tc>
          <w:tcPr>
            <w:tcW w:w="839" w:type="dxa"/>
            <w:tcBorders>
              <w:top w:val="nil"/>
              <w:left w:val="nil"/>
              <w:bottom w:val="single" w:sz="8" w:space="0" w:color="auto"/>
              <w:right w:val="single" w:sz="8" w:space="0" w:color="auto"/>
            </w:tcBorders>
            <w:shd w:val="clear" w:color="auto" w:fill="auto"/>
            <w:vAlign w:val="center"/>
            <w:hideMark/>
          </w:tcPr>
          <w:p w14:paraId="3B76420E"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1.65</w:t>
            </w:r>
          </w:p>
        </w:tc>
        <w:tc>
          <w:tcPr>
            <w:tcW w:w="944" w:type="dxa"/>
            <w:tcBorders>
              <w:top w:val="nil"/>
              <w:left w:val="nil"/>
              <w:bottom w:val="single" w:sz="8" w:space="0" w:color="auto"/>
              <w:right w:val="single" w:sz="4" w:space="0" w:color="auto"/>
            </w:tcBorders>
            <w:shd w:val="clear" w:color="auto" w:fill="auto"/>
            <w:vAlign w:val="center"/>
            <w:hideMark/>
          </w:tcPr>
          <w:p w14:paraId="42D0D88B"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1.61</w:t>
            </w:r>
          </w:p>
        </w:tc>
        <w:tc>
          <w:tcPr>
            <w:tcW w:w="900" w:type="dxa"/>
            <w:tcBorders>
              <w:top w:val="nil"/>
              <w:left w:val="nil"/>
              <w:bottom w:val="single" w:sz="8" w:space="0" w:color="auto"/>
              <w:right w:val="single" w:sz="4" w:space="0" w:color="auto"/>
            </w:tcBorders>
            <w:shd w:val="clear" w:color="auto" w:fill="auto"/>
            <w:vAlign w:val="center"/>
            <w:hideMark/>
          </w:tcPr>
          <w:p w14:paraId="611034F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0.25</w:t>
            </w:r>
          </w:p>
        </w:tc>
        <w:tc>
          <w:tcPr>
            <w:tcW w:w="810" w:type="dxa"/>
            <w:tcBorders>
              <w:top w:val="nil"/>
              <w:left w:val="nil"/>
              <w:bottom w:val="single" w:sz="8" w:space="0" w:color="auto"/>
              <w:right w:val="single" w:sz="4" w:space="0" w:color="auto"/>
            </w:tcBorders>
            <w:shd w:val="clear" w:color="auto" w:fill="auto"/>
            <w:vAlign w:val="center"/>
            <w:hideMark/>
          </w:tcPr>
          <w:p w14:paraId="45CC09B2"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0.23</w:t>
            </w:r>
          </w:p>
        </w:tc>
        <w:tc>
          <w:tcPr>
            <w:tcW w:w="1023" w:type="dxa"/>
            <w:tcBorders>
              <w:top w:val="nil"/>
              <w:left w:val="nil"/>
              <w:bottom w:val="single" w:sz="8" w:space="0" w:color="auto"/>
              <w:right w:val="single" w:sz="8" w:space="0" w:color="auto"/>
            </w:tcBorders>
            <w:shd w:val="clear" w:color="auto" w:fill="auto"/>
            <w:vAlign w:val="center"/>
            <w:hideMark/>
          </w:tcPr>
          <w:p w14:paraId="3F9CCD14" w14:textId="77777777" w:rsidR="00461404" w:rsidRPr="00C7014F" w:rsidRDefault="00461404" w:rsidP="00461404">
            <w:pPr>
              <w:spacing w:after="0" w:line="240" w:lineRule="exact"/>
              <w:contextualSpacing/>
              <w:jc w:val="center"/>
              <w:rPr>
                <w:rFonts w:ascii="Palatino Linotype" w:eastAsia="Times New Roman" w:hAnsi="Palatino Linotype" w:cs="Calibri"/>
                <w:sz w:val="18"/>
                <w:szCs w:val="18"/>
              </w:rPr>
            </w:pPr>
            <w:r w:rsidRPr="00C7014F">
              <w:rPr>
                <w:rFonts w:ascii="Palatino Linotype" w:eastAsia="Times New Roman" w:hAnsi="Palatino Linotype" w:cs="Calibri"/>
                <w:sz w:val="18"/>
                <w:szCs w:val="18"/>
              </w:rPr>
              <w:t>1.65</w:t>
            </w:r>
          </w:p>
        </w:tc>
      </w:tr>
    </w:tbl>
    <w:p w14:paraId="01C49739" w14:textId="6199F4EC" w:rsidR="00BA3858" w:rsidRPr="00C7014F" w:rsidRDefault="00BA3858" w:rsidP="00BA3858">
      <w:pPr>
        <w:spacing w:line="240" w:lineRule="auto"/>
        <w:jc w:val="center"/>
        <w:rPr>
          <w:rFonts w:ascii="Palatino Linotype" w:hAnsi="Palatino Linotype"/>
          <w:sz w:val="20"/>
          <w:szCs w:val="20"/>
        </w:rPr>
      </w:pPr>
    </w:p>
    <w:p w14:paraId="6A55F5A5" w14:textId="75C99F0E" w:rsidR="009E40D2" w:rsidRPr="00C7014F" w:rsidRDefault="009E40D2" w:rsidP="00BA3858">
      <w:pPr>
        <w:spacing w:line="240" w:lineRule="auto"/>
        <w:jc w:val="center"/>
        <w:rPr>
          <w:rFonts w:ascii="Palatino Linotype" w:hAnsi="Palatino Linotype"/>
          <w:sz w:val="20"/>
          <w:szCs w:val="20"/>
        </w:rPr>
      </w:pPr>
      <w:r w:rsidRPr="00C7014F">
        <w:rPr>
          <w:rFonts w:ascii="Palatino Linotype" w:hAnsi="Palatino Linotype"/>
          <w:sz w:val="20"/>
          <w:szCs w:val="20"/>
        </w:rPr>
        <w:t>Table 7</w:t>
      </w:r>
      <w:r w:rsidR="009D4DAD" w:rsidRPr="00C7014F">
        <w:rPr>
          <w:rFonts w:ascii="Palatino Linotype" w:hAnsi="Palatino Linotype"/>
          <w:sz w:val="20"/>
          <w:szCs w:val="20"/>
        </w:rPr>
        <w:t xml:space="preserve"> SNPP and N20 VIIRS lunar calibration uncertainty  </w:t>
      </w:r>
    </w:p>
    <w:tbl>
      <w:tblPr>
        <w:tblW w:w="8087" w:type="dxa"/>
        <w:jc w:val="center"/>
        <w:tblLook w:val="04A0" w:firstRow="1" w:lastRow="0" w:firstColumn="1" w:lastColumn="0" w:noHBand="0" w:noVBand="1"/>
      </w:tblPr>
      <w:tblGrid>
        <w:gridCol w:w="1070"/>
        <w:gridCol w:w="810"/>
        <w:gridCol w:w="810"/>
        <w:gridCol w:w="901"/>
        <w:gridCol w:w="809"/>
        <w:gridCol w:w="989"/>
        <w:gridCol w:w="901"/>
        <w:gridCol w:w="902"/>
        <w:gridCol w:w="889"/>
        <w:gridCol w:w="6"/>
      </w:tblGrid>
      <w:tr w:rsidR="00C7014F" w:rsidRPr="00C7014F" w14:paraId="6B647356" w14:textId="77777777" w:rsidTr="00261706">
        <w:trPr>
          <w:gridAfter w:val="1"/>
          <w:wAfter w:w="6" w:type="dxa"/>
          <w:trHeight w:val="300"/>
          <w:jc w:val="center"/>
        </w:trPr>
        <w:tc>
          <w:tcPr>
            <w:tcW w:w="4400" w:type="dxa"/>
            <w:gridSpan w:val="5"/>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5E7212" w14:textId="77777777" w:rsidR="0073494E" w:rsidRPr="00C7014F" w:rsidRDefault="0073494E" w:rsidP="00794891">
            <w:pPr>
              <w:spacing w:after="0" w:line="240" w:lineRule="auto"/>
              <w:jc w:val="center"/>
              <w:rPr>
                <w:rFonts w:ascii="Palatino Linotype" w:eastAsia="Times New Roman" w:hAnsi="Palatino Linotype" w:cs="Times New Roman"/>
                <w:b/>
                <w:sz w:val="18"/>
                <w:szCs w:val="18"/>
              </w:rPr>
            </w:pPr>
            <w:r w:rsidRPr="00C7014F">
              <w:rPr>
                <w:rFonts w:ascii="Palatino Linotype" w:eastAsia="Times New Roman" w:hAnsi="Palatino Linotype" w:cs="Calibri"/>
                <w:b/>
                <w:sz w:val="18"/>
                <w:szCs w:val="18"/>
              </w:rPr>
              <w:t>SNPP VIIRS</w:t>
            </w:r>
          </w:p>
        </w:tc>
        <w:tc>
          <w:tcPr>
            <w:tcW w:w="3681"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74ACB41" w14:textId="77777777" w:rsidR="0073494E" w:rsidRPr="00C7014F" w:rsidRDefault="0073494E" w:rsidP="00794891">
            <w:pPr>
              <w:spacing w:after="0" w:line="240" w:lineRule="auto"/>
              <w:jc w:val="center"/>
              <w:rPr>
                <w:rFonts w:ascii="Palatino Linotype" w:eastAsia="Times New Roman" w:hAnsi="Palatino Linotype" w:cs="Times New Roman"/>
                <w:b/>
                <w:sz w:val="18"/>
                <w:szCs w:val="18"/>
              </w:rPr>
            </w:pPr>
            <w:r w:rsidRPr="00C7014F">
              <w:rPr>
                <w:rFonts w:ascii="Palatino Linotype" w:eastAsia="Times New Roman" w:hAnsi="Palatino Linotype" w:cs="Calibri"/>
                <w:b/>
                <w:sz w:val="18"/>
                <w:szCs w:val="18"/>
              </w:rPr>
              <w:t>N20 VIIRS</w:t>
            </w:r>
          </w:p>
        </w:tc>
      </w:tr>
      <w:tr w:rsidR="00C7014F" w:rsidRPr="00C7014F" w14:paraId="3AA118C4"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center"/>
            <w:hideMark/>
          </w:tcPr>
          <w:p w14:paraId="07A9900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Band</w:t>
            </w:r>
          </w:p>
        </w:tc>
        <w:tc>
          <w:tcPr>
            <w:tcW w:w="810" w:type="dxa"/>
            <w:tcBorders>
              <w:top w:val="nil"/>
              <w:left w:val="nil"/>
              <w:bottom w:val="single" w:sz="4" w:space="0" w:color="auto"/>
              <w:right w:val="single" w:sz="4" w:space="0" w:color="auto"/>
            </w:tcBorders>
            <w:shd w:val="clear" w:color="auto" w:fill="auto"/>
            <w:noWrap/>
            <w:vAlign w:val="center"/>
            <w:hideMark/>
          </w:tcPr>
          <w:p w14:paraId="0F05F6E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1</w:t>
            </w:r>
          </w:p>
        </w:tc>
        <w:tc>
          <w:tcPr>
            <w:tcW w:w="810" w:type="dxa"/>
            <w:tcBorders>
              <w:top w:val="nil"/>
              <w:left w:val="nil"/>
              <w:bottom w:val="single" w:sz="4" w:space="0" w:color="auto"/>
              <w:right w:val="single" w:sz="4" w:space="0" w:color="auto"/>
            </w:tcBorders>
            <w:shd w:val="clear" w:color="auto" w:fill="auto"/>
            <w:noWrap/>
            <w:vAlign w:val="center"/>
            <w:hideMark/>
          </w:tcPr>
          <w:p w14:paraId="72DD46B7"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2</w:t>
            </w:r>
          </w:p>
        </w:tc>
        <w:tc>
          <w:tcPr>
            <w:tcW w:w="901" w:type="dxa"/>
            <w:tcBorders>
              <w:top w:val="nil"/>
              <w:left w:val="nil"/>
              <w:bottom w:val="single" w:sz="4" w:space="0" w:color="auto"/>
              <w:right w:val="single" w:sz="4" w:space="0" w:color="auto"/>
            </w:tcBorders>
            <w:shd w:val="clear" w:color="auto" w:fill="auto"/>
            <w:noWrap/>
            <w:vAlign w:val="center"/>
            <w:hideMark/>
          </w:tcPr>
          <w:p w14:paraId="2DEEDC0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3</w:t>
            </w:r>
          </w:p>
        </w:tc>
        <w:tc>
          <w:tcPr>
            <w:tcW w:w="809" w:type="dxa"/>
            <w:tcBorders>
              <w:top w:val="nil"/>
              <w:left w:val="nil"/>
              <w:bottom w:val="single" w:sz="4" w:space="0" w:color="auto"/>
              <w:right w:val="nil"/>
            </w:tcBorders>
            <w:shd w:val="clear" w:color="auto" w:fill="auto"/>
            <w:noWrap/>
            <w:vAlign w:val="center"/>
            <w:hideMark/>
          </w:tcPr>
          <w:p w14:paraId="3F7BFAF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Total</w:t>
            </w:r>
          </w:p>
        </w:tc>
        <w:tc>
          <w:tcPr>
            <w:tcW w:w="989" w:type="dxa"/>
            <w:tcBorders>
              <w:top w:val="nil"/>
              <w:left w:val="single" w:sz="8" w:space="0" w:color="auto"/>
              <w:bottom w:val="single" w:sz="4" w:space="0" w:color="auto"/>
              <w:right w:val="single" w:sz="4" w:space="0" w:color="auto"/>
            </w:tcBorders>
            <w:shd w:val="clear" w:color="auto" w:fill="auto"/>
            <w:noWrap/>
            <w:vAlign w:val="center"/>
            <w:hideMark/>
          </w:tcPr>
          <w:p w14:paraId="1258C52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1</w:t>
            </w:r>
          </w:p>
        </w:tc>
        <w:tc>
          <w:tcPr>
            <w:tcW w:w="901" w:type="dxa"/>
            <w:tcBorders>
              <w:top w:val="nil"/>
              <w:left w:val="nil"/>
              <w:bottom w:val="single" w:sz="4" w:space="0" w:color="auto"/>
              <w:right w:val="single" w:sz="4" w:space="0" w:color="auto"/>
            </w:tcBorders>
            <w:shd w:val="clear" w:color="auto" w:fill="auto"/>
            <w:noWrap/>
            <w:vAlign w:val="center"/>
            <w:hideMark/>
          </w:tcPr>
          <w:p w14:paraId="7291468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2</w:t>
            </w:r>
          </w:p>
        </w:tc>
        <w:tc>
          <w:tcPr>
            <w:tcW w:w="902" w:type="dxa"/>
            <w:tcBorders>
              <w:top w:val="nil"/>
              <w:left w:val="nil"/>
              <w:bottom w:val="single" w:sz="4" w:space="0" w:color="auto"/>
              <w:right w:val="single" w:sz="4" w:space="0" w:color="auto"/>
            </w:tcBorders>
            <w:shd w:val="clear" w:color="auto" w:fill="auto"/>
            <w:noWrap/>
            <w:vAlign w:val="center"/>
            <w:hideMark/>
          </w:tcPr>
          <w:p w14:paraId="4A4CB56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U</w:t>
            </w:r>
            <w:r w:rsidRPr="00C7014F">
              <w:rPr>
                <w:rFonts w:ascii="Palatino Linotype" w:eastAsia="Times New Roman" w:hAnsi="Palatino Linotype" w:cs="Calibri"/>
                <w:b/>
                <w:bCs/>
                <w:sz w:val="18"/>
                <w:szCs w:val="18"/>
                <w:vertAlign w:val="subscript"/>
              </w:rPr>
              <w:t>3</w:t>
            </w:r>
          </w:p>
        </w:tc>
        <w:tc>
          <w:tcPr>
            <w:tcW w:w="895" w:type="dxa"/>
            <w:gridSpan w:val="2"/>
            <w:tcBorders>
              <w:top w:val="nil"/>
              <w:left w:val="nil"/>
              <w:bottom w:val="single" w:sz="4" w:space="0" w:color="auto"/>
              <w:right w:val="single" w:sz="8" w:space="0" w:color="auto"/>
            </w:tcBorders>
            <w:shd w:val="clear" w:color="auto" w:fill="auto"/>
            <w:noWrap/>
            <w:vAlign w:val="center"/>
            <w:hideMark/>
          </w:tcPr>
          <w:p w14:paraId="7BD878D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Calibri"/>
                <w:b/>
                <w:bCs/>
                <w:sz w:val="18"/>
                <w:szCs w:val="18"/>
              </w:rPr>
              <w:t>Total</w:t>
            </w:r>
          </w:p>
        </w:tc>
      </w:tr>
      <w:tr w:rsidR="00C7014F" w:rsidRPr="00C7014F" w14:paraId="10E88622"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513FDB76"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I1</w:t>
            </w:r>
          </w:p>
        </w:tc>
        <w:tc>
          <w:tcPr>
            <w:tcW w:w="810" w:type="dxa"/>
            <w:tcBorders>
              <w:top w:val="nil"/>
              <w:left w:val="nil"/>
              <w:bottom w:val="single" w:sz="4" w:space="0" w:color="auto"/>
              <w:right w:val="single" w:sz="4" w:space="0" w:color="auto"/>
            </w:tcBorders>
            <w:shd w:val="clear" w:color="auto" w:fill="auto"/>
            <w:noWrap/>
            <w:vAlign w:val="bottom"/>
            <w:hideMark/>
          </w:tcPr>
          <w:p w14:paraId="19D329E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1.44</w:t>
            </w:r>
          </w:p>
        </w:tc>
        <w:tc>
          <w:tcPr>
            <w:tcW w:w="810" w:type="dxa"/>
            <w:tcBorders>
              <w:top w:val="nil"/>
              <w:left w:val="nil"/>
              <w:bottom w:val="single" w:sz="4" w:space="0" w:color="auto"/>
              <w:right w:val="single" w:sz="4" w:space="0" w:color="auto"/>
            </w:tcBorders>
            <w:shd w:val="clear" w:color="auto" w:fill="auto"/>
            <w:noWrap/>
            <w:vAlign w:val="bottom"/>
            <w:hideMark/>
          </w:tcPr>
          <w:p w14:paraId="54FBCD0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0.01</w:t>
            </w:r>
          </w:p>
        </w:tc>
        <w:tc>
          <w:tcPr>
            <w:tcW w:w="901" w:type="dxa"/>
            <w:tcBorders>
              <w:top w:val="nil"/>
              <w:left w:val="nil"/>
              <w:bottom w:val="single" w:sz="4" w:space="0" w:color="auto"/>
              <w:right w:val="single" w:sz="4" w:space="0" w:color="auto"/>
            </w:tcBorders>
            <w:shd w:val="clear" w:color="auto" w:fill="auto"/>
            <w:noWrap/>
            <w:vAlign w:val="bottom"/>
            <w:hideMark/>
          </w:tcPr>
          <w:p w14:paraId="5AF44E6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0.21</w:t>
            </w:r>
          </w:p>
        </w:tc>
        <w:tc>
          <w:tcPr>
            <w:tcW w:w="809" w:type="dxa"/>
            <w:tcBorders>
              <w:top w:val="nil"/>
              <w:left w:val="nil"/>
              <w:bottom w:val="single" w:sz="4" w:space="0" w:color="auto"/>
              <w:right w:val="nil"/>
            </w:tcBorders>
            <w:shd w:val="clear" w:color="auto" w:fill="auto"/>
            <w:noWrap/>
            <w:vAlign w:val="bottom"/>
            <w:hideMark/>
          </w:tcPr>
          <w:p w14:paraId="69713B6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1.46</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3800EB2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164955D7"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0.01</w:t>
            </w:r>
          </w:p>
        </w:tc>
        <w:tc>
          <w:tcPr>
            <w:tcW w:w="902" w:type="dxa"/>
            <w:tcBorders>
              <w:top w:val="nil"/>
              <w:left w:val="nil"/>
              <w:bottom w:val="single" w:sz="4" w:space="0" w:color="auto"/>
              <w:right w:val="single" w:sz="4" w:space="0" w:color="auto"/>
            </w:tcBorders>
            <w:shd w:val="clear" w:color="auto" w:fill="auto"/>
            <w:noWrap/>
            <w:vAlign w:val="bottom"/>
            <w:hideMark/>
          </w:tcPr>
          <w:p w14:paraId="166ECE7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0.21</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33F31E9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1.24</w:t>
            </w:r>
          </w:p>
        </w:tc>
      </w:tr>
      <w:tr w:rsidR="00C7014F" w:rsidRPr="00C7014F" w14:paraId="1A936193"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436E779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I2</w:t>
            </w:r>
          </w:p>
        </w:tc>
        <w:tc>
          <w:tcPr>
            <w:tcW w:w="810" w:type="dxa"/>
            <w:tcBorders>
              <w:top w:val="nil"/>
              <w:left w:val="nil"/>
              <w:bottom w:val="single" w:sz="4" w:space="0" w:color="auto"/>
              <w:right w:val="single" w:sz="4" w:space="0" w:color="auto"/>
            </w:tcBorders>
            <w:shd w:val="clear" w:color="auto" w:fill="auto"/>
            <w:noWrap/>
            <w:vAlign w:val="bottom"/>
            <w:hideMark/>
          </w:tcPr>
          <w:p w14:paraId="7FEE4F9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1.43</w:t>
            </w:r>
          </w:p>
        </w:tc>
        <w:tc>
          <w:tcPr>
            <w:tcW w:w="810" w:type="dxa"/>
            <w:tcBorders>
              <w:top w:val="nil"/>
              <w:left w:val="nil"/>
              <w:bottom w:val="single" w:sz="4" w:space="0" w:color="auto"/>
              <w:right w:val="single" w:sz="4" w:space="0" w:color="auto"/>
            </w:tcBorders>
            <w:shd w:val="clear" w:color="auto" w:fill="auto"/>
            <w:noWrap/>
            <w:vAlign w:val="bottom"/>
            <w:hideMark/>
          </w:tcPr>
          <w:p w14:paraId="746F4F9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1" w:type="dxa"/>
            <w:tcBorders>
              <w:top w:val="nil"/>
              <w:left w:val="nil"/>
              <w:bottom w:val="single" w:sz="4" w:space="0" w:color="auto"/>
              <w:right w:val="single" w:sz="4" w:space="0" w:color="auto"/>
            </w:tcBorders>
            <w:shd w:val="clear" w:color="auto" w:fill="auto"/>
            <w:noWrap/>
            <w:vAlign w:val="bottom"/>
            <w:hideMark/>
          </w:tcPr>
          <w:p w14:paraId="6D4DD6B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0.40</w:t>
            </w:r>
          </w:p>
        </w:tc>
        <w:tc>
          <w:tcPr>
            <w:tcW w:w="809" w:type="dxa"/>
            <w:tcBorders>
              <w:top w:val="nil"/>
              <w:left w:val="nil"/>
              <w:bottom w:val="single" w:sz="4" w:space="0" w:color="auto"/>
              <w:right w:val="nil"/>
            </w:tcBorders>
            <w:shd w:val="clear" w:color="auto" w:fill="auto"/>
            <w:noWrap/>
            <w:vAlign w:val="bottom"/>
            <w:hideMark/>
          </w:tcPr>
          <w:p w14:paraId="5E33B3A6"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1.49</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007FE0E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1.21</w:t>
            </w:r>
          </w:p>
        </w:tc>
        <w:tc>
          <w:tcPr>
            <w:tcW w:w="901" w:type="dxa"/>
            <w:tcBorders>
              <w:top w:val="nil"/>
              <w:left w:val="nil"/>
              <w:bottom w:val="single" w:sz="4" w:space="0" w:color="auto"/>
              <w:right w:val="single" w:sz="4" w:space="0" w:color="auto"/>
            </w:tcBorders>
            <w:shd w:val="clear" w:color="auto" w:fill="auto"/>
            <w:noWrap/>
            <w:vAlign w:val="bottom"/>
            <w:hideMark/>
          </w:tcPr>
          <w:p w14:paraId="44E44347"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2" w:type="dxa"/>
            <w:tcBorders>
              <w:top w:val="nil"/>
              <w:left w:val="nil"/>
              <w:bottom w:val="single" w:sz="4" w:space="0" w:color="auto"/>
              <w:right w:val="single" w:sz="4" w:space="0" w:color="auto"/>
            </w:tcBorders>
            <w:shd w:val="clear" w:color="auto" w:fill="auto"/>
            <w:noWrap/>
            <w:vAlign w:val="bottom"/>
            <w:hideMark/>
          </w:tcPr>
          <w:p w14:paraId="03F5E59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0.32</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0B74CAC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1.25</w:t>
            </w:r>
          </w:p>
        </w:tc>
      </w:tr>
      <w:tr w:rsidR="00C7014F" w:rsidRPr="00C7014F" w14:paraId="5809A7B6"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231309D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lastRenderedPageBreak/>
              <w:t>I3</w:t>
            </w:r>
          </w:p>
        </w:tc>
        <w:tc>
          <w:tcPr>
            <w:tcW w:w="810" w:type="dxa"/>
            <w:tcBorders>
              <w:top w:val="nil"/>
              <w:left w:val="nil"/>
              <w:bottom w:val="single" w:sz="4" w:space="0" w:color="auto"/>
              <w:right w:val="single" w:sz="4" w:space="0" w:color="auto"/>
            </w:tcBorders>
            <w:shd w:val="clear" w:color="auto" w:fill="auto"/>
            <w:noWrap/>
            <w:vAlign w:val="bottom"/>
            <w:hideMark/>
          </w:tcPr>
          <w:p w14:paraId="2C6E256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810" w:type="dxa"/>
            <w:tcBorders>
              <w:top w:val="nil"/>
              <w:left w:val="nil"/>
              <w:bottom w:val="single" w:sz="4" w:space="0" w:color="auto"/>
              <w:right w:val="single" w:sz="4" w:space="0" w:color="auto"/>
            </w:tcBorders>
            <w:shd w:val="clear" w:color="auto" w:fill="auto"/>
            <w:noWrap/>
            <w:vAlign w:val="bottom"/>
            <w:hideMark/>
          </w:tcPr>
          <w:p w14:paraId="189C8F4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0.10</w:t>
            </w:r>
          </w:p>
        </w:tc>
        <w:tc>
          <w:tcPr>
            <w:tcW w:w="901" w:type="dxa"/>
            <w:tcBorders>
              <w:top w:val="nil"/>
              <w:left w:val="nil"/>
              <w:bottom w:val="single" w:sz="4" w:space="0" w:color="auto"/>
              <w:right w:val="single" w:sz="4" w:space="0" w:color="auto"/>
            </w:tcBorders>
            <w:shd w:val="clear" w:color="auto" w:fill="auto"/>
            <w:noWrap/>
            <w:vAlign w:val="bottom"/>
            <w:hideMark/>
          </w:tcPr>
          <w:p w14:paraId="49320BA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1.31</w:t>
            </w:r>
          </w:p>
        </w:tc>
        <w:tc>
          <w:tcPr>
            <w:tcW w:w="809" w:type="dxa"/>
            <w:tcBorders>
              <w:top w:val="nil"/>
              <w:left w:val="nil"/>
              <w:bottom w:val="single" w:sz="4" w:space="0" w:color="auto"/>
              <w:right w:val="nil"/>
            </w:tcBorders>
            <w:shd w:val="clear" w:color="auto" w:fill="auto"/>
            <w:noWrap/>
            <w:vAlign w:val="bottom"/>
            <w:hideMark/>
          </w:tcPr>
          <w:p w14:paraId="1FF61CF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2.07</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3FC165D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796D324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0.10</w:t>
            </w:r>
          </w:p>
        </w:tc>
        <w:tc>
          <w:tcPr>
            <w:tcW w:w="902" w:type="dxa"/>
            <w:tcBorders>
              <w:top w:val="nil"/>
              <w:left w:val="nil"/>
              <w:bottom w:val="single" w:sz="4" w:space="0" w:color="auto"/>
              <w:right w:val="single" w:sz="4" w:space="0" w:color="auto"/>
            </w:tcBorders>
            <w:shd w:val="clear" w:color="auto" w:fill="auto"/>
            <w:noWrap/>
            <w:vAlign w:val="bottom"/>
            <w:hideMark/>
          </w:tcPr>
          <w:p w14:paraId="6D2F0F6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1.19</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416EF06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1.71</w:t>
            </w:r>
          </w:p>
        </w:tc>
      </w:tr>
      <w:tr w:rsidR="00C7014F" w:rsidRPr="00C7014F" w14:paraId="5C917FB2"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0573DA7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M1</w:t>
            </w:r>
          </w:p>
        </w:tc>
        <w:tc>
          <w:tcPr>
            <w:tcW w:w="810" w:type="dxa"/>
            <w:tcBorders>
              <w:top w:val="nil"/>
              <w:left w:val="nil"/>
              <w:bottom w:val="single" w:sz="4" w:space="0" w:color="auto"/>
              <w:right w:val="single" w:sz="4" w:space="0" w:color="auto"/>
            </w:tcBorders>
            <w:shd w:val="clear" w:color="auto" w:fill="auto"/>
            <w:noWrap/>
            <w:vAlign w:val="bottom"/>
            <w:hideMark/>
          </w:tcPr>
          <w:p w14:paraId="4890EFE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1.50</w:t>
            </w:r>
          </w:p>
        </w:tc>
        <w:tc>
          <w:tcPr>
            <w:tcW w:w="810" w:type="dxa"/>
            <w:tcBorders>
              <w:top w:val="nil"/>
              <w:left w:val="nil"/>
              <w:bottom w:val="single" w:sz="4" w:space="0" w:color="auto"/>
              <w:right w:val="single" w:sz="4" w:space="0" w:color="auto"/>
            </w:tcBorders>
            <w:shd w:val="clear" w:color="auto" w:fill="auto"/>
            <w:noWrap/>
            <w:vAlign w:val="bottom"/>
            <w:hideMark/>
          </w:tcPr>
          <w:p w14:paraId="7B50679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0.00</w:t>
            </w:r>
          </w:p>
        </w:tc>
        <w:tc>
          <w:tcPr>
            <w:tcW w:w="901" w:type="dxa"/>
            <w:tcBorders>
              <w:top w:val="nil"/>
              <w:left w:val="nil"/>
              <w:bottom w:val="single" w:sz="4" w:space="0" w:color="auto"/>
              <w:right w:val="single" w:sz="4" w:space="0" w:color="auto"/>
            </w:tcBorders>
            <w:shd w:val="clear" w:color="auto" w:fill="auto"/>
            <w:noWrap/>
            <w:vAlign w:val="bottom"/>
            <w:hideMark/>
          </w:tcPr>
          <w:p w14:paraId="56A3745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0.45</w:t>
            </w:r>
          </w:p>
        </w:tc>
        <w:tc>
          <w:tcPr>
            <w:tcW w:w="809" w:type="dxa"/>
            <w:tcBorders>
              <w:top w:val="nil"/>
              <w:left w:val="nil"/>
              <w:bottom w:val="single" w:sz="4" w:space="0" w:color="auto"/>
              <w:right w:val="nil"/>
            </w:tcBorders>
            <w:shd w:val="clear" w:color="auto" w:fill="auto"/>
            <w:noWrap/>
            <w:vAlign w:val="bottom"/>
            <w:hideMark/>
          </w:tcPr>
          <w:p w14:paraId="57B3B92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1.57</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24D3BF5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1.26</w:t>
            </w:r>
          </w:p>
        </w:tc>
        <w:tc>
          <w:tcPr>
            <w:tcW w:w="901" w:type="dxa"/>
            <w:tcBorders>
              <w:top w:val="nil"/>
              <w:left w:val="nil"/>
              <w:bottom w:val="single" w:sz="4" w:space="0" w:color="auto"/>
              <w:right w:val="single" w:sz="4" w:space="0" w:color="auto"/>
            </w:tcBorders>
            <w:shd w:val="clear" w:color="auto" w:fill="auto"/>
            <w:noWrap/>
            <w:vAlign w:val="bottom"/>
            <w:hideMark/>
          </w:tcPr>
          <w:p w14:paraId="6A5FB40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2" w:type="dxa"/>
            <w:tcBorders>
              <w:top w:val="nil"/>
              <w:left w:val="nil"/>
              <w:bottom w:val="single" w:sz="4" w:space="0" w:color="auto"/>
              <w:right w:val="single" w:sz="4" w:space="0" w:color="auto"/>
            </w:tcBorders>
            <w:shd w:val="clear" w:color="auto" w:fill="auto"/>
            <w:noWrap/>
            <w:vAlign w:val="bottom"/>
            <w:hideMark/>
          </w:tcPr>
          <w:p w14:paraId="748A91C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0.34</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0307C80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1.30</w:t>
            </w:r>
          </w:p>
        </w:tc>
      </w:tr>
      <w:tr w:rsidR="00C7014F" w:rsidRPr="00C7014F" w14:paraId="4AC525C3"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54DCB09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M2</w:t>
            </w:r>
          </w:p>
        </w:tc>
        <w:tc>
          <w:tcPr>
            <w:tcW w:w="810" w:type="dxa"/>
            <w:tcBorders>
              <w:top w:val="nil"/>
              <w:left w:val="nil"/>
              <w:bottom w:val="single" w:sz="4" w:space="0" w:color="auto"/>
              <w:right w:val="single" w:sz="4" w:space="0" w:color="auto"/>
            </w:tcBorders>
            <w:shd w:val="clear" w:color="auto" w:fill="auto"/>
            <w:noWrap/>
            <w:vAlign w:val="bottom"/>
            <w:hideMark/>
          </w:tcPr>
          <w:p w14:paraId="3170B641"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1.49</w:t>
            </w:r>
          </w:p>
        </w:tc>
        <w:tc>
          <w:tcPr>
            <w:tcW w:w="810" w:type="dxa"/>
            <w:tcBorders>
              <w:top w:val="nil"/>
              <w:left w:val="nil"/>
              <w:bottom w:val="single" w:sz="4" w:space="0" w:color="auto"/>
              <w:right w:val="single" w:sz="4" w:space="0" w:color="auto"/>
            </w:tcBorders>
            <w:shd w:val="clear" w:color="auto" w:fill="auto"/>
            <w:noWrap/>
            <w:vAlign w:val="bottom"/>
            <w:hideMark/>
          </w:tcPr>
          <w:p w14:paraId="4C0CA41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0.00</w:t>
            </w:r>
          </w:p>
        </w:tc>
        <w:tc>
          <w:tcPr>
            <w:tcW w:w="901" w:type="dxa"/>
            <w:tcBorders>
              <w:top w:val="nil"/>
              <w:left w:val="nil"/>
              <w:bottom w:val="single" w:sz="4" w:space="0" w:color="auto"/>
              <w:right w:val="single" w:sz="4" w:space="0" w:color="auto"/>
            </w:tcBorders>
            <w:shd w:val="clear" w:color="auto" w:fill="auto"/>
            <w:noWrap/>
            <w:vAlign w:val="bottom"/>
            <w:hideMark/>
          </w:tcPr>
          <w:p w14:paraId="1BFF12D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0.42</w:t>
            </w:r>
          </w:p>
        </w:tc>
        <w:tc>
          <w:tcPr>
            <w:tcW w:w="809" w:type="dxa"/>
            <w:tcBorders>
              <w:top w:val="nil"/>
              <w:left w:val="nil"/>
              <w:bottom w:val="single" w:sz="4" w:space="0" w:color="auto"/>
              <w:right w:val="nil"/>
            </w:tcBorders>
            <w:shd w:val="clear" w:color="auto" w:fill="auto"/>
            <w:noWrap/>
            <w:vAlign w:val="bottom"/>
            <w:hideMark/>
          </w:tcPr>
          <w:p w14:paraId="2381B25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1.54</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41A2B7D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1.25</w:t>
            </w:r>
          </w:p>
        </w:tc>
        <w:tc>
          <w:tcPr>
            <w:tcW w:w="901" w:type="dxa"/>
            <w:tcBorders>
              <w:top w:val="nil"/>
              <w:left w:val="nil"/>
              <w:bottom w:val="single" w:sz="4" w:space="0" w:color="auto"/>
              <w:right w:val="single" w:sz="4" w:space="0" w:color="auto"/>
            </w:tcBorders>
            <w:shd w:val="clear" w:color="auto" w:fill="auto"/>
            <w:noWrap/>
            <w:vAlign w:val="bottom"/>
            <w:hideMark/>
          </w:tcPr>
          <w:p w14:paraId="1A72F0C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0.01</w:t>
            </w:r>
          </w:p>
        </w:tc>
        <w:tc>
          <w:tcPr>
            <w:tcW w:w="902" w:type="dxa"/>
            <w:tcBorders>
              <w:top w:val="nil"/>
              <w:left w:val="nil"/>
              <w:bottom w:val="single" w:sz="4" w:space="0" w:color="auto"/>
              <w:right w:val="single" w:sz="4" w:space="0" w:color="auto"/>
            </w:tcBorders>
            <w:shd w:val="clear" w:color="auto" w:fill="auto"/>
            <w:noWrap/>
            <w:vAlign w:val="bottom"/>
            <w:hideMark/>
          </w:tcPr>
          <w:p w14:paraId="468C7F1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0.39</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16F4DCB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1.31</w:t>
            </w:r>
          </w:p>
        </w:tc>
      </w:tr>
      <w:tr w:rsidR="00C7014F" w:rsidRPr="00C7014F" w14:paraId="3285AB30"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0846814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M3</w:t>
            </w:r>
          </w:p>
        </w:tc>
        <w:tc>
          <w:tcPr>
            <w:tcW w:w="810" w:type="dxa"/>
            <w:tcBorders>
              <w:top w:val="nil"/>
              <w:left w:val="nil"/>
              <w:bottom w:val="single" w:sz="4" w:space="0" w:color="auto"/>
              <w:right w:val="single" w:sz="4" w:space="0" w:color="auto"/>
            </w:tcBorders>
            <w:shd w:val="clear" w:color="auto" w:fill="auto"/>
            <w:noWrap/>
            <w:vAlign w:val="bottom"/>
            <w:hideMark/>
          </w:tcPr>
          <w:p w14:paraId="13DA8006"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1.46</w:t>
            </w:r>
          </w:p>
        </w:tc>
        <w:tc>
          <w:tcPr>
            <w:tcW w:w="810" w:type="dxa"/>
            <w:tcBorders>
              <w:top w:val="nil"/>
              <w:left w:val="nil"/>
              <w:bottom w:val="single" w:sz="4" w:space="0" w:color="auto"/>
              <w:right w:val="single" w:sz="4" w:space="0" w:color="auto"/>
            </w:tcBorders>
            <w:shd w:val="clear" w:color="auto" w:fill="auto"/>
            <w:noWrap/>
            <w:vAlign w:val="bottom"/>
            <w:hideMark/>
          </w:tcPr>
          <w:p w14:paraId="406E29F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0.00</w:t>
            </w:r>
          </w:p>
        </w:tc>
        <w:tc>
          <w:tcPr>
            <w:tcW w:w="901" w:type="dxa"/>
            <w:tcBorders>
              <w:top w:val="nil"/>
              <w:left w:val="nil"/>
              <w:bottom w:val="single" w:sz="4" w:space="0" w:color="auto"/>
              <w:right w:val="single" w:sz="4" w:space="0" w:color="auto"/>
            </w:tcBorders>
            <w:shd w:val="clear" w:color="auto" w:fill="auto"/>
            <w:noWrap/>
            <w:vAlign w:val="bottom"/>
            <w:hideMark/>
          </w:tcPr>
          <w:p w14:paraId="5D4DB78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0.27</w:t>
            </w:r>
          </w:p>
        </w:tc>
        <w:tc>
          <w:tcPr>
            <w:tcW w:w="809" w:type="dxa"/>
            <w:tcBorders>
              <w:top w:val="nil"/>
              <w:left w:val="nil"/>
              <w:bottom w:val="single" w:sz="4" w:space="0" w:color="auto"/>
              <w:right w:val="nil"/>
            </w:tcBorders>
            <w:shd w:val="clear" w:color="auto" w:fill="auto"/>
            <w:noWrap/>
            <w:vAlign w:val="bottom"/>
            <w:hideMark/>
          </w:tcPr>
          <w:p w14:paraId="0985E5F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1.49</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70D3481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1.24</w:t>
            </w:r>
          </w:p>
        </w:tc>
        <w:tc>
          <w:tcPr>
            <w:tcW w:w="901" w:type="dxa"/>
            <w:tcBorders>
              <w:top w:val="nil"/>
              <w:left w:val="nil"/>
              <w:bottom w:val="single" w:sz="4" w:space="0" w:color="auto"/>
              <w:right w:val="single" w:sz="4" w:space="0" w:color="auto"/>
            </w:tcBorders>
            <w:shd w:val="clear" w:color="auto" w:fill="auto"/>
            <w:noWrap/>
            <w:vAlign w:val="bottom"/>
            <w:hideMark/>
          </w:tcPr>
          <w:p w14:paraId="74813F4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0.01</w:t>
            </w:r>
          </w:p>
        </w:tc>
        <w:tc>
          <w:tcPr>
            <w:tcW w:w="902" w:type="dxa"/>
            <w:tcBorders>
              <w:top w:val="nil"/>
              <w:left w:val="nil"/>
              <w:bottom w:val="single" w:sz="4" w:space="0" w:color="auto"/>
              <w:right w:val="single" w:sz="4" w:space="0" w:color="auto"/>
            </w:tcBorders>
            <w:shd w:val="clear" w:color="auto" w:fill="auto"/>
            <w:noWrap/>
            <w:vAlign w:val="bottom"/>
            <w:hideMark/>
          </w:tcPr>
          <w:p w14:paraId="1D660F3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0.22</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6F628B4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1.26</w:t>
            </w:r>
          </w:p>
        </w:tc>
      </w:tr>
      <w:tr w:rsidR="00C7014F" w:rsidRPr="00C7014F" w14:paraId="26276203"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4D05111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M4</w:t>
            </w:r>
          </w:p>
        </w:tc>
        <w:tc>
          <w:tcPr>
            <w:tcW w:w="810" w:type="dxa"/>
            <w:tcBorders>
              <w:top w:val="nil"/>
              <w:left w:val="nil"/>
              <w:bottom w:val="single" w:sz="4" w:space="0" w:color="auto"/>
              <w:right w:val="single" w:sz="4" w:space="0" w:color="auto"/>
            </w:tcBorders>
            <w:shd w:val="clear" w:color="auto" w:fill="auto"/>
            <w:noWrap/>
            <w:vAlign w:val="bottom"/>
            <w:hideMark/>
          </w:tcPr>
          <w:p w14:paraId="566DE2E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1.45</w:t>
            </w:r>
          </w:p>
        </w:tc>
        <w:tc>
          <w:tcPr>
            <w:tcW w:w="810" w:type="dxa"/>
            <w:tcBorders>
              <w:top w:val="nil"/>
              <w:left w:val="nil"/>
              <w:bottom w:val="single" w:sz="4" w:space="0" w:color="auto"/>
              <w:right w:val="single" w:sz="4" w:space="0" w:color="auto"/>
            </w:tcBorders>
            <w:shd w:val="clear" w:color="auto" w:fill="auto"/>
            <w:noWrap/>
            <w:vAlign w:val="bottom"/>
            <w:hideMark/>
          </w:tcPr>
          <w:p w14:paraId="50A72E5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1" w:type="dxa"/>
            <w:tcBorders>
              <w:top w:val="nil"/>
              <w:left w:val="nil"/>
              <w:bottom w:val="single" w:sz="4" w:space="0" w:color="auto"/>
              <w:right w:val="single" w:sz="4" w:space="0" w:color="auto"/>
            </w:tcBorders>
            <w:shd w:val="clear" w:color="auto" w:fill="auto"/>
            <w:noWrap/>
            <w:vAlign w:val="bottom"/>
            <w:hideMark/>
          </w:tcPr>
          <w:p w14:paraId="38AA42D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0.30</w:t>
            </w:r>
          </w:p>
        </w:tc>
        <w:tc>
          <w:tcPr>
            <w:tcW w:w="809" w:type="dxa"/>
            <w:tcBorders>
              <w:top w:val="nil"/>
              <w:left w:val="nil"/>
              <w:bottom w:val="single" w:sz="4" w:space="0" w:color="auto"/>
              <w:right w:val="nil"/>
            </w:tcBorders>
            <w:shd w:val="clear" w:color="auto" w:fill="auto"/>
            <w:noWrap/>
            <w:vAlign w:val="bottom"/>
            <w:hideMark/>
          </w:tcPr>
          <w:p w14:paraId="76D3B7A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1.48</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333A6C2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1.23</w:t>
            </w:r>
          </w:p>
        </w:tc>
        <w:tc>
          <w:tcPr>
            <w:tcW w:w="901" w:type="dxa"/>
            <w:tcBorders>
              <w:top w:val="nil"/>
              <w:left w:val="nil"/>
              <w:bottom w:val="single" w:sz="4" w:space="0" w:color="auto"/>
              <w:right w:val="single" w:sz="4" w:space="0" w:color="auto"/>
            </w:tcBorders>
            <w:shd w:val="clear" w:color="auto" w:fill="auto"/>
            <w:noWrap/>
            <w:vAlign w:val="bottom"/>
            <w:hideMark/>
          </w:tcPr>
          <w:p w14:paraId="6354A56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2" w:type="dxa"/>
            <w:tcBorders>
              <w:top w:val="nil"/>
              <w:left w:val="nil"/>
              <w:bottom w:val="single" w:sz="4" w:space="0" w:color="auto"/>
              <w:right w:val="single" w:sz="4" w:space="0" w:color="auto"/>
            </w:tcBorders>
            <w:shd w:val="clear" w:color="auto" w:fill="auto"/>
            <w:noWrap/>
            <w:vAlign w:val="bottom"/>
            <w:hideMark/>
          </w:tcPr>
          <w:p w14:paraId="415B57C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0.26</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68447AC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1.26</w:t>
            </w:r>
          </w:p>
        </w:tc>
      </w:tr>
      <w:tr w:rsidR="00C7014F" w:rsidRPr="00C7014F" w14:paraId="5D0B1956"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4FE7E3A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M5</w:t>
            </w:r>
          </w:p>
        </w:tc>
        <w:tc>
          <w:tcPr>
            <w:tcW w:w="810" w:type="dxa"/>
            <w:tcBorders>
              <w:top w:val="nil"/>
              <w:left w:val="nil"/>
              <w:bottom w:val="single" w:sz="4" w:space="0" w:color="auto"/>
              <w:right w:val="single" w:sz="4" w:space="0" w:color="auto"/>
            </w:tcBorders>
            <w:shd w:val="clear" w:color="auto" w:fill="auto"/>
            <w:noWrap/>
            <w:vAlign w:val="bottom"/>
            <w:hideMark/>
          </w:tcPr>
          <w:p w14:paraId="0E148FD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1.44</w:t>
            </w:r>
          </w:p>
        </w:tc>
        <w:tc>
          <w:tcPr>
            <w:tcW w:w="810" w:type="dxa"/>
            <w:tcBorders>
              <w:top w:val="nil"/>
              <w:left w:val="nil"/>
              <w:bottom w:val="single" w:sz="4" w:space="0" w:color="auto"/>
              <w:right w:val="single" w:sz="4" w:space="0" w:color="auto"/>
            </w:tcBorders>
            <w:shd w:val="clear" w:color="auto" w:fill="auto"/>
            <w:noWrap/>
            <w:vAlign w:val="bottom"/>
            <w:hideMark/>
          </w:tcPr>
          <w:p w14:paraId="45DE608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0.11</w:t>
            </w:r>
          </w:p>
        </w:tc>
        <w:tc>
          <w:tcPr>
            <w:tcW w:w="901" w:type="dxa"/>
            <w:tcBorders>
              <w:top w:val="nil"/>
              <w:left w:val="nil"/>
              <w:bottom w:val="single" w:sz="4" w:space="0" w:color="auto"/>
              <w:right w:val="single" w:sz="4" w:space="0" w:color="auto"/>
            </w:tcBorders>
            <w:shd w:val="clear" w:color="auto" w:fill="auto"/>
            <w:noWrap/>
            <w:vAlign w:val="bottom"/>
            <w:hideMark/>
          </w:tcPr>
          <w:p w14:paraId="7F2AE55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0.38</w:t>
            </w:r>
          </w:p>
        </w:tc>
        <w:tc>
          <w:tcPr>
            <w:tcW w:w="809" w:type="dxa"/>
            <w:tcBorders>
              <w:top w:val="nil"/>
              <w:left w:val="nil"/>
              <w:bottom w:val="single" w:sz="4" w:space="0" w:color="auto"/>
              <w:right w:val="nil"/>
            </w:tcBorders>
            <w:shd w:val="clear" w:color="auto" w:fill="auto"/>
            <w:noWrap/>
            <w:vAlign w:val="bottom"/>
            <w:hideMark/>
          </w:tcPr>
          <w:p w14:paraId="2BAC94C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1.50</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16D4078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5F31CE9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0.09</w:t>
            </w:r>
          </w:p>
        </w:tc>
        <w:tc>
          <w:tcPr>
            <w:tcW w:w="902" w:type="dxa"/>
            <w:tcBorders>
              <w:top w:val="nil"/>
              <w:left w:val="nil"/>
              <w:bottom w:val="single" w:sz="4" w:space="0" w:color="auto"/>
              <w:right w:val="single" w:sz="4" w:space="0" w:color="auto"/>
            </w:tcBorders>
            <w:shd w:val="clear" w:color="auto" w:fill="auto"/>
            <w:noWrap/>
            <w:vAlign w:val="bottom"/>
            <w:hideMark/>
          </w:tcPr>
          <w:p w14:paraId="14CE423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0.27</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47CEA13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1.26</w:t>
            </w:r>
          </w:p>
        </w:tc>
      </w:tr>
      <w:tr w:rsidR="00C7014F" w:rsidRPr="00C7014F" w14:paraId="5B765DA5"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0DD7E31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M6</w:t>
            </w:r>
          </w:p>
        </w:tc>
        <w:tc>
          <w:tcPr>
            <w:tcW w:w="810" w:type="dxa"/>
            <w:tcBorders>
              <w:top w:val="nil"/>
              <w:left w:val="nil"/>
              <w:bottom w:val="single" w:sz="4" w:space="0" w:color="auto"/>
              <w:right w:val="single" w:sz="4" w:space="0" w:color="auto"/>
            </w:tcBorders>
            <w:shd w:val="clear" w:color="auto" w:fill="auto"/>
            <w:noWrap/>
            <w:vAlign w:val="bottom"/>
            <w:hideMark/>
          </w:tcPr>
          <w:p w14:paraId="2E2FC3F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1.44</w:t>
            </w:r>
          </w:p>
        </w:tc>
        <w:tc>
          <w:tcPr>
            <w:tcW w:w="810" w:type="dxa"/>
            <w:tcBorders>
              <w:top w:val="nil"/>
              <w:left w:val="nil"/>
              <w:bottom w:val="single" w:sz="4" w:space="0" w:color="auto"/>
              <w:right w:val="single" w:sz="4" w:space="0" w:color="auto"/>
            </w:tcBorders>
            <w:shd w:val="clear" w:color="auto" w:fill="auto"/>
            <w:noWrap/>
            <w:vAlign w:val="bottom"/>
            <w:hideMark/>
          </w:tcPr>
          <w:p w14:paraId="797CE58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0.49</w:t>
            </w:r>
          </w:p>
        </w:tc>
        <w:tc>
          <w:tcPr>
            <w:tcW w:w="901" w:type="dxa"/>
            <w:tcBorders>
              <w:top w:val="nil"/>
              <w:left w:val="nil"/>
              <w:bottom w:val="single" w:sz="4" w:space="0" w:color="auto"/>
              <w:right w:val="single" w:sz="4" w:space="0" w:color="auto"/>
            </w:tcBorders>
            <w:shd w:val="clear" w:color="auto" w:fill="auto"/>
            <w:noWrap/>
            <w:vAlign w:val="bottom"/>
            <w:hideMark/>
          </w:tcPr>
          <w:p w14:paraId="477EDC0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0.50</w:t>
            </w:r>
          </w:p>
        </w:tc>
        <w:tc>
          <w:tcPr>
            <w:tcW w:w="809" w:type="dxa"/>
            <w:tcBorders>
              <w:top w:val="nil"/>
              <w:left w:val="nil"/>
              <w:bottom w:val="single" w:sz="4" w:space="0" w:color="auto"/>
              <w:right w:val="nil"/>
            </w:tcBorders>
            <w:shd w:val="clear" w:color="auto" w:fill="auto"/>
            <w:noWrap/>
            <w:vAlign w:val="bottom"/>
            <w:hideMark/>
          </w:tcPr>
          <w:p w14:paraId="68CC3DA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7E67121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532D693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0.10</w:t>
            </w:r>
          </w:p>
        </w:tc>
        <w:tc>
          <w:tcPr>
            <w:tcW w:w="902" w:type="dxa"/>
            <w:tcBorders>
              <w:top w:val="nil"/>
              <w:left w:val="nil"/>
              <w:bottom w:val="single" w:sz="4" w:space="0" w:color="auto"/>
              <w:right w:val="single" w:sz="4" w:space="0" w:color="auto"/>
            </w:tcBorders>
            <w:shd w:val="clear" w:color="auto" w:fill="auto"/>
            <w:noWrap/>
            <w:vAlign w:val="bottom"/>
            <w:hideMark/>
          </w:tcPr>
          <w:p w14:paraId="102B89F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0.40</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715816F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1.29</w:t>
            </w:r>
          </w:p>
        </w:tc>
      </w:tr>
      <w:tr w:rsidR="00C7014F" w:rsidRPr="00C7014F" w14:paraId="74254EDB"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66F36146"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M7</w:t>
            </w:r>
          </w:p>
        </w:tc>
        <w:tc>
          <w:tcPr>
            <w:tcW w:w="810" w:type="dxa"/>
            <w:tcBorders>
              <w:top w:val="nil"/>
              <w:left w:val="nil"/>
              <w:bottom w:val="single" w:sz="4" w:space="0" w:color="auto"/>
              <w:right w:val="single" w:sz="4" w:space="0" w:color="auto"/>
            </w:tcBorders>
            <w:shd w:val="clear" w:color="auto" w:fill="auto"/>
            <w:noWrap/>
            <w:vAlign w:val="bottom"/>
            <w:hideMark/>
          </w:tcPr>
          <w:p w14:paraId="21E7AE9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1.44</w:t>
            </w:r>
          </w:p>
        </w:tc>
        <w:tc>
          <w:tcPr>
            <w:tcW w:w="810" w:type="dxa"/>
            <w:tcBorders>
              <w:top w:val="nil"/>
              <w:left w:val="nil"/>
              <w:bottom w:val="single" w:sz="4" w:space="0" w:color="auto"/>
              <w:right w:val="single" w:sz="4" w:space="0" w:color="auto"/>
            </w:tcBorders>
            <w:shd w:val="clear" w:color="auto" w:fill="auto"/>
            <w:noWrap/>
            <w:vAlign w:val="bottom"/>
            <w:hideMark/>
          </w:tcPr>
          <w:p w14:paraId="5020DF5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0.22</w:t>
            </w:r>
          </w:p>
        </w:tc>
        <w:tc>
          <w:tcPr>
            <w:tcW w:w="901" w:type="dxa"/>
            <w:tcBorders>
              <w:top w:val="nil"/>
              <w:left w:val="nil"/>
              <w:bottom w:val="single" w:sz="4" w:space="0" w:color="auto"/>
              <w:right w:val="single" w:sz="4" w:space="0" w:color="auto"/>
            </w:tcBorders>
            <w:shd w:val="clear" w:color="auto" w:fill="auto"/>
            <w:noWrap/>
            <w:vAlign w:val="bottom"/>
            <w:hideMark/>
          </w:tcPr>
          <w:p w14:paraId="182517AD"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0.22</w:t>
            </w:r>
          </w:p>
        </w:tc>
        <w:tc>
          <w:tcPr>
            <w:tcW w:w="809" w:type="dxa"/>
            <w:tcBorders>
              <w:top w:val="nil"/>
              <w:left w:val="nil"/>
              <w:bottom w:val="single" w:sz="4" w:space="0" w:color="auto"/>
              <w:right w:val="nil"/>
            </w:tcBorders>
            <w:shd w:val="clear" w:color="auto" w:fill="auto"/>
            <w:noWrap/>
            <w:vAlign w:val="bottom"/>
            <w:hideMark/>
          </w:tcPr>
          <w:p w14:paraId="620A001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1.47</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34B3688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61BEA10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0.11</w:t>
            </w:r>
          </w:p>
        </w:tc>
        <w:tc>
          <w:tcPr>
            <w:tcW w:w="902" w:type="dxa"/>
            <w:tcBorders>
              <w:top w:val="nil"/>
              <w:left w:val="nil"/>
              <w:bottom w:val="single" w:sz="4" w:space="0" w:color="auto"/>
              <w:right w:val="single" w:sz="4" w:space="0" w:color="auto"/>
            </w:tcBorders>
            <w:shd w:val="clear" w:color="auto" w:fill="auto"/>
            <w:noWrap/>
            <w:vAlign w:val="bottom"/>
            <w:hideMark/>
          </w:tcPr>
          <w:p w14:paraId="6935093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0.19</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32AEBA1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1.24</w:t>
            </w:r>
          </w:p>
        </w:tc>
      </w:tr>
      <w:tr w:rsidR="00C7014F" w:rsidRPr="00C7014F" w14:paraId="476DAC65"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564F0D3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M8</w:t>
            </w:r>
          </w:p>
        </w:tc>
        <w:tc>
          <w:tcPr>
            <w:tcW w:w="810" w:type="dxa"/>
            <w:tcBorders>
              <w:top w:val="nil"/>
              <w:left w:val="nil"/>
              <w:bottom w:val="single" w:sz="4" w:space="0" w:color="auto"/>
              <w:right w:val="single" w:sz="4" w:space="0" w:color="auto"/>
            </w:tcBorders>
            <w:shd w:val="clear" w:color="auto" w:fill="auto"/>
            <w:noWrap/>
            <w:vAlign w:val="bottom"/>
            <w:hideMark/>
          </w:tcPr>
          <w:p w14:paraId="31BBA35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810" w:type="dxa"/>
            <w:tcBorders>
              <w:top w:val="nil"/>
              <w:left w:val="nil"/>
              <w:bottom w:val="single" w:sz="4" w:space="0" w:color="auto"/>
              <w:right w:val="single" w:sz="4" w:space="0" w:color="auto"/>
            </w:tcBorders>
            <w:shd w:val="clear" w:color="auto" w:fill="auto"/>
            <w:noWrap/>
            <w:vAlign w:val="bottom"/>
            <w:hideMark/>
          </w:tcPr>
          <w:p w14:paraId="06772E8F"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0.03</w:t>
            </w:r>
          </w:p>
        </w:tc>
        <w:tc>
          <w:tcPr>
            <w:tcW w:w="901" w:type="dxa"/>
            <w:tcBorders>
              <w:top w:val="nil"/>
              <w:left w:val="nil"/>
              <w:bottom w:val="single" w:sz="4" w:space="0" w:color="auto"/>
              <w:right w:val="single" w:sz="4" w:space="0" w:color="auto"/>
            </w:tcBorders>
            <w:shd w:val="clear" w:color="auto" w:fill="auto"/>
            <w:noWrap/>
            <w:vAlign w:val="bottom"/>
            <w:hideMark/>
          </w:tcPr>
          <w:p w14:paraId="2541DC86"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0.19</w:t>
            </w:r>
          </w:p>
        </w:tc>
        <w:tc>
          <w:tcPr>
            <w:tcW w:w="809" w:type="dxa"/>
            <w:tcBorders>
              <w:top w:val="nil"/>
              <w:left w:val="nil"/>
              <w:bottom w:val="single" w:sz="4" w:space="0" w:color="auto"/>
              <w:right w:val="nil"/>
            </w:tcBorders>
            <w:shd w:val="clear" w:color="auto" w:fill="auto"/>
            <w:noWrap/>
            <w:vAlign w:val="bottom"/>
            <w:hideMark/>
          </w:tcPr>
          <w:p w14:paraId="6AB5B97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1.61</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58994B0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0BDFE68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0.03</w:t>
            </w:r>
          </w:p>
        </w:tc>
        <w:tc>
          <w:tcPr>
            <w:tcW w:w="902" w:type="dxa"/>
            <w:tcBorders>
              <w:top w:val="nil"/>
              <w:left w:val="nil"/>
              <w:bottom w:val="single" w:sz="4" w:space="0" w:color="auto"/>
              <w:right w:val="single" w:sz="4" w:space="0" w:color="auto"/>
            </w:tcBorders>
            <w:shd w:val="clear" w:color="auto" w:fill="auto"/>
            <w:noWrap/>
            <w:vAlign w:val="bottom"/>
            <w:hideMark/>
          </w:tcPr>
          <w:p w14:paraId="279B3EC8"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0.12</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09C4368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r>
      <w:tr w:rsidR="00C7014F" w:rsidRPr="00C7014F" w14:paraId="7A4A764A"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557B6B1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M9</w:t>
            </w:r>
          </w:p>
        </w:tc>
        <w:tc>
          <w:tcPr>
            <w:tcW w:w="810" w:type="dxa"/>
            <w:tcBorders>
              <w:top w:val="nil"/>
              <w:left w:val="nil"/>
              <w:bottom w:val="single" w:sz="4" w:space="0" w:color="auto"/>
              <w:right w:val="single" w:sz="4" w:space="0" w:color="auto"/>
            </w:tcBorders>
            <w:shd w:val="clear" w:color="auto" w:fill="auto"/>
            <w:noWrap/>
            <w:vAlign w:val="bottom"/>
            <w:hideMark/>
          </w:tcPr>
          <w:p w14:paraId="7AC9423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810" w:type="dxa"/>
            <w:tcBorders>
              <w:top w:val="nil"/>
              <w:left w:val="nil"/>
              <w:bottom w:val="single" w:sz="4" w:space="0" w:color="auto"/>
              <w:right w:val="single" w:sz="4" w:space="0" w:color="auto"/>
            </w:tcBorders>
            <w:shd w:val="clear" w:color="auto" w:fill="auto"/>
            <w:noWrap/>
            <w:vAlign w:val="bottom"/>
            <w:hideMark/>
          </w:tcPr>
          <w:p w14:paraId="15FE8D3B"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0.08</w:t>
            </w:r>
          </w:p>
        </w:tc>
        <w:tc>
          <w:tcPr>
            <w:tcW w:w="901" w:type="dxa"/>
            <w:tcBorders>
              <w:top w:val="nil"/>
              <w:left w:val="nil"/>
              <w:bottom w:val="single" w:sz="4" w:space="0" w:color="auto"/>
              <w:right w:val="single" w:sz="4" w:space="0" w:color="auto"/>
            </w:tcBorders>
            <w:shd w:val="clear" w:color="auto" w:fill="auto"/>
            <w:noWrap/>
            <w:vAlign w:val="bottom"/>
            <w:hideMark/>
          </w:tcPr>
          <w:p w14:paraId="617CC21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0.40</w:t>
            </w:r>
          </w:p>
        </w:tc>
        <w:tc>
          <w:tcPr>
            <w:tcW w:w="809" w:type="dxa"/>
            <w:tcBorders>
              <w:top w:val="nil"/>
              <w:left w:val="nil"/>
              <w:bottom w:val="single" w:sz="4" w:space="0" w:color="auto"/>
              <w:right w:val="nil"/>
            </w:tcBorders>
            <w:shd w:val="clear" w:color="auto" w:fill="auto"/>
            <w:noWrap/>
            <w:vAlign w:val="bottom"/>
            <w:hideMark/>
          </w:tcPr>
          <w:p w14:paraId="0A2F966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1.65</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5EAA7670"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4C8E924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0.05</w:t>
            </w:r>
          </w:p>
        </w:tc>
        <w:tc>
          <w:tcPr>
            <w:tcW w:w="902" w:type="dxa"/>
            <w:tcBorders>
              <w:top w:val="nil"/>
              <w:left w:val="nil"/>
              <w:bottom w:val="single" w:sz="4" w:space="0" w:color="auto"/>
              <w:right w:val="single" w:sz="4" w:space="0" w:color="auto"/>
            </w:tcBorders>
            <w:shd w:val="clear" w:color="auto" w:fill="auto"/>
            <w:noWrap/>
            <w:vAlign w:val="bottom"/>
            <w:hideMark/>
          </w:tcPr>
          <w:p w14:paraId="148ECE11"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0.26</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458429F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1.25</w:t>
            </w:r>
          </w:p>
        </w:tc>
      </w:tr>
      <w:tr w:rsidR="00C7014F" w:rsidRPr="00C7014F" w14:paraId="7E7DBE77" w14:textId="77777777" w:rsidTr="00261706">
        <w:trPr>
          <w:trHeight w:val="290"/>
          <w:jc w:val="center"/>
        </w:trPr>
        <w:tc>
          <w:tcPr>
            <w:tcW w:w="1070" w:type="dxa"/>
            <w:tcBorders>
              <w:top w:val="nil"/>
              <w:left w:val="single" w:sz="8" w:space="0" w:color="auto"/>
              <w:bottom w:val="single" w:sz="4" w:space="0" w:color="auto"/>
              <w:right w:val="single" w:sz="4" w:space="0" w:color="auto"/>
            </w:tcBorders>
            <w:shd w:val="clear" w:color="auto" w:fill="auto"/>
            <w:noWrap/>
            <w:vAlign w:val="bottom"/>
            <w:hideMark/>
          </w:tcPr>
          <w:p w14:paraId="15A8F05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M10</w:t>
            </w:r>
          </w:p>
        </w:tc>
        <w:tc>
          <w:tcPr>
            <w:tcW w:w="810" w:type="dxa"/>
            <w:tcBorders>
              <w:top w:val="nil"/>
              <w:left w:val="nil"/>
              <w:bottom w:val="single" w:sz="4" w:space="0" w:color="auto"/>
              <w:right w:val="single" w:sz="4" w:space="0" w:color="auto"/>
            </w:tcBorders>
            <w:shd w:val="clear" w:color="auto" w:fill="auto"/>
            <w:noWrap/>
            <w:vAlign w:val="bottom"/>
            <w:hideMark/>
          </w:tcPr>
          <w:p w14:paraId="0D1A06D1"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810" w:type="dxa"/>
            <w:tcBorders>
              <w:top w:val="nil"/>
              <w:left w:val="nil"/>
              <w:bottom w:val="single" w:sz="4" w:space="0" w:color="auto"/>
              <w:right w:val="single" w:sz="4" w:space="0" w:color="auto"/>
            </w:tcBorders>
            <w:shd w:val="clear" w:color="auto" w:fill="auto"/>
            <w:noWrap/>
            <w:vAlign w:val="bottom"/>
            <w:hideMark/>
          </w:tcPr>
          <w:p w14:paraId="3A842A0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0.04</w:t>
            </w:r>
          </w:p>
        </w:tc>
        <w:tc>
          <w:tcPr>
            <w:tcW w:w="901" w:type="dxa"/>
            <w:tcBorders>
              <w:top w:val="nil"/>
              <w:left w:val="nil"/>
              <w:bottom w:val="single" w:sz="4" w:space="0" w:color="auto"/>
              <w:right w:val="single" w:sz="4" w:space="0" w:color="auto"/>
            </w:tcBorders>
            <w:shd w:val="clear" w:color="auto" w:fill="auto"/>
            <w:noWrap/>
            <w:vAlign w:val="bottom"/>
            <w:hideMark/>
          </w:tcPr>
          <w:p w14:paraId="7B4D7841"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0.11</w:t>
            </w:r>
          </w:p>
        </w:tc>
        <w:tc>
          <w:tcPr>
            <w:tcW w:w="809" w:type="dxa"/>
            <w:tcBorders>
              <w:top w:val="nil"/>
              <w:left w:val="nil"/>
              <w:bottom w:val="single" w:sz="4" w:space="0" w:color="auto"/>
              <w:right w:val="nil"/>
            </w:tcBorders>
            <w:shd w:val="clear" w:color="auto" w:fill="auto"/>
            <w:noWrap/>
            <w:vAlign w:val="bottom"/>
            <w:hideMark/>
          </w:tcPr>
          <w:p w14:paraId="660B3F69"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989" w:type="dxa"/>
            <w:tcBorders>
              <w:top w:val="nil"/>
              <w:left w:val="single" w:sz="8" w:space="0" w:color="auto"/>
              <w:bottom w:val="single" w:sz="4" w:space="0" w:color="auto"/>
              <w:right w:val="single" w:sz="4" w:space="0" w:color="auto"/>
            </w:tcBorders>
            <w:shd w:val="clear" w:color="auto" w:fill="auto"/>
            <w:noWrap/>
            <w:vAlign w:val="bottom"/>
            <w:hideMark/>
          </w:tcPr>
          <w:p w14:paraId="588C8B4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c>
          <w:tcPr>
            <w:tcW w:w="901" w:type="dxa"/>
            <w:tcBorders>
              <w:top w:val="nil"/>
              <w:left w:val="nil"/>
              <w:bottom w:val="single" w:sz="4" w:space="0" w:color="auto"/>
              <w:right w:val="single" w:sz="4" w:space="0" w:color="auto"/>
            </w:tcBorders>
            <w:shd w:val="clear" w:color="auto" w:fill="auto"/>
            <w:noWrap/>
            <w:vAlign w:val="bottom"/>
            <w:hideMark/>
          </w:tcPr>
          <w:p w14:paraId="22C78DA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0.02</w:t>
            </w:r>
          </w:p>
        </w:tc>
        <w:tc>
          <w:tcPr>
            <w:tcW w:w="902" w:type="dxa"/>
            <w:tcBorders>
              <w:top w:val="nil"/>
              <w:left w:val="nil"/>
              <w:bottom w:val="single" w:sz="4" w:space="0" w:color="auto"/>
              <w:right w:val="single" w:sz="4" w:space="0" w:color="auto"/>
            </w:tcBorders>
            <w:shd w:val="clear" w:color="auto" w:fill="auto"/>
            <w:noWrap/>
            <w:vAlign w:val="bottom"/>
            <w:hideMark/>
          </w:tcPr>
          <w:p w14:paraId="5C92840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0.08</w:t>
            </w:r>
          </w:p>
        </w:tc>
        <w:tc>
          <w:tcPr>
            <w:tcW w:w="895" w:type="dxa"/>
            <w:gridSpan w:val="2"/>
            <w:tcBorders>
              <w:top w:val="nil"/>
              <w:left w:val="nil"/>
              <w:bottom w:val="single" w:sz="4" w:space="0" w:color="auto"/>
              <w:right w:val="single" w:sz="8" w:space="0" w:color="auto"/>
            </w:tcBorders>
            <w:shd w:val="clear" w:color="auto" w:fill="auto"/>
            <w:noWrap/>
            <w:vAlign w:val="bottom"/>
            <w:hideMark/>
          </w:tcPr>
          <w:p w14:paraId="7BE0E9FE"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1.22</w:t>
            </w:r>
          </w:p>
        </w:tc>
      </w:tr>
      <w:tr w:rsidR="0073494E" w:rsidRPr="00C7014F" w14:paraId="1A597333" w14:textId="77777777" w:rsidTr="00261706">
        <w:trPr>
          <w:trHeight w:val="300"/>
          <w:jc w:val="center"/>
        </w:trPr>
        <w:tc>
          <w:tcPr>
            <w:tcW w:w="1070" w:type="dxa"/>
            <w:tcBorders>
              <w:top w:val="nil"/>
              <w:left w:val="single" w:sz="8" w:space="0" w:color="auto"/>
              <w:bottom w:val="single" w:sz="8" w:space="0" w:color="auto"/>
              <w:right w:val="single" w:sz="4" w:space="0" w:color="auto"/>
            </w:tcBorders>
            <w:shd w:val="clear" w:color="auto" w:fill="auto"/>
            <w:noWrap/>
            <w:vAlign w:val="bottom"/>
            <w:hideMark/>
          </w:tcPr>
          <w:p w14:paraId="3900CB8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M11</w:t>
            </w:r>
          </w:p>
        </w:tc>
        <w:tc>
          <w:tcPr>
            <w:tcW w:w="810" w:type="dxa"/>
            <w:tcBorders>
              <w:top w:val="nil"/>
              <w:left w:val="nil"/>
              <w:bottom w:val="single" w:sz="8" w:space="0" w:color="auto"/>
              <w:right w:val="single" w:sz="4" w:space="0" w:color="auto"/>
            </w:tcBorders>
            <w:shd w:val="clear" w:color="auto" w:fill="auto"/>
            <w:noWrap/>
            <w:vAlign w:val="bottom"/>
            <w:hideMark/>
          </w:tcPr>
          <w:p w14:paraId="6E8D9E7C"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1.60</w:t>
            </w:r>
          </w:p>
        </w:tc>
        <w:tc>
          <w:tcPr>
            <w:tcW w:w="810" w:type="dxa"/>
            <w:tcBorders>
              <w:top w:val="nil"/>
              <w:left w:val="nil"/>
              <w:bottom w:val="single" w:sz="8" w:space="0" w:color="auto"/>
              <w:right w:val="single" w:sz="4" w:space="0" w:color="auto"/>
            </w:tcBorders>
            <w:shd w:val="clear" w:color="auto" w:fill="auto"/>
            <w:noWrap/>
            <w:vAlign w:val="bottom"/>
            <w:hideMark/>
          </w:tcPr>
          <w:p w14:paraId="4A05F913"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0.57</w:t>
            </w:r>
          </w:p>
        </w:tc>
        <w:tc>
          <w:tcPr>
            <w:tcW w:w="901" w:type="dxa"/>
            <w:tcBorders>
              <w:top w:val="nil"/>
              <w:left w:val="nil"/>
              <w:bottom w:val="single" w:sz="8" w:space="0" w:color="auto"/>
              <w:right w:val="single" w:sz="4" w:space="0" w:color="auto"/>
            </w:tcBorders>
            <w:shd w:val="clear" w:color="auto" w:fill="auto"/>
            <w:noWrap/>
            <w:vAlign w:val="bottom"/>
            <w:hideMark/>
          </w:tcPr>
          <w:p w14:paraId="62313BD2"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0.16</w:t>
            </w:r>
          </w:p>
        </w:tc>
        <w:tc>
          <w:tcPr>
            <w:tcW w:w="809" w:type="dxa"/>
            <w:tcBorders>
              <w:top w:val="nil"/>
              <w:left w:val="nil"/>
              <w:bottom w:val="single" w:sz="8" w:space="0" w:color="auto"/>
              <w:right w:val="nil"/>
            </w:tcBorders>
            <w:shd w:val="clear" w:color="auto" w:fill="auto"/>
            <w:noWrap/>
            <w:vAlign w:val="bottom"/>
            <w:hideMark/>
          </w:tcPr>
          <w:p w14:paraId="15D0D30A"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1.70</w:t>
            </w:r>
          </w:p>
        </w:tc>
        <w:tc>
          <w:tcPr>
            <w:tcW w:w="989" w:type="dxa"/>
            <w:tcBorders>
              <w:top w:val="nil"/>
              <w:left w:val="single" w:sz="8" w:space="0" w:color="auto"/>
              <w:bottom w:val="single" w:sz="8" w:space="0" w:color="auto"/>
              <w:right w:val="single" w:sz="4" w:space="0" w:color="auto"/>
            </w:tcBorders>
            <w:shd w:val="clear" w:color="auto" w:fill="auto"/>
            <w:noWrap/>
            <w:vAlign w:val="bottom"/>
            <w:hideMark/>
          </w:tcPr>
          <w:p w14:paraId="073CE1C1"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2.09</w:t>
            </w:r>
          </w:p>
        </w:tc>
        <w:tc>
          <w:tcPr>
            <w:tcW w:w="901" w:type="dxa"/>
            <w:tcBorders>
              <w:top w:val="nil"/>
              <w:left w:val="nil"/>
              <w:bottom w:val="single" w:sz="8" w:space="0" w:color="auto"/>
              <w:right w:val="single" w:sz="4" w:space="0" w:color="auto"/>
            </w:tcBorders>
            <w:shd w:val="clear" w:color="auto" w:fill="auto"/>
            <w:noWrap/>
            <w:vAlign w:val="bottom"/>
            <w:hideMark/>
          </w:tcPr>
          <w:p w14:paraId="45AD68A7"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0.03</w:t>
            </w:r>
          </w:p>
        </w:tc>
        <w:tc>
          <w:tcPr>
            <w:tcW w:w="902" w:type="dxa"/>
            <w:tcBorders>
              <w:top w:val="nil"/>
              <w:left w:val="nil"/>
              <w:bottom w:val="single" w:sz="8" w:space="0" w:color="auto"/>
              <w:right w:val="single" w:sz="4" w:space="0" w:color="auto"/>
            </w:tcBorders>
            <w:shd w:val="clear" w:color="auto" w:fill="auto"/>
            <w:noWrap/>
            <w:vAlign w:val="bottom"/>
            <w:hideMark/>
          </w:tcPr>
          <w:p w14:paraId="2894A9B5"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0.15</w:t>
            </w:r>
          </w:p>
        </w:tc>
        <w:tc>
          <w:tcPr>
            <w:tcW w:w="895" w:type="dxa"/>
            <w:gridSpan w:val="2"/>
            <w:tcBorders>
              <w:top w:val="nil"/>
              <w:left w:val="nil"/>
              <w:bottom w:val="single" w:sz="8" w:space="0" w:color="auto"/>
              <w:right w:val="single" w:sz="8" w:space="0" w:color="auto"/>
            </w:tcBorders>
            <w:shd w:val="clear" w:color="auto" w:fill="auto"/>
            <w:noWrap/>
            <w:vAlign w:val="bottom"/>
            <w:hideMark/>
          </w:tcPr>
          <w:p w14:paraId="6A3F52D4" w14:textId="77777777" w:rsidR="0073494E" w:rsidRPr="00C7014F" w:rsidRDefault="0073494E" w:rsidP="00794891">
            <w:pPr>
              <w:spacing w:after="0" w:line="240" w:lineRule="auto"/>
              <w:jc w:val="center"/>
              <w:rPr>
                <w:rFonts w:ascii="Palatino Linotype" w:eastAsia="Times New Roman" w:hAnsi="Palatino Linotype" w:cs="Times New Roman"/>
                <w:sz w:val="18"/>
                <w:szCs w:val="18"/>
              </w:rPr>
            </w:pPr>
            <w:r w:rsidRPr="00C7014F">
              <w:rPr>
                <w:rFonts w:ascii="Palatino Linotype" w:eastAsia="Times New Roman" w:hAnsi="Palatino Linotype" w:cs="Times New Roman"/>
                <w:sz w:val="18"/>
                <w:szCs w:val="18"/>
              </w:rPr>
              <w:t>2.10</w:t>
            </w:r>
          </w:p>
        </w:tc>
      </w:tr>
    </w:tbl>
    <w:p w14:paraId="59DCAFC3" w14:textId="4066369A" w:rsidR="004F4450" w:rsidRPr="00C7014F" w:rsidRDefault="004F4450" w:rsidP="00554259">
      <w:pPr>
        <w:spacing w:line="300" w:lineRule="exact"/>
        <w:jc w:val="both"/>
        <w:rPr>
          <w:rFonts w:ascii="Palatino Linotype" w:hAnsi="Palatino Linotype"/>
          <w:sz w:val="20"/>
          <w:szCs w:val="20"/>
        </w:rPr>
      </w:pPr>
    </w:p>
    <w:p w14:paraId="4CFDDBFA" w14:textId="77777777" w:rsidR="0065622D" w:rsidRPr="00C7014F" w:rsidRDefault="003234CE" w:rsidP="003234CE">
      <w:pPr>
        <w:spacing w:line="300" w:lineRule="exact"/>
        <w:jc w:val="both"/>
        <w:rPr>
          <w:rFonts w:ascii="Palatino Linotype" w:hAnsi="Palatino Linotype"/>
          <w:sz w:val="20"/>
          <w:szCs w:val="20"/>
        </w:rPr>
      </w:pPr>
      <w:r w:rsidRPr="00C7014F">
        <w:rPr>
          <w:rFonts w:ascii="Palatino Linotype" w:hAnsi="Palatino Linotype"/>
          <w:sz w:val="20"/>
          <w:szCs w:val="20"/>
        </w:rPr>
        <w:t>Finally, we have also compared the lunar calib</w:t>
      </w:r>
      <w:r w:rsidR="00C04115" w:rsidRPr="00C7014F">
        <w:rPr>
          <w:rFonts w:ascii="Palatino Linotype" w:hAnsi="Palatino Linotype"/>
          <w:sz w:val="20"/>
          <w:szCs w:val="20"/>
        </w:rPr>
        <w:t xml:space="preserve">ration inter-comparison results derived with </w:t>
      </w:r>
      <w:r w:rsidR="00736A16" w:rsidRPr="00C7014F">
        <w:rPr>
          <w:rFonts w:ascii="Palatino Linotype" w:hAnsi="Palatino Linotype"/>
          <w:sz w:val="20"/>
          <w:szCs w:val="20"/>
        </w:rPr>
        <w:t xml:space="preserve">all sensors’ calibration tied to </w:t>
      </w:r>
      <w:r w:rsidRPr="00C7014F">
        <w:rPr>
          <w:rFonts w:ascii="Palatino Linotype" w:hAnsi="Palatino Linotype"/>
          <w:sz w:val="20"/>
          <w:szCs w:val="20"/>
        </w:rPr>
        <w:t>the same TSIS</w:t>
      </w:r>
      <w:r w:rsidR="00736A16" w:rsidRPr="00C7014F">
        <w:rPr>
          <w:rFonts w:ascii="Palatino Linotype" w:hAnsi="Palatino Linotype"/>
          <w:sz w:val="20"/>
          <w:szCs w:val="20"/>
        </w:rPr>
        <w:t>-1</w:t>
      </w:r>
      <w:r w:rsidRPr="00C7014F">
        <w:rPr>
          <w:rFonts w:ascii="Palatino Linotype" w:hAnsi="Palatino Linotype"/>
          <w:sz w:val="20"/>
          <w:szCs w:val="20"/>
        </w:rPr>
        <w:t xml:space="preserve"> hybrid spectrum</w:t>
      </w:r>
      <w:r w:rsidR="00736A16" w:rsidRPr="00C7014F">
        <w:rPr>
          <w:rFonts w:ascii="Palatino Linotype" w:hAnsi="Palatino Linotype"/>
          <w:sz w:val="20"/>
          <w:szCs w:val="20"/>
        </w:rPr>
        <w:t xml:space="preserve">, including </w:t>
      </w:r>
      <w:r w:rsidRPr="00C7014F">
        <w:rPr>
          <w:rFonts w:ascii="Palatino Linotype" w:hAnsi="Palatino Linotype"/>
          <w:sz w:val="20"/>
          <w:szCs w:val="20"/>
        </w:rPr>
        <w:t xml:space="preserve">reprocessing </w:t>
      </w:r>
      <w:r w:rsidR="00C04115" w:rsidRPr="00C7014F">
        <w:rPr>
          <w:rFonts w:ascii="Palatino Linotype" w:hAnsi="Palatino Linotype"/>
          <w:sz w:val="20"/>
          <w:szCs w:val="20"/>
        </w:rPr>
        <w:t xml:space="preserve">their </w:t>
      </w:r>
      <w:r w:rsidRPr="00C7014F">
        <w:rPr>
          <w:rFonts w:ascii="Palatino Linotype" w:hAnsi="Palatino Linotype"/>
          <w:sz w:val="20"/>
          <w:szCs w:val="20"/>
        </w:rPr>
        <w:t>calibration coefficients</w:t>
      </w:r>
      <w:r w:rsidR="00C04115" w:rsidRPr="00C7014F">
        <w:rPr>
          <w:rFonts w:ascii="Palatino Linotype" w:hAnsi="Palatino Linotype"/>
          <w:sz w:val="20"/>
          <w:szCs w:val="20"/>
        </w:rPr>
        <w:t xml:space="preserve"> and parameters involved in </w:t>
      </w:r>
      <w:r w:rsidR="00736A16" w:rsidRPr="00C7014F">
        <w:rPr>
          <w:rFonts w:ascii="Palatino Linotype" w:hAnsi="Palatino Linotype"/>
          <w:sz w:val="20"/>
          <w:szCs w:val="20"/>
        </w:rPr>
        <w:t xml:space="preserve">computing the measured </w:t>
      </w:r>
      <w:r w:rsidR="00C04115" w:rsidRPr="00C7014F">
        <w:rPr>
          <w:rFonts w:ascii="Palatino Linotype" w:hAnsi="Palatino Linotype"/>
          <w:sz w:val="20"/>
          <w:szCs w:val="20"/>
        </w:rPr>
        <w:t>lunar irradiance</w:t>
      </w:r>
      <w:r w:rsidR="00736A16" w:rsidRPr="00C7014F">
        <w:rPr>
          <w:rFonts w:ascii="Palatino Linotype" w:hAnsi="Palatino Linotype"/>
          <w:sz w:val="20"/>
          <w:szCs w:val="20"/>
        </w:rPr>
        <w:t>s</w:t>
      </w:r>
      <w:r w:rsidRPr="00C7014F">
        <w:rPr>
          <w:rFonts w:ascii="Palatino Linotype" w:hAnsi="Palatino Linotype"/>
          <w:sz w:val="20"/>
          <w:szCs w:val="20"/>
        </w:rPr>
        <w:t xml:space="preserve">. In this case, Eq. 10 can be used directly for lunar calibration inter-comparisons of all instruments. As expected, the results </w:t>
      </w:r>
      <w:r w:rsidR="00A66A6E" w:rsidRPr="00C7014F">
        <w:rPr>
          <w:rFonts w:ascii="Palatino Linotype" w:hAnsi="Palatino Linotype"/>
          <w:sz w:val="20"/>
          <w:szCs w:val="20"/>
        </w:rPr>
        <w:t xml:space="preserve">from using the same solar spectrum (i.e., </w:t>
      </w:r>
      <w:r w:rsidRPr="00C7014F">
        <w:rPr>
          <w:rFonts w:ascii="Palatino Linotype" w:hAnsi="Palatino Linotype"/>
          <w:sz w:val="20"/>
          <w:szCs w:val="20"/>
        </w:rPr>
        <w:t xml:space="preserve">no additional correction </w:t>
      </w:r>
      <w:r w:rsidR="00A66A6E" w:rsidRPr="00C7014F">
        <w:rPr>
          <w:rFonts w:ascii="Palatino Linotype" w:hAnsi="Palatino Linotype"/>
          <w:sz w:val="20"/>
          <w:szCs w:val="20"/>
        </w:rPr>
        <w:t>needed</w:t>
      </w:r>
      <w:r w:rsidRPr="00C7014F">
        <w:rPr>
          <w:rFonts w:ascii="Palatino Linotype" w:hAnsi="Palatino Linotype"/>
          <w:sz w:val="20"/>
          <w:szCs w:val="20"/>
        </w:rPr>
        <w:t xml:space="preserve">) </w:t>
      </w:r>
      <w:r w:rsidR="00A66A6E" w:rsidRPr="00C7014F">
        <w:rPr>
          <w:rFonts w:ascii="Palatino Linotype" w:hAnsi="Palatino Linotype"/>
          <w:sz w:val="20"/>
          <w:szCs w:val="20"/>
        </w:rPr>
        <w:t xml:space="preserve">for sensor on-orbit calibration </w:t>
      </w:r>
      <w:r w:rsidRPr="00C7014F">
        <w:rPr>
          <w:rFonts w:ascii="Palatino Linotype" w:hAnsi="Palatino Linotype"/>
          <w:sz w:val="20"/>
          <w:szCs w:val="20"/>
        </w:rPr>
        <w:t xml:space="preserve">are </w:t>
      </w:r>
      <w:r w:rsidR="00A66A6E" w:rsidRPr="00C7014F">
        <w:rPr>
          <w:rFonts w:ascii="Palatino Linotype" w:hAnsi="Palatino Linotype"/>
          <w:sz w:val="20"/>
          <w:szCs w:val="20"/>
        </w:rPr>
        <w:t xml:space="preserve">very </w:t>
      </w:r>
      <w:r w:rsidRPr="00C7014F">
        <w:rPr>
          <w:rFonts w:ascii="Palatino Linotype" w:hAnsi="Palatino Linotype"/>
          <w:sz w:val="20"/>
          <w:szCs w:val="20"/>
        </w:rPr>
        <w:t xml:space="preserve">consistent with </w:t>
      </w:r>
      <w:r w:rsidR="00A66A6E" w:rsidRPr="00C7014F">
        <w:rPr>
          <w:rFonts w:ascii="Palatino Linotype" w:hAnsi="Palatino Linotype"/>
          <w:sz w:val="20"/>
          <w:szCs w:val="20"/>
        </w:rPr>
        <w:t>that</w:t>
      </w:r>
      <w:r w:rsidRPr="00C7014F">
        <w:rPr>
          <w:rFonts w:ascii="Palatino Linotype" w:hAnsi="Palatino Linotype"/>
          <w:sz w:val="20"/>
          <w:szCs w:val="20"/>
        </w:rPr>
        <w:t xml:space="preserve"> derived </w:t>
      </w:r>
      <w:r w:rsidR="00054C32" w:rsidRPr="00C7014F">
        <w:rPr>
          <w:rFonts w:ascii="Palatino Linotype" w:hAnsi="Palatino Linotype"/>
          <w:sz w:val="20"/>
          <w:szCs w:val="20"/>
        </w:rPr>
        <w:t xml:space="preserve">using Eq. 11, which includes a correction </w:t>
      </w:r>
      <w:r w:rsidR="00BD5453" w:rsidRPr="00C7014F">
        <w:rPr>
          <w:rFonts w:ascii="Palatino Linotype" w:hAnsi="Palatino Linotype"/>
          <w:sz w:val="20"/>
          <w:szCs w:val="20"/>
        </w:rPr>
        <w:t xml:space="preserve">for Eq. 10 </w:t>
      </w:r>
      <w:r w:rsidR="00054C32" w:rsidRPr="00C7014F">
        <w:rPr>
          <w:rFonts w:ascii="Palatino Linotype" w:hAnsi="Palatino Linotype"/>
          <w:sz w:val="20"/>
          <w:szCs w:val="20"/>
        </w:rPr>
        <w:t xml:space="preserve">to remove the </w:t>
      </w:r>
      <w:r w:rsidR="00BD5453" w:rsidRPr="00C7014F">
        <w:rPr>
          <w:rFonts w:ascii="Palatino Linotype" w:hAnsi="Palatino Linotype"/>
          <w:sz w:val="20"/>
          <w:szCs w:val="20"/>
        </w:rPr>
        <w:t>calibration impact</w:t>
      </w:r>
      <w:r w:rsidR="00054C32" w:rsidRPr="00C7014F">
        <w:rPr>
          <w:rFonts w:ascii="Palatino Linotype" w:hAnsi="Palatino Linotype"/>
          <w:sz w:val="20"/>
          <w:szCs w:val="20"/>
        </w:rPr>
        <w:t xml:space="preserve"> </w:t>
      </w:r>
      <w:r w:rsidR="00BD5453" w:rsidRPr="00C7014F">
        <w:rPr>
          <w:rFonts w:ascii="Palatino Linotype" w:hAnsi="Palatino Linotype"/>
          <w:sz w:val="20"/>
          <w:szCs w:val="20"/>
        </w:rPr>
        <w:t xml:space="preserve">due to </w:t>
      </w:r>
      <w:r w:rsidR="00054C32" w:rsidRPr="00C7014F">
        <w:rPr>
          <w:rFonts w:ascii="Palatino Linotype" w:hAnsi="Palatino Linotype"/>
          <w:sz w:val="20"/>
          <w:szCs w:val="20"/>
        </w:rPr>
        <w:t>different solar spectra</w:t>
      </w:r>
      <w:r w:rsidR="00BD5453" w:rsidRPr="00C7014F">
        <w:rPr>
          <w:rFonts w:ascii="Palatino Linotype" w:hAnsi="Palatino Linotype"/>
          <w:sz w:val="20"/>
          <w:szCs w:val="20"/>
        </w:rPr>
        <w:t xml:space="preserve"> used by individual sensors</w:t>
      </w:r>
      <w:r w:rsidRPr="00C7014F">
        <w:rPr>
          <w:rFonts w:ascii="Palatino Linotype" w:hAnsi="Palatino Linotype"/>
          <w:sz w:val="20"/>
          <w:szCs w:val="20"/>
        </w:rPr>
        <w:t xml:space="preserve">. </w:t>
      </w:r>
      <w:r w:rsidR="00D60F86" w:rsidRPr="00C7014F">
        <w:rPr>
          <w:rFonts w:ascii="Palatino Linotype" w:hAnsi="Palatino Linotype"/>
          <w:sz w:val="20"/>
          <w:szCs w:val="20"/>
        </w:rPr>
        <w:t xml:space="preserve">For SNPP and N20 VIIRS, the </w:t>
      </w:r>
      <w:r w:rsidR="002D5437" w:rsidRPr="00C7014F">
        <w:rPr>
          <w:rFonts w:ascii="Palatino Linotype" w:hAnsi="Palatino Linotype"/>
          <w:sz w:val="20"/>
          <w:szCs w:val="20"/>
        </w:rPr>
        <w:t>differences between</w:t>
      </w:r>
      <w:r w:rsidR="00BD5453" w:rsidRPr="00C7014F">
        <w:rPr>
          <w:rFonts w:ascii="Palatino Linotype" w:hAnsi="Palatino Linotype"/>
          <w:sz w:val="20"/>
          <w:szCs w:val="20"/>
        </w:rPr>
        <w:t xml:space="preserve"> the</w:t>
      </w:r>
      <w:r w:rsidR="002D5437" w:rsidRPr="00C7014F">
        <w:rPr>
          <w:rFonts w:ascii="Palatino Linotype" w:hAnsi="Palatino Linotype"/>
          <w:sz w:val="20"/>
          <w:szCs w:val="20"/>
        </w:rPr>
        <w:t xml:space="preserve"> two</w:t>
      </w:r>
      <w:r w:rsidR="00D60F86" w:rsidRPr="00C7014F">
        <w:rPr>
          <w:rFonts w:ascii="Palatino Linotype" w:hAnsi="Palatino Linotype"/>
          <w:sz w:val="20"/>
          <w:szCs w:val="20"/>
        </w:rPr>
        <w:t xml:space="preserve"> approaches </w:t>
      </w:r>
      <w:r w:rsidR="002D5437" w:rsidRPr="00C7014F">
        <w:rPr>
          <w:rFonts w:ascii="Palatino Linotype" w:hAnsi="Palatino Linotype"/>
          <w:sz w:val="20"/>
          <w:szCs w:val="20"/>
        </w:rPr>
        <w:t xml:space="preserve">are less than </w:t>
      </w:r>
      <w:r w:rsidR="00D60F86" w:rsidRPr="00C7014F">
        <w:rPr>
          <w:rFonts w:ascii="Palatino Linotype" w:hAnsi="Palatino Linotype"/>
          <w:sz w:val="20"/>
          <w:szCs w:val="20"/>
        </w:rPr>
        <w:t>0.2%</w:t>
      </w:r>
      <w:r w:rsidR="002D5437" w:rsidRPr="00C7014F">
        <w:rPr>
          <w:rFonts w:ascii="Palatino Linotype" w:hAnsi="Palatino Linotype"/>
          <w:sz w:val="20"/>
          <w:szCs w:val="20"/>
        </w:rPr>
        <w:t>. For Aqua MODIS and N20 VIIRS, the differences are also very small, except for band pairs of 1/I1</w:t>
      </w:r>
      <w:r w:rsidR="00BD5453" w:rsidRPr="00C7014F">
        <w:rPr>
          <w:rFonts w:ascii="Palatino Linotype" w:hAnsi="Palatino Linotype"/>
          <w:sz w:val="20"/>
          <w:szCs w:val="20"/>
        </w:rPr>
        <w:t xml:space="preserve"> (0.3%)</w:t>
      </w:r>
      <w:r w:rsidR="002D5437" w:rsidRPr="00C7014F">
        <w:rPr>
          <w:rFonts w:ascii="Palatino Linotype" w:hAnsi="Palatino Linotype"/>
          <w:sz w:val="20"/>
          <w:szCs w:val="20"/>
        </w:rPr>
        <w:t>, 2/I2</w:t>
      </w:r>
      <w:r w:rsidR="00BD5453" w:rsidRPr="00C7014F">
        <w:rPr>
          <w:rFonts w:ascii="Palatino Linotype" w:hAnsi="Palatino Linotype"/>
          <w:sz w:val="20"/>
          <w:szCs w:val="20"/>
        </w:rPr>
        <w:t xml:space="preserve"> (0.7%)</w:t>
      </w:r>
      <w:r w:rsidR="002D5437" w:rsidRPr="00C7014F">
        <w:rPr>
          <w:rFonts w:ascii="Palatino Linotype" w:hAnsi="Palatino Linotype"/>
          <w:sz w:val="20"/>
          <w:szCs w:val="20"/>
        </w:rPr>
        <w:t>, and 8/M1</w:t>
      </w:r>
      <w:r w:rsidR="00BD5453" w:rsidRPr="00C7014F">
        <w:rPr>
          <w:rFonts w:ascii="Palatino Linotype" w:hAnsi="Palatino Linotype"/>
          <w:sz w:val="20"/>
          <w:szCs w:val="20"/>
        </w:rPr>
        <w:t xml:space="preserve"> (0.6%)</w:t>
      </w:r>
      <w:r w:rsidR="002D5437" w:rsidRPr="00C7014F">
        <w:rPr>
          <w:rFonts w:ascii="Palatino Linotype" w:hAnsi="Palatino Linotype"/>
          <w:sz w:val="20"/>
          <w:szCs w:val="20"/>
        </w:rPr>
        <w:t xml:space="preserve">. </w:t>
      </w:r>
      <w:r w:rsidR="00BD5453" w:rsidRPr="00C7014F">
        <w:rPr>
          <w:rFonts w:ascii="Palatino Linotype" w:hAnsi="Palatino Linotype"/>
          <w:sz w:val="20"/>
          <w:szCs w:val="20"/>
        </w:rPr>
        <w:t>Both MODIS use the same solar spectrum for their on-orbit calibration and do not require additional correction</w:t>
      </w:r>
      <w:r w:rsidR="004D14A2" w:rsidRPr="00C7014F">
        <w:rPr>
          <w:rFonts w:ascii="Palatino Linotype" w:hAnsi="Palatino Linotype"/>
          <w:sz w:val="20"/>
          <w:szCs w:val="20"/>
        </w:rPr>
        <w:t xml:space="preserve"> for their lunar calibration inter-comparison</w:t>
      </w:r>
      <w:r w:rsidR="00BD5453" w:rsidRPr="00C7014F">
        <w:rPr>
          <w:rFonts w:ascii="Palatino Linotype" w:hAnsi="Palatino Linotype"/>
          <w:sz w:val="20"/>
          <w:szCs w:val="20"/>
        </w:rPr>
        <w:t xml:space="preserve">. </w:t>
      </w:r>
      <w:r w:rsidR="004D14A2" w:rsidRPr="00C7014F">
        <w:rPr>
          <w:rFonts w:ascii="Palatino Linotype" w:hAnsi="Palatino Linotype"/>
          <w:sz w:val="20"/>
          <w:szCs w:val="20"/>
        </w:rPr>
        <w:t xml:space="preserve">However, we have noticed that when the TSIS spectrum is used, the large differences </w:t>
      </w:r>
      <w:r w:rsidR="003D3AB7" w:rsidRPr="00C7014F">
        <w:rPr>
          <w:rFonts w:ascii="Palatino Linotype" w:hAnsi="Palatino Linotype"/>
          <w:sz w:val="20"/>
          <w:szCs w:val="20"/>
        </w:rPr>
        <w:t xml:space="preserve">between the measured and predicted lunar irradiances of MODIS bands 17-19 shown in Table 9 become smaller and are more in family with other bands. </w:t>
      </w:r>
      <w:r w:rsidR="002D5437" w:rsidRPr="00C7014F">
        <w:rPr>
          <w:rFonts w:ascii="Palatino Linotype" w:hAnsi="Palatino Linotype"/>
          <w:sz w:val="20"/>
          <w:szCs w:val="20"/>
        </w:rPr>
        <w:t xml:space="preserve">If </w:t>
      </w:r>
      <w:r w:rsidR="003D3AB7" w:rsidRPr="00C7014F">
        <w:rPr>
          <w:rFonts w:ascii="Palatino Linotype" w:hAnsi="Palatino Linotype"/>
          <w:sz w:val="20"/>
          <w:szCs w:val="20"/>
        </w:rPr>
        <w:t>a</w:t>
      </w:r>
      <w:r w:rsidR="008303B6" w:rsidRPr="00C7014F">
        <w:rPr>
          <w:rFonts w:ascii="Palatino Linotype" w:hAnsi="Palatino Linotype"/>
          <w:sz w:val="20"/>
          <w:szCs w:val="20"/>
        </w:rPr>
        <w:t>ll sensors use the same solar spectrum</w:t>
      </w:r>
      <w:r w:rsidRPr="00C7014F">
        <w:rPr>
          <w:rFonts w:ascii="Palatino Linotype" w:hAnsi="Palatino Linotype"/>
          <w:sz w:val="20"/>
          <w:szCs w:val="20"/>
        </w:rPr>
        <w:t xml:space="preserve">, their </w:t>
      </w:r>
      <w:r w:rsidR="002D5437" w:rsidRPr="00C7014F">
        <w:rPr>
          <w:rFonts w:ascii="Palatino Linotype" w:hAnsi="Palatino Linotype"/>
          <w:sz w:val="20"/>
          <w:szCs w:val="20"/>
        </w:rPr>
        <w:t xml:space="preserve">on-orbit </w:t>
      </w:r>
      <w:r w:rsidRPr="00C7014F">
        <w:rPr>
          <w:rFonts w:ascii="Palatino Linotype" w:hAnsi="Palatino Linotype"/>
          <w:sz w:val="20"/>
          <w:szCs w:val="20"/>
        </w:rPr>
        <w:t>calibration consistency assessments via vicarious appr</w:t>
      </w:r>
      <w:r w:rsidR="008303B6" w:rsidRPr="00C7014F">
        <w:rPr>
          <w:rFonts w:ascii="Palatino Linotype" w:hAnsi="Palatino Linotype"/>
          <w:sz w:val="20"/>
          <w:szCs w:val="20"/>
        </w:rPr>
        <w:t>oaches could become much simpler</w:t>
      </w:r>
      <w:r w:rsidR="00456D19" w:rsidRPr="00C7014F">
        <w:rPr>
          <w:rFonts w:ascii="Palatino Linotype" w:hAnsi="Palatino Linotype"/>
          <w:sz w:val="20"/>
          <w:szCs w:val="20"/>
        </w:rPr>
        <w:t xml:space="preserve">. This </w:t>
      </w:r>
      <w:r w:rsidR="008303B6" w:rsidRPr="00C7014F">
        <w:rPr>
          <w:rFonts w:ascii="Palatino Linotype" w:hAnsi="Palatino Linotype"/>
          <w:sz w:val="20"/>
          <w:szCs w:val="20"/>
        </w:rPr>
        <w:t xml:space="preserve">could </w:t>
      </w:r>
      <w:r w:rsidR="00456D19" w:rsidRPr="00C7014F">
        <w:rPr>
          <w:rFonts w:ascii="Palatino Linotype" w:hAnsi="Palatino Linotype"/>
          <w:sz w:val="20"/>
          <w:szCs w:val="20"/>
        </w:rPr>
        <w:t xml:space="preserve">also </w:t>
      </w:r>
      <w:r w:rsidR="00B52945" w:rsidRPr="00C7014F">
        <w:rPr>
          <w:rFonts w:ascii="Palatino Linotype" w:hAnsi="Palatino Linotype"/>
          <w:sz w:val="20"/>
          <w:szCs w:val="20"/>
        </w:rPr>
        <w:t xml:space="preserve">help </w:t>
      </w:r>
      <w:r w:rsidR="00456D19" w:rsidRPr="00C7014F">
        <w:rPr>
          <w:rFonts w:ascii="Palatino Linotype" w:hAnsi="Palatino Linotype"/>
          <w:sz w:val="20"/>
          <w:szCs w:val="20"/>
        </w:rPr>
        <w:t>improve</w:t>
      </w:r>
      <w:r w:rsidR="008303B6" w:rsidRPr="00C7014F">
        <w:rPr>
          <w:rFonts w:ascii="Palatino Linotype" w:hAnsi="Palatino Linotype"/>
          <w:sz w:val="20"/>
          <w:szCs w:val="20"/>
        </w:rPr>
        <w:t xml:space="preserve"> </w:t>
      </w:r>
      <w:r w:rsidR="00B52945" w:rsidRPr="00C7014F">
        <w:rPr>
          <w:rFonts w:ascii="Palatino Linotype" w:hAnsi="Palatino Linotype"/>
          <w:sz w:val="20"/>
          <w:szCs w:val="20"/>
        </w:rPr>
        <w:t xml:space="preserve">the </w:t>
      </w:r>
      <w:r w:rsidR="008303B6" w:rsidRPr="00C7014F">
        <w:rPr>
          <w:rFonts w:ascii="Palatino Linotype" w:hAnsi="Palatino Linotype"/>
          <w:sz w:val="20"/>
          <w:szCs w:val="20"/>
        </w:rPr>
        <w:t xml:space="preserve">quality </w:t>
      </w:r>
      <w:r w:rsidR="00B52945" w:rsidRPr="00C7014F">
        <w:rPr>
          <w:rFonts w:ascii="Palatino Linotype" w:hAnsi="Palatino Linotype"/>
          <w:sz w:val="20"/>
          <w:szCs w:val="20"/>
        </w:rPr>
        <w:t xml:space="preserve">of the </w:t>
      </w:r>
      <w:r w:rsidR="008303B6" w:rsidRPr="00C7014F">
        <w:rPr>
          <w:rFonts w:ascii="Palatino Linotype" w:hAnsi="Palatino Linotype"/>
          <w:sz w:val="20"/>
          <w:szCs w:val="20"/>
        </w:rPr>
        <w:t xml:space="preserve">science products generated from different instruments, especially </w:t>
      </w:r>
      <w:r w:rsidR="00456D19" w:rsidRPr="00C7014F">
        <w:rPr>
          <w:rFonts w:ascii="Palatino Linotype" w:hAnsi="Palatino Linotype"/>
          <w:sz w:val="20"/>
          <w:szCs w:val="20"/>
        </w:rPr>
        <w:t xml:space="preserve">when their </w:t>
      </w:r>
      <w:r w:rsidRPr="00C7014F">
        <w:rPr>
          <w:rFonts w:ascii="Palatino Linotype" w:hAnsi="Palatino Linotype"/>
          <w:sz w:val="20"/>
          <w:szCs w:val="20"/>
        </w:rPr>
        <w:t>measure</w:t>
      </w:r>
      <w:r w:rsidR="008303B6" w:rsidRPr="00C7014F">
        <w:rPr>
          <w:rFonts w:ascii="Palatino Linotype" w:hAnsi="Palatino Linotype"/>
          <w:sz w:val="20"/>
          <w:szCs w:val="20"/>
        </w:rPr>
        <w:t xml:space="preserve">d </w:t>
      </w:r>
      <w:r w:rsidR="00456D19" w:rsidRPr="00C7014F">
        <w:rPr>
          <w:rFonts w:ascii="Palatino Linotype" w:hAnsi="Palatino Linotype"/>
          <w:sz w:val="20"/>
          <w:szCs w:val="20"/>
        </w:rPr>
        <w:t>radiance</w:t>
      </w:r>
      <w:r w:rsidR="008303B6" w:rsidRPr="00C7014F">
        <w:rPr>
          <w:rFonts w:ascii="Palatino Linotype" w:hAnsi="Palatino Linotype"/>
          <w:sz w:val="20"/>
          <w:szCs w:val="20"/>
        </w:rPr>
        <w:t>s are involved.</w:t>
      </w:r>
    </w:p>
    <w:p w14:paraId="1C746E65" w14:textId="3B67A701" w:rsidR="003234CE" w:rsidRPr="00C7014F" w:rsidRDefault="002C3F73" w:rsidP="003234CE">
      <w:pPr>
        <w:spacing w:line="300" w:lineRule="exact"/>
        <w:jc w:val="both"/>
        <w:rPr>
          <w:rFonts w:ascii="Palatino Linotype" w:hAnsi="Palatino Linotype"/>
          <w:sz w:val="20"/>
          <w:szCs w:val="20"/>
        </w:rPr>
      </w:pPr>
      <w:r w:rsidRPr="00C7014F">
        <w:rPr>
          <w:rFonts w:ascii="Palatino Linotype" w:hAnsi="Palatino Linotype"/>
          <w:sz w:val="20"/>
          <w:szCs w:val="20"/>
        </w:rPr>
        <w:t>Apart from</w:t>
      </w:r>
      <w:r w:rsidR="0065622D" w:rsidRPr="00C7014F">
        <w:rPr>
          <w:rFonts w:ascii="Palatino Linotype" w:hAnsi="Palatino Linotype"/>
          <w:sz w:val="20"/>
          <w:szCs w:val="20"/>
        </w:rPr>
        <w:t xml:space="preserve"> </w:t>
      </w:r>
      <w:r w:rsidR="00357C3A" w:rsidRPr="00C7014F">
        <w:rPr>
          <w:rFonts w:ascii="Palatino Linotype" w:hAnsi="Palatino Linotype"/>
          <w:sz w:val="20"/>
          <w:szCs w:val="20"/>
        </w:rPr>
        <w:t xml:space="preserve">tying the </w:t>
      </w:r>
      <w:r w:rsidR="0065622D" w:rsidRPr="00C7014F">
        <w:rPr>
          <w:rFonts w:ascii="Palatino Linotype" w:hAnsi="Palatino Linotype"/>
          <w:sz w:val="20"/>
          <w:szCs w:val="20"/>
        </w:rPr>
        <w:t xml:space="preserve">sensor reflective solar calibration to the same solar spectrum, the absolute accuracy of the reference spectrum is also important as it has direct impact on lunar calibration. This is demonstrated by the reduced differences between the measured and model predicted lunar irradiances for MODIS bands 17-19. As expected, the TSIS-1 hybrid spectrum is more accurate than the one adopted for MODIS more than 20 years ago. The use of TSIS-1 spectrum has led to </w:t>
      </w:r>
      <w:r w:rsidR="00F665C7" w:rsidRPr="00C7014F">
        <w:rPr>
          <w:rFonts w:ascii="Palatino Linotype" w:hAnsi="Palatino Linotype"/>
          <w:sz w:val="20"/>
          <w:szCs w:val="20"/>
        </w:rPr>
        <w:t xml:space="preserve">a </w:t>
      </w:r>
      <w:r w:rsidR="0065622D" w:rsidRPr="00C7014F">
        <w:rPr>
          <w:rFonts w:ascii="Palatino Linotype" w:hAnsi="Palatino Linotype"/>
          <w:sz w:val="20"/>
          <w:szCs w:val="20"/>
        </w:rPr>
        <w:t>more consistent lunar calibration result among all RSB. Another parameter that could potentially impact the accuracy of lunar calibration inter-comparison is detector’s instantaneous field of view (IFOV), which is tied to the solid angle (</w:t>
      </w:r>
      <w:r w:rsidR="0065622D" w:rsidRPr="00C7014F">
        <w:rPr>
          <w:rFonts w:ascii="Symbol" w:hAnsi="Symbol"/>
          <w:sz w:val="20"/>
          <w:szCs w:val="20"/>
        </w:rPr>
        <w:t></w:t>
      </w:r>
      <w:r w:rsidR="0065622D" w:rsidRPr="00C7014F">
        <w:rPr>
          <w:rFonts w:ascii="Palatino Linotype" w:hAnsi="Palatino Linotype"/>
          <w:sz w:val="20"/>
          <w:szCs w:val="20"/>
        </w:rPr>
        <w:t xml:space="preserve">) included in Eq. (4) and (8). The IFOV is an important sensor design parameter that is typically characterized during pre-launch measurements. The error in the IFOV characterization could have a few implications for lunar observations in whiskbroom sensors like MODIS and VIIRS. As an effort to improve our lunar calibration and calibration inter-comparison quality and uncertainty, and to support the development of a lunar model that is not </w:t>
      </w:r>
      <w:r w:rsidR="00F665C7" w:rsidRPr="00C7014F">
        <w:rPr>
          <w:rFonts w:ascii="Palatino Linotype" w:hAnsi="Palatino Linotype"/>
          <w:sz w:val="20"/>
          <w:szCs w:val="20"/>
        </w:rPr>
        <w:t xml:space="preserve">only </w:t>
      </w:r>
      <w:r w:rsidR="0065622D" w:rsidRPr="00C7014F">
        <w:rPr>
          <w:rFonts w:ascii="Palatino Linotype" w:hAnsi="Palatino Linotype"/>
          <w:sz w:val="20"/>
          <w:szCs w:val="20"/>
        </w:rPr>
        <w:t>stable but also more accurate, we have planned for an in-depth investigation of the residual impact due to sensor IFOV on the measured lunar</w:t>
      </w:r>
      <w:r w:rsidRPr="00C7014F">
        <w:rPr>
          <w:rFonts w:ascii="Palatino Linotype" w:hAnsi="Palatino Linotype"/>
          <w:sz w:val="20"/>
          <w:szCs w:val="20"/>
        </w:rPr>
        <w:t xml:space="preserve"> irradiances. We will </w:t>
      </w:r>
      <w:r w:rsidR="00601057" w:rsidRPr="00C7014F">
        <w:rPr>
          <w:rFonts w:ascii="Palatino Linotype" w:hAnsi="Palatino Linotype"/>
          <w:sz w:val="20"/>
          <w:szCs w:val="20"/>
        </w:rPr>
        <w:t xml:space="preserve">report </w:t>
      </w:r>
      <w:r w:rsidRPr="00C7014F">
        <w:rPr>
          <w:rFonts w:ascii="Palatino Linotype" w:hAnsi="Palatino Linotype"/>
          <w:sz w:val="20"/>
          <w:szCs w:val="20"/>
        </w:rPr>
        <w:t xml:space="preserve">our findings </w:t>
      </w:r>
      <w:r w:rsidR="0065622D" w:rsidRPr="00C7014F">
        <w:rPr>
          <w:rFonts w:ascii="Palatino Linotype" w:hAnsi="Palatino Linotype"/>
          <w:sz w:val="20"/>
          <w:szCs w:val="20"/>
        </w:rPr>
        <w:t xml:space="preserve">once this investigation is </w:t>
      </w:r>
      <w:r w:rsidR="0065622D" w:rsidRPr="00C7014F">
        <w:rPr>
          <w:rFonts w:ascii="Palatino Linotype" w:hAnsi="Palatino Linotype"/>
          <w:sz w:val="20"/>
          <w:szCs w:val="20"/>
        </w:rPr>
        <w:lastRenderedPageBreak/>
        <w:t>complete.</w:t>
      </w:r>
      <w:r w:rsidR="00601057" w:rsidRPr="00C7014F">
        <w:rPr>
          <w:rFonts w:ascii="Palatino Linotype" w:hAnsi="Palatino Linotype"/>
          <w:sz w:val="20"/>
          <w:szCs w:val="20"/>
        </w:rPr>
        <w:t xml:space="preserve"> We also plan to perform similar lunar calibration and lunar calibration inter-comparis</w:t>
      </w:r>
      <w:r w:rsidR="002F426E" w:rsidRPr="00C7014F">
        <w:rPr>
          <w:rFonts w:ascii="Palatino Linotype" w:hAnsi="Palatino Linotype"/>
          <w:sz w:val="20"/>
          <w:szCs w:val="20"/>
        </w:rPr>
        <w:t xml:space="preserve">ons with JPSS-2 VIIRS scheduled to launch late 2022 to gain </w:t>
      </w:r>
      <w:r w:rsidR="0040534C" w:rsidRPr="00C7014F">
        <w:rPr>
          <w:rFonts w:ascii="Palatino Linotype" w:hAnsi="Palatino Linotype"/>
          <w:sz w:val="20"/>
          <w:szCs w:val="20"/>
        </w:rPr>
        <w:t xml:space="preserve">a </w:t>
      </w:r>
      <w:r w:rsidR="00601057" w:rsidRPr="00C7014F">
        <w:rPr>
          <w:rFonts w:ascii="Palatino Linotype" w:hAnsi="Palatino Linotype"/>
          <w:sz w:val="20"/>
          <w:szCs w:val="20"/>
        </w:rPr>
        <w:t xml:space="preserve">better understanding </w:t>
      </w:r>
      <w:r w:rsidR="002F426E" w:rsidRPr="00C7014F">
        <w:rPr>
          <w:rFonts w:ascii="Palatino Linotype" w:hAnsi="Palatino Linotype"/>
          <w:sz w:val="20"/>
          <w:szCs w:val="20"/>
        </w:rPr>
        <w:t xml:space="preserve">of </w:t>
      </w:r>
      <w:r w:rsidR="00601057" w:rsidRPr="00C7014F">
        <w:rPr>
          <w:rFonts w:ascii="Palatino Linotype" w:hAnsi="Palatino Linotype"/>
          <w:sz w:val="20"/>
          <w:szCs w:val="20"/>
        </w:rPr>
        <w:t xml:space="preserve">the </w:t>
      </w:r>
      <w:r w:rsidR="002F426E" w:rsidRPr="00C7014F">
        <w:rPr>
          <w:rFonts w:ascii="Palatino Linotype" w:hAnsi="Palatino Linotype"/>
          <w:sz w:val="20"/>
          <w:szCs w:val="20"/>
        </w:rPr>
        <w:t xml:space="preserve">VIIRS </w:t>
      </w:r>
      <w:r w:rsidR="00601057" w:rsidRPr="00C7014F">
        <w:rPr>
          <w:rFonts w:ascii="Palatino Linotype" w:hAnsi="Palatino Linotype"/>
          <w:sz w:val="20"/>
          <w:szCs w:val="20"/>
        </w:rPr>
        <w:t xml:space="preserve">calibration </w:t>
      </w:r>
      <w:r w:rsidR="002F426E" w:rsidRPr="00C7014F">
        <w:rPr>
          <w:rFonts w:ascii="Palatino Linotype" w:hAnsi="Palatino Linotype"/>
          <w:sz w:val="20"/>
          <w:szCs w:val="20"/>
        </w:rPr>
        <w:t xml:space="preserve">differences and to help develop a viable strategy </w:t>
      </w:r>
      <w:r w:rsidR="0040534C" w:rsidRPr="00C7014F">
        <w:rPr>
          <w:rFonts w:ascii="Palatino Linotype" w:hAnsi="Palatino Linotype"/>
          <w:sz w:val="20"/>
          <w:szCs w:val="20"/>
        </w:rPr>
        <w:t>for</w:t>
      </w:r>
      <w:r w:rsidR="002F426E" w:rsidRPr="00C7014F">
        <w:rPr>
          <w:rFonts w:ascii="Palatino Linotype" w:hAnsi="Palatino Linotype"/>
          <w:sz w:val="20"/>
          <w:szCs w:val="20"/>
        </w:rPr>
        <w:t xml:space="preserve"> generating consistent </w:t>
      </w:r>
      <w:r w:rsidR="008638C3" w:rsidRPr="00C7014F">
        <w:rPr>
          <w:rFonts w:ascii="Palatino Linotype" w:hAnsi="Palatino Linotype"/>
          <w:sz w:val="20"/>
          <w:szCs w:val="20"/>
        </w:rPr>
        <w:t xml:space="preserve">long-term </w:t>
      </w:r>
      <w:r w:rsidR="002F426E" w:rsidRPr="00C7014F">
        <w:rPr>
          <w:rFonts w:ascii="Palatino Linotype" w:hAnsi="Palatino Linotype"/>
          <w:sz w:val="20"/>
          <w:szCs w:val="20"/>
        </w:rPr>
        <w:t>L1B data products</w:t>
      </w:r>
      <w:r w:rsidR="008638C3" w:rsidRPr="00C7014F">
        <w:rPr>
          <w:rFonts w:ascii="Palatino Linotype" w:hAnsi="Palatino Linotype"/>
          <w:sz w:val="20"/>
          <w:szCs w:val="20"/>
        </w:rPr>
        <w:t xml:space="preserve"> from all VIIRS instruments</w:t>
      </w:r>
      <w:r w:rsidR="002F426E" w:rsidRPr="00C7014F">
        <w:rPr>
          <w:rFonts w:ascii="Palatino Linotype" w:hAnsi="Palatino Linotype"/>
          <w:sz w:val="20"/>
          <w:szCs w:val="20"/>
        </w:rPr>
        <w:t xml:space="preserve">.  </w:t>
      </w:r>
      <w:r w:rsidR="00601057" w:rsidRPr="00C7014F">
        <w:rPr>
          <w:rFonts w:ascii="Palatino Linotype" w:hAnsi="Palatino Linotype"/>
          <w:sz w:val="20"/>
          <w:szCs w:val="20"/>
        </w:rPr>
        <w:t xml:space="preserve">  </w:t>
      </w:r>
    </w:p>
    <w:p w14:paraId="3B3444BA" w14:textId="77777777" w:rsidR="0065622D" w:rsidRPr="00C7014F" w:rsidRDefault="0065622D" w:rsidP="003234CE">
      <w:pPr>
        <w:spacing w:line="300" w:lineRule="exact"/>
        <w:jc w:val="both"/>
        <w:rPr>
          <w:rFonts w:ascii="Palatino Linotype" w:hAnsi="Palatino Linotype"/>
          <w:sz w:val="20"/>
          <w:szCs w:val="20"/>
        </w:rPr>
      </w:pPr>
    </w:p>
    <w:p w14:paraId="6801BE86" w14:textId="56ABF67E" w:rsidR="004A2E39" w:rsidRPr="00C7014F" w:rsidRDefault="004A2E39" w:rsidP="004A2E39">
      <w:pPr>
        <w:spacing w:line="300" w:lineRule="exact"/>
        <w:rPr>
          <w:rFonts w:ascii="Palatino Linotype" w:hAnsi="Palatino Linotype"/>
          <w:b/>
          <w:sz w:val="20"/>
          <w:szCs w:val="20"/>
        </w:rPr>
      </w:pPr>
      <w:r w:rsidRPr="00C7014F">
        <w:rPr>
          <w:rFonts w:ascii="Palatino Linotype" w:hAnsi="Palatino Linotype"/>
          <w:b/>
          <w:sz w:val="20"/>
          <w:szCs w:val="20"/>
        </w:rPr>
        <w:t>5   Conclusion</w:t>
      </w:r>
    </w:p>
    <w:p w14:paraId="132CA68A" w14:textId="136C0EA5" w:rsidR="006A0A07" w:rsidRPr="00C7014F" w:rsidRDefault="00B10C64" w:rsidP="006A0A07">
      <w:pPr>
        <w:spacing w:line="300" w:lineRule="exact"/>
        <w:jc w:val="both"/>
        <w:rPr>
          <w:rFonts w:ascii="Palatino Linotype" w:hAnsi="Palatino Linotype"/>
          <w:sz w:val="20"/>
          <w:szCs w:val="20"/>
          <w:bdr w:val="none" w:sz="0" w:space="0" w:color="auto" w:frame="1"/>
          <w:shd w:val="clear" w:color="auto" w:fill="FFFFFF"/>
        </w:rPr>
      </w:pPr>
      <w:r w:rsidRPr="00C7014F">
        <w:rPr>
          <w:rFonts w:ascii="Palatino Linotype" w:hAnsi="Palatino Linotype"/>
          <w:sz w:val="20"/>
          <w:szCs w:val="20"/>
          <w:bdr w:val="none" w:sz="0" w:space="0" w:color="auto" w:frame="1"/>
          <w:shd w:val="clear" w:color="auto" w:fill="FFFFFF"/>
        </w:rPr>
        <w:t xml:space="preserve">The high-quality measurements from the two MODIS and two VIIRS instruments, coupled with the extensive and dedicated pre- and post-launch calibration and characterization efforts made by the vendor and government-led calibration teams, have facilitated the production of numerous data products that have advanced the studies of the Earth’s system and its environmental parameters. In addition to on-board calibrators, lunar observations have been regularly scheduled and applied to monitor the RSB on-orbit calibration stability. In this paper, an inter-comparison technique of using on-orbit lunar observations is formulated and applied to evaluate the calibration differences between </w:t>
      </w:r>
      <w:r w:rsidR="00304E1F" w:rsidRPr="00C7014F">
        <w:rPr>
          <w:rFonts w:ascii="Palatino Linotype" w:hAnsi="Palatino Linotype"/>
          <w:sz w:val="20"/>
          <w:szCs w:val="20"/>
          <w:bdr w:val="none" w:sz="0" w:space="0" w:color="auto" w:frame="1"/>
          <w:shd w:val="clear" w:color="auto" w:fill="FFFFFF"/>
        </w:rPr>
        <w:t xml:space="preserve">the </w:t>
      </w:r>
      <w:r w:rsidRPr="00C7014F">
        <w:rPr>
          <w:rFonts w:ascii="Palatino Linotype" w:hAnsi="Palatino Linotype"/>
          <w:sz w:val="20"/>
          <w:szCs w:val="20"/>
          <w:bdr w:val="none" w:sz="0" w:space="0" w:color="auto" w:frame="1"/>
          <w:shd w:val="clear" w:color="auto" w:fill="FFFFFF"/>
        </w:rPr>
        <w:t xml:space="preserve">MODIS and VIIRS instruments. This approach normalizes the measured lunar irradiances from each spectral band with the lunar irradiances obtained from the ROLO model and therefore can correct for the differences caused by the view geometry specific parameters. An additional correction factor is also included in this approach for lunar calibration inter-comparison of sensors that use different solar irradiance spectra in their on-orbit calibration. Results show that the Terra and Aqua MODIS RSB on-orbit calibrations agree well to within ±1%, except for the NIR high-gain ocean bands (13-16) that are impacted by saturation. Conversely, the two VIIRS instruments show a noticeable disagreement of 2-4% in the VIS bands, 1-3% in the NIR bands, and 2-3 % in the SWIR bands. Aqua MODIS and N20 VIIRS calibrations generally agree to within 2%, except for bands 1/I1 and 2/I2 (~ 2.5%). SWIR band results are not presented due to electronic crosstalk issues in the MODIS bands. Compared to vicarious approaches, </w:t>
      </w:r>
      <w:r w:rsidR="00AE4496" w:rsidRPr="00C7014F">
        <w:rPr>
          <w:rFonts w:ascii="Palatino Linotype" w:hAnsi="Palatino Linotype"/>
          <w:sz w:val="20"/>
          <w:szCs w:val="20"/>
          <w:bdr w:val="none" w:sz="0" w:space="0" w:color="auto" w:frame="1"/>
          <w:shd w:val="clear" w:color="auto" w:fill="FFFFFF"/>
        </w:rPr>
        <w:t>th</w:t>
      </w:r>
      <w:r w:rsidR="00203C8D" w:rsidRPr="00C7014F">
        <w:rPr>
          <w:rFonts w:ascii="Palatino Linotype" w:hAnsi="Palatino Linotype"/>
          <w:sz w:val="20"/>
          <w:szCs w:val="20"/>
          <w:bdr w:val="none" w:sz="0" w:space="0" w:color="auto" w:frame="1"/>
          <w:shd w:val="clear" w:color="auto" w:fill="FFFFFF"/>
        </w:rPr>
        <w:t>e</w:t>
      </w:r>
      <w:r w:rsidR="00134DED" w:rsidRPr="00C7014F">
        <w:rPr>
          <w:rFonts w:ascii="Palatino Linotype" w:hAnsi="Palatino Linotype"/>
          <w:sz w:val="20"/>
          <w:szCs w:val="20"/>
          <w:bdr w:val="none" w:sz="0" w:space="0" w:color="auto" w:frame="1"/>
          <w:shd w:val="clear" w:color="auto" w:fill="FFFFFF"/>
        </w:rPr>
        <w:t xml:space="preserve"> </w:t>
      </w:r>
      <w:r w:rsidRPr="00C7014F">
        <w:rPr>
          <w:rFonts w:ascii="Palatino Linotype" w:hAnsi="Palatino Linotype"/>
          <w:sz w:val="20"/>
          <w:szCs w:val="20"/>
          <w:bdr w:val="none" w:sz="0" w:space="0" w:color="auto" w:frame="1"/>
          <w:shd w:val="clear" w:color="auto" w:fill="FFFFFF"/>
        </w:rPr>
        <w:t xml:space="preserve">lunar calibration inter-comparison approach, relying on the superb stability of the lunar surface property, can be easily extended </w:t>
      </w:r>
      <w:r w:rsidR="00D30DBE" w:rsidRPr="00C7014F">
        <w:rPr>
          <w:rFonts w:ascii="Palatino Linotype" w:hAnsi="Palatino Linotype"/>
          <w:sz w:val="20"/>
          <w:szCs w:val="20"/>
          <w:bdr w:val="none" w:sz="0" w:space="0" w:color="auto" w:frame="1"/>
          <w:shd w:val="clear" w:color="auto" w:fill="FFFFFF"/>
        </w:rPr>
        <w:t>to the</w:t>
      </w:r>
      <w:r w:rsidR="00203C8D" w:rsidRPr="00C7014F">
        <w:rPr>
          <w:rFonts w:ascii="Palatino Linotype" w:hAnsi="Palatino Linotype"/>
          <w:sz w:val="20"/>
          <w:szCs w:val="20"/>
          <w:bdr w:val="none" w:sz="0" w:space="0" w:color="auto" w:frame="1"/>
          <w:shd w:val="clear" w:color="auto" w:fill="FFFFFF"/>
        </w:rPr>
        <w:t xml:space="preserve"> </w:t>
      </w:r>
      <w:r w:rsidRPr="00C7014F">
        <w:rPr>
          <w:rFonts w:ascii="Palatino Linotype" w:hAnsi="Palatino Linotype"/>
          <w:sz w:val="20"/>
          <w:szCs w:val="20"/>
          <w:bdr w:val="none" w:sz="0" w:space="0" w:color="auto" w:frame="1"/>
          <w:shd w:val="clear" w:color="auto" w:fill="FFFFFF"/>
        </w:rPr>
        <w:t xml:space="preserve">calibration stability monitoring </w:t>
      </w:r>
      <w:r w:rsidR="00AE4496" w:rsidRPr="00C7014F">
        <w:rPr>
          <w:rFonts w:ascii="Palatino Linotype" w:hAnsi="Palatino Linotype"/>
          <w:sz w:val="20"/>
          <w:szCs w:val="20"/>
          <w:bdr w:val="none" w:sz="0" w:space="0" w:color="auto" w:frame="1"/>
          <w:shd w:val="clear" w:color="auto" w:fill="FFFFFF"/>
        </w:rPr>
        <w:t xml:space="preserve">and </w:t>
      </w:r>
      <w:r w:rsidRPr="00C7014F">
        <w:rPr>
          <w:rFonts w:ascii="Palatino Linotype" w:hAnsi="Palatino Linotype"/>
          <w:sz w:val="20"/>
          <w:szCs w:val="20"/>
          <w:bdr w:val="none" w:sz="0" w:space="0" w:color="auto" w:frame="1"/>
          <w:shd w:val="clear" w:color="auto" w:fill="FFFFFF"/>
        </w:rPr>
        <w:t xml:space="preserve">calibration inter-comparisons of future satellite instruments as well, such as the VIIRS on JPSS-2, 3, and 4 and OCI on PACE. As an exercise, this paper has also demonstrated the advantages of using </w:t>
      </w:r>
      <w:r w:rsidR="00C806D2" w:rsidRPr="00C7014F">
        <w:rPr>
          <w:rFonts w:ascii="Palatino Linotype" w:hAnsi="Palatino Linotype"/>
          <w:sz w:val="20"/>
          <w:szCs w:val="20"/>
          <w:bdr w:val="none" w:sz="0" w:space="0" w:color="auto" w:frame="1"/>
          <w:shd w:val="clear" w:color="auto" w:fill="FFFFFF"/>
        </w:rPr>
        <w:t xml:space="preserve">a </w:t>
      </w:r>
      <w:r w:rsidR="00203C8D" w:rsidRPr="00C7014F">
        <w:rPr>
          <w:rFonts w:ascii="Palatino Linotype" w:hAnsi="Palatino Linotype"/>
          <w:sz w:val="20"/>
          <w:szCs w:val="20"/>
          <w:bdr w:val="none" w:sz="0" w:space="0" w:color="auto" w:frame="1"/>
          <w:shd w:val="clear" w:color="auto" w:fill="FFFFFF"/>
        </w:rPr>
        <w:t>common</w:t>
      </w:r>
      <w:r w:rsidRPr="00C7014F">
        <w:rPr>
          <w:rFonts w:ascii="Palatino Linotype" w:hAnsi="Palatino Linotype"/>
          <w:sz w:val="20"/>
          <w:szCs w:val="20"/>
          <w:bdr w:val="none" w:sz="0" w:space="0" w:color="auto" w:frame="1"/>
          <w:shd w:val="clear" w:color="auto" w:fill="FFFFFF"/>
        </w:rPr>
        <w:t xml:space="preserve"> </w:t>
      </w:r>
      <w:r w:rsidR="00C806D2" w:rsidRPr="00C7014F">
        <w:rPr>
          <w:rFonts w:ascii="Palatino Linotype" w:hAnsi="Palatino Linotype"/>
          <w:sz w:val="20"/>
          <w:szCs w:val="20"/>
          <w:bdr w:val="none" w:sz="0" w:space="0" w:color="auto" w:frame="1"/>
          <w:shd w:val="clear" w:color="auto" w:fill="FFFFFF"/>
        </w:rPr>
        <w:t xml:space="preserve">and accurate </w:t>
      </w:r>
      <w:r w:rsidRPr="00C7014F">
        <w:rPr>
          <w:rFonts w:ascii="Palatino Linotype" w:hAnsi="Palatino Linotype"/>
          <w:sz w:val="20"/>
          <w:szCs w:val="20"/>
          <w:bdr w:val="none" w:sz="0" w:space="0" w:color="auto" w:frame="1"/>
          <w:shd w:val="clear" w:color="auto" w:fill="FFFFFF"/>
        </w:rPr>
        <w:t>solar irradiance spectrum for all sensors’ on-orbit calibrations.</w:t>
      </w:r>
    </w:p>
    <w:p w14:paraId="1BE6CEEC" w14:textId="77777777" w:rsidR="00601057" w:rsidRPr="00C7014F" w:rsidRDefault="00601057" w:rsidP="006A0A07">
      <w:pPr>
        <w:spacing w:line="300" w:lineRule="exact"/>
        <w:jc w:val="both"/>
        <w:rPr>
          <w:rFonts w:ascii="Palatino Linotype" w:hAnsi="Palatino Linotype"/>
          <w:sz w:val="20"/>
        </w:rPr>
      </w:pPr>
    </w:p>
    <w:p w14:paraId="73308B81" w14:textId="182054F5" w:rsidR="004A2E39" w:rsidRPr="00C7014F" w:rsidRDefault="004A2E39" w:rsidP="004A2E39">
      <w:pPr>
        <w:spacing w:line="300" w:lineRule="exact"/>
        <w:rPr>
          <w:rFonts w:ascii="Palatino Linotype" w:hAnsi="Palatino Linotype"/>
          <w:b/>
          <w:sz w:val="20"/>
          <w:szCs w:val="20"/>
        </w:rPr>
      </w:pPr>
      <w:r w:rsidRPr="00C7014F">
        <w:rPr>
          <w:rFonts w:ascii="Palatino Linotype" w:hAnsi="Palatino Linotype"/>
          <w:b/>
          <w:sz w:val="20"/>
          <w:szCs w:val="20"/>
        </w:rPr>
        <w:t>Acknowledgements</w:t>
      </w:r>
    </w:p>
    <w:p w14:paraId="4FB5257B" w14:textId="2720A179" w:rsidR="004A2E39" w:rsidRPr="00C7014F" w:rsidRDefault="00B10C64" w:rsidP="00F7086A">
      <w:pPr>
        <w:spacing w:line="300" w:lineRule="exact"/>
        <w:jc w:val="both"/>
        <w:rPr>
          <w:rFonts w:ascii="Palatino Linotype" w:hAnsi="Palatino Linotype"/>
          <w:sz w:val="20"/>
          <w:szCs w:val="20"/>
        </w:rPr>
      </w:pPr>
      <w:r w:rsidRPr="00C7014F">
        <w:rPr>
          <w:rFonts w:ascii="Palatino Linotype" w:hAnsi="Palatino Linotype"/>
          <w:sz w:val="20"/>
          <w:szCs w:val="20"/>
          <w:shd w:val="clear" w:color="auto" w:fill="FFFFFF"/>
        </w:rPr>
        <w:t>Authors of this paper would like to thank Tom Stone of USGC for regularly providing model lunar irradiances and to acknowledge the current and former members of MODIS and VIIRS Characterization Support Team (MCST/VCST), especially, Jon Fulbright, Zhipeng Wang, and Ning Lei, for their technical assistance and contributions for our lunar calibration tasks. We also greatly appreciate the support from NASA and NOAA Mission Operation Teams for Terra, Aqua, SNPP, and N20 and NOAA SDR calibration team.</w:t>
      </w:r>
    </w:p>
    <w:p w14:paraId="49016F67" w14:textId="77777777" w:rsidR="00297750" w:rsidRPr="00C7014F" w:rsidRDefault="00297750" w:rsidP="00297750">
      <w:pPr>
        <w:pStyle w:val="MDPI62Acknowledgments"/>
        <w:spacing w:line="240" w:lineRule="auto"/>
        <w:rPr>
          <w:b/>
          <w:bCs/>
          <w:color w:val="auto"/>
          <w:sz w:val="20"/>
        </w:rPr>
      </w:pPr>
      <w:r w:rsidRPr="00C7014F">
        <w:rPr>
          <w:b/>
          <w:bCs/>
          <w:color w:val="auto"/>
          <w:sz w:val="20"/>
        </w:rPr>
        <w:t>References</w:t>
      </w:r>
    </w:p>
    <w:p w14:paraId="571B92AA"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Salomonson, V.; Barnes, W.L.; Maymon, P.W.; Montgomery, H.E.; and Ostrow, H. MODIS: advanced facility instrument for studies of the Earth as a system. </w:t>
      </w:r>
      <w:r w:rsidRPr="00C7014F">
        <w:rPr>
          <w:b w:val="0"/>
          <w:i/>
          <w:color w:val="auto"/>
          <w:szCs w:val="20"/>
        </w:rPr>
        <w:t>IEEE Trans. Geosci. Rem. Sens.</w:t>
      </w:r>
      <w:r w:rsidRPr="00C7014F">
        <w:rPr>
          <w:b w:val="0"/>
          <w:color w:val="auto"/>
          <w:szCs w:val="20"/>
        </w:rPr>
        <w:t xml:space="preserve">, </w:t>
      </w:r>
      <w:r w:rsidRPr="00C7014F">
        <w:rPr>
          <w:color w:val="auto"/>
          <w:szCs w:val="20"/>
        </w:rPr>
        <w:t>1989</w:t>
      </w:r>
      <w:r w:rsidRPr="00C7014F">
        <w:rPr>
          <w:b w:val="0"/>
          <w:color w:val="auto"/>
          <w:szCs w:val="20"/>
        </w:rPr>
        <w:t>, 27, 2, 145-153.</w:t>
      </w:r>
    </w:p>
    <w:p w14:paraId="57D67233"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lastRenderedPageBreak/>
        <w:t xml:space="preserve">Justice, C.; Vermote, E.; Townshend, J.; Defries, R.; Roy, D.; Hall, D.; Salomonson, V.; Privette, J.; Riggs, G.; Strahler, A.; Lucht, W.; Myneni, R.; Lewis, P.; Barnsley, M. The Moderate Resolution Imaging Spectroradiometer (MODIS): Land Remote Sensing for Global Change Research. </w:t>
      </w:r>
      <w:r w:rsidRPr="00C7014F">
        <w:rPr>
          <w:b w:val="0"/>
          <w:i/>
          <w:color w:val="auto"/>
          <w:szCs w:val="20"/>
        </w:rPr>
        <w:t>IEEE Trans. Geosci. Remote Sensing</w:t>
      </w:r>
      <w:r w:rsidRPr="00C7014F">
        <w:rPr>
          <w:b w:val="0"/>
          <w:color w:val="auto"/>
          <w:szCs w:val="20"/>
        </w:rPr>
        <w:t xml:space="preserve">, </w:t>
      </w:r>
      <w:r w:rsidRPr="00C7014F">
        <w:rPr>
          <w:color w:val="auto"/>
          <w:szCs w:val="20"/>
        </w:rPr>
        <w:t>1998</w:t>
      </w:r>
      <w:r w:rsidRPr="00C7014F">
        <w:rPr>
          <w:b w:val="0"/>
          <w:color w:val="auto"/>
          <w:szCs w:val="20"/>
        </w:rPr>
        <w:t>, 36, 1228-1249.</w:t>
      </w:r>
    </w:p>
    <w:p w14:paraId="58E804B0"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Esaias, E.; Abbott, M.; Barton, I.; Brown, O.; Campbell, J.; Carder, K.; Clark, D.; Evans, R.; Hoge, F.; Gordon, H.; Balch, W.; Letelier, R.; Minnett, P. An Overview of MODIS Capabilities for Ocean Science Observations. </w:t>
      </w:r>
      <w:r w:rsidRPr="00C7014F">
        <w:rPr>
          <w:b w:val="0"/>
          <w:i/>
          <w:color w:val="auto"/>
          <w:szCs w:val="20"/>
        </w:rPr>
        <w:t>IEEE Trans. Geosci. Remote Sensing</w:t>
      </w:r>
      <w:r w:rsidRPr="00C7014F">
        <w:rPr>
          <w:b w:val="0"/>
          <w:color w:val="auto"/>
          <w:szCs w:val="20"/>
        </w:rPr>
        <w:t xml:space="preserve">, </w:t>
      </w:r>
      <w:r w:rsidRPr="00C7014F">
        <w:rPr>
          <w:color w:val="auto"/>
          <w:szCs w:val="20"/>
        </w:rPr>
        <w:t>1998</w:t>
      </w:r>
      <w:r w:rsidRPr="00C7014F">
        <w:rPr>
          <w:b w:val="0"/>
          <w:color w:val="auto"/>
          <w:szCs w:val="20"/>
        </w:rPr>
        <w:t>, 36, 1250-1265.</w:t>
      </w:r>
    </w:p>
    <w:p w14:paraId="5808BEEF"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King, M.; Menzel, P.; Kaufman, Y.; Tanre, D.; Gao, B.; Platnick, S.; Ackerman, S.; Remer, L.; Pincus, R.; Hubanks, P. Cloud and Aerosol Properties, Precipitable Water, and Profiles of Temperature and Water Vapor from MODIS</w:t>
      </w:r>
      <w:r w:rsidRPr="00C7014F">
        <w:rPr>
          <w:b w:val="0"/>
          <w:i/>
          <w:color w:val="auto"/>
          <w:szCs w:val="20"/>
        </w:rPr>
        <w:t>. IEEE Trans. Geosci. Remote Sensing</w:t>
      </w:r>
      <w:r w:rsidRPr="00C7014F">
        <w:rPr>
          <w:b w:val="0"/>
          <w:color w:val="auto"/>
          <w:szCs w:val="20"/>
        </w:rPr>
        <w:t xml:space="preserve">, </w:t>
      </w:r>
      <w:r w:rsidRPr="00C7014F">
        <w:rPr>
          <w:color w:val="auto"/>
          <w:szCs w:val="20"/>
        </w:rPr>
        <w:t>2003</w:t>
      </w:r>
      <w:r w:rsidRPr="00C7014F">
        <w:rPr>
          <w:b w:val="0"/>
          <w:color w:val="auto"/>
          <w:szCs w:val="20"/>
        </w:rPr>
        <w:t>, 41, 442-458.</w:t>
      </w:r>
    </w:p>
    <w:p w14:paraId="3609CED5" w14:textId="77777777" w:rsidR="0061674E" w:rsidRPr="00C7014F" w:rsidRDefault="0061674E" w:rsidP="0061674E">
      <w:pPr>
        <w:pStyle w:val="MDPI21heading1"/>
        <w:numPr>
          <w:ilvl w:val="0"/>
          <w:numId w:val="1"/>
        </w:numPr>
        <w:spacing w:line="240" w:lineRule="auto"/>
        <w:ind w:left="360"/>
        <w:jc w:val="both"/>
        <w:rPr>
          <w:b w:val="0"/>
          <w:color w:val="auto"/>
          <w:szCs w:val="20"/>
        </w:rPr>
      </w:pPr>
      <w:r w:rsidRPr="00C7014F">
        <w:rPr>
          <w:b w:val="0"/>
          <w:color w:val="auto"/>
          <w:szCs w:val="20"/>
        </w:rPr>
        <w:t xml:space="preserve">Remer, L. A.; Kaufman, Y.; Tanré, D. et al. The MODIS aerosol algorithm, products, and validation. </w:t>
      </w:r>
      <w:r w:rsidRPr="00C7014F">
        <w:rPr>
          <w:b w:val="0"/>
          <w:i/>
          <w:iCs/>
          <w:color w:val="auto"/>
          <w:szCs w:val="20"/>
        </w:rPr>
        <w:t>J Atmos Sci</w:t>
      </w:r>
      <w:r w:rsidRPr="00C7014F">
        <w:rPr>
          <w:b w:val="0"/>
          <w:color w:val="auto"/>
          <w:szCs w:val="20"/>
        </w:rPr>
        <w:t xml:space="preserve">, </w:t>
      </w:r>
      <w:r w:rsidRPr="00C7014F">
        <w:rPr>
          <w:bCs/>
          <w:color w:val="auto"/>
          <w:szCs w:val="20"/>
        </w:rPr>
        <w:t>2005</w:t>
      </w:r>
      <w:r w:rsidRPr="00C7014F">
        <w:rPr>
          <w:b w:val="0"/>
          <w:color w:val="auto"/>
          <w:szCs w:val="20"/>
        </w:rPr>
        <w:t xml:space="preserve">, </w:t>
      </w:r>
      <w:r w:rsidRPr="00C7014F">
        <w:rPr>
          <w:b w:val="0"/>
          <w:i/>
          <w:iCs/>
          <w:color w:val="auto"/>
          <w:szCs w:val="20"/>
        </w:rPr>
        <w:t>62 (4)</w:t>
      </w:r>
      <w:r w:rsidRPr="00C7014F">
        <w:rPr>
          <w:b w:val="0"/>
          <w:color w:val="auto"/>
          <w:szCs w:val="20"/>
        </w:rPr>
        <w:t>, 947-973.</w:t>
      </w:r>
    </w:p>
    <w:p w14:paraId="216E83C0" w14:textId="77777777" w:rsidR="00070FFA" w:rsidRPr="00C7014F" w:rsidRDefault="00070FFA" w:rsidP="00070FFA">
      <w:pPr>
        <w:pStyle w:val="MDPI21heading1"/>
        <w:numPr>
          <w:ilvl w:val="0"/>
          <w:numId w:val="1"/>
        </w:numPr>
        <w:spacing w:line="240" w:lineRule="auto"/>
        <w:ind w:left="360"/>
        <w:jc w:val="both"/>
        <w:rPr>
          <w:b w:val="0"/>
          <w:color w:val="auto"/>
          <w:szCs w:val="20"/>
        </w:rPr>
      </w:pPr>
      <w:r w:rsidRPr="00C7014F">
        <w:rPr>
          <w:b w:val="0"/>
          <w:color w:val="auto"/>
          <w:szCs w:val="20"/>
        </w:rPr>
        <w:t xml:space="preserve">Kilpatrick, K.A.; Podestá, G.; Walsh, S.; Williams, E.; Halliwell, V.; Szczodrak, M.; Brown, O.B.; Minnett, P. J.; Evans, R. A decade of sea surface temperature from MODIS. </w:t>
      </w:r>
      <w:r w:rsidRPr="00C7014F">
        <w:rPr>
          <w:b w:val="0"/>
          <w:i/>
          <w:iCs/>
          <w:color w:val="auto"/>
          <w:szCs w:val="20"/>
        </w:rPr>
        <w:t>Remote Sens. Environ.,</w:t>
      </w:r>
      <w:r w:rsidRPr="00C7014F">
        <w:rPr>
          <w:b w:val="0"/>
          <w:color w:val="auto"/>
          <w:szCs w:val="20"/>
        </w:rPr>
        <w:t xml:space="preserve"> </w:t>
      </w:r>
      <w:r w:rsidRPr="00C7014F">
        <w:rPr>
          <w:bCs/>
          <w:color w:val="auto"/>
          <w:szCs w:val="20"/>
        </w:rPr>
        <w:t>2015</w:t>
      </w:r>
      <w:r w:rsidRPr="00C7014F">
        <w:rPr>
          <w:b w:val="0"/>
          <w:color w:val="auto"/>
          <w:szCs w:val="20"/>
        </w:rPr>
        <w:t xml:space="preserve">, </w:t>
      </w:r>
      <w:r w:rsidRPr="00C7014F">
        <w:rPr>
          <w:b w:val="0"/>
          <w:i/>
          <w:iCs/>
          <w:color w:val="auto"/>
          <w:szCs w:val="20"/>
        </w:rPr>
        <w:t>165</w:t>
      </w:r>
      <w:r w:rsidRPr="00C7014F">
        <w:rPr>
          <w:b w:val="0"/>
          <w:color w:val="auto"/>
          <w:szCs w:val="20"/>
        </w:rPr>
        <w:t>, 27-41.</w:t>
      </w:r>
    </w:p>
    <w:p w14:paraId="5BA7E5AE" w14:textId="77777777" w:rsidR="008B1651" w:rsidRPr="00C7014F" w:rsidRDefault="008B1651" w:rsidP="008B1651">
      <w:pPr>
        <w:pStyle w:val="MDPI21heading1"/>
        <w:numPr>
          <w:ilvl w:val="0"/>
          <w:numId w:val="1"/>
        </w:numPr>
        <w:spacing w:line="240" w:lineRule="auto"/>
        <w:ind w:left="360"/>
        <w:jc w:val="both"/>
        <w:rPr>
          <w:b w:val="0"/>
          <w:color w:val="auto"/>
          <w:szCs w:val="20"/>
        </w:rPr>
      </w:pPr>
      <w:r w:rsidRPr="00C7014F">
        <w:rPr>
          <w:b w:val="0"/>
          <w:color w:val="auto"/>
          <w:szCs w:val="20"/>
        </w:rPr>
        <w:t xml:space="preserve">Masuoka, E. J.; Roy, D.; Wolfe, R. E.; et al.  MODIS Land Data Products: Generation, Quality Assurance and Validation. </w:t>
      </w:r>
      <w:r w:rsidRPr="00C7014F">
        <w:rPr>
          <w:b w:val="0"/>
          <w:i/>
          <w:iCs/>
          <w:color w:val="auto"/>
          <w:szCs w:val="20"/>
        </w:rPr>
        <w:t>Land Remote Sensing and Global Environmental Change</w:t>
      </w:r>
      <w:r w:rsidRPr="00C7014F">
        <w:rPr>
          <w:b w:val="0"/>
          <w:color w:val="auto"/>
          <w:szCs w:val="20"/>
        </w:rPr>
        <w:t xml:space="preserve">, </w:t>
      </w:r>
      <w:r w:rsidRPr="00C7014F">
        <w:rPr>
          <w:bCs/>
          <w:color w:val="auto"/>
          <w:szCs w:val="20"/>
        </w:rPr>
        <w:t>2010,</w:t>
      </w:r>
      <w:r w:rsidRPr="00C7014F">
        <w:rPr>
          <w:b w:val="0"/>
          <w:color w:val="auto"/>
          <w:szCs w:val="20"/>
        </w:rPr>
        <w:t xml:space="preserve"> </w:t>
      </w:r>
      <w:r w:rsidRPr="00C7014F">
        <w:rPr>
          <w:b w:val="0"/>
          <w:i/>
          <w:iCs/>
          <w:color w:val="auto"/>
          <w:szCs w:val="20"/>
        </w:rPr>
        <w:t>11</w:t>
      </w:r>
      <w:r w:rsidRPr="00C7014F">
        <w:rPr>
          <w:b w:val="0"/>
          <w:color w:val="auto"/>
          <w:szCs w:val="20"/>
        </w:rPr>
        <w:t>, 509-532.</w:t>
      </w:r>
    </w:p>
    <w:p w14:paraId="2F95E6AA"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Parkinson, C. Aqua: An Earth-Observing Satellite Mission to Examine Water and Other Climate Variables. </w:t>
      </w:r>
      <w:r w:rsidRPr="00C7014F">
        <w:rPr>
          <w:b w:val="0"/>
          <w:i/>
          <w:color w:val="auto"/>
          <w:szCs w:val="20"/>
        </w:rPr>
        <w:t>IEEE Trans. Geosci. Remote Sensing</w:t>
      </w:r>
      <w:r w:rsidRPr="00C7014F">
        <w:rPr>
          <w:b w:val="0"/>
          <w:color w:val="auto"/>
          <w:szCs w:val="20"/>
        </w:rPr>
        <w:t xml:space="preserve">, </w:t>
      </w:r>
      <w:r w:rsidRPr="00C7014F">
        <w:rPr>
          <w:color w:val="auto"/>
          <w:szCs w:val="20"/>
        </w:rPr>
        <w:t>2003</w:t>
      </w:r>
      <w:r w:rsidRPr="00C7014F">
        <w:rPr>
          <w:b w:val="0"/>
          <w:color w:val="auto"/>
          <w:szCs w:val="20"/>
        </w:rPr>
        <w:t>, 41, 173-183.</w:t>
      </w:r>
    </w:p>
    <w:p w14:paraId="24BED3D0"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Xiong, X.; King, M.; Salomonson, V.; Barnes, W.; Wenny, B.; Angal, A.; Wu, A.; Madhavan, S.; Link, D. Moderate Resolution Imaging Spectroradiometer on Terra and Aqua Missions. </w:t>
      </w:r>
      <w:r w:rsidRPr="00C7014F">
        <w:rPr>
          <w:b w:val="0"/>
          <w:i/>
          <w:color w:val="auto"/>
          <w:szCs w:val="20"/>
        </w:rPr>
        <w:t>Optical Payloads for Space Missions (ed S. Qian), John Wiley &amp; Sons, Ltd.</w:t>
      </w:r>
      <w:r w:rsidRPr="00C7014F">
        <w:rPr>
          <w:b w:val="0"/>
          <w:color w:val="auto"/>
          <w:szCs w:val="20"/>
        </w:rPr>
        <w:t xml:space="preserve"> </w:t>
      </w:r>
      <w:r w:rsidRPr="00C7014F">
        <w:rPr>
          <w:color w:val="auto"/>
          <w:szCs w:val="20"/>
        </w:rPr>
        <w:t>2015</w:t>
      </w:r>
      <w:r w:rsidRPr="00C7014F">
        <w:rPr>
          <w:b w:val="0"/>
          <w:color w:val="auto"/>
          <w:szCs w:val="20"/>
        </w:rPr>
        <w:t>.</w:t>
      </w:r>
    </w:p>
    <w:p w14:paraId="47D0940D"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Schueler, C. F.; Clement, E.; Ardanuy, P.; Welsh, C.; DeLuccia, F.; Swenson, H.; NPOESS VIIRS sensor design overview, </w:t>
      </w:r>
      <w:r w:rsidRPr="00C7014F">
        <w:rPr>
          <w:b w:val="0"/>
          <w:i/>
          <w:color w:val="auto"/>
          <w:szCs w:val="20"/>
        </w:rPr>
        <w:t>Proceedings of SPIE</w:t>
      </w:r>
      <w:r w:rsidRPr="00C7014F">
        <w:rPr>
          <w:b w:val="0"/>
          <w:color w:val="auto"/>
          <w:szCs w:val="20"/>
        </w:rPr>
        <w:t xml:space="preserve">, </w:t>
      </w:r>
      <w:r w:rsidRPr="00C7014F">
        <w:rPr>
          <w:color w:val="auto"/>
          <w:szCs w:val="20"/>
        </w:rPr>
        <w:t>2002</w:t>
      </w:r>
      <w:r w:rsidRPr="00C7014F">
        <w:rPr>
          <w:b w:val="0"/>
          <w:color w:val="auto"/>
          <w:szCs w:val="20"/>
        </w:rPr>
        <w:t>, 4483, 11-23.</w:t>
      </w:r>
    </w:p>
    <w:p w14:paraId="27CC871F" w14:textId="77777777" w:rsidR="00297750" w:rsidRPr="00C7014F" w:rsidRDefault="00297750" w:rsidP="00297750">
      <w:pPr>
        <w:pStyle w:val="MDPI21heading1"/>
        <w:numPr>
          <w:ilvl w:val="0"/>
          <w:numId w:val="1"/>
        </w:numPr>
        <w:spacing w:line="240" w:lineRule="auto"/>
        <w:ind w:left="360"/>
        <w:jc w:val="both"/>
        <w:rPr>
          <w:b w:val="0"/>
          <w:color w:val="auto"/>
          <w:szCs w:val="20"/>
        </w:rPr>
      </w:pPr>
      <w:r w:rsidRPr="00C7014F">
        <w:rPr>
          <w:b w:val="0"/>
          <w:color w:val="auto"/>
          <w:szCs w:val="20"/>
        </w:rPr>
        <w:t xml:space="preserve">Lee, T.; Miller, S.; Schueler, C.; Miller, S.; NASA MODIS previews NPOESS VIIRS capabilities, </w:t>
      </w:r>
      <w:r w:rsidRPr="00C7014F">
        <w:rPr>
          <w:b w:val="0"/>
          <w:i/>
          <w:color w:val="auto"/>
          <w:szCs w:val="20"/>
        </w:rPr>
        <w:t>Weather Forecasting</w:t>
      </w:r>
      <w:r w:rsidRPr="00C7014F">
        <w:rPr>
          <w:b w:val="0"/>
          <w:color w:val="auto"/>
          <w:szCs w:val="20"/>
        </w:rPr>
        <w:t xml:space="preserve">, </w:t>
      </w:r>
      <w:r w:rsidRPr="00C7014F">
        <w:rPr>
          <w:color w:val="auto"/>
          <w:szCs w:val="20"/>
        </w:rPr>
        <w:t>2006</w:t>
      </w:r>
      <w:r w:rsidRPr="00C7014F">
        <w:rPr>
          <w:b w:val="0"/>
          <w:color w:val="auto"/>
          <w:szCs w:val="20"/>
        </w:rPr>
        <w:t>, 21, 4, 649–655.</w:t>
      </w:r>
    </w:p>
    <w:p w14:paraId="3F417A7E" w14:textId="77777777" w:rsidR="00E65BB1" w:rsidRPr="00C7014F" w:rsidRDefault="00E65BB1" w:rsidP="00E65BB1">
      <w:pPr>
        <w:pStyle w:val="MDPI21heading1"/>
        <w:numPr>
          <w:ilvl w:val="0"/>
          <w:numId w:val="1"/>
        </w:numPr>
        <w:spacing w:line="240" w:lineRule="auto"/>
        <w:ind w:left="360"/>
        <w:jc w:val="both"/>
        <w:rPr>
          <w:b w:val="0"/>
          <w:color w:val="auto"/>
          <w:szCs w:val="20"/>
        </w:rPr>
      </w:pPr>
      <w:r w:rsidRPr="00C7014F">
        <w:rPr>
          <w:b w:val="0"/>
          <w:color w:val="auto"/>
          <w:szCs w:val="20"/>
        </w:rPr>
        <w:t xml:space="preserve">Goldberg, M. D.; Kilcoyne, H.; Cikanek, H.; and Mehta, A. Joint Polar Satellite System: The United States next generation civilian polar-orbiting environmental satellite system. </w:t>
      </w:r>
      <w:r w:rsidRPr="00C7014F">
        <w:rPr>
          <w:b w:val="0"/>
          <w:i/>
          <w:iCs/>
          <w:color w:val="auto"/>
          <w:szCs w:val="20"/>
        </w:rPr>
        <w:t>J. Geophys. Res.: Atmos.</w:t>
      </w:r>
      <w:r w:rsidRPr="00C7014F">
        <w:rPr>
          <w:b w:val="0"/>
          <w:color w:val="auto"/>
          <w:szCs w:val="20"/>
        </w:rPr>
        <w:t xml:space="preserve"> </w:t>
      </w:r>
      <w:r w:rsidRPr="00C7014F">
        <w:rPr>
          <w:bCs/>
          <w:color w:val="auto"/>
          <w:szCs w:val="20"/>
        </w:rPr>
        <w:t>2013</w:t>
      </w:r>
      <w:r w:rsidRPr="00C7014F">
        <w:rPr>
          <w:b w:val="0"/>
          <w:color w:val="auto"/>
          <w:szCs w:val="20"/>
        </w:rPr>
        <w:t xml:space="preserve">, </w:t>
      </w:r>
      <w:r w:rsidRPr="00C7014F">
        <w:rPr>
          <w:b w:val="0"/>
          <w:i/>
          <w:iCs/>
          <w:color w:val="auto"/>
          <w:szCs w:val="20"/>
        </w:rPr>
        <w:t>118(24)</w:t>
      </w:r>
      <w:r w:rsidRPr="00C7014F">
        <w:rPr>
          <w:b w:val="0"/>
          <w:color w:val="auto"/>
          <w:szCs w:val="20"/>
        </w:rPr>
        <w:t>, 13,463–13,475.</w:t>
      </w:r>
    </w:p>
    <w:p w14:paraId="4E050E23" w14:textId="77777777" w:rsidR="00E65BB1" w:rsidRPr="00C7014F" w:rsidRDefault="00E65BB1" w:rsidP="00E65BB1">
      <w:pPr>
        <w:pStyle w:val="MDPI21heading1"/>
        <w:numPr>
          <w:ilvl w:val="0"/>
          <w:numId w:val="1"/>
        </w:numPr>
        <w:spacing w:line="240" w:lineRule="auto"/>
        <w:ind w:left="360"/>
        <w:jc w:val="both"/>
        <w:rPr>
          <w:b w:val="0"/>
          <w:color w:val="auto"/>
          <w:szCs w:val="20"/>
        </w:rPr>
      </w:pPr>
      <w:r w:rsidRPr="00C7014F">
        <w:rPr>
          <w:b w:val="0"/>
          <w:color w:val="auto"/>
          <w:szCs w:val="20"/>
        </w:rPr>
        <w:t xml:space="preserve">Justice, C.; Roman, M. O.; Csiszar, I.; et al. Land and cryosphere products from Suomi NPP VIIRS: Overview and status. </w:t>
      </w:r>
      <w:r w:rsidRPr="00C7014F">
        <w:rPr>
          <w:b w:val="0"/>
          <w:i/>
          <w:iCs/>
          <w:color w:val="auto"/>
          <w:szCs w:val="20"/>
        </w:rPr>
        <w:t>J. Geophys. Res. Atmos.</w:t>
      </w:r>
      <w:r w:rsidRPr="00C7014F">
        <w:rPr>
          <w:b w:val="0"/>
          <w:color w:val="auto"/>
          <w:szCs w:val="20"/>
        </w:rPr>
        <w:t xml:space="preserve"> </w:t>
      </w:r>
      <w:r w:rsidRPr="00C7014F">
        <w:rPr>
          <w:bCs/>
          <w:color w:val="auto"/>
          <w:szCs w:val="20"/>
        </w:rPr>
        <w:t>2013</w:t>
      </w:r>
      <w:r w:rsidRPr="00C7014F">
        <w:rPr>
          <w:b w:val="0"/>
          <w:color w:val="auto"/>
          <w:szCs w:val="20"/>
        </w:rPr>
        <w:t xml:space="preserve">, </w:t>
      </w:r>
      <w:r w:rsidRPr="00C7014F">
        <w:rPr>
          <w:b w:val="0"/>
          <w:i/>
          <w:iCs/>
          <w:color w:val="auto"/>
          <w:szCs w:val="20"/>
        </w:rPr>
        <w:t>118 (17)</w:t>
      </w:r>
      <w:r w:rsidRPr="00C7014F">
        <w:rPr>
          <w:b w:val="0"/>
          <w:color w:val="auto"/>
          <w:szCs w:val="20"/>
        </w:rPr>
        <w:t xml:space="preserve">, 9753-9765. </w:t>
      </w:r>
    </w:p>
    <w:p w14:paraId="2347E87B" w14:textId="77777777" w:rsidR="00A14B59" w:rsidRPr="00C7014F" w:rsidRDefault="00A14B59" w:rsidP="00A14B59">
      <w:pPr>
        <w:pStyle w:val="MDPI21heading1"/>
        <w:numPr>
          <w:ilvl w:val="0"/>
          <w:numId w:val="1"/>
        </w:numPr>
        <w:spacing w:line="240" w:lineRule="auto"/>
        <w:ind w:left="360"/>
        <w:jc w:val="both"/>
        <w:rPr>
          <w:b w:val="0"/>
          <w:color w:val="auto"/>
          <w:szCs w:val="20"/>
        </w:rPr>
      </w:pPr>
      <w:r w:rsidRPr="00C7014F">
        <w:rPr>
          <w:b w:val="0"/>
          <w:color w:val="auto"/>
          <w:szCs w:val="20"/>
        </w:rPr>
        <w:t xml:space="preserve">Gladkova, I.; Ignatov, A.; Shahriar, F.; Kihai, Y.; Hillger, D.; Petrenko, B. Improved VIIRS and MODIS SST imagery. </w:t>
      </w:r>
      <w:r w:rsidRPr="00C7014F">
        <w:rPr>
          <w:b w:val="0"/>
          <w:i/>
          <w:iCs/>
          <w:color w:val="auto"/>
          <w:szCs w:val="20"/>
        </w:rPr>
        <w:t>Remote Sens.</w:t>
      </w:r>
      <w:r w:rsidRPr="00C7014F">
        <w:rPr>
          <w:b w:val="0"/>
          <w:color w:val="auto"/>
          <w:szCs w:val="20"/>
        </w:rPr>
        <w:t xml:space="preserve">, </w:t>
      </w:r>
      <w:r w:rsidRPr="00C7014F">
        <w:rPr>
          <w:bCs/>
          <w:color w:val="auto"/>
          <w:szCs w:val="20"/>
        </w:rPr>
        <w:t>2016</w:t>
      </w:r>
      <w:r w:rsidRPr="00C7014F">
        <w:rPr>
          <w:b w:val="0"/>
          <w:color w:val="auto"/>
          <w:szCs w:val="20"/>
        </w:rPr>
        <w:t xml:space="preserve">, </w:t>
      </w:r>
      <w:r w:rsidRPr="00C7014F">
        <w:rPr>
          <w:b w:val="0"/>
          <w:i/>
          <w:iCs/>
          <w:color w:val="auto"/>
          <w:szCs w:val="20"/>
        </w:rPr>
        <w:t>8</w:t>
      </w:r>
      <w:r w:rsidRPr="00C7014F">
        <w:rPr>
          <w:b w:val="0"/>
          <w:color w:val="auto"/>
          <w:szCs w:val="20"/>
        </w:rPr>
        <w:t>, 79</w:t>
      </w:r>
    </w:p>
    <w:p w14:paraId="18AE8416" w14:textId="77777777" w:rsidR="00A14B59" w:rsidRPr="00C7014F" w:rsidRDefault="00A14B59" w:rsidP="00A14B59">
      <w:pPr>
        <w:pStyle w:val="MDPI21heading1"/>
        <w:numPr>
          <w:ilvl w:val="0"/>
          <w:numId w:val="1"/>
        </w:numPr>
        <w:spacing w:line="240" w:lineRule="auto"/>
        <w:ind w:left="360"/>
        <w:jc w:val="both"/>
        <w:rPr>
          <w:b w:val="0"/>
          <w:color w:val="auto"/>
          <w:szCs w:val="20"/>
        </w:rPr>
      </w:pPr>
      <w:r w:rsidRPr="00C7014F">
        <w:rPr>
          <w:b w:val="0"/>
          <w:color w:val="auto"/>
          <w:szCs w:val="20"/>
        </w:rPr>
        <w:t xml:space="preserve">Wang, M.; Jiang, L.; Son, S.; Liu, X.; Voss, K. Deriving consistent ocean biological and biogeochemical products from multiple satellite ocean color sensors. </w:t>
      </w:r>
      <w:r w:rsidRPr="00C7014F">
        <w:rPr>
          <w:b w:val="0"/>
          <w:i/>
          <w:iCs/>
          <w:color w:val="auto"/>
          <w:szCs w:val="20"/>
        </w:rPr>
        <w:t>Opt. Express</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28</w:t>
      </w:r>
      <w:r w:rsidRPr="00C7014F">
        <w:rPr>
          <w:b w:val="0"/>
          <w:color w:val="auto"/>
          <w:szCs w:val="20"/>
        </w:rPr>
        <w:t>, 2661-2682.</w:t>
      </w:r>
    </w:p>
    <w:p w14:paraId="7A0E0BD1" w14:textId="77777777" w:rsidR="00A14B59" w:rsidRPr="00C7014F" w:rsidRDefault="00A14B59" w:rsidP="00A14B59">
      <w:pPr>
        <w:pStyle w:val="MDPI21heading1"/>
        <w:numPr>
          <w:ilvl w:val="0"/>
          <w:numId w:val="1"/>
        </w:numPr>
        <w:spacing w:line="240" w:lineRule="auto"/>
        <w:ind w:left="360"/>
        <w:jc w:val="both"/>
        <w:rPr>
          <w:b w:val="0"/>
          <w:color w:val="auto"/>
          <w:szCs w:val="20"/>
        </w:rPr>
      </w:pPr>
      <w:r w:rsidRPr="00C7014F">
        <w:rPr>
          <w:b w:val="0"/>
          <w:color w:val="auto"/>
          <w:szCs w:val="20"/>
        </w:rPr>
        <w:lastRenderedPageBreak/>
        <w:t xml:space="preserve">Platnick, S.; Meyer, K.; Wind, G.; et al. The NASA MODIS-VIIRS Continuity Cloud Optical Properties Products. </w:t>
      </w:r>
      <w:r w:rsidRPr="00C7014F">
        <w:rPr>
          <w:b w:val="0"/>
          <w:i/>
          <w:iCs/>
          <w:color w:val="auto"/>
          <w:szCs w:val="20"/>
        </w:rPr>
        <w:t>Remote Sensing</w:t>
      </w:r>
      <w:r w:rsidRPr="00C7014F">
        <w:rPr>
          <w:b w:val="0"/>
          <w:color w:val="auto"/>
          <w:szCs w:val="20"/>
        </w:rPr>
        <w:t xml:space="preserve">, </w:t>
      </w:r>
      <w:r w:rsidRPr="00C7014F">
        <w:rPr>
          <w:bCs/>
          <w:color w:val="auto"/>
          <w:szCs w:val="20"/>
        </w:rPr>
        <w:t>2020</w:t>
      </w:r>
      <w:r w:rsidRPr="00C7014F">
        <w:rPr>
          <w:b w:val="0"/>
          <w:color w:val="auto"/>
          <w:szCs w:val="20"/>
        </w:rPr>
        <w:t>,</w:t>
      </w:r>
      <w:r w:rsidRPr="00C7014F">
        <w:rPr>
          <w:b w:val="0"/>
          <w:i/>
          <w:iCs/>
          <w:color w:val="auto"/>
          <w:szCs w:val="20"/>
        </w:rPr>
        <w:t xml:space="preserve">13 (1), </w:t>
      </w:r>
      <w:r w:rsidRPr="00C7014F">
        <w:rPr>
          <w:b w:val="0"/>
          <w:color w:val="auto"/>
          <w:szCs w:val="20"/>
        </w:rPr>
        <w:t>2.</w:t>
      </w:r>
    </w:p>
    <w:p w14:paraId="07E84A3D" w14:textId="77777777" w:rsidR="00A14B59" w:rsidRPr="00C7014F" w:rsidRDefault="00A14B59" w:rsidP="00A14B59">
      <w:pPr>
        <w:pStyle w:val="MDPI21heading1"/>
        <w:numPr>
          <w:ilvl w:val="0"/>
          <w:numId w:val="1"/>
        </w:numPr>
        <w:spacing w:line="240" w:lineRule="auto"/>
        <w:ind w:left="360"/>
        <w:jc w:val="both"/>
        <w:rPr>
          <w:b w:val="0"/>
          <w:color w:val="auto"/>
          <w:szCs w:val="20"/>
        </w:rPr>
      </w:pPr>
      <w:r w:rsidRPr="00C7014F">
        <w:rPr>
          <w:b w:val="0"/>
          <w:color w:val="auto"/>
          <w:szCs w:val="20"/>
        </w:rPr>
        <w:t xml:space="preserve">Zhou, L.; Divakarla, M.; Liu, X.; Layns, A.; Goldberg, M. An Overview of the Science Performances and Calibration/Validation of Joint Polar Satellite System Operational Products. </w:t>
      </w:r>
      <w:r w:rsidRPr="00C7014F">
        <w:rPr>
          <w:b w:val="0"/>
          <w:i/>
          <w:color w:val="auto"/>
          <w:szCs w:val="20"/>
        </w:rPr>
        <w:t>Remote Sens.</w:t>
      </w:r>
      <w:r w:rsidRPr="00C7014F">
        <w:rPr>
          <w:b w:val="0"/>
          <w:color w:val="auto"/>
          <w:szCs w:val="20"/>
        </w:rPr>
        <w:t xml:space="preserve"> </w:t>
      </w:r>
      <w:r w:rsidRPr="00C7014F">
        <w:rPr>
          <w:color w:val="auto"/>
          <w:szCs w:val="20"/>
        </w:rPr>
        <w:t>2019</w:t>
      </w:r>
      <w:r w:rsidRPr="00C7014F">
        <w:rPr>
          <w:b w:val="0"/>
          <w:color w:val="auto"/>
          <w:szCs w:val="20"/>
        </w:rPr>
        <w:t>, 11, 698.</w:t>
      </w:r>
    </w:p>
    <w:p w14:paraId="7574BCA1" w14:textId="77777777" w:rsidR="00A14B59" w:rsidRPr="00C7014F" w:rsidRDefault="00A14B59" w:rsidP="00A14B59">
      <w:pPr>
        <w:pStyle w:val="MDPI21heading1"/>
        <w:numPr>
          <w:ilvl w:val="0"/>
          <w:numId w:val="1"/>
        </w:numPr>
        <w:spacing w:line="240" w:lineRule="auto"/>
        <w:ind w:left="360"/>
        <w:jc w:val="both"/>
        <w:rPr>
          <w:b w:val="0"/>
          <w:color w:val="auto"/>
          <w:szCs w:val="20"/>
        </w:rPr>
      </w:pPr>
      <w:r w:rsidRPr="00C7014F">
        <w:rPr>
          <w:b w:val="0"/>
          <w:color w:val="auto"/>
          <w:szCs w:val="20"/>
        </w:rPr>
        <w:t xml:space="preserve">Goldberg, M.D.; Cikanek, H.; Zhou, L.; Price, J.; </w:t>
      </w:r>
      <w:r w:rsidRPr="00C7014F">
        <w:rPr>
          <w:b w:val="0"/>
          <w:i/>
          <w:color w:val="auto"/>
          <w:szCs w:val="20"/>
        </w:rPr>
        <w:t>Comprehensive Remote Sensing Optical Sensors-VIS/NIR/SWIR</w:t>
      </w:r>
      <w:r w:rsidRPr="00C7014F">
        <w:rPr>
          <w:b w:val="0"/>
          <w:color w:val="auto"/>
          <w:szCs w:val="20"/>
        </w:rPr>
        <w:t xml:space="preserve">. Ed. 2018; S. Liang, Oxford: Elsevier, </w:t>
      </w:r>
      <w:r w:rsidRPr="00C7014F">
        <w:rPr>
          <w:color w:val="auto"/>
          <w:szCs w:val="20"/>
        </w:rPr>
        <w:t>2018</w:t>
      </w:r>
      <w:r w:rsidRPr="00C7014F">
        <w:rPr>
          <w:b w:val="0"/>
          <w:color w:val="auto"/>
          <w:szCs w:val="20"/>
        </w:rPr>
        <w:t>; 1, 91-118.</w:t>
      </w:r>
    </w:p>
    <w:p w14:paraId="295D7BC5" w14:textId="6AD4016E" w:rsidR="008E59AA" w:rsidRPr="00C7014F" w:rsidRDefault="008E59AA" w:rsidP="008E59AA">
      <w:pPr>
        <w:pStyle w:val="MDPI21heading1"/>
        <w:numPr>
          <w:ilvl w:val="0"/>
          <w:numId w:val="1"/>
        </w:numPr>
        <w:spacing w:line="240" w:lineRule="auto"/>
        <w:ind w:left="360"/>
        <w:jc w:val="both"/>
        <w:rPr>
          <w:b w:val="0"/>
          <w:color w:val="auto"/>
          <w:szCs w:val="20"/>
        </w:rPr>
      </w:pPr>
      <w:r w:rsidRPr="00C7014F">
        <w:rPr>
          <w:b w:val="0"/>
          <w:color w:val="auto"/>
          <w:szCs w:val="20"/>
        </w:rPr>
        <w:t xml:space="preserve">Meyer, K., Platnick, S.; Holz, R.; et al. Derivation of Shortwave Radiometric Adjustments for SNPP and NOAA-20 VIIRS for the NASA MODIS-VIIRS Continuity Cloud Products. </w:t>
      </w:r>
      <w:r w:rsidRPr="00C7014F">
        <w:rPr>
          <w:b w:val="0"/>
          <w:i/>
          <w:iCs/>
          <w:color w:val="auto"/>
          <w:szCs w:val="20"/>
        </w:rPr>
        <w:t>Remote Sensing,</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12 (24),</w:t>
      </w:r>
      <w:r w:rsidRPr="00C7014F">
        <w:rPr>
          <w:b w:val="0"/>
          <w:color w:val="auto"/>
          <w:szCs w:val="20"/>
        </w:rPr>
        <w:t xml:space="preserve"> 4096.</w:t>
      </w:r>
    </w:p>
    <w:p w14:paraId="1518F732" w14:textId="77777777" w:rsidR="00806307" w:rsidRPr="00C7014F" w:rsidRDefault="00806307" w:rsidP="00806307">
      <w:pPr>
        <w:pStyle w:val="MDPI21heading1"/>
        <w:numPr>
          <w:ilvl w:val="0"/>
          <w:numId w:val="1"/>
        </w:numPr>
        <w:spacing w:line="240" w:lineRule="auto"/>
        <w:ind w:left="360"/>
        <w:jc w:val="both"/>
        <w:rPr>
          <w:b w:val="0"/>
          <w:color w:val="auto"/>
          <w:szCs w:val="20"/>
        </w:rPr>
      </w:pPr>
      <w:r w:rsidRPr="00C7014F">
        <w:rPr>
          <w:b w:val="0"/>
          <w:color w:val="auto"/>
          <w:szCs w:val="20"/>
        </w:rPr>
        <w:t xml:space="preserve">Turpie, K. R.; Eplee, R. E.; Franz, B. A.; and Del Castillo, C. Calibration uncertainty in ocean color satellite sensors and trends in long-term environmental records. </w:t>
      </w:r>
      <w:r w:rsidRPr="00C7014F">
        <w:rPr>
          <w:b w:val="0"/>
          <w:i/>
          <w:iCs/>
          <w:color w:val="auto"/>
          <w:szCs w:val="20"/>
        </w:rPr>
        <w:t>Ocean Sensing and Monitoring VI</w:t>
      </w:r>
      <w:r w:rsidRPr="00C7014F">
        <w:rPr>
          <w:b w:val="0"/>
          <w:color w:val="auto"/>
          <w:szCs w:val="20"/>
        </w:rPr>
        <w:t xml:space="preserve">, </w:t>
      </w:r>
      <w:r w:rsidRPr="00C7014F">
        <w:rPr>
          <w:bCs/>
          <w:color w:val="auto"/>
          <w:szCs w:val="20"/>
        </w:rPr>
        <w:t>2014</w:t>
      </w:r>
      <w:r w:rsidRPr="00C7014F">
        <w:rPr>
          <w:b w:val="0"/>
          <w:color w:val="auto"/>
          <w:szCs w:val="20"/>
        </w:rPr>
        <w:t xml:space="preserve">, </w:t>
      </w:r>
      <w:r w:rsidRPr="00C7014F">
        <w:rPr>
          <w:b w:val="0"/>
          <w:i/>
          <w:iCs/>
          <w:color w:val="auto"/>
          <w:szCs w:val="20"/>
        </w:rPr>
        <w:t>9111</w:t>
      </w:r>
      <w:r w:rsidRPr="00C7014F">
        <w:rPr>
          <w:b w:val="0"/>
          <w:color w:val="auto"/>
          <w:szCs w:val="20"/>
        </w:rPr>
        <w:t xml:space="preserve">, 911103. </w:t>
      </w:r>
    </w:p>
    <w:p w14:paraId="79CFF58E" w14:textId="77777777" w:rsidR="00806307" w:rsidRPr="00C7014F" w:rsidRDefault="00806307" w:rsidP="00806307">
      <w:pPr>
        <w:pStyle w:val="MDPI21heading1"/>
        <w:numPr>
          <w:ilvl w:val="0"/>
          <w:numId w:val="1"/>
        </w:numPr>
        <w:spacing w:line="240" w:lineRule="auto"/>
        <w:ind w:left="360"/>
        <w:jc w:val="both"/>
        <w:rPr>
          <w:b w:val="0"/>
          <w:color w:val="auto"/>
          <w:szCs w:val="20"/>
        </w:rPr>
      </w:pPr>
      <w:r w:rsidRPr="00C7014F">
        <w:rPr>
          <w:b w:val="0"/>
          <w:color w:val="auto"/>
          <w:szCs w:val="20"/>
        </w:rPr>
        <w:t>Franz, B. A.; Bailey, S. W.; Werdell, P. J.; McClain, C. R. Sensor-independent approach to the vicarious calibration of satellite ocean color radiometry.</w:t>
      </w:r>
      <w:r w:rsidRPr="00C7014F">
        <w:rPr>
          <w:b w:val="0"/>
          <w:i/>
          <w:iCs/>
          <w:color w:val="auto"/>
          <w:szCs w:val="20"/>
        </w:rPr>
        <w:t xml:space="preserve"> Appl Opt</w:t>
      </w:r>
      <w:r w:rsidRPr="00C7014F">
        <w:rPr>
          <w:b w:val="0"/>
          <w:color w:val="auto"/>
          <w:szCs w:val="20"/>
        </w:rPr>
        <w:t xml:space="preserve">, </w:t>
      </w:r>
      <w:r w:rsidRPr="00C7014F">
        <w:rPr>
          <w:bCs/>
          <w:color w:val="auto"/>
          <w:szCs w:val="20"/>
        </w:rPr>
        <w:t>2007</w:t>
      </w:r>
      <w:r w:rsidRPr="00C7014F">
        <w:rPr>
          <w:b w:val="0"/>
          <w:color w:val="auto"/>
          <w:szCs w:val="20"/>
        </w:rPr>
        <w:t xml:space="preserve">, </w:t>
      </w:r>
      <w:r w:rsidRPr="00C7014F">
        <w:rPr>
          <w:b w:val="0"/>
          <w:i/>
          <w:iCs/>
          <w:color w:val="auto"/>
          <w:szCs w:val="20"/>
        </w:rPr>
        <w:t>46 (22)</w:t>
      </w:r>
      <w:r w:rsidRPr="00C7014F">
        <w:rPr>
          <w:b w:val="0"/>
          <w:color w:val="auto"/>
          <w:szCs w:val="20"/>
        </w:rPr>
        <w:t>, 5068-5082.</w:t>
      </w:r>
    </w:p>
    <w:p w14:paraId="3A0C31DC" w14:textId="77777777" w:rsidR="00806307" w:rsidRPr="00C7014F" w:rsidRDefault="00806307" w:rsidP="00806307">
      <w:pPr>
        <w:pStyle w:val="MDPI21heading1"/>
        <w:numPr>
          <w:ilvl w:val="0"/>
          <w:numId w:val="1"/>
        </w:numPr>
        <w:spacing w:line="240" w:lineRule="auto"/>
        <w:ind w:left="360"/>
        <w:jc w:val="both"/>
        <w:rPr>
          <w:b w:val="0"/>
          <w:color w:val="auto"/>
          <w:szCs w:val="20"/>
        </w:rPr>
      </w:pPr>
      <w:r w:rsidRPr="00C7014F">
        <w:rPr>
          <w:b w:val="0"/>
          <w:color w:val="auto"/>
          <w:szCs w:val="20"/>
        </w:rPr>
        <w:t xml:space="preserve">Barnes, B. B.; Hu, C.; Bailey, S. W.; Pahlevan, N.; and Franz. B. A.; Cross-calibration of MODIS and VIIRS long near infrared bands for ocean color science and applications. </w:t>
      </w:r>
      <w:r w:rsidRPr="00C7014F">
        <w:rPr>
          <w:b w:val="0"/>
          <w:i/>
          <w:iCs/>
          <w:color w:val="auto"/>
          <w:szCs w:val="20"/>
        </w:rPr>
        <w:t>Remote Sensing of Environment</w:t>
      </w:r>
      <w:r w:rsidRPr="00C7014F">
        <w:rPr>
          <w:b w:val="0"/>
          <w:color w:val="auto"/>
          <w:szCs w:val="20"/>
        </w:rPr>
        <w:t xml:space="preserve">, </w:t>
      </w:r>
      <w:r w:rsidRPr="00C7014F">
        <w:rPr>
          <w:bCs/>
          <w:color w:val="auto"/>
          <w:szCs w:val="20"/>
        </w:rPr>
        <w:t>2021</w:t>
      </w:r>
      <w:r w:rsidRPr="00C7014F">
        <w:rPr>
          <w:b w:val="0"/>
          <w:color w:val="auto"/>
          <w:szCs w:val="20"/>
        </w:rPr>
        <w:t xml:space="preserve">, </w:t>
      </w:r>
      <w:r w:rsidRPr="00C7014F">
        <w:rPr>
          <w:b w:val="0"/>
          <w:i/>
          <w:iCs/>
          <w:color w:val="auto"/>
          <w:szCs w:val="20"/>
        </w:rPr>
        <w:t>260</w:t>
      </w:r>
      <w:r w:rsidRPr="00C7014F">
        <w:rPr>
          <w:b w:val="0"/>
          <w:color w:val="auto"/>
          <w:szCs w:val="20"/>
        </w:rPr>
        <w:t>, 112439.</w:t>
      </w:r>
    </w:p>
    <w:p w14:paraId="1803BA34" w14:textId="77777777" w:rsidR="00121973" w:rsidRPr="00C7014F" w:rsidRDefault="00121973" w:rsidP="00121973">
      <w:pPr>
        <w:pStyle w:val="MDPI21heading1"/>
        <w:numPr>
          <w:ilvl w:val="0"/>
          <w:numId w:val="1"/>
        </w:numPr>
        <w:spacing w:line="240" w:lineRule="auto"/>
        <w:ind w:left="360"/>
        <w:jc w:val="both"/>
        <w:rPr>
          <w:b w:val="0"/>
          <w:color w:val="auto"/>
          <w:szCs w:val="20"/>
        </w:rPr>
      </w:pPr>
      <w:r w:rsidRPr="00C7014F">
        <w:rPr>
          <w:b w:val="0"/>
          <w:color w:val="auto"/>
          <w:szCs w:val="20"/>
        </w:rPr>
        <w:t xml:space="preserve">Moon, M.; Zhang, X.; Henebry, G.M.; Liu, L.; Gray, J.M.; Melaas, E.K.; Friedl, M.A. Long-term continuity in land surface phenology measurements: A comparative assessment of the MODIS land cover dynamics and VIIRS land surface phenology products, </w:t>
      </w:r>
      <w:r w:rsidRPr="00C7014F">
        <w:rPr>
          <w:b w:val="0"/>
          <w:i/>
          <w:iCs/>
          <w:color w:val="auto"/>
          <w:szCs w:val="20"/>
        </w:rPr>
        <w:t>Remote Sensing of Environment</w:t>
      </w:r>
      <w:r w:rsidRPr="00C7014F">
        <w:rPr>
          <w:b w:val="0"/>
          <w:color w:val="auto"/>
          <w:szCs w:val="20"/>
        </w:rPr>
        <w:t xml:space="preserve">, </w:t>
      </w:r>
      <w:r w:rsidRPr="00C7014F">
        <w:rPr>
          <w:bCs/>
          <w:color w:val="auto"/>
          <w:szCs w:val="20"/>
        </w:rPr>
        <w:t>2019</w:t>
      </w:r>
      <w:r w:rsidRPr="00C7014F">
        <w:rPr>
          <w:b w:val="0"/>
          <w:color w:val="auto"/>
          <w:szCs w:val="20"/>
        </w:rPr>
        <w:t xml:space="preserve">, </w:t>
      </w:r>
      <w:r w:rsidRPr="00C7014F">
        <w:rPr>
          <w:b w:val="0"/>
          <w:i/>
          <w:iCs/>
          <w:color w:val="auto"/>
          <w:szCs w:val="20"/>
        </w:rPr>
        <w:t>226</w:t>
      </w:r>
      <w:r w:rsidRPr="00C7014F">
        <w:rPr>
          <w:b w:val="0"/>
          <w:color w:val="auto"/>
          <w:szCs w:val="20"/>
        </w:rPr>
        <w:t xml:space="preserve">, 74-92. </w:t>
      </w:r>
    </w:p>
    <w:p w14:paraId="2D50CCD1" w14:textId="77777777" w:rsidR="003A3566" w:rsidRPr="00C7014F" w:rsidRDefault="003A3566" w:rsidP="003A3566">
      <w:pPr>
        <w:pStyle w:val="MDPI21heading1"/>
        <w:numPr>
          <w:ilvl w:val="0"/>
          <w:numId w:val="1"/>
        </w:numPr>
        <w:spacing w:line="240" w:lineRule="auto"/>
        <w:ind w:left="360"/>
        <w:jc w:val="both"/>
        <w:rPr>
          <w:b w:val="0"/>
          <w:color w:val="auto"/>
          <w:szCs w:val="20"/>
        </w:rPr>
      </w:pPr>
      <w:r w:rsidRPr="00C7014F">
        <w:rPr>
          <w:b w:val="0"/>
          <w:color w:val="auto"/>
          <w:szCs w:val="20"/>
        </w:rPr>
        <w:t xml:space="preserve">Barnes, W.L.; Salomonson, V.V. MODIS: A global image spectroradiometer for the Earth Observing System, </w:t>
      </w:r>
      <w:r w:rsidRPr="00C7014F">
        <w:rPr>
          <w:b w:val="0"/>
          <w:i/>
          <w:color w:val="auto"/>
          <w:szCs w:val="20"/>
        </w:rPr>
        <w:t>Critical Reviews of Optical Science and Technology</w:t>
      </w:r>
      <w:r w:rsidRPr="00C7014F">
        <w:rPr>
          <w:b w:val="0"/>
          <w:color w:val="auto"/>
          <w:szCs w:val="20"/>
        </w:rPr>
        <w:t xml:space="preserve">, </w:t>
      </w:r>
      <w:r w:rsidRPr="00C7014F">
        <w:rPr>
          <w:color w:val="auto"/>
          <w:szCs w:val="20"/>
        </w:rPr>
        <w:t>1993</w:t>
      </w:r>
      <w:r w:rsidRPr="00C7014F">
        <w:rPr>
          <w:b w:val="0"/>
          <w:color w:val="auto"/>
          <w:szCs w:val="20"/>
        </w:rPr>
        <w:t>, CR47, 285-307.</w:t>
      </w:r>
    </w:p>
    <w:p w14:paraId="0FCE45F8" w14:textId="77777777" w:rsidR="003A3566" w:rsidRPr="00C7014F" w:rsidRDefault="003A3566" w:rsidP="003A3566">
      <w:pPr>
        <w:pStyle w:val="MDPI21heading1"/>
        <w:numPr>
          <w:ilvl w:val="0"/>
          <w:numId w:val="1"/>
        </w:numPr>
        <w:spacing w:line="240" w:lineRule="auto"/>
        <w:ind w:left="360"/>
        <w:jc w:val="both"/>
        <w:rPr>
          <w:b w:val="0"/>
          <w:color w:val="auto"/>
          <w:szCs w:val="20"/>
        </w:rPr>
      </w:pPr>
      <w:r w:rsidRPr="00C7014F">
        <w:rPr>
          <w:b w:val="0"/>
          <w:color w:val="auto"/>
          <w:szCs w:val="20"/>
        </w:rPr>
        <w:t xml:space="preserve">Xiong, X.; Chiang, K.; Esposito, J.; Guenther, B.; Barnes, W.L. “MODIS On-orbit Calibration and Characterization,” </w:t>
      </w:r>
      <w:r w:rsidRPr="00C7014F">
        <w:rPr>
          <w:b w:val="0"/>
          <w:i/>
          <w:color w:val="auto"/>
          <w:szCs w:val="20"/>
        </w:rPr>
        <w:t>Metrologia</w:t>
      </w:r>
      <w:r w:rsidRPr="00C7014F">
        <w:rPr>
          <w:b w:val="0"/>
          <w:color w:val="auto"/>
          <w:szCs w:val="20"/>
        </w:rPr>
        <w:t xml:space="preserve">, </w:t>
      </w:r>
      <w:r w:rsidRPr="00C7014F">
        <w:rPr>
          <w:color w:val="auto"/>
          <w:szCs w:val="20"/>
        </w:rPr>
        <w:t>2003</w:t>
      </w:r>
      <w:r w:rsidRPr="00C7014F">
        <w:rPr>
          <w:b w:val="0"/>
          <w:color w:val="auto"/>
          <w:szCs w:val="20"/>
        </w:rPr>
        <w:t>, 40, 89-92.</w:t>
      </w:r>
    </w:p>
    <w:p w14:paraId="775EFEFA" w14:textId="2CC58DF7" w:rsidR="003A3566" w:rsidRPr="00C7014F" w:rsidRDefault="003A3566" w:rsidP="003A3566">
      <w:pPr>
        <w:pStyle w:val="MDPI21heading1"/>
        <w:numPr>
          <w:ilvl w:val="0"/>
          <w:numId w:val="1"/>
        </w:numPr>
        <w:spacing w:line="240" w:lineRule="auto"/>
        <w:ind w:left="360"/>
        <w:jc w:val="both"/>
        <w:rPr>
          <w:b w:val="0"/>
          <w:color w:val="auto"/>
          <w:szCs w:val="20"/>
        </w:rPr>
      </w:pPr>
      <w:r w:rsidRPr="00C7014F">
        <w:rPr>
          <w:b w:val="0"/>
          <w:color w:val="auto"/>
          <w:szCs w:val="20"/>
        </w:rPr>
        <w:t xml:space="preserve">Xiong, X.; Angal, A.; Chang, T.; Chiang, K.; Lei, N.; Li, Y.; Sun, J.; Twedt, K.; Wu, A. MODIS and VIIRS calibration and characterization in support of producing long-term high-quality data products. </w:t>
      </w:r>
      <w:r w:rsidRPr="00C7014F">
        <w:rPr>
          <w:b w:val="0"/>
          <w:i/>
          <w:iCs/>
          <w:color w:val="auto"/>
          <w:szCs w:val="20"/>
        </w:rPr>
        <w:t>Remote Sensing,</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12(19)</w:t>
      </w:r>
      <w:r w:rsidRPr="00C7014F">
        <w:rPr>
          <w:b w:val="0"/>
          <w:color w:val="auto"/>
          <w:szCs w:val="20"/>
        </w:rPr>
        <w:t>, 3167.</w:t>
      </w:r>
    </w:p>
    <w:p w14:paraId="2D973BF1" w14:textId="77777777" w:rsidR="00322DF3" w:rsidRPr="00C7014F" w:rsidRDefault="00322DF3" w:rsidP="00322DF3">
      <w:pPr>
        <w:pStyle w:val="MDPI21heading1"/>
        <w:numPr>
          <w:ilvl w:val="0"/>
          <w:numId w:val="1"/>
        </w:numPr>
        <w:spacing w:line="240" w:lineRule="auto"/>
        <w:ind w:left="360"/>
        <w:jc w:val="both"/>
        <w:rPr>
          <w:b w:val="0"/>
          <w:bCs/>
          <w:color w:val="auto"/>
          <w:szCs w:val="20"/>
        </w:rPr>
      </w:pPr>
      <w:r w:rsidRPr="00C7014F">
        <w:rPr>
          <w:b w:val="0"/>
          <w:bCs/>
          <w:color w:val="auto"/>
          <w:szCs w:val="20"/>
        </w:rPr>
        <w:t xml:space="preserve">Sun J; Xiong, X.; Barnes, W.; Guenther, B.; MODIS Reflective Solar Bands On-orbit Lunar Calibration. </w:t>
      </w:r>
      <w:r w:rsidRPr="00C7014F">
        <w:rPr>
          <w:b w:val="0"/>
          <w:bCs/>
          <w:i/>
          <w:color w:val="auto"/>
          <w:szCs w:val="20"/>
        </w:rPr>
        <w:t>IEEE Transactions on Geoscience and Remote Sensing</w:t>
      </w:r>
      <w:r w:rsidRPr="00C7014F">
        <w:rPr>
          <w:b w:val="0"/>
          <w:bCs/>
          <w:color w:val="auto"/>
          <w:szCs w:val="20"/>
        </w:rPr>
        <w:t xml:space="preserve">, </w:t>
      </w:r>
      <w:r w:rsidRPr="00C7014F">
        <w:rPr>
          <w:bCs/>
          <w:color w:val="auto"/>
          <w:szCs w:val="20"/>
        </w:rPr>
        <w:t>2007</w:t>
      </w:r>
      <w:r w:rsidRPr="00C7014F">
        <w:rPr>
          <w:b w:val="0"/>
          <w:bCs/>
          <w:color w:val="auto"/>
          <w:szCs w:val="20"/>
        </w:rPr>
        <w:t>, 45, 7, 2383-2393.</w:t>
      </w:r>
    </w:p>
    <w:p w14:paraId="1DE365DE" w14:textId="77777777" w:rsidR="00322DF3" w:rsidRPr="00C7014F" w:rsidRDefault="00322DF3" w:rsidP="00322DF3">
      <w:pPr>
        <w:pStyle w:val="MDPI21heading1"/>
        <w:numPr>
          <w:ilvl w:val="0"/>
          <w:numId w:val="1"/>
        </w:numPr>
        <w:spacing w:line="240" w:lineRule="auto"/>
        <w:ind w:left="360"/>
        <w:jc w:val="both"/>
        <w:rPr>
          <w:b w:val="0"/>
          <w:bCs/>
          <w:color w:val="auto"/>
          <w:szCs w:val="20"/>
        </w:rPr>
      </w:pPr>
      <w:r w:rsidRPr="00C7014F">
        <w:rPr>
          <w:b w:val="0"/>
          <w:bCs/>
          <w:color w:val="auto"/>
          <w:szCs w:val="20"/>
        </w:rPr>
        <w:t xml:space="preserve">Xiong, X.; Sun, J.; Fulbright, J.; Wang, Z.; Butler, J.; Lunar Calibration and Performance for S-NPP VIIRS Reflective Solar Bands. </w:t>
      </w:r>
      <w:r w:rsidRPr="00C7014F">
        <w:rPr>
          <w:b w:val="0"/>
          <w:bCs/>
          <w:i/>
          <w:color w:val="auto"/>
          <w:szCs w:val="20"/>
        </w:rPr>
        <w:t>IEEE Trans. Geosci. Remote Sens.</w:t>
      </w:r>
      <w:r w:rsidRPr="00C7014F">
        <w:rPr>
          <w:b w:val="0"/>
          <w:bCs/>
          <w:color w:val="auto"/>
          <w:szCs w:val="20"/>
        </w:rPr>
        <w:t xml:space="preserve"> </w:t>
      </w:r>
      <w:r w:rsidRPr="00C7014F">
        <w:rPr>
          <w:color w:val="auto"/>
          <w:szCs w:val="20"/>
        </w:rPr>
        <w:t>2016</w:t>
      </w:r>
      <w:r w:rsidRPr="00C7014F">
        <w:rPr>
          <w:b w:val="0"/>
          <w:bCs/>
          <w:color w:val="auto"/>
          <w:szCs w:val="20"/>
        </w:rPr>
        <w:t>, 54, 2, 1052-1061</w:t>
      </w:r>
    </w:p>
    <w:p w14:paraId="37C7BCE8" w14:textId="2F4AC39E" w:rsidR="00322DF3" w:rsidRPr="00C7014F" w:rsidRDefault="00322DF3" w:rsidP="00322DF3">
      <w:pPr>
        <w:pStyle w:val="MDPI21heading1"/>
        <w:numPr>
          <w:ilvl w:val="0"/>
          <w:numId w:val="1"/>
        </w:numPr>
        <w:spacing w:line="240" w:lineRule="auto"/>
        <w:ind w:left="360"/>
        <w:jc w:val="both"/>
        <w:rPr>
          <w:b w:val="0"/>
          <w:color w:val="auto"/>
          <w:szCs w:val="20"/>
        </w:rPr>
      </w:pPr>
      <w:r w:rsidRPr="00C7014F">
        <w:rPr>
          <w:b w:val="0"/>
          <w:color w:val="auto"/>
          <w:szCs w:val="20"/>
        </w:rPr>
        <w:t xml:space="preserve">Eplee, R. E.; Turpie, K. R.; Meister, G.; Patt, F. S.; Franz, B. A.; Bailey, S. W. On-orbit calibration of the Suomi national polar-orbiting partnership visible infrared imaging radiometer suite for ocean color applications. </w:t>
      </w:r>
      <w:r w:rsidRPr="00C7014F">
        <w:rPr>
          <w:b w:val="0"/>
          <w:i/>
          <w:iCs/>
          <w:color w:val="auto"/>
          <w:szCs w:val="20"/>
        </w:rPr>
        <w:t>Applied Optics</w:t>
      </w:r>
      <w:r w:rsidRPr="00C7014F">
        <w:rPr>
          <w:b w:val="0"/>
          <w:color w:val="auto"/>
          <w:szCs w:val="20"/>
        </w:rPr>
        <w:t xml:space="preserve">, </w:t>
      </w:r>
      <w:r w:rsidRPr="00C7014F">
        <w:rPr>
          <w:bCs/>
          <w:color w:val="auto"/>
          <w:szCs w:val="20"/>
        </w:rPr>
        <w:t>2015</w:t>
      </w:r>
      <w:r w:rsidRPr="00C7014F">
        <w:rPr>
          <w:b w:val="0"/>
          <w:color w:val="auto"/>
          <w:szCs w:val="20"/>
        </w:rPr>
        <w:t xml:space="preserve">, </w:t>
      </w:r>
      <w:r w:rsidRPr="00C7014F">
        <w:rPr>
          <w:b w:val="0"/>
          <w:i/>
          <w:iCs/>
          <w:color w:val="auto"/>
          <w:szCs w:val="20"/>
        </w:rPr>
        <w:t>54(8)</w:t>
      </w:r>
      <w:r w:rsidRPr="00C7014F">
        <w:rPr>
          <w:b w:val="0"/>
          <w:color w:val="auto"/>
          <w:szCs w:val="20"/>
        </w:rPr>
        <w:t>, 1984-2006.</w:t>
      </w:r>
    </w:p>
    <w:p w14:paraId="4E77EC9C" w14:textId="77777777" w:rsidR="001D076D" w:rsidRPr="00C7014F" w:rsidRDefault="001D076D" w:rsidP="001D076D">
      <w:pPr>
        <w:pStyle w:val="MDPI21heading1"/>
        <w:numPr>
          <w:ilvl w:val="0"/>
          <w:numId w:val="1"/>
        </w:numPr>
        <w:spacing w:line="240" w:lineRule="auto"/>
        <w:ind w:left="360"/>
        <w:jc w:val="both"/>
        <w:rPr>
          <w:b w:val="0"/>
          <w:color w:val="auto"/>
          <w:szCs w:val="20"/>
        </w:rPr>
      </w:pPr>
      <w:r w:rsidRPr="00C7014F">
        <w:rPr>
          <w:b w:val="0"/>
          <w:bCs/>
          <w:color w:val="auto"/>
          <w:szCs w:val="20"/>
        </w:rPr>
        <w:lastRenderedPageBreak/>
        <w:t xml:space="preserve">Kieffer, H.; and Stone, T.C. The Spectral Irradiance of the Moon. </w:t>
      </w:r>
      <w:r w:rsidRPr="00C7014F">
        <w:rPr>
          <w:b w:val="0"/>
          <w:bCs/>
          <w:i/>
          <w:iCs/>
          <w:color w:val="auto"/>
          <w:szCs w:val="20"/>
        </w:rPr>
        <w:t>The Astronomical Journal</w:t>
      </w:r>
      <w:r w:rsidRPr="00C7014F">
        <w:rPr>
          <w:b w:val="0"/>
          <w:bCs/>
          <w:color w:val="auto"/>
          <w:szCs w:val="20"/>
        </w:rPr>
        <w:t xml:space="preserve">, </w:t>
      </w:r>
      <w:r w:rsidRPr="00C7014F">
        <w:rPr>
          <w:color w:val="auto"/>
          <w:szCs w:val="20"/>
        </w:rPr>
        <w:t>2005</w:t>
      </w:r>
      <w:r w:rsidRPr="00C7014F">
        <w:rPr>
          <w:b w:val="0"/>
          <w:bCs/>
          <w:color w:val="auto"/>
          <w:szCs w:val="20"/>
        </w:rPr>
        <w:t xml:space="preserve">, </w:t>
      </w:r>
      <w:r w:rsidRPr="00C7014F">
        <w:rPr>
          <w:b w:val="0"/>
          <w:bCs/>
          <w:i/>
          <w:iCs/>
          <w:color w:val="auto"/>
          <w:szCs w:val="20"/>
        </w:rPr>
        <w:t>129(6)</w:t>
      </w:r>
      <w:r w:rsidRPr="00C7014F">
        <w:rPr>
          <w:b w:val="0"/>
          <w:bCs/>
          <w:color w:val="auto"/>
          <w:szCs w:val="20"/>
        </w:rPr>
        <w:t>, 2887.</w:t>
      </w:r>
    </w:p>
    <w:p w14:paraId="69BD0D49" w14:textId="77777777" w:rsidR="001D076D" w:rsidRPr="00C7014F" w:rsidRDefault="001D076D" w:rsidP="001D076D">
      <w:pPr>
        <w:pStyle w:val="MDPI21heading1"/>
        <w:numPr>
          <w:ilvl w:val="0"/>
          <w:numId w:val="1"/>
        </w:numPr>
        <w:spacing w:line="240" w:lineRule="auto"/>
        <w:ind w:left="360"/>
        <w:jc w:val="both"/>
        <w:rPr>
          <w:b w:val="0"/>
          <w:color w:val="auto"/>
          <w:szCs w:val="20"/>
        </w:rPr>
      </w:pPr>
      <w:r w:rsidRPr="00C7014F">
        <w:rPr>
          <w:b w:val="0"/>
          <w:bCs/>
          <w:color w:val="auto"/>
          <w:szCs w:val="20"/>
        </w:rPr>
        <w:t xml:space="preserve">Stone, T.C.; and Kieffer, H. H. Use of the Moon to support on-orbit sensor calibration for climate change measurements. </w:t>
      </w:r>
      <w:r w:rsidRPr="00C7014F">
        <w:rPr>
          <w:b w:val="0"/>
          <w:bCs/>
          <w:i/>
          <w:iCs/>
          <w:color w:val="auto"/>
          <w:szCs w:val="20"/>
        </w:rPr>
        <w:t>Proc. SPIE -- Earth Observing Systems XI</w:t>
      </w:r>
      <w:r w:rsidRPr="00C7014F">
        <w:rPr>
          <w:b w:val="0"/>
          <w:bCs/>
          <w:color w:val="auto"/>
          <w:szCs w:val="20"/>
        </w:rPr>
        <w:t xml:space="preserve">, </w:t>
      </w:r>
      <w:r w:rsidRPr="00C7014F">
        <w:rPr>
          <w:color w:val="auto"/>
          <w:szCs w:val="20"/>
        </w:rPr>
        <w:t>2006</w:t>
      </w:r>
      <w:r w:rsidRPr="00C7014F">
        <w:rPr>
          <w:b w:val="0"/>
          <w:bCs/>
          <w:color w:val="auto"/>
          <w:szCs w:val="20"/>
        </w:rPr>
        <w:t xml:space="preserve">, </w:t>
      </w:r>
      <w:r w:rsidRPr="00C7014F">
        <w:rPr>
          <w:b w:val="0"/>
          <w:bCs/>
          <w:i/>
          <w:iCs/>
          <w:color w:val="auto"/>
          <w:szCs w:val="20"/>
        </w:rPr>
        <w:t>6296</w:t>
      </w:r>
      <w:r w:rsidRPr="00C7014F">
        <w:rPr>
          <w:b w:val="0"/>
          <w:bCs/>
          <w:color w:val="auto"/>
          <w:szCs w:val="20"/>
        </w:rPr>
        <w:t>, 62960Y.</w:t>
      </w:r>
    </w:p>
    <w:p w14:paraId="14B3A9F3" w14:textId="0356BAFD" w:rsidR="001D076D" w:rsidRPr="00C7014F" w:rsidRDefault="001D076D" w:rsidP="001D076D">
      <w:pPr>
        <w:pStyle w:val="MDPI21heading1"/>
        <w:numPr>
          <w:ilvl w:val="0"/>
          <w:numId w:val="1"/>
        </w:numPr>
        <w:spacing w:line="240" w:lineRule="auto"/>
        <w:ind w:left="360"/>
        <w:jc w:val="both"/>
        <w:rPr>
          <w:b w:val="0"/>
          <w:color w:val="auto"/>
          <w:szCs w:val="20"/>
        </w:rPr>
      </w:pPr>
      <w:r w:rsidRPr="00C7014F">
        <w:rPr>
          <w:b w:val="0"/>
          <w:color w:val="auto"/>
          <w:szCs w:val="20"/>
        </w:rPr>
        <w:t xml:space="preserve">Stone, T. C.; Kieffer, H.; Lukashin, C.; Turpie, K. The Moon as a climate-quality radiometric calibration reference. </w:t>
      </w:r>
      <w:r w:rsidRPr="00C7014F">
        <w:rPr>
          <w:b w:val="0"/>
          <w:i/>
          <w:iCs/>
          <w:color w:val="auto"/>
          <w:szCs w:val="20"/>
        </w:rPr>
        <w:t>Remote Sensing</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12(11)</w:t>
      </w:r>
      <w:r w:rsidRPr="00C7014F">
        <w:rPr>
          <w:b w:val="0"/>
          <w:color w:val="auto"/>
          <w:szCs w:val="20"/>
        </w:rPr>
        <w:t>, 1837.</w:t>
      </w:r>
    </w:p>
    <w:p w14:paraId="6A50F07E" w14:textId="77777777" w:rsidR="00431E0D" w:rsidRPr="00C7014F" w:rsidRDefault="00431E0D"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Barnes, R. A.; Eplee, R. E.; Patt, F. S.; McClain, C. R. Changes in the radiometric sensitivity of SeaWiFS determined from lunar and solar-based measurements. </w:t>
      </w:r>
      <w:r w:rsidRPr="00C7014F">
        <w:rPr>
          <w:b w:val="0"/>
          <w:i/>
          <w:iCs/>
          <w:color w:val="auto"/>
          <w:szCs w:val="20"/>
        </w:rPr>
        <w:t>Applied Optics,</w:t>
      </w:r>
      <w:r w:rsidRPr="00C7014F">
        <w:rPr>
          <w:b w:val="0"/>
          <w:color w:val="auto"/>
          <w:szCs w:val="20"/>
        </w:rPr>
        <w:t xml:space="preserve"> </w:t>
      </w:r>
      <w:r w:rsidRPr="00C7014F">
        <w:rPr>
          <w:bCs/>
          <w:color w:val="auto"/>
          <w:szCs w:val="20"/>
        </w:rPr>
        <w:t>1999</w:t>
      </w:r>
      <w:r w:rsidRPr="00C7014F">
        <w:rPr>
          <w:b w:val="0"/>
          <w:color w:val="auto"/>
          <w:szCs w:val="20"/>
        </w:rPr>
        <w:t xml:space="preserve">, </w:t>
      </w:r>
      <w:r w:rsidRPr="00C7014F">
        <w:rPr>
          <w:b w:val="0"/>
          <w:i/>
          <w:iCs/>
          <w:color w:val="auto"/>
          <w:szCs w:val="20"/>
        </w:rPr>
        <w:t>38(21),</w:t>
      </w:r>
      <w:r w:rsidRPr="00C7014F">
        <w:rPr>
          <w:b w:val="0"/>
          <w:color w:val="auto"/>
          <w:szCs w:val="20"/>
        </w:rPr>
        <w:t xml:space="preserve"> 4649-4664.</w:t>
      </w:r>
    </w:p>
    <w:p w14:paraId="3E26F115" w14:textId="77777777" w:rsidR="00431E0D" w:rsidRPr="00C7014F" w:rsidRDefault="00431E0D"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Markham, B.; Barsi, J.; Kvaran, G.; Ong, L.; Kaita, E.; Biggar, S.; Myers, J. C.; Mishra, N., Helder, D; Landsat-8 operational land imager radiometric calibration and stability. </w:t>
      </w:r>
      <w:r w:rsidRPr="00C7014F">
        <w:rPr>
          <w:b w:val="0"/>
          <w:i/>
          <w:iCs/>
          <w:color w:val="auto"/>
          <w:szCs w:val="20"/>
        </w:rPr>
        <w:t>Remote Sensing</w:t>
      </w:r>
      <w:r w:rsidRPr="00C7014F">
        <w:rPr>
          <w:b w:val="0"/>
          <w:color w:val="auto"/>
          <w:szCs w:val="20"/>
        </w:rPr>
        <w:t xml:space="preserve">, </w:t>
      </w:r>
      <w:r w:rsidRPr="00C7014F">
        <w:rPr>
          <w:bCs/>
          <w:color w:val="auto"/>
          <w:szCs w:val="20"/>
        </w:rPr>
        <w:t>2014</w:t>
      </w:r>
      <w:r w:rsidRPr="00C7014F">
        <w:rPr>
          <w:b w:val="0"/>
          <w:color w:val="auto"/>
          <w:szCs w:val="20"/>
        </w:rPr>
        <w:t>, 6(12), 12275-12308.</w:t>
      </w:r>
    </w:p>
    <w:p w14:paraId="76FB8E43" w14:textId="54103583" w:rsidR="00431E0D" w:rsidRPr="00C7014F" w:rsidRDefault="00285E9B"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Shao, X.; Cao, C.; Uprety, S.; Padula, F.; Choi, T. Comparing Hyperion Lunar Observation with model calculations in support of GOES-R Advanced Baseline Imager (ABI) calibration, </w:t>
      </w:r>
      <w:r w:rsidRPr="00C7014F">
        <w:rPr>
          <w:b w:val="0"/>
          <w:i/>
          <w:iCs/>
          <w:color w:val="auto"/>
          <w:szCs w:val="20"/>
        </w:rPr>
        <w:t xml:space="preserve">Earth Observing Systems XIX, </w:t>
      </w:r>
      <w:r w:rsidRPr="00C7014F">
        <w:rPr>
          <w:bCs/>
          <w:color w:val="auto"/>
          <w:szCs w:val="20"/>
        </w:rPr>
        <w:t>2014,</w:t>
      </w:r>
      <w:r w:rsidRPr="00C7014F">
        <w:rPr>
          <w:b w:val="0"/>
          <w:color w:val="auto"/>
          <w:szCs w:val="20"/>
        </w:rPr>
        <w:t xml:space="preserve"> </w:t>
      </w:r>
      <w:r w:rsidRPr="00C7014F">
        <w:rPr>
          <w:b w:val="0"/>
          <w:i/>
          <w:iCs/>
          <w:color w:val="auto"/>
          <w:szCs w:val="20"/>
        </w:rPr>
        <w:t xml:space="preserve">9218, </w:t>
      </w:r>
      <w:r w:rsidRPr="00C7014F">
        <w:rPr>
          <w:b w:val="0"/>
          <w:color w:val="auto"/>
          <w:szCs w:val="20"/>
        </w:rPr>
        <w:t>92181X.</w:t>
      </w:r>
    </w:p>
    <w:p w14:paraId="2B8DA62A" w14:textId="77777777" w:rsidR="00431E0D" w:rsidRPr="00C7014F" w:rsidRDefault="00431E0D"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Lachérade, S.; Fourest, S.; Gamet, P.; Lebègue, L. PLEIADES absolute calibration: inflight calibration sites and methodology. </w:t>
      </w:r>
      <w:r w:rsidRPr="00C7014F">
        <w:rPr>
          <w:b w:val="0"/>
          <w:i/>
          <w:iCs/>
          <w:color w:val="auto"/>
          <w:szCs w:val="20"/>
        </w:rPr>
        <w:t>PAN</w:t>
      </w:r>
      <w:r w:rsidRPr="00C7014F">
        <w:rPr>
          <w:b w:val="0"/>
          <w:color w:val="auto"/>
          <w:szCs w:val="20"/>
        </w:rPr>
        <w:t xml:space="preserve">, </w:t>
      </w:r>
      <w:r w:rsidRPr="00C7014F">
        <w:rPr>
          <w:bCs/>
          <w:color w:val="auto"/>
          <w:szCs w:val="20"/>
        </w:rPr>
        <w:t>2012</w:t>
      </w:r>
      <w:r w:rsidRPr="00C7014F">
        <w:rPr>
          <w:b w:val="0"/>
          <w:color w:val="auto"/>
          <w:szCs w:val="20"/>
        </w:rPr>
        <w:t xml:space="preserve">, </w:t>
      </w:r>
      <w:r w:rsidRPr="00C7014F">
        <w:rPr>
          <w:b w:val="0"/>
          <w:i/>
          <w:iCs/>
          <w:color w:val="auto"/>
          <w:szCs w:val="20"/>
        </w:rPr>
        <w:t>1(B2)</w:t>
      </w:r>
      <w:r w:rsidRPr="00C7014F">
        <w:rPr>
          <w:b w:val="0"/>
          <w:color w:val="auto"/>
          <w:szCs w:val="20"/>
        </w:rPr>
        <w:t>, B3.</w:t>
      </w:r>
    </w:p>
    <w:p w14:paraId="742C5C9E" w14:textId="77777777" w:rsidR="00431E0D" w:rsidRPr="00C7014F" w:rsidRDefault="00431E0D"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Xiong, X.; Wang, Z.; Sun, J.; Angal, A.; Fulbright, J.; Butler, J. MODIS and VIIRS lunar observations and applications. </w:t>
      </w:r>
      <w:r w:rsidRPr="00C7014F">
        <w:rPr>
          <w:b w:val="0"/>
          <w:i/>
          <w:iCs/>
          <w:color w:val="auto"/>
          <w:szCs w:val="20"/>
        </w:rPr>
        <w:t>Sensors, Systems, and Next-Generation Satellites XVII</w:t>
      </w:r>
      <w:r w:rsidRPr="00C7014F">
        <w:rPr>
          <w:b w:val="0"/>
          <w:color w:val="auto"/>
          <w:szCs w:val="20"/>
        </w:rPr>
        <w:t xml:space="preserve">, </w:t>
      </w:r>
      <w:r w:rsidRPr="00C7014F">
        <w:rPr>
          <w:bCs/>
          <w:color w:val="auto"/>
          <w:szCs w:val="20"/>
        </w:rPr>
        <w:t>2013</w:t>
      </w:r>
      <w:r w:rsidRPr="00C7014F">
        <w:rPr>
          <w:b w:val="0"/>
          <w:color w:val="auto"/>
          <w:szCs w:val="20"/>
        </w:rPr>
        <w:t xml:space="preserve">, </w:t>
      </w:r>
      <w:r w:rsidRPr="00C7014F">
        <w:rPr>
          <w:b w:val="0"/>
          <w:i/>
          <w:iCs/>
          <w:color w:val="auto"/>
          <w:szCs w:val="20"/>
        </w:rPr>
        <w:t>8889</w:t>
      </w:r>
      <w:r w:rsidRPr="00C7014F">
        <w:rPr>
          <w:b w:val="0"/>
          <w:color w:val="auto"/>
          <w:szCs w:val="20"/>
        </w:rPr>
        <w:t>, 175-185.</w:t>
      </w:r>
    </w:p>
    <w:p w14:paraId="64E9FE8D" w14:textId="77777777" w:rsidR="00431E0D" w:rsidRPr="00C7014F" w:rsidRDefault="00431E0D" w:rsidP="00431E0D">
      <w:pPr>
        <w:pStyle w:val="MDPI21heading1"/>
        <w:numPr>
          <w:ilvl w:val="0"/>
          <w:numId w:val="1"/>
        </w:numPr>
        <w:spacing w:line="240" w:lineRule="auto"/>
        <w:ind w:left="360"/>
        <w:jc w:val="both"/>
        <w:rPr>
          <w:b w:val="0"/>
          <w:color w:val="auto"/>
          <w:szCs w:val="20"/>
        </w:rPr>
      </w:pPr>
      <w:r w:rsidRPr="00C7014F">
        <w:rPr>
          <w:b w:val="0"/>
          <w:color w:val="auto"/>
          <w:szCs w:val="20"/>
        </w:rPr>
        <w:t xml:space="preserve">Xiong, X.; Sun, J.; Barnes, W.; Intercomparison of on-orbit calibration consistency between Terra and Aqua MODIS reflective solar bands using the moon. </w:t>
      </w:r>
      <w:r w:rsidRPr="00C7014F">
        <w:rPr>
          <w:b w:val="0"/>
          <w:i/>
          <w:iCs/>
          <w:color w:val="auto"/>
          <w:szCs w:val="20"/>
        </w:rPr>
        <w:t>IEEE Geoscience and remote sensing letters</w:t>
      </w:r>
      <w:r w:rsidRPr="00C7014F">
        <w:rPr>
          <w:b w:val="0"/>
          <w:color w:val="auto"/>
          <w:szCs w:val="20"/>
        </w:rPr>
        <w:t xml:space="preserve">, </w:t>
      </w:r>
      <w:r w:rsidRPr="00C7014F">
        <w:rPr>
          <w:bCs/>
          <w:color w:val="auto"/>
          <w:szCs w:val="20"/>
        </w:rPr>
        <w:t>2008</w:t>
      </w:r>
      <w:r w:rsidRPr="00C7014F">
        <w:rPr>
          <w:b w:val="0"/>
          <w:color w:val="auto"/>
          <w:szCs w:val="20"/>
        </w:rPr>
        <w:t xml:space="preserve">, </w:t>
      </w:r>
      <w:r w:rsidRPr="00C7014F">
        <w:rPr>
          <w:b w:val="0"/>
          <w:i/>
          <w:iCs/>
          <w:color w:val="auto"/>
          <w:szCs w:val="20"/>
        </w:rPr>
        <w:t>5(4)</w:t>
      </w:r>
      <w:r w:rsidRPr="00C7014F">
        <w:rPr>
          <w:b w:val="0"/>
          <w:color w:val="auto"/>
          <w:szCs w:val="20"/>
        </w:rPr>
        <w:t>, 778-782.</w:t>
      </w:r>
    </w:p>
    <w:p w14:paraId="7AEC8D26" w14:textId="77777777" w:rsidR="00EC0932" w:rsidRPr="00C7014F" w:rsidRDefault="00EC0932"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Wang, Z.; Xiong, X.; Li, Y. Improved band-to-band registration characterization for VIIRS reflective solar bands based on lunar observations. </w:t>
      </w:r>
      <w:r w:rsidRPr="00C7014F">
        <w:rPr>
          <w:b w:val="0"/>
          <w:i/>
          <w:iCs/>
          <w:color w:val="auto"/>
          <w:szCs w:val="20"/>
        </w:rPr>
        <w:t>Remote Sensing</w:t>
      </w:r>
      <w:r w:rsidRPr="00C7014F">
        <w:rPr>
          <w:b w:val="0"/>
          <w:color w:val="auto"/>
          <w:szCs w:val="20"/>
        </w:rPr>
        <w:t xml:space="preserve">, </w:t>
      </w:r>
      <w:r w:rsidRPr="00C7014F">
        <w:rPr>
          <w:bCs/>
          <w:color w:val="auto"/>
          <w:szCs w:val="20"/>
        </w:rPr>
        <w:t>2015</w:t>
      </w:r>
      <w:r w:rsidRPr="00C7014F">
        <w:rPr>
          <w:b w:val="0"/>
          <w:color w:val="auto"/>
          <w:szCs w:val="20"/>
        </w:rPr>
        <w:t xml:space="preserve">, </w:t>
      </w:r>
      <w:r w:rsidRPr="00C7014F">
        <w:rPr>
          <w:b w:val="0"/>
          <w:i/>
          <w:iCs/>
          <w:color w:val="auto"/>
          <w:szCs w:val="20"/>
        </w:rPr>
        <w:t>8(1)</w:t>
      </w:r>
      <w:r w:rsidRPr="00C7014F">
        <w:rPr>
          <w:b w:val="0"/>
          <w:color w:val="auto"/>
          <w:szCs w:val="20"/>
        </w:rPr>
        <w:t>, 27.</w:t>
      </w:r>
    </w:p>
    <w:p w14:paraId="5FEFEE4D" w14:textId="77777777" w:rsidR="00EC0932" w:rsidRPr="00C7014F" w:rsidRDefault="00EC0932"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Wilson, T.; Xiong, X. Modulation transfer function characterization for GOES-16 Advanced Baseline Imager using lunar observations. </w:t>
      </w:r>
      <w:r w:rsidRPr="00C7014F">
        <w:rPr>
          <w:b w:val="0"/>
          <w:i/>
          <w:iCs/>
          <w:color w:val="auto"/>
          <w:szCs w:val="20"/>
        </w:rPr>
        <w:t>Earth Observing Systems XXIV</w:t>
      </w:r>
      <w:r w:rsidRPr="00C7014F">
        <w:rPr>
          <w:b w:val="0"/>
          <w:color w:val="auto"/>
          <w:szCs w:val="20"/>
        </w:rPr>
        <w:t xml:space="preserve">, </w:t>
      </w:r>
      <w:r w:rsidRPr="00C7014F">
        <w:rPr>
          <w:bCs/>
          <w:color w:val="auto"/>
          <w:szCs w:val="20"/>
        </w:rPr>
        <w:t>2019</w:t>
      </w:r>
      <w:r w:rsidRPr="00C7014F">
        <w:rPr>
          <w:b w:val="0"/>
          <w:color w:val="auto"/>
          <w:szCs w:val="20"/>
        </w:rPr>
        <w:t xml:space="preserve">, </w:t>
      </w:r>
      <w:r w:rsidRPr="00C7014F">
        <w:rPr>
          <w:b w:val="0"/>
          <w:i/>
          <w:iCs/>
          <w:color w:val="auto"/>
          <w:szCs w:val="20"/>
        </w:rPr>
        <w:t>11127</w:t>
      </w:r>
      <w:r w:rsidRPr="00C7014F">
        <w:rPr>
          <w:b w:val="0"/>
          <w:color w:val="auto"/>
          <w:szCs w:val="20"/>
        </w:rPr>
        <w:t>, 460-467.</w:t>
      </w:r>
    </w:p>
    <w:p w14:paraId="1295F7C9" w14:textId="77777777" w:rsidR="00EC0932" w:rsidRPr="00C7014F" w:rsidRDefault="00EC0932"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Li, Y.; Xiong, X; Monitoring VIIRS thermal emissive bands long-term performance using lunar observations. </w:t>
      </w:r>
      <w:r w:rsidRPr="00C7014F">
        <w:rPr>
          <w:b w:val="0"/>
          <w:i/>
          <w:iCs/>
          <w:color w:val="auto"/>
          <w:szCs w:val="20"/>
        </w:rPr>
        <w:t>Sensors, Systems, and Next-Generation Satellites XXIV</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11530</w:t>
      </w:r>
      <w:r w:rsidRPr="00C7014F">
        <w:rPr>
          <w:b w:val="0"/>
          <w:color w:val="auto"/>
          <w:szCs w:val="20"/>
        </w:rPr>
        <w:t>, 286-294.</w:t>
      </w:r>
    </w:p>
    <w:p w14:paraId="1E4F9E82" w14:textId="06E5C15E" w:rsidR="00EC0932" w:rsidRPr="00C7014F" w:rsidRDefault="00EC0932"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Wilson, T.; Wu, A.; Shrestha, A.; Geng, X.; Wang, Z.; Moeller, C.; Frey, R.; Xiong, X. Development and implementation of an electronic crosstalk correction for bands 27–30 in Terra MODIS collection 6. </w:t>
      </w:r>
      <w:r w:rsidRPr="00C7014F">
        <w:rPr>
          <w:b w:val="0"/>
          <w:i/>
          <w:iCs/>
          <w:color w:val="auto"/>
          <w:szCs w:val="20"/>
        </w:rPr>
        <w:t>Remote Sensing</w:t>
      </w:r>
      <w:r w:rsidRPr="00C7014F">
        <w:rPr>
          <w:b w:val="0"/>
          <w:color w:val="auto"/>
          <w:szCs w:val="20"/>
        </w:rPr>
        <w:t xml:space="preserve">, </w:t>
      </w:r>
      <w:r w:rsidRPr="00C7014F">
        <w:rPr>
          <w:bCs/>
          <w:color w:val="auto"/>
          <w:szCs w:val="20"/>
        </w:rPr>
        <w:t>2017</w:t>
      </w:r>
      <w:r w:rsidRPr="00C7014F">
        <w:rPr>
          <w:b w:val="0"/>
          <w:color w:val="auto"/>
          <w:szCs w:val="20"/>
        </w:rPr>
        <w:t>,</w:t>
      </w:r>
      <w:r w:rsidRPr="00C7014F">
        <w:rPr>
          <w:b w:val="0"/>
          <w:i/>
          <w:iCs/>
          <w:color w:val="auto"/>
          <w:szCs w:val="20"/>
        </w:rPr>
        <w:t>9(6)</w:t>
      </w:r>
      <w:r w:rsidRPr="00C7014F">
        <w:rPr>
          <w:b w:val="0"/>
          <w:color w:val="auto"/>
          <w:szCs w:val="20"/>
        </w:rPr>
        <w:t>, 569.</w:t>
      </w:r>
    </w:p>
    <w:p w14:paraId="3737F875" w14:textId="15522B88" w:rsidR="00B943E0" w:rsidRPr="00C7014F" w:rsidRDefault="00942CEC" w:rsidP="00EC0932">
      <w:pPr>
        <w:pStyle w:val="MDPI21heading1"/>
        <w:numPr>
          <w:ilvl w:val="0"/>
          <w:numId w:val="1"/>
        </w:numPr>
        <w:spacing w:line="240" w:lineRule="auto"/>
        <w:ind w:left="360"/>
        <w:jc w:val="both"/>
        <w:rPr>
          <w:b w:val="0"/>
          <w:color w:val="auto"/>
          <w:szCs w:val="20"/>
        </w:rPr>
      </w:pPr>
      <w:r w:rsidRPr="00C7014F">
        <w:rPr>
          <w:b w:val="0"/>
          <w:color w:val="auto"/>
          <w:szCs w:val="20"/>
        </w:rPr>
        <w:t>Xiong, X.; Chiang, K.; Adimi, F.; Li, W.; Yatagi, H.; Barnes, W.</w:t>
      </w:r>
      <w:r w:rsidR="008528C1" w:rsidRPr="00C7014F">
        <w:rPr>
          <w:b w:val="0"/>
          <w:color w:val="auto"/>
          <w:szCs w:val="20"/>
        </w:rPr>
        <w:t xml:space="preserve"> MODIS correction algorithm for out-of-band response in the short-wave IR bands</w:t>
      </w:r>
      <w:r w:rsidR="00B71FE9" w:rsidRPr="00C7014F">
        <w:rPr>
          <w:b w:val="0"/>
          <w:color w:val="auto"/>
          <w:szCs w:val="20"/>
        </w:rPr>
        <w:t xml:space="preserve">. </w:t>
      </w:r>
      <w:r w:rsidR="00B71FE9" w:rsidRPr="00C7014F">
        <w:rPr>
          <w:b w:val="0"/>
          <w:i/>
          <w:iCs/>
          <w:color w:val="auto"/>
          <w:szCs w:val="20"/>
        </w:rPr>
        <w:t xml:space="preserve">Sensors, Systems, and Next-Generation Satellites VII, </w:t>
      </w:r>
      <w:r w:rsidR="00B71FE9" w:rsidRPr="00C7014F">
        <w:rPr>
          <w:bCs/>
          <w:color w:val="auto"/>
          <w:szCs w:val="20"/>
        </w:rPr>
        <w:t>2004</w:t>
      </w:r>
      <w:r w:rsidR="00B71FE9" w:rsidRPr="00C7014F">
        <w:rPr>
          <w:b w:val="0"/>
          <w:i/>
          <w:iCs/>
          <w:color w:val="auto"/>
          <w:szCs w:val="20"/>
        </w:rPr>
        <w:t>, 5234.</w:t>
      </w:r>
    </w:p>
    <w:p w14:paraId="0C5CC186" w14:textId="52672758" w:rsidR="00A43038" w:rsidRPr="00C7014F" w:rsidRDefault="00A43038"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Lei, N.; Xiong, X.; Wang, Z.; Li, S.; Twedt, K. SNPP VIIRS RSB on-orbit radiometric calibration algorithms Version 2.0 and the performances, part 1: the algorithms. </w:t>
      </w:r>
      <w:r w:rsidRPr="00C7014F">
        <w:rPr>
          <w:b w:val="0"/>
          <w:i/>
          <w:iCs/>
          <w:color w:val="auto"/>
          <w:szCs w:val="20"/>
        </w:rPr>
        <w:t xml:space="preserve">Journal of Applied Remote Sensing, </w:t>
      </w:r>
      <w:r w:rsidRPr="00C7014F">
        <w:rPr>
          <w:bCs/>
          <w:color w:val="auto"/>
          <w:szCs w:val="20"/>
        </w:rPr>
        <w:t xml:space="preserve">2020, </w:t>
      </w:r>
      <w:r w:rsidRPr="00C7014F">
        <w:rPr>
          <w:b w:val="0"/>
          <w:i/>
          <w:iCs/>
          <w:color w:val="auto"/>
          <w:szCs w:val="20"/>
        </w:rPr>
        <w:t>14(4), 047501.</w:t>
      </w:r>
    </w:p>
    <w:p w14:paraId="5A5D2A8B" w14:textId="5D49D543" w:rsidR="008C071F" w:rsidRPr="00C7014F" w:rsidRDefault="00157D35" w:rsidP="00EC0932">
      <w:pPr>
        <w:pStyle w:val="MDPI21heading1"/>
        <w:numPr>
          <w:ilvl w:val="0"/>
          <w:numId w:val="1"/>
        </w:numPr>
        <w:spacing w:line="240" w:lineRule="auto"/>
        <w:ind w:left="360"/>
        <w:jc w:val="both"/>
        <w:rPr>
          <w:b w:val="0"/>
          <w:color w:val="auto"/>
          <w:szCs w:val="20"/>
        </w:rPr>
      </w:pPr>
      <w:r w:rsidRPr="00C7014F">
        <w:rPr>
          <w:b w:val="0"/>
          <w:color w:val="auto"/>
          <w:szCs w:val="20"/>
        </w:rPr>
        <w:lastRenderedPageBreak/>
        <w:t xml:space="preserve">Twedt, K.; Lei, N.; Xiong, X.; Angal, A.; Li, S.; Chang, T.; Sun, J. </w:t>
      </w:r>
      <w:r w:rsidR="00C0465B" w:rsidRPr="00C7014F">
        <w:rPr>
          <w:b w:val="0"/>
          <w:color w:val="auto"/>
          <w:szCs w:val="20"/>
        </w:rPr>
        <w:t xml:space="preserve">On-orbit Calibration and Performance of NOAA-20 VIIRS Reflective Solar Bands. </w:t>
      </w:r>
      <w:r w:rsidR="00C0465B" w:rsidRPr="00C7014F">
        <w:rPr>
          <w:b w:val="0"/>
          <w:i/>
          <w:iCs/>
          <w:color w:val="auto"/>
          <w:szCs w:val="20"/>
        </w:rPr>
        <w:t xml:space="preserve">IEEE Transactions on Geoscience and Remote Sensing, </w:t>
      </w:r>
      <w:r w:rsidR="00F72912" w:rsidRPr="00C7014F">
        <w:rPr>
          <w:bCs/>
          <w:color w:val="auto"/>
          <w:szCs w:val="20"/>
        </w:rPr>
        <w:t xml:space="preserve">2022, </w:t>
      </w:r>
      <w:r w:rsidR="00F72912" w:rsidRPr="00C7014F">
        <w:rPr>
          <w:b w:val="0"/>
          <w:i/>
          <w:iCs/>
          <w:color w:val="auto"/>
          <w:szCs w:val="20"/>
        </w:rPr>
        <w:t xml:space="preserve">60, </w:t>
      </w:r>
      <w:r w:rsidR="00F72912" w:rsidRPr="00C7014F">
        <w:rPr>
          <w:b w:val="0"/>
          <w:color w:val="auto"/>
          <w:szCs w:val="20"/>
        </w:rPr>
        <w:t>1001413.</w:t>
      </w:r>
    </w:p>
    <w:p w14:paraId="748755BC" w14:textId="56BF7344" w:rsidR="006F5B64" w:rsidRPr="00C7014F" w:rsidRDefault="006F5B64"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Twedt, K.; Aldoretta, E.; Angal, A. et.al. MODIS reflective solar bands calibration improvements for Collection 7. </w:t>
      </w:r>
      <w:r w:rsidRPr="00C7014F">
        <w:rPr>
          <w:b w:val="0"/>
          <w:i/>
          <w:iCs/>
          <w:color w:val="auto"/>
          <w:szCs w:val="20"/>
        </w:rPr>
        <w:t>Sensors, Systems, and Next-Generation Satellites XXV</w:t>
      </w:r>
      <w:r w:rsidR="006E5679" w:rsidRPr="00C7014F">
        <w:rPr>
          <w:b w:val="0"/>
          <w:i/>
          <w:iCs/>
          <w:color w:val="auto"/>
          <w:szCs w:val="20"/>
        </w:rPr>
        <w:t>,</w:t>
      </w:r>
      <w:r w:rsidRPr="00C7014F">
        <w:rPr>
          <w:b w:val="0"/>
          <w:i/>
          <w:iCs/>
          <w:color w:val="auto"/>
          <w:szCs w:val="20"/>
        </w:rPr>
        <w:t xml:space="preserve"> </w:t>
      </w:r>
      <w:r w:rsidR="006E5679" w:rsidRPr="00C7014F">
        <w:rPr>
          <w:bCs/>
          <w:color w:val="auto"/>
          <w:szCs w:val="20"/>
        </w:rPr>
        <w:t xml:space="preserve">2021, </w:t>
      </w:r>
      <w:r w:rsidR="006E5679" w:rsidRPr="00C7014F">
        <w:rPr>
          <w:b w:val="0"/>
          <w:i/>
          <w:iCs/>
          <w:color w:val="auto"/>
          <w:szCs w:val="20"/>
        </w:rPr>
        <w:t xml:space="preserve">11858, </w:t>
      </w:r>
      <w:r w:rsidR="006E5679" w:rsidRPr="00C7014F">
        <w:rPr>
          <w:b w:val="0"/>
          <w:color w:val="auto"/>
          <w:szCs w:val="20"/>
        </w:rPr>
        <w:t>118580S.</w:t>
      </w:r>
    </w:p>
    <w:p w14:paraId="09B5CD20" w14:textId="0CC93533" w:rsidR="00E75E5D" w:rsidRPr="00C7014F" w:rsidRDefault="00E75E5D"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Xiong, X.; Angal, A.; Twedt, K. et.al. MODIS Reflective Solar Bands On-orbit Calibration and Performance. </w:t>
      </w:r>
      <w:r w:rsidR="00011E96" w:rsidRPr="00C7014F">
        <w:rPr>
          <w:b w:val="0"/>
          <w:i/>
          <w:iCs/>
          <w:color w:val="auto"/>
          <w:szCs w:val="20"/>
        </w:rPr>
        <w:t xml:space="preserve">IEEE Transactions on GeoScience and Remote Sensing, </w:t>
      </w:r>
      <w:r w:rsidR="00D74B08" w:rsidRPr="00C7014F">
        <w:rPr>
          <w:bCs/>
          <w:color w:val="auto"/>
          <w:szCs w:val="20"/>
        </w:rPr>
        <w:t xml:space="preserve">2019, </w:t>
      </w:r>
      <w:r w:rsidR="00D74B08" w:rsidRPr="00C7014F">
        <w:rPr>
          <w:b w:val="0"/>
          <w:i/>
          <w:iCs/>
          <w:color w:val="auto"/>
          <w:szCs w:val="20"/>
        </w:rPr>
        <w:t xml:space="preserve">57 (9), </w:t>
      </w:r>
      <w:r w:rsidR="00D74B08" w:rsidRPr="00C7014F">
        <w:rPr>
          <w:b w:val="0"/>
          <w:color w:val="auto"/>
          <w:szCs w:val="20"/>
        </w:rPr>
        <w:t>6355-6371.</w:t>
      </w:r>
    </w:p>
    <w:p w14:paraId="1E0AA2E5" w14:textId="64DC1868" w:rsidR="00505989" w:rsidRPr="00C7014F" w:rsidRDefault="00505989"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Xiong, X.; Geng, X.; Angal, A.; Sun, J.; Barnes, W. </w:t>
      </w:r>
      <w:r w:rsidR="002266B9" w:rsidRPr="00C7014F">
        <w:rPr>
          <w:b w:val="0"/>
          <w:color w:val="auto"/>
          <w:szCs w:val="20"/>
        </w:rPr>
        <w:t xml:space="preserve">Using the Moon to track MODIS reflective solar bands calibration stability. </w:t>
      </w:r>
      <w:r w:rsidR="002266B9" w:rsidRPr="00C7014F">
        <w:rPr>
          <w:b w:val="0"/>
          <w:i/>
          <w:iCs/>
          <w:color w:val="auto"/>
          <w:szCs w:val="20"/>
        </w:rPr>
        <w:t xml:space="preserve">Sensors, Systems, and Next-Generation Satellites XV, </w:t>
      </w:r>
      <w:r w:rsidR="002266B9" w:rsidRPr="00C7014F">
        <w:rPr>
          <w:bCs/>
          <w:color w:val="auto"/>
          <w:szCs w:val="20"/>
        </w:rPr>
        <w:t>2011</w:t>
      </w:r>
      <w:r w:rsidR="00C71F0D" w:rsidRPr="00C7014F">
        <w:rPr>
          <w:bCs/>
          <w:color w:val="auto"/>
          <w:szCs w:val="20"/>
        </w:rPr>
        <w:t>,</w:t>
      </w:r>
      <w:r w:rsidR="002266B9" w:rsidRPr="00C7014F">
        <w:rPr>
          <w:bCs/>
          <w:color w:val="auto"/>
          <w:szCs w:val="20"/>
        </w:rPr>
        <w:t xml:space="preserve"> </w:t>
      </w:r>
      <w:r w:rsidR="002266B9" w:rsidRPr="00C7014F">
        <w:rPr>
          <w:b w:val="0"/>
          <w:i/>
          <w:iCs/>
          <w:color w:val="auto"/>
          <w:szCs w:val="20"/>
        </w:rPr>
        <w:t xml:space="preserve">8176, </w:t>
      </w:r>
      <w:r w:rsidR="002266B9" w:rsidRPr="00C7014F">
        <w:rPr>
          <w:b w:val="0"/>
          <w:color w:val="auto"/>
          <w:szCs w:val="20"/>
        </w:rPr>
        <w:t>817611</w:t>
      </w:r>
      <w:r w:rsidR="002266B9" w:rsidRPr="00C7014F">
        <w:rPr>
          <w:b w:val="0"/>
          <w:i/>
          <w:iCs/>
          <w:color w:val="auto"/>
          <w:szCs w:val="20"/>
        </w:rPr>
        <w:t>.</w:t>
      </w:r>
    </w:p>
    <w:p w14:paraId="6DA42784" w14:textId="19D48441" w:rsidR="002C62CF" w:rsidRPr="00C7014F" w:rsidRDefault="002C62CF"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Wilson, T.; Xiong, X. Subsample difference correction for Terra MODIS SWIR bands 5-7 using lunar observations. </w:t>
      </w:r>
      <w:r w:rsidRPr="00C7014F">
        <w:rPr>
          <w:b w:val="0"/>
          <w:i/>
          <w:iCs/>
          <w:color w:val="auto"/>
          <w:szCs w:val="20"/>
        </w:rPr>
        <w:t>Sensors, Systems, and Next-Generation Satellites X</w:t>
      </w:r>
      <w:r w:rsidR="00BE2397" w:rsidRPr="00C7014F">
        <w:rPr>
          <w:b w:val="0"/>
          <w:i/>
          <w:iCs/>
          <w:color w:val="auto"/>
          <w:szCs w:val="20"/>
        </w:rPr>
        <w:t>XII</w:t>
      </w:r>
      <w:r w:rsidRPr="00C7014F">
        <w:rPr>
          <w:b w:val="0"/>
          <w:i/>
          <w:iCs/>
          <w:color w:val="auto"/>
          <w:szCs w:val="20"/>
        </w:rPr>
        <w:t xml:space="preserve">, </w:t>
      </w:r>
      <w:r w:rsidRPr="00C7014F">
        <w:rPr>
          <w:bCs/>
          <w:color w:val="auto"/>
          <w:szCs w:val="20"/>
        </w:rPr>
        <w:t>201</w:t>
      </w:r>
      <w:r w:rsidR="00BE2397" w:rsidRPr="00C7014F">
        <w:rPr>
          <w:bCs/>
          <w:color w:val="auto"/>
          <w:szCs w:val="20"/>
        </w:rPr>
        <w:t>8</w:t>
      </w:r>
      <w:r w:rsidR="00C71F0D" w:rsidRPr="00C7014F">
        <w:rPr>
          <w:bCs/>
          <w:color w:val="auto"/>
          <w:szCs w:val="20"/>
        </w:rPr>
        <w:t>,</w:t>
      </w:r>
      <w:r w:rsidRPr="00C7014F">
        <w:rPr>
          <w:bCs/>
          <w:color w:val="auto"/>
          <w:szCs w:val="20"/>
        </w:rPr>
        <w:t xml:space="preserve"> </w:t>
      </w:r>
      <w:r w:rsidR="00BE2397" w:rsidRPr="00C7014F">
        <w:rPr>
          <w:b w:val="0"/>
          <w:i/>
          <w:iCs/>
          <w:color w:val="auto"/>
          <w:szCs w:val="20"/>
        </w:rPr>
        <w:t>10785</w:t>
      </w:r>
      <w:r w:rsidRPr="00C7014F">
        <w:rPr>
          <w:b w:val="0"/>
          <w:i/>
          <w:iCs/>
          <w:color w:val="auto"/>
          <w:szCs w:val="20"/>
        </w:rPr>
        <w:t xml:space="preserve">, </w:t>
      </w:r>
      <w:r w:rsidR="00BE2397" w:rsidRPr="00C7014F">
        <w:rPr>
          <w:b w:val="0"/>
          <w:color w:val="auto"/>
          <w:szCs w:val="20"/>
        </w:rPr>
        <w:t>107851B</w:t>
      </w:r>
      <w:r w:rsidRPr="00C7014F">
        <w:rPr>
          <w:b w:val="0"/>
          <w:i/>
          <w:iCs/>
          <w:color w:val="auto"/>
          <w:szCs w:val="20"/>
        </w:rPr>
        <w:t>.</w:t>
      </w:r>
    </w:p>
    <w:p w14:paraId="39434467" w14:textId="453A54F7" w:rsidR="009F0034" w:rsidRPr="00C7014F" w:rsidRDefault="00C71F0D"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Sun, J.; Xiong, X.; Angal, A.; Chen, H.; Wu, A.; Geng, X. Time-Dependent Response Versus Scan Angle for MODIS Reflective Solar Bands. </w:t>
      </w:r>
      <w:r w:rsidRPr="00C7014F">
        <w:rPr>
          <w:b w:val="0"/>
          <w:i/>
          <w:iCs/>
          <w:color w:val="auto"/>
          <w:szCs w:val="20"/>
        </w:rPr>
        <w:t xml:space="preserve">IEEE Transactions on Geoscience and Remote Sensing, </w:t>
      </w:r>
      <w:r w:rsidRPr="00C7014F">
        <w:rPr>
          <w:bCs/>
          <w:color w:val="auto"/>
          <w:szCs w:val="20"/>
        </w:rPr>
        <w:t xml:space="preserve">2013, </w:t>
      </w:r>
      <w:r w:rsidRPr="00C7014F">
        <w:rPr>
          <w:b w:val="0"/>
          <w:i/>
          <w:iCs/>
          <w:color w:val="auto"/>
          <w:szCs w:val="20"/>
        </w:rPr>
        <w:t xml:space="preserve">52(6), </w:t>
      </w:r>
      <w:r w:rsidRPr="00C7014F">
        <w:rPr>
          <w:b w:val="0"/>
          <w:color w:val="auto"/>
          <w:szCs w:val="20"/>
        </w:rPr>
        <w:t xml:space="preserve">3159-3174. </w:t>
      </w:r>
      <w:r w:rsidRPr="00C7014F">
        <w:rPr>
          <w:b w:val="0"/>
          <w:i/>
          <w:iCs/>
          <w:color w:val="auto"/>
          <w:szCs w:val="20"/>
        </w:rPr>
        <w:t xml:space="preserve"> </w:t>
      </w:r>
      <w:r w:rsidRPr="00C7014F">
        <w:rPr>
          <w:bCs/>
          <w:color w:val="auto"/>
          <w:szCs w:val="20"/>
        </w:rPr>
        <w:t xml:space="preserve"> </w:t>
      </w:r>
    </w:p>
    <w:p w14:paraId="69DA561A" w14:textId="10EDD949" w:rsidR="00F73E78" w:rsidRPr="00C7014F" w:rsidRDefault="00F73E78"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Moyer, D.; De Luccia F.; Haas, E. JPSS-1 VIIRS reflective solar band on-orbit calibration performance impacts due to SWIR nonlinearity artifacts. </w:t>
      </w:r>
      <w:r w:rsidRPr="00C7014F">
        <w:rPr>
          <w:b w:val="0"/>
          <w:i/>
          <w:iCs/>
          <w:color w:val="auto"/>
          <w:szCs w:val="20"/>
        </w:rPr>
        <w:t xml:space="preserve">Sensors, Systems, and Next-Generation Satellites XX, </w:t>
      </w:r>
      <w:r w:rsidRPr="00C7014F">
        <w:rPr>
          <w:bCs/>
          <w:color w:val="auto"/>
          <w:szCs w:val="20"/>
        </w:rPr>
        <w:t xml:space="preserve">2016, </w:t>
      </w:r>
      <w:r w:rsidRPr="00C7014F">
        <w:rPr>
          <w:b w:val="0"/>
          <w:i/>
          <w:iCs/>
          <w:color w:val="auto"/>
          <w:szCs w:val="20"/>
        </w:rPr>
        <w:t>10000</w:t>
      </w:r>
      <w:r w:rsidRPr="00C7014F">
        <w:rPr>
          <w:b w:val="0"/>
          <w:color w:val="auto"/>
          <w:szCs w:val="20"/>
        </w:rPr>
        <w:t>, 1000014</w:t>
      </w:r>
      <w:r w:rsidRPr="00C7014F">
        <w:rPr>
          <w:b w:val="0"/>
          <w:i/>
          <w:iCs/>
          <w:color w:val="auto"/>
          <w:szCs w:val="20"/>
        </w:rPr>
        <w:t>.</w:t>
      </w:r>
    </w:p>
    <w:p w14:paraId="5ED19BF5" w14:textId="297C8FCE" w:rsidR="0049339B" w:rsidRPr="00C7014F" w:rsidRDefault="0049339B" w:rsidP="0049339B">
      <w:pPr>
        <w:pStyle w:val="MDPI21heading1"/>
        <w:numPr>
          <w:ilvl w:val="0"/>
          <w:numId w:val="1"/>
        </w:numPr>
        <w:spacing w:line="240" w:lineRule="auto"/>
        <w:ind w:left="360"/>
        <w:jc w:val="both"/>
        <w:rPr>
          <w:b w:val="0"/>
          <w:color w:val="auto"/>
          <w:szCs w:val="20"/>
        </w:rPr>
      </w:pPr>
      <w:r w:rsidRPr="00C7014F">
        <w:rPr>
          <w:b w:val="0"/>
          <w:color w:val="auto"/>
          <w:szCs w:val="20"/>
        </w:rPr>
        <w:t xml:space="preserve">Lei, N.; Xiong, X.; Guenther, B. Modeling the Detector Radiometric Gains of the Suomi NPP VIIRS Reflective Solar Bands. </w:t>
      </w:r>
      <w:r w:rsidRPr="00C7014F">
        <w:rPr>
          <w:b w:val="0"/>
          <w:i/>
          <w:iCs/>
          <w:color w:val="auto"/>
          <w:szCs w:val="20"/>
        </w:rPr>
        <w:t xml:space="preserve">IEEE Transactions on Geoscience and Remote Sensing, </w:t>
      </w:r>
      <w:r w:rsidRPr="00C7014F">
        <w:rPr>
          <w:bCs/>
          <w:color w:val="auto"/>
          <w:szCs w:val="20"/>
        </w:rPr>
        <w:t>201</w:t>
      </w:r>
      <w:r w:rsidR="008953C4" w:rsidRPr="00C7014F">
        <w:rPr>
          <w:bCs/>
          <w:color w:val="auto"/>
          <w:szCs w:val="20"/>
        </w:rPr>
        <w:t>5</w:t>
      </w:r>
      <w:r w:rsidRPr="00C7014F">
        <w:rPr>
          <w:bCs/>
          <w:color w:val="auto"/>
          <w:szCs w:val="20"/>
        </w:rPr>
        <w:t xml:space="preserve">, </w:t>
      </w:r>
      <w:r w:rsidRPr="00C7014F">
        <w:rPr>
          <w:b w:val="0"/>
          <w:i/>
          <w:iCs/>
          <w:color w:val="auto"/>
          <w:szCs w:val="20"/>
        </w:rPr>
        <w:t>5</w:t>
      </w:r>
      <w:r w:rsidR="008953C4" w:rsidRPr="00C7014F">
        <w:rPr>
          <w:b w:val="0"/>
          <w:i/>
          <w:iCs/>
          <w:color w:val="auto"/>
          <w:szCs w:val="20"/>
        </w:rPr>
        <w:t>3</w:t>
      </w:r>
      <w:r w:rsidRPr="00C7014F">
        <w:rPr>
          <w:b w:val="0"/>
          <w:i/>
          <w:iCs/>
          <w:color w:val="auto"/>
          <w:szCs w:val="20"/>
        </w:rPr>
        <w:t>(</w:t>
      </w:r>
      <w:r w:rsidR="008953C4" w:rsidRPr="00C7014F">
        <w:rPr>
          <w:b w:val="0"/>
          <w:i/>
          <w:iCs/>
          <w:color w:val="auto"/>
          <w:szCs w:val="20"/>
        </w:rPr>
        <w:t>3</w:t>
      </w:r>
      <w:r w:rsidRPr="00C7014F">
        <w:rPr>
          <w:b w:val="0"/>
          <w:i/>
          <w:iCs/>
          <w:color w:val="auto"/>
          <w:szCs w:val="20"/>
        </w:rPr>
        <w:t xml:space="preserve">), </w:t>
      </w:r>
      <w:r w:rsidR="008953C4" w:rsidRPr="00C7014F">
        <w:rPr>
          <w:b w:val="0"/>
          <w:color w:val="auto"/>
          <w:szCs w:val="20"/>
        </w:rPr>
        <w:t>1565-1573</w:t>
      </w:r>
      <w:r w:rsidRPr="00C7014F">
        <w:rPr>
          <w:b w:val="0"/>
          <w:color w:val="auto"/>
          <w:szCs w:val="20"/>
        </w:rPr>
        <w:t xml:space="preserve">. </w:t>
      </w:r>
      <w:r w:rsidRPr="00C7014F">
        <w:rPr>
          <w:b w:val="0"/>
          <w:i/>
          <w:iCs/>
          <w:color w:val="auto"/>
          <w:szCs w:val="20"/>
        </w:rPr>
        <w:t xml:space="preserve"> </w:t>
      </w:r>
      <w:r w:rsidRPr="00C7014F">
        <w:rPr>
          <w:bCs/>
          <w:color w:val="auto"/>
          <w:szCs w:val="20"/>
        </w:rPr>
        <w:t xml:space="preserve"> </w:t>
      </w:r>
    </w:p>
    <w:p w14:paraId="0FB56DD6" w14:textId="07CF2AA9" w:rsidR="0049339B" w:rsidRPr="00C7014F" w:rsidRDefault="002F4E43"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Uprety, S.; Cao, C.; Blonski, S.; Shao, X. Evaluating NOAA-20 and S-NPP VIIRS radiometric consistency. </w:t>
      </w:r>
      <w:r w:rsidRPr="00C7014F">
        <w:rPr>
          <w:b w:val="0"/>
          <w:i/>
          <w:iCs/>
          <w:color w:val="auto"/>
          <w:szCs w:val="20"/>
        </w:rPr>
        <w:t xml:space="preserve">Earth Observing Missions and Sensors: Development, Implementation, and Characterization V, </w:t>
      </w:r>
      <w:r w:rsidRPr="00C7014F">
        <w:rPr>
          <w:bCs/>
          <w:color w:val="auto"/>
          <w:szCs w:val="20"/>
        </w:rPr>
        <w:t xml:space="preserve">2018, </w:t>
      </w:r>
      <w:r w:rsidRPr="00C7014F">
        <w:rPr>
          <w:b w:val="0"/>
          <w:i/>
          <w:iCs/>
          <w:color w:val="auto"/>
          <w:szCs w:val="20"/>
        </w:rPr>
        <w:t xml:space="preserve">10781, </w:t>
      </w:r>
      <w:r w:rsidRPr="00C7014F">
        <w:rPr>
          <w:b w:val="0"/>
          <w:color w:val="auto"/>
          <w:szCs w:val="20"/>
        </w:rPr>
        <w:t xml:space="preserve">107810V. </w:t>
      </w:r>
    </w:p>
    <w:p w14:paraId="31A44AAB" w14:textId="4478394C" w:rsidR="00D46536" w:rsidRPr="00C7014F" w:rsidRDefault="00D46536"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Xiong, X.; Cao, C.; Chander, G. An overview of sensor calibration inter-comparison and applications. </w:t>
      </w:r>
      <w:r w:rsidRPr="00C7014F">
        <w:rPr>
          <w:b w:val="0"/>
          <w:i/>
          <w:iCs/>
          <w:color w:val="auto"/>
          <w:szCs w:val="20"/>
        </w:rPr>
        <w:t xml:space="preserve">Frontiers of Earth Science in China, </w:t>
      </w:r>
      <w:r w:rsidRPr="00C7014F">
        <w:rPr>
          <w:bCs/>
          <w:color w:val="auto"/>
          <w:szCs w:val="20"/>
        </w:rPr>
        <w:t xml:space="preserve">2010, </w:t>
      </w:r>
      <w:r w:rsidRPr="00C7014F">
        <w:rPr>
          <w:b w:val="0"/>
          <w:i/>
          <w:iCs/>
          <w:color w:val="auto"/>
          <w:szCs w:val="20"/>
        </w:rPr>
        <w:t xml:space="preserve">4, </w:t>
      </w:r>
      <w:r w:rsidRPr="00C7014F">
        <w:rPr>
          <w:b w:val="0"/>
          <w:color w:val="auto"/>
          <w:szCs w:val="20"/>
        </w:rPr>
        <w:t xml:space="preserve">237-252. </w:t>
      </w:r>
    </w:p>
    <w:p w14:paraId="533AE0FD" w14:textId="72CDD8B4" w:rsidR="009E21AE" w:rsidRPr="00C7014F" w:rsidRDefault="004E60D9"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Moeller, C.; McIntire, J.; Schwarting, T.; Moyer, D. VIIRS F1 “best” relative spectral response characterization by the government team. </w:t>
      </w:r>
      <w:r w:rsidRPr="00C7014F">
        <w:rPr>
          <w:b w:val="0"/>
          <w:i/>
          <w:iCs/>
          <w:color w:val="auto"/>
          <w:szCs w:val="20"/>
        </w:rPr>
        <w:t xml:space="preserve">Earth Observing Systems XVI, </w:t>
      </w:r>
      <w:r w:rsidRPr="00C7014F">
        <w:rPr>
          <w:bCs/>
          <w:color w:val="auto"/>
          <w:szCs w:val="20"/>
        </w:rPr>
        <w:t xml:space="preserve">2011, </w:t>
      </w:r>
      <w:r w:rsidRPr="00C7014F">
        <w:rPr>
          <w:b w:val="0"/>
          <w:i/>
          <w:iCs/>
          <w:color w:val="auto"/>
          <w:szCs w:val="20"/>
        </w:rPr>
        <w:t xml:space="preserve">8153, </w:t>
      </w:r>
      <w:r w:rsidRPr="00C7014F">
        <w:rPr>
          <w:b w:val="0"/>
          <w:color w:val="auto"/>
          <w:szCs w:val="20"/>
        </w:rPr>
        <w:t xml:space="preserve">81530K. </w:t>
      </w:r>
    </w:p>
    <w:p w14:paraId="5DFF54AB" w14:textId="51E48FE3" w:rsidR="00890675" w:rsidRPr="00C7014F" w:rsidRDefault="00890675"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Moeller, C.; Schwarting, T.; McIntire, J.; Moyer, D.; Zeng, J.; JPSS-1 VIIRS version 2 at-launch relative spectral response characterization and performance. </w:t>
      </w:r>
      <w:r w:rsidRPr="00C7014F">
        <w:rPr>
          <w:b w:val="0"/>
          <w:i/>
          <w:iCs/>
          <w:color w:val="auto"/>
          <w:szCs w:val="20"/>
        </w:rPr>
        <w:t xml:space="preserve">Earth Observing Systems XXI, </w:t>
      </w:r>
      <w:r w:rsidRPr="00C7014F">
        <w:rPr>
          <w:bCs/>
          <w:color w:val="auto"/>
          <w:szCs w:val="20"/>
        </w:rPr>
        <w:t xml:space="preserve">2016, </w:t>
      </w:r>
      <w:r w:rsidRPr="00C7014F">
        <w:rPr>
          <w:b w:val="0"/>
          <w:i/>
          <w:iCs/>
          <w:color w:val="auto"/>
          <w:szCs w:val="20"/>
        </w:rPr>
        <w:t xml:space="preserve">9972, </w:t>
      </w:r>
      <w:r w:rsidRPr="00C7014F">
        <w:rPr>
          <w:b w:val="0"/>
          <w:color w:val="auto"/>
          <w:szCs w:val="20"/>
        </w:rPr>
        <w:t xml:space="preserve">997203. </w:t>
      </w:r>
    </w:p>
    <w:p w14:paraId="4870D413" w14:textId="4169E74D" w:rsidR="00464716" w:rsidRPr="00C7014F" w:rsidRDefault="00F16C98"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Coddington, O.; Richard, E.; Harver, D. et.al. The TSIS-1 Hybrid Solar Reference Spectrum. </w:t>
      </w:r>
      <w:r w:rsidRPr="00C7014F">
        <w:rPr>
          <w:b w:val="0"/>
          <w:i/>
          <w:iCs/>
          <w:color w:val="auto"/>
          <w:szCs w:val="20"/>
        </w:rPr>
        <w:t xml:space="preserve">Geophysical Research Letters, </w:t>
      </w:r>
      <w:r w:rsidRPr="00C7014F">
        <w:rPr>
          <w:bCs/>
          <w:color w:val="auto"/>
          <w:szCs w:val="20"/>
        </w:rPr>
        <w:t xml:space="preserve">2021, </w:t>
      </w:r>
      <w:r w:rsidRPr="00C7014F">
        <w:rPr>
          <w:b w:val="0"/>
          <w:i/>
          <w:iCs/>
          <w:color w:val="auto"/>
          <w:szCs w:val="20"/>
        </w:rPr>
        <w:t xml:space="preserve">48(12), </w:t>
      </w:r>
      <w:r w:rsidRPr="00C7014F">
        <w:rPr>
          <w:b w:val="0"/>
          <w:color w:val="auto"/>
          <w:szCs w:val="20"/>
        </w:rPr>
        <w:t>e2020GL091709</w:t>
      </w:r>
      <w:r w:rsidR="00906E1F" w:rsidRPr="00C7014F">
        <w:rPr>
          <w:b w:val="0"/>
          <w:i/>
          <w:iCs/>
          <w:color w:val="auto"/>
          <w:szCs w:val="20"/>
        </w:rPr>
        <w:t>.</w:t>
      </w:r>
    </w:p>
    <w:p w14:paraId="16DB44ED" w14:textId="3A3EB92D" w:rsidR="009E10BF" w:rsidRPr="00C7014F" w:rsidRDefault="009E10BF"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Sun, J.; Xiong, X. Improved Lunar Irradiance Model Using Multiyear MODIS Lunar Observations. </w:t>
      </w:r>
      <w:r w:rsidRPr="00C7014F">
        <w:rPr>
          <w:b w:val="0"/>
          <w:i/>
          <w:iCs/>
          <w:color w:val="auto"/>
          <w:szCs w:val="20"/>
        </w:rPr>
        <w:t xml:space="preserve">IEEE Transactions on Geoscience and Remote Sensing, </w:t>
      </w:r>
      <w:r w:rsidRPr="00C7014F">
        <w:rPr>
          <w:bCs/>
          <w:color w:val="auto"/>
          <w:szCs w:val="20"/>
        </w:rPr>
        <w:t>20</w:t>
      </w:r>
      <w:r w:rsidR="00F4494B" w:rsidRPr="00C7014F">
        <w:rPr>
          <w:bCs/>
          <w:color w:val="auto"/>
          <w:szCs w:val="20"/>
        </w:rPr>
        <w:t>21</w:t>
      </w:r>
      <w:r w:rsidRPr="00C7014F">
        <w:rPr>
          <w:bCs/>
          <w:color w:val="auto"/>
          <w:szCs w:val="20"/>
        </w:rPr>
        <w:t xml:space="preserve">, </w:t>
      </w:r>
      <w:r w:rsidRPr="00C7014F">
        <w:rPr>
          <w:b w:val="0"/>
          <w:i/>
          <w:iCs/>
          <w:color w:val="auto"/>
          <w:szCs w:val="20"/>
        </w:rPr>
        <w:t>5</w:t>
      </w:r>
      <w:r w:rsidR="00F4494B" w:rsidRPr="00C7014F">
        <w:rPr>
          <w:b w:val="0"/>
          <w:i/>
          <w:iCs/>
          <w:color w:val="auto"/>
          <w:szCs w:val="20"/>
        </w:rPr>
        <w:t>9</w:t>
      </w:r>
      <w:r w:rsidRPr="00C7014F">
        <w:rPr>
          <w:b w:val="0"/>
          <w:i/>
          <w:iCs/>
          <w:color w:val="auto"/>
          <w:szCs w:val="20"/>
        </w:rPr>
        <w:t>(</w:t>
      </w:r>
      <w:r w:rsidR="00F4494B" w:rsidRPr="00C7014F">
        <w:rPr>
          <w:b w:val="0"/>
          <w:i/>
          <w:iCs/>
          <w:color w:val="auto"/>
          <w:szCs w:val="20"/>
        </w:rPr>
        <w:t>6</w:t>
      </w:r>
      <w:r w:rsidRPr="00C7014F">
        <w:rPr>
          <w:b w:val="0"/>
          <w:i/>
          <w:iCs/>
          <w:color w:val="auto"/>
          <w:szCs w:val="20"/>
        </w:rPr>
        <w:t xml:space="preserve">), </w:t>
      </w:r>
      <w:r w:rsidR="00F4494B" w:rsidRPr="00C7014F">
        <w:rPr>
          <w:b w:val="0"/>
          <w:color w:val="auto"/>
          <w:szCs w:val="20"/>
        </w:rPr>
        <w:t>5154-5170</w:t>
      </w:r>
      <w:r w:rsidRPr="00C7014F">
        <w:rPr>
          <w:b w:val="0"/>
          <w:color w:val="auto"/>
          <w:szCs w:val="20"/>
        </w:rPr>
        <w:t xml:space="preserve">. </w:t>
      </w:r>
      <w:r w:rsidRPr="00C7014F">
        <w:rPr>
          <w:b w:val="0"/>
          <w:i/>
          <w:iCs/>
          <w:color w:val="auto"/>
          <w:szCs w:val="20"/>
        </w:rPr>
        <w:t xml:space="preserve"> </w:t>
      </w:r>
      <w:r w:rsidRPr="00C7014F">
        <w:rPr>
          <w:bCs/>
          <w:color w:val="auto"/>
          <w:szCs w:val="20"/>
        </w:rPr>
        <w:t xml:space="preserve"> </w:t>
      </w:r>
    </w:p>
    <w:p w14:paraId="492A63ED" w14:textId="45069ED4" w:rsidR="00573876" w:rsidRPr="00C7014F" w:rsidRDefault="00573876" w:rsidP="00573876">
      <w:pPr>
        <w:pStyle w:val="MDPI21heading1"/>
        <w:numPr>
          <w:ilvl w:val="0"/>
          <w:numId w:val="1"/>
        </w:numPr>
        <w:spacing w:line="240" w:lineRule="auto"/>
        <w:ind w:left="360"/>
        <w:jc w:val="both"/>
        <w:rPr>
          <w:b w:val="0"/>
          <w:color w:val="auto"/>
          <w:szCs w:val="20"/>
        </w:rPr>
      </w:pPr>
      <w:r w:rsidRPr="00C7014F">
        <w:rPr>
          <w:b w:val="0"/>
          <w:color w:val="auto"/>
          <w:szCs w:val="20"/>
        </w:rPr>
        <w:t xml:space="preserve">Stone, T. Acquisition of Moon Measurements by Earth Orbiting Sensors for Lunar Calibration. </w:t>
      </w:r>
      <w:r w:rsidRPr="00C7014F">
        <w:rPr>
          <w:b w:val="0"/>
          <w:i/>
          <w:iCs/>
          <w:color w:val="auto"/>
          <w:szCs w:val="20"/>
        </w:rPr>
        <w:t xml:space="preserve">IEEE Transactions on Geoscience and Remote Sensing, </w:t>
      </w:r>
      <w:r w:rsidRPr="00C7014F">
        <w:rPr>
          <w:bCs/>
          <w:color w:val="auto"/>
          <w:szCs w:val="20"/>
        </w:rPr>
        <w:t>202</w:t>
      </w:r>
      <w:r w:rsidR="00AE3C84" w:rsidRPr="00C7014F">
        <w:rPr>
          <w:bCs/>
          <w:color w:val="auto"/>
          <w:szCs w:val="20"/>
        </w:rPr>
        <w:t>2</w:t>
      </w:r>
      <w:r w:rsidRPr="00C7014F">
        <w:rPr>
          <w:bCs/>
          <w:color w:val="auto"/>
          <w:szCs w:val="20"/>
        </w:rPr>
        <w:t xml:space="preserve">, </w:t>
      </w:r>
      <w:r w:rsidR="00A4405F" w:rsidRPr="00C7014F">
        <w:rPr>
          <w:b w:val="0"/>
          <w:i/>
          <w:iCs/>
          <w:color w:val="auto"/>
          <w:szCs w:val="20"/>
        </w:rPr>
        <w:t>60</w:t>
      </w:r>
      <w:r w:rsidRPr="00C7014F">
        <w:rPr>
          <w:b w:val="0"/>
          <w:i/>
          <w:iCs/>
          <w:color w:val="auto"/>
          <w:szCs w:val="20"/>
        </w:rPr>
        <w:t>,</w:t>
      </w:r>
      <w:r w:rsidR="00A4405F" w:rsidRPr="00C7014F">
        <w:rPr>
          <w:b w:val="0"/>
          <w:color w:val="auto"/>
          <w:szCs w:val="20"/>
        </w:rPr>
        <w:t>1001706</w:t>
      </w:r>
      <w:r w:rsidRPr="00C7014F">
        <w:rPr>
          <w:b w:val="0"/>
          <w:color w:val="auto"/>
          <w:szCs w:val="20"/>
        </w:rPr>
        <w:t xml:space="preserve">. </w:t>
      </w:r>
      <w:r w:rsidRPr="00C7014F">
        <w:rPr>
          <w:b w:val="0"/>
          <w:i/>
          <w:iCs/>
          <w:color w:val="auto"/>
          <w:szCs w:val="20"/>
        </w:rPr>
        <w:t xml:space="preserve"> </w:t>
      </w:r>
      <w:r w:rsidRPr="00C7014F">
        <w:rPr>
          <w:bCs/>
          <w:color w:val="auto"/>
          <w:szCs w:val="20"/>
        </w:rPr>
        <w:t xml:space="preserve"> </w:t>
      </w:r>
    </w:p>
    <w:p w14:paraId="1352B776" w14:textId="7F2CA60F" w:rsidR="00573876" w:rsidRPr="00C7014F" w:rsidRDefault="009D45C0" w:rsidP="00EC0932">
      <w:pPr>
        <w:pStyle w:val="MDPI21heading1"/>
        <w:numPr>
          <w:ilvl w:val="0"/>
          <w:numId w:val="1"/>
        </w:numPr>
        <w:spacing w:line="240" w:lineRule="auto"/>
        <w:ind w:left="360"/>
        <w:jc w:val="both"/>
        <w:rPr>
          <w:b w:val="0"/>
          <w:color w:val="auto"/>
          <w:szCs w:val="20"/>
        </w:rPr>
      </w:pPr>
      <w:r w:rsidRPr="00C7014F">
        <w:rPr>
          <w:b w:val="0"/>
          <w:color w:val="auto"/>
          <w:szCs w:val="20"/>
        </w:rPr>
        <w:lastRenderedPageBreak/>
        <w:t xml:space="preserve">Moyer, D.; Uprety, S.; Wang, W.; Cao, C.; Guch, I. S-NPP/NOAA-20 VIIRS reflective solar bands on-orbit calibration bias investigation. </w:t>
      </w:r>
      <w:r w:rsidRPr="00C7014F">
        <w:rPr>
          <w:b w:val="0"/>
          <w:i/>
          <w:iCs/>
          <w:color w:val="auto"/>
          <w:szCs w:val="20"/>
        </w:rPr>
        <w:t xml:space="preserve">Earth Observing Systems XXVI, </w:t>
      </w:r>
      <w:r w:rsidRPr="00C7014F">
        <w:rPr>
          <w:bCs/>
          <w:color w:val="auto"/>
          <w:szCs w:val="20"/>
        </w:rPr>
        <w:t xml:space="preserve">2021, </w:t>
      </w:r>
      <w:r w:rsidRPr="00C7014F">
        <w:rPr>
          <w:b w:val="0"/>
          <w:i/>
          <w:iCs/>
          <w:color w:val="auto"/>
          <w:szCs w:val="20"/>
        </w:rPr>
        <w:t xml:space="preserve">11829, </w:t>
      </w:r>
      <w:r w:rsidRPr="00C7014F">
        <w:rPr>
          <w:b w:val="0"/>
          <w:color w:val="auto"/>
          <w:szCs w:val="20"/>
        </w:rPr>
        <w:t>1182912</w:t>
      </w:r>
      <w:r w:rsidRPr="00C7014F">
        <w:rPr>
          <w:b w:val="0"/>
          <w:i/>
          <w:iCs/>
          <w:color w:val="auto"/>
          <w:szCs w:val="20"/>
        </w:rPr>
        <w:t xml:space="preserve">. </w:t>
      </w:r>
    </w:p>
    <w:p w14:paraId="6EEB8B07" w14:textId="64A9DEB2" w:rsidR="00F2190D" w:rsidRPr="00C7014F" w:rsidRDefault="00F2190D"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Xiong, X.; Angal, A.; Barnes, W. et.al. Updates of Moderate Resolution Imaging Spectroradiometer on-orbit calibration uncertainty assessments. </w:t>
      </w:r>
      <w:r w:rsidRPr="00C7014F">
        <w:rPr>
          <w:b w:val="0"/>
          <w:i/>
          <w:iCs/>
          <w:color w:val="auto"/>
          <w:szCs w:val="20"/>
        </w:rPr>
        <w:t xml:space="preserve">Journal of Applied Remote Sensing, </w:t>
      </w:r>
      <w:r w:rsidRPr="00C7014F">
        <w:rPr>
          <w:bCs/>
          <w:color w:val="auto"/>
          <w:szCs w:val="20"/>
        </w:rPr>
        <w:t xml:space="preserve">2018, </w:t>
      </w:r>
      <w:r w:rsidRPr="00C7014F">
        <w:rPr>
          <w:b w:val="0"/>
          <w:i/>
          <w:iCs/>
          <w:color w:val="auto"/>
          <w:szCs w:val="20"/>
        </w:rPr>
        <w:t xml:space="preserve">12(3),034001. </w:t>
      </w:r>
    </w:p>
    <w:p w14:paraId="63D150EB" w14:textId="6B1FDA68" w:rsidR="00D9006C" w:rsidRPr="00C7014F" w:rsidRDefault="00D9006C"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Lei, N.; Twedt, K.; McIntire, J.; Xiong, X. SNPP VIIRS RSB earth view reflectance uncertainty. </w:t>
      </w:r>
      <w:r w:rsidRPr="00C7014F">
        <w:rPr>
          <w:b w:val="0"/>
          <w:i/>
          <w:iCs/>
          <w:color w:val="auto"/>
          <w:szCs w:val="20"/>
        </w:rPr>
        <w:t xml:space="preserve">IEEE IGARSS, </w:t>
      </w:r>
      <w:r w:rsidRPr="00C7014F">
        <w:rPr>
          <w:bCs/>
          <w:color w:val="auto"/>
          <w:szCs w:val="20"/>
        </w:rPr>
        <w:t xml:space="preserve">2017, </w:t>
      </w:r>
      <w:r w:rsidRPr="00C7014F">
        <w:rPr>
          <w:b w:val="0"/>
          <w:color w:val="auto"/>
          <w:szCs w:val="20"/>
        </w:rPr>
        <w:t>5916-5919.</w:t>
      </w:r>
    </w:p>
    <w:p w14:paraId="400ABB19" w14:textId="43A6207B" w:rsidR="005F38AC" w:rsidRPr="00C7014F" w:rsidRDefault="005F38AC" w:rsidP="00EC0932">
      <w:pPr>
        <w:pStyle w:val="MDPI21heading1"/>
        <w:numPr>
          <w:ilvl w:val="0"/>
          <w:numId w:val="1"/>
        </w:numPr>
        <w:spacing w:line="240" w:lineRule="auto"/>
        <w:ind w:left="360"/>
        <w:jc w:val="both"/>
        <w:rPr>
          <w:b w:val="0"/>
          <w:color w:val="auto"/>
          <w:szCs w:val="20"/>
        </w:rPr>
      </w:pPr>
      <w:r w:rsidRPr="00C7014F">
        <w:rPr>
          <w:b w:val="0"/>
          <w:color w:val="auto"/>
          <w:szCs w:val="20"/>
        </w:rPr>
        <w:t xml:space="preserve">Wu, A.; Mu, Q.; Angal, A.; Xiong, X. Assessment of MODIS and VIIRS calibration consistency for reflective solar bands calibration using vicarious approaches. </w:t>
      </w:r>
      <w:r w:rsidRPr="00C7014F">
        <w:rPr>
          <w:b w:val="0"/>
          <w:i/>
          <w:iCs/>
          <w:color w:val="auto"/>
          <w:szCs w:val="20"/>
        </w:rPr>
        <w:t xml:space="preserve">Sensors, Systems, and Next-Generation Satellites, XXIV, 11530, </w:t>
      </w:r>
      <w:r w:rsidRPr="00C7014F">
        <w:rPr>
          <w:b w:val="0"/>
          <w:color w:val="auto"/>
          <w:szCs w:val="20"/>
        </w:rPr>
        <w:t>1153018</w:t>
      </w:r>
      <w:r w:rsidRPr="00C7014F">
        <w:rPr>
          <w:b w:val="0"/>
          <w:i/>
          <w:iCs/>
          <w:color w:val="auto"/>
          <w:szCs w:val="20"/>
        </w:rPr>
        <w:t xml:space="preserve">. </w:t>
      </w:r>
    </w:p>
    <w:p w14:paraId="5738D963" w14:textId="32EFF80A" w:rsidR="00EA0E51" w:rsidRPr="00C7014F" w:rsidRDefault="00EA0E51" w:rsidP="00EC0932">
      <w:pPr>
        <w:pStyle w:val="MDPI21heading1"/>
        <w:numPr>
          <w:ilvl w:val="0"/>
          <w:numId w:val="1"/>
        </w:numPr>
        <w:spacing w:line="240" w:lineRule="auto"/>
        <w:ind w:left="360"/>
        <w:jc w:val="both"/>
        <w:rPr>
          <w:b w:val="0"/>
          <w:color w:val="auto"/>
          <w:szCs w:val="20"/>
        </w:rPr>
      </w:pPr>
      <w:r w:rsidRPr="00C7014F">
        <w:rPr>
          <w:b w:val="0"/>
          <w:color w:val="auto"/>
          <w:szCs w:val="20"/>
        </w:rPr>
        <w:t>Uprety, S.</w:t>
      </w:r>
      <w:r w:rsidR="0045506B" w:rsidRPr="00C7014F">
        <w:rPr>
          <w:b w:val="0"/>
          <w:color w:val="auto"/>
          <w:szCs w:val="20"/>
        </w:rPr>
        <w:t>;</w:t>
      </w:r>
      <w:r w:rsidRPr="00C7014F">
        <w:rPr>
          <w:b w:val="0"/>
          <w:color w:val="auto"/>
          <w:szCs w:val="20"/>
        </w:rPr>
        <w:t xml:space="preserve"> Cao,</w:t>
      </w:r>
      <w:r w:rsidR="0045506B" w:rsidRPr="00C7014F">
        <w:rPr>
          <w:b w:val="0"/>
          <w:color w:val="auto"/>
          <w:szCs w:val="20"/>
        </w:rPr>
        <w:t xml:space="preserve"> C.;</w:t>
      </w:r>
      <w:r w:rsidRPr="00C7014F">
        <w:rPr>
          <w:b w:val="0"/>
          <w:color w:val="auto"/>
          <w:szCs w:val="20"/>
        </w:rPr>
        <w:t xml:space="preserve"> Shao</w:t>
      </w:r>
      <w:r w:rsidR="0045506B" w:rsidRPr="00C7014F">
        <w:rPr>
          <w:b w:val="0"/>
          <w:color w:val="auto"/>
          <w:szCs w:val="20"/>
        </w:rPr>
        <w:t xml:space="preserve">, X. </w:t>
      </w:r>
      <w:r w:rsidRPr="00C7014F">
        <w:rPr>
          <w:b w:val="0"/>
          <w:color w:val="auto"/>
          <w:szCs w:val="20"/>
        </w:rPr>
        <w:t>Radiometric consistency between GOES-16 ABI and VIIRS on Suomi NPP and NOAA-20</w:t>
      </w:r>
      <w:r w:rsidR="0045506B" w:rsidRPr="00C7014F">
        <w:rPr>
          <w:b w:val="0"/>
          <w:color w:val="auto"/>
          <w:szCs w:val="20"/>
        </w:rPr>
        <w:t xml:space="preserve">. </w:t>
      </w:r>
      <w:r w:rsidRPr="00C7014F">
        <w:rPr>
          <w:b w:val="0"/>
          <w:color w:val="auto"/>
          <w:szCs w:val="20"/>
        </w:rPr>
        <w:t xml:space="preserve">Journal of Applied Remote Sensing, </w:t>
      </w:r>
      <w:r w:rsidRPr="00C7014F">
        <w:rPr>
          <w:bCs/>
          <w:color w:val="auto"/>
          <w:szCs w:val="20"/>
        </w:rPr>
        <w:t>2020</w:t>
      </w:r>
      <w:r w:rsidRPr="00C7014F">
        <w:rPr>
          <w:b w:val="0"/>
          <w:color w:val="auto"/>
          <w:szCs w:val="20"/>
        </w:rPr>
        <w:t xml:space="preserve">, </w:t>
      </w:r>
      <w:r w:rsidRPr="00C7014F">
        <w:rPr>
          <w:b w:val="0"/>
          <w:i/>
          <w:iCs/>
          <w:color w:val="auto"/>
          <w:szCs w:val="20"/>
        </w:rPr>
        <w:t>14(3)</w:t>
      </w:r>
      <w:r w:rsidRPr="00C7014F">
        <w:rPr>
          <w:b w:val="0"/>
          <w:color w:val="auto"/>
          <w:szCs w:val="20"/>
        </w:rPr>
        <w:t>, 032407</w:t>
      </w:r>
      <w:r w:rsidR="0045506B" w:rsidRPr="00C7014F">
        <w:rPr>
          <w:b w:val="0"/>
          <w:color w:val="auto"/>
          <w:szCs w:val="20"/>
        </w:rPr>
        <w:t>.</w:t>
      </w:r>
    </w:p>
    <w:p w14:paraId="3B0B6A21" w14:textId="7F5377E8" w:rsidR="002E040E" w:rsidRPr="00C7014F" w:rsidRDefault="002E040E" w:rsidP="00D8652F">
      <w:pPr>
        <w:pStyle w:val="MDPI21heading1"/>
        <w:numPr>
          <w:ilvl w:val="0"/>
          <w:numId w:val="1"/>
        </w:numPr>
        <w:spacing w:line="240" w:lineRule="auto"/>
        <w:ind w:left="360"/>
        <w:jc w:val="both"/>
        <w:rPr>
          <w:b w:val="0"/>
          <w:color w:val="auto"/>
          <w:szCs w:val="20"/>
        </w:rPr>
      </w:pPr>
      <w:r w:rsidRPr="00C7014F">
        <w:rPr>
          <w:b w:val="0"/>
          <w:color w:val="auto"/>
          <w:szCs w:val="20"/>
        </w:rPr>
        <w:t>Wang, W</w:t>
      </w:r>
      <w:r w:rsidRPr="00C7014F">
        <w:rPr>
          <w:color w:val="auto"/>
          <w:szCs w:val="20"/>
        </w:rPr>
        <w:t>;</w:t>
      </w:r>
      <w:r w:rsidRPr="00C7014F">
        <w:rPr>
          <w:b w:val="0"/>
          <w:color w:val="auto"/>
          <w:szCs w:val="20"/>
        </w:rPr>
        <w:t xml:space="preserve"> Cao,</w:t>
      </w:r>
      <w:r w:rsidRPr="00C7014F">
        <w:rPr>
          <w:color w:val="auto"/>
          <w:szCs w:val="20"/>
        </w:rPr>
        <w:t xml:space="preserve"> C. </w:t>
      </w:r>
      <w:r w:rsidRPr="00C7014F">
        <w:rPr>
          <w:b w:val="0"/>
          <w:color w:val="auto"/>
          <w:szCs w:val="20"/>
        </w:rPr>
        <w:t>Evaluation of NOAA-20 VIIRS Reflective Solar Bands Early On-Orbit Performance Using Daily Deep Convective Clouds Recent Improvements</w:t>
      </w:r>
      <w:r w:rsidR="009426C1" w:rsidRPr="00C7014F">
        <w:rPr>
          <w:color w:val="auto"/>
          <w:szCs w:val="20"/>
        </w:rPr>
        <w:t>.</w:t>
      </w:r>
      <w:r w:rsidRPr="00C7014F">
        <w:rPr>
          <w:b w:val="0"/>
          <w:color w:val="auto"/>
          <w:szCs w:val="20"/>
        </w:rPr>
        <w:t xml:space="preserve"> </w:t>
      </w:r>
      <w:r w:rsidRPr="00C7014F">
        <w:rPr>
          <w:b w:val="0"/>
          <w:i/>
          <w:iCs/>
          <w:color w:val="auto"/>
          <w:szCs w:val="20"/>
        </w:rPr>
        <w:t>IEEE Journal of Selected Topics in Applied Earth Observations and Remote Sensing</w:t>
      </w:r>
      <w:r w:rsidRPr="00C7014F">
        <w:rPr>
          <w:b w:val="0"/>
          <w:color w:val="auto"/>
          <w:szCs w:val="20"/>
        </w:rPr>
        <w:t xml:space="preserve">, </w:t>
      </w:r>
      <w:r w:rsidRPr="00C7014F">
        <w:rPr>
          <w:bCs/>
          <w:color w:val="auto"/>
          <w:szCs w:val="20"/>
        </w:rPr>
        <w:t>2020</w:t>
      </w:r>
      <w:r w:rsidRPr="00C7014F">
        <w:rPr>
          <w:b w:val="0"/>
          <w:color w:val="auto"/>
          <w:szCs w:val="20"/>
        </w:rPr>
        <w:t xml:space="preserve">, </w:t>
      </w:r>
      <w:r w:rsidRPr="00C7014F">
        <w:rPr>
          <w:b w:val="0"/>
          <w:i/>
          <w:iCs/>
          <w:color w:val="auto"/>
          <w:szCs w:val="20"/>
        </w:rPr>
        <w:t>13</w:t>
      </w:r>
      <w:r w:rsidRPr="00C7014F">
        <w:rPr>
          <w:b w:val="0"/>
          <w:color w:val="auto"/>
          <w:szCs w:val="20"/>
        </w:rPr>
        <w:t>, 3975-3985</w:t>
      </w:r>
    </w:p>
    <w:sectPr w:rsidR="002E040E" w:rsidRPr="00C7014F" w:rsidSect="00E43CFA">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02297"/>
    <w:multiLevelType w:val="hybridMultilevel"/>
    <w:tmpl w:val="E64C9A38"/>
    <w:lvl w:ilvl="0" w:tplc="125813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A73C5C"/>
    <w:multiLevelType w:val="hybridMultilevel"/>
    <w:tmpl w:val="BD060048"/>
    <w:lvl w:ilvl="0" w:tplc="F4E239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1751A"/>
    <w:multiLevelType w:val="hybridMultilevel"/>
    <w:tmpl w:val="6F186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262FD2"/>
    <w:multiLevelType w:val="multilevel"/>
    <w:tmpl w:val="A3E03F3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41D70C38"/>
    <w:multiLevelType w:val="multilevel"/>
    <w:tmpl w:val="0978863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3206422"/>
    <w:multiLevelType w:val="multilevel"/>
    <w:tmpl w:val="8FB4856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5AF52B0E"/>
    <w:multiLevelType w:val="hybridMultilevel"/>
    <w:tmpl w:val="CC1A8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4837157">
    <w:abstractNumId w:val="0"/>
  </w:num>
  <w:num w:numId="2" w16cid:durableId="2061897645">
    <w:abstractNumId w:val="6"/>
  </w:num>
  <w:num w:numId="3" w16cid:durableId="2010214237">
    <w:abstractNumId w:val="2"/>
  </w:num>
  <w:num w:numId="4" w16cid:durableId="2136949077">
    <w:abstractNumId w:val="5"/>
  </w:num>
  <w:num w:numId="5" w16cid:durableId="1045250272">
    <w:abstractNumId w:val="3"/>
  </w:num>
  <w:num w:numId="6" w16cid:durableId="526677262">
    <w:abstractNumId w:val="4"/>
  </w:num>
  <w:num w:numId="7" w16cid:durableId="1882285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C2F"/>
    <w:rsid w:val="00004364"/>
    <w:rsid w:val="00006B20"/>
    <w:rsid w:val="00010134"/>
    <w:rsid w:val="0001096A"/>
    <w:rsid w:val="00011E96"/>
    <w:rsid w:val="00016A3A"/>
    <w:rsid w:val="00020A11"/>
    <w:rsid w:val="00021440"/>
    <w:rsid w:val="00025B03"/>
    <w:rsid w:val="00027DB6"/>
    <w:rsid w:val="000300BD"/>
    <w:rsid w:val="00031B8C"/>
    <w:rsid w:val="000348F9"/>
    <w:rsid w:val="00036C87"/>
    <w:rsid w:val="00037515"/>
    <w:rsid w:val="000377A1"/>
    <w:rsid w:val="00040D41"/>
    <w:rsid w:val="000411AB"/>
    <w:rsid w:val="000415C5"/>
    <w:rsid w:val="0004206D"/>
    <w:rsid w:val="00042BEB"/>
    <w:rsid w:val="000432F9"/>
    <w:rsid w:val="00044E70"/>
    <w:rsid w:val="0004545E"/>
    <w:rsid w:val="00046E94"/>
    <w:rsid w:val="00052226"/>
    <w:rsid w:val="000538EC"/>
    <w:rsid w:val="00054C32"/>
    <w:rsid w:val="000562D6"/>
    <w:rsid w:val="00057BCA"/>
    <w:rsid w:val="0006493B"/>
    <w:rsid w:val="000674B9"/>
    <w:rsid w:val="00070FFA"/>
    <w:rsid w:val="000717FF"/>
    <w:rsid w:val="000731C5"/>
    <w:rsid w:val="00073B8C"/>
    <w:rsid w:val="000753ED"/>
    <w:rsid w:val="00082936"/>
    <w:rsid w:val="0008309A"/>
    <w:rsid w:val="000849D7"/>
    <w:rsid w:val="00086ECA"/>
    <w:rsid w:val="00093F5B"/>
    <w:rsid w:val="00097376"/>
    <w:rsid w:val="000A04F4"/>
    <w:rsid w:val="000A5015"/>
    <w:rsid w:val="000B38B5"/>
    <w:rsid w:val="000B4D60"/>
    <w:rsid w:val="000C0C10"/>
    <w:rsid w:val="000C141F"/>
    <w:rsid w:val="000C1EC5"/>
    <w:rsid w:val="000C6347"/>
    <w:rsid w:val="000C6374"/>
    <w:rsid w:val="000D2FB2"/>
    <w:rsid w:val="000D72A2"/>
    <w:rsid w:val="000E07DB"/>
    <w:rsid w:val="000E0ADB"/>
    <w:rsid w:val="000E1B37"/>
    <w:rsid w:val="000E1E29"/>
    <w:rsid w:val="000E5897"/>
    <w:rsid w:val="000F4098"/>
    <w:rsid w:val="00100B22"/>
    <w:rsid w:val="0011402F"/>
    <w:rsid w:val="00116B70"/>
    <w:rsid w:val="00117B8A"/>
    <w:rsid w:val="00121973"/>
    <w:rsid w:val="00122677"/>
    <w:rsid w:val="001239F8"/>
    <w:rsid w:val="00127BE5"/>
    <w:rsid w:val="001319F2"/>
    <w:rsid w:val="00131E32"/>
    <w:rsid w:val="00134004"/>
    <w:rsid w:val="001345A6"/>
    <w:rsid w:val="00134DED"/>
    <w:rsid w:val="00137B22"/>
    <w:rsid w:val="00140D7A"/>
    <w:rsid w:val="001451E4"/>
    <w:rsid w:val="001456B3"/>
    <w:rsid w:val="001460EB"/>
    <w:rsid w:val="001462A9"/>
    <w:rsid w:val="00152E6D"/>
    <w:rsid w:val="00157D35"/>
    <w:rsid w:val="00157DF6"/>
    <w:rsid w:val="00160026"/>
    <w:rsid w:val="00161455"/>
    <w:rsid w:val="00161EB6"/>
    <w:rsid w:val="00166293"/>
    <w:rsid w:val="001724EE"/>
    <w:rsid w:val="00173BD8"/>
    <w:rsid w:val="00180153"/>
    <w:rsid w:val="00181600"/>
    <w:rsid w:val="00183465"/>
    <w:rsid w:val="00183C28"/>
    <w:rsid w:val="00183CF7"/>
    <w:rsid w:val="00193E74"/>
    <w:rsid w:val="00193ECD"/>
    <w:rsid w:val="00197445"/>
    <w:rsid w:val="00197EDC"/>
    <w:rsid w:val="001A26A1"/>
    <w:rsid w:val="001A2AAE"/>
    <w:rsid w:val="001A2B60"/>
    <w:rsid w:val="001B1360"/>
    <w:rsid w:val="001B5CE1"/>
    <w:rsid w:val="001C597E"/>
    <w:rsid w:val="001C66D4"/>
    <w:rsid w:val="001C72D9"/>
    <w:rsid w:val="001D076D"/>
    <w:rsid w:val="001D2F78"/>
    <w:rsid w:val="001D4525"/>
    <w:rsid w:val="001D5D19"/>
    <w:rsid w:val="001D6F7A"/>
    <w:rsid w:val="001E0CE6"/>
    <w:rsid w:val="001E0CFB"/>
    <w:rsid w:val="001E1627"/>
    <w:rsid w:val="001E3610"/>
    <w:rsid w:val="001E4B89"/>
    <w:rsid w:val="001E51F7"/>
    <w:rsid w:val="001E633F"/>
    <w:rsid w:val="001E701D"/>
    <w:rsid w:val="001F6E99"/>
    <w:rsid w:val="001F7D5F"/>
    <w:rsid w:val="0020035E"/>
    <w:rsid w:val="002017BB"/>
    <w:rsid w:val="00203C8D"/>
    <w:rsid w:val="0020505B"/>
    <w:rsid w:val="00206E22"/>
    <w:rsid w:val="002144C9"/>
    <w:rsid w:val="00220E69"/>
    <w:rsid w:val="00225610"/>
    <w:rsid w:val="002266B9"/>
    <w:rsid w:val="00227E38"/>
    <w:rsid w:val="00230D53"/>
    <w:rsid w:val="00232B30"/>
    <w:rsid w:val="00233DEF"/>
    <w:rsid w:val="0023455F"/>
    <w:rsid w:val="002414C9"/>
    <w:rsid w:val="002508A4"/>
    <w:rsid w:val="002549A1"/>
    <w:rsid w:val="002573C0"/>
    <w:rsid w:val="00260EFD"/>
    <w:rsid w:val="00261706"/>
    <w:rsid w:val="0026340F"/>
    <w:rsid w:val="0026707E"/>
    <w:rsid w:val="00274A1D"/>
    <w:rsid w:val="00275532"/>
    <w:rsid w:val="00275F6A"/>
    <w:rsid w:val="00277FC1"/>
    <w:rsid w:val="00284B7E"/>
    <w:rsid w:val="00285C3E"/>
    <w:rsid w:val="00285E9B"/>
    <w:rsid w:val="00291B73"/>
    <w:rsid w:val="0029448F"/>
    <w:rsid w:val="002960A5"/>
    <w:rsid w:val="00297492"/>
    <w:rsid w:val="00297750"/>
    <w:rsid w:val="002A3CFC"/>
    <w:rsid w:val="002A764F"/>
    <w:rsid w:val="002A7E43"/>
    <w:rsid w:val="002B1934"/>
    <w:rsid w:val="002B2937"/>
    <w:rsid w:val="002B5562"/>
    <w:rsid w:val="002B7A54"/>
    <w:rsid w:val="002B7EC3"/>
    <w:rsid w:val="002C0174"/>
    <w:rsid w:val="002C198C"/>
    <w:rsid w:val="002C1BA1"/>
    <w:rsid w:val="002C3AAF"/>
    <w:rsid w:val="002C3B9B"/>
    <w:rsid w:val="002C3F73"/>
    <w:rsid w:val="002C62CF"/>
    <w:rsid w:val="002D0B1A"/>
    <w:rsid w:val="002D516B"/>
    <w:rsid w:val="002D5437"/>
    <w:rsid w:val="002D79AC"/>
    <w:rsid w:val="002E0161"/>
    <w:rsid w:val="002E040E"/>
    <w:rsid w:val="002E2061"/>
    <w:rsid w:val="002E38E8"/>
    <w:rsid w:val="002E56E1"/>
    <w:rsid w:val="002F2006"/>
    <w:rsid w:val="002F3BD8"/>
    <w:rsid w:val="002F3D3A"/>
    <w:rsid w:val="002F426E"/>
    <w:rsid w:val="002F4365"/>
    <w:rsid w:val="002F4E43"/>
    <w:rsid w:val="003003CD"/>
    <w:rsid w:val="00300FB5"/>
    <w:rsid w:val="003027AB"/>
    <w:rsid w:val="0030291C"/>
    <w:rsid w:val="003036D8"/>
    <w:rsid w:val="00304E1F"/>
    <w:rsid w:val="003112D8"/>
    <w:rsid w:val="0031727F"/>
    <w:rsid w:val="00322A48"/>
    <w:rsid w:val="00322DF3"/>
    <w:rsid w:val="003234CE"/>
    <w:rsid w:val="00324A0C"/>
    <w:rsid w:val="003269E0"/>
    <w:rsid w:val="0032789F"/>
    <w:rsid w:val="00337D92"/>
    <w:rsid w:val="00341358"/>
    <w:rsid w:val="0034199C"/>
    <w:rsid w:val="00343CD6"/>
    <w:rsid w:val="0034411D"/>
    <w:rsid w:val="00347CA6"/>
    <w:rsid w:val="0035036B"/>
    <w:rsid w:val="00351CBB"/>
    <w:rsid w:val="00353E2C"/>
    <w:rsid w:val="003549E3"/>
    <w:rsid w:val="00354B09"/>
    <w:rsid w:val="00357252"/>
    <w:rsid w:val="00357C3A"/>
    <w:rsid w:val="0036286E"/>
    <w:rsid w:val="003673E3"/>
    <w:rsid w:val="00374A9F"/>
    <w:rsid w:val="0037562B"/>
    <w:rsid w:val="00377EA6"/>
    <w:rsid w:val="003818BE"/>
    <w:rsid w:val="0038228F"/>
    <w:rsid w:val="003827E3"/>
    <w:rsid w:val="00385B48"/>
    <w:rsid w:val="003903A7"/>
    <w:rsid w:val="003936D3"/>
    <w:rsid w:val="00394A39"/>
    <w:rsid w:val="003A0BEC"/>
    <w:rsid w:val="003A2AFD"/>
    <w:rsid w:val="003A3566"/>
    <w:rsid w:val="003A374A"/>
    <w:rsid w:val="003A4889"/>
    <w:rsid w:val="003A604D"/>
    <w:rsid w:val="003B3165"/>
    <w:rsid w:val="003B3355"/>
    <w:rsid w:val="003B35DA"/>
    <w:rsid w:val="003B5D15"/>
    <w:rsid w:val="003B685B"/>
    <w:rsid w:val="003B7772"/>
    <w:rsid w:val="003C02B8"/>
    <w:rsid w:val="003C1E40"/>
    <w:rsid w:val="003C7236"/>
    <w:rsid w:val="003D1066"/>
    <w:rsid w:val="003D1CE0"/>
    <w:rsid w:val="003D3AB7"/>
    <w:rsid w:val="003D48EC"/>
    <w:rsid w:val="003E0E7D"/>
    <w:rsid w:val="003E4242"/>
    <w:rsid w:val="003F4521"/>
    <w:rsid w:val="003F7588"/>
    <w:rsid w:val="004001EC"/>
    <w:rsid w:val="00400540"/>
    <w:rsid w:val="0040280C"/>
    <w:rsid w:val="004044D3"/>
    <w:rsid w:val="0040534C"/>
    <w:rsid w:val="004053BE"/>
    <w:rsid w:val="00417A48"/>
    <w:rsid w:val="00417FC6"/>
    <w:rsid w:val="004231CA"/>
    <w:rsid w:val="0042391B"/>
    <w:rsid w:val="004263BF"/>
    <w:rsid w:val="00427419"/>
    <w:rsid w:val="00431E0D"/>
    <w:rsid w:val="00432D4B"/>
    <w:rsid w:val="0045506B"/>
    <w:rsid w:val="00456D19"/>
    <w:rsid w:val="00460ACA"/>
    <w:rsid w:val="00461404"/>
    <w:rsid w:val="00464716"/>
    <w:rsid w:val="004675B9"/>
    <w:rsid w:val="00473633"/>
    <w:rsid w:val="00474BED"/>
    <w:rsid w:val="00476809"/>
    <w:rsid w:val="0048007F"/>
    <w:rsid w:val="004849A4"/>
    <w:rsid w:val="00492368"/>
    <w:rsid w:val="0049339B"/>
    <w:rsid w:val="00494CD7"/>
    <w:rsid w:val="004954CE"/>
    <w:rsid w:val="004972D7"/>
    <w:rsid w:val="004A060A"/>
    <w:rsid w:val="004A2E39"/>
    <w:rsid w:val="004A3A06"/>
    <w:rsid w:val="004B07B5"/>
    <w:rsid w:val="004B248A"/>
    <w:rsid w:val="004B4EC2"/>
    <w:rsid w:val="004B7E25"/>
    <w:rsid w:val="004C0295"/>
    <w:rsid w:val="004C05ED"/>
    <w:rsid w:val="004C68AA"/>
    <w:rsid w:val="004C793F"/>
    <w:rsid w:val="004D0840"/>
    <w:rsid w:val="004D1443"/>
    <w:rsid w:val="004D14A2"/>
    <w:rsid w:val="004D5D59"/>
    <w:rsid w:val="004D60B4"/>
    <w:rsid w:val="004D642F"/>
    <w:rsid w:val="004D6959"/>
    <w:rsid w:val="004D7D43"/>
    <w:rsid w:val="004E06FD"/>
    <w:rsid w:val="004E09FB"/>
    <w:rsid w:val="004E0EA9"/>
    <w:rsid w:val="004E291B"/>
    <w:rsid w:val="004E56E3"/>
    <w:rsid w:val="004E60D9"/>
    <w:rsid w:val="004E62A4"/>
    <w:rsid w:val="004F4450"/>
    <w:rsid w:val="004F69B7"/>
    <w:rsid w:val="004F69CE"/>
    <w:rsid w:val="00500356"/>
    <w:rsid w:val="00505989"/>
    <w:rsid w:val="00514067"/>
    <w:rsid w:val="00514CBE"/>
    <w:rsid w:val="00514CF3"/>
    <w:rsid w:val="00526C0B"/>
    <w:rsid w:val="00527B03"/>
    <w:rsid w:val="005301E7"/>
    <w:rsid w:val="00537B59"/>
    <w:rsid w:val="00540F82"/>
    <w:rsid w:val="00544F6C"/>
    <w:rsid w:val="00550D9B"/>
    <w:rsid w:val="00551884"/>
    <w:rsid w:val="00554259"/>
    <w:rsid w:val="005578DC"/>
    <w:rsid w:val="00560C3A"/>
    <w:rsid w:val="00566A18"/>
    <w:rsid w:val="00566EF7"/>
    <w:rsid w:val="005706B0"/>
    <w:rsid w:val="00573876"/>
    <w:rsid w:val="00575D72"/>
    <w:rsid w:val="005825AA"/>
    <w:rsid w:val="00585200"/>
    <w:rsid w:val="00587EB4"/>
    <w:rsid w:val="00590A93"/>
    <w:rsid w:val="00591404"/>
    <w:rsid w:val="005960C1"/>
    <w:rsid w:val="005A2759"/>
    <w:rsid w:val="005A4135"/>
    <w:rsid w:val="005B4DBA"/>
    <w:rsid w:val="005B6588"/>
    <w:rsid w:val="005C234F"/>
    <w:rsid w:val="005C32B7"/>
    <w:rsid w:val="005C36AB"/>
    <w:rsid w:val="005C79E6"/>
    <w:rsid w:val="005C7D01"/>
    <w:rsid w:val="005D2AAF"/>
    <w:rsid w:val="005D3602"/>
    <w:rsid w:val="005D64C2"/>
    <w:rsid w:val="005D6601"/>
    <w:rsid w:val="005E1473"/>
    <w:rsid w:val="005E2E77"/>
    <w:rsid w:val="005E4BBB"/>
    <w:rsid w:val="005E7413"/>
    <w:rsid w:val="005F38AC"/>
    <w:rsid w:val="005F394B"/>
    <w:rsid w:val="005F3B92"/>
    <w:rsid w:val="005F563A"/>
    <w:rsid w:val="005F691D"/>
    <w:rsid w:val="005F7747"/>
    <w:rsid w:val="005F7F57"/>
    <w:rsid w:val="005F7F9F"/>
    <w:rsid w:val="00600EF9"/>
    <w:rsid w:val="00601057"/>
    <w:rsid w:val="0060327E"/>
    <w:rsid w:val="006035F4"/>
    <w:rsid w:val="0060543C"/>
    <w:rsid w:val="006060C9"/>
    <w:rsid w:val="006072BC"/>
    <w:rsid w:val="00611EBE"/>
    <w:rsid w:val="0061573C"/>
    <w:rsid w:val="00615A71"/>
    <w:rsid w:val="0061674E"/>
    <w:rsid w:val="00622009"/>
    <w:rsid w:val="00622A17"/>
    <w:rsid w:val="006234E7"/>
    <w:rsid w:val="006249E9"/>
    <w:rsid w:val="00626663"/>
    <w:rsid w:val="0064109F"/>
    <w:rsid w:val="00645225"/>
    <w:rsid w:val="00645A39"/>
    <w:rsid w:val="006460A0"/>
    <w:rsid w:val="006515FB"/>
    <w:rsid w:val="0065622D"/>
    <w:rsid w:val="0066551C"/>
    <w:rsid w:val="00670190"/>
    <w:rsid w:val="0067093B"/>
    <w:rsid w:val="006751A0"/>
    <w:rsid w:val="00690F52"/>
    <w:rsid w:val="006957F8"/>
    <w:rsid w:val="006A0A07"/>
    <w:rsid w:val="006A37EC"/>
    <w:rsid w:val="006A5F1D"/>
    <w:rsid w:val="006A732F"/>
    <w:rsid w:val="006B0403"/>
    <w:rsid w:val="006B083E"/>
    <w:rsid w:val="006B0E2E"/>
    <w:rsid w:val="006B101A"/>
    <w:rsid w:val="006B2D73"/>
    <w:rsid w:val="006B32C3"/>
    <w:rsid w:val="006B373A"/>
    <w:rsid w:val="006B756E"/>
    <w:rsid w:val="006C01C8"/>
    <w:rsid w:val="006C0968"/>
    <w:rsid w:val="006C7902"/>
    <w:rsid w:val="006D0ECF"/>
    <w:rsid w:val="006D4CEF"/>
    <w:rsid w:val="006D77E4"/>
    <w:rsid w:val="006E3294"/>
    <w:rsid w:val="006E5679"/>
    <w:rsid w:val="006F04C1"/>
    <w:rsid w:val="006F3306"/>
    <w:rsid w:val="006F3DD6"/>
    <w:rsid w:val="006F5B64"/>
    <w:rsid w:val="00700D38"/>
    <w:rsid w:val="00701C69"/>
    <w:rsid w:val="007034C2"/>
    <w:rsid w:val="0070782E"/>
    <w:rsid w:val="0071391E"/>
    <w:rsid w:val="00713AFD"/>
    <w:rsid w:val="00713BD1"/>
    <w:rsid w:val="0071739D"/>
    <w:rsid w:val="00720846"/>
    <w:rsid w:val="00722763"/>
    <w:rsid w:val="00724965"/>
    <w:rsid w:val="00725074"/>
    <w:rsid w:val="00726B6E"/>
    <w:rsid w:val="00727493"/>
    <w:rsid w:val="0073494E"/>
    <w:rsid w:val="00735847"/>
    <w:rsid w:val="00736131"/>
    <w:rsid w:val="00736A16"/>
    <w:rsid w:val="00736C54"/>
    <w:rsid w:val="00737340"/>
    <w:rsid w:val="0074190C"/>
    <w:rsid w:val="00741B95"/>
    <w:rsid w:val="00741D2B"/>
    <w:rsid w:val="007434F0"/>
    <w:rsid w:val="00744CEF"/>
    <w:rsid w:val="00746574"/>
    <w:rsid w:val="00750100"/>
    <w:rsid w:val="00750A69"/>
    <w:rsid w:val="0075145F"/>
    <w:rsid w:val="00752598"/>
    <w:rsid w:val="00752BBF"/>
    <w:rsid w:val="00754A88"/>
    <w:rsid w:val="00755BD6"/>
    <w:rsid w:val="0075626E"/>
    <w:rsid w:val="007653AD"/>
    <w:rsid w:val="007669BE"/>
    <w:rsid w:val="00767D4D"/>
    <w:rsid w:val="007712D5"/>
    <w:rsid w:val="00774404"/>
    <w:rsid w:val="007744C0"/>
    <w:rsid w:val="00777502"/>
    <w:rsid w:val="0078188D"/>
    <w:rsid w:val="007870AD"/>
    <w:rsid w:val="00790A71"/>
    <w:rsid w:val="007913B8"/>
    <w:rsid w:val="00791467"/>
    <w:rsid w:val="00794891"/>
    <w:rsid w:val="00794C58"/>
    <w:rsid w:val="00795CFE"/>
    <w:rsid w:val="0079709B"/>
    <w:rsid w:val="007A6674"/>
    <w:rsid w:val="007A7D55"/>
    <w:rsid w:val="007B168D"/>
    <w:rsid w:val="007B78A9"/>
    <w:rsid w:val="007C217E"/>
    <w:rsid w:val="007C2F4B"/>
    <w:rsid w:val="007C69B4"/>
    <w:rsid w:val="007C7620"/>
    <w:rsid w:val="007C799D"/>
    <w:rsid w:val="007D0E2E"/>
    <w:rsid w:val="007D1D35"/>
    <w:rsid w:val="007D34FC"/>
    <w:rsid w:val="007D59E9"/>
    <w:rsid w:val="007E3CAC"/>
    <w:rsid w:val="007E3F7C"/>
    <w:rsid w:val="007E45BD"/>
    <w:rsid w:val="007E52C7"/>
    <w:rsid w:val="007F0799"/>
    <w:rsid w:val="007F2478"/>
    <w:rsid w:val="007F2779"/>
    <w:rsid w:val="007F3693"/>
    <w:rsid w:val="007F4DB2"/>
    <w:rsid w:val="007F629A"/>
    <w:rsid w:val="007F6718"/>
    <w:rsid w:val="007F768A"/>
    <w:rsid w:val="00802D0F"/>
    <w:rsid w:val="00806076"/>
    <w:rsid w:val="00806307"/>
    <w:rsid w:val="00807E92"/>
    <w:rsid w:val="0081494C"/>
    <w:rsid w:val="008169A2"/>
    <w:rsid w:val="00816E65"/>
    <w:rsid w:val="00821DE3"/>
    <w:rsid w:val="00824848"/>
    <w:rsid w:val="00827762"/>
    <w:rsid w:val="00827907"/>
    <w:rsid w:val="008303B6"/>
    <w:rsid w:val="008413BA"/>
    <w:rsid w:val="0084155B"/>
    <w:rsid w:val="00844034"/>
    <w:rsid w:val="00847041"/>
    <w:rsid w:val="00847D6D"/>
    <w:rsid w:val="008528C1"/>
    <w:rsid w:val="0085597D"/>
    <w:rsid w:val="00856A34"/>
    <w:rsid w:val="00856DB7"/>
    <w:rsid w:val="00856DE0"/>
    <w:rsid w:val="008633FE"/>
    <w:rsid w:val="008638C3"/>
    <w:rsid w:val="0086669D"/>
    <w:rsid w:val="00867621"/>
    <w:rsid w:val="00867956"/>
    <w:rsid w:val="00872C06"/>
    <w:rsid w:val="00874A6B"/>
    <w:rsid w:val="00875E50"/>
    <w:rsid w:val="008820A4"/>
    <w:rsid w:val="008852E0"/>
    <w:rsid w:val="00885C96"/>
    <w:rsid w:val="00885FF7"/>
    <w:rsid w:val="00890675"/>
    <w:rsid w:val="008910C9"/>
    <w:rsid w:val="0089306E"/>
    <w:rsid w:val="008953C4"/>
    <w:rsid w:val="008956B0"/>
    <w:rsid w:val="008A09F1"/>
    <w:rsid w:val="008A0F48"/>
    <w:rsid w:val="008A4AF4"/>
    <w:rsid w:val="008A5ED0"/>
    <w:rsid w:val="008B1651"/>
    <w:rsid w:val="008B35D7"/>
    <w:rsid w:val="008B3B25"/>
    <w:rsid w:val="008C071F"/>
    <w:rsid w:val="008C4795"/>
    <w:rsid w:val="008C59DD"/>
    <w:rsid w:val="008C6774"/>
    <w:rsid w:val="008D3349"/>
    <w:rsid w:val="008D4B99"/>
    <w:rsid w:val="008E1B4E"/>
    <w:rsid w:val="008E1D9A"/>
    <w:rsid w:val="008E4B35"/>
    <w:rsid w:val="008E54A8"/>
    <w:rsid w:val="008E59AA"/>
    <w:rsid w:val="008E5DD1"/>
    <w:rsid w:val="008E768B"/>
    <w:rsid w:val="008F0B83"/>
    <w:rsid w:val="008F57B6"/>
    <w:rsid w:val="008F6F3D"/>
    <w:rsid w:val="00906E1F"/>
    <w:rsid w:val="0091026C"/>
    <w:rsid w:val="0091155D"/>
    <w:rsid w:val="00912670"/>
    <w:rsid w:val="00912AEE"/>
    <w:rsid w:val="0091370A"/>
    <w:rsid w:val="00914F93"/>
    <w:rsid w:val="009154CD"/>
    <w:rsid w:val="009165EA"/>
    <w:rsid w:val="00920781"/>
    <w:rsid w:val="0092272D"/>
    <w:rsid w:val="00932A3F"/>
    <w:rsid w:val="00932C35"/>
    <w:rsid w:val="00932EF4"/>
    <w:rsid w:val="00936FDE"/>
    <w:rsid w:val="009410A7"/>
    <w:rsid w:val="009426C1"/>
    <w:rsid w:val="00942CEC"/>
    <w:rsid w:val="0095725C"/>
    <w:rsid w:val="00960F92"/>
    <w:rsid w:val="00961A06"/>
    <w:rsid w:val="00966C2F"/>
    <w:rsid w:val="00970B9F"/>
    <w:rsid w:val="009721E3"/>
    <w:rsid w:val="00973C67"/>
    <w:rsid w:val="00976005"/>
    <w:rsid w:val="00983B14"/>
    <w:rsid w:val="009849B4"/>
    <w:rsid w:val="00987919"/>
    <w:rsid w:val="009950F8"/>
    <w:rsid w:val="009A1157"/>
    <w:rsid w:val="009A205C"/>
    <w:rsid w:val="009B094B"/>
    <w:rsid w:val="009B1A95"/>
    <w:rsid w:val="009B4E5C"/>
    <w:rsid w:val="009C16E8"/>
    <w:rsid w:val="009C6EBD"/>
    <w:rsid w:val="009C7FFC"/>
    <w:rsid w:val="009D1A3D"/>
    <w:rsid w:val="009D45C0"/>
    <w:rsid w:val="009D4DAD"/>
    <w:rsid w:val="009D6369"/>
    <w:rsid w:val="009D6D96"/>
    <w:rsid w:val="009D719B"/>
    <w:rsid w:val="009E10BF"/>
    <w:rsid w:val="009E21AE"/>
    <w:rsid w:val="009E24C8"/>
    <w:rsid w:val="009E40D2"/>
    <w:rsid w:val="009E41EB"/>
    <w:rsid w:val="009E59CE"/>
    <w:rsid w:val="009F0034"/>
    <w:rsid w:val="009F1677"/>
    <w:rsid w:val="009F2432"/>
    <w:rsid w:val="009F5E9F"/>
    <w:rsid w:val="00A00A5A"/>
    <w:rsid w:val="00A03ADD"/>
    <w:rsid w:val="00A0458B"/>
    <w:rsid w:val="00A06FC3"/>
    <w:rsid w:val="00A127F7"/>
    <w:rsid w:val="00A14B59"/>
    <w:rsid w:val="00A16679"/>
    <w:rsid w:val="00A16955"/>
    <w:rsid w:val="00A17356"/>
    <w:rsid w:val="00A2237B"/>
    <w:rsid w:val="00A253AC"/>
    <w:rsid w:val="00A30358"/>
    <w:rsid w:val="00A33AC3"/>
    <w:rsid w:val="00A34C50"/>
    <w:rsid w:val="00A359A2"/>
    <w:rsid w:val="00A36379"/>
    <w:rsid w:val="00A37228"/>
    <w:rsid w:val="00A43038"/>
    <w:rsid w:val="00A4405F"/>
    <w:rsid w:val="00A456BD"/>
    <w:rsid w:val="00A47222"/>
    <w:rsid w:val="00A47EAC"/>
    <w:rsid w:val="00A63CC2"/>
    <w:rsid w:val="00A65F86"/>
    <w:rsid w:val="00A667FB"/>
    <w:rsid w:val="00A66A6E"/>
    <w:rsid w:val="00A73C88"/>
    <w:rsid w:val="00A8124C"/>
    <w:rsid w:val="00A87CB0"/>
    <w:rsid w:val="00A92E42"/>
    <w:rsid w:val="00A97450"/>
    <w:rsid w:val="00AA1933"/>
    <w:rsid w:val="00AA6E34"/>
    <w:rsid w:val="00AB6B0C"/>
    <w:rsid w:val="00AB6E98"/>
    <w:rsid w:val="00AC320A"/>
    <w:rsid w:val="00AC408A"/>
    <w:rsid w:val="00AC4B30"/>
    <w:rsid w:val="00AC50C7"/>
    <w:rsid w:val="00AC5234"/>
    <w:rsid w:val="00AC74C1"/>
    <w:rsid w:val="00AD0DCE"/>
    <w:rsid w:val="00AD376F"/>
    <w:rsid w:val="00AD5195"/>
    <w:rsid w:val="00AD6890"/>
    <w:rsid w:val="00AE3C84"/>
    <w:rsid w:val="00AE4496"/>
    <w:rsid w:val="00AE5320"/>
    <w:rsid w:val="00AE65ED"/>
    <w:rsid w:val="00AF0DA8"/>
    <w:rsid w:val="00AF1F92"/>
    <w:rsid w:val="00AF335F"/>
    <w:rsid w:val="00B0666B"/>
    <w:rsid w:val="00B06CC0"/>
    <w:rsid w:val="00B10C64"/>
    <w:rsid w:val="00B116DD"/>
    <w:rsid w:val="00B11A59"/>
    <w:rsid w:val="00B15B0F"/>
    <w:rsid w:val="00B1727D"/>
    <w:rsid w:val="00B22BC4"/>
    <w:rsid w:val="00B36F23"/>
    <w:rsid w:val="00B37F02"/>
    <w:rsid w:val="00B41D21"/>
    <w:rsid w:val="00B52945"/>
    <w:rsid w:val="00B52AB8"/>
    <w:rsid w:val="00B52DE8"/>
    <w:rsid w:val="00B5444A"/>
    <w:rsid w:val="00B55E89"/>
    <w:rsid w:val="00B60F64"/>
    <w:rsid w:val="00B6426F"/>
    <w:rsid w:val="00B65B59"/>
    <w:rsid w:val="00B674C2"/>
    <w:rsid w:val="00B71FE9"/>
    <w:rsid w:val="00B74395"/>
    <w:rsid w:val="00B75C27"/>
    <w:rsid w:val="00B76065"/>
    <w:rsid w:val="00B80AD8"/>
    <w:rsid w:val="00B810B5"/>
    <w:rsid w:val="00B81757"/>
    <w:rsid w:val="00B836FC"/>
    <w:rsid w:val="00B90FF5"/>
    <w:rsid w:val="00B943E0"/>
    <w:rsid w:val="00B97782"/>
    <w:rsid w:val="00BA3858"/>
    <w:rsid w:val="00BA3A02"/>
    <w:rsid w:val="00BB05F5"/>
    <w:rsid w:val="00BB48BA"/>
    <w:rsid w:val="00BB6B8D"/>
    <w:rsid w:val="00BC0DB1"/>
    <w:rsid w:val="00BC4B0A"/>
    <w:rsid w:val="00BD2012"/>
    <w:rsid w:val="00BD273A"/>
    <w:rsid w:val="00BD5453"/>
    <w:rsid w:val="00BD70D1"/>
    <w:rsid w:val="00BE1280"/>
    <w:rsid w:val="00BE2397"/>
    <w:rsid w:val="00BE3EEB"/>
    <w:rsid w:val="00BF1330"/>
    <w:rsid w:val="00BF2D9F"/>
    <w:rsid w:val="00C04115"/>
    <w:rsid w:val="00C0465B"/>
    <w:rsid w:val="00C06861"/>
    <w:rsid w:val="00C10ECC"/>
    <w:rsid w:val="00C13B2E"/>
    <w:rsid w:val="00C14A22"/>
    <w:rsid w:val="00C15A10"/>
    <w:rsid w:val="00C17774"/>
    <w:rsid w:val="00C20101"/>
    <w:rsid w:val="00C25527"/>
    <w:rsid w:val="00C260B4"/>
    <w:rsid w:val="00C26693"/>
    <w:rsid w:val="00C309AE"/>
    <w:rsid w:val="00C31468"/>
    <w:rsid w:val="00C32D8A"/>
    <w:rsid w:val="00C4072D"/>
    <w:rsid w:val="00C451FD"/>
    <w:rsid w:val="00C47EA7"/>
    <w:rsid w:val="00C508CC"/>
    <w:rsid w:val="00C511FA"/>
    <w:rsid w:val="00C512BD"/>
    <w:rsid w:val="00C6221B"/>
    <w:rsid w:val="00C6437A"/>
    <w:rsid w:val="00C66218"/>
    <w:rsid w:val="00C7014F"/>
    <w:rsid w:val="00C70C9E"/>
    <w:rsid w:val="00C71F0D"/>
    <w:rsid w:val="00C76B3A"/>
    <w:rsid w:val="00C806D2"/>
    <w:rsid w:val="00C81B9D"/>
    <w:rsid w:val="00C81E56"/>
    <w:rsid w:val="00C82C53"/>
    <w:rsid w:val="00C90473"/>
    <w:rsid w:val="00C96367"/>
    <w:rsid w:val="00C96418"/>
    <w:rsid w:val="00C9676A"/>
    <w:rsid w:val="00CA187A"/>
    <w:rsid w:val="00CA3AC6"/>
    <w:rsid w:val="00CA40DC"/>
    <w:rsid w:val="00CA5BB8"/>
    <w:rsid w:val="00CB2B9F"/>
    <w:rsid w:val="00CB3139"/>
    <w:rsid w:val="00CB6740"/>
    <w:rsid w:val="00CC1F41"/>
    <w:rsid w:val="00CC21DF"/>
    <w:rsid w:val="00CC4539"/>
    <w:rsid w:val="00CC57E4"/>
    <w:rsid w:val="00CC7D2F"/>
    <w:rsid w:val="00CD3CA5"/>
    <w:rsid w:val="00CD4BD5"/>
    <w:rsid w:val="00CD4D77"/>
    <w:rsid w:val="00CD577F"/>
    <w:rsid w:val="00CD6D1B"/>
    <w:rsid w:val="00CE7CA9"/>
    <w:rsid w:val="00CF0C2D"/>
    <w:rsid w:val="00CF1F15"/>
    <w:rsid w:val="00CF26C8"/>
    <w:rsid w:val="00CF68CB"/>
    <w:rsid w:val="00D0071B"/>
    <w:rsid w:val="00D04E7C"/>
    <w:rsid w:val="00D06DB0"/>
    <w:rsid w:val="00D203E3"/>
    <w:rsid w:val="00D21F28"/>
    <w:rsid w:val="00D30DBE"/>
    <w:rsid w:val="00D31543"/>
    <w:rsid w:val="00D3466C"/>
    <w:rsid w:val="00D3578A"/>
    <w:rsid w:val="00D400A6"/>
    <w:rsid w:val="00D43128"/>
    <w:rsid w:val="00D45D92"/>
    <w:rsid w:val="00D46536"/>
    <w:rsid w:val="00D47436"/>
    <w:rsid w:val="00D50440"/>
    <w:rsid w:val="00D50C2F"/>
    <w:rsid w:val="00D51C91"/>
    <w:rsid w:val="00D52003"/>
    <w:rsid w:val="00D541FA"/>
    <w:rsid w:val="00D60F86"/>
    <w:rsid w:val="00D642B0"/>
    <w:rsid w:val="00D72768"/>
    <w:rsid w:val="00D7425C"/>
    <w:rsid w:val="00D74B08"/>
    <w:rsid w:val="00D74C1D"/>
    <w:rsid w:val="00D757BA"/>
    <w:rsid w:val="00D76552"/>
    <w:rsid w:val="00D8007E"/>
    <w:rsid w:val="00D810C9"/>
    <w:rsid w:val="00D84579"/>
    <w:rsid w:val="00D8652F"/>
    <w:rsid w:val="00D9006C"/>
    <w:rsid w:val="00D901BF"/>
    <w:rsid w:val="00D914CA"/>
    <w:rsid w:val="00D953D5"/>
    <w:rsid w:val="00D96D5C"/>
    <w:rsid w:val="00DA2185"/>
    <w:rsid w:val="00DA27E2"/>
    <w:rsid w:val="00DA6434"/>
    <w:rsid w:val="00DA7D33"/>
    <w:rsid w:val="00DB2E8B"/>
    <w:rsid w:val="00DB58F7"/>
    <w:rsid w:val="00DC5433"/>
    <w:rsid w:val="00DC61AE"/>
    <w:rsid w:val="00DD0FAC"/>
    <w:rsid w:val="00DD381B"/>
    <w:rsid w:val="00DD47F4"/>
    <w:rsid w:val="00DD6993"/>
    <w:rsid w:val="00DD6C9F"/>
    <w:rsid w:val="00DD7D84"/>
    <w:rsid w:val="00DF49B8"/>
    <w:rsid w:val="00E01548"/>
    <w:rsid w:val="00E02A74"/>
    <w:rsid w:val="00E04652"/>
    <w:rsid w:val="00E07401"/>
    <w:rsid w:val="00E10A68"/>
    <w:rsid w:val="00E13304"/>
    <w:rsid w:val="00E164F5"/>
    <w:rsid w:val="00E22A93"/>
    <w:rsid w:val="00E43CFA"/>
    <w:rsid w:val="00E4477A"/>
    <w:rsid w:val="00E46F3F"/>
    <w:rsid w:val="00E50CD2"/>
    <w:rsid w:val="00E55371"/>
    <w:rsid w:val="00E56E21"/>
    <w:rsid w:val="00E5749E"/>
    <w:rsid w:val="00E60589"/>
    <w:rsid w:val="00E60F4A"/>
    <w:rsid w:val="00E628F9"/>
    <w:rsid w:val="00E62D25"/>
    <w:rsid w:val="00E63890"/>
    <w:rsid w:val="00E65BB1"/>
    <w:rsid w:val="00E65BEB"/>
    <w:rsid w:val="00E67345"/>
    <w:rsid w:val="00E701EB"/>
    <w:rsid w:val="00E75E5D"/>
    <w:rsid w:val="00E77C00"/>
    <w:rsid w:val="00E841B9"/>
    <w:rsid w:val="00E90686"/>
    <w:rsid w:val="00E911F0"/>
    <w:rsid w:val="00E91A98"/>
    <w:rsid w:val="00E9314E"/>
    <w:rsid w:val="00E93FE3"/>
    <w:rsid w:val="00E94B8C"/>
    <w:rsid w:val="00EA0E51"/>
    <w:rsid w:val="00EA2A6E"/>
    <w:rsid w:val="00EA467F"/>
    <w:rsid w:val="00EA5822"/>
    <w:rsid w:val="00EA7671"/>
    <w:rsid w:val="00EB2024"/>
    <w:rsid w:val="00EB3B61"/>
    <w:rsid w:val="00EB5CA6"/>
    <w:rsid w:val="00EC0932"/>
    <w:rsid w:val="00EC436F"/>
    <w:rsid w:val="00ED4898"/>
    <w:rsid w:val="00ED4ACA"/>
    <w:rsid w:val="00ED5D7E"/>
    <w:rsid w:val="00EE4DD8"/>
    <w:rsid w:val="00EE7689"/>
    <w:rsid w:val="00EE7B64"/>
    <w:rsid w:val="00EF077F"/>
    <w:rsid w:val="00EF1193"/>
    <w:rsid w:val="00EF1AD3"/>
    <w:rsid w:val="00EF345B"/>
    <w:rsid w:val="00EF74D1"/>
    <w:rsid w:val="00F0040F"/>
    <w:rsid w:val="00F006AE"/>
    <w:rsid w:val="00F016F3"/>
    <w:rsid w:val="00F023C4"/>
    <w:rsid w:val="00F11B41"/>
    <w:rsid w:val="00F16C98"/>
    <w:rsid w:val="00F20009"/>
    <w:rsid w:val="00F2190D"/>
    <w:rsid w:val="00F22EC0"/>
    <w:rsid w:val="00F2342D"/>
    <w:rsid w:val="00F26B58"/>
    <w:rsid w:val="00F33075"/>
    <w:rsid w:val="00F37BE6"/>
    <w:rsid w:val="00F42832"/>
    <w:rsid w:val="00F443BE"/>
    <w:rsid w:val="00F4494B"/>
    <w:rsid w:val="00F46F29"/>
    <w:rsid w:val="00F47C43"/>
    <w:rsid w:val="00F518BA"/>
    <w:rsid w:val="00F51D28"/>
    <w:rsid w:val="00F54544"/>
    <w:rsid w:val="00F56545"/>
    <w:rsid w:val="00F6248C"/>
    <w:rsid w:val="00F64762"/>
    <w:rsid w:val="00F655A6"/>
    <w:rsid w:val="00F665C7"/>
    <w:rsid w:val="00F7086A"/>
    <w:rsid w:val="00F70A01"/>
    <w:rsid w:val="00F72912"/>
    <w:rsid w:val="00F73385"/>
    <w:rsid w:val="00F73E78"/>
    <w:rsid w:val="00F75632"/>
    <w:rsid w:val="00F82681"/>
    <w:rsid w:val="00F82CBB"/>
    <w:rsid w:val="00F86487"/>
    <w:rsid w:val="00F87C2A"/>
    <w:rsid w:val="00F94B86"/>
    <w:rsid w:val="00F956FB"/>
    <w:rsid w:val="00FA6427"/>
    <w:rsid w:val="00FA6710"/>
    <w:rsid w:val="00FB73AA"/>
    <w:rsid w:val="00FB7A54"/>
    <w:rsid w:val="00FC0D1A"/>
    <w:rsid w:val="00FC2947"/>
    <w:rsid w:val="00FC3FF2"/>
    <w:rsid w:val="00FC5C5A"/>
    <w:rsid w:val="00FD04C3"/>
    <w:rsid w:val="00FD0E52"/>
    <w:rsid w:val="00FD5EFC"/>
    <w:rsid w:val="00FD6382"/>
    <w:rsid w:val="00FD7357"/>
    <w:rsid w:val="00FD751E"/>
    <w:rsid w:val="00FE0E2F"/>
    <w:rsid w:val="00FE1232"/>
    <w:rsid w:val="00FE1306"/>
    <w:rsid w:val="00FE13CF"/>
    <w:rsid w:val="00FE2D7B"/>
    <w:rsid w:val="00FE33E9"/>
    <w:rsid w:val="00FE3B72"/>
    <w:rsid w:val="00FE4576"/>
    <w:rsid w:val="00FE4B21"/>
    <w:rsid w:val="00FE535D"/>
    <w:rsid w:val="00FF36AE"/>
    <w:rsid w:val="00FF40C3"/>
    <w:rsid w:val="00FF6D56"/>
    <w:rsid w:val="00FF70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F318D"/>
  <w15:chartTrackingRefBased/>
  <w15:docId w15:val="{F4F29516-265B-405A-9DCF-E1C389537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3authornames">
    <w:name w:val="MDPI_1.3_authornames"/>
    <w:basedOn w:val="Normal"/>
    <w:next w:val="MDPI14history"/>
    <w:qFormat/>
    <w:rsid w:val="00966C2F"/>
    <w:pPr>
      <w:adjustRightInd w:val="0"/>
      <w:snapToGrid w:val="0"/>
      <w:spacing w:after="120" w:line="260" w:lineRule="atLeast"/>
    </w:pPr>
    <w:rPr>
      <w:rFonts w:ascii="Palatino Linotype" w:eastAsia="Times New Roman" w:hAnsi="Palatino Linotype" w:cs="Times New Roman"/>
      <w:b/>
      <w:color w:val="000000"/>
      <w:sz w:val="20"/>
      <w:lang w:eastAsia="de-DE" w:bidi="en-US"/>
    </w:rPr>
  </w:style>
  <w:style w:type="paragraph" w:customStyle="1" w:styleId="MDPI14history">
    <w:name w:val="MDPI_1.4_history"/>
    <w:basedOn w:val="Normal"/>
    <w:next w:val="Normal"/>
    <w:qFormat/>
    <w:rsid w:val="00966C2F"/>
    <w:pPr>
      <w:adjustRightInd w:val="0"/>
      <w:snapToGrid w:val="0"/>
      <w:spacing w:before="120" w:after="0" w:line="200" w:lineRule="atLeast"/>
      <w:ind w:left="113"/>
    </w:pPr>
    <w:rPr>
      <w:rFonts w:ascii="Palatino Linotype" w:eastAsia="Times New Roman" w:hAnsi="Palatino Linotype" w:cs="Times New Roman"/>
      <w:color w:val="000000"/>
      <w:sz w:val="18"/>
      <w:szCs w:val="20"/>
      <w:lang w:eastAsia="de-DE" w:bidi="en-US"/>
    </w:rPr>
  </w:style>
  <w:style w:type="paragraph" w:customStyle="1" w:styleId="MDPI16affiliation">
    <w:name w:val="MDPI_1.6_affiliation"/>
    <w:basedOn w:val="Normal"/>
    <w:qFormat/>
    <w:rsid w:val="00966C2F"/>
    <w:pPr>
      <w:adjustRightInd w:val="0"/>
      <w:snapToGrid w:val="0"/>
      <w:spacing w:after="0" w:line="200" w:lineRule="atLeast"/>
      <w:ind w:left="311" w:hanging="198"/>
    </w:pPr>
    <w:rPr>
      <w:rFonts w:ascii="Palatino Linotype" w:eastAsia="Times New Roman" w:hAnsi="Palatino Linotype" w:cs="Times New Roman"/>
      <w:color w:val="000000"/>
      <w:sz w:val="18"/>
      <w:szCs w:val="18"/>
      <w:lang w:eastAsia="de-DE" w:bidi="en-US"/>
    </w:rPr>
  </w:style>
  <w:style w:type="paragraph" w:customStyle="1" w:styleId="MDPI17abstract">
    <w:name w:val="MDPI_1.7_abstract"/>
    <w:basedOn w:val="Normal"/>
    <w:next w:val="MDPI18keywords"/>
    <w:qFormat/>
    <w:rsid w:val="00966C2F"/>
    <w:pPr>
      <w:adjustRightInd w:val="0"/>
      <w:snapToGrid w:val="0"/>
      <w:spacing w:before="240" w:after="0" w:line="260" w:lineRule="atLeast"/>
      <w:ind w:left="113"/>
      <w:jc w:val="both"/>
    </w:pPr>
    <w:rPr>
      <w:rFonts w:ascii="Palatino Linotype" w:eastAsia="Times New Roman" w:hAnsi="Palatino Linotype" w:cs="Times New Roman"/>
      <w:color w:val="000000"/>
      <w:sz w:val="20"/>
      <w:lang w:eastAsia="de-DE" w:bidi="en-US"/>
    </w:rPr>
  </w:style>
  <w:style w:type="paragraph" w:customStyle="1" w:styleId="MDPI18keywords">
    <w:name w:val="MDPI_1.8_keywords"/>
    <w:basedOn w:val="Normal"/>
    <w:next w:val="Normal"/>
    <w:qFormat/>
    <w:rsid w:val="00966C2F"/>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lang w:eastAsia="de-DE" w:bidi="en-US"/>
    </w:rPr>
  </w:style>
  <w:style w:type="paragraph" w:customStyle="1" w:styleId="MDPI19line">
    <w:name w:val="MDPI_1.9_line"/>
    <w:basedOn w:val="Normal"/>
    <w:qFormat/>
    <w:rsid w:val="00966C2F"/>
    <w:pPr>
      <w:pBdr>
        <w:bottom w:val="single" w:sz="6" w:space="1" w:color="auto"/>
      </w:pBdr>
      <w:adjustRightInd w:val="0"/>
      <w:snapToGrid w:val="0"/>
      <w:spacing w:after="0" w:line="260" w:lineRule="atLeast"/>
      <w:jc w:val="both"/>
    </w:pPr>
    <w:rPr>
      <w:rFonts w:ascii="Palatino Linotype" w:eastAsia="Times New Roman" w:hAnsi="Palatino Linotype" w:cs="Times New Roman"/>
      <w:color w:val="000000"/>
      <w:sz w:val="20"/>
      <w:szCs w:val="24"/>
      <w:lang w:eastAsia="de-DE" w:bidi="en-US"/>
    </w:rPr>
  </w:style>
  <w:style w:type="paragraph" w:customStyle="1" w:styleId="MDPI21heading1">
    <w:name w:val="MDPI_2.1_heading1"/>
    <w:basedOn w:val="Normal"/>
    <w:qFormat/>
    <w:rsid w:val="00966C2F"/>
    <w:pPr>
      <w:adjustRightInd w:val="0"/>
      <w:snapToGrid w:val="0"/>
      <w:spacing w:before="240" w:after="120" w:line="260" w:lineRule="atLeast"/>
      <w:outlineLvl w:val="0"/>
    </w:pPr>
    <w:rPr>
      <w:rFonts w:ascii="Palatino Linotype" w:eastAsia="Times New Roman" w:hAnsi="Palatino Linotype" w:cs="Times New Roman"/>
      <w:b/>
      <w:snapToGrid w:val="0"/>
      <w:color w:val="000000"/>
      <w:sz w:val="20"/>
      <w:lang w:eastAsia="de-DE" w:bidi="en-US"/>
    </w:rPr>
  </w:style>
  <w:style w:type="paragraph" w:customStyle="1" w:styleId="MDPI62Acknowledgments">
    <w:name w:val="MDPI_6.2_Acknowledgments"/>
    <w:qFormat/>
    <w:rsid w:val="00297750"/>
    <w:pPr>
      <w:adjustRightInd w:val="0"/>
      <w:snapToGrid w:val="0"/>
      <w:spacing w:before="120" w:after="0" w:line="200" w:lineRule="atLeast"/>
      <w:jc w:val="both"/>
    </w:pPr>
    <w:rPr>
      <w:rFonts w:ascii="Palatino Linotype" w:eastAsia="Times New Roman" w:hAnsi="Palatino Linotype" w:cs="Times New Roman"/>
      <w:snapToGrid w:val="0"/>
      <w:color w:val="000000"/>
      <w:sz w:val="18"/>
      <w:szCs w:val="20"/>
      <w:lang w:eastAsia="de-DE" w:bidi="en-US"/>
    </w:rPr>
  </w:style>
  <w:style w:type="character" w:styleId="Hyperlink">
    <w:name w:val="Hyperlink"/>
    <w:uiPriority w:val="99"/>
    <w:unhideWhenUsed/>
    <w:rsid w:val="00297750"/>
    <w:rPr>
      <w:color w:val="0563C1"/>
      <w:u w:val="single"/>
    </w:rPr>
  </w:style>
  <w:style w:type="paragraph" w:customStyle="1" w:styleId="PageNumber1">
    <w:name w:val="Page Number1"/>
    <w:basedOn w:val="Normal"/>
    <w:rsid w:val="004A2E39"/>
    <w:pPr>
      <w:suppressAutoHyphens/>
      <w:spacing w:after="0" w:line="240" w:lineRule="auto"/>
      <w:jc w:val="center"/>
    </w:pPr>
    <w:rPr>
      <w:rFonts w:ascii="Times" w:eastAsia="Times New Roman" w:hAnsi="Times" w:cs="Times"/>
      <w:sz w:val="24"/>
      <w:szCs w:val="20"/>
      <w:lang w:eastAsia="ar-SA"/>
    </w:rPr>
  </w:style>
  <w:style w:type="paragraph" w:styleId="ListParagraph">
    <w:name w:val="List Paragraph"/>
    <w:basedOn w:val="Normal"/>
    <w:uiPriority w:val="34"/>
    <w:qFormat/>
    <w:rsid w:val="004A2E39"/>
    <w:pPr>
      <w:spacing w:after="0" w:line="240" w:lineRule="auto"/>
      <w:ind w:left="720"/>
      <w:contextualSpacing/>
    </w:pPr>
    <w:rPr>
      <w:rFonts w:ascii="Times" w:eastAsia="Times New Roman" w:hAnsi="Times" w:cs="Times New Roman"/>
      <w:sz w:val="24"/>
      <w:szCs w:val="20"/>
    </w:rPr>
  </w:style>
  <w:style w:type="character" w:styleId="PlaceholderText">
    <w:name w:val="Placeholder Text"/>
    <w:basedOn w:val="DefaultParagraphFont"/>
    <w:uiPriority w:val="99"/>
    <w:semiHidden/>
    <w:rsid w:val="004A2E39"/>
    <w:rPr>
      <w:color w:val="808080"/>
    </w:rPr>
  </w:style>
  <w:style w:type="character" w:styleId="CommentReference">
    <w:name w:val="annotation reference"/>
    <w:basedOn w:val="DefaultParagraphFont"/>
    <w:uiPriority w:val="99"/>
    <w:semiHidden/>
    <w:unhideWhenUsed/>
    <w:rsid w:val="004A2E39"/>
    <w:rPr>
      <w:sz w:val="16"/>
      <w:szCs w:val="16"/>
    </w:rPr>
  </w:style>
  <w:style w:type="paragraph" w:styleId="CommentText">
    <w:name w:val="annotation text"/>
    <w:basedOn w:val="Normal"/>
    <w:link w:val="CommentTextChar"/>
    <w:uiPriority w:val="99"/>
    <w:unhideWhenUsed/>
    <w:rsid w:val="004A2E39"/>
    <w:pPr>
      <w:spacing w:after="0" w:line="240" w:lineRule="auto"/>
    </w:pPr>
    <w:rPr>
      <w:rFonts w:ascii="Times" w:eastAsia="Times New Roman" w:hAnsi="Times" w:cs="Times New Roman"/>
      <w:sz w:val="20"/>
      <w:szCs w:val="20"/>
    </w:rPr>
  </w:style>
  <w:style w:type="character" w:customStyle="1" w:styleId="CommentTextChar">
    <w:name w:val="Comment Text Char"/>
    <w:basedOn w:val="DefaultParagraphFont"/>
    <w:link w:val="CommentText"/>
    <w:uiPriority w:val="99"/>
    <w:rsid w:val="004A2E39"/>
    <w:rPr>
      <w:rFonts w:ascii="Times" w:eastAsia="Times New Roman" w:hAnsi="Times" w:cs="Times New Roman"/>
      <w:sz w:val="20"/>
      <w:szCs w:val="20"/>
    </w:rPr>
  </w:style>
  <w:style w:type="paragraph" w:styleId="CommentSubject">
    <w:name w:val="annotation subject"/>
    <w:basedOn w:val="CommentText"/>
    <w:next w:val="CommentText"/>
    <w:link w:val="CommentSubjectChar"/>
    <w:uiPriority w:val="99"/>
    <w:semiHidden/>
    <w:unhideWhenUsed/>
    <w:rsid w:val="004A2E39"/>
    <w:rPr>
      <w:b/>
      <w:bCs/>
    </w:rPr>
  </w:style>
  <w:style w:type="character" w:customStyle="1" w:styleId="CommentSubjectChar">
    <w:name w:val="Comment Subject Char"/>
    <w:basedOn w:val="CommentTextChar"/>
    <w:link w:val="CommentSubject"/>
    <w:uiPriority w:val="99"/>
    <w:semiHidden/>
    <w:rsid w:val="004A2E39"/>
    <w:rPr>
      <w:rFonts w:ascii="Times" w:eastAsia="Times New Roman" w:hAnsi="Times" w:cs="Times New Roman"/>
      <w:b/>
      <w:bCs/>
      <w:sz w:val="20"/>
      <w:szCs w:val="20"/>
    </w:rPr>
  </w:style>
  <w:style w:type="paragraph" w:customStyle="1" w:styleId="Text">
    <w:name w:val="Text"/>
    <w:basedOn w:val="Normal"/>
    <w:rsid w:val="004A2E39"/>
    <w:pPr>
      <w:widowControl w:val="0"/>
      <w:spacing w:after="0" w:line="252" w:lineRule="auto"/>
      <w:ind w:firstLine="202"/>
      <w:jc w:val="both"/>
    </w:pPr>
    <w:rPr>
      <w:rFonts w:ascii="Times New Roman" w:eastAsia="Times New Roman" w:hAnsi="Times New Roman" w:cs="Times New Roman"/>
      <w:sz w:val="20"/>
      <w:szCs w:val="20"/>
    </w:rPr>
  </w:style>
  <w:style w:type="paragraph" w:styleId="Revision">
    <w:name w:val="Revision"/>
    <w:hidden/>
    <w:uiPriority w:val="99"/>
    <w:semiHidden/>
    <w:rsid w:val="004A2E39"/>
    <w:pPr>
      <w:spacing w:after="0" w:line="240" w:lineRule="auto"/>
    </w:pPr>
    <w:rPr>
      <w:rFonts w:ascii="Times" w:eastAsia="Times New Roman" w:hAnsi="Times" w:cs="Times New Roman"/>
      <w:sz w:val="24"/>
      <w:szCs w:val="20"/>
    </w:rPr>
  </w:style>
  <w:style w:type="paragraph" w:styleId="NormalWeb">
    <w:name w:val="Normal (Web)"/>
    <w:basedOn w:val="Normal"/>
    <w:uiPriority w:val="99"/>
    <w:unhideWhenUsed/>
    <w:rsid w:val="004A2E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4A2E39"/>
    <w:rPr>
      <w:rFonts w:ascii="Segoe UI" w:hAnsi="Segoe UI" w:cs="Segoe UI" w:hint="default"/>
      <w:sz w:val="18"/>
      <w:szCs w:val="18"/>
    </w:rPr>
  </w:style>
  <w:style w:type="paragraph" w:styleId="BalloonText">
    <w:name w:val="Balloon Text"/>
    <w:basedOn w:val="Normal"/>
    <w:link w:val="BalloonTextChar"/>
    <w:uiPriority w:val="99"/>
    <w:semiHidden/>
    <w:unhideWhenUsed/>
    <w:rsid w:val="004A2E39"/>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4A2E39"/>
    <w:rPr>
      <w:rFonts w:ascii="Segoe UI" w:eastAsia="Times New Roman" w:hAnsi="Segoe UI" w:cs="Segoe UI"/>
      <w:sz w:val="18"/>
      <w:szCs w:val="18"/>
    </w:rPr>
  </w:style>
  <w:style w:type="table" w:styleId="TableGrid">
    <w:name w:val="Table Grid"/>
    <w:basedOn w:val="TableNormal"/>
    <w:uiPriority w:val="39"/>
    <w:rsid w:val="004A2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43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6403">
      <w:bodyDiv w:val="1"/>
      <w:marLeft w:val="0"/>
      <w:marRight w:val="0"/>
      <w:marTop w:val="0"/>
      <w:marBottom w:val="0"/>
      <w:divBdr>
        <w:top w:val="none" w:sz="0" w:space="0" w:color="auto"/>
        <w:left w:val="none" w:sz="0" w:space="0" w:color="auto"/>
        <w:bottom w:val="none" w:sz="0" w:space="0" w:color="auto"/>
        <w:right w:val="none" w:sz="0" w:space="0" w:color="auto"/>
      </w:divBdr>
    </w:div>
    <w:div w:id="164561032">
      <w:bodyDiv w:val="1"/>
      <w:marLeft w:val="0"/>
      <w:marRight w:val="0"/>
      <w:marTop w:val="0"/>
      <w:marBottom w:val="0"/>
      <w:divBdr>
        <w:top w:val="none" w:sz="0" w:space="0" w:color="auto"/>
        <w:left w:val="none" w:sz="0" w:space="0" w:color="auto"/>
        <w:bottom w:val="none" w:sz="0" w:space="0" w:color="auto"/>
        <w:right w:val="none" w:sz="0" w:space="0" w:color="auto"/>
      </w:divBdr>
    </w:div>
    <w:div w:id="561058704">
      <w:bodyDiv w:val="1"/>
      <w:marLeft w:val="0"/>
      <w:marRight w:val="0"/>
      <w:marTop w:val="0"/>
      <w:marBottom w:val="0"/>
      <w:divBdr>
        <w:top w:val="none" w:sz="0" w:space="0" w:color="auto"/>
        <w:left w:val="none" w:sz="0" w:space="0" w:color="auto"/>
        <w:bottom w:val="none" w:sz="0" w:space="0" w:color="auto"/>
        <w:right w:val="none" w:sz="0" w:space="0" w:color="auto"/>
      </w:divBdr>
    </w:div>
    <w:div w:id="847603871">
      <w:bodyDiv w:val="1"/>
      <w:marLeft w:val="0"/>
      <w:marRight w:val="0"/>
      <w:marTop w:val="0"/>
      <w:marBottom w:val="0"/>
      <w:divBdr>
        <w:top w:val="none" w:sz="0" w:space="0" w:color="auto"/>
        <w:left w:val="none" w:sz="0" w:space="0" w:color="auto"/>
        <w:bottom w:val="none" w:sz="0" w:space="0" w:color="auto"/>
        <w:right w:val="none" w:sz="0" w:space="0" w:color="auto"/>
      </w:divBdr>
    </w:div>
    <w:div w:id="853423582">
      <w:bodyDiv w:val="1"/>
      <w:marLeft w:val="0"/>
      <w:marRight w:val="0"/>
      <w:marTop w:val="0"/>
      <w:marBottom w:val="0"/>
      <w:divBdr>
        <w:top w:val="none" w:sz="0" w:space="0" w:color="auto"/>
        <w:left w:val="none" w:sz="0" w:space="0" w:color="auto"/>
        <w:bottom w:val="none" w:sz="0" w:space="0" w:color="auto"/>
        <w:right w:val="none" w:sz="0" w:space="0" w:color="auto"/>
      </w:divBdr>
    </w:div>
    <w:div w:id="946622018">
      <w:bodyDiv w:val="1"/>
      <w:marLeft w:val="0"/>
      <w:marRight w:val="0"/>
      <w:marTop w:val="0"/>
      <w:marBottom w:val="0"/>
      <w:divBdr>
        <w:top w:val="none" w:sz="0" w:space="0" w:color="auto"/>
        <w:left w:val="none" w:sz="0" w:space="0" w:color="auto"/>
        <w:bottom w:val="none" w:sz="0" w:space="0" w:color="auto"/>
        <w:right w:val="none" w:sz="0" w:space="0" w:color="auto"/>
      </w:divBdr>
    </w:div>
    <w:div w:id="1384719158">
      <w:bodyDiv w:val="1"/>
      <w:marLeft w:val="0"/>
      <w:marRight w:val="0"/>
      <w:marTop w:val="0"/>
      <w:marBottom w:val="0"/>
      <w:divBdr>
        <w:top w:val="none" w:sz="0" w:space="0" w:color="auto"/>
        <w:left w:val="none" w:sz="0" w:space="0" w:color="auto"/>
        <w:bottom w:val="none" w:sz="0" w:space="0" w:color="auto"/>
        <w:right w:val="none" w:sz="0" w:space="0" w:color="auto"/>
      </w:divBdr>
    </w:div>
    <w:div w:id="2040550361">
      <w:bodyDiv w:val="1"/>
      <w:marLeft w:val="0"/>
      <w:marRight w:val="0"/>
      <w:marTop w:val="0"/>
      <w:marBottom w:val="0"/>
      <w:divBdr>
        <w:top w:val="none" w:sz="0" w:space="0" w:color="auto"/>
        <w:left w:val="none" w:sz="0" w:space="0" w:color="auto"/>
        <w:bottom w:val="none" w:sz="0" w:space="0" w:color="auto"/>
        <w:right w:val="none" w:sz="0" w:space="0" w:color="auto"/>
      </w:divBdr>
    </w:div>
    <w:div w:id="2122533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34A693-5E74-4600-8DF0-663E668A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11331</Words>
  <Characters>64590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NASA/GSFC</Company>
  <LinksUpToDate>false</LinksUpToDate>
  <CharactersWithSpaces>75770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Xiong, Xiaoxiong (GSFC-6180)</dc:creator>
  <cp:keywords/>
  <dc:description/>
  <cp:lastModifiedBy>Angal, Amit A. (GSFC-618.0)[SCIENCE SYSTEMS AND APPLICATIONS INC]</cp:lastModifiedBy>
  <cp:revision>3</cp:revision>
  <cp:lastPrinted>2022-07-07T19:59:00Z</cp:lastPrinted>
  <dcterms:created xsi:type="dcterms:W3CDTF">2023-09-12T23:52:00Z</dcterms:created>
  <dcterms:modified xsi:type="dcterms:W3CDTF">2023-09-12T23:53:00Z</dcterms:modified>
</cp:coreProperties>
</file>