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11DB9" w14:textId="0FF4E9F2" w:rsidR="00B80978" w:rsidRPr="00B80978" w:rsidRDefault="00B80978" w:rsidP="00B80978">
      <w:pPr>
        <w:rPr>
          <w:b/>
          <w:sz w:val="24"/>
          <w:szCs w:val="24"/>
        </w:rPr>
      </w:pPr>
      <w:r w:rsidRPr="00B80978">
        <w:rPr>
          <w:b/>
          <w:sz w:val="24"/>
          <w:szCs w:val="24"/>
        </w:rPr>
        <w:t>Supplementary Materials for “Climate change-induced peatland drying in Southeast Asia”</w:t>
      </w:r>
    </w:p>
    <w:p w14:paraId="6CAE147A" w14:textId="77777777" w:rsidR="00B80978" w:rsidRPr="00B005E5" w:rsidRDefault="00B80978" w:rsidP="00B80978">
      <w:pPr>
        <w:rPr>
          <w:sz w:val="24"/>
          <w:szCs w:val="24"/>
        </w:rPr>
      </w:pPr>
    </w:p>
    <w:p w14:paraId="6D547717" w14:textId="77777777" w:rsidR="00B80978" w:rsidRPr="000434D9" w:rsidRDefault="00B80978" w:rsidP="00B80978">
      <w:pPr>
        <w:rPr>
          <w:b/>
          <w:sz w:val="24"/>
          <w:szCs w:val="24"/>
        </w:rPr>
      </w:pPr>
      <w:r w:rsidRPr="000434D9">
        <w:rPr>
          <w:b/>
          <w:sz w:val="24"/>
          <w:szCs w:val="24"/>
        </w:rPr>
        <w:t>Authors</w:t>
      </w:r>
    </w:p>
    <w:p w14:paraId="5C69A76A" w14:textId="77777777" w:rsidR="00B80978" w:rsidRDefault="00B80978" w:rsidP="00B80978">
      <w:pPr>
        <w:rPr>
          <w:sz w:val="24"/>
          <w:szCs w:val="24"/>
        </w:rPr>
      </w:pPr>
      <w:r w:rsidRPr="00B005E5">
        <w:rPr>
          <w:sz w:val="24"/>
          <w:szCs w:val="24"/>
        </w:rPr>
        <w:t>Nathan</w:t>
      </w:r>
      <w:r>
        <w:rPr>
          <w:sz w:val="24"/>
          <w:szCs w:val="24"/>
        </w:rPr>
        <w:t xml:space="preserve"> C.</w:t>
      </w:r>
      <w:r w:rsidRPr="00B005E5">
        <w:rPr>
          <w:sz w:val="24"/>
          <w:szCs w:val="24"/>
        </w:rPr>
        <w:t xml:space="preserve"> Dadap</w:t>
      </w:r>
      <w:r w:rsidRPr="006A444D">
        <w:rPr>
          <w:sz w:val="24"/>
          <w:szCs w:val="24"/>
          <w:vertAlign w:val="superscript"/>
        </w:rPr>
        <w:t>1</w:t>
      </w:r>
      <w:r w:rsidRPr="00B005E5">
        <w:rPr>
          <w:sz w:val="24"/>
          <w:szCs w:val="24"/>
        </w:rPr>
        <w:t>, Alex</w:t>
      </w:r>
      <w:r>
        <w:rPr>
          <w:sz w:val="24"/>
          <w:szCs w:val="24"/>
        </w:rPr>
        <w:t>ander</w:t>
      </w:r>
      <w:r w:rsidRPr="00B005E5">
        <w:rPr>
          <w:sz w:val="24"/>
          <w:szCs w:val="24"/>
        </w:rPr>
        <w:t xml:space="preserve"> </w:t>
      </w:r>
      <w:r>
        <w:rPr>
          <w:sz w:val="24"/>
          <w:szCs w:val="24"/>
        </w:rPr>
        <w:t xml:space="preserve">R. </w:t>
      </w:r>
      <w:r w:rsidRPr="00B005E5">
        <w:rPr>
          <w:sz w:val="24"/>
          <w:szCs w:val="24"/>
        </w:rPr>
        <w:t>Cobb</w:t>
      </w:r>
      <w:r>
        <w:rPr>
          <w:sz w:val="24"/>
          <w:szCs w:val="24"/>
          <w:vertAlign w:val="superscript"/>
        </w:rPr>
        <w:t>2</w:t>
      </w:r>
      <w:r w:rsidRPr="00B005E5">
        <w:rPr>
          <w:sz w:val="24"/>
          <w:szCs w:val="24"/>
        </w:rPr>
        <w:t xml:space="preserve">, Alison </w:t>
      </w:r>
      <w:r>
        <w:rPr>
          <w:sz w:val="24"/>
          <w:szCs w:val="24"/>
        </w:rPr>
        <w:t xml:space="preserve">M. </w:t>
      </w:r>
      <w:r w:rsidRPr="00B005E5">
        <w:rPr>
          <w:sz w:val="24"/>
          <w:szCs w:val="24"/>
        </w:rPr>
        <w:t>Hoyt</w:t>
      </w:r>
      <w:r>
        <w:rPr>
          <w:sz w:val="24"/>
          <w:szCs w:val="24"/>
          <w:vertAlign w:val="superscript"/>
        </w:rPr>
        <w:t>1</w:t>
      </w:r>
      <w:r w:rsidRPr="00B005E5">
        <w:rPr>
          <w:sz w:val="24"/>
          <w:szCs w:val="24"/>
        </w:rPr>
        <w:t>, Charles</w:t>
      </w:r>
      <w:r>
        <w:rPr>
          <w:sz w:val="24"/>
          <w:szCs w:val="24"/>
        </w:rPr>
        <w:t xml:space="preserve"> F.</w:t>
      </w:r>
      <w:r w:rsidRPr="00B005E5">
        <w:rPr>
          <w:sz w:val="24"/>
          <w:szCs w:val="24"/>
        </w:rPr>
        <w:t xml:space="preserve"> Harvey</w:t>
      </w:r>
      <w:r w:rsidRPr="006A444D">
        <w:rPr>
          <w:sz w:val="24"/>
          <w:szCs w:val="24"/>
          <w:vertAlign w:val="superscript"/>
        </w:rPr>
        <w:t>3</w:t>
      </w:r>
      <w:r w:rsidRPr="00B005E5">
        <w:rPr>
          <w:sz w:val="24"/>
          <w:szCs w:val="24"/>
        </w:rPr>
        <w:t>, Andrew</w:t>
      </w:r>
      <w:r>
        <w:rPr>
          <w:sz w:val="24"/>
          <w:szCs w:val="24"/>
        </w:rPr>
        <w:t xml:space="preserve"> F.</w:t>
      </w:r>
      <w:r w:rsidRPr="00B005E5">
        <w:rPr>
          <w:sz w:val="24"/>
          <w:szCs w:val="24"/>
        </w:rPr>
        <w:t xml:space="preserve"> Feldman</w:t>
      </w:r>
      <w:r>
        <w:rPr>
          <w:sz w:val="24"/>
          <w:szCs w:val="24"/>
          <w:vertAlign w:val="superscript"/>
        </w:rPr>
        <w:t>4</w:t>
      </w:r>
      <w:r w:rsidRPr="00B005E5">
        <w:rPr>
          <w:sz w:val="24"/>
          <w:szCs w:val="24"/>
        </w:rPr>
        <w:t>, Eun-Soon Im</w:t>
      </w:r>
      <w:r>
        <w:rPr>
          <w:sz w:val="24"/>
          <w:szCs w:val="24"/>
          <w:vertAlign w:val="superscript"/>
        </w:rPr>
        <w:t>5</w:t>
      </w:r>
      <w:r w:rsidRPr="00B005E5">
        <w:rPr>
          <w:sz w:val="24"/>
          <w:szCs w:val="24"/>
        </w:rPr>
        <w:t xml:space="preserve">, Alexandra </w:t>
      </w:r>
      <w:r>
        <w:rPr>
          <w:sz w:val="24"/>
          <w:szCs w:val="24"/>
        </w:rPr>
        <w:t xml:space="preserve">G. </w:t>
      </w:r>
      <w:r w:rsidRPr="00B005E5">
        <w:rPr>
          <w:sz w:val="24"/>
          <w:szCs w:val="24"/>
        </w:rPr>
        <w:t>Konings</w:t>
      </w:r>
      <w:r>
        <w:rPr>
          <w:sz w:val="24"/>
          <w:szCs w:val="24"/>
          <w:vertAlign w:val="superscript"/>
        </w:rPr>
        <w:t>1</w:t>
      </w:r>
    </w:p>
    <w:p w14:paraId="5C48634D" w14:textId="77777777" w:rsidR="00B80978" w:rsidRDefault="00B80978" w:rsidP="00B80978">
      <w:pPr>
        <w:rPr>
          <w:sz w:val="24"/>
          <w:szCs w:val="24"/>
        </w:rPr>
      </w:pPr>
    </w:p>
    <w:p w14:paraId="601659FC" w14:textId="77777777" w:rsidR="00B80978" w:rsidRDefault="00B80978" w:rsidP="00B80978">
      <w:pPr>
        <w:rPr>
          <w:b/>
          <w:sz w:val="24"/>
          <w:szCs w:val="24"/>
        </w:rPr>
      </w:pPr>
      <w:r w:rsidRPr="006A444D">
        <w:rPr>
          <w:b/>
          <w:sz w:val="24"/>
          <w:szCs w:val="24"/>
        </w:rPr>
        <w:t>Affiliations</w:t>
      </w:r>
    </w:p>
    <w:p w14:paraId="548710A8" w14:textId="77777777" w:rsidR="00B80978" w:rsidRDefault="00B80978" w:rsidP="00B80978">
      <w:pPr>
        <w:ind w:left="90" w:hanging="90"/>
        <w:rPr>
          <w:sz w:val="24"/>
          <w:szCs w:val="24"/>
        </w:rPr>
      </w:pPr>
      <w:r w:rsidRPr="006D7933">
        <w:rPr>
          <w:sz w:val="24"/>
          <w:szCs w:val="24"/>
          <w:vertAlign w:val="superscript"/>
        </w:rPr>
        <w:t>1</w:t>
      </w:r>
      <w:r>
        <w:rPr>
          <w:sz w:val="24"/>
          <w:szCs w:val="24"/>
          <w:vertAlign w:val="superscript"/>
        </w:rPr>
        <w:t xml:space="preserve"> </w:t>
      </w:r>
      <w:r w:rsidRPr="00400FEC">
        <w:rPr>
          <w:sz w:val="24"/>
          <w:szCs w:val="24"/>
        </w:rPr>
        <w:t>Department of Earth System Science, Stanford University, Stanford, CA</w:t>
      </w:r>
    </w:p>
    <w:p w14:paraId="5C96DD63" w14:textId="77777777" w:rsidR="00B80978" w:rsidRDefault="00B80978" w:rsidP="00B80978">
      <w:pPr>
        <w:ind w:left="90" w:hanging="90"/>
        <w:rPr>
          <w:sz w:val="24"/>
          <w:szCs w:val="24"/>
        </w:rPr>
      </w:pPr>
      <w:r>
        <w:rPr>
          <w:sz w:val="24"/>
          <w:szCs w:val="24"/>
          <w:vertAlign w:val="superscript"/>
        </w:rPr>
        <w:t xml:space="preserve">2 </w:t>
      </w:r>
      <w:r w:rsidRPr="00400FEC">
        <w:rPr>
          <w:sz w:val="24"/>
          <w:szCs w:val="24"/>
        </w:rPr>
        <w:t>Center for Environmental Sensing and Modeling, Singapore-MIT Alliance for Research and Technology, Singapore, Singapore</w:t>
      </w:r>
    </w:p>
    <w:p w14:paraId="22B80F6F" w14:textId="77777777" w:rsidR="00B80978" w:rsidRDefault="00B80978" w:rsidP="00B80978">
      <w:pPr>
        <w:ind w:left="90" w:hanging="90"/>
        <w:rPr>
          <w:sz w:val="24"/>
          <w:szCs w:val="24"/>
        </w:rPr>
      </w:pPr>
      <w:r>
        <w:rPr>
          <w:sz w:val="24"/>
          <w:szCs w:val="24"/>
          <w:vertAlign w:val="superscript"/>
        </w:rPr>
        <w:t xml:space="preserve">3 </w:t>
      </w:r>
      <w:r w:rsidRPr="00400FEC">
        <w:rPr>
          <w:sz w:val="24"/>
          <w:szCs w:val="24"/>
        </w:rPr>
        <w:t>Department of Civil and Environmental Engineering, Massachusetts Institute of Technology, Cambridge, MA</w:t>
      </w:r>
    </w:p>
    <w:p w14:paraId="0A34E174" w14:textId="77777777" w:rsidR="00B80978" w:rsidRDefault="00B80978" w:rsidP="00B80978">
      <w:pPr>
        <w:ind w:left="90" w:hanging="90"/>
        <w:rPr>
          <w:sz w:val="24"/>
          <w:szCs w:val="24"/>
        </w:rPr>
      </w:pPr>
      <w:r>
        <w:rPr>
          <w:sz w:val="24"/>
          <w:szCs w:val="24"/>
          <w:vertAlign w:val="superscript"/>
        </w:rPr>
        <w:t>4</w:t>
      </w:r>
      <w:r>
        <w:rPr>
          <w:sz w:val="24"/>
          <w:szCs w:val="24"/>
        </w:rPr>
        <w:t xml:space="preserve"> </w:t>
      </w:r>
      <w:r w:rsidRPr="006A444D">
        <w:rPr>
          <w:sz w:val="24"/>
          <w:szCs w:val="24"/>
        </w:rPr>
        <w:t>NA</w:t>
      </w:r>
      <w:r>
        <w:rPr>
          <w:sz w:val="24"/>
          <w:szCs w:val="24"/>
        </w:rPr>
        <w:t>SA Goddard Space Flight Center</w:t>
      </w:r>
    </w:p>
    <w:p w14:paraId="29B9E799" w14:textId="77777777" w:rsidR="00B80978" w:rsidRPr="006A444D" w:rsidRDefault="00B80978" w:rsidP="00B80978">
      <w:pPr>
        <w:ind w:left="90" w:hanging="90"/>
        <w:rPr>
          <w:sz w:val="24"/>
          <w:szCs w:val="24"/>
        </w:rPr>
      </w:pPr>
      <w:r w:rsidRPr="006A444D">
        <w:rPr>
          <w:sz w:val="24"/>
          <w:szCs w:val="24"/>
          <w:vertAlign w:val="superscript"/>
        </w:rPr>
        <w:t>5</w:t>
      </w:r>
      <w:r>
        <w:rPr>
          <w:sz w:val="24"/>
          <w:szCs w:val="24"/>
        </w:rPr>
        <w:t xml:space="preserve"> </w:t>
      </w:r>
      <w:r w:rsidRPr="005D08E6">
        <w:rPr>
          <w:sz w:val="24"/>
          <w:szCs w:val="24"/>
        </w:rPr>
        <w:t>Department of Civil and Environmental Engineering</w:t>
      </w:r>
      <w:r>
        <w:rPr>
          <w:sz w:val="24"/>
          <w:szCs w:val="24"/>
        </w:rPr>
        <w:t xml:space="preserve">, </w:t>
      </w:r>
      <w:r w:rsidRPr="006A444D">
        <w:rPr>
          <w:sz w:val="24"/>
          <w:szCs w:val="24"/>
        </w:rPr>
        <w:t>Hong Kong University of Science and Technology</w:t>
      </w:r>
    </w:p>
    <w:p w14:paraId="5BF6A4DC" w14:textId="77777777" w:rsidR="00B80978" w:rsidRDefault="00B80978" w:rsidP="00B80978">
      <w:pPr>
        <w:rPr>
          <w:sz w:val="24"/>
          <w:szCs w:val="24"/>
        </w:rPr>
      </w:pPr>
    </w:p>
    <w:p w14:paraId="201F6251" w14:textId="77777777" w:rsidR="00B80978" w:rsidRDefault="00B80978" w:rsidP="00B80978">
      <w:pPr>
        <w:rPr>
          <w:sz w:val="24"/>
          <w:szCs w:val="24"/>
        </w:rPr>
      </w:pPr>
      <w:r w:rsidRPr="005D08E6">
        <w:rPr>
          <w:sz w:val="24"/>
          <w:szCs w:val="24"/>
        </w:rPr>
        <w:t>Corresponding author: Nathan C. Dadap (ndadap@stanford.edu)</w:t>
      </w:r>
    </w:p>
    <w:p w14:paraId="2F6E4CC1" w14:textId="77777777" w:rsidR="00B80978" w:rsidRDefault="00B80978" w:rsidP="00E07F47">
      <w:pPr>
        <w:rPr>
          <w:b/>
          <w:sz w:val="24"/>
        </w:rPr>
      </w:pPr>
    </w:p>
    <w:p w14:paraId="0546F6AA" w14:textId="77777777" w:rsidR="00B80978" w:rsidRDefault="00B80978" w:rsidP="00E07F47">
      <w:pPr>
        <w:rPr>
          <w:b/>
          <w:sz w:val="24"/>
        </w:rPr>
      </w:pPr>
    </w:p>
    <w:p w14:paraId="257565FE" w14:textId="77777777" w:rsidR="00B80978" w:rsidRDefault="00B80978">
      <w:pPr>
        <w:spacing w:line="259" w:lineRule="auto"/>
        <w:rPr>
          <w:b/>
          <w:sz w:val="24"/>
        </w:rPr>
      </w:pPr>
      <w:r>
        <w:rPr>
          <w:b/>
          <w:sz w:val="24"/>
        </w:rPr>
        <w:br w:type="page"/>
      </w:r>
    </w:p>
    <w:p w14:paraId="3CB83A67" w14:textId="535CAD69" w:rsidR="00E07F47" w:rsidRPr="0088048E" w:rsidRDefault="00E07F47" w:rsidP="00E07F47">
      <w:pPr>
        <w:rPr>
          <w:b/>
          <w:sz w:val="24"/>
        </w:rPr>
      </w:pPr>
      <w:r w:rsidRPr="0088048E">
        <w:rPr>
          <w:b/>
          <w:sz w:val="24"/>
        </w:rPr>
        <w:lastRenderedPageBreak/>
        <w:t>Supplementary Text I: Neural network model information</w:t>
      </w:r>
      <w:bookmarkStart w:id="0" w:name="_GoBack"/>
      <w:bookmarkEnd w:id="0"/>
    </w:p>
    <w:p w14:paraId="04AF43DD" w14:textId="394B1823" w:rsidR="00E07F47" w:rsidRDefault="00E07F47"/>
    <w:p w14:paraId="10E9BFFF" w14:textId="232BBD48" w:rsidR="00E07F47" w:rsidRDefault="00E07F47">
      <w:pPr>
        <w:rPr>
          <w:u w:val="single"/>
        </w:rPr>
      </w:pPr>
      <w:r w:rsidRPr="00E07F47">
        <w:rPr>
          <w:u w:val="single"/>
        </w:rPr>
        <w:t>Input feature information</w:t>
      </w:r>
    </w:p>
    <w:p w14:paraId="6588215D" w14:textId="5EA6EAA0" w:rsidR="00E07F47" w:rsidRPr="00E07F47" w:rsidRDefault="6EE16FD4" w:rsidP="00E07F47">
      <w:r>
        <w:t>Predictor features for the neural networks include data on climate, degradation, and location. Descriptions of the climate features are included in Section 2.</w:t>
      </w:r>
      <w:r w:rsidR="00101078">
        <w:t>3</w:t>
      </w:r>
      <w:r>
        <w:t>.</w:t>
      </w:r>
      <w:r w:rsidR="00101078">
        <w:t>2</w:t>
      </w:r>
      <w:r>
        <w:t xml:space="preserve"> of the main text. As noted in that section, degradation features used in the neural network model included percent of different land use types, tree cover fraction, drainage canal density, fire area, and fire count. Land use categories used included pristine forest, degraded forests, open/undeveloped areas, and smallholder and industrial plantations, following categorization by </w:t>
      </w:r>
      <w:r w:rsidR="009F7E72">
        <w:fldChar w:fldCharType="begin" w:fldLock="1"/>
      </w:r>
      <w:r w:rsidR="009F7E72">
        <w:instrText>ADDIN CSL_CITATION {"citationItems":[{"id":"ITEM-1","itemData":{"DOI":"10.1088/1748-9326/aa5b6f","ISSN":"17489326","abstract":"Tropical peatlands of the western part of insular Southeast Asia have experienced extensive land cover changes since 1990. Typically involving drainage, these land cover changes have resulted in increased peat oxidation in the upper peat profile. In this paper we provide current (2015) and cumulative carbon emissions estimates since 1990 from peat oxidation in Peninsular Malaysia, Sumatra and Borneo, utilizing newly published peatland land cover information and the recently agreed Intergovernmental Panel on Climate Change (IPCC) peat oxidation emission values for tropical peatland areas. Our results highlight the change of one of the Earth's most efficient long-term carbon sinks to a short-term emission source, with cumulative carbon emissions since 1990 estimated to have been in the order of 2.5 Gt C. Current (2015) levels of emissions are estimated at around 146 Mt C yr-1, with a range of 132-159 Mt C yr-1 depending on the selection of emissions factors for different land cover types. 44% (or 64 Mt C yr-1) of the emissions come from industrial plantations (mainly oil palm and Acacia pulpwood), followed by 34% (49 Mt C yr-1) of emissions from small-holder areas. Thus, altogether 78% of current peat oxidation emissions come from managed land cover types. Although based on the latest information, these estimates may still include considerable, yet currently unquantifiable, uncertainties (e.g. due to uncertainties in the extent of peatlands and drainage networks) which need to be focused on in future research. In comparison, fire induced carbon dioxide emissions over the past ten years for the entire equatorial Southeast Asia region have been estimated to average 122 Mt C yr-1 (www.globalfiredata.org/-index.html). The results emphasise that whilst reducing emissions from peat fires is important, urgent efforts are also needed to mitigate the constantly high level of emissions arising from peat drainage, regardless of fire occurrence.","author":[{"dropping-particle":"","family":"Miettinen","given":"Jukka","non-dropping-particle":"","parse-names":false,"suffix":""},{"dropping-particle":"","family":"Hooijer","given":"Aljosja","non-dropping-particle":"","parse-names":false,"suffix":""},{"dropping-particle":"","family":"Vernimmen","given":"Ronald","non-dropping-particle":"","parse-names":false,"suffix":""},{"dropping-particle":"","family":"Liew","given":"Soo Chin","non-dropping-particle":"","parse-names":false,"suffix":""},{"dropping-particle":"","family":"Page","given":"Susan E.","non-dropping-particle":"","parse-names":false,"suffix":""}],"container-title":"Environmental Research Letters","id":"ITEM-1","issue":"2","issued":{"date-parts":[["2017"]]},"page":"024014","title":"From carbon sink to carbon source: Extensive peat oxidation in insular Southeast Asia since 1990","type":"article-journal","volume":"12"},"uris":["http://www.mendeley.com/documents/?uuid=6fb9ceac-a722-4baf-bf2b-ce5de9002da4"]}],"mendeley":{"formattedCitation":"(Miettinen &lt;i&gt;et al&lt;/i&gt; 2017)","plainTextFormattedCitation":"(Miettinen et al 2017)","previouslyFormattedCitation":"(Miettinen &lt;i&gt;et al&lt;/i&gt; 2017)"},"properties":{"noteIndex":0},"schema":"https://github.com/citation-style-language/schema/raw/master/csl-citation.json"}</w:instrText>
      </w:r>
      <w:r w:rsidR="009F7E72">
        <w:fldChar w:fldCharType="separate"/>
      </w:r>
      <w:r w:rsidRPr="6EE16FD4">
        <w:rPr>
          <w:noProof/>
        </w:rPr>
        <w:t xml:space="preserve">(Miettinen </w:t>
      </w:r>
      <w:r w:rsidRPr="6EE16FD4">
        <w:rPr>
          <w:i/>
          <w:iCs/>
          <w:noProof/>
        </w:rPr>
        <w:t>et al</w:t>
      </w:r>
      <w:r w:rsidRPr="6EE16FD4">
        <w:rPr>
          <w:noProof/>
        </w:rPr>
        <w:t xml:space="preserve"> 2017)</w:t>
      </w:r>
      <w:r w:rsidR="009F7E72">
        <w:fldChar w:fldCharType="end"/>
      </w:r>
      <w:r>
        <w:t xml:space="preserve">. Land use data was derived from 2015 maps by </w:t>
      </w:r>
      <w:r w:rsidR="009F7E72">
        <w:fldChar w:fldCharType="begin" w:fldLock="1"/>
      </w:r>
      <w:r w:rsidR="009F7E72">
        <w:instrText>ADDIN CSL_CITATION {"citationItems":[{"id":"ITEM-1","itemData":{"DOI":"10.1016/j.gecco.2016.02.004","ISSN":"23519894","abstract":"Insular Southeast Asian peatlands have experienced rapid land cover changes over the past decades inducing a variety of environmental effects ranging from regional consequences on peatland ecology, biodiversity and hydrology to globally significant carbon emissions. In this paper we present the land cover and industrial plantation distribution in the peatlands of Peninsular Malaysia, Sumatra and Borneo in 2015 and analyse their changes since 1990. We create the 2015 maps by visual interpretation of 30 m resolution Landsat data and combine them with fully comparable and completed land cover maps of 1990 and 2007 (Miettinen and Liew, 2010). Our results reveal continued peatland deforestation and conversion into managed land cover types. In 2015, 29% (4.6 Mha) of the peatlands in the study area remain covered by peat swamp forest (vs. 41% or 6.4 Mha in 2007 and 76% or 11.9 Mha in 1990). Managed land cover types (industrial plantations and small-holder dominated areas) cover 50% (7.8 Mha) of all peatlands (vs. 33% 5.2 Mha in 2007 and 11% 1.7 Mha in 1990). Industrial plantations have nearly doubled their extent since 2007 (2.3 Mha; 15%) and cover 4.3 Mha (27%) of peatlands in 2015. The majority of these are oil palm plantations (73%; 3.1 Mha) while nearly all of the rest (26%; 1.1 Mha) are pulp wood plantations. We hope that the maps presented in this paper will enable improved evaluation of the magnitude of various regional to global level environmental effects of peatland conversion and that they will help decision makers to define sustainable peatland management policies for insular Southeast Asian peatlands.","author":[{"dropping-particle":"","family":"Miettinen","given":"Jukka","non-dropping-particle":"","parse-names":false,"suffix":""},{"dropping-particle":"","family":"Shi","given":"Chenghua","non-dropping-particle":"","parse-names":false,"suffix":""},{"dropping-particle":"","family":"Liew","given":"Soo Chin","non-dropping-particle":"","parse-names":false,"suffix":""}],"container-title":"Global Ecology and Conservation","id":"ITEM-1","issued":{"date-parts":[["2016"]]},"note":"Land cover change in peatlands\n\n2015:\n- ~50% decrease in peat swamp forest cover (down to 29% from 76% in 1990)\n- 50% is managed land cover (27% industrial plantations, 3:1 oil palm plantations:pulp wood plantations)\n\n- Annual Peat fires create transboundary haze episodes which cause health problems and economic losses\n\nMethods\nLandsat 7 Thermal and Landsat 8 Imager used\nGoogle earth Engine","page":"67-78","publisher":"Elsevier B.V.","title":"Land cover distribution in the peatlands of Peninsular Malaysia, Sumatra and Borneo in 2015 with changes since 1990","type":"article-journal","volume":"6"},"uris":["http://www.mendeley.com/documents/?uuid=6de7e1ea-2ae5-490a-b46a-b4bd5c7d6d36"]}],"mendeley":{"formattedCitation":"(Miettinen &lt;i&gt;et al&lt;/i&gt; 2016)","plainTextFormattedCitation":"(Miettinen et al 2016)","previouslyFormattedCitation":"(Miettinen &lt;i&gt;et al&lt;/i&gt; 2016)"},"properties":{"noteIndex":0},"schema":"https://github.com/citation-style-language/schema/raw/master/csl-citation.json"}</w:instrText>
      </w:r>
      <w:r w:rsidR="009F7E72">
        <w:fldChar w:fldCharType="separate"/>
      </w:r>
      <w:r w:rsidRPr="6EE16FD4">
        <w:rPr>
          <w:noProof/>
        </w:rPr>
        <w:t xml:space="preserve">(Miettinen </w:t>
      </w:r>
      <w:r w:rsidRPr="6EE16FD4">
        <w:rPr>
          <w:i/>
          <w:iCs/>
          <w:noProof/>
        </w:rPr>
        <w:t>et al</w:t>
      </w:r>
      <w:r w:rsidRPr="6EE16FD4">
        <w:rPr>
          <w:noProof/>
        </w:rPr>
        <w:t xml:space="preserve"> 2016)</w:t>
      </w:r>
      <w:r w:rsidR="009F7E72">
        <w:fldChar w:fldCharType="end"/>
      </w:r>
      <w:r>
        <w:t xml:space="preserve">, who visually interpreted Landsat images at 30 m. Analysis was limited to 9x9 km pixels with at least 50% land use of one type. Tree cover fraction data was from the Global Forest Cover Change 2015 dataset </w:t>
      </w:r>
      <w:r w:rsidR="009F7E72">
        <w:fldChar w:fldCharType="begin" w:fldLock="1"/>
      </w:r>
      <w:r w:rsidR="009F7E72">
        <w:instrText>ADDIN CSL_CITATION {"citationItems":[{"id":"ITEM-1","itemData":{"author":[{"dropping-particle":"","family":"Townshend","given":"J.","non-dropping-particle":"","parse-names":false,"suffix":""}],"id":"ITEM-1","issued":{"date-parts":[["2016"]]},"publisher":"NASA EOSDIS Land Processes DAAC","title":"Global Forest Cover Change (GFCC) Tree Cover Multi-Year Global 30 m V003 [Data set]","type":"article"},"uris":["http://www.mendeley.com/documents/?uuid=cad0b499-e72c-49ec-a22b-6097cde4a734"]}],"mendeley":{"formattedCitation":"(Townshend 2016)","plainTextFormattedCitation":"(Townshend 2016)","previouslyFormattedCitation":"(Townshend 2016)"},"properties":{"noteIndex":0},"schema":"https://github.com/citation-style-language/schema/raw/master/csl-citation.json"}</w:instrText>
      </w:r>
      <w:r w:rsidR="009F7E72">
        <w:fldChar w:fldCharType="separate"/>
      </w:r>
      <w:r w:rsidRPr="6EE16FD4">
        <w:rPr>
          <w:noProof/>
        </w:rPr>
        <w:t>(Townshend 2016)</w:t>
      </w:r>
      <w:r w:rsidR="009F7E72">
        <w:fldChar w:fldCharType="end"/>
      </w:r>
      <w:r>
        <w:t xml:space="preserve">. Tree cover fraction captures the extent of deforestation, and can affect soil moisture by altering a number of variables such as transpiration, shading, interception, etc. Drainage canal density, a measure of drainage canals length per unit area, was obtained from 2017 maps </w:t>
      </w:r>
      <w:r w:rsidR="009F7E72">
        <w:fldChar w:fldCharType="begin" w:fldLock="1"/>
      </w:r>
      <w:r w:rsidR="009F7E72">
        <w:instrText xml:space="preserve">ADDIN CSL_CITATION {"citationItems":[{"id":"ITEM-1","itemData":{"DOI":"10.1029/2020AV000321","abstract":"Key Points </w:instrText>
      </w:r>
      <w:r w:rsidR="009F7E72">
        <w:instrText xml:space="preserve"> We created the first map of drainage canals across Southeast Asian peatlands and find that they are present across 65% of the region. </w:instrText>
      </w:r>
      <w:r w:rsidR="009F7E72">
        <w:instrText xml:space="preserve"> There is substantial variation in drainage density within land use types, indicating that land use is a poor proxy for drainage. </w:instrText>
      </w:r>
      <w:r w:rsidR="009F7E72">
        <w:instrText xml:space="preserve"> Peat carbon emissions associated with subsidence are higher in areas with progressively more drainage canals. </w:instrText>
      </w:r>
      <w:r w:rsidR="009F7E72">
        <w:instrText> ESSOAr | https://doi. Abstract Drainage canals associated with logging and agriculture dry out organic soils in tropical peatlands, thereby threatening the viability of long-term carbon stores due to increased emissions from decomposition, fire, and fluvial transport. In Southeast Asian peatlands, which have experienced decades of land use change, the exact extent and spatial distribution of drainage canals are unknown. This has prevented regional-scale investigation of the relationships between drainage, land use, and carbon emissions. Here, we create the first regional map of drainage canals using high resolution satellite imagery and a convolutional neural network. We find that drainage is widespread-occurring in at least 65% of peatlands and across all land use types. Although previous estimates of peatland carbon emissions have relied on land use as a proxy for drainage, our maps show substantial variation in drainage density within land use types. Subsidence rates, and corresponding carbon losses from decomposition, are 3.2 times larger in intensively drained areas than in non-drained areas, highlighting the central role of drainage in mediating peat carbon fluxes. Accounting for drainage canals was found to improve a subsidence prediction model by 30%, suggesting that canals contain information about subsidence not captured by land use alone. Thus, our dataset can be used to improve carbon emissions predictions in peatlands and to target areas for hydrologic restoration.","author":[{"dropping-particle":"","family":"Dadap","given":"Nathan C","non-dropping-particle":"","parse-names":false,"suffix":""},{"dropping-particle":"","family":"Hoyt","given":"Alison M","non-dropping-particle":"","parse-names":false,"suffix":""},{"dropping-particle":"","family":"Cobb","given":"Alexander R","non-dropping-particle":"","parse-names":false,"suffix":""},{"dropping-particle":"","family":"Oner","given":"Doruk","non-dropping-particle":"","parse-names":false,"suffix":""},{"dropping-particle":"","family":"Kozinski","given":"Mateusz","non-dropping-particle":"","parse-names":false,"suffix":""},{"dropping-particle":"V","family":"Fua","given":"Pascal","non-dropping-particle":"","parse-names":false,"suffix":""},{"dropping-particle":"","family":"Rao","given":"Krishna","non-dropping-particle":"","parse-names":false,"suffix":""},{"dropping-particle":"","family":"Harvey","given":"Charles F","non-dropping-particle":"","parse-names":false,"suffix":""},{"dropping-particle":"","family":"Konings","given":"Alexandra G","non-dropping-particle":"","parse-names":false,"suffix":""}],"container-title":"AGU Advances","id":"ITEM-1","issue":"1","issued":{"date-parts":[["2021"]]},"page":"1-14","title":"Drainage Canals in Southeast Asian Peatlands Increase Carbon Emissions","type":"article-journal","volume":"2"},"uris":["http://www.mendeley.com/documents/?uuid=eaf39d0c-8a92-4298-b568-d1d1c58a0481"]}],"mendeley":{"formattedCitation":"(Dadap &lt;i&gt;et al&lt;/i&gt; 2021)","plainTextFormattedCitation":"(Dadap et al 2021)","previouslyFormattedCitation":"(Dadap &lt;i&gt;et al&lt;/i&gt; 2021)"},"properties":{"noteIndex":0},"schema":"https://github.com/citation-style-language/schema/raw/master/csl-citation.json"}</w:instrText>
      </w:r>
      <w:r w:rsidR="009F7E72">
        <w:fldChar w:fldCharType="separate"/>
      </w:r>
      <w:r w:rsidRPr="6EE16FD4">
        <w:rPr>
          <w:noProof/>
        </w:rPr>
        <w:t xml:space="preserve">(Dadap </w:t>
      </w:r>
      <w:r w:rsidRPr="6EE16FD4">
        <w:rPr>
          <w:i/>
          <w:iCs/>
          <w:noProof/>
        </w:rPr>
        <w:t>et al</w:t>
      </w:r>
      <w:r w:rsidRPr="6EE16FD4">
        <w:rPr>
          <w:noProof/>
        </w:rPr>
        <w:t xml:space="preserve"> 2021)</w:t>
      </w:r>
      <w:r w:rsidR="009F7E72">
        <w:fldChar w:fldCharType="end"/>
      </w:r>
      <w:r>
        <w:t xml:space="preserve">. Fire area and fire count were from 2012-2015 and calculated from the Visible Infrared Imaging Radiometer Suite (VIIRS) active fire product </w:t>
      </w:r>
      <w:r w:rsidR="009F7E72">
        <w:fldChar w:fldCharType="begin" w:fldLock="1"/>
      </w:r>
      <w:r w:rsidR="009F7E72">
        <w:instrText>ADDIN CSL_CITATION {"citationItems":[{"id":"ITEM-1","itemData":{"DOI":"10.1016/J.RSE.2013.12.008","ISSN":"0034-4257","abstract":"The first Visible Infrared Imaging Radiometer Suite (VIIRS) was launched in October 2011 aboard the Suomi-National Polar-orbiting Partnership (S-NPP) satellite. The VIIRS instrument carries two separate sets of multi-spectral channels providing full global coverage at both 375m and 750m nominal resolutions every 12h or less depending on the latitude. In this study, we introduce a new VIIRS active fire detection algorithm, which is driven primarily by the 375m middle and thermal infrared imagery data. The algorithm builds on the well-established MODIS Fire and Thermal Anomalies product using a contextual approach to detect both day and nighttime biomass burning and other thermal anomalies. Here we present the fire algorithm's design and implementation, including important information describing the input data characteristics and potential artifacts associated with pixel saturation and the South Atlantic Magnetic Anomaly, both found to affect the middle infrared channel data. Initial assessment using results derived from the global processing of the algorithm indicated small, although variable, commission errors (&lt;1.2%) for nominal confidence fire pixels. We achieved improved performance using the 375m active fire data compared to the VIIRS 750m baseline fire product, resulting in a 3× and 25× factor increase in the absolute number of fire pixels detected using day and nighttime data, respectively. Similarly, VIIRS 375m fire data showed significantly superior mapping capabilities compared to current MODIS fire detection data with improved consistency of fire perimeter delineation for biomass burning lasting multiple days.","author":[{"dropping-particle":"","family":"Schroeder","given":"Wilfrid","non-dropping-particle":"","parse-names":false,"suffix":""},{"dropping-particle":"","family":"Oliva","given":"Patricia","non-dropping-particle":"","parse-names":false,"suffix":""},{"dropping-particle":"","family":"Giglio","given":"Louis","non-dropping-particle":"","parse-names":false,"suffix":""},{"dropping-particle":"","family":"Csiszar","given":"Ivan A.","non-dropping-particle":"","parse-names":false,"suffix":""}],"container-title":"Remote Sensing of Environment","id":"ITEM-1","issued":{"date-parts":[["2014","3","5"]]},"page":"85-96","publisher":"Elsevier","title":"The New VIIRS 375 m active fire detection data product: Algorithm description and initial assessment","type":"article-journal","volume":"143"},"uris":["http://www.mendeley.com/documents/?uuid=a5deff65-182d-3073-bbb6-64837093da4a"]}],"mendeley":{"formattedCitation":"(Schroeder &lt;i&gt;et al&lt;/i&gt; 2014)","plainTextFormattedCitation":"(Schroeder et al 2014)","previouslyFormattedCitation":"(Schroeder &lt;i&gt;et al&lt;/i&gt; 2014)"},"properties":{"noteIndex":0},"schema":"https://github.com/citation-style-language/schema/raw/master/csl-citation.json"}</w:instrText>
      </w:r>
      <w:r w:rsidR="009F7E72">
        <w:fldChar w:fldCharType="separate"/>
      </w:r>
      <w:r w:rsidRPr="6EE16FD4">
        <w:rPr>
          <w:noProof/>
        </w:rPr>
        <w:t xml:space="preserve">(Schroeder </w:t>
      </w:r>
      <w:r w:rsidRPr="6EE16FD4">
        <w:rPr>
          <w:i/>
          <w:iCs/>
          <w:noProof/>
        </w:rPr>
        <w:t>et al</w:t>
      </w:r>
      <w:r w:rsidRPr="6EE16FD4">
        <w:rPr>
          <w:noProof/>
        </w:rPr>
        <w:t xml:space="preserve"> 2014)</w:t>
      </w:r>
      <w:r w:rsidR="009F7E72">
        <w:fldChar w:fldCharType="end"/>
      </w:r>
      <w:r>
        <w:t>. Fire count includes the same spatial areas as the fire area variable, but also accounts for repeated fires. Fires are both a cause and effect of peatland degradation, since they can burn layers of peat and also clear aboveground vegetation. Together, these data constituted the degradation features (Supplementary Table 1).</w:t>
      </w:r>
    </w:p>
    <w:p w14:paraId="3274DE3A" w14:textId="77777777" w:rsidR="00E07F47" w:rsidRPr="00E07F47" w:rsidRDefault="00E07F47" w:rsidP="00E07F47">
      <w:pPr>
        <w:rPr>
          <w:szCs w:val="24"/>
        </w:rPr>
      </w:pPr>
    </w:p>
    <w:p w14:paraId="487E310F" w14:textId="1B99CADF" w:rsidR="00E07F47" w:rsidRPr="00E07F47" w:rsidRDefault="6EE16FD4" w:rsidP="00E07F47">
      <w:r>
        <w:t xml:space="preserve">Location information including latitude, longitude, region, and distance from the edge of the peat boundary were also included as predictors. Use of latitude and longitude in deep learning models is a common practice (e.g., </w:t>
      </w:r>
      <w:r w:rsidR="00E07F47">
        <w:fldChar w:fldCharType="begin" w:fldLock="1"/>
      </w:r>
      <w:r w:rsidR="00E07F47">
        <w:instrText>ADDIN CSL_CITATION {"citationItems":[{"id":"ITEM-1","itemData":{"DOI":"10.1080/01431161.2015.1042121","ISSN":"13665901","abstract":"Ommastrephes bartramii is a short-lived species of squid and reacts rapidly to changes in the regional environmental conditions of the fishing ground. Understanding the preferred range of key environmental variables and predicting potential resource distributions are critical to conserve and manage its resources. Commercial fishery data for the western winter–spring cohort of O. bartramii from Chinese squid-jigging vessels during 2003–2013 were used to evaluate a suitable range of three key environmental variables, sea surface temperature (SST), sea surface height (SSH), and chlorophyll-a (chl-a) concentration, and to explore potential fishing zones (PFZs) using an artificial neural network. The neural interpretation diagram and independent variable relevance analysis indicate that month, latitude, and SST had significant influences on the PFZ distribution of O. bartramii, yielding 21.78%, 23.91%, and 26.04% of contribution rates, respectively. Based on the sensitivity analyses, a high abundance of O. bartramii mainly occurred in the waters between 150°–165° E and 37°–42° N during July to August. Suitable ranges of environmental variables for O. bartramii were 11–18°C for SST, −10 to 60 cm for SSH, and 0.1–1.7 mg/m3 for chl-a concentration, respectively. The back-propagation network model was well developed and could be used to predict the PFZ with 80% accuracy. The actual fishing grounds coincided with the predicted PFZ, suggesting that the established model of PFZ is effective in forecasting the potential habitat of O. bartramii in the Northwest Pacific Ocean.","author":[{"dropping-particle":"","family":"Wang","given":"Jintao","non-dropping-particle":"","parse-names":false,"suffix":""},{"dropping-particle":"","family":"Yu","given":"Wei","non-dropping-particle":"","parse-names":false,"suffix":""},{"dropping-particle":"","family":"Chen","given":"Xinjun","non-dropping-particle":"","parse-names":false,"suffix":""},{"dropping-particle":"","family":"Lei","given":"Lin","non-dropping-particle":"","parse-names":false,"suffix":""},{"dropping-particle":"","family":"Chen","given":"Yong","non-dropping-particle":"","parse-names":false,"suffix":""}],"container-title":"International Journal of Remote Sensing","id":"ITEM-1","issue":"13","issued":{"date-parts":[["2015","7","3"]]},"page":"3317-3330","publisher":"Taylor and Francis Ltd.","title":"Detection of potential fishing zones for neon flying squid based on remote-sensing data in the Northwest Pacific Ocean using an artificial neural network","type":"article-journal","volume":"36"},"uris":["http://www.mendeley.com/documents/?uuid=65f2ce30-22ea-3879-bd78-289690d3a451"]},{"id":"ITEM-2","itemData":{"DOI":"10.1016/j.rse.2017.10.011","ISSN":"00344257","abstract":"Effective and accurate monitoring of grassland above-ground biomass (AGB) is important for pastoral agriculture planning and management. In this study, we combined 1433 AGB field measurements and remotely sensed data with the goal of establishing a suitable model for estimating grassland AGB in the Three-River Headwaters Region (TRHR) of China, which is one of the most sensitive regions to the warming climate. A back-propagation artificial neural network (BP ANN) was used to select the variables that contribute the most to the model's estimation of AGB, and then we built the model. Out of 13 variables, 5 variables were selected to build the BP ANN model, and we used cross validation for the accuracy assessment. The results show that: (1) the modeled mean AGB (2001–2016) provides a reasonable spatial distribution that is similar to the field measurements but reveals more details and has better spatial coverage than the limited field measurements are able to provide; (2) the overall trend of AGB in the TRHR is increasing more than decreasing (44.4% vs 29.2%, respectively) and has a stable area of 26.4%; and (3) the BP ANN model achieves better results than do the traditional multi-factor regression models (R2: 0.75–0.85 vs 0.40–0.64, RMSE: 355–462 vs 537–689 kg DW/ha). This study presents an effective and operational BP ANN model that estimates grassland AGB for the study area with high accuracy at 500 m spatial resolution, providing a scientific basis for the determination of reasonable stocking capacity and possible future development.","author":[{"dropping-particle":"","family":"Yang","given":"Shuxia","non-dropping-particle":"","parse-names":false,"suffix":""},{"dropping-particle":"","family":"Feng","given":"Qisheng","non-dropping-particle":"","parse-names":false,"suffix":""},{"dropping-particle":"","family":"Liang","given":"Tiangang","non-dropping-particle":"","parse-names":false,"suffix":""},{"dropping-particle":"","family":"Liu","given":"Baokang","non-dropping-particle":"","parse-names":false,"suffix":""},{"dropping-particle":"","family":"Zhang","given":"Wenjuan","non-dropping-particle":"","parse-names":false,"suffix":""},{"dropping-particle":"","family":"Xie","given":"Hongjie","non-dropping-particle":"","parse-names":false,"suffix":""}],"container-title":"Remote Sensing of Environment","id":"ITEM-2","issue":"October 2017","issued":{"date-parts":[["2018"]]},"page":"448-455","publisher":"Elsevier","title":"Modeling grassland above-ground biomass based on artificial neural network and remote sensing in the Three-River Headwaters Region","type":"article-journal","volume":"204"},"uris":["http://www.mendeley.com/documents/?uuid=2fc2aef9-955a-4623-b18a-e52a84e72514"]},{"id":"ITEM-3","itemData":{"DOI":"10.1080/01431161.2018.1557792","ISSN":"13665901","abstract":"The objective of the present study is to monitor and predict the changes in land surface temperature (LST) in the North of Jordan during the Period 2000 to 2016. Due to political instability in the nearby countries Syria and Iraq, Jordan has witnessed increased influxes of refugees, starting from the year 2003, which has been led to the urban expansion in the area that reflected on the climatic conditions and affected the LST values. Satellite images were used for providing LST, the acquired images represented two seasons of each year, namely summer and winter. Simulation and prediction of LST values for the next 10 years were carried out using nonlinear autoregressive exogenous (NARX) artificial neural network (ANN) model. The inputs to the model consist of meteorological data collected from eight stations in the study area, population, and land use and land cover (LULC). In fact, LULC was expressed in terms of normalized difference building index (NDBI) and normalized difference vegetation index (NDVI) that were obtained from satellite images. The model showed a high correlation between these parameters and the values of simulated LST, where the correlation coefficient for the training set, validation set, testing set and for the entire data ranged from 0.91 to 0.92. Based on the predicted LST values, LST maps for the next 10 years were developed and compared with the present actual LST maps for the year 2016. The comparison has shown an average increase of 1.1 ° C in the average LST values, which is considered a significant increase compared with previous studies.","author":[{"dropping-particle":"","family":"Shatnawi","given":"Nawras","non-dropping-particle":"","parse-names":false,"suffix":""},{"dropping-particle":"","family":"Abu Qdais","given":"Hani","non-dropping-particle":"","parse-names":false,"suffix":""}],"container-title":"International Journal of Remote Sensing","id":"ITEM-3","issue":"10","issued":{"date-parts":[["2019"]]},"page":"3968-3983","publisher":"Taylor &amp; Francis","title":"Mapping urban land surface temperature using remote sensing techniques and artificial neural network modelling","type":"article-journal","volume":"40"},"uris":["http://www.mendeley.com/documents/?uuid=f5c1e928-4b26-487e-b2cf-1dc77414d223"]}],"mendeley":{"formattedCitation":"(Wang &lt;i&gt;et al&lt;/i&gt; 2015, Yang &lt;i&gt;et al&lt;/i&gt; 2018, Shatnawi and Abu Qdais 2019)","manualFormatting":"Wang et al 2015, Yang et al 2018, Shatnawi and Abu Qdais 2019","plainTextFormattedCitation":"(Wang et al 2015, Yang et al 2018, Shatnawi and Abu Qdais 2019)","previouslyFormattedCitation":"(Wang &lt;i&gt;et al&lt;/i&gt; 2015, Yang &lt;i&gt;et al&lt;/i&gt; 2018, Shatnawi and Abu Qdais 2019)"},"properties":{"noteIndex":0},"schema":"https://github.com/citation-style-language/schema/raw/master/csl-citation.json"}</w:instrText>
      </w:r>
      <w:r w:rsidR="00E07F47">
        <w:fldChar w:fldCharType="separate"/>
      </w:r>
      <w:r w:rsidRPr="6EE16FD4">
        <w:rPr>
          <w:noProof/>
        </w:rPr>
        <w:t xml:space="preserve">Wang </w:t>
      </w:r>
      <w:r w:rsidRPr="6EE16FD4">
        <w:rPr>
          <w:i/>
          <w:iCs/>
          <w:noProof/>
        </w:rPr>
        <w:t>et al</w:t>
      </w:r>
      <w:r w:rsidRPr="6EE16FD4">
        <w:rPr>
          <w:noProof/>
        </w:rPr>
        <w:t xml:space="preserve"> 2015, Yang </w:t>
      </w:r>
      <w:r w:rsidRPr="6EE16FD4">
        <w:rPr>
          <w:i/>
          <w:iCs/>
          <w:noProof/>
        </w:rPr>
        <w:t>et al</w:t>
      </w:r>
      <w:r w:rsidRPr="6EE16FD4">
        <w:rPr>
          <w:noProof/>
        </w:rPr>
        <w:t xml:space="preserve"> 2018, Shatnawi and Abu Qdais 2019</w:t>
      </w:r>
      <w:r w:rsidR="00E07F47">
        <w:fldChar w:fldCharType="end"/>
      </w:r>
      <w:r>
        <w:t>, etc) that enables accounting for possible spatial autocorrelation in unaccounted-for factors affecting soil moisture, such as land use history, peat physical properties, and land management practices (e.g., maintenance of water level, mechanical compaction, etc). The use of region as an input feature serves a similar purpose and refers to four geographic areas: Northwest (Peninsular Malaysia and Sumatra north of the equator), Northeast (northern Borneo), Southwest (southern Sumatra), and Southeast (southern Borneo). Distance from peat edge refers to the distance from the center of a given pixel to the edge of the peat</w:t>
      </w:r>
      <w:r w:rsidR="00BE4DF4">
        <w:t>lands</w:t>
      </w:r>
      <w:r>
        <w:t xml:space="preserve"> defined in </w:t>
      </w:r>
      <w:r w:rsidR="00E07F47">
        <w:fldChar w:fldCharType="begin" w:fldLock="1"/>
      </w:r>
      <w:r w:rsidR="00E07F47">
        <w:instrText>ADDIN CSL_CITATION {"citationItems":[{"id":"ITEM-1","itemData":{"DOI":"10.1016/j.gecco.2016.02.004","ISSN":"23519894","abstract":"Insular Southeast Asian peatlands have experienced rapid land cover changes over the past decades inducing a variety of environmental effects ranging from regional consequences on peatland ecology, biodiversity and hydrology to globally significant carbon emissions. In this paper we present the land cover and industrial plantation distribution in the peatlands of Peninsular Malaysia, Sumatra and Borneo in 2015 and analyse their changes since 1990. We create the 2015 maps by visual interpretation of 30 m resolution Landsat data and combine them with fully comparable and completed land cover maps of 1990 and 2007 (Miettinen and Liew, 2010). Our results reveal continued peatland deforestation and conversion into managed land cover types. In 2015, 29% (4.6 Mha) of the peatlands in the study area remain covered by peat swamp forest (vs. 41% or 6.4 Mha in 2007 and 76% or 11.9 Mha in 1990). Managed land cover types (industrial plantations and small-holder dominated areas) cover 50% (7.8 Mha) of all peatlands (vs. 33% 5.2 Mha in 2007 and 11% 1.7 Mha in 1990). Industrial plantations have nearly doubled their extent since 2007 (2.3 Mha; 15%) and cover 4.3 Mha (27%) of peatlands in 2015. The majority of these are oil palm plantations (73%; 3.1 Mha) while nearly all of the rest (26%; 1.1 Mha) are pulp wood plantations. We hope that the maps presented in this paper will enable improved evaluation of the magnitude of various regional to global level environmental effects of peatland conversion and that they will help decision makers to define sustainable peatland management policies for insular Southeast Asian peatlands.","author":[{"dropping-particle":"","family":"Miettinen","given":"Jukka","non-dropping-particle":"","parse-names":false,"suffix":""},{"dropping-particle":"","family":"Shi","given":"Chenghua","non-dropping-particle":"","parse-names":false,"suffix":""},{"dropping-particle":"","family":"Liew","given":"Soo Chin","non-dropping-particle":"","parse-names":false,"suffix":""}],"container-title":"Global Ecology and Conservation","id":"ITEM-1","issued":{"date-parts":[["2016"]]},"note":"Land cover change in peatlands\n\n2015:\n- ~50% decrease in peat swamp forest cover (down to 29% from 76% in 1990)\n- 50% is managed land cover (27% industrial plantations, 3:1 oil palm plantations:pulp wood plantations)\n\n- Annual Peat fires create transboundary haze episodes which cause health problems and economic losses\n\nMethods\nLandsat 7 Thermal and Landsat 8 Imager used\nGoogle earth Engine","page":"67-78","publisher":"Elsevier B.V.","title":"Land cover distribution in the peatlands of Peninsular Malaysia, Sumatra and Borneo in 2015 with changes since 1990","type":"article-journal","volume":"6"},"uris":["http://www.mendeley.com/documents/?uuid=6de7e1ea-2ae5-490a-b46a-b4bd5c7d6d36"]}],"mendeley":{"formattedCitation":"(Miettinen &lt;i&gt;et al&lt;/i&gt; 2016)","manualFormatting":"Miettinen et al (2016)","plainTextFormattedCitation":"(Miettinen et al 2016)","previouslyFormattedCitation":"(Miettinen &lt;i&gt;et al&lt;/i&gt; 2016)"},"properties":{"noteIndex":0},"schema":"https://github.com/citation-style-language/schema/raw/master/csl-citation.json"}</w:instrText>
      </w:r>
      <w:r w:rsidR="00E07F47">
        <w:fldChar w:fldCharType="separate"/>
      </w:r>
      <w:r w:rsidRPr="6EE16FD4">
        <w:rPr>
          <w:noProof/>
        </w:rPr>
        <w:t xml:space="preserve">Miettinen </w:t>
      </w:r>
      <w:r w:rsidRPr="6EE16FD4">
        <w:rPr>
          <w:i/>
          <w:iCs/>
          <w:noProof/>
        </w:rPr>
        <w:t>et al</w:t>
      </w:r>
      <w:r w:rsidRPr="6EE16FD4">
        <w:rPr>
          <w:noProof/>
        </w:rPr>
        <w:t xml:space="preserve"> (2016)</w:t>
      </w:r>
      <w:r w:rsidR="00E07F47">
        <w:fldChar w:fldCharType="end"/>
      </w:r>
      <w:r>
        <w:t xml:space="preserve">. It is a proxy for distance from the nearest river/stream and depth of peat </w:t>
      </w:r>
      <w:r w:rsidR="00E07F47">
        <w:fldChar w:fldCharType="begin" w:fldLock="1"/>
      </w:r>
      <w:r w:rsidR="00E07F47">
        <w:instrText>ADDIN CSL_CITATION {"citationItems":[{"id":"ITEM-1","itemData":{"DOI":"10.1038/s41561-020-0575-4","ISSN":"1752-0908","author":[{"dropping-particle":"","family":"Hoyt","given":"Alison M","non-dropping-particle":"","parse-names":false,"suffix":""},{"dropping-particle":"","family":"Chaussard","given":"Estelle","non-dropping-particle":"","parse-names":false,"suffix":""},{"dropping-particle":"","family":"Seppalainen","given":"Sandra","non-dropping-particle":"","parse-names":false,"suffix":""},{"dropping-particle":"","family":"Harvey","given":"Charles","non-dropping-particle":"","parse-names":false,"suffix":""}],"container-title":"Nature Geoscience","id":"ITEM-1","issued":{"date-parts":[["2020"]]},"note":"From Duplicate 1 (Widespread Subsidence and Carbon Emissions across Southeast Asia Peatlands - Hoyt, Alison; Chaussard, Estelle; Seppalainen, Sandra; Harvey, Charles)\n\nsubsidence\n- agriculture and degraded similar to plantations\n- predictors: increases with distance from river (large scale, opposite for small scale)), decreases wtih time since drainage\nmean of 2.2\n- other factors: peat depth, degree of decomposition, mineral content, temperature\n\n132-159 MtC/yr from Miettinen","page":"435-440","publisher":"Springer US","title":"Widespread Subsidence and Carbon Emissions across Southeast Asia Peatlands","type":"article-journal","volume":"13"},"uris":["http://www.mendeley.com/documents/?uuid=0204af54-2afb-43f7-96c2-f9a6aad2f990"]}],"mendeley":{"formattedCitation":"(Hoyt &lt;i&gt;et al&lt;/i&gt; 2020)","plainTextFormattedCitation":"(Hoyt et al 2020)","previouslyFormattedCitation":"(Hoyt &lt;i&gt;et al&lt;/i&gt; 2020)"},"properties":{"noteIndex":0},"schema":"https://github.com/citation-style-language/schema/raw/master/csl-citation.json"}</w:instrText>
      </w:r>
      <w:r w:rsidR="00E07F47">
        <w:fldChar w:fldCharType="separate"/>
      </w:r>
      <w:r w:rsidRPr="6EE16FD4">
        <w:rPr>
          <w:noProof/>
        </w:rPr>
        <w:t xml:space="preserve">(Hoyt </w:t>
      </w:r>
      <w:r w:rsidRPr="6EE16FD4">
        <w:rPr>
          <w:i/>
          <w:iCs/>
          <w:noProof/>
        </w:rPr>
        <w:t>et al</w:t>
      </w:r>
      <w:r w:rsidRPr="6EE16FD4">
        <w:rPr>
          <w:noProof/>
        </w:rPr>
        <w:t xml:space="preserve"> 2020)</w:t>
      </w:r>
      <w:r w:rsidR="00E07F47">
        <w:fldChar w:fldCharType="end"/>
      </w:r>
      <w:r>
        <w:t xml:space="preserve">. </w:t>
      </w:r>
    </w:p>
    <w:p w14:paraId="010E416E" w14:textId="50145516" w:rsidR="00E07F47" w:rsidRDefault="00E07F47" w:rsidP="00E07F47">
      <w:pPr>
        <w:rPr>
          <w:szCs w:val="24"/>
        </w:rPr>
      </w:pPr>
    </w:p>
    <w:p w14:paraId="09D053AD" w14:textId="457B0501" w:rsidR="00E07F47" w:rsidRPr="00E07F47" w:rsidRDefault="00E07F47" w:rsidP="00E07F47">
      <w:pPr>
        <w:rPr>
          <w:szCs w:val="24"/>
          <w:u w:val="single"/>
        </w:rPr>
      </w:pPr>
      <w:r>
        <w:rPr>
          <w:szCs w:val="24"/>
          <w:u w:val="single"/>
        </w:rPr>
        <w:t>Dry season definition</w:t>
      </w:r>
    </w:p>
    <w:p w14:paraId="26B6E502" w14:textId="47294244" w:rsidR="00E07F47" w:rsidRPr="00E07F47" w:rsidRDefault="00E07F47" w:rsidP="00E07F47">
      <w:pPr>
        <w:rPr>
          <w:szCs w:val="24"/>
        </w:rPr>
      </w:pPr>
      <w:r w:rsidRPr="00E07F47">
        <w:rPr>
          <w:szCs w:val="24"/>
        </w:rPr>
        <w:t xml:space="preserve">There are two dominant climate regimes in the study area </w:t>
      </w:r>
      <w:r w:rsidR="009F7E72">
        <w:rPr>
          <w:szCs w:val="24"/>
        </w:rPr>
        <w:fldChar w:fldCharType="begin" w:fldLock="1"/>
      </w:r>
      <w:r w:rsidR="00005DA9">
        <w:rPr>
          <w:szCs w:val="24"/>
        </w:rPr>
        <w:instrText>ADDIN CSL_CITATION {"citationItems":[{"id":"ITEM-1","itemData":{"DOI":"10.1002/joc.950","ISSN":"08998418","abstract":"The characteristics of climatic rainfall variability in Indonesia are investigated using a double correlation method. The results are compared with empirical orthogonal function (EOF) and rotated EOF methods. In addition, local and remote responses to sea-surface temperature (SST) are discussed. The results suggest three climatic regions in Indonesia with their distinct characteristics. Region A is located in southern Indonesia from south Sumatera to Timor island, southern Kalimantan, Sulawesi and part of Irian Jaya. Region B is located in northwest Indonesia from northern Sumatra to northwestern Kalimantan. Region C encompasses Maluku and northern Sulawesi. All three regions show both strong annual and, except Region A, semi-annual variability. Region C shows the strongest El Niño-southern oscillation (ENSO) influence, followed by Region A. In Region B, the ENSO-related signal is suppressed. Except for Region B, there are significant correlations between SST and the rainfall variabilities, indicating a strong possibility for seasonal climate predictions. March to May is the most difficult season to predict the rainfall variability. From June to November, there are significant responses of the rainfall pattern to ENSO in Regions A and C. A strong ENSO influence during this normally dry season (June to September) is hazardous in El Niño years, because the negative response means that higher SST in the NIÑO3 of the Pacific region will lower the rainfall amount over the Indonesian region. Analyses of Indonesian rainfall variability reveal some sensitivities to SST variabilities in adjacent parts of the Indian and Pacific Oceans. © 2003 Royal Meteorological Society.","author":[{"dropping-particle":"","family":"Aldrian","given":"Edvin","non-dropping-particle":"","parse-names":false,"suffix":""},{"dropping-particle":"","family":"Dwi Susanto","given":"R.","non-dropping-particle":"","parse-names":false,"suffix":""}],"container-title":"International Journal of Climatology","id":"ITEM-1","issue":"12","issued":{"date-parts":[["2003","10","1"]]},"page":"1435-1452","publisher":"John Wiley &amp; Sons, Ltd.","title":"Identification of three dominant rainfall regions within Indonesia and their relationship to sea surface temperature","type":"article-journal","volume":"23"},"uris":["http://www.mendeley.com/documents/?uuid=586f84c0-974a-4618-8900-e6352766a64f"]}],"mendeley":{"formattedCitation":"(Aldrian and Dwi Susanto 2003)","plainTextFormattedCitation":"(Aldrian and Dwi Susanto 2003)","previouslyFormattedCitation":"(Aldrian and Dwi Susanto 2003)"},"properties":{"noteIndex":0},"schema":"https://github.com/citation-style-language/schema/raw/master/csl-citation.json"}</w:instrText>
      </w:r>
      <w:r w:rsidR="009F7E72">
        <w:rPr>
          <w:szCs w:val="24"/>
        </w:rPr>
        <w:fldChar w:fldCharType="separate"/>
      </w:r>
      <w:r w:rsidR="00C723F0" w:rsidRPr="00C723F0">
        <w:rPr>
          <w:noProof/>
          <w:szCs w:val="24"/>
        </w:rPr>
        <w:t>(Aldrian and Dwi Susanto 2003)</w:t>
      </w:r>
      <w:r w:rsidR="009F7E72">
        <w:rPr>
          <w:szCs w:val="24"/>
        </w:rPr>
        <w:fldChar w:fldCharType="end"/>
      </w:r>
      <w:r w:rsidRPr="00E07F47">
        <w:rPr>
          <w:szCs w:val="24"/>
        </w:rPr>
        <w:t xml:space="preserve">. Southern Sumatra, Central Kalimantan, and Northwest Borneo experience one dry season from June-October. North Sumatra, Peninsular Malaysia, West Kalimantan, and Northeast Borneo experience two dry seasons in February and June-August. To account for such geographic differences, the dry season was defined independently for each pixel based on the monthly precipitation climatology obtained from 1979-2020 ERA5 reference reanalysis data. Here, the dry season was defined to include any months with monthly average precipitation within the lower third of the annual range, following </w:t>
      </w:r>
      <w:r w:rsidRPr="00E07F47">
        <w:rPr>
          <w:szCs w:val="24"/>
        </w:rPr>
        <w:fldChar w:fldCharType="begin" w:fldLock="1"/>
      </w:r>
      <w:r w:rsidR="00005DA9">
        <w:rPr>
          <w:szCs w:val="24"/>
        </w:rPr>
        <w:instrText>ADDIN CSL_CITATION {"citationItems":[{"id":"ITEM-1","itemData":{"DOI":"10.1073/pnas.0611338104","ISSN":"00278424","PMID":"17360360","abstract":"Despite early speculation to the contrary, all tropical forests studied to date display seasonal variations in the presence of new leaves, flowers, and fruits. Past studies were focused on the timing of phenological events and their cues but not on the accompanying changes in leaf area that regulate vegetation-atmosphere exchanges of energy, momentum, and mass. Here we report, from analysis of 5 years of recent satellite data, seasonal swings in green leaf area of ≈25% in a majority of the Amazon rainforests. This seasonal cycle is timed to the seasonality of solar radiation in a manner that is suggestive of anticipatory and opportunistic patterns of net leaf flushing during the early to mid part of the light-rich dry season and net leaf abscission during the cloudy wet season. These seasonal swings in leaf area may be critical to initiation of the transition from dry to wet season, seasonal carbon balance between photosynthetic gains and respiratory losses, and litterfall nutrient cycling in moist tropical forests. © 2007 by The National Academy of Sciences of the USA.","author":[{"dropping-particle":"","family":"Myneni","given":"Ranga B.","non-dropping-particle":"","parse-names":false,"suffix":""},{"dropping-particle":"","family":"Yang","given":"Wenze","non-dropping-particle":"","parse-names":false,"suffix":""},{"dropping-particle":"","family":"Nemani","given":"Ramakrishna R.","non-dropping-particle":"","parse-names":false,"suffix":""},{"dropping-particle":"","family":"Huete","given":"Alfredo R.","non-dropping-particle":"","parse-names":false,"suffix":""},{"dropping-particle":"","family":"Dickinson","given":"Robert E.","non-dropping-particle":"","parse-names":false,"suffix":""},{"dropping-particle":"","family":"Knyazikhin","given":"Yuri","non-dropping-particle":"","parse-names":false,"suffix":""},{"dropping-particle":"","family":"Didan","given":"Kamel","non-dropping-particle":"","parse-names":false,"suffix":""},{"dropping-particle":"","family":"Fu","given":"Rong","non-dropping-particle":"","parse-names":false,"suffix":""},{"dropping-particle":"","family":"Negrón Juárez","given":"Robinson I.","non-dropping-particle":"","parse-names":false,"suffix":""},{"dropping-particle":"","family":"Saatchi","given":"Sasan S.","non-dropping-particle":"","parse-names":false,"suffix":""},{"dropping-particle":"","family":"Hashimoto","given":"Hirofumi","non-dropping-particle":"","parse-names":false,"suffix":""},{"dropping-particle":"","family":"Ichii","given":"Kazuhito","non-dropping-particle":"","parse-names":false,"suffix":""},{"dropping-particle":"V.","family":"Shabanov","given":"Nikolay","non-dropping-particle":"","parse-names":false,"suffix":""},{"dropping-particle":"","family":"Tan","given":"Bin","non-dropping-particle":"","parse-names":false,"suffix":""},{"dropping-particle":"","family":"Ratana","given":"Piyachat","non-dropping-particle":"","parse-names":false,"suffix":""},{"dropping-particle":"","family":"Privette","given":"Jeffrey L.","non-dropping-particle":"","parse-names":false,"suffix":""},{"dropping-particle":"","family":"Morisette","given":"Jeffrey T.","non-dropping-particle":"","parse-names":false,"suffix":""},{"dropping-particle":"","family":"Vermote","given":"Eric F.","non-dropping-particle":"","parse-names":false,"suffix":""},{"dropping-particle":"","family":"Roy","given":"David P.","non-dropping-particle":"","parse-names":false,"suffix":""},{"dropping-particle":"","family":"Wolfe","given":"Robert E.","non-dropping-particle":"","parse-names":false,"suffix":""},{"dropping-particle":"","family":"Friedl","given":"Mark A.","non-dropping-particle":"","parse-names":false,"suffix":""},{"dropping-particle":"","family":"Running","given":"Steven W.","non-dropping-particle":"","parse-names":false,"suffix":""},{"dropping-particle":"","family":"Votava","given":"Petr","non-dropping-particle":"","parse-names":false,"suffix":""},{"dropping-particle":"","family":"El-Saleous","given":"Nazmi","non-dropping-particle":"","parse-names":false,"suffix":""},{"dropping-particle":"","family":"Devadiga","given":"Sadashiva","non-dropping-particle":"","parse-names":false,"suffix":""},{"dropping-particle":"","family":"Su","given":"Yin","non-dropping-particle":"","parse-names":false,"suffix":""},{"dropping-particle":"V.","family":"Salomonson","given":"Vincent","non-dropping-particle":"","parse-names":false,"suffix":""}],"container-title":"Proceedings of the National Academy of Sciences of the United States of America","id":"ITEM-1","issue":"12","issued":{"date-parts":[["2007"]]},"page":"4820-4823","title":"Large seasonal swings in leaf area of Amazon rainforests","type":"article-journal","volume":"104"},"uris":["http://www.mendeley.com/documents/?uuid=119ef532-6b03-4632-9b79-c96533333e00"]}],"mendeley":{"formattedCitation":"(Myneni &lt;i&gt;et al&lt;/i&gt; 2007)","plainTextFormattedCitation":"(Myneni et al 2007)","previouslyFormattedCitation":"(Myneni &lt;i&gt;et al&lt;/i&gt; 2007)"},"properties":{"noteIndex":0},"schema":"https://github.com/citation-style-language/schema/raw/master/csl-citation.json"}</w:instrText>
      </w:r>
      <w:r w:rsidRPr="00E07F47">
        <w:rPr>
          <w:szCs w:val="24"/>
        </w:rPr>
        <w:fldChar w:fldCharType="separate"/>
      </w:r>
      <w:r w:rsidR="00C723F0" w:rsidRPr="00C723F0">
        <w:rPr>
          <w:noProof/>
          <w:szCs w:val="24"/>
        </w:rPr>
        <w:t xml:space="preserve">(Myneni </w:t>
      </w:r>
      <w:r w:rsidR="00C723F0" w:rsidRPr="00C723F0">
        <w:rPr>
          <w:i/>
          <w:noProof/>
          <w:szCs w:val="24"/>
        </w:rPr>
        <w:t>et al</w:t>
      </w:r>
      <w:r w:rsidR="00C723F0" w:rsidRPr="00C723F0">
        <w:rPr>
          <w:noProof/>
          <w:szCs w:val="24"/>
        </w:rPr>
        <w:t xml:space="preserve"> 2007)</w:t>
      </w:r>
      <w:r w:rsidRPr="00E07F47">
        <w:rPr>
          <w:szCs w:val="24"/>
        </w:rPr>
        <w:fldChar w:fldCharType="end"/>
      </w:r>
      <w:r w:rsidRPr="00E07F47">
        <w:rPr>
          <w:szCs w:val="24"/>
        </w:rPr>
        <w:t xml:space="preserve">. Dry season months were not required to be contiguous. </w:t>
      </w:r>
    </w:p>
    <w:p w14:paraId="75F45E17" w14:textId="05CBDAEA" w:rsidR="00E07F47" w:rsidRDefault="00E07F47"/>
    <w:p w14:paraId="0E5CF198" w14:textId="3ED12ABA" w:rsidR="00E07F47" w:rsidRPr="00E07F47" w:rsidRDefault="00E07F47" w:rsidP="00E07F47">
      <w:pPr>
        <w:rPr>
          <w:szCs w:val="24"/>
        </w:rPr>
      </w:pPr>
      <w:r w:rsidRPr="00E07F47">
        <w:rPr>
          <w:szCs w:val="24"/>
          <w:u w:val="single"/>
        </w:rPr>
        <w:t>Neural network structure</w:t>
      </w:r>
    </w:p>
    <w:p w14:paraId="78C74A46" w14:textId="3D3928A5" w:rsidR="00F960A2" w:rsidRDefault="00E07F47" w:rsidP="00E07F47">
      <w:pPr>
        <w:rPr>
          <w:szCs w:val="24"/>
        </w:rPr>
      </w:pPr>
      <w:r w:rsidRPr="00E07F47">
        <w:rPr>
          <w:szCs w:val="24"/>
        </w:rPr>
        <w:t xml:space="preserve">To train and validate the neural network, a random hyperparameter search was performed to optimize the learning rate, number of layers, number of neurons per layer, and dropout rate of each network. </w:t>
      </w:r>
      <w:r w:rsidR="00F960A2">
        <w:rPr>
          <w:szCs w:val="24"/>
        </w:rPr>
        <w:t>For the sm</w:t>
      </w:r>
      <w:r w:rsidR="00F960A2" w:rsidRPr="00F960A2">
        <w:rPr>
          <w:szCs w:val="24"/>
          <w:vertAlign w:val="subscript"/>
        </w:rPr>
        <w:t>dry season</w:t>
      </w:r>
      <w:r w:rsidR="00F960A2" w:rsidRPr="00F960A2">
        <w:rPr>
          <w:szCs w:val="24"/>
        </w:rPr>
        <w:t xml:space="preserve"> </w:t>
      </w:r>
      <w:r w:rsidR="00F960A2">
        <w:rPr>
          <w:szCs w:val="24"/>
        </w:rPr>
        <w:t>neural network, the learning rate = 0.001, number of layers = 8, and number of neurons per layer = 55. For the pct</w:t>
      </w:r>
      <w:r w:rsidR="00F960A2" w:rsidRPr="00F960A2">
        <w:rPr>
          <w:szCs w:val="24"/>
          <w:vertAlign w:val="subscript"/>
        </w:rPr>
        <w:t>low sm</w:t>
      </w:r>
      <w:r w:rsidR="00F960A2" w:rsidRPr="00F960A2">
        <w:rPr>
          <w:szCs w:val="24"/>
        </w:rPr>
        <w:t xml:space="preserve"> </w:t>
      </w:r>
      <w:r w:rsidR="00F960A2">
        <w:rPr>
          <w:szCs w:val="24"/>
        </w:rPr>
        <w:t xml:space="preserve">neural network, the learning rate = 0.001, number of layers = 19, number </w:t>
      </w:r>
      <w:r w:rsidR="00F960A2">
        <w:rPr>
          <w:szCs w:val="24"/>
        </w:rPr>
        <w:lastRenderedPageBreak/>
        <w:t>of neurons per layer = 45. The dropout was 0 for both neural networks. The models were then trained for 300 epochs</w:t>
      </w:r>
      <w:r w:rsidR="002A11B0">
        <w:rPr>
          <w:szCs w:val="24"/>
        </w:rPr>
        <w:t xml:space="preserve"> which was sufficient to approach convergence for model accuracy</w:t>
      </w:r>
      <w:r w:rsidR="00F960A2">
        <w:rPr>
          <w:szCs w:val="24"/>
        </w:rPr>
        <w:t>.</w:t>
      </w:r>
    </w:p>
    <w:p w14:paraId="5D2536A7" w14:textId="77777777" w:rsidR="00F960A2" w:rsidRDefault="00F960A2" w:rsidP="00E07F47">
      <w:pPr>
        <w:rPr>
          <w:szCs w:val="24"/>
        </w:rPr>
      </w:pPr>
    </w:p>
    <w:p w14:paraId="1EAD13C3" w14:textId="19597D75" w:rsidR="00E07F47" w:rsidRPr="00E07F47" w:rsidRDefault="00E07F47" w:rsidP="00E07F47">
      <w:pPr>
        <w:rPr>
          <w:szCs w:val="24"/>
        </w:rPr>
      </w:pPr>
      <w:r w:rsidRPr="00E07F47">
        <w:rPr>
          <w:szCs w:val="24"/>
        </w:rPr>
        <w:t xml:space="preserve">To test the ability of the </w:t>
      </w:r>
      <w:r w:rsidR="00F960A2">
        <w:rPr>
          <w:szCs w:val="24"/>
        </w:rPr>
        <w:t xml:space="preserve">trained </w:t>
      </w:r>
      <w:r w:rsidRPr="00E07F47">
        <w:rPr>
          <w:szCs w:val="24"/>
        </w:rPr>
        <w:t>neural network to predict sm</w:t>
      </w:r>
      <w:r w:rsidRPr="00E07F47">
        <w:rPr>
          <w:szCs w:val="24"/>
          <w:vertAlign w:val="subscript"/>
        </w:rPr>
        <w:t>dry season</w:t>
      </w:r>
      <w:r w:rsidRPr="00E07F47">
        <w:rPr>
          <w:szCs w:val="24"/>
        </w:rPr>
        <w:t xml:space="preserve"> and pct</w:t>
      </w:r>
      <w:r w:rsidRPr="00E07F47">
        <w:rPr>
          <w:szCs w:val="24"/>
          <w:vertAlign w:val="subscript"/>
        </w:rPr>
        <w:t>low sm</w:t>
      </w:r>
      <w:r w:rsidRPr="00E07F47">
        <w:rPr>
          <w:szCs w:val="24"/>
        </w:rPr>
        <w:t xml:space="preserve"> on future years without soil moisture observations, cross-validation was performed by holding out one year of data at a time for the test set, and training on the other years. For example, the data would be trained on 2015-2019 data and evaluated on unseen 2020 data. This was then repeated for all six years of data. To train the models such that data from all years were incorporated into training, we separately performed random five-fold cross validation across all pixel-times. For both variables of interest, the best performing model from the five-fold cross validation was selected. </w:t>
      </w:r>
    </w:p>
    <w:p w14:paraId="70DBD483" w14:textId="5CEEC3B4" w:rsidR="00E07F47" w:rsidRDefault="00E07F47" w:rsidP="00E07F47">
      <w:pPr>
        <w:rPr>
          <w:szCs w:val="24"/>
        </w:rPr>
      </w:pPr>
    </w:p>
    <w:p w14:paraId="4ED6B59E" w14:textId="42B06D51" w:rsidR="009F7E72" w:rsidRPr="009F7E72" w:rsidRDefault="007F7845" w:rsidP="00E07F47">
      <w:pPr>
        <w:rPr>
          <w:szCs w:val="24"/>
          <w:u w:val="single"/>
        </w:rPr>
      </w:pPr>
      <w:r>
        <w:rPr>
          <w:szCs w:val="24"/>
          <w:u w:val="single"/>
        </w:rPr>
        <w:t>Climate Data</w:t>
      </w:r>
    </w:p>
    <w:p w14:paraId="5A60F163" w14:textId="1B1AD53F" w:rsidR="007F7845" w:rsidRPr="00D71FB6" w:rsidRDefault="007F7845" w:rsidP="007F7845">
      <w:pPr>
        <w:tabs>
          <w:tab w:val="left" w:pos="5850"/>
        </w:tabs>
        <w:rPr>
          <w:szCs w:val="24"/>
        </w:rPr>
      </w:pPr>
      <w:r w:rsidRPr="00D71FB6">
        <w:rPr>
          <w:szCs w:val="24"/>
        </w:rPr>
        <w:t xml:space="preserve">The downscaled global circulation models used were the Norwegian Earth System Model (NorESM1-M, </w:t>
      </w:r>
      <w:r w:rsidRPr="00D71FB6">
        <w:rPr>
          <w:szCs w:val="24"/>
        </w:rPr>
        <w:fldChar w:fldCharType="begin" w:fldLock="1"/>
      </w:r>
      <w:r w:rsidR="00005DA9">
        <w:rPr>
          <w:szCs w:val="24"/>
        </w:rPr>
        <w:instrText>ADDIN CSL_CITATION {"citationItems":[{"id":"ITEM-1","itemData":{"DOI":"10.5194/gmd-6-687-2013","ISSN":"1991-9603","abstract":"Abstract. The core version of the Norwegian Climate Center's Earth System Model, named NorESM1-M, is presented. The NorESM family of models are based on the Community Climate System Model version 4 (CCSM4) of the University Corporation for Atmospheric Research, but differs from the latter by, in particular, an isopycnic coordinate ocean model and advanced chemistry–aerosol–cloud–radiation interaction schemes. NorESM1-M has a horizontal resolution of approximately 2° for the atmosphere and land components and 1° for the ocean and ice components. NorESM is also available in a lower resolution version (NorESM1-L) and a version that includes prognostic biogeochemical cycling (NorESM1-ME). The latter two model configurations are not part of this paper. Here, a first-order assessment of the model stability, the mean model state and the internal variability based on the model experiments made available to CMIP5 are presented. Further analysis of the model performance is provided in an accompanying paper (Iversen et al., 2013), presenting the corresponding climate response and scenario projections made with NorESM1-M.","author":[{"dropping-particle":"","family":"Bentsen","given":"M.","non-dropping-particle":"","parse-names":false,"suffix":""},{"dropping-particle":"","family":"Bethke","given":"I.","non-dropping-particle":"","parse-names":false,"suffix":""},{"dropping-particle":"","family":"Debernard","given":"J. B.","non-dropping-particle":"","parse-names":false,"suffix":""},{"dropping-particle":"","family":"Iversen","given":"T.","non-dropping-particle":"","parse-names":false,"suffix":""},{"dropping-particle":"","family":"Kirkevåg","given":"A.","non-dropping-particle":"","parse-names":false,"suffix":""},{"dropping-particle":"","family":"Seland","given":"Ø.","non-dropping-particle":"","parse-names":false,"suffix":""},{"dropping-particle":"","family":"Drange","given":"H.","non-dropping-particle":"","parse-names":false,"suffix":""},{"dropping-particle":"","family":"Roelandt","given":"C.","non-dropping-particle":"","parse-names":false,"suffix":""},{"dropping-particle":"","family":"Seierstad","given":"I. A.","non-dropping-particle":"","parse-names":false,"suffix":""},{"dropping-particle":"","family":"Hoose","given":"C.","non-dropping-particle":"","parse-names":false,"suffix":""},{"dropping-particle":"","family":"Kristjánsson","given":"J. E.","non-dropping-particle":"","parse-names":false,"suffix":""}],"container-title":"Geoscientific Model Development","id":"ITEM-1","issue":"3","issued":{"date-parts":[["2013"]]},"page":"687-720","title":"The Norwegian Earth System Model, NorESM1-M – Part 1: Description and basic evaluation of the physical climate","type":"article-journal","volume":"6"},"uris":["http://www.mendeley.com/documents/?uuid=9bf632b2-33bc-4ec0-bfb1-49a0d28844ea"]}],"mendeley":{"formattedCitation":"(Bentsen &lt;i&gt;et al&lt;/i&gt; 2013)","manualFormatting":"Bentsen et al 2013","plainTextFormattedCitation":"(Bentsen et al 2013)","previouslyFormattedCitation":"(Bentsen &lt;i&gt;et al&lt;/i&gt; 2013)"},"properties":{"noteIndex":0},"schema":"https://github.com/citation-style-language/schema/raw/master/csl-citation.json"}</w:instrText>
      </w:r>
      <w:r w:rsidRPr="00D71FB6">
        <w:rPr>
          <w:szCs w:val="24"/>
        </w:rPr>
        <w:fldChar w:fldCharType="separate"/>
      </w:r>
      <w:r w:rsidRPr="00D71FB6">
        <w:rPr>
          <w:noProof/>
          <w:szCs w:val="24"/>
        </w:rPr>
        <w:t xml:space="preserve">Bentsen </w:t>
      </w:r>
      <w:r w:rsidRPr="00D71FB6">
        <w:rPr>
          <w:i/>
          <w:noProof/>
          <w:szCs w:val="24"/>
        </w:rPr>
        <w:t>et al</w:t>
      </w:r>
      <w:r w:rsidRPr="00D71FB6">
        <w:rPr>
          <w:noProof/>
          <w:szCs w:val="24"/>
        </w:rPr>
        <w:t xml:space="preserve"> 2013</w:t>
      </w:r>
      <w:r w:rsidRPr="00D71FB6">
        <w:rPr>
          <w:szCs w:val="24"/>
        </w:rPr>
        <w:fldChar w:fldCharType="end"/>
      </w:r>
      <w:r w:rsidRPr="00D71FB6">
        <w:rPr>
          <w:szCs w:val="24"/>
        </w:rPr>
        <w:t xml:space="preserve">), the Max Planck Institute for Meteorology Earth System Model-Mixed Resolution (MPI-ESM-ER, </w:t>
      </w:r>
      <w:r w:rsidRPr="00D71FB6">
        <w:rPr>
          <w:szCs w:val="24"/>
        </w:rPr>
        <w:fldChar w:fldCharType="begin" w:fldLock="1"/>
      </w:r>
      <w:r w:rsidR="00005DA9">
        <w:rPr>
          <w:szCs w:val="24"/>
        </w:rPr>
        <w:instrText>ADDIN CSL_CITATION {"citationItems":[{"id":"ITEM-1","itemData":{"DOI":"10.1002/jame.20015","ISSN":"19422466","abstract":"ECHAM6, the sixth generation of the atmospheric general circulation model ECHAM, is described. Major changes with respect to its predecessor affect the representation of shortwave radiative transfer, the height of the model top. Minor changes have been made to model tuning and convective triggering. Several model configurations, differing in horizontal and vertical resolution, are compared. As horizontal resolution is increased beyond T63, the simulated climate improves but changes are incremental; major biases appear to be limited by the parameterization of small-scale physical processes, such as clouds and convection. Higher vertical resolution in the middle atmosphere leads to a systematic reduction in temperature biases in the upper troposphere, and a better representation of the middle atmosphere and its modes of variability. ECHAM6 represents the present climate as well as, or better than, its predecessor. The most marked improvements are evident in the circulation of the extratropics. ECHAM6 continues to have a good representation of tropical variability. A number of biases, however, remain. These include a poor representation of low-level clouds, systematic shifts in major precipitation features, biases in the partitioning of precipitation between land and sea (particularly in the tropics), and midlatitude jets that appear to be insufficiently poleward. The response of ECHAM6 to increasing concentrations of greenhouse gases is similar to that of ECHAM5. The equilibrium climate sensitivity of the mixed-resolution (T63L95) configuration is between 2.9 and 3.4 K and is somewhat larger for the 47 level model. Cloud feedbacks and adjustments contribute positively to warming from increasing greenhouse gases. ©2013. American Geophysical Union. All Rights Reserved.","author":[{"dropping-particle":"","family":"Stevens","given":"Bjorn","non-dropping-particle":"","parse-names":false,"suffix":""},{"dropping-particle":"","family":"Giorgetta","given":"Marco","non-dropping-particle":"","parse-names":false,"suffix":""},{"dropping-particle":"","family":"Esch","given":"Monika","non-dropping-particle":"","parse-names":false,"suffix":""},{"dropping-particle":"","family":"Mauritsen","given":"Thorsten","non-dropping-particle":"","parse-names":false,"suffix":""},{"dropping-particle":"","family":"Crueger","given":"Traute","non-dropping-particle":"","parse-names":false,"suffix":""},{"dropping-particle":"","family":"Rast","given":"Sebastian","non-dropping-particle":"","parse-names":false,"suffix":""},{"dropping-particle":"","family":"Salzmann","given":"Marc","non-dropping-particle":"","parse-names":false,"suffix":""},{"dropping-particle":"","family":"Schmidt","given":"Hauke","non-dropping-particle":"","parse-names":false,"suffix":""},{"dropping-particle":"","family":"Bader","given":"Jürgen","non-dropping-particle":"","parse-names":false,"suffix":""},{"dropping-particle":"","family":"Block","given":"Karoline","non-dropping-particle":"","parse-names":false,"suffix":""},{"dropping-particle":"","family":"Brokopf","given":"Renate","non-dropping-particle":"","parse-names":false,"suffix":""},{"dropping-particle":"","family":"Fast","given":"Irina","non-dropping-particle":"","parse-names":false,"suffix":""},{"dropping-particle":"","family":"Kinne","given":"Stefan","non-dropping-particle":"","parse-names":false,"suffix":""},{"dropping-particle":"","family":"Kornblueh","given":"Luis","non-dropping-particle":"","parse-names":false,"suffix":""},{"dropping-particle":"","family":"Lohmann","given":"Ulrike","non-dropping-particle":"","parse-names":false,"suffix":""},{"dropping-particle":"","family":"Pincus","given":"Robert","non-dropping-particle":"","parse-names":false,"suffix":""},{"dropping-particle":"","family":"Reichler","given":"Thomas","non-dropping-particle":"","parse-names":false,"suffix":""},{"dropping-particle":"","family":"Roeckner","given":"Erich","non-dropping-particle":"","parse-names":false,"suffix":""}],"container-title":"Journal of Advances in Modeling Earth Systems","id":"ITEM-1","issue":"2","issued":{"date-parts":[["2013"]]},"page":"146-172","title":"Atmospheric component of the MPI-M earth system model: ECHAM6","type":"article-journal","volume":"5"},"uris":["http://www.mendeley.com/documents/?uuid=d4eb7200-a4a1-41f3-98dd-c96cc517fa7e"]}],"mendeley":{"formattedCitation":"(Stevens &lt;i&gt;et al&lt;/i&gt; 2013)","manualFormatting":"Stevens et al 2013","plainTextFormattedCitation":"(Stevens et al 2013)","previouslyFormattedCitation":"(Stevens &lt;i&gt;et al&lt;/i&gt; 2013)"},"properties":{"noteIndex":0},"schema":"https://github.com/citation-style-language/schema/raw/master/csl-citation.json"}</w:instrText>
      </w:r>
      <w:r w:rsidRPr="00D71FB6">
        <w:rPr>
          <w:szCs w:val="24"/>
        </w:rPr>
        <w:fldChar w:fldCharType="separate"/>
      </w:r>
      <w:r w:rsidRPr="00D71FB6">
        <w:rPr>
          <w:noProof/>
          <w:szCs w:val="24"/>
        </w:rPr>
        <w:t xml:space="preserve">Stevens </w:t>
      </w:r>
      <w:r w:rsidRPr="00D71FB6">
        <w:rPr>
          <w:i/>
          <w:noProof/>
          <w:szCs w:val="24"/>
        </w:rPr>
        <w:t>et al</w:t>
      </w:r>
      <w:r w:rsidRPr="00D71FB6">
        <w:rPr>
          <w:noProof/>
          <w:szCs w:val="24"/>
        </w:rPr>
        <w:t xml:space="preserve"> 2013</w:t>
      </w:r>
      <w:r w:rsidRPr="00D71FB6">
        <w:rPr>
          <w:szCs w:val="24"/>
        </w:rPr>
        <w:fldChar w:fldCharType="end"/>
      </w:r>
      <w:r w:rsidRPr="00D71FB6">
        <w:rPr>
          <w:szCs w:val="24"/>
        </w:rPr>
        <w:t xml:space="preserve">), and the Met Office Hadley Centre Earth System model (HadGEM2-ES, </w:t>
      </w:r>
      <w:r w:rsidRPr="00D71FB6">
        <w:rPr>
          <w:szCs w:val="24"/>
        </w:rPr>
        <w:fldChar w:fldCharType="begin" w:fldLock="1"/>
      </w:r>
      <w:r w:rsidR="00005DA9">
        <w:rPr>
          <w:szCs w:val="24"/>
        </w:rPr>
        <w:instrText>ADDIN CSL_CITATION {"citationItems":[{"id":"ITEM-1","itemData":{"DOI":"10.5194/gmd-4-543-2011","ISSN":"19919603","abstract":"The scientific understanding of the Earth's climate system, including thecentral question of how the climate system is likely to respond tohuman-induced perturbations, is comprehensively captured in GCMs and EarthSystem Models (ESM). Diagnosing the simulated climate response, andcomparing responses across different models, is crucially dependent ontransparent assumptions of how the GCM/ESM has been driven - especiallybecause the implementation can involve subjective decisions and may differbetween modelling groups performing the same experiment. This paper outlinesthe climate forcings and setup of the Met Office Hadley Centre ESM, HadGEM2-ES for the CMIP5 set of centennial experiments. We document theprescribed greenhouse gas concentrations, aerosol precursors, stratosphericand tropospheric ozone assumptions, as well as implementation of land-usechange and natural forcings for the HadGEM2-ES historical and futureexperiments following the Representative Concentration Pathways. Inaddition, we provide details of how HadGEM2-ES ensemble members wereinitialised from the control run and how the palaeoclimate and AMIPexperiments, as well as the \"emission-driven\" RCP experiments wereperformed. © 2011 Author(s).","author":[{"dropping-particle":"","family":"Jones","given":"C. D.","non-dropping-particle":"","parse-names":false,"suffix":""},{"dropping-particle":"","family":"Hughes","given":"J. K.","non-dropping-particle":"","parse-names":false,"suffix":""},{"dropping-particle":"","family":"Bellouin","given":"N.","non-dropping-particle":"","parse-names":false,"suffix":""},{"dropping-particle":"","family":"Hardiman","given":"S. C.","non-dropping-particle":"","parse-names":false,"suffix":""},{"dropping-particle":"","family":"Jones","given":"G. S.","non-dropping-particle":"","parse-names":false,"suffix":""},{"dropping-particle":"","family":"Knight","given":"J.","non-dropping-particle":"","parse-names":false,"suffix":""},{"dropping-particle":"","family":"Liddicoat","given":"S.","non-dropping-particle":"","parse-names":false,"suffix":""},{"dropping-particle":"","family":"O'Connor","given":"F. M.","non-dropping-particle":"","parse-names":false,"suffix":""},{"dropping-particle":"","family":"Andres","given":"R. J.","non-dropping-particle":"","parse-names":false,"suffix":""},{"dropping-particle":"","family":"Bell","given":"C.","non-dropping-particle":"","parse-names":false,"suffix":""},{"dropping-particle":"","family":"Boo","given":"K. O.","non-dropping-particle":"","parse-names":false,"suffix":""},{"dropping-particle":"","family":"Bozzo","given":"A.","non-dropping-particle":"","parse-names":false,"suffix":""},{"dropping-particle":"","family":"Butchart","given":"N.","non-dropping-particle":"","parse-names":false,"suffix":""},{"dropping-particle":"","family":"Cadule","given":"P.","non-dropping-particle":"","parse-names":false,"suffix":""},{"dropping-particle":"","family":"Corbin","given":"K. D.","non-dropping-particle":"","parse-names":false,"suffix":""},{"dropping-particle":"","family":"Doutriaux-Boucher","given":"M.","non-dropping-particle":"","parse-names":false,"suffix":""},{"dropping-particle":"","family":"Friedlingstein","given":"P.","non-dropping-particle":"","parse-names":false,"suffix":""},{"dropping-particle":"","family":"Gornall","given":"J.","non-dropping-particle":"","parse-names":false,"suffix":""},{"dropping-particle":"","family":"Gray","given":"L.","non-dropping-particle":"","parse-names":false,"suffix":""},{"dropping-particle":"","family":"Halloran","given":"P. R.","non-dropping-particle":"","parse-names":false,"suffix":""},{"dropping-particle":"","family":"Hurtt","given":"G.","non-dropping-particle":"","parse-names":false,"suffix":""},{"dropping-particle":"","family":"Ingram","given":"W. J.","non-dropping-particle":"","parse-names":false,"suffix":""},{"dropping-particle":"","family":"Lamarque","given":"J. F.","non-dropping-particle":"","parse-names":false,"suffix":""},{"dropping-particle":"","family":"Law","given":"R. M.","non-dropping-particle":"","parse-names":false,"suffix":""},{"dropping-particle":"","family":"Meinshausen","given":"M.","non-dropping-particle":"","parse-names":false,"suffix":""},{"dropping-particle":"","family":"Osprey","given":"S.","non-dropping-particle":"","parse-names":false,"suffix":""},{"dropping-particle":"","family":"Palin","given":"E. J.","non-dropping-particle":"","parse-names":false,"suffix":""},{"dropping-particle":"","family":"Parsons Chini","given":"L.","non-dropping-particle":"","parse-names":false,"suffix":""},{"dropping-particle":"","family":"Raddatz","given":"T.","non-dropping-particle":"","parse-names":false,"suffix":""},{"dropping-particle":"","family":"Sanderson","given":"M. G.","non-dropping-particle":"","parse-names":false,"suffix":""},{"dropping-particle":"","family":"Sellar","given":"A. A.","non-dropping-particle":"","parse-names":false,"suffix":""},{"dropping-particle":"","family":"Schurer","given":"A.","non-dropping-particle":"","parse-names":false,"suffix":""},{"dropping-particle":"","family":"Valdes","given":"P.","non-dropping-particle":"","parse-names":false,"suffix":""},{"dropping-particle":"","family":"Wood","given":"N.","non-dropping-particle":"","parse-names":false,"suffix":""},{"dropping-particle":"","family":"Woodward","given":"S.","non-dropping-particle":"","parse-names":false,"suffix":""},{"dropping-particle":"","family":"Yoshioka","given":"M.","non-dropping-particle":"","parse-names":false,"suffix":""},{"dropping-particle":"","family":"Zerroukat","given":"M.","non-dropping-particle":"","parse-names":false,"suffix":""}],"container-title":"Geoscientific Model Development","id":"ITEM-1","issue":"3","issued":{"date-parts":[["2011"]]},"page":"543-570","title":"The HadGEM2-ES implementation of CMIP5 centennial simulations","type":"article-journal","volume":"4"},"uris":["http://www.mendeley.com/documents/?uuid=4b9457e4-7ec3-4294-8df6-73b383ff2f76"]}],"mendeley":{"formattedCitation":"(Jones &lt;i&gt;et al&lt;/i&gt; 2011)","manualFormatting":"Jones et al 2011","plainTextFormattedCitation":"(Jones et al 2011)","previouslyFormattedCitation":"(Jones &lt;i&gt;et al&lt;/i&gt; 2011)"},"properties":{"noteIndex":0},"schema":"https://github.com/citation-style-language/schema/raw/master/csl-citation.json"}</w:instrText>
      </w:r>
      <w:r w:rsidRPr="00D71FB6">
        <w:rPr>
          <w:szCs w:val="24"/>
        </w:rPr>
        <w:fldChar w:fldCharType="separate"/>
      </w:r>
      <w:r w:rsidRPr="00D71FB6">
        <w:rPr>
          <w:noProof/>
          <w:szCs w:val="24"/>
        </w:rPr>
        <w:t xml:space="preserve">Jones </w:t>
      </w:r>
      <w:r w:rsidRPr="00D71FB6">
        <w:rPr>
          <w:i/>
          <w:noProof/>
          <w:szCs w:val="24"/>
        </w:rPr>
        <w:t>et al</w:t>
      </w:r>
      <w:r w:rsidRPr="00D71FB6">
        <w:rPr>
          <w:noProof/>
          <w:szCs w:val="24"/>
        </w:rPr>
        <w:t xml:space="preserve"> 2011</w:t>
      </w:r>
      <w:r w:rsidRPr="00D71FB6">
        <w:rPr>
          <w:szCs w:val="24"/>
        </w:rPr>
        <w:fldChar w:fldCharType="end"/>
      </w:r>
      <w:r w:rsidRPr="00D71FB6">
        <w:rPr>
          <w:szCs w:val="24"/>
        </w:rPr>
        <w:t xml:space="preserve">), which are representative of low, medium, and high climate sensitivity to greenhouse gas forcing, respectively, and have been shown to perform well in the study domain </w:t>
      </w:r>
      <w:r w:rsidRPr="00D71FB6">
        <w:rPr>
          <w:szCs w:val="24"/>
        </w:rPr>
        <w:fldChar w:fldCharType="begin" w:fldLock="1"/>
      </w:r>
      <w:r w:rsidR="00005DA9">
        <w:rPr>
          <w:szCs w:val="24"/>
        </w:rPr>
        <w:instrText>ADDIN CSL_CITATION {"citationItems":[{"id":"ITEM-1","itemData":{"DOI":"10.1175/bams-d-21-0119.1","ISSN":"0003-0007","abstract":"We describe the first effort within the Coordinated Regional Climate Downscaling Experiment - Coordinated Output for Regional Evaluation, or CORDEX-CORE EXP-I. It consists of a set of 21st century projections with two regional climate models (RCMs) downscaling three global climate model (GCM) simulations from the CMIP5 program, for two greenhouse gas concentration pathways (RCP8.5 and RCP2.6), over 9 CORDEX domains at ~25 km grid spacing. Illustrative examples from the initial analysis of this ensemble are presented, covering a wide range of topics, such as added value of RCM nesting, extreme indices, tropical and extratropical storms, monsoons, ENSO, severe storm environments, emergence of change signals, energy production. They show that the CORDEX-CORE EXP-I ensemble can provide downscaled information of unprecedented comprehensiveness to increase understanding of processes relevant for regional climate change and impacts, and to assess the added value of RCMs. The CORDEX-CORE EXP-I dataset, which will be incrementally augmented with new simulations, is intended to be a public resource available to the scientific and end-user communities for application to process studies, impacts on different socioeconomic sectors and climate service activities. The future of the CORDEX-CORE initiative is also discussed.","author":[{"dropping-particle":"","family":"Giorgi","given":"Filippo","non-dropping-particle":"","parse-names":false,"suffix":""},{"dropping-particle":"","family":"Coppola","given":"Erika","non-dropping-particle":"","parse-names":false,"suffix":""},{"dropping-particle":"","family":"Jacob","given":"Daniela","non-dropping-particle":"","parse-names":false,"suffix":""},{"dropping-particle":"","family":"Teichmann","given":"Claas","non-dropping-particle":"","parse-names":false,"suffix":""},{"dropping-particle":"","family":"Abba Omar","given":"Sabina","non-dropping-particle":"","parse-names":false,"suffix":""},{"dropping-particle":"","family":"Ashfaq","given":"Moetasim","non-dropping-particle":"","parse-names":false,"suffix":""},{"dropping-particle":"","family":"Ban","given":"Nikolina","non-dropping-particle":"","parse-names":false,"suffix":""},{"dropping-particle":"","family":"Bülow","given":"Katharina","non-dropping-particle":"","parse-names":false,"suffix":""},{"dropping-particle":"","family":"Bukovsky","given":"Melissa","non-dropping-particle":"","parse-names":false,"suffix":""},{"dropping-particle":"","family":"Buntemeyer","given":"Lars","non-dropping-particle":"","parse-names":false,"suffix":""},{"dropping-particle":"","family":"Cavazos","given":"Tereza","non-dropping-particle":"","parse-names":false,"suffix":""},{"dropping-particle":"","family":"Ciarlo'","given":"James","non-dropping-particle":"","parse-names":false,"suffix":""},{"dropping-particle":"","family":"Rocha","given":"Rosmeri Porfirio","non-dropping-particle":"Da","parse-names":false,"suffix":""},{"dropping-particle":"","family":"Das","given":"Sushant","non-dropping-particle":"","parse-names":false,"suffix":""},{"dropping-particle":"","family":"Sante","given":"Fabio","non-dropping-particle":"di","parse-names":false,"suffix":""},{"dropping-particle":"","family":"Evans","given":"Jason P.","non-dropping-particle":"","parse-names":false,"suffix":""},{"dropping-particle":"","family":"Gao","given":"Xuejie","non-dropping-particle":"","parse-names":false,"suffix":""},{"dropping-particle":"","family":"Giuliani","given":"Graziano","non-dropping-particle":"","parse-names":false,"suffix":""},{"dropping-particle":"","family":"Glazer","given":"Russell H.","non-dropping-particle":"","parse-names":false,"suffix":""},{"dropping-particle":"","family":"Hoffmann","given":"Peter","non-dropping-particle":"","parse-names":false,"suffix":""},{"dropping-particle":"","family":"Im","given":"Eun-Soon","non-dropping-particle":"","parse-names":false,"suffix":""},{"dropping-particle":"","family":"Langendijk","given":"Gaby","non-dropping-particle":"","parse-names":false,"suffix":""},{"dropping-particle":"","family":"Lierhammer","given":"Ludwig","non-dropping-particle":"","parse-names":false,"suffix":""},{"dropping-particle":"","family":"Llopart","given":"Marta","non-dropping-particle":"","parse-names":false,"suffix":""},{"dropping-particle":"","family":"Mueller","given":"Sebastial","non-dropping-particle":"","parse-names":false,"suffix":""},{"dropping-particle":"","family":"Luna-Nino","given":"Rosa","non-dropping-particle":"","parse-names":false,"suffix":""},{"dropping-particle":"","family":"Nogherotto","given":"Rita","non-dropping-particle":"","parse-names":false,"suffix":""},{"dropping-particle":"","family":"Pichelli","given":"Emanuela","non-dropping-particle":"","parse-names":false,"suffix":""},{"dropping-particle":"","family":"Raffaele","given":"Francesca","non-dropping-particle":"","parse-names":false,"suffix":""},{"dropping-particle":"","family":"Reboita","given":"Michelle","non-dropping-particle":"","parse-names":false,"suffix":""},{"dropping-particle":"","family":"Rechid","given":"Diana","non-dropping-particle":"","parse-names":false,"suffix":""},{"dropping-particle":"","family":"Remedio","given":"Armelle","non-dropping-particle":"","parse-names":false,"suffix":""},{"dropping-particle":"","family":"Remke","given":"Thomas","non-dropping-particle":"","parse-names":false,"suffix":""},{"dropping-particle":"","family":"Sawadogo","given":"Windmanagda","non-dropping-particle":"","parse-names":false,"suffix":""},{"dropping-particle":"","family":"Sieck","given":"Kevin","non-dropping-particle":"","parse-names":false,"suffix":""},{"dropping-particle":"","family":"Torres-Alavez","given":"Jose' Abraham","non-dropping-particle":"","parse-names":false,"suffix":""},{"dropping-particle":"","family":"Weber","given":"Torsten","non-dropping-particle":"","parse-names":false,"suffix":""}],"container-title":"Bulletin of the American Meteorological Society","id":"ITEM-1","issued":{"date-parts":[["2021","10","4"]]},"page":"1-52","publisher":"American Meteorological Society","title":"The CORDEX-CORE EXP-I initiative: Description and highlight results from the initial analysis","type":"article-journal"},"uris":["http://www.mendeley.com/documents/?uuid=46c166fe-63a8-33bd-8b13-75b191fbec92"]}],"mendeley":{"formattedCitation":"(Giorgi &lt;i&gt;et al&lt;/i&gt; 2021)","plainTextFormattedCitation":"(Giorgi et al 2021)","previouslyFormattedCitation":"(Giorgi &lt;i&gt;et al&lt;/i&gt; 2021)"},"properties":{"noteIndex":0},"schema":"https://github.com/citation-style-language/schema/raw/master/csl-citation.json"}</w:instrText>
      </w:r>
      <w:r w:rsidRPr="00D71FB6">
        <w:rPr>
          <w:szCs w:val="24"/>
        </w:rPr>
        <w:fldChar w:fldCharType="separate"/>
      </w:r>
      <w:r w:rsidR="00C723F0" w:rsidRPr="00C723F0">
        <w:rPr>
          <w:noProof/>
          <w:szCs w:val="24"/>
        </w:rPr>
        <w:t xml:space="preserve">(Giorgi </w:t>
      </w:r>
      <w:r w:rsidR="00C723F0" w:rsidRPr="00C723F0">
        <w:rPr>
          <w:i/>
          <w:noProof/>
          <w:szCs w:val="24"/>
        </w:rPr>
        <w:t>et al</w:t>
      </w:r>
      <w:r w:rsidR="00C723F0" w:rsidRPr="00C723F0">
        <w:rPr>
          <w:noProof/>
          <w:szCs w:val="24"/>
        </w:rPr>
        <w:t xml:space="preserve"> 2021)</w:t>
      </w:r>
      <w:r w:rsidRPr="00D71FB6">
        <w:rPr>
          <w:szCs w:val="24"/>
        </w:rPr>
        <w:fldChar w:fldCharType="end"/>
      </w:r>
      <w:r w:rsidRPr="00D71FB6">
        <w:rPr>
          <w:szCs w:val="24"/>
        </w:rPr>
        <w:t xml:space="preserve">. PET was calculated from temperature and net radiation using the Priestley-Taylor method. </w:t>
      </w:r>
    </w:p>
    <w:p w14:paraId="3EA1AC47" w14:textId="77777777" w:rsidR="009F7E72" w:rsidRDefault="009F7E72" w:rsidP="00E07F47">
      <w:pPr>
        <w:rPr>
          <w:szCs w:val="24"/>
        </w:rPr>
      </w:pPr>
    </w:p>
    <w:p w14:paraId="6DA93D86" w14:textId="1DB1E2B1" w:rsidR="00E07F47" w:rsidRPr="00E07F47" w:rsidRDefault="00E07F47" w:rsidP="00E07F47">
      <w:pPr>
        <w:rPr>
          <w:szCs w:val="24"/>
          <w:u w:val="single"/>
        </w:rPr>
      </w:pPr>
      <w:r>
        <w:rPr>
          <w:szCs w:val="24"/>
          <w:u w:val="single"/>
        </w:rPr>
        <w:t>Feature importance</w:t>
      </w:r>
    </w:p>
    <w:p w14:paraId="3C749A07" w14:textId="439211E2" w:rsidR="00E07F47" w:rsidRDefault="4878CDF3" w:rsidP="00E07F47">
      <w:r>
        <w:t xml:space="preserve">Feature importance was calculated by randomly </w:t>
      </w:r>
      <w:r w:rsidR="00BE4DF4">
        <w:t>shuffling</w:t>
      </w:r>
      <w:r>
        <w:t xml:space="preserve"> one feature at a time and calculating the change in root-mean-squared-error (RMSE) of the neural network’s predictions. Larger increases in root mean squared error when </w:t>
      </w:r>
      <w:r w:rsidR="00BE4DF4">
        <w:t xml:space="preserve">shuffling a given feature </w:t>
      </w:r>
      <w:r>
        <w:t>implies higher importance</w:t>
      </w:r>
      <w:r w:rsidR="00BE4DF4">
        <w:t xml:space="preserve"> of that feature</w:t>
      </w:r>
      <w:r>
        <w:t>.</w:t>
      </w:r>
    </w:p>
    <w:p w14:paraId="02EA7AE8" w14:textId="37A9744D" w:rsidR="00154425" w:rsidRDefault="00154425" w:rsidP="00E07F47">
      <w:pPr>
        <w:rPr>
          <w:szCs w:val="24"/>
        </w:rPr>
      </w:pPr>
    </w:p>
    <w:p w14:paraId="4C54E4A3" w14:textId="6C2B4A9C" w:rsidR="00AD18B9" w:rsidRPr="00881AAD" w:rsidRDefault="00154425" w:rsidP="00881AAD">
      <w:pPr>
        <w:spacing w:line="259" w:lineRule="auto"/>
      </w:pPr>
      <w:r>
        <w:br w:type="page"/>
      </w:r>
    </w:p>
    <w:p w14:paraId="2D2BD773" w14:textId="10624D7F" w:rsidR="00865B00" w:rsidRPr="00B005E5" w:rsidRDefault="003B0BDA" w:rsidP="00867D9E">
      <w:pPr>
        <w:spacing w:line="259" w:lineRule="auto"/>
        <w:rPr>
          <w:sz w:val="24"/>
          <w:szCs w:val="24"/>
        </w:rPr>
      </w:pPr>
      <w:r w:rsidRPr="003B0BDA">
        <w:rPr>
          <w:noProof/>
        </w:rPr>
        <w:lastRenderedPageBreak/>
        <w:drawing>
          <wp:inline distT="0" distB="0" distL="0" distR="0" wp14:anchorId="3EA11C83" wp14:editId="4230B985">
            <wp:extent cx="5943600" cy="2504661"/>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8"/>
                    <a:srcRect b="6554"/>
                    <a:stretch/>
                  </pic:blipFill>
                  <pic:spPr bwMode="auto">
                    <a:xfrm>
                      <a:off x="0" y="0"/>
                      <a:ext cx="5943600" cy="2504661"/>
                    </a:xfrm>
                    <a:prstGeom prst="rect">
                      <a:avLst/>
                    </a:prstGeom>
                    <a:ln>
                      <a:noFill/>
                    </a:ln>
                    <a:extLst>
                      <a:ext uri="{53640926-AAD7-44D8-BBD7-CCE9431645EC}">
                        <a14:shadowObscured xmlns:a14="http://schemas.microsoft.com/office/drawing/2010/main"/>
                      </a:ext>
                    </a:extLst>
                  </pic:spPr>
                </pic:pic>
              </a:graphicData>
            </a:graphic>
          </wp:inline>
        </w:drawing>
      </w:r>
    </w:p>
    <w:p w14:paraId="6F7DCD3F" w14:textId="77777777" w:rsidR="0050550A" w:rsidRDefault="0050550A" w:rsidP="00865B00">
      <w:pPr>
        <w:spacing w:line="259" w:lineRule="auto"/>
        <w:jc w:val="center"/>
        <w:rPr>
          <w:b/>
          <w:sz w:val="24"/>
          <w:szCs w:val="24"/>
        </w:rPr>
      </w:pPr>
    </w:p>
    <w:p w14:paraId="05F52694" w14:textId="5C97CAE0" w:rsidR="00865B00" w:rsidRPr="0050550A" w:rsidRDefault="00865B00" w:rsidP="00865B00">
      <w:pPr>
        <w:spacing w:line="259" w:lineRule="auto"/>
        <w:jc w:val="center"/>
        <w:rPr>
          <w:i/>
          <w:sz w:val="24"/>
          <w:szCs w:val="24"/>
        </w:rPr>
      </w:pPr>
      <w:r w:rsidRPr="0066189D">
        <w:rPr>
          <w:b/>
          <w:sz w:val="24"/>
          <w:szCs w:val="24"/>
        </w:rPr>
        <w:t xml:space="preserve">Supplementary Figure </w:t>
      </w:r>
      <w:r w:rsidR="0088048E">
        <w:rPr>
          <w:b/>
          <w:sz w:val="24"/>
          <w:szCs w:val="24"/>
        </w:rPr>
        <w:t>1</w:t>
      </w:r>
      <w:r w:rsidRPr="0066189D">
        <w:rPr>
          <w:b/>
          <w:sz w:val="24"/>
          <w:szCs w:val="24"/>
        </w:rPr>
        <w:t>.</w:t>
      </w:r>
      <w:r w:rsidRPr="00B005E5">
        <w:rPr>
          <w:sz w:val="24"/>
          <w:szCs w:val="24"/>
        </w:rPr>
        <w:t xml:space="preserve"> </w:t>
      </w:r>
      <w:r>
        <w:rPr>
          <w:sz w:val="24"/>
          <w:szCs w:val="24"/>
        </w:rPr>
        <w:t xml:space="preserve">Example </w:t>
      </w:r>
      <w:r w:rsidRPr="00B005E5">
        <w:rPr>
          <w:sz w:val="24"/>
          <w:szCs w:val="24"/>
        </w:rPr>
        <w:t>SMAP soil moisture time series from Central Kalimantan</w:t>
      </w:r>
      <w:r w:rsidR="0050550A">
        <w:rPr>
          <w:sz w:val="24"/>
          <w:szCs w:val="24"/>
        </w:rPr>
        <w:t>. Low soil moisture threshold of 0.2 cm</w:t>
      </w:r>
      <w:r w:rsidR="0050550A">
        <w:rPr>
          <w:sz w:val="24"/>
          <w:szCs w:val="24"/>
          <w:vertAlign w:val="superscript"/>
        </w:rPr>
        <w:t>3</w:t>
      </w:r>
      <w:r w:rsidR="0050550A">
        <w:rPr>
          <w:sz w:val="24"/>
          <w:szCs w:val="24"/>
        </w:rPr>
        <w:t>/</w:t>
      </w:r>
      <w:r w:rsidR="0050550A" w:rsidRPr="0050550A">
        <w:rPr>
          <w:sz w:val="24"/>
          <w:szCs w:val="24"/>
        </w:rPr>
        <w:t xml:space="preserve"> </w:t>
      </w:r>
      <w:r w:rsidR="0050550A">
        <w:rPr>
          <w:sz w:val="24"/>
          <w:szCs w:val="24"/>
        </w:rPr>
        <w:t>cm</w:t>
      </w:r>
      <w:r w:rsidR="0050550A">
        <w:rPr>
          <w:sz w:val="24"/>
          <w:szCs w:val="24"/>
          <w:vertAlign w:val="superscript"/>
        </w:rPr>
        <w:t>3</w:t>
      </w:r>
      <w:r w:rsidR="0050550A">
        <w:rPr>
          <w:sz w:val="24"/>
          <w:szCs w:val="24"/>
        </w:rPr>
        <w:t xml:space="preserve"> is shown as dashed line.</w:t>
      </w:r>
    </w:p>
    <w:p w14:paraId="28D5C067" w14:textId="468B660C" w:rsidR="006A5FA7" w:rsidRDefault="00865B00">
      <w:pPr>
        <w:spacing w:line="259" w:lineRule="auto"/>
      </w:pPr>
      <w:r>
        <w:br w:type="page"/>
      </w:r>
    </w:p>
    <w:tbl>
      <w:tblPr>
        <w:tblStyle w:val="TableGrid"/>
        <w:tblW w:w="9265" w:type="dxa"/>
        <w:tblLook w:val="04A0" w:firstRow="1" w:lastRow="0" w:firstColumn="1" w:lastColumn="0" w:noHBand="0" w:noVBand="1"/>
      </w:tblPr>
      <w:tblGrid>
        <w:gridCol w:w="2202"/>
        <w:gridCol w:w="1690"/>
        <w:gridCol w:w="3483"/>
        <w:gridCol w:w="1890"/>
      </w:tblGrid>
      <w:tr w:rsidR="006A5FA7" w:rsidRPr="00B005E5" w14:paraId="04E06E0D" w14:textId="77777777" w:rsidTr="006A5FA7">
        <w:trPr>
          <w:trHeight w:val="496"/>
        </w:trPr>
        <w:tc>
          <w:tcPr>
            <w:tcW w:w="2202" w:type="dxa"/>
          </w:tcPr>
          <w:p w14:paraId="31030D0D" w14:textId="77777777" w:rsidR="006A5FA7" w:rsidRPr="00AA4A0B" w:rsidRDefault="006A5FA7" w:rsidP="006A5FA7">
            <w:pPr>
              <w:rPr>
                <w:b/>
              </w:rPr>
            </w:pPr>
            <w:r>
              <w:rPr>
                <w:sz w:val="24"/>
                <w:szCs w:val="24"/>
              </w:rPr>
              <w:lastRenderedPageBreak/>
              <w:br w:type="page"/>
            </w:r>
            <w:r w:rsidRPr="00AA4A0B">
              <w:rPr>
                <w:b/>
              </w:rPr>
              <w:t>Variable</w:t>
            </w:r>
          </w:p>
        </w:tc>
        <w:tc>
          <w:tcPr>
            <w:tcW w:w="1690" w:type="dxa"/>
          </w:tcPr>
          <w:p w14:paraId="5D187646" w14:textId="77777777" w:rsidR="006A5FA7" w:rsidRPr="00AA4A0B" w:rsidRDefault="006A5FA7" w:rsidP="006A5FA7">
            <w:pPr>
              <w:rPr>
                <w:b/>
              </w:rPr>
            </w:pPr>
            <w:r>
              <w:rPr>
                <w:b/>
              </w:rPr>
              <w:t>Category</w:t>
            </w:r>
          </w:p>
        </w:tc>
        <w:tc>
          <w:tcPr>
            <w:tcW w:w="3483" w:type="dxa"/>
          </w:tcPr>
          <w:p w14:paraId="0E7E515F" w14:textId="77777777" w:rsidR="006A5FA7" w:rsidRPr="00AA4A0B" w:rsidRDefault="006A5FA7" w:rsidP="006A5FA7">
            <w:pPr>
              <w:rPr>
                <w:b/>
              </w:rPr>
            </w:pPr>
            <w:r w:rsidRPr="00AA4A0B">
              <w:rPr>
                <w:b/>
              </w:rPr>
              <w:t>Source</w:t>
            </w:r>
          </w:p>
        </w:tc>
        <w:tc>
          <w:tcPr>
            <w:tcW w:w="1890" w:type="dxa"/>
          </w:tcPr>
          <w:p w14:paraId="1F04593E" w14:textId="77777777" w:rsidR="006A5FA7" w:rsidRPr="00AA4A0B" w:rsidRDefault="006A5FA7" w:rsidP="006A5FA7">
            <w:pPr>
              <w:rPr>
                <w:b/>
              </w:rPr>
            </w:pPr>
            <w:r w:rsidRPr="00AA4A0B">
              <w:rPr>
                <w:b/>
              </w:rPr>
              <w:t>Native resolution</w:t>
            </w:r>
          </w:p>
        </w:tc>
      </w:tr>
      <w:tr w:rsidR="006A5FA7" w:rsidRPr="00B005E5" w14:paraId="2031253B" w14:textId="77777777" w:rsidTr="006A5FA7">
        <w:trPr>
          <w:trHeight w:val="765"/>
        </w:trPr>
        <w:tc>
          <w:tcPr>
            <w:tcW w:w="2202" w:type="dxa"/>
          </w:tcPr>
          <w:p w14:paraId="30EAA9FD" w14:textId="77777777" w:rsidR="006A5FA7" w:rsidRPr="00AA4A0B" w:rsidRDefault="006A5FA7" w:rsidP="006A5FA7">
            <w:r w:rsidRPr="00AA4A0B">
              <w:t>Annual precipitation</w:t>
            </w:r>
          </w:p>
        </w:tc>
        <w:tc>
          <w:tcPr>
            <w:tcW w:w="1690" w:type="dxa"/>
          </w:tcPr>
          <w:p w14:paraId="35880A67" w14:textId="77777777" w:rsidR="006A5FA7" w:rsidRPr="00AA4A0B" w:rsidRDefault="006A5FA7" w:rsidP="006A5FA7">
            <w:r w:rsidRPr="00AA4A0B">
              <w:t>Climate</w:t>
            </w:r>
          </w:p>
        </w:tc>
        <w:tc>
          <w:tcPr>
            <w:tcW w:w="3483" w:type="dxa"/>
          </w:tcPr>
          <w:p w14:paraId="3F03F3CD" w14:textId="77777777" w:rsidR="006A5FA7" w:rsidRPr="00AA4A0B" w:rsidRDefault="006A5FA7" w:rsidP="006A5FA7">
            <w:r w:rsidRPr="00AA4A0B">
              <w:t>ERA5, RCM</w:t>
            </w:r>
          </w:p>
        </w:tc>
        <w:tc>
          <w:tcPr>
            <w:tcW w:w="1890" w:type="dxa"/>
          </w:tcPr>
          <w:p w14:paraId="15ACC5E8" w14:textId="77777777" w:rsidR="006A5FA7" w:rsidRPr="00AA4A0B" w:rsidRDefault="006A5FA7" w:rsidP="006A5FA7">
            <w:r w:rsidRPr="00AA4A0B">
              <w:t>25 km, 30 km</w:t>
            </w:r>
          </w:p>
        </w:tc>
      </w:tr>
      <w:tr w:rsidR="006A5FA7" w:rsidRPr="00B005E5" w14:paraId="5AD6D921" w14:textId="77777777" w:rsidTr="006A5FA7">
        <w:trPr>
          <w:trHeight w:val="496"/>
        </w:trPr>
        <w:tc>
          <w:tcPr>
            <w:tcW w:w="2202" w:type="dxa"/>
          </w:tcPr>
          <w:p w14:paraId="186E1B02" w14:textId="77777777" w:rsidR="006A5FA7" w:rsidRPr="00AA4A0B" w:rsidRDefault="006A5FA7" w:rsidP="006A5FA7">
            <w:r w:rsidRPr="00AA4A0B">
              <w:t>Dry season precipitation</w:t>
            </w:r>
          </w:p>
        </w:tc>
        <w:tc>
          <w:tcPr>
            <w:tcW w:w="1690" w:type="dxa"/>
          </w:tcPr>
          <w:p w14:paraId="530ED5A5" w14:textId="77777777" w:rsidR="006A5FA7" w:rsidRPr="00AA4A0B" w:rsidRDefault="006A5FA7" w:rsidP="006A5FA7">
            <w:r w:rsidRPr="00AA4A0B">
              <w:t>Climate</w:t>
            </w:r>
          </w:p>
        </w:tc>
        <w:tc>
          <w:tcPr>
            <w:tcW w:w="3483" w:type="dxa"/>
          </w:tcPr>
          <w:p w14:paraId="7B270470" w14:textId="77777777" w:rsidR="006A5FA7" w:rsidRPr="00AA4A0B" w:rsidRDefault="006A5FA7" w:rsidP="006A5FA7">
            <w:r w:rsidRPr="00AA4A0B">
              <w:t>ERA5, RCM</w:t>
            </w:r>
          </w:p>
        </w:tc>
        <w:tc>
          <w:tcPr>
            <w:tcW w:w="1890" w:type="dxa"/>
          </w:tcPr>
          <w:p w14:paraId="22E2334D" w14:textId="77777777" w:rsidR="006A5FA7" w:rsidRPr="00AA4A0B" w:rsidRDefault="006A5FA7" w:rsidP="006A5FA7">
            <w:r w:rsidRPr="00AA4A0B">
              <w:t>25 km, 30 km</w:t>
            </w:r>
          </w:p>
        </w:tc>
      </w:tr>
      <w:tr w:rsidR="006A5FA7" w:rsidRPr="00B005E5" w14:paraId="6427B368" w14:textId="77777777" w:rsidTr="006A5FA7">
        <w:trPr>
          <w:trHeight w:val="241"/>
        </w:trPr>
        <w:tc>
          <w:tcPr>
            <w:tcW w:w="2202" w:type="dxa"/>
          </w:tcPr>
          <w:p w14:paraId="7F549DC0" w14:textId="77777777" w:rsidR="006A5FA7" w:rsidRPr="00AA4A0B" w:rsidRDefault="006A5FA7" w:rsidP="006A5FA7">
            <w:r w:rsidRPr="00AA4A0B">
              <w:t>Dry season PET</w:t>
            </w:r>
          </w:p>
        </w:tc>
        <w:tc>
          <w:tcPr>
            <w:tcW w:w="1690" w:type="dxa"/>
          </w:tcPr>
          <w:p w14:paraId="6C34DBFD" w14:textId="77777777" w:rsidR="006A5FA7" w:rsidRPr="00AA4A0B" w:rsidRDefault="006A5FA7" w:rsidP="006A5FA7">
            <w:r w:rsidRPr="00AA4A0B">
              <w:t>Climate</w:t>
            </w:r>
          </w:p>
        </w:tc>
        <w:tc>
          <w:tcPr>
            <w:tcW w:w="3483" w:type="dxa"/>
          </w:tcPr>
          <w:p w14:paraId="42E861E3" w14:textId="77777777" w:rsidR="006A5FA7" w:rsidRPr="00AA4A0B" w:rsidRDefault="006A5FA7" w:rsidP="006A5FA7">
            <w:r w:rsidRPr="00AA4A0B">
              <w:t>ERA5, RCM</w:t>
            </w:r>
          </w:p>
        </w:tc>
        <w:tc>
          <w:tcPr>
            <w:tcW w:w="1890" w:type="dxa"/>
          </w:tcPr>
          <w:p w14:paraId="6800075F" w14:textId="77777777" w:rsidR="006A5FA7" w:rsidRPr="00AA4A0B" w:rsidRDefault="006A5FA7" w:rsidP="006A5FA7">
            <w:r w:rsidRPr="00AA4A0B">
              <w:t>25 km, 30 km</w:t>
            </w:r>
          </w:p>
        </w:tc>
      </w:tr>
      <w:tr w:rsidR="006A5FA7" w:rsidRPr="00B005E5" w14:paraId="5DFB69C7" w14:textId="77777777" w:rsidTr="006A5FA7">
        <w:trPr>
          <w:trHeight w:val="241"/>
        </w:trPr>
        <w:tc>
          <w:tcPr>
            <w:tcW w:w="2202" w:type="dxa"/>
          </w:tcPr>
          <w:p w14:paraId="621A8C33" w14:textId="77777777" w:rsidR="006A5FA7" w:rsidRPr="00AA4A0B" w:rsidRDefault="006A5FA7" w:rsidP="006A5FA7">
            <w:r>
              <w:t>Precipitation entropy</w:t>
            </w:r>
          </w:p>
        </w:tc>
        <w:tc>
          <w:tcPr>
            <w:tcW w:w="1690" w:type="dxa"/>
          </w:tcPr>
          <w:p w14:paraId="2F815E30" w14:textId="77777777" w:rsidR="006A5FA7" w:rsidRPr="00AA4A0B" w:rsidRDefault="006A5FA7" w:rsidP="006A5FA7">
            <w:r>
              <w:t>Climate</w:t>
            </w:r>
          </w:p>
        </w:tc>
        <w:tc>
          <w:tcPr>
            <w:tcW w:w="3483" w:type="dxa"/>
          </w:tcPr>
          <w:p w14:paraId="1107333A" w14:textId="77777777" w:rsidR="006A5FA7" w:rsidRPr="00AA4A0B" w:rsidRDefault="006A5FA7" w:rsidP="006A5FA7">
            <w:r>
              <w:t>ERA5, RCM</w:t>
            </w:r>
          </w:p>
        </w:tc>
        <w:tc>
          <w:tcPr>
            <w:tcW w:w="1890" w:type="dxa"/>
          </w:tcPr>
          <w:p w14:paraId="5C44FF1A" w14:textId="77777777" w:rsidR="006A5FA7" w:rsidRPr="00AA4A0B" w:rsidRDefault="006A5FA7" w:rsidP="006A5FA7">
            <w:r>
              <w:t>25 km, 30 km</w:t>
            </w:r>
          </w:p>
        </w:tc>
      </w:tr>
      <w:tr w:rsidR="006A5FA7" w:rsidRPr="00B005E5" w14:paraId="19D3B13C" w14:textId="77777777" w:rsidTr="006A5FA7">
        <w:trPr>
          <w:trHeight w:val="510"/>
        </w:trPr>
        <w:tc>
          <w:tcPr>
            <w:tcW w:w="2202" w:type="dxa"/>
          </w:tcPr>
          <w:p w14:paraId="1115CF43" w14:textId="77777777" w:rsidR="006A5FA7" w:rsidRPr="00AA4A0B" w:rsidRDefault="006A5FA7" w:rsidP="006A5FA7">
            <w:r w:rsidRPr="00AA4A0B">
              <w:t>Tree cover fraction</w:t>
            </w:r>
          </w:p>
        </w:tc>
        <w:tc>
          <w:tcPr>
            <w:tcW w:w="1690" w:type="dxa"/>
          </w:tcPr>
          <w:p w14:paraId="0CBCFA43" w14:textId="77777777" w:rsidR="006A5FA7" w:rsidRPr="00AA4A0B" w:rsidRDefault="006A5FA7" w:rsidP="006A5FA7">
            <w:r w:rsidRPr="00AA4A0B">
              <w:t>Degradation</w:t>
            </w:r>
          </w:p>
        </w:tc>
        <w:tc>
          <w:tcPr>
            <w:tcW w:w="3483" w:type="dxa"/>
          </w:tcPr>
          <w:p w14:paraId="48D9834D" w14:textId="77777777" w:rsidR="006A5FA7" w:rsidRPr="00AA4A0B" w:rsidRDefault="006A5FA7" w:rsidP="006A5FA7">
            <w:r>
              <w:t>Global Forest Cover Change 2015 (</w:t>
            </w:r>
            <w:r w:rsidRPr="00573ACF">
              <w:t>GFCC30TCv003</w:t>
            </w:r>
            <w:r>
              <w:t>)</w:t>
            </w:r>
          </w:p>
        </w:tc>
        <w:tc>
          <w:tcPr>
            <w:tcW w:w="1890" w:type="dxa"/>
          </w:tcPr>
          <w:p w14:paraId="5B8F0C32" w14:textId="77777777" w:rsidR="006A5FA7" w:rsidRPr="00AA4A0B" w:rsidRDefault="006A5FA7" w:rsidP="006A5FA7">
            <w:r>
              <w:t>30 m</w:t>
            </w:r>
          </w:p>
        </w:tc>
      </w:tr>
      <w:tr w:rsidR="006A5FA7" w:rsidRPr="00B005E5" w14:paraId="6170AA64" w14:textId="77777777" w:rsidTr="006A5FA7">
        <w:trPr>
          <w:trHeight w:val="496"/>
        </w:trPr>
        <w:tc>
          <w:tcPr>
            <w:tcW w:w="2202" w:type="dxa"/>
          </w:tcPr>
          <w:p w14:paraId="694300D1" w14:textId="77777777" w:rsidR="006A5FA7" w:rsidRPr="00AA4A0B" w:rsidRDefault="006A5FA7" w:rsidP="006A5FA7">
            <w:r w:rsidRPr="00AA4A0B">
              <w:t>Drainage canal density</w:t>
            </w:r>
          </w:p>
        </w:tc>
        <w:tc>
          <w:tcPr>
            <w:tcW w:w="1690" w:type="dxa"/>
          </w:tcPr>
          <w:p w14:paraId="4A8350B4" w14:textId="77777777" w:rsidR="006A5FA7" w:rsidRPr="00AA4A0B" w:rsidRDefault="006A5FA7" w:rsidP="006A5FA7">
            <w:r w:rsidRPr="00AA4A0B">
              <w:t>Degradation</w:t>
            </w:r>
          </w:p>
        </w:tc>
        <w:tc>
          <w:tcPr>
            <w:tcW w:w="3483" w:type="dxa"/>
          </w:tcPr>
          <w:p w14:paraId="2ABBF01E" w14:textId="77777777" w:rsidR="006A5FA7" w:rsidRPr="00AA4A0B" w:rsidRDefault="006A5FA7" w:rsidP="006A5FA7">
            <w:r w:rsidRPr="00AA4A0B">
              <w:t>Dadap et al 2021</w:t>
            </w:r>
          </w:p>
        </w:tc>
        <w:tc>
          <w:tcPr>
            <w:tcW w:w="1890" w:type="dxa"/>
          </w:tcPr>
          <w:p w14:paraId="06F789DD" w14:textId="77777777" w:rsidR="006A5FA7" w:rsidRPr="00AA4A0B" w:rsidRDefault="006A5FA7" w:rsidP="006A5FA7">
            <w:r>
              <w:t>5 m</w:t>
            </w:r>
          </w:p>
        </w:tc>
      </w:tr>
      <w:tr w:rsidR="006A5FA7" w:rsidRPr="00B005E5" w14:paraId="55813518" w14:textId="77777777" w:rsidTr="006A5FA7">
        <w:trPr>
          <w:trHeight w:val="255"/>
        </w:trPr>
        <w:tc>
          <w:tcPr>
            <w:tcW w:w="2202" w:type="dxa"/>
          </w:tcPr>
          <w:p w14:paraId="3A45A6A1" w14:textId="77777777" w:rsidR="006A5FA7" w:rsidRPr="00AA4A0B" w:rsidRDefault="006A5FA7" w:rsidP="006A5FA7">
            <w:r w:rsidRPr="00AA4A0B">
              <w:t>Fire area</w:t>
            </w:r>
          </w:p>
        </w:tc>
        <w:tc>
          <w:tcPr>
            <w:tcW w:w="1690" w:type="dxa"/>
          </w:tcPr>
          <w:p w14:paraId="1D164256" w14:textId="77777777" w:rsidR="006A5FA7" w:rsidRPr="00AA4A0B" w:rsidRDefault="006A5FA7" w:rsidP="006A5FA7">
            <w:r w:rsidRPr="00AA4A0B">
              <w:t>Degradation</w:t>
            </w:r>
          </w:p>
        </w:tc>
        <w:tc>
          <w:tcPr>
            <w:tcW w:w="3483" w:type="dxa"/>
          </w:tcPr>
          <w:p w14:paraId="79FB9A88" w14:textId="77777777" w:rsidR="006A5FA7" w:rsidRPr="00AA4A0B" w:rsidRDefault="006A5FA7" w:rsidP="006A5FA7">
            <w:r>
              <w:t>VIIRS Active Fire</w:t>
            </w:r>
          </w:p>
        </w:tc>
        <w:tc>
          <w:tcPr>
            <w:tcW w:w="1890" w:type="dxa"/>
          </w:tcPr>
          <w:p w14:paraId="44644393" w14:textId="77777777" w:rsidR="006A5FA7" w:rsidRPr="00AA4A0B" w:rsidRDefault="006A5FA7" w:rsidP="006A5FA7">
            <w:r>
              <w:t>375 m</w:t>
            </w:r>
          </w:p>
        </w:tc>
      </w:tr>
      <w:tr w:rsidR="006A5FA7" w:rsidRPr="00B005E5" w14:paraId="02AD5414" w14:textId="77777777" w:rsidTr="006A5FA7">
        <w:trPr>
          <w:trHeight w:val="241"/>
        </w:trPr>
        <w:tc>
          <w:tcPr>
            <w:tcW w:w="2202" w:type="dxa"/>
          </w:tcPr>
          <w:p w14:paraId="58DEB9A0" w14:textId="77777777" w:rsidR="006A5FA7" w:rsidRPr="00AA4A0B" w:rsidRDefault="006A5FA7" w:rsidP="006A5FA7">
            <w:r w:rsidRPr="00AA4A0B">
              <w:t>Fire count</w:t>
            </w:r>
          </w:p>
        </w:tc>
        <w:tc>
          <w:tcPr>
            <w:tcW w:w="1690" w:type="dxa"/>
          </w:tcPr>
          <w:p w14:paraId="73841C25" w14:textId="77777777" w:rsidR="006A5FA7" w:rsidRPr="00AA4A0B" w:rsidRDefault="006A5FA7" w:rsidP="006A5FA7">
            <w:r w:rsidRPr="00AA4A0B">
              <w:t>Degradation</w:t>
            </w:r>
          </w:p>
        </w:tc>
        <w:tc>
          <w:tcPr>
            <w:tcW w:w="3483" w:type="dxa"/>
          </w:tcPr>
          <w:p w14:paraId="2E389C4C" w14:textId="77777777" w:rsidR="006A5FA7" w:rsidRPr="00AA4A0B" w:rsidRDefault="006A5FA7" w:rsidP="006A5FA7">
            <w:r>
              <w:t>VIIRS Active Fire</w:t>
            </w:r>
          </w:p>
        </w:tc>
        <w:tc>
          <w:tcPr>
            <w:tcW w:w="1890" w:type="dxa"/>
          </w:tcPr>
          <w:p w14:paraId="4CD0D5F7" w14:textId="77777777" w:rsidR="006A5FA7" w:rsidRPr="00AA4A0B" w:rsidRDefault="006A5FA7" w:rsidP="006A5FA7">
            <w:r>
              <w:t>375 m</w:t>
            </w:r>
          </w:p>
        </w:tc>
      </w:tr>
      <w:tr w:rsidR="006A5FA7" w:rsidRPr="00B005E5" w14:paraId="14042438" w14:textId="77777777" w:rsidTr="006A5FA7">
        <w:trPr>
          <w:trHeight w:val="510"/>
        </w:trPr>
        <w:tc>
          <w:tcPr>
            <w:tcW w:w="2202" w:type="dxa"/>
          </w:tcPr>
          <w:p w14:paraId="4E7F3398" w14:textId="77777777" w:rsidR="006A5FA7" w:rsidRPr="00AA4A0B" w:rsidRDefault="006A5FA7" w:rsidP="006A5FA7">
            <w:r w:rsidRPr="00AA4A0B">
              <w:t>Land use type</w:t>
            </w:r>
          </w:p>
        </w:tc>
        <w:tc>
          <w:tcPr>
            <w:tcW w:w="1690" w:type="dxa"/>
          </w:tcPr>
          <w:p w14:paraId="00EB2E22" w14:textId="77777777" w:rsidR="006A5FA7" w:rsidRPr="00AA4A0B" w:rsidRDefault="006A5FA7" w:rsidP="006A5FA7">
            <w:r w:rsidRPr="00AA4A0B">
              <w:t>Degradation</w:t>
            </w:r>
          </w:p>
        </w:tc>
        <w:tc>
          <w:tcPr>
            <w:tcW w:w="3483" w:type="dxa"/>
          </w:tcPr>
          <w:p w14:paraId="595585A6" w14:textId="77777777" w:rsidR="006A5FA7" w:rsidRPr="00AA4A0B" w:rsidRDefault="006A5FA7" w:rsidP="006A5FA7">
            <w:r w:rsidRPr="00AA4A0B">
              <w:t>Miettinen et al 2016</w:t>
            </w:r>
          </w:p>
        </w:tc>
        <w:tc>
          <w:tcPr>
            <w:tcW w:w="1890" w:type="dxa"/>
          </w:tcPr>
          <w:p w14:paraId="40F50D18" w14:textId="77777777" w:rsidR="006A5FA7" w:rsidRPr="00AA4A0B" w:rsidRDefault="006A5FA7" w:rsidP="006A5FA7">
            <w:r>
              <w:t>30 m</w:t>
            </w:r>
          </w:p>
        </w:tc>
      </w:tr>
      <w:tr w:rsidR="006A5FA7" w:rsidRPr="00B005E5" w14:paraId="16881974" w14:textId="77777777" w:rsidTr="006A5FA7">
        <w:trPr>
          <w:trHeight w:val="751"/>
        </w:trPr>
        <w:tc>
          <w:tcPr>
            <w:tcW w:w="2202" w:type="dxa"/>
          </w:tcPr>
          <w:p w14:paraId="7DEE2B4B" w14:textId="77777777" w:rsidR="006A5FA7" w:rsidRPr="00AA4A0B" w:rsidRDefault="006A5FA7" w:rsidP="006A5FA7">
            <w:r w:rsidRPr="00AA4A0B">
              <w:t>Distance from peat edge</w:t>
            </w:r>
          </w:p>
        </w:tc>
        <w:tc>
          <w:tcPr>
            <w:tcW w:w="1690" w:type="dxa"/>
          </w:tcPr>
          <w:p w14:paraId="34FFC9DE" w14:textId="77777777" w:rsidR="006A5FA7" w:rsidRPr="00AA4A0B" w:rsidRDefault="006A5FA7" w:rsidP="006A5FA7">
            <w:r w:rsidRPr="00AA4A0B">
              <w:t>Location</w:t>
            </w:r>
          </w:p>
        </w:tc>
        <w:tc>
          <w:tcPr>
            <w:tcW w:w="3483" w:type="dxa"/>
          </w:tcPr>
          <w:p w14:paraId="53F01999" w14:textId="77777777" w:rsidR="006A5FA7" w:rsidRPr="00AA4A0B" w:rsidRDefault="006A5FA7" w:rsidP="006A5FA7">
            <w:r w:rsidRPr="00AA4A0B">
              <w:t>Calculated from</w:t>
            </w:r>
            <w:r>
              <w:t xml:space="preserve"> peatland map,</w:t>
            </w:r>
            <w:r w:rsidRPr="00AA4A0B">
              <w:t xml:space="preserve"> Miettinen et al 2016</w:t>
            </w:r>
          </w:p>
        </w:tc>
        <w:tc>
          <w:tcPr>
            <w:tcW w:w="1890" w:type="dxa"/>
          </w:tcPr>
          <w:p w14:paraId="3D12D527" w14:textId="77777777" w:rsidR="006A5FA7" w:rsidRPr="00AA4A0B" w:rsidRDefault="006A5FA7" w:rsidP="006A5FA7">
            <w:r>
              <w:t>N/A</w:t>
            </w:r>
          </w:p>
        </w:tc>
      </w:tr>
      <w:tr w:rsidR="006A5FA7" w:rsidRPr="00B005E5" w14:paraId="5547E9DA" w14:textId="77777777" w:rsidTr="006A5FA7">
        <w:trPr>
          <w:trHeight w:val="255"/>
        </w:trPr>
        <w:tc>
          <w:tcPr>
            <w:tcW w:w="2202" w:type="dxa"/>
          </w:tcPr>
          <w:p w14:paraId="7E453A46" w14:textId="77777777" w:rsidR="006A5FA7" w:rsidRPr="00AA4A0B" w:rsidRDefault="006A5FA7" w:rsidP="006A5FA7">
            <w:r>
              <w:t>Latitude</w:t>
            </w:r>
          </w:p>
        </w:tc>
        <w:tc>
          <w:tcPr>
            <w:tcW w:w="1690" w:type="dxa"/>
          </w:tcPr>
          <w:p w14:paraId="40D9860B" w14:textId="77777777" w:rsidR="006A5FA7" w:rsidRPr="00AA4A0B" w:rsidRDefault="006A5FA7" w:rsidP="006A5FA7">
            <w:r w:rsidRPr="00AA4A0B">
              <w:t>Location</w:t>
            </w:r>
          </w:p>
        </w:tc>
        <w:tc>
          <w:tcPr>
            <w:tcW w:w="3483" w:type="dxa"/>
          </w:tcPr>
          <w:p w14:paraId="73F81C26" w14:textId="77777777" w:rsidR="006A5FA7" w:rsidRPr="00AA4A0B" w:rsidRDefault="006A5FA7" w:rsidP="006A5FA7">
            <w:r>
              <w:t>EASE Grid 2.0</w:t>
            </w:r>
          </w:p>
        </w:tc>
        <w:tc>
          <w:tcPr>
            <w:tcW w:w="1890" w:type="dxa"/>
          </w:tcPr>
          <w:p w14:paraId="105CDAF0" w14:textId="77777777" w:rsidR="006A5FA7" w:rsidRPr="00AA4A0B" w:rsidRDefault="006A5FA7" w:rsidP="006A5FA7">
            <w:r>
              <w:t>N/A</w:t>
            </w:r>
          </w:p>
        </w:tc>
      </w:tr>
      <w:tr w:rsidR="006A5FA7" w:rsidRPr="00B005E5" w14:paraId="02CA15ED" w14:textId="77777777" w:rsidTr="006A5FA7">
        <w:trPr>
          <w:trHeight w:val="241"/>
        </w:trPr>
        <w:tc>
          <w:tcPr>
            <w:tcW w:w="2202" w:type="dxa"/>
          </w:tcPr>
          <w:p w14:paraId="42E320AB" w14:textId="77777777" w:rsidR="006A5FA7" w:rsidRPr="00AA4A0B" w:rsidRDefault="006A5FA7" w:rsidP="006A5FA7">
            <w:r>
              <w:t>Longitude</w:t>
            </w:r>
          </w:p>
        </w:tc>
        <w:tc>
          <w:tcPr>
            <w:tcW w:w="1690" w:type="dxa"/>
          </w:tcPr>
          <w:p w14:paraId="1E691D1C" w14:textId="77777777" w:rsidR="006A5FA7" w:rsidRPr="00AA4A0B" w:rsidRDefault="006A5FA7" w:rsidP="006A5FA7">
            <w:r>
              <w:t>Location</w:t>
            </w:r>
          </w:p>
        </w:tc>
        <w:tc>
          <w:tcPr>
            <w:tcW w:w="3483" w:type="dxa"/>
          </w:tcPr>
          <w:p w14:paraId="418E7E9C" w14:textId="77777777" w:rsidR="006A5FA7" w:rsidRPr="00AA4A0B" w:rsidRDefault="006A5FA7" w:rsidP="006A5FA7">
            <w:r>
              <w:t>EASE Grid 2.0</w:t>
            </w:r>
          </w:p>
        </w:tc>
        <w:tc>
          <w:tcPr>
            <w:tcW w:w="1890" w:type="dxa"/>
          </w:tcPr>
          <w:p w14:paraId="129BEC6F" w14:textId="77777777" w:rsidR="006A5FA7" w:rsidRPr="00AA4A0B" w:rsidRDefault="006A5FA7" w:rsidP="006A5FA7">
            <w:r>
              <w:t>N/A</w:t>
            </w:r>
          </w:p>
        </w:tc>
      </w:tr>
      <w:tr w:rsidR="006A5FA7" w:rsidRPr="00B005E5" w14:paraId="4A405814" w14:textId="77777777" w:rsidTr="006A5FA7">
        <w:trPr>
          <w:trHeight w:val="255"/>
        </w:trPr>
        <w:tc>
          <w:tcPr>
            <w:tcW w:w="2202" w:type="dxa"/>
          </w:tcPr>
          <w:p w14:paraId="1DB7D009" w14:textId="77777777" w:rsidR="006A5FA7" w:rsidRDefault="006A5FA7" w:rsidP="006A5FA7">
            <w:r>
              <w:t>Region</w:t>
            </w:r>
          </w:p>
        </w:tc>
        <w:tc>
          <w:tcPr>
            <w:tcW w:w="1690" w:type="dxa"/>
          </w:tcPr>
          <w:p w14:paraId="2FB49FD2" w14:textId="77777777" w:rsidR="006A5FA7" w:rsidRDefault="006A5FA7" w:rsidP="006A5FA7">
            <w:r>
              <w:t>Location</w:t>
            </w:r>
          </w:p>
        </w:tc>
        <w:tc>
          <w:tcPr>
            <w:tcW w:w="3483" w:type="dxa"/>
          </w:tcPr>
          <w:p w14:paraId="3F640EC2" w14:textId="77777777" w:rsidR="006A5FA7" w:rsidRPr="00AA4A0B" w:rsidRDefault="006A5FA7" w:rsidP="006A5FA7">
            <w:r>
              <w:t>Determined from Lat/Lon</w:t>
            </w:r>
          </w:p>
        </w:tc>
        <w:tc>
          <w:tcPr>
            <w:tcW w:w="1890" w:type="dxa"/>
          </w:tcPr>
          <w:p w14:paraId="7C970FA6" w14:textId="77777777" w:rsidR="006A5FA7" w:rsidRPr="00AA4A0B" w:rsidRDefault="006A5FA7" w:rsidP="006A5FA7">
            <w:r>
              <w:t>N/A</w:t>
            </w:r>
          </w:p>
        </w:tc>
      </w:tr>
    </w:tbl>
    <w:p w14:paraId="217FCC03" w14:textId="77777777" w:rsidR="006A5FA7" w:rsidRDefault="006A5FA7" w:rsidP="006A5FA7">
      <w:pPr>
        <w:spacing w:line="259" w:lineRule="auto"/>
        <w:rPr>
          <w:sz w:val="24"/>
          <w:szCs w:val="24"/>
        </w:rPr>
      </w:pPr>
      <w:r w:rsidRPr="0066189D">
        <w:rPr>
          <w:b/>
          <w:sz w:val="24"/>
          <w:szCs w:val="24"/>
        </w:rPr>
        <w:t>Supplementary Table 1.</w:t>
      </w:r>
      <w:r w:rsidRPr="00B005E5">
        <w:rPr>
          <w:sz w:val="24"/>
          <w:szCs w:val="24"/>
        </w:rPr>
        <w:t xml:space="preserve"> Predictor features</w:t>
      </w:r>
    </w:p>
    <w:p w14:paraId="07947E79" w14:textId="77777777" w:rsidR="00F3349C" w:rsidRDefault="00F3349C">
      <w:pPr>
        <w:spacing w:line="259" w:lineRule="auto"/>
      </w:pPr>
    </w:p>
    <w:p w14:paraId="168591DF" w14:textId="768F8EE5" w:rsidR="006A5FA7" w:rsidRDefault="006A5FA7">
      <w:pPr>
        <w:spacing w:line="259" w:lineRule="auto"/>
        <w:rPr>
          <w:b/>
        </w:rPr>
      </w:pPr>
      <w:r>
        <w:rPr>
          <w:b/>
        </w:rPr>
        <w:br w:type="page"/>
      </w:r>
    </w:p>
    <w:p w14:paraId="7C69E37E" w14:textId="77777777" w:rsidR="00731DE0" w:rsidRDefault="00731DE0">
      <w:pPr>
        <w:spacing w:line="259" w:lineRule="auto"/>
        <w:rPr>
          <w:b/>
        </w:rPr>
      </w:pPr>
    </w:p>
    <w:p w14:paraId="3503D7FE" w14:textId="530D3DEA" w:rsidR="0001425F" w:rsidRPr="003404D6" w:rsidRDefault="00731DE0" w:rsidP="0001425F">
      <w:pPr>
        <w:jc w:val="center"/>
        <w:rPr>
          <w:sz w:val="24"/>
          <w:szCs w:val="24"/>
        </w:rPr>
      </w:pPr>
      <w:r>
        <w:rPr>
          <w:noProof/>
        </w:rPr>
        <w:drawing>
          <wp:inline distT="0" distB="0" distL="0" distR="0" wp14:anchorId="18EE5FCD" wp14:editId="0BDDFB2A">
            <wp:extent cx="5943600" cy="2849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849880"/>
                    </a:xfrm>
                    <a:prstGeom prst="rect">
                      <a:avLst/>
                    </a:prstGeom>
                  </pic:spPr>
                </pic:pic>
              </a:graphicData>
            </a:graphic>
          </wp:inline>
        </w:drawing>
      </w:r>
      <w:r w:rsidRPr="0066189D">
        <w:rPr>
          <w:b/>
          <w:sz w:val="24"/>
          <w:szCs w:val="24"/>
        </w:rPr>
        <w:t xml:space="preserve">Supplementary Figure </w:t>
      </w:r>
      <w:r>
        <w:rPr>
          <w:b/>
          <w:sz w:val="24"/>
          <w:szCs w:val="24"/>
        </w:rPr>
        <w:t>2</w:t>
      </w:r>
      <w:r w:rsidRPr="0066189D">
        <w:rPr>
          <w:b/>
          <w:sz w:val="24"/>
          <w:szCs w:val="24"/>
        </w:rPr>
        <w:t>.</w:t>
      </w:r>
      <w:r>
        <w:rPr>
          <w:sz w:val="24"/>
          <w:szCs w:val="24"/>
        </w:rPr>
        <w:t xml:space="preserve"> Scatterplot showing</w:t>
      </w:r>
      <w:r w:rsidRPr="00B005E5">
        <w:rPr>
          <w:sz w:val="24"/>
          <w:szCs w:val="24"/>
        </w:rPr>
        <w:t xml:space="preserve"> </w:t>
      </w:r>
      <w:r>
        <w:rPr>
          <w:sz w:val="24"/>
          <w:szCs w:val="24"/>
        </w:rPr>
        <w:t>m</w:t>
      </w:r>
      <w:r w:rsidRPr="00B005E5">
        <w:rPr>
          <w:sz w:val="24"/>
          <w:szCs w:val="24"/>
        </w:rPr>
        <w:t xml:space="preserve">odel </w:t>
      </w:r>
      <w:r w:rsidRPr="003404D6">
        <w:rPr>
          <w:sz w:val="24"/>
          <w:szCs w:val="24"/>
        </w:rPr>
        <w:t>performance for a) sm</w:t>
      </w:r>
      <w:r w:rsidRPr="003404D6">
        <w:rPr>
          <w:sz w:val="24"/>
          <w:szCs w:val="24"/>
          <w:vertAlign w:val="subscript"/>
        </w:rPr>
        <w:t>dry season</w:t>
      </w:r>
      <w:r w:rsidRPr="003404D6">
        <w:rPr>
          <w:sz w:val="24"/>
          <w:szCs w:val="24"/>
        </w:rPr>
        <w:t xml:space="preserve"> and b) pct</w:t>
      </w:r>
      <w:r w:rsidRPr="003404D6">
        <w:rPr>
          <w:sz w:val="24"/>
          <w:szCs w:val="24"/>
          <w:vertAlign w:val="subscript"/>
        </w:rPr>
        <w:t>lowsm</w:t>
      </w:r>
      <w:r w:rsidR="0001425F" w:rsidRPr="003404D6">
        <w:rPr>
          <w:sz w:val="24"/>
          <w:szCs w:val="24"/>
        </w:rPr>
        <w:t>. These were computed using hold-one-year-out cross-validation.</w:t>
      </w:r>
    </w:p>
    <w:p w14:paraId="315EB263" w14:textId="43E2934E" w:rsidR="00731DE0" w:rsidRPr="00B005E5" w:rsidRDefault="00731DE0" w:rsidP="00731DE0">
      <w:pPr>
        <w:rPr>
          <w:sz w:val="24"/>
          <w:szCs w:val="24"/>
        </w:rPr>
      </w:pPr>
    </w:p>
    <w:p w14:paraId="253C1D49" w14:textId="77777777" w:rsidR="00A40585" w:rsidRDefault="00731DE0">
      <w:pPr>
        <w:spacing w:line="259" w:lineRule="auto"/>
        <w:rPr>
          <w:b/>
        </w:rPr>
      </w:pPr>
      <w:r>
        <w:rPr>
          <w:b/>
        </w:rPr>
        <w:br w:type="page"/>
      </w:r>
    </w:p>
    <w:p w14:paraId="2B6C0602" w14:textId="295BC254" w:rsidR="00A40585" w:rsidRDefault="007602FE">
      <w:pPr>
        <w:spacing w:line="259" w:lineRule="auto"/>
        <w:rPr>
          <w:b/>
        </w:rPr>
      </w:pPr>
      <w:r>
        <w:rPr>
          <w:noProof/>
        </w:rPr>
        <w:lastRenderedPageBreak/>
        <w:drawing>
          <wp:inline distT="0" distB="0" distL="0" distR="0" wp14:anchorId="1B7D680D" wp14:editId="782C2F59">
            <wp:extent cx="5943600" cy="26092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609215"/>
                    </a:xfrm>
                    <a:prstGeom prst="rect">
                      <a:avLst/>
                    </a:prstGeom>
                  </pic:spPr>
                </pic:pic>
              </a:graphicData>
            </a:graphic>
          </wp:inline>
        </w:drawing>
      </w:r>
      <w:r w:rsidR="00A40585">
        <w:rPr>
          <w:b/>
        </w:rPr>
        <w:t xml:space="preserve"> </w:t>
      </w:r>
    </w:p>
    <w:p w14:paraId="403ACA36" w14:textId="77777777" w:rsidR="007602FE" w:rsidRDefault="007602FE">
      <w:pPr>
        <w:spacing w:line="259" w:lineRule="auto"/>
        <w:rPr>
          <w:b/>
        </w:rPr>
      </w:pPr>
    </w:p>
    <w:p w14:paraId="1CB0242F" w14:textId="7190F76E" w:rsidR="00A40585" w:rsidRPr="0001425F" w:rsidRDefault="4878CDF3" w:rsidP="00A40585">
      <w:pPr>
        <w:rPr>
          <w:sz w:val="24"/>
          <w:szCs w:val="24"/>
        </w:rPr>
      </w:pPr>
      <w:r w:rsidRPr="4878CDF3">
        <w:rPr>
          <w:b/>
          <w:bCs/>
          <w:sz w:val="24"/>
          <w:szCs w:val="24"/>
        </w:rPr>
        <w:t>Supplementary Figure 3</w:t>
      </w:r>
      <w:r w:rsidRPr="4878CDF3">
        <w:rPr>
          <w:sz w:val="24"/>
          <w:szCs w:val="24"/>
        </w:rPr>
        <w:t>. Change in distributions of input climate features.</w:t>
      </w:r>
      <w:r w:rsidR="003404D6">
        <w:rPr>
          <w:sz w:val="24"/>
          <w:szCs w:val="24"/>
        </w:rPr>
        <w:t xml:space="preserve"> Contours depict probability density and cross denotes median.</w:t>
      </w:r>
      <w:r w:rsidRPr="4878CDF3">
        <w:rPr>
          <w:sz w:val="24"/>
          <w:szCs w:val="24"/>
        </w:rPr>
        <w:t xml:space="preserve"> a) Dry season precipitation and PET. b) Annual precipitation and precipitation entropy. Higher precipitation entropy implies lower seasonality.</w:t>
      </w:r>
    </w:p>
    <w:p w14:paraId="34571BB7" w14:textId="77777777" w:rsidR="00A40585" w:rsidRDefault="00A40585">
      <w:pPr>
        <w:spacing w:line="259" w:lineRule="auto"/>
        <w:rPr>
          <w:b/>
        </w:rPr>
      </w:pPr>
    </w:p>
    <w:p w14:paraId="45028FE6" w14:textId="751B17C6" w:rsidR="00A40585" w:rsidRDefault="00A40585">
      <w:pPr>
        <w:spacing w:line="259" w:lineRule="auto"/>
        <w:rPr>
          <w:b/>
        </w:rPr>
      </w:pPr>
      <w:r>
        <w:rPr>
          <w:b/>
        </w:rPr>
        <w:br w:type="page"/>
      </w:r>
    </w:p>
    <w:p w14:paraId="06056E4D" w14:textId="6FB82236" w:rsidR="00793A9F" w:rsidRPr="002424FF" w:rsidRDefault="00793A9F">
      <w:pPr>
        <w:spacing w:line="259" w:lineRule="auto"/>
        <w:rPr>
          <w:b/>
        </w:rPr>
      </w:pPr>
    </w:p>
    <w:p w14:paraId="61066337" w14:textId="6BFABCD5" w:rsidR="00793A9F" w:rsidRPr="00B005E5" w:rsidRDefault="000B7F62" w:rsidP="003B0BDA">
      <w:pPr>
        <w:rPr>
          <w:sz w:val="24"/>
          <w:szCs w:val="24"/>
        </w:rPr>
      </w:pPr>
      <w:r>
        <w:rPr>
          <w:noProof/>
        </w:rPr>
        <w:drawing>
          <wp:inline distT="0" distB="0" distL="0" distR="0" wp14:anchorId="0D2B17E4" wp14:editId="4E5E6524">
            <wp:extent cx="4152900" cy="526744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89458" cy="5313809"/>
                    </a:xfrm>
                    <a:prstGeom prst="rect">
                      <a:avLst/>
                    </a:prstGeom>
                  </pic:spPr>
                </pic:pic>
              </a:graphicData>
            </a:graphic>
          </wp:inline>
        </w:drawing>
      </w:r>
      <w:r w:rsidR="003B0BDA" w:rsidRPr="00B005E5">
        <w:rPr>
          <w:sz w:val="24"/>
          <w:szCs w:val="24"/>
        </w:rPr>
        <w:t xml:space="preserve"> </w:t>
      </w:r>
    </w:p>
    <w:p w14:paraId="4D192C31" w14:textId="7F03803D" w:rsidR="00793A9F" w:rsidRPr="0001425F" w:rsidRDefault="4878CDF3" w:rsidP="003E2C93">
      <w:pPr>
        <w:rPr>
          <w:sz w:val="24"/>
          <w:szCs w:val="24"/>
        </w:rPr>
      </w:pPr>
      <w:r w:rsidRPr="4878CDF3">
        <w:rPr>
          <w:b/>
          <w:bCs/>
          <w:sz w:val="24"/>
          <w:szCs w:val="24"/>
        </w:rPr>
        <w:t>Supplementary Figure 4</w:t>
      </w:r>
      <w:r w:rsidRPr="4878CDF3">
        <w:rPr>
          <w:sz w:val="24"/>
          <w:szCs w:val="24"/>
        </w:rPr>
        <w:t>. Feature importance for a) sm</w:t>
      </w:r>
      <w:r w:rsidRPr="4878CDF3">
        <w:rPr>
          <w:sz w:val="24"/>
          <w:szCs w:val="24"/>
          <w:vertAlign w:val="subscript"/>
        </w:rPr>
        <w:t>dry season</w:t>
      </w:r>
      <w:r w:rsidRPr="4878CDF3">
        <w:rPr>
          <w:sz w:val="24"/>
          <w:szCs w:val="24"/>
        </w:rPr>
        <w:t xml:space="preserve"> and b) pct</w:t>
      </w:r>
      <w:r w:rsidRPr="4878CDF3">
        <w:rPr>
          <w:sz w:val="24"/>
          <w:szCs w:val="24"/>
          <w:vertAlign w:val="subscript"/>
        </w:rPr>
        <w:t>low sm</w:t>
      </w:r>
      <w:r w:rsidRPr="4878CDF3">
        <w:rPr>
          <w:sz w:val="24"/>
          <w:szCs w:val="24"/>
        </w:rPr>
        <w:t>. These were calculated by comparing the relative increases in cross-validation error when randomly shuffling a given predictor feature. Higher resulting error corresponds to higher importance. Values are normalized to sum to one.</w:t>
      </w:r>
    </w:p>
    <w:p w14:paraId="4374F25E" w14:textId="77777777" w:rsidR="002424FF" w:rsidRDefault="003E2C93" w:rsidP="002424FF">
      <w:pPr>
        <w:jc w:val="center"/>
      </w:pPr>
      <w:r>
        <w:br w:type="page"/>
      </w:r>
      <w:r w:rsidR="002424FF" w:rsidRPr="00054A7A">
        <w:rPr>
          <w:noProof/>
          <w:sz w:val="24"/>
          <w:szCs w:val="24"/>
        </w:rPr>
        <w:lastRenderedPageBreak/>
        <w:drawing>
          <wp:inline distT="0" distB="0" distL="0" distR="0" wp14:anchorId="4D98A01A" wp14:editId="7342DAC9">
            <wp:extent cx="3591086" cy="3238500"/>
            <wp:effectExtent l="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a:stretch>
                      <a:fillRect/>
                    </a:stretch>
                  </pic:blipFill>
                  <pic:spPr>
                    <a:xfrm>
                      <a:off x="0" y="0"/>
                      <a:ext cx="3601607" cy="3247988"/>
                    </a:xfrm>
                    <a:prstGeom prst="rect">
                      <a:avLst/>
                    </a:prstGeom>
                  </pic:spPr>
                </pic:pic>
              </a:graphicData>
            </a:graphic>
          </wp:inline>
        </w:drawing>
      </w:r>
    </w:p>
    <w:p w14:paraId="7882D0FE" w14:textId="3D9F9FFD" w:rsidR="002424FF" w:rsidRPr="00896D31" w:rsidRDefault="002424FF" w:rsidP="002424FF">
      <w:pPr>
        <w:rPr>
          <w:sz w:val="24"/>
          <w:szCs w:val="24"/>
        </w:rPr>
      </w:pPr>
      <w:r w:rsidRPr="002424FF">
        <w:rPr>
          <w:b/>
          <w:sz w:val="24"/>
          <w:szCs w:val="24"/>
        </w:rPr>
        <w:t xml:space="preserve">Supplementary Figure </w:t>
      </w:r>
      <w:r w:rsidR="00A40585">
        <w:rPr>
          <w:b/>
          <w:sz w:val="24"/>
          <w:szCs w:val="24"/>
        </w:rPr>
        <w:t>5</w:t>
      </w:r>
      <w:r w:rsidRPr="002424FF">
        <w:rPr>
          <w:b/>
          <w:sz w:val="24"/>
          <w:szCs w:val="24"/>
        </w:rPr>
        <w:t>:</w:t>
      </w:r>
      <w:r w:rsidRPr="002424FF">
        <w:rPr>
          <w:sz w:val="24"/>
          <w:szCs w:val="24"/>
        </w:rPr>
        <w:t xml:space="preserve"> In situ surface soil measurements from literature (Supplementary Table 2).</w:t>
      </w:r>
      <w:r w:rsidRPr="00896D31">
        <w:rPr>
          <w:sz w:val="24"/>
          <w:szCs w:val="24"/>
        </w:rPr>
        <w:t xml:space="preserve"> </w:t>
      </w:r>
      <w:r w:rsidRPr="002424FF">
        <w:rPr>
          <w:sz w:val="24"/>
          <w:szCs w:val="24"/>
        </w:rPr>
        <w:t>Where applicable, range of values is denoted by whiskers.</w:t>
      </w:r>
    </w:p>
    <w:p w14:paraId="717BB10C" w14:textId="3E1CCAB0" w:rsidR="00E063E5" w:rsidRPr="00B005E5" w:rsidRDefault="00E063E5" w:rsidP="002424FF">
      <w:pPr>
        <w:rPr>
          <w:sz w:val="24"/>
          <w:szCs w:val="24"/>
        </w:rPr>
      </w:pPr>
    </w:p>
    <w:p w14:paraId="5CA94EB0" w14:textId="77777777" w:rsidR="00FD1A66" w:rsidRDefault="00FD1A66">
      <w:pPr>
        <w:spacing w:line="259" w:lineRule="auto"/>
        <w:rPr>
          <w:b/>
          <w:sz w:val="24"/>
        </w:rPr>
      </w:pPr>
      <w:r>
        <w:rPr>
          <w:b/>
          <w:sz w:val="24"/>
        </w:rPr>
        <w:br w:type="page"/>
      </w:r>
    </w:p>
    <w:p w14:paraId="0F047CB4" w14:textId="1DEFEF34" w:rsidR="00847FA4" w:rsidRDefault="4878CDF3" w:rsidP="4878CDF3">
      <w:pPr>
        <w:rPr>
          <w:sz w:val="24"/>
          <w:szCs w:val="24"/>
        </w:rPr>
      </w:pPr>
      <w:r w:rsidRPr="4878CDF3">
        <w:rPr>
          <w:b/>
          <w:bCs/>
          <w:sz w:val="24"/>
          <w:szCs w:val="24"/>
        </w:rPr>
        <w:lastRenderedPageBreak/>
        <w:t xml:space="preserve">Supplementary Table 2. </w:t>
      </w:r>
      <w:r w:rsidRPr="4878CDF3">
        <w:rPr>
          <w:sz w:val="24"/>
          <w:szCs w:val="24"/>
        </w:rPr>
        <w:t>In situ soil moisture (SM) measurements from literature, during the dry season.</w:t>
      </w:r>
    </w:p>
    <w:p w14:paraId="2D106F4A" w14:textId="4247BF6A" w:rsidR="00895BC9" w:rsidRPr="00585583" w:rsidRDefault="00895BC9" w:rsidP="00865B00">
      <w:pPr>
        <w:rPr>
          <w:sz w:val="24"/>
        </w:rPr>
      </w:pPr>
    </w:p>
    <w:tbl>
      <w:tblPr>
        <w:tblStyle w:val="TableGrid"/>
        <w:tblW w:w="0" w:type="auto"/>
        <w:tblLook w:val="04A0" w:firstRow="1" w:lastRow="0" w:firstColumn="1" w:lastColumn="0" w:noHBand="0" w:noVBand="1"/>
      </w:tblPr>
      <w:tblGrid>
        <w:gridCol w:w="1253"/>
        <w:gridCol w:w="1257"/>
        <w:gridCol w:w="539"/>
        <w:gridCol w:w="629"/>
        <w:gridCol w:w="727"/>
        <w:gridCol w:w="1350"/>
        <w:gridCol w:w="900"/>
        <w:gridCol w:w="720"/>
        <w:gridCol w:w="1975"/>
      </w:tblGrid>
      <w:tr w:rsidR="00FA243D" w:rsidRPr="00895BC9" w14:paraId="6CCDE8F5" w14:textId="77777777" w:rsidTr="4878CDF3">
        <w:trPr>
          <w:trHeight w:val="288"/>
        </w:trPr>
        <w:tc>
          <w:tcPr>
            <w:tcW w:w="1253" w:type="dxa"/>
            <w:noWrap/>
            <w:hideMark/>
          </w:tcPr>
          <w:p w14:paraId="6A8A3A81" w14:textId="7FE51863" w:rsidR="00895BC9" w:rsidRPr="00895BC9" w:rsidRDefault="4878CDF3" w:rsidP="4878CDF3">
            <w:pPr>
              <w:rPr>
                <w:b/>
                <w:bCs/>
                <w:sz w:val="18"/>
                <w:szCs w:val="18"/>
              </w:rPr>
            </w:pPr>
            <w:r w:rsidRPr="4878CDF3">
              <w:rPr>
                <w:b/>
                <w:bCs/>
                <w:sz w:val="18"/>
                <w:szCs w:val="18"/>
              </w:rPr>
              <w:t>Paper</w:t>
            </w:r>
          </w:p>
        </w:tc>
        <w:tc>
          <w:tcPr>
            <w:tcW w:w="1257" w:type="dxa"/>
            <w:noWrap/>
            <w:hideMark/>
          </w:tcPr>
          <w:p w14:paraId="53F351C9" w14:textId="2BF866BE" w:rsidR="00895BC9" w:rsidRPr="00895BC9" w:rsidRDefault="00895BC9">
            <w:pPr>
              <w:rPr>
                <w:b/>
                <w:bCs/>
                <w:sz w:val="18"/>
              </w:rPr>
            </w:pPr>
            <w:r>
              <w:rPr>
                <w:b/>
                <w:bCs/>
                <w:sz w:val="18"/>
              </w:rPr>
              <w:t>Land Use</w:t>
            </w:r>
          </w:p>
        </w:tc>
        <w:tc>
          <w:tcPr>
            <w:tcW w:w="539" w:type="dxa"/>
            <w:noWrap/>
            <w:hideMark/>
          </w:tcPr>
          <w:p w14:paraId="1CF153B2" w14:textId="1842BDAB" w:rsidR="00895BC9" w:rsidRDefault="00895BC9">
            <w:pPr>
              <w:rPr>
                <w:b/>
                <w:bCs/>
                <w:sz w:val="18"/>
              </w:rPr>
            </w:pPr>
            <w:r w:rsidRPr="00895BC9">
              <w:rPr>
                <w:b/>
                <w:bCs/>
                <w:sz w:val="18"/>
              </w:rPr>
              <w:t>Low</w:t>
            </w:r>
          </w:p>
          <w:p w14:paraId="38956D94" w14:textId="7C063E94" w:rsidR="00895BC9" w:rsidRPr="00895BC9" w:rsidRDefault="00895BC9">
            <w:pPr>
              <w:rPr>
                <w:b/>
                <w:bCs/>
                <w:sz w:val="18"/>
              </w:rPr>
            </w:pPr>
            <w:r>
              <w:rPr>
                <w:b/>
                <w:bCs/>
                <w:sz w:val="18"/>
              </w:rPr>
              <w:t>SM</w:t>
            </w:r>
          </w:p>
        </w:tc>
        <w:tc>
          <w:tcPr>
            <w:tcW w:w="629" w:type="dxa"/>
            <w:noWrap/>
            <w:hideMark/>
          </w:tcPr>
          <w:p w14:paraId="706FF922" w14:textId="77777777" w:rsidR="00895BC9" w:rsidRDefault="00895BC9">
            <w:pPr>
              <w:rPr>
                <w:b/>
                <w:bCs/>
                <w:sz w:val="18"/>
              </w:rPr>
            </w:pPr>
            <w:r>
              <w:rPr>
                <w:b/>
                <w:bCs/>
                <w:sz w:val="18"/>
              </w:rPr>
              <w:t>High</w:t>
            </w:r>
          </w:p>
          <w:p w14:paraId="57998D46" w14:textId="221BEBE0" w:rsidR="00895BC9" w:rsidRPr="00895BC9" w:rsidRDefault="00895BC9">
            <w:pPr>
              <w:rPr>
                <w:b/>
                <w:bCs/>
                <w:sz w:val="18"/>
              </w:rPr>
            </w:pPr>
            <w:r>
              <w:rPr>
                <w:b/>
                <w:bCs/>
                <w:sz w:val="18"/>
              </w:rPr>
              <w:t>SM</w:t>
            </w:r>
          </w:p>
        </w:tc>
        <w:tc>
          <w:tcPr>
            <w:tcW w:w="727" w:type="dxa"/>
            <w:noWrap/>
            <w:hideMark/>
          </w:tcPr>
          <w:p w14:paraId="652E6DE8" w14:textId="77777777" w:rsidR="00895BC9" w:rsidRDefault="00895BC9" w:rsidP="00895BC9">
            <w:pPr>
              <w:rPr>
                <w:b/>
                <w:bCs/>
                <w:sz w:val="18"/>
              </w:rPr>
            </w:pPr>
            <w:r>
              <w:rPr>
                <w:b/>
                <w:bCs/>
                <w:sz w:val="18"/>
              </w:rPr>
              <w:t>Mean</w:t>
            </w:r>
          </w:p>
          <w:p w14:paraId="38CD8D59" w14:textId="663311D0" w:rsidR="00895BC9" w:rsidRPr="00895BC9" w:rsidRDefault="00895BC9" w:rsidP="00895BC9">
            <w:pPr>
              <w:rPr>
                <w:b/>
                <w:bCs/>
                <w:sz w:val="18"/>
              </w:rPr>
            </w:pPr>
            <w:r>
              <w:rPr>
                <w:b/>
                <w:bCs/>
                <w:sz w:val="18"/>
              </w:rPr>
              <w:t>SM</w:t>
            </w:r>
          </w:p>
        </w:tc>
        <w:tc>
          <w:tcPr>
            <w:tcW w:w="1350" w:type="dxa"/>
            <w:noWrap/>
            <w:hideMark/>
          </w:tcPr>
          <w:p w14:paraId="627EA250" w14:textId="77777777" w:rsidR="00895BC9" w:rsidRPr="00895BC9" w:rsidRDefault="00895BC9">
            <w:pPr>
              <w:rPr>
                <w:b/>
                <w:bCs/>
                <w:sz w:val="18"/>
              </w:rPr>
            </w:pPr>
            <w:r w:rsidRPr="00895BC9">
              <w:rPr>
                <w:b/>
                <w:bCs/>
                <w:sz w:val="18"/>
              </w:rPr>
              <w:t>Where</w:t>
            </w:r>
          </w:p>
        </w:tc>
        <w:tc>
          <w:tcPr>
            <w:tcW w:w="900" w:type="dxa"/>
            <w:noWrap/>
            <w:hideMark/>
          </w:tcPr>
          <w:p w14:paraId="2F25BD0B" w14:textId="203C43E5" w:rsidR="00895BC9" w:rsidRPr="00895BC9" w:rsidRDefault="00895BC9">
            <w:pPr>
              <w:rPr>
                <w:b/>
                <w:bCs/>
                <w:sz w:val="18"/>
              </w:rPr>
            </w:pPr>
            <w:r w:rsidRPr="00895BC9">
              <w:rPr>
                <w:b/>
                <w:bCs/>
                <w:sz w:val="18"/>
              </w:rPr>
              <w:t>Time</w:t>
            </w:r>
            <w:r>
              <w:rPr>
                <w:b/>
                <w:bCs/>
                <w:sz w:val="18"/>
              </w:rPr>
              <w:t xml:space="preserve"> </w:t>
            </w:r>
            <w:r w:rsidRPr="00895BC9">
              <w:rPr>
                <w:b/>
                <w:bCs/>
                <w:sz w:val="18"/>
              </w:rPr>
              <w:t>Avg</w:t>
            </w:r>
          </w:p>
        </w:tc>
        <w:tc>
          <w:tcPr>
            <w:tcW w:w="720" w:type="dxa"/>
            <w:noWrap/>
            <w:hideMark/>
          </w:tcPr>
          <w:p w14:paraId="55D20AA3" w14:textId="5B3BDD92" w:rsidR="00895BC9" w:rsidRPr="00895BC9" w:rsidRDefault="00895BC9">
            <w:pPr>
              <w:rPr>
                <w:b/>
                <w:bCs/>
                <w:sz w:val="18"/>
              </w:rPr>
            </w:pPr>
            <w:r w:rsidRPr="00895BC9">
              <w:rPr>
                <w:b/>
                <w:bCs/>
                <w:sz w:val="18"/>
              </w:rPr>
              <w:t>Depth</w:t>
            </w:r>
            <w:r>
              <w:rPr>
                <w:b/>
                <w:bCs/>
                <w:sz w:val="18"/>
              </w:rPr>
              <w:t xml:space="preserve"> (cm)</w:t>
            </w:r>
          </w:p>
        </w:tc>
        <w:tc>
          <w:tcPr>
            <w:tcW w:w="1975" w:type="dxa"/>
            <w:noWrap/>
            <w:hideMark/>
          </w:tcPr>
          <w:p w14:paraId="75EEFF88" w14:textId="446445E7" w:rsidR="00895BC9" w:rsidRPr="00895BC9" w:rsidRDefault="4878CDF3" w:rsidP="4878CDF3">
            <w:pPr>
              <w:rPr>
                <w:b/>
                <w:bCs/>
                <w:sz w:val="18"/>
                <w:szCs w:val="18"/>
              </w:rPr>
            </w:pPr>
            <w:r w:rsidRPr="4878CDF3">
              <w:rPr>
                <w:b/>
                <w:bCs/>
                <w:sz w:val="18"/>
                <w:szCs w:val="18"/>
              </w:rPr>
              <w:t>Setting</w:t>
            </w:r>
          </w:p>
        </w:tc>
      </w:tr>
      <w:tr w:rsidR="00FA243D" w:rsidRPr="00895BC9" w14:paraId="16AB5A51" w14:textId="77777777" w:rsidTr="4878CDF3">
        <w:trPr>
          <w:trHeight w:val="288"/>
        </w:trPr>
        <w:tc>
          <w:tcPr>
            <w:tcW w:w="1253" w:type="dxa"/>
            <w:noWrap/>
            <w:hideMark/>
          </w:tcPr>
          <w:p w14:paraId="326EF637" w14:textId="6AE81DA9" w:rsidR="00895BC9" w:rsidRPr="00895BC9" w:rsidRDefault="00FA243D" w:rsidP="001F209E">
            <w:pPr>
              <w:rPr>
                <w:sz w:val="18"/>
              </w:rPr>
            </w:pPr>
            <w:r>
              <w:rPr>
                <w:sz w:val="18"/>
              </w:rPr>
              <w:fldChar w:fldCharType="begin" w:fldLock="1"/>
            </w:r>
            <w:r w:rsidR="001F209E">
              <w:rPr>
                <w:sz w:val="18"/>
              </w:rPr>
              <w:instrText>ADDIN CSL_CITATION {"citationItems":[{"id":"ITEM-1","itemData":{"DOI":"10.1111/j.1365-2486.2006.01301.x","ISBN":"1365-2486","ISSN":"13541013","PMID":"23364175","abstract":"Tropical peatlands, which coexist with swamp forests, have accumulated vast amounts of carbon as soil organic matter. Since the 1970s, however, deforestation and drainage have progressed on an enormous scale. In addition, El Nino and Southern Oscillation (ENSO) drought and large-scale fires, which grow larger under the drought condition, are accelerating peatland devastation. That devastation enhances decomposition of soil organic matter and increases the carbon release to the atmosphere as CO2. This phenomenon suggests that tropical peatlands have already become a large CO2 source, but related quantitative information is limited. Therefore, we evaluated the CO2 balance of a tropical peat swamp forest in Central Kalimantan, Indonesia, using 3 years of CO2 fluxes measured using the eddy covariance technique from 2002 through 2004. The forest was disturbed by drainage; consequently, groundwater level (GL) was reduced. The net ecosystem CO2 production (NEP) measurements showed seasonal variation, which was slightly positive or almost zero in the early dry season, and most-negative late in the dry season or early the rainy season. This seasonality is attributable to the seasonal pattern of climate, tree phenology and fires. Slightly positive NEP resulted from smaller ecosystem respiration (RE) and larger gross primary production (GPP) under conditions of high photosynthetic photon flux density (PPFD) and large leaf area index (LAI). The most-negative NEP resulted from smaller GPP and larger RE. The smaller GPP was related to high vapor pressure deficit (VPD), small LAI and low PPFD because of smoke from fires. The larger RE was related to low GL. Annual NEP values were estimated respectively as -602, -382 and -313 g C m(-2) yr(-1) for 2002, 2003 and 2004. These negative NEP values show that the tropical peat swamp forest, disturbed by drainage, functioned as a CO2 source. That source intensity was highest in 2002, an ENSO year, mainly because of low PPFD caused by dense smoke emitted from large fires.","author":[{"dropping-particle":"","family":"Hirano","given":"Takashi","non-dropping-particle":"","parse-names":false,"suffix":""},{"dropping-particle":"","family":"Segah","given":"Hendrik","non-dropping-particle":"","parse-names":false,"suffix":""},{"dropping-particle":"","family":"Harada","given":"Tsuyoshi","non-dropping-particle":"","parse-names":false,"suffix":""},{"dropping-particle":"","family":"Limin","given":"Suwido","non-dropping-particle":"","parse-names":false,"suffix":""},{"dropping-particle":"","family":"June","given":"Tania","non-dropping-particle":"","parse-names":false,"suffix":""},{"dropping-particle":"","family":"Hirata","given":"Ryuichi","non-dropping-particle":"","parse-names":false,"suffix":""},{"dropping-particle":"","family":"Osaki","given":"Mitsuru","non-dropping-particle":"","parse-names":false,"suffix":""}],"container-title":"Global Change Biology","id":"ITEM-1","issue":"2","issued":{"date-parts":[["2007"]]},"page":"412-425","title":"Carbon dioxide balance of a tropical peat swamp forest in Kalimantan, Indonesia","type":"article-journal","volume":"13"},"uris":["http://www.mendeley.com/documents/?uuid=73d72eec-0ac4-456e-86d1-7abe4a8a02e5"]}],"mendeley":{"formattedCitation":"(Hirano &lt;i&gt;et al&lt;/i&gt; 2007)","manualFormatting":"Hirano et al 2007","plainTextFormattedCitation":"(Hirano et al 2007)","previouslyFormattedCitation":"(Hirano &lt;i&gt;et al&lt;/i&gt; 2007)"},"properties":{"noteIndex":0},"schema":"https://github.com/citation-style-language/schema/raw/master/csl-citation.json"}</w:instrText>
            </w:r>
            <w:r>
              <w:rPr>
                <w:sz w:val="18"/>
              </w:rPr>
              <w:fldChar w:fldCharType="separate"/>
            </w:r>
            <w:r w:rsidR="00C723F0" w:rsidRPr="00C723F0">
              <w:rPr>
                <w:noProof/>
                <w:sz w:val="18"/>
              </w:rPr>
              <w:t xml:space="preserve">Hirano </w:t>
            </w:r>
            <w:r w:rsidR="00C723F0" w:rsidRPr="00C723F0">
              <w:rPr>
                <w:i/>
                <w:noProof/>
                <w:sz w:val="18"/>
              </w:rPr>
              <w:t>et al</w:t>
            </w:r>
            <w:r w:rsidR="00C723F0" w:rsidRPr="00C723F0">
              <w:rPr>
                <w:noProof/>
                <w:sz w:val="18"/>
              </w:rPr>
              <w:t xml:space="preserve"> 2007</w:t>
            </w:r>
            <w:r>
              <w:rPr>
                <w:sz w:val="18"/>
              </w:rPr>
              <w:fldChar w:fldCharType="end"/>
            </w:r>
          </w:p>
        </w:tc>
        <w:tc>
          <w:tcPr>
            <w:tcW w:w="1257" w:type="dxa"/>
            <w:noWrap/>
            <w:hideMark/>
          </w:tcPr>
          <w:p w14:paraId="2FC5DAA7" w14:textId="77777777" w:rsidR="00895BC9" w:rsidRDefault="00FD1A66">
            <w:pPr>
              <w:rPr>
                <w:sz w:val="18"/>
              </w:rPr>
            </w:pPr>
            <w:r>
              <w:rPr>
                <w:sz w:val="18"/>
              </w:rPr>
              <w:t>Degraded</w:t>
            </w:r>
          </w:p>
          <w:p w14:paraId="65E87585" w14:textId="0742EA4C" w:rsidR="00FD1A66" w:rsidRPr="00895BC9" w:rsidRDefault="00FD1A66">
            <w:pPr>
              <w:rPr>
                <w:sz w:val="18"/>
              </w:rPr>
            </w:pPr>
            <w:r>
              <w:rPr>
                <w:sz w:val="18"/>
              </w:rPr>
              <w:t>Forest</w:t>
            </w:r>
          </w:p>
        </w:tc>
        <w:tc>
          <w:tcPr>
            <w:tcW w:w="539" w:type="dxa"/>
            <w:noWrap/>
            <w:hideMark/>
          </w:tcPr>
          <w:p w14:paraId="21F14B7B" w14:textId="77777777" w:rsidR="00895BC9" w:rsidRPr="00895BC9" w:rsidRDefault="00895BC9" w:rsidP="00895BC9">
            <w:pPr>
              <w:rPr>
                <w:sz w:val="18"/>
              </w:rPr>
            </w:pPr>
            <w:r w:rsidRPr="00895BC9">
              <w:rPr>
                <w:sz w:val="18"/>
              </w:rPr>
              <w:t>0.22</w:t>
            </w:r>
          </w:p>
        </w:tc>
        <w:tc>
          <w:tcPr>
            <w:tcW w:w="629" w:type="dxa"/>
            <w:noWrap/>
            <w:hideMark/>
          </w:tcPr>
          <w:p w14:paraId="40E97132" w14:textId="77777777" w:rsidR="00895BC9" w:rsidRPr="00895BC9" w:rsidRDefault="00895BC9" w:rsidP="00895BC9">
            <w:pPr>
              <w:rPr>
                <w:sz w:val="18"/>
              </w:rPr>
            </w:pPr>
            <w:r w:rsidRPr="00895BC9">
              <w:rPr>
                <w:sz w:val="18"/>
              </w:rPr>
              <w:t>0.3</w:t>
            </w:r>
          </w:p>
        </w:tc>
        <w:tc>
          <w:tcPr>
            <w:tcW w:w="727" w:type="dxa"/>
            <w:noWrap/>
            <w:hideMark/>
          </w:tcPr>
          <w:p w14:paraId="56A857E4" w14:textId="77777777" w:rsidR="00895BC9" w:rsidRPr="00895BC9" w:rsidRDefault="00895BC9" w:rsidP="00895BC9">
            <w:pPr>
              <w:rPr>
                <w:sz w:val="18"/>
              </w:rPr>
            </w:pPr>
            <w:r w:rsidRPr="00895BC9">
              <w:rPr>
                <w:sz w:val="18"/>
              </w:rPr>
              <w:t>0.25</w:t>
            </w:r>
          </w:p>
        </w:tc>
        <w:tc>
          <w:tcPr>
            <w:tcW w:w="1350" w:type="dxa"/>
            <w:noWrap/>
            <w:hideMark/>
          </w:tcPr>
          <w:p w14:paraId="313A34CB" w14:textId="0F701252" w:rsidR="00895BC9" w:rsidRPr="00895BC9" w:rsidRDefault="00482DEA">
            <w:pPr>
              <w:rPr>
                <w:sz w:val="18"/>
              </w:rPr>
            </w:pPr>
            <w:r>
              <w:rPr>
                <w:sz w:val="18"/>
              </w:rPr>
              <w:t>B</w:t>
            </w:r>
            <w:r w:rsidR="00895BC9" w:rsidRPr="00895BC9">
              <w:rPr>
                <w:sz w:val="18"/>
              </w:rPr>
              <w:t>lock C</w:t>
            </w:r>
            <w:r>
              <w:rPr>
                <w:sz w:val="18"/>
              </w:rPr>
              <w:t>, ex-Mega Rice Project area</w:t>
            </w:r>
          </w:p>
        </w:tc>
        <w:tc>
          <w:tcPr>
            <w:tcW w:w="900" w:type="dxa"/>
            <w:noWrap/>
            <w:hideMark/>
          </w:tcPr>
          <w:p w14:paraId="21082923" w14:textId="54545EBF" w:rsidR="00895BC9" w:rsidRPr="00895BC9" w:rsidRDefault="00895BC9">
            <w:pPr>
              <w:rPr>
                <w:sz w:val="18"/>
              </w:rPr>
            </w:pPr>
            <w:r>
              <w:rPr>
                <w:sz w:val="18"/>
              </w:rPr>
              <w:t>M</w:t>
            </w:r>
            <w:r w:rsidRPr="00895BC9">
              <w:rPr>
                <w:sz w:val="18"/>
              </w:rPr>
              <w:t>onthly</w:t>
            </w:r>
          </w:p>
        </w:tc>
        <w:tc>
          <w:tcPr>
            <w:tcW w:w="720" w:type="dxa"/>
            <w:noWrap/>
            <w:hideMark/>
          </w:tcPr>
          <w:p w14:paraId="511EF1F0" w14:textId="77777777" w:rsidR="00895BC9" w:rsidRPr="00895BC9" w:rsidRDefault="00895BC9">
            <w:pPr>
              <w:rPr>
                <w:sz w:val="18"/>
              </w:rPr>
            </w:pPr>
            <w:r w:rsidRPr="00895BC9">
              <w:rPr>
                <w:sz w:val="18"/>
              </w:rPr>
              <w:t>0-20</w:t>
            </w:r>
          </w:p>
        </w:tc>
        <w:tc>
          <w:tcPr>
            <w:tcW w:w="1975" w:type="dxa"/>
            <w:noWrap/>
            <w:hideMark/>
          </w:tcPr>
          <w:p w14:paraId="2B34764E" w14:textId="6C8853F0" w:rsidR="00895BC9" w:rsidRPr="00895BC9" w:rsidRDefault="001F209E">
            <w:pPr>
              <w:rPr>
                <w:sz w:val="18"/>
              </w:rPr>
            </w:pPr>
            <w:r>
              <w:rPr>
                <w:sz w:val="18"/>
              </w:rPr>
              <w:t>T</w:t>
            </w:r>
            <w:r w:rsidR="00895BC9" w:rsidRPr="00895BC9">
              <w:rPr>
                <w:sz w:val="18"/>
              </w:rPr>
              <w:t>ree veg</w:t>
            </w:r>
            <w:r>
              <w:rPr>
                <w:sz w:val="18"/>
              </w:rPr>
              <w:t>etation, lots of leaf litter,</w:t>
            </w:r>
            <w:r w:rsidR="00895BC9" w:rsidRPr="00895BC9">
              <w:rPr>
                <w:sz w:val="18"/>
              </w:rPr>
              <w:t xml:space="preserve"> drainage</w:t>
            </w:r>
            <w:r>
              <w:rPr>
                <w:sz w:val="18"/>
              </w:rPr>
              <w:t xml:space="preserve"> canal present</w:t>
            </w:r>
          </w:p>
        </w:tc>
      </w:tr>
      <w:tr w:rsidR="00FA243D" w:rsidRPr="00895BC9" w14:paraId="60B63CC5" w14:textId="77777777" w:rsidTr="4878CDF3">
        <w:trPr>
          <w:trHeight w:val="288"/>
        </w:trPr>
        <w:tc>
          <w:tcPr>
            <w:tcW w:w="1253" w:type="dxa"/>
            <w:noWrap/>
            <w:hideMark/>
          </w:tcPr>
          <w:p w14:paraId="11BC17A1" w14:textId="114758D3" w:rsidR="00895BC9" w:rsidRPr="00895BC9" w:rsidRDefault="00FA243D" w:rsidP="001F209E">
            <w:pPr>
              <w:rPr>
                <w:sz w:val="18"/>
              </w:rPr>
            </w:pPr>
            <w:r>
              <w:rPr>
                <w:sz w:val="18"/>
              </w:rPr>
              <w:fldChar w:fldCharType="begin" w:fldLock="1"/>
            </w:r>
            <w:r w:rsidR="001F209E">
              <w:rPr>
                <w:sz w:val="18"/>
              </w:rPr>
              <w:instrText>ADDIN CSL_CITATION {"citationItems":[{"id":"ITEM-1","itemData":{"DOI":"10.1088/1748-9326/9/10/105013","ISBN":"1748-9326","ISSN":"17489326","abstract":"Vast areas of deforested tropical peatlands do not receive noteworthy shading by vegetation, which increases the amount of solar radiation reaching the peat surface. Peat temperature dynamics and heterotrophic carbon dioxide (CO&lt;inf&gt;2&lt;/inf&gt;), nitrous oxide (N&lt;inf&gt;2&lt;/inf&gt;O) and methane (CH&lt;inf&gt;4&lt;/inf&gt;) fluxes were monitored under four shading conditions, i.e. unshaded, 28%, 51% and 90% shading at experiment sites established on reclaimed fallow agricultural- and degraded sites in Central Kalimantan, Indonesia. Groundwater tables on the sites were at about 50 cm depth, the sites were maintained vegetation free and root ingrowth to gas flux monitoring locations was prevented. Half of the four shading areas received NPK-fertilization 50 kg ha&lt;sup&gt;-1&lt;/sup&gt; for each of N, P and K during the experiment and the other half was unfertilized. Increases in shading created a lasting decrease in peat temperatures, and decreased diurnal temperature fluctuations, in comparison to less shaded plots. The largest peat temperature difference in the topmost 50 cm peat profile was between the unshaded and 90% shaded surface, where the average temperatures at 5 cm depth differed up to 3.7 °C, and diurnal temperatures at 5 cm depth varied up to 4.2 °C in the unshaded and 0.4 °C in the 90% shaded conditions. Highest impacts on the heterotrophic CO&lt;inf&gt;2&lt;/inf&gt; fluxes caused by the treatments were on agricultural land, where 90% shading from the full exposure resulted in a 33% lower CO&lt;inf&gt;2&lt;/inf&gt; emission average on the unfertilized plots and a 66% lower emission average on the fertilized plots. Correlation between peat temperature and CO&lt;inf&gt;2&lt;/inf&gt; flux suggested an approximately 8% (unfertilized) and 25% (fertilized) emissions change for each 1 °C temperature change at 5 cm depth on the agricultural land. CO&lt;inf&gt;2&lt;/inf&gt; flux responses to the treatments remained low on degraded peatland. Fertilized conditions negatively correlated with N&lt;inf&gt;2&lt;/inf&gt;O efflux with increases in temperature, suggesting a 12-36% lower efflux for each 1 °C increase in peat temperature (at 5 cm depth) at the sites. Despite the apparently similar landscapes of fallow agricultural land and degraded peatland sites, the differences in greenhouse gas dynamics are expected to be an outcome of the long-term management differences.","author":[{"dropping-particle":"","family":"Jauhiainen","given":"Jyrki","non-dropping-particle":"","parse-names":false,"suffix":""},{"dropping-particle":"","family":"Kerojoki","given":"Otto","non-dropping-particle":"","parse-names":false,"suffix":""},{"dropping-particle":"","family":"Silvennoinen","given":"Hanna","non-dropping-particle":"","parse-names":false,"suffix":""},{"dropping-particle":"","family":"Limin","given":"Suwido","non-dropping-particle":"","parse-names":false,"suffix":""},{"dropping-particle":"","family":"Vasander","given":"Harri","non-dropping-particle":"","parse-names":false,"suffix":""}],"container-title":"Environmental Research Letters","id":"ITEM-1","issue":"10","issued":{"date-parts":[["2014"]]},"publisher":"IOP Publishing","title":"Heterotrophic respiration in drained tropical peat is greatly affected by temperature - A passive ecosystem cooling experiment","type":"article-journal","volume":"9"},"uris":["http://www.mendeley.com/documents/?uuid=b8b34244-eb86-4a1b-86c7-094e44cc97d0"]}],"mendeley":{"formattedCitation":"(Jauhiainen &lt;i&gt;et al&lt;/i&gt; 2014)","manualFormatting":"Jauhiainen et al 2014","plainTextFormattedCitation":"(Jauhiainen et al 2014)","previouslyFormattedCitation":"(Jauhiainen &lt;i&gt;et al&lt;/i&gt; 2014)"},"properties":{"noteIndex":0},"schema":"https://github.com/citation-style-language/schema/raw/master/csl-citation.json"}</w:instrText>
            </w:r>
            <w:r>
              <w:rPr>
                <w:sz w:val="18"/>
              </w:rPr>
              <w:fldChar w:fldCharType="separate"/>
            </w:r>
            <w:r w:rsidR="00C723F0" w:rsidRPr="00C723F0">
              <w:rPr>
                <w:noProof/>
                <w:sz w:val="18"/>
              </w:rPr>
              <w:t xml:space="preserve">Jauhiainen </w:t>
            </w:r>
            <w:r w:rsidR="00C723F0" w:rsidRPr="00C723F0">
              <w:rPr>
                <w:i/>
                <w:noProof/>
                <w:sz w:val="18"/>
              </w:rPr>
              <w:t>et al</w:t>
            </w:r>
            <w:r w:rsidR="00C723F0" w:rsidRPr="00C723F0">
              <w:rPr>
                <w:noProof/>
                <w:sz w:val="18"/>
              </w:rPr>
              <w:t xml:space="preserve"> 2014</w:t>
            </w:r>
            <w:r>
              <w:rPr>
                <w:sz w:val="18"/>
              </w:rPr>
              <w:fldChar w:fldCharType="end"/>
            </w:r>
          </w:p>
        </w:tc>
        <w:tc>
          <w:tcPr>
            <w:tcW w:w="1257" w:type="dxa"/>
            <w:noWrap/>
            <w:hideMark/>
          </w:tcPr>
          <w:p w14:paraId="20D3BD8F" w14:textId="77777777" w:rsidR="00895BC9" w:rsidRDefault="00FD1A66">
            <w:pPr>
              <w:rPr>
                <w:sz w:val="18"/>
              </w:rPr>
            </w:pPr>
            <w:r>
              <w:rPr>
                <w:sz w:val="18"/>
              </w:rPr>
              <w:t>Open</w:t>
            </w:r>
          </w:p>
          <w:p w14:paraId="77E3321C" w14:textId="1DA64180" w:rsidR="00FD1A66" w:rsidRPr="00895BC9" w:rsidRDefault="00FD1A66">
            <w:pPr>
              <w:rPr>
                <w:sz w:val="18"/>
              </w:rPr>
            </w:pPr>
            <w:r>
              <w:rPr>
                <w:sz w:val="18"/>
              </w:rPr>
              <w:t>Undeveloped</w:t>
            </w:r>
          </w:p>
        </w:tc>
        <w:tc>
          <w:tcPr>
            <w:tcW w:w="539" w:type="dxa"/>
            <w:noWrap/>
            <w:hideMark/>
          </w:tcPr>
          <w:p w14:paraId="620645F8" w14:textId="77777777" w:rsidR="00895BC9" w:rsidRPr="00895BC9" w:rsidRDefault="00895BC9" w:rsidP="00895BC9">
            <w:pPr>
              <w:rPr>
                <w:sz w:val="18"/>
              </w:rPr>
            </w:pPr>
            <w:r w:rsidRPr="00895BC9">
              <w:rPr>
                <w:sz w:val="18"/>
              </w:rPr>
              <w:t>0.16</w:t>
            </w:r>
          </w:p>
        </w:tc>
        <w:tc>
          <w:tcPr>
            <w:tcW w:w="629" w:type="dxa"/>
            <w:noWrap/>
            <w:hideMark/>
          </w:tcPr>
          <w:p w14:paraId="25B72738" w14:textId="77777777" w:rsidR="00895BC9" w:rsidRPr="00895BC9" w:rsidRDefault="00895BC9" w:rsidP="00895BC9">
            <w:pPr>
              <w:rPr>
                <w:sz w:val="18"/>
              </w:rPr>
            </w:pPr>
            <w:r w:rsidRPr="00895BC9">
              <w:rPr>
                <w:sz w:val="18"/>
              </w:rPr>
              <w:t>0.17</w:t>
            </w:r>
          </w:p>
        </w:tc>
        <w:tc>
          <w:tcPr>
            <w:tcW w:w="727" w:type="dxa"/>
            <w:noWrap/>
            <w:hideMark/>
          </w:tcPr>
          <w:p w14:paraId="7E6846F0" w14:textId="77777777" w:rsidR="00895BC9" w:rsidRPr="00895BC9" w:rsidRDefault="00895BC9" w:rsidP="00895BC9">
            <w:pPr>
              <w:rPr>
                <w:sz w:val="18"/>
              </w:rPr>
            </w:pPr>
            <w:r w:rsidRPr="00895BC9">
              <w:rPr>
                <w:sz w:val="18"/>
              </w:rPr>
              <w:t>0.165</w:t>
            </w:r>
          </w:p>
        </w:tc>
        <w:tc>
          <w:tcPr>
            <w:tcW w:w="1350" w:type="dxa"/>
            <w:noWrap/>
            <w:hideMark/>
          </w:tcPr>
          <w:p w14:paraId="34D4CDD2" w14:textId="7B00C951" w:rsidR="00895BC9" w:rsidRPr="00895BC9" w:rsidRDefault="00482DEA" w:rsidP="00482DEA">
            <w:pPr>
              <w:rPr>
                <w:sz w:val="18"/>
              </w:rPr>
            </w:pPr>
            <w:r>
              <w:rPr>
                <w:sz w:val="18"/>
              </w:rPr>
              <w:t>ex-Mega Rice Project area</w:t>
            </w:r>
          </w:p>
        </w:tc>
        <w:tc>
          <w:tcPr>
            <w:tcW w:w="900" w:type="dxa"/>
            <w:noWrap/>
            <w:hideMark/>
          </w:tcPr>
          <w:p w14:paraId="62E8B4B9" w14:textId="1165CB27" w:rsidR="00895BC9" w:rsidRPr="00895BC9" w:rsidRDefault="00895BC9">
            <w:pPr>
              <w:rPr>
                <w:sz w:val="18"/>
              </w:rPr>
            </w:pPr>
            <w:r>
              <w:rPr>
                <w:sz w:val="18"/>
              </w:rPr>
              <w:t>Y</w:t>
            </w:r>
            <w:r w:rsidRPr="00895BC9">
              <w:rPr>
                <w:sz w:val="18"/>
              </w:rPr>
              <w:t>es</w:t>
            </w:r>
          </w:p>
        </w:tc>
        <w:tc>
          <w:tcPr>
            <w:tcW w:w="720" w:type="dxa"/>
            <w:noWrap/>
            <w:hideMark/>
          </w:tcPr>
          <w:p w14:paraId="146A14D5" w14:textId="77777777" w:rsidR="00895BC9" w:rsidRPr="00895BC9" w:rsidRDefault="00895BC9">
            <w:pPr>
              <w:rPr>
                <w:sz w:val="18"/>
              </w:rPr>
            </w:pPr>
            <w:r w:rsidRPr="00895BC9">
              <w:rPr>
                <w:sz w:val="18"/>
              </w:rPr>
              <w:t>0-10</w:t>
            </w:r>
          </w:p>
        </w:tc>
        <w:tc>
          <w:tcPr>
            <w:tcW w:w="1975" w:type="dxa"/>
            <w:noWrap/>
            <w:hideMark/>
          </w:tcPr>
          <w:p w14:paraId="44ADF5A9" w14:textId="2BF7A2DC" w:rsidR="00895BC9" w:rsidRPr="00895BC9" w:rsidRDefault="001F209E" w:rsidP="001F209E">
            <w:pPr>
              <w:rPr>
                <w:sz w:val="18"/>
              </w:rPr>
            </w:pPr>
            <w:r>
              <w:rPr>
                <w:sz w:val="18"/>
              </w:rPr>
              <w:t>C</w:t>
            </w:r>
            <w:r w:rsidR="00895BC9" w:rsidRPr="00895BC9">
              <w:rPr>
                <w:sz w:val="18"/>
              </w:rPr>
              <w:t>lear felled, large drainage canals, surface compacted</w:t>
            </w:r>
          </w:p>
        </w:tc>
      </w:tr>
      <w:tr w:rsidR="00FA243D" w:rsidRPr="00895BC9" w14:paraId="57F0F06B" w14:textId="77777777" w:rsidTr="4878CDF3">
        <w:trPr>
          <w:trHeight w:val="288"/>
        </w:trPr>
        <w:tc>
          <w:tcPr>
            <w:tcW w:w="1253" w:type="dxa"/>
            <w:noWrap/>
            <w:hideMark/>
          </w:tcPr>
          <w:p w14:paraId="4A462C61" w14:textId="270E2D9C" w:rsidR="00895BC9" w:rsidRPr="00895BC9" w:rsidRDefault="00FA243D" w:rsidP="001F209E">
            <w:pPr>
              <w:rPr>
                <w:noProof/>
                <w:sz w:val="18"/>
              </w:rPr>
            </w:pPr>
            <w:r>
              <w:rPr>
                <w:sz w:val="18"/>
              </w:rPr>
              <w:fldChar w:fldCharType="begin" w:fldLock="1"/>
            </w:r>
            <w:r w:rsidR="001F209E">
              <w:rPr>
                <w:sz w:val="18"/>
              </w:rPr>
              <w:instrText>ADDIN CSL_CITATION {"citationItems":[{"id":"ITEM-1","itemData":{"DOI":"10.1088/1748-9326/9/10/105013","ISBN":"1748-9326","ISSN":"17489326","abstract":"Vast areas of deforested tropical peatlands do not receive noteworthy shading by vegetation, which increases the amount of solar radiation reaching the peat surface. Peat temperature dynamics and heterotrophic carbon dioxide (CO&lt;inf&gt;2&lt;/inf&gt;), nitrous oxide (N&lt;inf&gt;2&lt;/inf&gt;O) and methane (CH&lt;inf&gt;4&lt;/inf&gt;) fluxes were monitored under four shading conditions, i.e. unshaded, 28%, 51% and 90% shading at experiment sites established on reclaimed fallow agricultural- and degraded sites in Central Kalimantan, Indonesia. Groundwater tables on the sites were at about 50 cm depth, the sites were maintained vegetation free and root ingrowth to gas flux monitoring locations was prevented. Half of the four shading areas received NPK-fertilization 50 kg ha&lt;sup&gt;-1&lt;/sup&gt; for each of N, P and K during the experiment and the other half was unfertilized. Increases in shading created a lasting decrease in peat temperatures, and decreased diurnal temperature fluctuations, in comparison to less shaded plots. The largest peat temperature difference in the topmost 50 cm peat profile was between the unshaded and 90% shaded surface, where the average temperatures at 5 cm depth differed up to 3.7 °C, and diurnal temperatures at 5 cm depth varied up to 4.2 °C in the unshaded and 0.4 °C in the 90% shaded conditions. Highest impacts on the heterotrophic CO&lt;inf&gt;2&lt;/inf&gt; fluxes caused by the treatments were on agricultural land, where 90% shading from the full exposure resulted in a 33% lower CO&lt;inf&gt;2&lt;/inf&gt; emission average on the unfertilized plots and a 66% lower emission average on the fertilized plots. Correlation between peat temperature and CO&lt;inf&gt;2&lt;/inf&gt; flux suggested an approximately 8% (unfertilized) and 25% (fertilized) emissions change for each 1 °C temperature change at 5 cm depth on the agricultural land. CO&lt;inf&gt;2&lt;/inf&gt; flux responses to the treatments remained low on degraded peatland. Fertilized conditions negatively correlated with N&lt;inf&gt;2&lt;/inf&gt;O efflux with increases in temperature, suggesting a 12-36% lower efflux for each 1 °C increase in peat temperature (at 5 cm depth) at the sites. Despite the apparently similar landscapes of fallow agricultural land and degraded peatland sites, the differences in greenhouse gas dynamics are expected to be an outcome of the long-term management differences.","author":[{"dropping-particle":"","family":"Jauhiainen","given":"Jyrki","non-dropping-particle":"","parse-names":false,"suffix":""},{"dropping-particle":"","family":"Kerojoki","given":"Otto","non-dropping-particle":"","parse-names":false,"suffix":""},{"dropping-particle":"","family":"Silvennoinen","given":"Hanna","non-dropping-particle":"","parse-names":false,"suffix":""},{"dropping-particle":"","family":"Limin","given":"Suwido","non-dropping-particle":"","parse-names":false,"suffix":""},{"dropping-particle":"","family":"Vasander","given":"Harri","non-dropping-particle":"","parse-names":false,"suffix":""}],"container-title":"Environmental Research Letters","id":"ITEM-1","issue":"10","issued":{"date-parts":[["2014"]]},"publisher":"IOP Publishing","title":"Heterotrophic respiration in drained tropical peat is greatly affected by temperature - A passive ecosystem cooling experiment","type":"article-journal","volume":"9"},"uris":["http://www.mendeley.com/documents/?uuid=b8b34244-eb86-4a1b-86c7-094e44cc97d0"]}],"mendeley":{"formattedCitation":"(Jauhiainen &lt;i&gt;et al&lt;/i&gt; 2014)","manualFormatting":"Jauhiainen et al 2014","plainTextFormattedCitation":"(Jauhiainen et al 2014)","previouslyFormattedCitation":"(Jauhiainen &lt;i&gt;et al&lt;/i&gt; 2014)"},"properties":{"noteIndex":0},"schema":"https://github.com/citation-style-language/schema/raw/master/csl-citation.json"}</w:instrText>
            </w:r>
            <w:r>
              <w:rPr>
                <w:sz w:val="18"/>
              </w:rPr>
              <w:fldChar w:fldCharType="separate"/>
            </w:r>
            <w:r w:rsidR="00C723F0" w:rsidRPr="00C723F0">
              <w:rPr>
                <w:noProof/>
                <w:sz w:val="18"/>
              </w:rPr>
              <w:t xml:space="preserve">Jauhiainen </w:t>
            </w:r>
            <w:r w:rsidR="00C723F0" w:rsidRPr="00C723F0">
              <w:rPr>
                <w:i/>
                <w:noProof/>
                <w:sz w:val="18"/>
              </w:rPr>
              <w:t>et al</w:t>
            </w:r>
            <w:r w:rsidR="00C723F0" w:rsidRPr="00C723F0">
              <w:rPr>
                <w:noProof/>
                <w:sz w:val="18"/>
              </w:rPr>
              <w:t xml:space="preserve"> 2014</w:t>
            </w:r>
            <w:r>
              <w:rPr>
                <w:sz w:val="18"/>
              </w:rPr>
              <w:fldChar w:fldCharType="end"/>
            </w:r>
          </w:p>
        </w:tc>
        <w:tc>
          <w:tcPr>
            <w:tcW w:w="1257" w:type="dxa"/>
            <w:noWrap/>
            <w:hideMark/>
          </w:tcPr>
          <w:p w14:paraId="14F79DC5" w14:textId="77777777" w:rsidR="00895BC9" w:rsidRDefault="00FD1A66">
            <w:pPr>
              <w:rPr>
                <w:sz w:val="18"/>
              </w:rPr>
            </w:pPr>
            <w:r>
              <w:rPr>
                <w:sz w:val="18"/>
              </w:rPr>
              <w:t>Smallholder</w:t>
            </w:r>
          </w:p>
          <w:p w14:paraId="012164C7" w14:textId="47840E2A" w:rsidR="00FD1A66" w:rsidRPr="00895BC9" w:rsidRDefault="00FD1A66">
            <w:pPr>
              <w:rPr>
                <w:sz w:val="18"/>
              </w:rPr>
            </w:pPr>
            <w:r>
              <w:rPr>
                <w:sz w:val="18"/>
              </w:rPr>
              <w:t>Plantation</w:t>
            </w:r>
          </w:p>
        </w:tc>
        <w:tc>
          <w:tcPr>
            <w:tcW w:w="539" w:type="dxa"/>
            <w:noWrap/>
            <w:hideMark/>
          </w:tcPr>
          <w:p w14:paraId="7923CA1B" w14:textId="77777777" w:rsidR="00895BC9" w:rsidRPr="00895BC9" w:rsidRDefault="00895BC9" w:rsidP="00895BC9">
            <w:pPr>
              <w:rPr>
                <w:sz w:val="18"/>
              </w:rPr>
            </w:pPr>
            <w:r w:rsidRPr="00895BC9">
              <w:rPr>
                <w:sz w:val="18"/>
              </w:rPr>
              <w:t>0.16</w:t>
            </w:r>
          </w:p>
        </w:tc>
        <w:tc>
          <w:tcPr>
            <w:tcW w:w="629" w:type="dxa"/>
            <w:noWrap/>
            <w:hideMark/>
          </w:tcPr>
          <w:p w14:paraId="6D0D6744" w14:textId="77777777" w:rsidR="00895BC9" w:rsidRPr="00895BC9" w:rsidRDefault="00895BC9" w:rsidP="00895BC9">
            <w:pPr>
              <w:rPr>
                <w:sz w:val="18"/>
              </w:rPr>
            </w:pPr>
            <w:r w:rsidRPr="00895BC9">
              <w:rPr>
                <w:sz w:val="18"/>
              </w:rPr>
              <w:t>0.17</w:t>
            </w:r>
          </w:p>
        </w:tc>
        <w:tc>
          <w:tcPr>
            <w:tcW w:w="727" w:type="dxa"/>
            <w:noWrap/>
            <w:hideMark/>
          </w:tcPr>
          <w:p w14:paraId="363F9204" w14:textId="77777777" w:rsidR="00895BC9" w:rsidRPr="00895BC9" w:rsidRDefault="00895BC9" w:rsidP="00895BC9">
            <w:pPr>
              <w:rPr>
                <w:sz w:val="18"/>
              </w:rPr>
            </w:pPr>
            <w:r w:rsidRPr="00895BC9">
              <w:rPr>
                <w:sz w:val="18"/>
              </w:rPr>
              <w:t>0.165</w:t>
            </w:r>
          </w:p>
        </w:tc>
        <w:tc>
          <w:tcPr>
            <w:tcW w:w="1350" w:type="dxa"/>
            <w:noWrap/>
            <w:hideMark/>
          </w:tcPr>
          <w:p w14:paraId="61AC8455" w14:textId="413D8ECD" w:rsidR="00895BC9" w:rsidRPr="00895BC9" w:rsidRDefault="00482DEA" w:rsidP="00482DEA">
            <w:pPr>
              <w:rPr>
                <w:sz w:val="18"/>
              </w:rPr>
            </w:pPr>
            <w:r>
              <w:rPr>
                <w:sz w:val="18"/>
              </w:rPr>
              <w:t>ex-Mega Rice Project area</w:t>
            </w:r>
          </w:p>
        </w:tc>
        <w:tc>
          <w:tcPr>
            <w:tcW w:w="900" w:type="dxa"/>
            <w:noWrap/>
            <w:hideMark/>
          </w:tcPr>
          <w:p w14:paraId="325D9642" w14:textId="4D995B24" w:rsidR="00895BC9" w:rsidRPr="00895BC9" w:rsidRDefault="00895BC9">
            <w:pPr>
              <w:rPr>
                <w:sz w:val="18"/>
              </w:rPr>
            </w:pPr>
            <w:r>
              <w:rPr>
                <w:sz w:val="18"/>
              </w:rPr>
              <w:t>Y</w:t>
            </w:r>
            <w:r w:rsidRPr="00895BC9">
              <w:rPr>
                <w:sz w:val="18"/>
              </w:rPr>
              <w:t>es</w:t>
            </w:r>
          </w:p>
        </w:tc>
        <w:tc>
          <w:tcPr>
            <w:tcW w:w="720" w:type="dxa"/>
            <w:noWrap/>
            <w:hideMark/>
          </w:tcPr>
          <w:p w14:paraId="4B5A3299" w14:textId="77777777" w:rsidR="00895BC9" w:rsidRPr="00895BC9" w:rsidRDefault="00895BC9">
            <w:pPr>
              <w:rPr>
                <w:sz w:val="18"/>
              </w:rPr>
            </w:pPr>
            <w:r w:rsidRPr="00895BC9">
              <w:rPr>
                <w:sz w:val="18"/>
              </w:rPr>
              <w:t>0-10</w:t>
            </w:r>
          </w:p>
        </w:tc>
        <w:tc>
          <w:tcPr>
            <w:tcW w:w="1975" w:type="dxa"/>
            <w:noWrap/>
            <w:hideMark/>
          </w:tcPr>
          <w:p w14:paraId="5E540281" w14:textId="3F2FF5A6" w:rsidR="00895BC9" w:rsidRPr="00895BC9" w:rsidRDefault="001F209E" w:rsidP="001F209E">
            <w:pPr>
              <w:rPr>
                <w:sz w:val="18"/>
              </w:rPr>
            </w:pPr>
            <w:r>
              <w:rPr>
                <w:sz w:val="18"/>
              </w:rPr>
              <w:t>U</w:t>
            </w:r>
            <w:r w:rsidR="00895BC9" w:rsidRPr="00895BC9">
              <w:rPr>
                <w:sz w:val="18"/>
              </w:rPr>
              <w:t xml:space="preserve">sually drained to 30-50 cm, raised, fallow, </w:t>
            </w:r>
            <w:r>
              <w:rPr>
                <w:sz w:val="18"/>
              </w:rPr>
              <w:t xml:space="preserve">surface </w:t>
            </w:r>
            <w:r w:rsidR="00895BC9" w:rsidRPr="00895BC9">
              <w:rPr>
                <w:sz w:val="18"/>
              </w:rPr>
              <w:t>compacted</w:t>
            </w:r>
          </w:p>
        </w:tc>
      </w:tr>
      <w:tr w:rsidR="00FA243D" w:rsidRPr="00895BC9" w14:paraId="5CBA4435" w14:textId="77777777" w:rsidTr="4878CDF3">
        <w:trPr>
          <w:trHeight w:val="288"/>
        </w:trPr>
        <w:tc>
          <w:tcPr>
            <w:tcW w:w="1253" w:type="dxa"/>
            <w:noWrap/>
            <w:hideMark/>
          </w:tcPr>
          <w:p w14:paraId="36A5146E" w14:textId="004794E0" w:rsidR="00895BC9" w:rsidRPr="00895BC9" w:rsidRDefault="00FA243D" w:rsidP="001F209E">
            <w:pPr>
              <w:rPr>
                <w:sz w:val="18"/>
              </w:rPr>
            </w:pPr>
            <w:r>
              <w:rPr>
                <w:sz w:val="18"/>
              </w:rPr>
              <w:fldChar w:fldCharType="begin" w:fldLock="1"/>
            </w:r>
            <w:r w:rsidR="001F209E">
              <w:rPr>
                <w:sz w:val="18"/>
              </w:rPr>
              <w:instrText>ADDIN CSL_CITATION {"citationItems":[{"id":"ITEM-1","itemData":{"DOI":"10.1007/s10533-017-0363-4","ISSN":"1573515X","abstract":"Heterotrophic respiration is a major component of the soil C balance however we critically lack understanding of its variation upon conversion of peat swamp forests in tropical areas. Our research focused on a primary peat swamp forest and two oil palm plantations aged 1 (OP2012) and 6 years (OP2007). Total and heterotrophic soil respiration were monitored over 13 months in paired control and trenched plots. Spatial variability was taken into account by differentiating hummocks from hollows in the forest; close to palm from far from palm positions in the plantations. Annual total soil respiration was the highest in the oldest plantation (13.8 ± 0.3 Mg C ha−1 year−1) followed by the forest and youngest plantation (12.9 ± 0.3 and 11.7 ± 0.4 Mg C ha−1 year−1, respectively). In contrast, the contribution of heterotrophic to total respiration and annual heterotrophic respiration were lower in the forest (55.1 ± 2.8%; 7.1 ± 0.4 Mg C ha−1 year−1) than in the plantations (82.5 ± 5.8 and 61.0 ± 2.3%; 9.6 ± 0.8 and 8.4 ± 0.3 Mg C ha−1 year−1 in the OP2012 and OP2007, respectively). The use of total soil respiration rates measured far from palms as an indicator of heterotrophic respiration, as proposed in the literature, overestimates peat and litter mineralization by around 21%. Preliminary budget estimates suggest that over the monitoring period, the peat was a net C source in all land uses; C loss in the plantations was more than twice the loss observed in the forest.","author":[{"dropping-particle":"","family":"Hergoualc’h","given":"Kristell","non-dropping-particle":"","parse-names":false,"suffix":""},{"dropping-particle":"","family":"Hendry","given":"Dede T.","non-dropping-particle":"","parse-names":false,"suffix":""},{"dropping-particle":"","family":"Murdiyarso","given":"Daniel","non-dropping-particle":"","parse-names":false,"suffix":""},{"dropping-particle":"","family":"Verchot","given":"Louis Vincent","non-dropping-particle":"","parse-names":false,"suffix":""}],"container-title":"Biogeochemistry","id":"ITEM-1","issue":"3","issued":{"date-parts":[["2017"]]},"page":"203-220","publisher":"Springer International Publishing","title":"Total and heterotrophic soil respiration in a swamp forest and oil palm plantations on peat in Central Kalimantan, Indonesia","type":"article-journal","volume":"135"},"uris":["http://www.mendeley.com/documents/?uuid=5acf2c5b-6e15-43bb-986d-6439e0c11bf7"]}],"mendeley":{"formattedCitation":"(Hergoualc’h &lt;i&gt;et al&lt;/i&gt; 2017)","manualFormatting":"Hergoualc’h et al 2017","plainTextFormattedCitation":"(Hergoualc’h et al 2017)","previouslyFormattedCitation":"(Hergoualc’h &lt;i&gt;et al&lt;/i&gt; 2017)"},"properties":{"noteIndex":0},"schema":"https://github.com/citation-style-language/schema/raw/master/csl-citation.json"}</w:instrText>
            </w:r>
            <w:r>
              <w:rPr>
                <w:sz w:val="18"/>
              </w:rPr>
              <w:fldChar w:fldCharType="separate"/>
            </w:r>
            <w:r w:rsidR="00C723F0" w:rsidRPr="00C723F0">
              <w:rPr>
                <w:noProof/>
                <w:sz w:val="18"/>
              </w:rPr>
              <w:t xml:space="preserve">Hergoualc’h </w:t>
            </w:r>
            <w:r w:rsidR="00C723F0" w:rsidRPr="00C723F0">
              <w:rPr>
                <w:i/>
                <w:noProof/>
                <w:sz w:val="18"/>
              </w:rPr>
              <w:t>et al</w:t>
            </w:r>
            <w:r w:rsidR="00C723F0" w:rsidRPr="00C723F0">
              <w:rPr>
                <w:noProof/>
                <w:sz w:val="18"/>
              </w:rPr>
              <w:t xml:space="preserve"> 2017</w:t>
            </w:r>
            <w:r>
              <w:rPr>
                <w:sz w:val="18"/>
              </w:rPr>
              <w:fldChar w:fldCharType="end"/>
            </w:r>
          </w:p>
        </w:tc>
        <w:tc>
          <w:tcPr>
            <w:tcW w:w="1257" w:type="dxa"/>
            <w:noWrap/>
            <w:hideMark/>
          </w:tcPr>
          <w:p w14:paraId="1B38B523" w14:textId="77777777" w:rsidR="00FD1A66" w:rsidRDefault="00FD1A66" w:rsidP="00FD1A66">
            <w:pPr>
              <w:rPr>
                <w:sz w:val="18"/>
              </w:rPr>
            </w:pPr>
            <w:r>
              <w:rPr>
                <w:sz w:val="18"/>
              </w:rPr>
              <w:t>Smallholder</w:t>
            </w:r>
          </w:p>
          <w:p w14:paraId="760D8411" w14:textId="6989C41F" w:rsidR="00895BC9" w:rsidRPr="00895BC9" w:rsidRDefault="00FD1A66" w:rsidP="00FD1A66">
            <w:pPr>
              <w:rPr>
                <w:sz w:val="18"/>
              </w:rPr>
            </w:pPr>
            <w:r>
              <w:rPr>
                <w:sz w:val="18"/>
              </w:rPr>
              <w:t>Plantation</w:t>
            </w:r>
          </w:p>
        </w:tc>
        <w:tc>
          <w:tcPr>
            <w:tcW w:w="539" w:type="dxa"/>
            <w:noWrap/>
            <w:hideMark/>
          </w:tcPr>
          <w:p w14:paraId="7F9084A5" w14:textId="77777777" w:rsidR="00895BC9" w:rsidRPr="00895BC9" w:rsidRDefault="00895BC9">
            <w:pPr>
              <w:rPr>
                <w:sz w:val="18"/>
              </w:rPr>
            </w:pPr>
          </w:p>
        </w:tc>
        <w:tc>
          <w:tcPr>
            <w:tcW w:w="629" w:type="dxa"/>
            <w:noWrap/>
            <w:hideMark/>
          </w:tcPr>
          <w:p w14:paraId="663DB389" w14:textId="77777777" w:rsidR="00895BC9" w:rsidRPr="00895BC9" w:rsidRDefault="00895BC9">
            <w:pPr>
              <w:rPr>
                <w:sz w:val="18"/>
              </w:rPr>
            </w:pPr>
          </w:p>
        </w:tc>
        <w:tc>
          <w:tcPr>
            <w:tcW w:w="727" w:type="dxa"/>
            <w:noWrap/>
            <w:hideMark/>
          </w:tcPr>
          <w:p w14:paraId="681D89E0" w14:textId="77777777" w:rsidR="00895BC9" w:rsidRPr="00895BC9" w:rsidRDefault="00895BC9" w:rsidP="00895BC9">
            <w:pPr>
              <w:rPr>
                <w:sz w:val="18"/>
              </w:rPr>
            </w:pPr>
            <w:r w:rsidRPr="00895BC9">
              <w:rPr>
                <w:sz w:val="18"/>
              </w:rPr>
              <w:t>0.56</w:t>
            </w:r>
          </w:p>
        </w:tc>
        <w:tc>
          <w:tcPr>
            <w:tcW w:w="1350" w:type="dxa"/>
            <w:noWrap/>
            <w:hideMark/>
          </w:tcPr>
          <w:p w14:paraId="25AA82D1" w14:textId="7DF73188" w:rsidR="00895BC9" w:rsidRPr="00895BC9" w:rsidRDefault="00895BC9">
            <w:pPr>
              <w:rPr>
                <w:sz w:val="18"/>
              </w:rPr>
            </w:pPr>
            <w:r w:rsidRPr="00895BC9">
              <w:rPr>
                <w:sz w:val="18"/>
              </w:rPr>
              <w:t>C</w:t>
            </w:r>
            <w:r w:rsidR="00482DEA">
              <w:rPr>
                <w:sz w:val="18"/>
              </w:rPr>
              <w:t>entral</w:t>
            </w:r>
            <w:r w:rsidRPr="00895BC9">
              <w:rPr>
                <w:sz w:val="18"/>
              </w:rPr>
              <w:t xml:space="preserve"> Kalimantan</w:t>
            </w:r>
          </w:p>
        </w:tc>
        <w:tc>
          <w:tcPr>
            <w:tcW w:w="900" w:type="dxa"/>
            <w:noWrap/>
            <w:hideMark/>
          </w:tcPr>
          <w:p w14:paraId="196940AE" w14:textId="77777777" w:rsidR="00895BC9" w:rsidRPr="00895BC9" w:rsidRDefault="00895BC9">
            <w:pPr>
              <w:rPr>
                <w:sz w:val="18"/>
              </w:rPr>
            </w:pPr>
            <w:r w:rsidRPr="00895BC9">
              <w:rPr>
                <w:sz w:val="18"/>
              </w:rPr>
              <w:t>Yes</w:t>
            </w:r>
          </w:p>
        </w:tc>
        <w:tc>
          <w:tcPr>
            <w:tcW w:w="720" w:type="dxa"/>
            <w:noWrap/>
            <w:hideMark/>
          </w:tcPr>
          <w:p w14:paraId="75E301E3" w14:textId="77777777" w:rsidR="00895BC9" w:rsidRPr="00895BC9" w:rsidRDefault="00895BC9">
            <w:pPr>
              <w:rPr>
                <w:sz w:val="18"/>
              </w:rPr>
            </w:pPr>
            <w:r w:rsidRPr="00895BC9">
              <w:rPr>
                <w:sz w:val="18"/>
              </w:rPr>
              <w:t>0-10</w:t>
            </w:r>
          </w:p>
        </w:tc>
        <w:tc>
          <w:tcPr>
            <w:tcW w:w="1975" w:type="dxa"/>
            <w:noWrap/>
            <w:hideMark/>
          </w:tcPr>
          <w:p w14:paraId="20CC67E3" w14:textId="627BAACA" w:rsidR="00895BC9" w:rsidRPr="00895BC9" w:rsidRDefault="009D2E78">
            <w:pPr>
              <w:rPr>
                <w:sz w:val="18"/>
              </w:rPr>
            </w:pPr>
            <w:r>
              <w:rPr>
                <w:sz w:val="18"/>
              </w:rPr>
              <w:t>O</w:t>
            </w:r>
            <w:r w:rsidR="00895BC9" w:rsidRPr="00895BC9">
              <w:rPr>
                <w:sz w:val="18"/>
              </w:rPr>
              <w:t>il palm</w:t>
            </w:r>
          </w:p>
        </w:tc>
      </w:tr>
      <w:tr w:rsidR="00FA243D" w:rsidRPr="00895BC9" w14:paraId="0F01A1DA" w14:textId="77777777" w:rsidTr="4878CDF3">
        <w:trPr>
          <w:trHeight w:val="288"/>
        </w:trPr>
        <w:tc>
          <w:tcPr>
            <w:tcW w:w="1253" w:type="dxa"/>
            <w:noWrap/>
            <w:hideMark/>
          </w:tcPr>
          <w:p w14:paraId="70D78FCD" w14:textId="28B24A86" w:rsidR="00895BC9" w:rsidRPr="00895BC9" w:rsidRDefault="00FA243D" w:rsidP="001F209E">
            <w:pPr>
              <w:rPr>
                <w:sz w:val="18"/>
              </w:rPr>
            </w:pPr>
            <w:r>
              <w:rPr>
                <w:sz w:val="18"/>
              </w:rPr>
              <w:fldChar w:fldCharType="begin" w:fldLock="1"/>
            </w:r>
            <w:r w:rsidR="001F209E">
              <w:rPr>
                <w:sz w:val="18"/>
              </w:rPr>
              <w:instrText>ADDIN CSL_CITATION {"citationItems":[{"id":"ITEM-1","itemData":{"DOI":"10.1007/s10533-017-0363-4","ISSN":"1573515X","abstract":"Heterotrophic respiration is a major component of the soil C balance however we critically lack understanding of its variation upon conversion of peat swamp forests in tropical areas. Our research focused on a primary peat swamp forest and two oil palm plantations aged 1 (OP2012) and 6 years (OP2007). Total and heterotrophic soil respiration were monitored over 13 months in paired control and trenched plots. Spatial variability was taken into account by differentiating hummocks from hollows in the forest; close to palm from far from palm positions in the plantations. Annual total soil respiration was the highest in the oldest plantation (13.8 ± 0.3 Mg C ha−1 year−1) followed by the forest and youngest plantation (12.9 ± 0.3 and 11.7 ± 0.4 Mg C ha−1 year−1, respectively). In contrast, the contribution of heterotrophic to total respiration and annual heterotrophic respiration were lower in the forest (55.1 ± 2.8%; 7.1 ± 0.4 Mg C ha−1 year−1) than in the plantations (82.5 ± 5.8 and 61.0 ± 2.3%; 9.6 ± 0.8 and 8.4 ± 0.3 Mg C ha−1 year−1 in the OP2012 and OP2007, respectively). The use of total soil respiration rates measured far from palms as an indicator of heterotrophic respiration, as proposed in the literature, overestimates peat and litter mineralization by around 21%. Preliminary budget estimates suggest that over the monitoring period, the peat was a net C source in all land uses; C loss in the plantations was more than twice the loss observed in the forest.","author":[{"dropping-particle":"","family":"Hergoualc’h","given":"Kristell","non-dropping-particle":"","parse-names":false,"suffix":""},{"dropping-particle":"","family":"Hendry","given":"Dede T.","non-dropping-particle":"","parse-names":false,"suffix":""},{"dropping-particle":"","family":"Murdiyarso","given":"Daniel","non-dropping-particle":"","parse-names":false,"suffix":""},{"dropping-particle":"","family":"Verchot","given":"Louis Vincent","non-dropping-particle":"","parse-names":false,"suffix":""}],"container-title":"Biogeochemistry","id":"ITEM-1","issue":"3","issued":{"date-parts":[["2017"]]},"page":"203-220","publisher":"Springer International Publishing","title":"Total and heterotrophic soil respiration in a swamp forest and oil palm plantations on peat in Central Kalimantan, Indonesia","type":"article-journal","volume":"135"},"uris":["http://www.mendeley.com/documents/?uuid=5acf2c5b-6e15-43bb-986d-6439e0c11bf7"]}],"mendeley":{"formattedCitation":"(Hergoualc’h &lt;i&gt;et al&lt;/i&gt; 2017)","manualFormatting":"Hergoualc’h et al 2017","plainTextFormattedCitation":"(Hergoualc’h et al 2017)","previouslyFormattedCitation":"(Hergoualc’h &lt;i&gt;et al&lt;/i&gt; 2017)"},"properties":{"noteIndex":0},"schema":"https://github.com/citation-style-language/schema/raw/master/csl-citation.json"}</w:instrText>
            </w:r>
            <w:r>
              <w:rPr>
                <w:sz w:val="18"/>
              </w:rPr>
              <w:fldChar w:fldCharType="separate"/>
            </w:r>
            <w:r w:rsidR="00C723F0" w:rsidRPr="00C723F0">
              <w:rPr>
                <w:noProof/>
                <w:sz w:val="18"/>
              </w:rPr>
              <w:t xml:space="preserve">Hergoualc’h </w:t>
            </w:r>
            <w:r w:rsidR="00C723F0" w:rsidRPr="00C723F0">
              <w:rPr>
                <w:i/>
                <w:noProof/>
                <w:sz w:val="18"/>
              </w:rPr>
              <w:t>et al</w:t>
            </w:r>
            <w:r w:rsidR="00C723F0" w:rsidRPr="00C723F0">
              <w:rPr>
                <w:noProof/>
                <w:sz w:val="18"/>
              </w:rPr>
              <w:t xml:space="preserve"> 2017</w:t>
            </w:r>
            <w:r>
              <w:rPr>
                <w:sz w:val="18"/>
              </w:rPr>
              <w:fldChar w:fldCharType="end"/>
            </w:r>
          </w:p>
        </w:tc>
        <w:tc>
          <w:tcPr>
            <w:tcW w:w="1257" w:type="dxa"/>
            <w:noWrap/>
            <w:hideMark/>
          </w:tcPr>
          <w:p w14:paraId="18B4908E" w14:textId="73342A66" w:rsidR="00895BC9" w:rsidRPr="00895BC9" w:rsidRDefault="00FD1A66">
            <w:pPr>
              <w:rPr>
                <w:sz w:val="18"/>
              </w:rPr>
            </w:pPr>
            <w:r>
              <w:rPr>
                <w:sz w:val="18"/>
              </w:rPr>
              <w:t>Pristine Forest</w:t>
            </w:r>
          </w:p>
        </w:tc>
        <w:tc>
          <w:tcPr>
            <w:tcW w:w="539" w:type="dxa"/>
            <w:noWrap/>
            <w:hideMark/>
          </w:tcPr>
          <w:p w14:paraId="621A4C69" w14:textId="77777777" w:rsidR="00895BC9" w:rsidRPr="00895BC9" w:rsidRDefault="00895BC9">
            <w:pPr>
              <w:rPr>
                <w:sz w:val="18"/>
              </w:rPr>
            </w:pPr>
          </w:p>
        </w:tc>
        <w:tc>
          <w:tcPr>
            <w:tcW w:w="629" w:type="dxa"/>
            <w:noWrap/>
            <w:hideMark/>
          </w:tcPr>
          <w:p w14:paraId="25F23429" w14:textId="77777777" w:rsidR="00895BC9" w:rsidRPr="00895BC9" w:rsidRDefault="00895BC9">
            <w:pPr>
              <w:rPr>
                <w:sz w:val="18"/>
              </w:rPr>
            </w:pPr>
          </w:p>
        </w:tc>
        <w:tc>
          <w:tcPr>
            <w:tcW w:w="727" w:type="dxa"/>
            <w:noWrap/>
            <w:hideMark/>
          </w:tcPr>
          <w:p w14:paraId="57C7BE78" w14:textId="77777777" w:rsidR="00895BC9" w:rsidRPr="00895BC9" w:rsidRDefault="00895BC9" w:rsidP="00895BC9">
            <w:pPr>
              <w:rPr>
                <w:sz w:val="18"/>
              </w:rPr>
            </w:pPr>
            <w:r w:rsidRPr="00895BC9">
              <w:rPr>
                <w:sz w:val="18"/>
              </w:rPr>
              <w:t>0.56</w:t>
            </w:r>
          </w:p>
        </w:tc>
        <w:tc>
          <w:tcPr>
            <w:tcW w:w="1350" w:type="dxa"/>
            <w:noWrap/>
            <w:hideMark/>
          </w:tcPr>
          <w:p w14:paraId="2D4E2B67" w14:textId="7BDDCE8A" w:rsidR="00895BC9" w:rsidRPr="00895BC9" w:rsidRDefault="00895BC9" w:rsidP="00895BC9">
            <w:pPr>
              <w:rPr>
                <w:sz w:val="18"/>
              </w:rPr>
            </w:pPr>
            <w:r w:rsidRPr="00895BC9">
              <w:rPr>
                <w:sz w:val="18"/>
              </w:rPr>
              <w:t>Tanjung Puting, C</w:t>
            </w:r>
            <w:r w:rsidR="00482DEA">
              <w:rPr>
                <w:sz w:val="18"/>
              </w:rPr>
              <w:t>entral</w:t>
            </w:r>
            <w:r w:rsidRPr="00895BC9">
              <w:rPr>
                <w:sz w:val="18"/>
              </w:rPr>
              <w:t xml:space="preserve"> Kalimantan</w:t>
            </w:r>
          </w:p>
        </w:tc>
        <w:tc>
          <w:tcPr>
            <w:tcW w:w="900" w:type="dxa"/>
            <w:noWrap/>
            <w:hideMark/>
          </w:tcPr>
          <w:p w14:paraId="2AE3E722" w14:textId="77777777" w:rsidR="00895BC9" w:rsidRPr="00895BC9" w:rsidRDefault="00895BC9">
            <w:pPr>
              <w:rPr>
                <w:sz w:val="18"/>
              </w:rPr>
            </w:pPr>
            <w:r w:rsidRPr="00895BC9">
              <w:rPr>
                <w:sz w:val="18"/>
              </w:rPr>
              <w:t>Yes</w:t>
            </w:r>
          </w:p>
        </w:tc>
        <w:tc>
          <w:tcPr>
            <w:tcW w:w="720" w:type="dxa"/>
            <w:noWrap/>
            <w:hideMark/>
          </w:tcPr>
          <w:p w14:paraId="0426DF98" w14:textId="77777777" w:rsidR="00895BC9" w:rsidRPr="00895BC9" w:rsidRDefault="00895BC9">
            <w:pPr>
              <w:rPr>
                <w:sz w:val="18"/>
              </w:rPr>
            </w:pPr>
            <w:r w:rsidRPr="00895BC9">
              <w:rPr>
                <w:sz w:val="18"/>
              </w:rPr>
              <w:t>0-10</w:t>
            </w:r>
          </w:p>
        </w:tc>
        <w:tc>
          <w:tcPr>
            <w:tcW w:w="1975" w:type="dxa"/>
            <w:noWrap/>
            <w:hideMark/>
          </w:tcPr>
          <w:p w14:paraId="625C6E55" w14:textId="77777777" w:rsidR="00895BC9" w:rsidRPr="00895BC9" w:rsidRDefault="00895BC9">
            <w:pPr>
              <w:rPr>
                <w:sz w:val="18"/>
              </w:rPr>
            </w:pPr>
            <w:r w:rsidRPr="00895BC9">
              <w:rPr>
                <w:sz w:val="18"/>
              </w:rPr>
              <w:t>National park</w:t>
            </w:r>
          </w:p>
        </w:tc>
      </w:tr>
      <w:tr w:rsidR="00FA243D" w:rsidRPr="00895BC9" w14:paraId="55690504" w14:textId="77777777" w:rsidTr="4878CDF3">
        <w:trPr>
          <w:trHeight w:val="288"/>
        </w:trPr>
        <w:tc>
          <w:tcPr>
            <w:tcW w:w="1253" w:type="dxa"/>
            <w:noWrap/>
            <w:hideMark/>
          </w:tcPr>
          <w:p w14:paraId="4CAADC0C" w14:textId="1DB8EDB9" w:rsidR="00895BC9" w:rsidRPr="00895BC9" w:rsidRDefault="00FA243D" w:rsidP="001F209E">
            <w:pPr>
              <w:rPr>
                <w:sz w:val="18"/>
              </w:rPr>
            </w:pPr>
            <w:r>
              <w:rPr>
                <w:sz w:val="18"/>
              </w:rPr>
              <w:fldChar w:fldCharType="begin" w:fldLock="1"/>
            </w:r>
            <w:r w:rsidR="001F209E">
              <w:rPr>
                <w:sz w:val="18"/>
              </w:rPr>
              <w:instrText>ADDIN CSL_CITATION {"citationItems":[{"id":"ITEM-1","itemData":{"DOI":"10.1007/s11273-017-9583-6","ISSN":"15729834","abstract":"Tropical peatlands are currently being rapidly cleared and drained for the establishment of oil palm plantations, which threatens their globally significant carbon sequestration capacity. Large-scale land conversion of tropical peatlands is important in the context of greenhouse gas emission factors and sustainable land management. At present, quantification of carbon dioxide losses from tropical peatlands is limited by our understanding of the relative contribution of heterotrophic and autotrophic respiration to net peat surface CO2 emissions. In this study we separated heterotrophic and autotrophic components of peat CO2 losses from two oil palm plantations (one established in ‘2000’ and the other in 1978, then replanted in ‘2006’) using chamber-based emissions sampling along a transect from the rooting to non-rooting zones on a peatland in Selangor, Peninsular Malaysia over the course of 3 months (June–August, 2014). Collar CO2 measurements were compared with soil temperature and moisture at site and also accompanied by depth profiles assessing peat C and bulk density. The soil respiration decreased exponentially with distance from the palm trunks with the sharpest decline found for the plantation with the younger palms with overall fluxes of 1341 and 988 mg CO2 m−2 h−1, respectively, at the 2000 and 2006 plantations, respectively. The mean heterotrophic flux was 909 ± SE 136 and 716 ± SE 201 mg m−2 h−1 at the 2000 and 2006 plantations, respectively. Autotrophic emissions adjacent to the palm trunks were 845 ± SE 135 and 1558 ± SE 341 mg m−2 h−1 at the 2000 and 2006 plantations, respectively. Heterotrophic CO2 flux was positively related to peat soil moisture, but not temperature. Total peat C stocks were 60 kg m−2 (down to 1 m depth) and did not vary among plantations of different ages but SOC concentrations declined significantly with depth at both plantations but the decline was sharper in the second generation 2006 plantation. The CO2 flux values reported in this study suggest a potential for very high carbon (C) loss from drained tropical peats during the dry season. This is particularly concerning given that more intense dry periods related to climate change are predicted for SE Asia. Taken together, this study highlights the need for careful management of tropical peatlands, and the vulnerability of their carbon storage capability under conditions of drainage.","author":[{"dropping-particle":"","family":"Matysek","given":"Magdalena","non-dropping-particle":"","parse-names":false,"suffix":""},{"dropping-particle":"","family":"Evers","given":"Stephanie","non-dropping-particle":"","parse-names":false,"suffix":""},{"dropping-particle":"","family":"Samuel","given":"Marshall Kana","non-dropping-particle":"","parse-names":false,"suffix":""},{"dropping-particle":"","family":"Sjogersten","given":"Sofie","non-dropping-particle":"","parse-names":false,"suffix":""}],"container-title":"Wetlands Ecology and Management","id":"ITEM-1","issue":"3","issued":{"date-parts":[["2018"]]},"page":"415-424","publisher":"Springer Netherlands","title":"High heterotrophic CO2 emissions from a Malaysian oil palm plantations during dry-season","type":"article-journal","volume":"26"},"uris":["http://www.mendeley.com/documents/?uuid=f4383f02-1981-48c0-ae86-05b5c63bb0e7"]}],"mendeley":{"formattedCitation":"(Matysek &lt;i&gt;et al&lt;/i&gt; 2018)","manualFormatting":"Matysek et al 2018","plainTextFormattedCitation":"(Matysek et al 2018)","previouslyFormattedCitation":"(Matysek &lt;i&gt;et al&lt;/i&gt; 2018)"},"properties":{"noteIndex":0},"schema":"https://github.com/citation-style-language/schema/raw/master/csl-citation.json"}</w:instrText>
            </w:r>
            <w:r>
              <w:rPr>
                <w:sz w:val="18"/>
              </w:rPr>
              <w:fldChar w:fldCharType="separate"/>
            </w:r>
            <w:r w:rsidR="00C723F0" w:rsidRPr="00C723F0">
              <w:rPr>
                <w:noProof/>
                <w:sz w:val="18"/>
              </w:rPr>
              <w:t xml:space="preserve">Matysek </w:t>
            </w:r>
            <w:r w:rsidR="00C723F0" w:rsidRPr="00C723F0">
              <w:rPr>
                <w:i/>
                <w:noProof/>
                <w:sz w:val="18"/>
              </w:rPr>
              <w:t>et al</w:t>
            </w:r>
            <w:r w:rsidR="00C723F0" w:rsidRPr="00C723F0">
              <w:rPr>
                <w:noProof/>
                <w:sz w:val="18"/>
              </w:rPr>
              <w:t xml:space="preserve"> 2018</w:t>
            </w:r>
            <w:r>
              <w:rPr>
                <w:sz w:val="18"/>
              </w:rPr>
              <w:fldChar w:fldCharType="end"/>
            </w:r>
          </w:p>
        </w:tc>
        <w:tc>
          <w:tcPr>
            <w:tcW w:w="1257" w:type="dxa"/>
            <w:noWrap/>
            <w:hideMark/>
          </w:tcPr>
          <w:p w14:paraId="1BAC3359" w14:textId="77777777" w:rsidR="00895BC9" w:rsidRDefault="00FD1A66">
            <w:pPr>
              <w:rPr>
                <w:sz w:val="18"/>
              </w:rPr>
            </w:pPr>
            <w:r>
              <w:rPr>
                <w:sz w:val="18"/>
              </w:rPr>
              <w:t>Industrial</w:t>
            </w:r>
          </w:p>
          <w:p w14:paraId="51C88682" w14:textId="7242797F" w:rsidR="00FD1A66" w:rsidRPr="00895BC9" w:rsidRDefault="00FD1A66">
            <w:pPr>
              <w:rPr>
                <w:sz w:val="18"/>
              </w:rPr>
            </w:pPr>
            <w:r>
              <w:rPr>
                <w:sz w:val="18"/>
              </w:rPr>
              <w:t>Plantation</w:t>
            </w:r>
          </w:p>
        </w:tc>
        <w:tc>
          <w:tcPr>
            <w:tcW w:w="539" w:type="dxa"/>
            <w:noWrap/>
            <w:hideMark/>
          </w:tcPr>
          <w:p w14:paraId="14DD1461" w14:textId="77777777" w:rsidR="00895BC9" w:rsidRPr="00895BC9" w:rsidRDefault="00895BC9" w:rsidP="00895BC9">
            <w:pPr>
              <w:rPr>
                <w:sz w:val="18"/>
              </w:rPr>
            </w:pPr>
            <w:r w:rsidRPr="00895BC9">
              <w:rPr>
                <w:sz w:val="18"/>
              </w:rPr>
              <w:t>0.12</w:t>
            </w:r>
          </w:p>
        </w:tc>
        <w:tc>
          <w:tcPr>
            <w:tcW w:w="629" w:type="dxa"/>
            <w:noWrap/>
            <w:hideMark/>
          </w:tcPr>
          <w:p w14:paraId="006376FA" w14:textId="77777777" w:rsidR="00895BC9" w:rsidRPr="00895BC9" w:rsidRDefault="00895BC9" w:rsidP="00895BC9">
            <w:pPr>
              <w:rPr>
                <w:sz w:val="18"/>
              </w:rPr>
            </w:pPr>
            <w:r w:rsidRPr="00895BC9">
              <w:rPr>
                <w:sz w:val="18"/>
              </w:rPr>
              <w:t>0.25</w:t>
            </w:r>
          </w:p>
        </w:tc>
        <w:tc>
          <w:tcPr>
            <w:tcW w:w="727" w:type="dxa"/>
            <w:noWrap/>
            <w:hideMark/>
          </w:tcPr>
          <w:p w14:paraId="02D80EF8" w14:textId="77777777" w:rsidR="00895BC9" w:rsidRPr="00895BC9" w:rsidRDefault="00895BC9" w:rsidP="00895BC9">
            <w:pPr>
              <w:rPr>
                <w:sz w:val="18"/>
              </w:rPr>
            </w:pPr>
            <w:r w:rsidRPr="00895BC9">
              <w:rPr>
                <w:sz w:val="18"/>
              </w:rPr>
              <w:t>0.2</w:t>
            </w:r>
          </w:p>
        </w:tc>
        <w:tc>
          <w:tcPr>
            <w:tcW w:w="1350" w:type="dxa"/>
            <w:noWrap/>
            <w:hideMark/>
          </w:tcPr>
          <w:p w14:paraId="12C20B31" w14:textId="2A63EFC6" w:rsidR="00895BC9" w:rsidRPr="00895BC9" w:rsidRDefault="00895BC9" w:rsidP="00895BC9">
            <w:pPr>
              <w:rPr>
                <w:sz w:val="18"/>
              </w:rPr>
            </w:pPr>
            <w:r>
              <w:rPr>
                <w:sz w:val="18"/>
              </w:rPr>
              <w:t>South Selangor</w:t>
            </w:r>
          </w:p>
        </w:tc>
        <w:tc>
          <w:tcPr>
            <w:tcW w:w="900" w:type="dxa"/>
            <w:noWrap/>
            <w:hideMark/>
          </w:tcPr>
          <w:p w14:paraId="39341B49" w14:textId="77311395" w:rsidR="00895BC9" w:rsidRPr="00895BC9" w:rsidRDefault="00895BC9">
            <w:pPr>
              <w:rPr>
                <w:sz w:val="18"/>
              </w:rPr>
            </w:pPr>
            <w:r>
              <w:rPr>
                <w:sz w:val="18"/>
              </w:rPr>
              <w:t>M</w:t>
            </w:r>
            <w:r w:rsidRPr="00895BC9">
              <w:rPr>
                <w:sz w:val="18"/>
              </w:rPr>
              <w:t>onthly</w:t>
            </w:r>
          </w:p>
        </w:tc>
        <w:tc>
          <w:tcPr>
            <w:tcW w:w="720" w:type="dxa"/>
            <w:noWrap/>
            <w:hideMark/>
          </w:tcPr>
          <w:p w14:paraId="1F079A1C" w14:textId="77777777" w:rsidR="00895BC9" w:rsidRPr="00895BC9" w:rsidRDefault="00895BC9">
            <w:pPr>
              <w:rPr>
                <w:sz w:val="18"/>
              </w:rPr>
            </w:pPr>
            <w:r w:rsidRPr="00895BC9">
              <w:rPr>
                <w:sz w:val="18"/>
              </w:rPr>
              <w:t>5-8</w:t>
            </w:r>
          </w:p>
        </w:tc>
        <w:tc>
          <w:tcPr>
            <w:tcW w:w="1975" w:type="dxa"/>
            <w:noWrap/>
            <w:hideMark/>
          </w:tcPr>
          <w:p w14:paraId="01AFEECE" w14:textId="77777777" w:rsidR="00895BC9" w:rsidRPr="00895BC9" w:rsidRDefault="00895BC9">
            <w:pPr>
              <w:rPr>
                <w:sz w:val="18"/>
              </w:rPr>
            </w:pPr>
          </w:p>
        </w:tc>
      </w:tr>
      <w:tr w:rsidR="00FA243D" w:rsidRPr="00895BC9" w14:paraId="44E332E8" w14:textId="77777777" w:rsidTr="4878CDF3">
        <w:trPr>
          <w:trHeight w:val="288"/>
        </w:trPr>
        <w:tc>
          <w:tcPr>
            <w:tcW w:w="1253" w:type="dxa"/>
            <w:noWrap/>
            <w:hideMark/>
          </w:tcPr>
          <w:p w14:paraId="38F23C6E" w14:textId="76A8DC3D" w:rsidR="00895BC9" w:rsidRPr="00895BC9" w:rsidRDefault="00FA243D" w:rsidP="001F209E">
            <w:pPr>
              <w:rPr>
                <w:sz w:val="18"/>
              </w:rPr>
            </w:pPr>
            <w:r>
              <w:rPr>
                <w:sz w:val="18"/>
              </w:rPr>
              <w:fldChar w:fldCharType="begin" w:fldLock="1"/>
            </w:r>
            <w:r w:rsidR="001F209E">
              <w:rPr>
                <w:sz w:val="18"/>
              </w:rPr>
              <w:instrText>ADDIN CSL_CITATION {"citationItems":[{"id":"ITEM-1","itemData":{"DOI":"10.1016/j.soilbio.2018.04.028","ISBN":"0038-0717","ISSN":"00380717","abstract":"Swamp forests on deep tropical peatlands have undergone extensive deforestation and draining for agriculture and plantations, consequently becoming globally significant carbon (C) sources. To study the effects of land-use change on peat as a biological environment, which directly affects decomposition dynamics and greenhouse gas emissions, we sampled peat from four common land-use types representing different management intensities in Central Kalimantan, Indonesia. The near-pristine swamp forest was used to describe unmanaged conditions, and the three other sites in order of increasing management intensity were reforested; degraded; and agricultural. We examined peat substrate quality (total C &amp; nitrogen (N), dissolved organic C (DOC) and N (DON)), organic matter quality characterized by infrared spectroscopy, and microbial biomass and extracellular enzyme activity, to describe both biotic and abiotic conditions in peat. We found that the peat at altered sites was poorer in quality, i.e. decomposability, as demonstrated by the higher intensity of aromatic and aliphatic compounds, and lower intensity of polysaccharides, and concentration of total N, DOC, and DON compared to the peat in the swamp forest. The observed differences in peat properties can be linked to changes in litter input and decomposition conditions altered after deforestation and draining, as well as increased leaching and fires. The quality of the peat substrate was directly related to its biotic properties, with altered sites generally having lower microbial biomass and enzyme activity. However, irrespective of management intensity or substrate quality, enzyme activity was limited primarily to the first 0–3 cm of the peat profile. Some differences between wet and dry seasons were observed in enzyme activity especially in swamp forest, where the most measured enzyme activities were higher in dry season. Reforestation 6 years before our measurements had not yet restored enzyme activity in the peat to the level of the swamp forest, although the topmost peat characteristics in the reforested site already resembled those in the swamp forest. This is likely contributed by the limited capacity of the young tree stand to produce litter to support peat formation and restore the quality and structure of the peat, and the chemical weed control performed at the site. Therefore, we conclude that intensive land management, including deforestation and draining, leads to the surface peat becoming poor…","author":[{"dropping-particle":"","family":"Könönen","given":"M.","non-dropping-particle":"","parse-names":false,"suffix":""},{"dropping-particle":"","family":"Jauhiainen","given":"Jyrki","non-dropping-particle":"","parse-names":false,"suffix":""},{"dropping-particle":"","family":"Straková","given":"P.","non-dropping-particle":"","parse-names":false,"suffix":""},{"dropping-particle":"","family":"Heinonsalo","given":"J.","non-dropping-particle":"","parse-names":false,"suffix":""},{"dropping-particle":"","family":"Laiho","given":"R.","non-dropping-particle":"","parse-names":false,"suffix":""},{"dropping-particle":"","family":"Kusin","given":"K.","non-dropping-particle":"","parse-names":false,"suffix":""},{"dropping-particle":"","family":"Limin","given":"S.","non-dropping-particle":"","parse-names":false,"suffix":""},{"dropping-particle":"","family":"Vasander","given":"H.","non-dropping-particle":"","parse-names":false,"suffix":""}],"container-title":"Soil Biology and Biochemistry","id":"ITEM-1","issued":{"date-parts":[["2018"]]},"page":"229-241","title":"Deforested and drained tropical peatland sites show poorer peat substrate quality and lower microbial biomass and activity than unmanaged swamp forest","type":"article-journal","volume":"123"},"uris":["http://www.mendeley.com/documents/?uuid=0db9bd2c-2c7d-326f-919a-160485fb1dd9"]}],"mendeley":{"formattedCitation":"(Könönen &lt;i&gt;et al&lt;/i&gt; 2018)","manualFormatting":"Könönen et al 2018","plainTextFormattedCitation":"(Könönen et al 2018)","previouslyFormattedCitation":"(Könönen &lt;i&gt;et al&lt;/i&gt; 2018)"},"properties":{"noteIndex":0},"schema":"https://github.com/citation-style-language/schema/raw/master/csl-citation.json"}</w:instrText>
            </w:r>
            <w:r>
              <w:rPr>
                <w:sz w:val="18"/>
              </w:rPr>
              <w:fldChar w:fldCharType="separate"/>
            </w:r>
            <w:r w:rsidR="001F209E" w:rsidRPr="001F209E">
              <w:rPr>
                <w:noProof/>
                <w:sz w:val="18"/>
              </w:rPr>
              <w:t xml:space="preserve">Könönen </w:t>
            </w:r>
            <w:r w:rsidR="001F209E" w:rsidRPr="001F209E">
              <w:rPr>
                <w:i/>
                <w:noProof/>
                <w:sz w:val="18"/>
              </w:rPr>
              <w:t>et al</w:t>
            </w:r>
            <w:r w:rsidR="001F209E" w:rsidRPr="001F209E">
              <w:rPr>
                <w:noProof/>
                <w:sz w:val="18"/>
              </w:rPr>
              <w:t xml:space="preserve"> 2018</w:t>
            </w:r>
            <w:r>
              <w:rPr>
                <w:sz w:val="18"/>
              </w:rPr>
              <w:fldChar w:fldCharType="end"/>
            </w:r>
          </w:p>
        </w:tc>
        <w:tc>
          <w:tcPr>
            <w:tcW w:w="1257" w:type="dxa"/>
            <w:noWrap/>
            <w:hideMark/>
          </w:tcPr>
          <w:p w14:paraId="40050780" w14:textId="04933D80" w:rsidR="00895BC9" w:rsidRPr="00895BC9" w:rsidRDefault="00FD1A66">
            <w:pPr>
              <w:rPr>
                <w:sz w:val="18"/>
              </w:rPr>
            </w:pPr>
            <w:r>
              <w:rPr>
                <w:sz w:val="18"/>
              </w:rPr>
              <w:t>Pristine Forest</w:t>
            </w:r>
          </w:p>
        </w:tc>
        <w:tc>
          <w:tcPr>
            <w:tcW w:w="539" w:type="dxa"/>
            <w:noWrap/>
            <w:hideMark/>
          </w:tcPr>
          <w:p w14:paraId="1BFD948A" w14:textId="77777777" w:rsidR="00895BC9" w:rsidRPr="00895BC9" w:rsidRDefault="00895BC9">
            <w:pPr>
              <w:rPr>
                <w:sz w:val="18"/>
              </w:rPr>
            </w:pPr>
          </w:p>
        </w:tc>
        <w:tc>
          <w:tcPr>
            <w:tcW w:w="629" w:type="dxa"/>
            <w:noWrap/>
            <w:hideMark/>
          </w:tcPr>
          <w:p w14:paraId="6A384035" w14:textId="77777777" w:rsidR="00895BC9" w:rsidRPr="00895BC9" w:rsidRDefault="00895BC9">
            <w:pPr>
              <w:rPr>
                <w:sz w:val="18"/>
              </w:rPr>
            </w:pPr>
          </w:p>
        </w:tc>
        <w:tc>
          <w:tcPr>
            <w:tcW w:w="727" w:type="dxa"/>
            <w:noWrap/>
            <w:hideMark/>
          </w:tcPr>
          <w:p w14:paraId="0B041570" w14:textId="77777777" w:rsidR="00895BC9" w:rsidRPr="00895BC9" w:rsidRDefault="00895BC9" w:rsidP="00895BC9">
            <w:pPr>
              <w:rPr>
                <w:sz w:val="18"/>
              </w:rPr>
            </w:pPr>
            <w:r w:rsidRPr="00895BC9">
              <w:rPr>
                <w:sz w:val="18"/>
              </w:rPr>
              <w:t>0.81</w:t>
            </w:r>
          </w:p>
        </w:tc>
        <w:tc>
          <w:tcPr>
            <w:tcW w:w="1350" w:type="dxa"/>
            <w:noWrap/>
            <w:hideMark/>
          </w:tcPr>
          <w:p w14:paraId="290F0FA1" w14:textId="7BE512BB" w:rsidR="00895BC9" w:rsidRPr="00895BC9" w:rsidRDefault="00895BC9">
            <w:pPr>
              <w:rPr>
                <w:sz w:val="18"/>
              </w:rPr>
            </w:pPr>
            <w:r w:rsidRPr="00895BC9">
              <w:rPr>
                <w:sz w:val="18"/>
              </w:rPr>
              <w:t>Sabangau, C</w:t>
            </w:r>
            <w:r w:rsidR="00482DEA">
              <w:rPr>
                <w:sz w:val="18"/>
              </w:rPr>
              <w:t xml:space="preserve">entral </w:t>
            </w:r>
            <w:r w:rsidRPr="00895BC9">
              <w:rPr>
                <w:sz w:val="18"/>
              </w:rPr>
              <w:t xml:space="preserve"> Kali</w:t>
            </w:r>
            <w:r w:rsidR="00482DEA">
              <w:rPr>
                <w:sz w:val="18"/>
              </w:rPr>
              <w:t>mantan</w:t>
            </w:r>
          </w:p>
        </w:tc>
        <w:tc>
          <w:tcPr>
            <w:tcW w:w="900" w:type="dxa"/>
            <w:noWrap/>
            <w:hideMark/>
          </w:tcPr>
          <w:p w14:paraId="41D76F0D" w14:textId="1A670F96" w:rsidR="00895BC9" w:rsidRPr="00895BC9" w:rsidRDefault="00895BC9">
            <w:pPr>
              <w:rPr>
                <w:sz w:val="18"/>
              </w:rPr>
            </w:pPr>
            <w:r>
              <w:rPr>
                <w:sz w:val="18"/>
              </w:rPr>
              <w:t>Y</w:t>
            </w:r>
            <w:r w:rsidRPr="00895BC9">
              <w:rPr>
                <w:sz w:val="18"/>
              </w:rPr>
              <w:t>es</w:t>
            </w:r>
          </w:p>
        </w:tc>
        <w:tc>
          <w:tcPr>
            <w:tcW w:w="720" w:type="dxa"/>
            <w:noWrap/>
            <w:hideMark/>
          </w:tcPr>
          <w:p w14:paraId="00CC1E38" w14:textId="77777777" w:rsidR="00895BC9" w:rsidRPr="00895BC9" w:rsidRDefault="00895BC9">
            <w:pPr>
              <w:rPr>
                <w:sz w:val="18"/>
              </w:rPr>
            </w:pPr>
            <w:r w:rsidRPr="00895BC9">
              <w:rPr>
                <w:sz w:val="18"/>
              </w:rPr>
              <w:t>0-5</w:t>
            </w:r>
          </w:p>
        </w:tc>
        <w:tc>
          <w:tcPr>
            <w:tcW w:w="1975" w:type="dxa"/>
            <w:noWrap/>
            <w:hideMark/>
          </w:tcPr>
          <w:p w14:paraId="31AFEB50" w14:textId="0EAC0B3C" w:rsidR="00895BC9" w:rsidRPr="00895BC9" w:rsidRDefault="001F209E">
            <w:pPr>
              <w:rPr>
                <w:sz w:val="18"/>
              </w:rPr>
            </w:pPr>
            <w:r>
              <w:rPr>
                <w:sz w:val="18"/>
              </w:rPr>
              <w:t>S</w:t>
            </w:r>
            <w:r w:rsidR="00895BC9" w:rsidRPr="00895BC9">
              <w:rPr>
                <w:sz w:val="18"/>
              </w:rPr>
              <w:t>elective logging and small ditches prior to 1997</w:t>
            </w:r>
          </w:p>
        </w:tc>
      </w:tr>
      <w:tr w:rsidR="00FA243D" w:rsidRPr="00895BC9" w14:paraId="2BDB6A09" w14:textId="77777777" w:rsidTr="4878CDF3">
        <w:trPr>
          <w:trHeight w:val="288"/>
        </w:trPr>
        <w:tc>
          <w:tcPr>
            <w:tcW w:w="1253" w:type="dxa"/>
            <w:noWrap/>
            <w:hideMark/>
          </w:tcPr>
          <w:p w14:paraId="5B24C143" w14:textId="3D1F4D0F" w:rsidR="00895BC9" w:rsidRPr="00895BC9" w:rsidRDefault="00FA243D" w:rsidP="001F209E">
            <w:pPr>
              <w:rPr>
                <w:sz w:val="18"/>
              </w:rPr>
            </w:pPr>
            <w:r>
              <w:rPr>
                <w:sz w:val="18"/>
              </w:rPr>
              <w:fldChar w:fldCharType="begin" w:fldLock="1"/>
            </w:r>
            <w:r w:rsidR="001F209E">
              <w:rPr>
                <w:sz w:val="18"/>
              </w:rPr>
              <w:instrText>ADDIN CSL_CITATION {"citationItems":[{"id":"ITEM-1","itemData":{"DOI":"10.1016/j.soilbio.2018.04.028","ISBN":"0038-0717","ISSN":"00380717","abstract":"Swamp forests on deep tropical peatlands have undergone extensive deforestation and draining for agriculture and plantations, consequently becoming globally significant carbon (C) sources. To study the effects of land-use change on peat as a biological environment, which directly affects decomposition dynamics and greenhouse gas emissions, we sampled peat from four common land-use types representing different management intensities in Central Kalimantan, Indonesia. The near-pristine swamp forest was used to describe unmanaged conditions, and the three other sites in order of increasing management intensity were reforested; degraded; and agricultural. We examined peat substrate quality (total C &amp; nitrogen (N), dissolved organic C (DOC) and N (DON)), organic matter quality characterized by infrared spectroscopy, and microbial biomass and extracellular enzyme activity, to describe both biotic and abiotic conditions in peat. We found that the peat at altered sites was poorer in quality, i.e. decomposability, as demonstrated by the higher intensity of aromatic and aliphatic compounds, and lower intensity of polysaccharides, and concentration of total N, DOC, and DON compared to the peat in the swamp forest. The observed differences in peat properties can be linked to changes in litter input and decomposition conditions altered after deforestation and draining, as well as increased leaching and fires. The quality of the peat substrate was directly related to its biotic properties, with altered sites generally having lower microbial biomass and enzyme activity. However, irrespective of management intensity or substrate quality, enzyme activity was limited primarily to the first 0–3 cm of the peat profile. Some differences between wet and dry seasons were observed in enzyme activity especially in swamp forest, where the most measured enzyme activities were higher in dry season. Reforestation 6 years before our measurements had not yet restored enzyme activity in the peat to the level of the swamp forest, although the topmost peat characteristics in the reforested site already resembled those in the swamp forest. This is likely contributed by the limited capacity of the young tree stand to produce litter to support peat formation and restore the quality and structure of the peat, and the chemical weed control performed at the site. Therefore, we conclude that intensive land management, including deforestation and draining, leads to the surface peat becoming poor…","author":[{"dropping-particle":"","family":"Könönen","given":"M.","non-dropping-particle":"","parse-names":false,"suffix":""},{"dropping-particle":"","family":"Jauhiainen","given":"Jyrki","non-dropping-particle":"","parse-names":false,"suffix":""},{"dropping-particle":"","family":"Straková","given":"P.","non-dropping-particle":"","parse-names":false,"suffix":""},{"dropping-particle":"","family":"Heinonsalo","given":"J.","non-dropping-particle":"","parse-names":false,"suffix":""},{"dropping-particle":"","family":"Laiho","given":"R.","non-dropping-particle":"","parse-names":false,"suffix":""},{"dropping-particle":"","family":"Kusin","given":"K.","non-dropping-particle":"","parse-names":false,"suffix":""},{"dropping-particle":"","family":"Limin","given":"S.","non-dropping-particle":"","parse-names":false,"suffix":""},{"dropping-particle":"","family":"Vasander","given":"H.","non-dropping-particle":"","parse-names":false,"suffix":""}],"container-title":"Soil Biology and Biochemistry","id":"ITEM-1","issued":{"date-parts":[["2018"]]},"page":"229-241","title":"Deforested and drained tropical peatland sites show poorer peat substrate quality and lower microbial biomass and activity than unmanaged swamp forest","type":"article-journal","volume":"123"},"uris":["http://www.mendeley.com/documents/?uuid=0db9bd2c-2c7d-326f-919a-160485fb1dd9"]}],"mendeley":{"formattedCitation":"(Könönen &lt;i&gt;et al&lt;/i&gt; 2018)","manualFormatting":"Könönen et al 2018","plainTextFormattedCitation":"(Könönen et al 2018)","previouslyFormattedCitation":"(Könönen &lt;i&gt;et al&lt;/i&gt; 2018)"},"properties":{"noteIndex":0},"schema":"https://github.com/citation-style-language/schema/raw/master/csl-citation.json"}</w:instrText>
            </w:r>
            <w:r>
              <w:rPr>
                <w:sz w:val="18"/>
              </w:rPr>
              <w:fldChar w:fldCharType="separate"/>
            </w:r>
            <w:r w:rsidR="00C723F0" w:rsidRPr="00C723F0">
              <w:rPr>
                <w:noProof/>
                <w:sz w:val="18"/>
              </w:rPr>
              <w:t xml:space="preserve">Könönen </w:t>
            </w:r>
            <w:r w:rsidR="00C723F0" w:rsidRPr="00C723F0">
              <w:rPr>
                <w:i/>
                <w:noProof/>
                <w:sz w:val="18"/>
              </w:rPr>
              <w:t>et al</w:t>
            </w:r>
            <w:r w:rsidR="00C723F0" w:rsidRPr="00C723F0">
              <w:rPr>
                <w:noProof/>
                <w:sz w:val="18"/>
              </w:rPr>
              <w:t xml:space="preserve"> 2018</w:t>
            </w:r>
            <w:r>
              <w:rPr>
                <w:sz w:val="18"/>
              </w:rPr>
              <w:fldChar w:fldCharType="end"/>
            </w:r>
          </w:p>
        </w:tc>
        <w:tc>
          <w:tcPr>
            <w:tcW w:w="1257" w:type="dxa"/>
            <w:noWrap/>
            <w:hideMark/>
          </w:tcPr>
          <w:p w14:paraId="7E584568" w14:textId="77777777" w:rsidR="00482DEA" w:rsidRDefault="00482DEA" w:rsidP="00482DEA">
            <w:pPr>
              <w:rPr>
                <w:sz w:val="18"/>
              </w:rPr>
            </w:pPr>
            <w:r>
              <w:rPr>
                <w:sz w:val="18"/>
              </w:rPr>
              <w:t>Degraded</w:t>
            </w:r>
          </w:p>
          <w:p w14:paraId="2C171ABB" w14:textId="1B6BA09E" w:rsidR="00895BC9" w:rsidRPr="00895BC9" w:rsidRDefault="00482DEA" w:rsidP="00482DEA">
            <w:pPr>
              <w:rPr>
                <w:sz w:val="18"/>
              </w:rPr>
            </w:pPr>
            <w:r>
              <w:rPr>
                <w:sz w:val="18"/>
              </w:rPr>
              <w:t>Forest</w:t>
            </w:r>
          </w:p>
        </w:tc>
        <w:tc>
          <w:tcPr>
            <w:tcW w:w="539" w:type="dxa"/>
            <w:noWrap/>
            <w:hideMark/>
          </w:tcPr>
          <w:p w14:paraId="0D694749" w14:textId="77777777" w:rsidR="00895BC9" w:rsidRPr="00895BC9" w:rsidRDefault="00895BC9">
            <w:pPr>
              <w:rPr>
                <w:sz w:val="18"/>
              </w:rPr>
            </w:pPr>
          </w:p>
        </w:tc>
        <w:tc>
          <w:tcPr>
            <w:tcW w:w="629" w:type="dxa"/>
            <w:noWrap/>
            <w:hideMark/>
          </w:tcPr>
          <w:p w14:paraId="1AE07CB6" w14:textId="77777777" w:rsidR="00895BC9" w:rsidRPr="00895BC9" w:rsidRDefault="00895BC9">
            <w:pPr>
              <w:rPr>
                <w:sz w:val="18"/>
              </w:rPr>
            </w:pPr>
          </w:p>
        </w:tc>
        <w:tc>
          <w:tcPr>
            <w:tcW w:w="727" w:type="dxa"/>
            <w:noWrap/>
            <w:hideMark/>
          </w:tcPr>
          <w:p w14:paraId="311D06A5" w14:textId="77777777" w:rsidR="00895BC9" w:rsidRPr="00895BC9" w:rsidRDefault="00895BC9" w:rsidP="00895BC9">
            <w:pPr>
              <w:rPr>
                <w:sz w:val="18"/>
              </w:rPr>
            </w:pPr>
            <w:r w:rsidRPr="00895BC9">
              <w:rPr>
                <w:sz w:val="18"/>
              </w:rPr>
              <w:t>0.63</w:t>
            </w:r>
          </w:p>
        </w:tc>
        <w:tc>
          <w:tcPr>
            <w:tcW w:w="1350" w:type="dxa"/>
            <w:noWrap/>
            <w:hideMark/>
          </w:tcPr>
          <w:p w14:paraId="7F00F3AF" w14:textId="2ED4FE5F" w:rsidR="00895BC9" w:rsidRPr="00895BC9" w:rsidRDefault="00482DEA">
            <w:pPr>
              <w:rPr>
                <w:sz w:val="18"/>
              </w:rPr>
            </w:pPr>
            <w:r>
              <w:rPr>
                <w:sz w:val="18"/>
              </w:rPr>
              <w:t>Sabangau, Central Kalimantan</w:t>
            </w:r>
          </w:p>
        </w:tc>
        <w:tc>
          <w:tcPr>
            <w:tcW w:w="900" w:type="dxa"/>
            <w:noWrap/>
            <w:hideMark/>
          </w:tcPr>
          <w:p w14:paraId="62917A68" w14:textId="71D65B16" w:rsidR="00895BC9" w:rsidRPr="00895BC9" w:rsidRDefault="00895BC9">
            <w:pPr>
              <w:rPr>
                <w:sz w:val="18"/>
              </w:rPr>
            </w:pPr>
            <w:r>
              <w:rPr>
                <w:sz w:val="18"/>
              </w:rPr>
              <w:t>Y</w:t>
            </w:r>
            <w:r w:rsidRPr="00895BC9">
              <w:rPr>
                <w:sz w:val="18"/>
              </w:rPr>
              <w:t>es</w:t>
            </w:r>
          </w:p>
        </w:tc>
        <w:tc>
          <w:tcPr>
            <w:tcW w:w="720" w:type="dxa"/>
            <w:noWrap/>
            <w:hideMark/>
          </w:tcPr>
          <w:p w14:paraId="0211CF1D" w14:textId="77777777" w:rsidR="00895BC9" w:rsidRPr="00895BC9" w:rsidRDefault="00895BC9">
            <w:pPr>
              <w:rPr>
                <w:sz w:val="18"/>
              </w:rPr>
            </w:pPr>
            <w:r w:rsidRPr="00895BC9">
              <w:rPr>
                <w:sz w:val="18"/>
              </w:rPr>
              <w:t>0-5</w:t>
            </w:r>
          </w:p>
        </w:tc>
        <w:tc>
          <w:tcPr>
            <w:tcW w:w="1975" w:type="dxa"/>
            <w:noWrap/>
            <w:hideMark/>
          </w:tcPr>
          <w:p w14:paraId="00432B29" w14:textId="7E53D159" w:rsidR="00895BC9" w:rsidRPr="00895BC9" w:rsidRDefault="001F209E" w:rsidP="001F209E">
            <w:pPr>
              <w:rPr>
                <w:sz w:val="18"/>
              </w:rPr>
            </w:pPr>
            <w:r>
              <w:rPr>
                <w:sz w:val="18"/>
              </w:rPr>
              <w:t>R</w:t>
            </w:r>
            <w:r w:rsidR="00895BC9" w:rsidRPr="00895BC9">
              <w:rPr>
                <w:sz w:val="18"/>
              </w:rPr>
              <w:t>eforested drained site 3-4 m deep canal</w:t>
            </w:r>
          </w:p>
        </w:tc>
      </w:tr>
      <w:tr w:rsidR="00FA243D" w:rsidRPr="00895BC9" w14:paraId="16429CEC" w14:textId="77777777" w:rsidTr="4878CDF3">
        <w:trPr>
          <w:trHeight w:val="288"/>
        </w:trPr>
        <w:tc>
          <w:tcPr>
            <w:tcW w:w="1253" w:type="dxa"/>
            <w:noWrap/>
            <w:hideMark/>
          </w:tcPr>
          <w:p w14:paraId="1B7FB734" w14:textId="1E3DB6D8" w:rsidR="00895BC9" w:rsidRPr="00895BC9" w:rsidRDefault="00FA243D" w:rsidP="001F209E">
            <w:pPr>
              <w:rPr>
                <w:sz w:val="18"/>
              </w:rPr>
            </w:pPr>
            <w:r>
              <w:rPr>
                <w:sz w:val="18"/>
              </w:rPr>
              <w:fldChar w:fldCharType="begin" w:fldLock="1"/>
            </w:r>
            <w:r w:rsidR="001F209E">
              <w:rPr>
                <w:sz w:val="18"/>
              </w:rPr>
              <w:instrText>ADDIN CSL_CITATION {"citationItems":[{"id":"ITEM-1","itemData":{"DOI":"10.1016/j.soilbio.2018.04.028","ISBN":"0038-0717","ISSN":"00380717","abstract":"Swamp forests on deep tropical peatlands have undergone extensive deforestation and draining for agriculture and plantations, consequently becoming globally significant carbon (C) sources. To study the effects of land-use change on peat as a biological environment, which directly affects decomposition dynamics and greenhouse gas emissions, we sampled peat from four common land-use types representing different management intensities in Central Kalimantan, Indonesia. The near-pristine swamp forest was used to describe unmanaged conditions, and the three other sites in order of increasing management intensity were reforested; degraded; and agricultural. We examined peat substrate quality (total C &amp; nitrogen (N), dissolved organic C (DOC) and N (DON)), organic matter quality characterized by infrared spectroscopy, and microbial biomass and extracellular enzyme activity, to describe both biotic and abiotic conditions in peat. We found that the peat at altered sites was poorer in quality, i.e. decomposability, as demonstrated by the higher intensity of aromatic and aliphatic compounds, and lower intensity of polysaccharides, and concentration of total N, DOC, and DON compared to the peat in the swamp forest. The observed differences in peat properties can be linked to changes in litter input and decomposition conditions altered after deforestation and draining, as well as increased leaching and fires. The quality of the peat substrate was directly related to its biotic properties, with altered sites generally having lower microbial biomass and enzyme activity. However, irrespective of management intensity or substrate quality, enzyme activity was limited primarily to the first 0–3 cm of the peat profile. Some differences between wet and dry seasons were observed in enzyme activity especially in swamp forest, where the most measured enzyme activities were higher in dry season. Reforestation 6 years before our measurements had not yet restored enzyme activity in the peat to the level of the swamp forest, although the topmost peat characteristics in the reforested site already resembled those in the swamp forest. This is likely contributed by the limited capacity of the young tree stand to produce litter to support peat formation and restore the quality and structure of the peat, and the chemical weed control performed at the site. Therefore, we conclude that intensive land management, including deforestation and draining, leads to the surface peat becoming poor…","author":[{"dropping-particle":"","family":"Könönen","given":"M.","non-dropping-particle":"","parse-names":false,"suffix":""},{"dropping-particle":"","family":"Jauhiainen","given":"Jyrki","non-dropping-particle":"","parse-names":false,"suffix":""},{"dropping-particle":"","family":"Straková","given":"P.","non-dropping-particle":"","parse-names":false,"suffix":""},{"dropping-particle":"","family":"Heinonsalo","given":"J.","non-dropping-particle":"","parse-names":false,"suffix":""},{"dropping-particle":"","family":"Laiho","given":"R.","non-dropping-particle":"","parse-names":false,"suffix":""},{"dropping-particle":"","family":"Kusin","given":"K.","non-dropping-particle":"","parse-names":false,"suffix":""},{"dropping-particle":"","family":"Limin","given":"S.","non-dropping-particle":"","parse-names":false,"suffix":""},{"dropping-particle":"","family":"Vasander","given":"H.","non-dropping-particle":"","parse-names":false,"suffix":""}],"container-title":"Soil Biology and Biochemistry","id":"ITEM-1","issued":{"date-parts":[["2018"]]},"page":"229-241","title":"Deforested and drained tropical peatland sites show poorer peat substrate quality and lower microbial biomass and activity than unmanaged swamp forest","type":"article-journal","volume":"123"},"uris":["http://www.mendeley.com/documents/?uuid=0db9bd2c-2c7d-326f-919a-160485fb1dd9"]}],"mendeley":{"formattedCitation":"(Könönen &lt;i&gt;et al&lt;/i&gt; 2018)","manualFormatting":"Könönen et al 2018","plainTextFormattedCitation":"(Könönen et al 2018)","previouslyFormattedCitation":"(Könönen &lt;i&gt;et al&lt;/i&gt; 2018)"},"properties":{"noteIndex":0},"schema":"https://github.com/citation-style-language/schema/raw/master/csl-citation.json"}</w:instrText>
            </w:r>
            <w:r>
              <w:rPr>
                <w:sz w:val="18"/>
              </w:rPr>
              <w:fldChar w:fldCharType="separate"/>
            </w:r>
            <w:r w:rsidR="00C723F0" w:rsidRPr="00C723F0">
              <w:rPr>
                <w:noProof/>
                <w:sz w:val="18"/>
              </w:rPr>
              <w:t xml:space="preserve">Könönen </w:t>
            </w:r>
            <w:r w:rsidR="00C723F0" w:rsidRPr="00C723F0">
              <w:rPr>
                <w:i/>
                <w:noProof/>
                <w:sz w:val="18"/>
              </w:rPr>
              <w:t>et al</w:t>
            </w:r>
            <w:r w:rsidR="00C723F0" w:rsidRPr="00C723F0">
              <w:rPr>
                <w:noProof/>
                <w:sz w:val="18"/>
              </w:rPr>
              <w:t xml:space="preserve"> 2018</w:t>
            </w:r>
            <w:r>
              <w:rPr>
                <w:sz w:val="18"/>
              </w:rPr>
              <w:fldChar w:fldCharType="end"/>
            </w:r>
          </w:p>
        </w:tc>
        <w:tc>
          <w:tcPr>
            <w:tcW w:w="1257" w:type="dxa"/>
            <w:noWrap/>
            <w:hideMark/>
          </w:tcPr>
          <w:p w14:paraId="3D3E5FBD" w14:textId="77777777" w:rsidR="00FD1A66" w:rsidRDefault="00FD1A66" w:rsidP="00FD1A66">
            <w:pPr>
              <w:rPr>
                <w:sz w:val="18"/>
              </w:rPr>
            </w:pPr>
            <w:r>
              <w:rPr>
                <w:sz w:val="18"/>
              </w:rPr>
              <w:t>Open</w:t>
            </w:r>
          </w:p>
          <w:p w14:paraId="0DA40A9A" w14:textId="1CEBAE14" w:rsidR="00895BC9" w:rsidRPr="00895BC9" w:rsidRDefault="00FD1A66" w:rsidP="00FD1A66">
            <w:pPr>
              <w:rPr>
                <w:sz w:val="18"/>
              </w:rPr>
            </w:pPr>
            <w:r>
              <w:rPr>
                <w:sz w:val="18"/>
              </w:rPr>
              <w:t>Undeveloped</w:t>
            </w:r>
          </w:p>
        </w:tc>
        <w:tc>
          <w:tcPr>
            <w:tcW w:w="539" w:type="dxa"/>
            <w:noWrap/>
            <w:hideMark/>
          </w:tcPr>
          <w:p w14:paraId="69377F13" w14:textId="77777777" w:rsidR="00895BC9" w:rsidRPr="00895BC9" w:rsidRDefault="00895BC9">
            <w:pPr>
              <w:rPr>
                <w:sz w:val="18"/>
              </w:rPr>
            </w:pPr>
          </w:p>
        </w:tc>
        <w:tc>
          <w:tcPr>
            <w:tcW w:w="629" w:type="dxa"/>
            <w:noWrap/>
            <w:hideMark/>
          </w:tcPr>
          <w:p w14:paraId="1112E089" w14:textId="77777777" w:rsidR="00895BC9" w:rsidRPr="00895BC9" w:rsidRDefault="00895BC9">
            <w:pPr>
              <w:rPr>
                <w:sz w:val="18"/>
              </w:rPr>
            </w:pPr>
          </w:p>
        </w:tc>
        <w:tc>
          <w:tcPr>
            <w:tcW w:w="727" w:type="dxa"/>
            <w:noWrap/>
            <w:hideMark/>
          </w:tcPr>
          <w:p w14:paraId="1C3C9913" w14:textId="77777777" w:rsidR="00895BC9" w:rsidRPr="00895BC9" w:rsidRDefault="00895BC9" w:rsidP="00895BC9">
            <w:pPr>
              <w:rPr>
                <w:sz w:val="18"/>
              </w:rPr>
            </w:pPr>
            <w:r w:rsidRPr="00895BC9">
              <w:rPr>
                <w:sz w:val="18"/>
              </w:rPr>
              <w:t>0.19</w:t>
            </w:r>
          </w:p>
        </w:tc>
        <w:tc>
          <w:tcPr>
            <w:tcW w:w="1350" w:type="dxa"/>
            <w:noWrap/>
            <w:hideMark/>
          </w:tcPr>
          <w:p w14:paraId="510EF582" w14:textId="4ECCD78E" w:rsidR="00895BC9" w:rsidRPr="00895BC9" w:rsidRDefault="00482DEA">
            <w:pPr>
              <w:rPr>
                <w:sz w:val="18"/>
              </w:rPr>
            </w:pPr>
            <w:r>
              <w:rPr>
                <w:sz w:val="18"/>
              </w:rPr>
              <w:t>Sabangau, Central Kalimantan</w:t>
            </w:r>
          </w:p>
        </w:tc>
        <w:tc>
          <w:tcPr>
            <w:tcW w:w="900" w:type="dxa"/>
            <w:noWrap/>
            <w:hideMark/>
          </w:tcPr>
          <w:p w14:paraId="45ED65F3" w14:textId="7B48EADC" w:rsidR="00895BC9" w:rsidRPr="00895BC9" w:rsidRDefault="00895BC9">
            <w:pPr>
              <w:rPr>
                <w:sz w:val="18"/>
              </w:rPr>
            </w:pPr>
            <w:r>
              <w:rPr>
                <w:sz w:val="18"/>
              </w:rPr>
              <w:t>Y</w:t>
            </w:r>
            <w:r w:rsidRPr="00895BC9">
              <w:rPr>
                <w:sz w:val="18"/>
              </w:rPr>
              <w:t>es</w:t>
            </w:r>
          </w:p>
        </w:tc>
        <w:tc>
          <w:tcPr>
            <w:tcW w:w="720" w:type="dxa"/>
            <w:noWrap/>
            <w:hideMark/>
          </w:tcPr>
          <w:p w14:paraId="3F6D006E" w14:textId="77777777" w:rsidR="00895BC9" w:rsidRPr="00895BC9" w:rsidRDefault="00895BC9">
            <w:pPr>
              <w:rPr>
                <w:sz w:val="18"/>
              </w:rPr>
            </w:pPr>
            <w:r w:rsidRPr="00895BC9">
              <w:rPr>
                <w:sz w:val="18"/>
              </w:rPr>
              <w:t>0-5</w:t>
            </w:r>
          </w:p>
        </w:tc>
        <w:tc>
          <w:tcPr>
            <w:tcW w:w="1975" w:type="dxa"/>
            <w:noWrap/>
            <w:hideMark/>
          </w:tcPr>
          <w:p w14:paraId="53B65E0B" w14:textId="3646CAA2" w:rsidR="00895BC9" w:rsidRPr="00895BC9" w:rsidRDefault="001F209E" w:rsidP="001F209E">
            <w:pPr>
              <w:rPr>
                <w:sz w:val="18"/>
              </w:rPr>
            </w:pPr>
            <w:r>
              <w:rPr>
                <w:sz w:val="18"/>
              </w:rPr>
              <w:t>D</w:t>
            </w:r>
            <w:r w:rsidR="00895BC9" w:rsidRPr="00895BC9">
              <w:rPr>
                <w:sz w:val="18"/>
              </w:rPr>
              <w:t>rained site 3-4 m deep canal</w:t>
            </w:r>
          </w:p>
        </w:tc>
      </w:tr>
      <w:tr w:rsidR="00FA243D" w:rsidRPr="00895BC9" w14:paraId="6A2810BA" w14:textId="77777777" w:rsidTr="4878CDF3">
        <w:trPr>
          <w:trHeight w:val="288"/>
        </w:trPr>
        <w:tc>
          <w:tcPr>
            <w:tcW w:w="1253" w:type="dxa"/>
            <w:noWrap/>
            <w:hideMark/>
          </w:tcPr>
          <w:p w14:paraId="148AC3CF" w14:textId="1697381A" w:rsidR="00895BC9" w:rsidRPr="00895BC9" w:rsidRDefault="00FA243D" w:rsidP="001F209E">
            <w:pPr>
              <w:rPr>
                <w:sz w:val="18"/>
              </w:rPr>
            </w:pPr>
            <w:r>
              <w:rPr>
                <w:sz w:val="18"/>
              </w:rPr>
              <w:fldChar w:fldCharType="begin" w:fldLock="1"/>
            </w:r>
            <w:r w:rsidR="001F209E">
              <w:rPr>
                <w:sz w:val="18"/>
              </w:rPr>
              <w:instrText>ADDIN CSL_CITATION {"citationItems":[{"id":"ITEM-1","itemData":{"DOI":"10.1016/j.soilbio.2018.04.028","ISBN":"0038-0717","ISSN":"00380717","abstract":"Swamp forests on deep tropical peatlands have undergone extensive deforestation and draining for agriculture and plantations, consequently becoming globally significant carbon (C) sources. To study the effects of land-use change on peat as a biological environment, which directly affects decomposition dynamics and greenhouse gas emissions, we sampled peat from four common land-use types representing different management intensities in Central Kalimantan, Indonesia. The near-pristine swamp forest was used to describe unmanaged conditions, and the three other sites in order of increasing management intensity were reforested; degraded; and agricultural. We examined peat substrate quality (total C &amp; nitrogen (N), dissolved organic C (DOC) and N (DON)), organic matter quality characterized by infrared spectroscopy, and microbial biomass and extracellular enzyme activity, to describe both biotic and abiotic conditions in peat. We found that the peat at altered sites was poorer in quality, i.e. decomposability, as demonstrated by the higher intensity of aromatic and aliphatic compounds, and lower intensity of polysaccharides, and concentration of total N, DOC, and DON compared to the peat in the swamp forest. The observed differences in peat properties can be linked to changes in litter input and decomposition conditions altered after deforestation and draining, as well as increased leaching and fires. The quality of the peat substrate was directly related to its biotic properties, with altered sites generally having lower microbial biomass and enzyme activity. However, irrespective of management intensity or substrate quality, enzyme activity was limited primarily to the first 0–3 cm of the peat profile. Some differences between wet and dry seasons were observed in enzyme activity especially in swamp forest, where the most measured enzyme activities were higher in dry season. Reforestation 6 years before our measurements had not yet restored enzyme activity in the peat to the level of the swamp forest, although the topmost peat characteristics in the reforested site already resembled those in the swamp forest. This is likely contributed by the limited capacity of the young tree stand to produce litter to support peat formation and restore the quality and structure of the peat, and the chemical weed control performed at the site. Therefore, we conclude that intensive land management, including deforestation and draining, leads to the surface peat becoming poor…","author":[{"dropping-particle":"","family":"Könönen","given":"M.","non-dropping-particle":"","parse-names":false,"suffix":""},{"dropping-particle":"","family":"Jauhiainen","given":"Jyrki","non-dropping-particle":"","parse-names":false,"suffix":""},{"dropping-particle":"","family":"Straková","given":"P.","non-dropping-particle":"","parse-names":false,"suffix":""},{"dropping-particle":"","family":"Heinonsalo","given":"J.","non-dropping-particle":"","parse-names":false,"suffix":""},{"dropping-particle":"","family":"Laiho","given":"R.","non-dropping-particle":"","parse-names":false,"suffix":""},{"dropping-particle":"","family":"Kusin","given":"K.","non-dropping-particle":"","parse-names":false,"suffix":""},{"dropping-particle":"","family":"Limin","given":"S.","non-dropping-particle":"","parse-names":false,"suffix":""},{"dropping-particle":"","family":"Vasander","given":"H.","non-dropping-particle":"","parse-names":false,"suffix":""}],"container-title":"Soil Biology and Biochemistry","id":"ITEM-1","issued":{"date-parts":[["2018"]]},"page":"229-241","title":"Deforested and drained tropical peatland sites show poorer peat substrate quality and lower microbial biomass and activity than unmanaged swamp forest","type":"article-journal","volume":"123"},"uris":["http://www.mendeley.com/documents/?uuid=0db9bd2c-2c7d-326f-919a-160485fb1dd9"]}],"mendeley":{"formattedCitation":"(Könönen &lt;i&gt;et al&lt;/i&gt; 2018)","manualFormatting":"Könönen et al 2018","plainTextFormattedCitation":"(Könönen et al 2018)","previouslyFormattedCitation":"(Könönen &lt;i&gt;et al&lt;/i&gt; 2018)"},"properties":{"noteIndex":0},"schema":"https://github.com/citation-style-language/schema/raw/master/csl-citation.json"}</w:instrText>
            </w:r>
            <w:r>
              <w:rPr>
                <w:sz w:val="18"/>
              </w:rPr>
              <w:fldChar w:fldCharType="separate"/>
            </w:r>
            <w:r w:rsidR="00C723F0" w:rsidRPr="00C723F0">
              <w:rPr>
                <w:noProof/>
                <w:sz w:val="18"/>
              </w:rPr>
              <w:t xml:space="preserve">Könönen </w:t>
            </w:r>
            <w:r w:rsidR="00C723F0" w:rsidRPr="00C723F0">
              <w:rPr>
                <w:i/>
                <w:noProof/>
                <w:sz w:val="18"/>
              </w:rPr>
              <w:t>et al</w:t>
            </w:r>
            <w:r w:rsidR="00C723F0" w:rsidRPr="00C723F0">
              <w:rPr>
                <w:noProof/>
                <w:sz w:val="18"/>
              </w:rPr>
              <w:t xml:space="preserve"> 2018</w:t>
            </w:r>
            <w:r>
              <w:rPr>
                <w:sz w:val="18"/>
              </w:rPr>
              <w:fldChar w:fldCharType="end"/>
            </w:r>
          </w:p>
        </w:tc>
        <w:tc>
          <w:tcPr>
            <w:tcW w:w="1257" w:type="dxa"/>
            <w:noWrap/>
            <w:hideMark/>
          </w:tcPr>
          <w:p w14:paraId="5B7B3AFA" w14:textId="77777777" w:rsidR="00FD1A66" w:rsidRDefault="00FD1A66" w:rsidP="00FD1A66">
            <w:pPr>
              <w:rPr>
                <w:sz w:val="18"/>
              </w:rPr>
            </w:pPr>
            <w:r>
              <w:rPr>
                <w:sz w:val="18"/>
              </w:rPr>
              <w:t>Smallholder</w:t>
            </w:r>
          </w:p>
          <w:p w14:paraId="2A8686E9" w14:textId="2192728C" w:rsidR="00895BC9" w:rsidRPr="00895BC9" w:rsidRDefault="00FD1A66" w:rsidP="00FD1A66">
            <w:pPr>
              <w:rPr>
                <w:sz w:val="18"/>
              </w:rPr>
            </w:pPr>
            <w:r>
              <w:rPr>
                <w:sz w:val="18"/>
              </w:rPr>
              <w:t>Plantation</w:t>
            </w:r>
          </w:p>
        </w:tc>
        <w:tc>
          <w:tcPr>
            <w:tcW w:w="539" w:type="dxa"/>
            <w:noWrap/>
            <w:hideMark/>
          </w:tcPr>
          <w:p w14:paraId="05F260A8" w14:textId="77777777" w:rsidR="00895BC9" w:rsidRPr="00895BC9" w:rsidRDefault="00895BC9">
            <w:pPr>
              <w:rPr>
                <w:sz w:val="18"/>
              </w:rPr>
            </w:pPr>
          </w:p>
        </w:tc>
        <w:tc>
          <w:tcPr>
            <w:tcW w:w="629" w:type="dxa"/>
            <w:noWrap/>
            <w:hideMark/>
          </w:tcPr>
          <w:p w14:paraId="3E72AF80" w14:textId="77777777" w:rsidR="00895BC9" w:rsidRPr="00895BC9" w:rsidRDefault="00895BC9">
            <w:pPr>
              <w:rPr>
                <w:sz w:val="18"/>
              </w:rPr>
            </w:pPr>
          </w:p>
        </w:tc>
        <w:tc>
          <w:tcPr>
            <w:tcW w:w="727" w:type="dxa"/>
            <w:noWrap/>
            <w:hideMark/>
          </w:tcPr>
          <w:p w14:paraId="50C38A41" w14:textId="77777777" w:rsidR="00895BC9" w:rsidRPr="00895BC9" w:rsidRDefault="00895BC9" w:rsidP="00895BC9">
            <w:pPr>
              <w:rPr>
                <w:sz w:val="18"/>
              </w:rPr>
            </w:pPr>
            <w:r w:rsidRPr="00895BC9">
              <w:rPr>
                <w:sz w:val="18"/>
              </w:rPr>
              <w:t>0.34</w:t>
            </w:r>
          </w:p>
        </w:tc>
        <w:tc>
          <w:tcPr>
            <w:tcW w:w="1350" w:type="dxa"/>
            <w:noWrap/>
            <w:hideMark/>
          </w:tcPr>
          <w:p w14:paraId="0B4B701D" w14:textId="792511D4" w:rsidR="00895BC9" w:rsidRPr="00895BC9" w:rsidRDefault="00482DEA">
            <w:pPr>
              <w:rPr>
                <w:sz w:val="18"/>
              </w:rPr>
            </w:pPr>
            <w:r>
              <w:rPr>
                <w:sz w:val="18"/>
              </w:rPr>
              <w:t>Sabangau, Central Kalimantan</w:t>
            </w:r>
          </w:p>
        </w:tc>
        <w:tc>
          <w:tcPr>
            <w:tcW w:w="900" w:type="dxa"/>
            <w:noWrap/>
            <w:hideMark/>
          </w:tcPr>
          <w:p w14:paraId="6818CE24" w14:textId="7D67AD73" w:rsidR="00895BC9" w:rsidRPr="00895BC9" w:rsidRDefault="00895BC9">
            <w:pPr>
              <w:rPr>
                <w:sz w:val="18"/>
              </w:rPr>
            </w:pPr>
            <w:r>
              <w:rPr>
                <w:sz w:val="18"/>
              </w:rPr>
              <w:t>Y</w:t>
            </w:r>
            <w:r w:rsidRPr="00895BC9">
              <w:rPr>
                <w:sz w:val="18"/>
              </w:rPr>
              <w:t>es</w:t>
            </w:r>
          </w:p>
        </w:tc>
        <w:tc>
          <w:tcPr>
            <w:tcW w:w="720" w:type="dxa"/>
            <w:noWrap/>
            <w:hideMark/>
          </w:tcPr>
          <w:p w14:paraId="1AA93178" w14:textId="77777777" w:rsidR="00895BC9" w:rsidRPr="00895BC9" w:rsidRDefault="00895BC9">
            <w:pPr>
              <w:rPr>
                <w:sz w:val="18"/>
              </w:rPr>
            </w:pPr>
            <w:r w:rsidRPr="00895BC9">
              <w:rPr>
                <w:sz w:val="18"/>
              </w:rPr>
              <w:t>0-5</w:t>
            </w:r>
          </w:p>
        </w:tc>
        <w:tc>
          <w:tcPr>
            <w:tcW w:w="1975" w:type="dxa"/>
            <w:noWrap/>
            <w:hideMark/>
          </w:tcPr>
          <w:p w14:paraId="67DB7BC5" w14:textId="77777777" w:rsidR="00895BC9" w:rsidRPr="00895BC9" w:rsidRDefault="00895BC9">
            <w:pPr>
              <w:rPr>
                <w:sz w:val="18"/>
              </w:rPr>
            </w:pPr>
          </w:p>
        </w:tc>
      </w:tr>
      <w:tr w:rsidR="00FA243D" w:rsidRPr="00895BC9" w14:paraId="4B00BBDD" w14:textId="77777777" w:rsidTr="4878CDF3">
        <w:trPr>
          <w:trHeight w:val="288"/>
        </w:trPr>
        <w:tc>
          <w:tcPr>
            <w:tcW w:w="1253" w:type="dxa"/>
            <w:noWrap/>
            <w:hideMark/>
          </w:tcPr>
          <w:p w14:paraId="1E169972" w14:textId="27DF1C1C" w:rsidR="00895BC9" w:rsidRPr="00895BC9" w:rsidRDefault="00FA243D" w:rsidP="001F209E">
            <w:pPr>
              <w:rPr>
                <w:sz w:val="18"/>
              </w:rPr>
            </w:pPr>
            <w:r>
              <w:rPr>
                <w:sz w:val="18"/>
              </w:rPr>
              <w:fldChar w:fldCharType="begin" w:fldLock="1"/>
            </w:r>
            <w:r w:rsidR="001F209E">
              <w:rPr>
                <w:sz w:val="18"/>
              </w:rPr>
              <w:instrText>ADDIN CSL_CITATION {"citationItems":[{"id":"ITEM-1","itemData":{"DOI":"10.1111/gcb.14410","ISSN":"13541013","abstract":"Data on ecosystem-scale methane (CH4) fluxes in tropical peatlands are currently lacking in the global CH4 budget. Although the waterlogged Indonesian peatlands contain the largest share of peat carbon in South-East Asia, ecosystem-scale CH4 budgets have not yet been reported, although these peatlands have the potential to emit CH4. We observed 1-year variations in the ecosystem-scale CH4 flux in an undrained secondary peat swamp forest in central Kalimantan, Indonesia, using the eddy covariance method. We found that the peat swamp forest switched from being a CH4 sink during the dry season (as low as −8.9 mg C m−2 day−1) to a source of CH4 during the wet season (up to 10.7 mg C m−2 day−1), and this was dependent on changes in the groundwater level (GWL). The high GWL during the wet season enhanced the anaerobic CH4 production in the surface layer that had more labile organic matter. However, the CH4 emission also increased when the GWL dropped during dry spells in the wet season. The annual CH4 budget in the studied tropical peat swamp forest (0.09–0.17 g C m−2 year−1) was much lower than that in northern, temperate, and subtropical wetlands. We found that CH4 fluxes had almost no effect on the global warming gas budget of the peat swamp forest, and values were only a few percent less than the CO2 fluxes at the same site. In addition, we conducted anaerobic soil incubation experiments to examine the effect of land-use change on CH4 production. The results indicated much higher CH4 production potential in undrained forest soil than in drained or drained and burned ex-forest soils. However, although CH4 production decreased in drained soils relative to undrained soils, conserving pristine peat swamp forests with high GWLs is important to suppress global warming because CO2 emissions increase in drained peatlands.","author":[{"dropping-particle":"","family":"Sakabe","given":"Ayaka","non-dropping-particle":"","parse-names":false,"suffix":""},{"dropping-particle":"","family":"Itoh","given":"Masayuki","non-dropping-particle":"","parse-names":false,"suffix":""},{"dropping-particle":"","family":"Hirano","given":"Takashi","non-dropping-particle":"","parse-names":false,"suffix":""},{"dropping-particle":"","family":"Kusin","given":"Kitso","non-dropping-particle":"","parse-names":false,"suffix":""}],"container-title":"Global Change Biology","id":"ITEM-1","issue":"11","issued":{"date-parts":[["2018","11","1"]]},"page":"5123-5136","publisher":"Blackwell Publishing Ltd","title":"Ecosystem-scale methane flux in tropical peat swamp forest in Indonesia","type":"article-journal","volume":"24"},"uris":["http://www.mendeley.com/documents/?uuid=4b7a63bb-48a9-3ffb-8629-fe800425f1e2"]}],"mendeley":{"formattedCitation":"(Sakabe &lt;i&gt;et al&lt;/i&gt; 2018)","manualFormatting":"Sakabe et al 2018","plainTextFormattedCitation":"(Sakabe et al 2018)","previouslyFormattedCitation":"(Sakabe &lt;i&gt;et al&lt;/i&gt; 2018)"},"properties":{"noteIndex":0},"schema":"https://github.com/citation-style-language/schema/raw/master/csl-citation.json"}</w:instrText>
            </w:r>
            <w:r>
              <w:rPr>
                <w:sz w:val="18"/>
              </w:rPr>
              <w:fldChar w:fldCharType="separate"/>
            </w:r>
            <w:r w:rsidR="00C723F0" w:rsidRPr="00C723F0">
              <w:rPr>
                <w:noProof/>
                <w:sz w:val="18"/>
              </w:rPr>
              <w:t xml:space="preserve">Sakabe </w:t>
            </w:r>
            <w:r w:rsidR="00C723F0" w:rsidRPr="00C723F0">
              <w:rPr>
                <w:i/>
                <w:noProof/>
                <w:sz w:val="18"/>
              </w:rPr>
              <w:t>et al</w:t>
            </w:r>
            <w:r w:rsidR="00C723F0" w:rsidRPr="00C723F0">
              <w:rPr>
                <w:noProof/>
                <w:sz w:val="18"/>
              </w:rPr>
              <w:t xml:space="preserve"> 2018</w:t>
            </w:r>
            <w:r>
              <w:rPr>
                <w:sz w:val="18"/>
              </w:rPr>
              <w:fldChar w:fldCharType="end"/>
            </w:r>
          </w:p>
        </w:tc>
        <w:tc>
          <w:tcPr>
            <w:tcW w:w="1257" w:type="dxa"/>
            <w:noWrap/>
            <w:hideMark/>
          </w:tcPr>
          <w:p w14:paraId="64097724" w14:textId="4DFA78E4" w:rsidR="00895BC9" w:rsidRPr="00895BC9" w:rsidRDefault="00FD1A66">
            <w:pPr>
              <w:rPr>
                <w:sz w:val="18"/>
              </w:rPr>
            </w:pPr>
            <w:r>
              <w:rPr>
                <w:sz w:val="18"/>
              </w:rPr>
              <w:t>Pristine Forest</w:t>
            </w:r>
          </w:p>
        </w:tc>
        <w:tc>
          <w:tcPr>
            <w:tcW w:w="539" w:type="dxa"/>
            <w:noWrap/>
            <w:hideMark/>
          </w:tcPr>
          <w:p w14:paraId="5A2C79EA" w14:textId="77777777" w:rsidR="00895BC9" w:rsidRPr="00895BC9" w:rsidRDefault="00895BC9" w:rsidP="00895BC9">
            <w:pPr>
              <w:rPr>
                <w:sz w:val="18"/>
              </w:rPr>
            </w:pPr>
            <w:r w:rsidRPr="00895BC9">
              <w:rPr>
                <w:sz w:val="18"/>
              </w:rPr>
              <w:t>0.06</w:t>
            </w:r>
          </w:p>
        </w:tc>
        <w:tc>
          <w:tcPr>
            <w:tcW w:w="629" w:type="dxa"/>
            <w:noWrap/>
            <w:hideMark/>
          </w:tcPr>
          <w:p w14:paraId="774DFE0A" w14:textId="77777777" w:rsidR="00895BC9" w:rsidRPr="00895BC9" w:rsidRDefault="00895BC9" w:rsidP="00895BC9">
            <w:pPr>
              <w:rPr>
                <w:sz w:val="18"/>
              </w:rPr>
            </w:pPr>
            <w:r w:rsidRPr="00895BC9">
              <w:rPr>
                <w:sz w:val="18"/>
              </w:rPr>
              <w:t>0.54</w:t>
            </w:r>
          </w:p>
        </w:tc>
        <w:tc>
          <w:tcPr>
            <w:tcW w:w="727" w:type="dxa"/>
            <w:noWrap/>
            <w:hideMark/>
          </w:tcPr>
          <w:p w14:paraId="0617C564" w14:textId="77777777" w:rsidR="00895BC9" w:rsidRPr="00895BC9" w:rsidRDefault="00895BC9" w:rsidP="00895BC9">
            <w:pPr>
              <w:rPr>
                <w:sz w:val="18"/>
              </w:rPr>
            </w:pPr>
            <w:r w:rsidRPr="00895BC9">
              <w:rPr>
                <w:sz w:val="18"/>
              </w:rPr>
              <w:t>0.31</w:t>
            </w:r>
          </w:p>
        </w:tc>
        <w:tc>
          <w:tcPr>
            <w:tcW w:w="1350" w:type="dxa"/>
            <w:noWrap/>
            <w:hideMark/>
          </w:tcPr>
          <w:p w14:paraId="5E94446C" w14:textId="05C1FD28" w:rsidR="00895BC9" w:rsidRPr="00895BC9" w:rsidRDefault="00895BC9">
            <w:pPr>
              <w:rPr>
                <w:sz w:val="18"/>
              </w:rPr>
            </w:pPr>
            <w:r w:rsidRPr="00895BC9">
              <w:rPr>
                <w:sz w:val="18"/>
              </w:rPr>
              <w:t>Palangkaray</w:t>
            </w:r>
            <w:r w:rsidR="00482DEA">
              <w:rPr>
                <w:sz w:val="18"/>
              </w:rPr>
              <w:t>a, Central Kalimantan</w:t>
            </w:r>
          </w:p>
        </w:tc>
        <w:tc>
          <w:tcPr>
            <w:tcW w:w="900" w:type="dxa"/>
            <w:noWrap/>
            <w:hideMark/>
          </w:tcPr>
          <w:p w14:paraId="7911D173" w14:textId="1377574D" w:rsidR="00895BC9" w:rsidRPr="00895BC9" w:rsidRDefault="00895BC9">
            <w:pPr>
              <w:rPr>
                <w:sz w:val="18"/>
              </w:rPr>
            </w:pPr>
            <w:r>
              <w:rPr>
                <w:sz w:val="18"/>
              </w:rPr>
              <w:t>Y</w:t>
            </w:r>
            <w:r w:rsidRPr="00895BC9">
              <w:rPr>
                <w:sz w:val="18"/>
              </w:rPr>
              <w:t>es</w:t>
            </w:r>
          </w:p>
        </w:tc>
        <w:tc>
          <w:tcPr>
            <w:tcW w:w="720" w:type="dxa"/>
            <w:noWrap/>
            <w:hideMark/>
          </w:tcPr>
          <w:p w14:paraId="3B9D3066" w14:textId="77777777" w:rsidR="00895BC9" w:rsidRPr="00895BC9" w:rsidRDefault="00895BC9">
            <w:pPr>
              <w:rPr>
                <w:sz w:val="18"/>
              </w:rPr>
            </w:pPr>
            <w:r w:rsidRPr="00895BC9">
              <w:rPr>
                <w:sz w:val="18"/>
              </w:rPr>
              <w:t>0-20</w:t>
            </w:r>
          </w:p>
        </w:tc>
        <w:tc>
          <w:tcPr>
            <w:tcW w:w="1975" w:type="dxa"/>
            <w:noWrap/>
            <w:hideMark/>
          </w:tcPr>
          <w:p w14:paraId="18568A34" w14:textId="65D97317" w:rsidR="00895BC9" w:rsidRPr="00895BC9" w:rsidRDefault="001F209E" w:rsidP="001F209E">
            <w:pPr>
              <w:rPr>
                <w:sz w:val="18"/>
              </w:rPr>
            </w:pPr>
            <w:r>
              <w:rPr>
                <w:sz w:val="18"/>
              </w:rPr>
              <w:t>H</w:t>
            </w:r>
            <w:r w:rsidR="00895BC9" w:rsidRPr="00895BC9">
              <w:rPr>
                <w:sz w:val="18"/>
              </w:rPr>
              <w:t xml:space="preserve">ummock is low </w:t>
            </w:r>
            <w:proofErr w:type="gramStart"/>
            <w:r w:rsidR="00895BC9" w:rsidRPr="00895BC9">
              <w:rPr>
                <w:sz w:val="18"/>
              </w:rPr>
              <w:t>number,</w:t>
            </w:r>
            <w:proofErr w:type="gramEnd"/>
            <w:r w:rsidR="00895BC9" w:rsidRPr="00895BC9">
              <w:rPr>
                <w:sz w:val="18"/>
              </w:rPr>
              <w:t xml:space="preserve"> hollow is high number. Hollow cover</w:t>
            </w:r>
            <w:r>
              <w:rPr>
                <w:sz w:val="18"/>
              </w:rPr>
              <w:t>s</w:t>
            </w:r>
            <w:r w:rsidR="00895BC9" w:rsidRPr="00895BC9">
              <w:rPr>
                <w:sz w:val="18"/>
              </w:rPr>
              <w:t xml:space="preserve"> 65-80 % of area</w:t>
            </w:r>
          </w:p>
        </w:tc>
      </w:tr>
      <w:tr w:rsidR="00FA243D" w:rsidRPr="00895BC9" w14:paraId="6F726E5F" w14:textId="77777777" w:rsidTr="4878CDF3">
        <w:trPr>
          <w:trHeight w:val="288"/>
        </w:trPr>
        <w:tc>
          <w:tcPr>
            <w:tcW w:w="1253" w:type="dxa"/>
            <w:noWrap/>
            <w:hideMark/>
          </w:tcPr>
          <w:p w14:paraId="7633F85B" w14:textId="614F1A53" w:rsidR="00895BC9" w:rsidRPr="00895BC9" w:rsidRDefault="00FA243D" w:rsidP="001F209E">
            <w:pPr>
              <w:rPr>
                <w:sz w:val="18"/>
              </w:rPr>
            </w:pPr>
            <w:r>
              <w:rPr>
                <w:sz w:val="18"/>
              </w:rPr>
              <w:fldChar w:fldCharType="begin" w:fldLock="1"/>
            </w:r>
            <w:r w:rsidR="001F209E">
              <w:rPr>
                <w:sz w:val="18"/>
              </w:rPr>
              <w:instrText>ADDIN CSL_CITATION {"citationItems":[{"id":"ITEM-1","itemData":{"DOI":"10.1016/j.agrformet.2018.03.025","ISSN":"01681923","abstract":"Tropical peat swamp forest is a unique ecosystem, in which both swamp forest and peat soil have coexisted over millennia and accumulated a significant amount of soil carbon as peat. Owing to the huge soil carbon stock and high groundwater level (GWL), tropical peatlands potentially represent a significant source of methane (CH4) to the atmosphere. However, a few studies of CH4 flux by the soil chamber technique have reported that annual CH4 emissions from tropical peat swamp forest were very low as compared to mid- and high-latitude peatlands. Recently, it has been reported that some tree species growing in peat swamp forest emit CH4 from their stems. It is impossible to continuously measure ecosystem-scale CH4 flux including both soil and plant-mediated CH4 emissions by the chamber technique. Thus, we have measured net ecosystem CH4 exchange (FCH4) above a tropical peat swamp forest in Sarawak, Malaysia using the eddy covariance technique from February 2014 to July 2015 (18 months). The mean (±1 standard deviation) of half-hourly measured FCH4 was 24.0 ± 42.2 nmol m–2 s–1. Monthly mean FCH4 was always positive during the 18 months, even in the driest month with mean GWL of –30 cm. FCH4 was positively associated with GWL or soil moisture in a quadratic form. Annual FCH4 from March 2014 through February 2015 was 7.5–10.8 g C m–2 yr–1. The annual FCH4 was much higher than annual soil CH4 emissions from tropical peatlands, because the FCH4 included aboveground CH4 emissions mainly from tree stems. However, the annual FCH4 was relatively low in comparison with those measured by the eddy covariance technique in mid- and high-latitude peatlands.","author":[{"dropping-particle":"","family":"Wong","given":"Guan Xhuan","non-dropping-particle":"","parse-names":false,"suffix":""},{"dropping-particle":"","family":"Hirata","given":"Ryuichi","non-dropping-particle":"","parse-names":false,"suffix":""},{"dropping-particle":"","family":"Hirano","given":"Takashi","non-dropping-particle":"","parse-names":false,"suffix":""},{"dropping-particle":"","family":"Kiew","given":"Frankie","non-dropping-particle":"","parse-names":false,"suffix":""},{"dropping-particle":"","family":"Aeries","given":"Edward Baran","non-dropping-particle":"","parse-names":false,"suffix":""},{"dropping-particle":"","family":"Musin","given":"Kevin Kemudang","non-dropping-particle":"","parse-names":false,"suffix":""},{"dropping-particle":"","family":"Waili","given":"Joseph Wenceslaus","non-dropping-particle":"","parse-names":false,"suffix":""},{"dropping-particle":"","family":"Lo","given":"Kim San","non-dropping-particle":"","parse-names":false,"suffix":""},{"dropping-particle":"","family":"Melling","given":"Lulie","non-dropping-particle":"","parse-names":false,"suffix":""}],"container-title":"Agricultural and Forest Meteorology","id":"ITEM-1","issued":{"date-parts":[["2018","6","15"]]},"page":"353-361","publisher":"Elsevier B.V.","title":"Micrometeorological measurement of methane flux above a tropical peat swamp forest","type":"article-journal","volume":"256-257"},"uris":["http://www.mendeley.com/documents/?uuid=9d69c1d2-40e5-32d5-a735-f36eb4d18345"]}],"mendeley":{"formattedCitation":"(Wong &lt;i&gt;et al&lt;/i&gt; 2018)","manualFormatting":"Wong et al 2018","plainTextFormattedCitation":"(Wong et al 2018)","previouslyFormattedCitation":"(Wong &lt;i&gt;et al&lt;/i&gt; 2018)"},"properties":{"noteIndex":0},"schema":"https://github.com/citation-style-language/schema/raw/master/csl-citation.json"}</w:instrText>
            </w:r>
            <w:r>
              <w:rPr>
                <w:sz w:val="18"/>
              </w:rPr>
              <w:fldChar w:fldCharType="separate"/>
            </w:r>
            <w:r w:rsidR="00C723F0" w:rsidRPr="00C723F0">
              <w:rPr>
                <w:noProof/>
                <w:sz w:val="18"/>
              </w:rPr>
              <w:t xml:space="preserve">Wong </w:t>
            </w:r>
            <w:r w:rsidR="00C723F0" w:rsidRPr="00C723F0">
              <w:rPr>
                <w:i/>
                <w:noProof/>
                <w:sz w:val="18"/>
              </w:rPr>
              <w:t>et al</w:t>
            </w:r>
            <w:r w:rsidR="00C723F0" w:rsidRPr="00C723F0">
              <w:rPr>
                <w:noProof/>
                <w:sz w:val="18"/>
              </w:rPr>
              <w:t xml:space="preserve"> 2018</w:t>
            </w:r>
            <w:r>
              <w:rPr>
                <w:sz w:val="18"/>
              </w:rPr>
              <w:fldChar w:fldCharType="end"/>
            </w:r>
          </w:p>
        </w:tc>
        <w:tc>
          <w:tcPr>
            <w:tcW w:w="1257" w:type="dxa"/>
            <w:noWrap/>
            <w:hideMark/>
          </w:tcPr>
          <w:p w14:paraId="42CBAA8D" w14:textId="1F3CE70C" w:rsidR="00895BC9" w:rsidRPr="00895BC9" w:rsidRDefault="00FD1A66">
            <w:pPr>
              <w:rPr>
                <w:sz w:val="18"/>
              </w:rPr>
            </w:pPr>
            <w:r>
              <w:rPr>
                <w:sz w:val="18"/>
              </w:rPr>
              <w:t>Pristine Forest</w:t>
            </w:r>
          </w:p>
        </w:tc>
        <w:tc>
          <w:tcPr>
            <w:tcW w:w="539" w:type="dxa"/>
            <w:noWrap/>
            <w:hideMark/>
          </w:tcPr>
          <w:p w14:paraId="1A5AC7DB" w14:textId="77777777" w:rsidR="00895BC9" w:rsidRPr="00895BC9" w:rsidRDefault="00895BC9" w:rsidP="00895BC9">
            <w:pPr>
              <w:rPr>
                <w:sz w:val="18"/>
              </w:rPr>
            </w:pPr>
            <w:r w:rsidRPr="00895BC9">
              <w:rPr>
                <w:sz w:val="18"/>
              </w:rPr>
              <w:t>0.1</w:t>
            </w:r>
          </w:p>
        </w:tc>
        <w:tc>
          <w:tcPr>
            <w:tcW w:w="629" w:type="dxa"/>
            <w:noWrap/>
            <w:hideMark/>
          </w:tcPr>
          <w:p w14:paraId="27B1CDDD" w14:textId="77777777" w:rsidR="00895BC9" w:rsidRPr="00895BC9" w:rsidRDefault="00895BC9" w:rsidP="00895BC9">
            <w:pPr>
              <w:rPr>
                <w:sz w:val="18"/>
              </w:rPr>
            </w:pPr>
            <w:r w:rsidRPr="00895BC9">
              <w:rPr>
                <w:sz w:val="18"/>
              </w:rPr>
              <w:t>0.5</w:t>
            </w:r>
          </w:p>
        </w:tc>
        <w:tc>
          <w:tcPr>
            <w:tcW w:w="727" w:type="dxa"/>
            <w:noWrap/>
            <w:hideMark/>
          </w:tcPr>
          <w:p w14:paraId="6B335EB1" w14:textId="77777777" w:rsidR="00895BC9" w:rsidRPr="00895BC9" w:rsidRDefault="00895BC9" w:rsidP="00895BC9">
            <w:pPr>
              <w:rPr>
                <w:sz w:val="18"/>
              </w:rPr>
            </w:pPr>
            <w:r w:rsidRPr="00895BC9">
              <w:rPr>
                <w:sz w:val="18"/>
              </w:rPr>
              <w:t>0.4</w:t>
            </w:r>
          </w:p>
        </w:tc>
        <w:tc>
          <w:tcPr>
            <w:tcW w:w="1350" w:type="dxa"/>
            <w:noWrap/>
            <w:hideMark/>
          </w:tcPr>
          <w:p w14:paraId="0AF33DE6" w14:textId="020D0EFA" w:rsidR="00895BC9" w:rsidRPr="00895BC9" w:rsidRDefault="00FD1A66" w:rsidP="00895BC9">
            <w:pPr>
              <w:rPr>
                <w:sz w:val="18"/>
              </w:rPr>
            </w:pPr>
            <w:r>
              <w:rPr>
                <w:sz w:val="18"/>
              </w:rPr>
              <w:t>M</w:t>
            </w:r>
            <w:r w:rsidR="00895BC9">
              <w:rPr>
                <w:sz w:val="18"/>
              </w:rPr>
              <w:t>aludam N</w:t>
            </w:r>
            <w:r w:rsidR="00895BC9" w:rsidRPr="00895BC9">
              <w:rPr>
                <w:sz w:val="18"/>
              </w:rPr>
              <w:t xml:space="preserve">ational </w:t>
            </w:r>
            <w:r w:rsidR="00895BC9">
              <w:rPr>
                <w:sz w:val="18"/>
              </w:rPr>
              <w:t>P</w:t>
            </w:r>
            <w:r w:rsidR="00895BC9" w:rsidRPr="00895BC9">
              <w:rPr>
                <w:sz w:val="18"/>
              </w:rPr>
              <w:t>ark</w:t>
            </w:r>
            <w:r w:rsidR="00482DEA">
              <w:rPr>
                <w:sz w:val="18"/>
              </w:rPr>
              <w:t>, Sarawak</w:t>
            </w:r>
          </w:p>
        </w:tc>
        <w:tc>
          <w:tcPr>
            <w:tcW w:w="900" w:type="dxa"/>
            <w:noWrap/>
            <w:hideMark/>
          </w:tcPr>
          <w:p w14:paraId="309A5F59" w14:textId="36DB3557" w:rsidR="00895BC9" w:rsidRPr="00895BC9" w:rsidRDefault="009D2E78">
            <w:pPr>
              <w:rPr>
                <w:sz w:val="18"/>
              </w:rPr>
            </w:pPr>
            <w:r>
              <w:rPr>
                <w:sz w:val="18"/>
              </w:rPr>
              <w:t>M</w:t>
            </w:r>
            <w:r w:rsidR="00895BC9" w:rsidRPr="00895BC9">
              <w:rPr>
                <w:sz w:val="18"/>
              </w:rPr>
              <w:t>onthly</w:t>
            </w:r>
          </w:p>
        </w:tc>
        <w:tc>
          <w:tcPr>
            <w:tcW w:w="720" w:type="dxa"/>
            <w:noWrap/>
            <w:hideMark/>
          </w:tcPr>
          <w:p w14:paraId="2D48950D" w14:textId="77777777" w:rsidR="00895BC9" w:rsidRPr="00895BC9" w:rsidRDefault="00895BC9">
            <w:pPr>
              <w:rPr>
                <w:sz w:val="18"/>
              </w:rPr>
            </w:pPr>
            <w:r w:rsidRPr="00895BC9">
              <w:rPr>
                <w:sz w:val="18"/>
              </w:rPr>
              <w:t>0-30</w:t>
            </w:r>
          </w:p>
        </w:tc>
        <w:tc>
          <w:tcPr>
            <w:tcW w:w="1975" w:type="dxa"/>
            <w:noWrap/>
            <w:hideMark/>
          </w:tcPr>
          <w:p w14:paraId="548AE4A5" w14:textId="77777777" w:rsidR="00895BC9" w:rsidRPr="00895BC9" w:rsidRDefault="00895BC9">
            <w:pPr>
              <w:rPr>
                <w:sz w:val="18"/>
              </w:rPr>
            </w:pPr>
          </w:p>
        </w:tc>
      </w:tr>
      <w:tr w:rsidR="00FA243D" w:rsidRPr="00895BC9" w14:paraId="7A417847" w14:textId="77777777" w:rsidTr="4878CDF3">
        <w:trPr>
          <w:trHeight w:val="288"/>
        </w:trPr>
        <w:tc>
          <w:tcPr>
            <w:tcW w:w="1253" w:type="dxa"/>
            <w:noWrap/>
            <w:hideMark/>
          </w:tcPr>
          <w:p w14:paraId="140129F3" w14:textId="72B2E99B" w:rsidR="00895BC9" w:rsidRPr="00895BC9" w:rsidRDefault="00FA243D" w:rsidP="001F209E">
            <w:pPr>
              <w:rPr>
                <w:sz w:val="18"/>
              </w:rPr>
            </w:pPr>
            <w:r>
              <w:rPr>
                <w:sz w:val="18"/>
              </w:rPr>
              <w:fldChar w:fldCharType="begin" w:fldLock="1"/>
            </w:r>
            <w:r w:rsidR="001F209E">
              <w:rPr>
                <w:sz w:val="18"/>
              </w:rPr>
              <w:instrText>ADDIN CSL_CITATION {"citationItems":[{"id":"ITEM-1","itemData":{"DOI":"10.3389/ffgc.2019.00037","ISSN":"2624-893X","abstract":"Southeast Asian peatlands have undergone recent land use change with an increase in industrial agricultural plantations, including oil palm. Cultivating peat soil requires creating drainage ditches and other surface microforms (i.e. harvest paths, frond piles, cover plants and next to the palm). However, it is currently unclear how these management actions affect rates of carbon losses from the peat. Here we report carbon fluxes from each of the different surface microforms measured monthly (soil CO2 soil respiration, Rtot], stem CH4) and bimonthly (soil CH4, drain CO2 and drain CH4). We calculated annual carbon fluxes and partitioned heterotrophic (Rh) and root-rhizosphere respiration by sampling rhizosphere and root-free soil. Linear mixed effect models were used to determine which environmental factors best-predicted carbon fluxes, and to develop recommendations for management solutions that could reduce carbon losses. Carbon fluxes varied significantly between the different microforms; the greatest CO2 fluxes were measured next to the palm and the greatest CH4 fluxes were measured from the drainage ditches. Annual estimates of Rtot, Rh and drainage ditch CO2 were 22.08 ± 0.50, 17.75 ± 1.54 and 1.5 ± 0.10 Mg CO2-C ha-1 yr-1 respectively. Rh varied between the two plantations; Sebungan averaged 11.43 ± 1.37 Mg CO2-C ha-1 yr-1 and Sabaju averaged 24.08 ± 1.42 Mg CO2-C ha-1 yr-1. Net ecosystem CH4 fluxes averaged 61.02 ± 17.78 kg CH4-C ha-1 yr-1 – similar to unmanaged swamp forests. The two plantations did not vary in overall CH4 flux, but did vary in transport pathway. CH4 fluxes from the soil, drains and stems followed a ratio of 50:50:0 from Sabaju (water table depth WTD]: -0.49 ± 0.004 m) and 11:98:0 from Sebungan (WTD: -0.77 ± 0.007 m). Rh dominated the peat carbon losses. WTD controlled variation in Rh from Sebungan where the WTD was deeper. Air and soil temperature controlled variation in Sabaju, with greater fluxes from the harvest path, attributed to the absence of shade. These results suggest that shading the soil (e.g. through addition of frond piles) and raising the water table may be the most effective ways to reduce peat carbon loss from drained peat soils.","author":[{"dropping-particle":"","family":"Manning","given":"Frances Claire","non-dropping-particle":"","parse-names":false,"suffix":""},{"dropping-particle":"","family":"Kho","given":"Lip Khoon","non-dropping-particle":"","parse-names":false,"suffix":""},{"dropping-particle":"","family":"Hill","given":"Timothy Charles","non-dropping-particle":"","parse-names":false,"suffix":""},{"dropping-particle":"","family":"Cornulier","given":"Thomas","non-dropping-particle":"","parse-names":false,"suffix":""},{"dropping-particle":"","family":"Teh","given":"Yit Arn","non-dropping-particle":"","parse-names":false,"suffix":""}],"container-title":"Frontiers in Forests and Global Change","id":"ITEM-1","issue":"August","issued":{"date-parts":[["2019"]]},"title":"Carbon Emissions From Oil Palm Plantations on Peat Soil","type":"article-journal","volume":"2"},"uris":["http://www.mendeley.com/documents/?uuid=638c7324-5b3a-4be5-856e-439f103568a0"]}],"mendeley":{"formattedCitation":"(Manning &lt;i&gt;et al&lt;/i&gt; 2019)","manualFormatting":"Manning et al 2019","plainTextFormattedCitation":"(Manning et al 2019)","previouslyFormattedCitation":"(Manning &lt;i&gt;et al&lt;/i&gt; 2019)"},"properties":{"noteIndex":0},"schema":"https://github.com/citation-style-language/schema/raw/master/csl-citation.json"}</w:instrText>
            </w:r>
            <w:r>
              <w:rPr>
                <w:sz w:val="18"/>
              </w:rPr>
              <w:fldChar w:fldCharType="separate"/>
            </w:r>
            <w:r w:rsidR="00C723F0" w:rsidRPr="00C723F0">
              <w:rPr>
                <w:noProof/>
                <w:sz w:val="18"/>
              </w:rPr>
              <w:t xml:space="preserve">Manning </w:t>
            </w:r>
            <w:r w:rsidR="00C723F0" w:rsidRPr="00C723F0">
              <w:rPr>
                <w:i/>
                <w:noProof/>
                <w:sz w:val="18"/>
              </w:rPr>
              <w:t>et al</w:t>
            </w:r>
            <w:r w:rsidR="00C723F0" w:rsidRPr="00C723F0">
              <w:rPr>
                <w:noProof/>
                <w:sz w:val="18"/>
              </w:rPr>
              <w:t xml:space="preserve"> 2019</w:t>
            </w:r>
            <w:r>
              <w:rPr>
                <w:sz w:val="18"/>
              </w:rPr>
              <w:fldChar w:fldCharType="end"/>
            </w:r>
          </w:p>
        </w:tc>
        <w:tc>
          <w:tcPr>
            <w:tcW w:w="1257" w:type="dxa"/>
            <w:noWrap/>
            <w:hideMark/>
          </w:tcPr>
          <w:p w14:paraId="24248D06" w14:textId="77777777" w:rsidR="00FD1A66" w:rsidRDefault="00FD1A66" w:rsidP="00FD1A66">
            <w:pPr>
              <w:rPr>
                <w:sz w:val="18"/>
              </w:rPr>
            </w:pPr>
            <w:r>
              <w:rPr>
                <w:sz w:val="18"/>
              </w:rPr>
              <w:t>Industrial</w:t>
            </w:r>
          </w:p>
          <w:p w14:paraId="0BB31770" w14:textId="2942D415" w:rsidR="00895BC9" w:rsidRPr="00895BC9" w:rsidRDefault="00FD1A66" w:rsidP="00FD1A66">
            <w:pPr>
              <w:rPr>
                <w:sz w:val="18"/>
              </w:rPr>
            </w:pPr>
            <w:r>
              <w:rPr>
                <w:sz w:val="18"/>
              </w:rPr>
              <w:t>Plantation</w:t>
            </w:r>
          </w:p>
        </w:tc>
        <w:tc>
          <w:tcPr>
            <w:tcW w:w="539" w:type="dxa"/>
            <w:noWrap/>
            <w:hideMark/>
          </w:tcPr>
          <w:p w14:paraId="7096D417" w14:textId="77777777" w:rsidR="00895BC9" w:rsidRPr="00895BC9" w:rsidRDefault="00895BC9">
            <w:pPr>
              <w:rPr>
                <w:sz w:val="18"/>
              </w:rPr>
            </w:pPr>
          </w:p>
        </w:tc>
        <w:tc>
          <w:tcPr>
            <w:tcW w:w="629" w:type="dxa"/>
            <w:noWrap/>
            <w:hideMark/>
          </w:tcPr>
          <w:p w14:paraId="65535D3B" w14:textId="77777777" w:rsidR="00895BC9" w:rsidRPr="00895BC9" w:rsidRDefault="00895BC9">
            <w:pPr>
              <w:rPr>
                <w:sz w:val="18"/>
              </w:rPr>
            </w:pPr>
          </w:p>
        </w:tc>
        <w:tc>
          <w:tcPr>
            <w:tcW w:w="727" w:type="dxa"/>
            <w:noWrap/>
            <w:hideMark/>
          </w:tcPr>
          <w:p w14:paraId="4A2C8968" w14:textId="77777777" w:rsidR="00895BC9" w:rsidRPr="00895BC9" w:rsidRDefault="00895BC9" w:rsidP="00895BC9">
            <w:pPr>
              <w:rPr>
                <w:sz w:val="18"/>
              </w:rPr>
            </w:pPr>
            <w:r w:rsidRPr="00895BC9">
              <w:rPr>
                <w:sz w:val="18"/>
              </w:rPr>
              <w:t>0.32</w:t>
            </w:r>
          </w:p>
        </w:tc>
        <w:tc>
          <w:tcPr>
            <w:tcW w:w="1350" w:type="dxa"/>
            <w:noWrap/>
            <w:hideMark/>
          </w:tcPr>
          <w:p w14:paraId="04CFC9C1" w14:textId="77777777" w:rsidR="00895BC9" w:rsidRPr="00895BC9" w:rsidRDefault="00895BC9">
            <w:pPr>
              <w:rPr>
                <w:sz w:val="18"/>
              </w:rPr>
            </w:pPr>
            <w:r w:rsidRPr="00895BC9">
              <w:rPr>
                <w:sz w:val="18"/>
              </w:rPr>
              <w:t>Sarawak</w:t>
            </w:r>
          </w:p>
        </w:tc>
        <w:tc>
          <w:tcPr>
            <w:tcW w:w="900" w:type="dxa"/>
            <w:noWrap/>
            <w:hideMark/>
          </w:tcPr>
          <w:p w14:paraId="327B97ED" w14:textId="032CAF90" w:rsidR="00895BC9" w:rsidRPr="00895BC9" w:rsidRDefault="00895BC9">
            <w:pPr>
              <w:rPr>
                <w:sz w:val="18"/>
              </w:rPr>
            </w:pPr>
            <w:r>
              <w:rPr>
                <w:sz w:val="18"/>
              </w:rPr>
              <w:t>Y</w:t>
            </w:r>
            <w:r w:rsidRPr="00895BC9">
              <w:rPr>
                <w:sz w:val="18"/>
              </w:rPr>
              <w:t>es</w:t>
            </w:r>
          </w:p>
        </w:tc>
        <w:tc>
          <w:tcPr>
            <w:tcW w:w="720" w:type="dxa"/>
            <w:noWrap/>
            <w:hideMark/>
          </w:tcPr>
          <w:p w14:paraId="4A803C62" w14:textId="77777777" w:rsidR="00895BC9" w:rsidRPr="00895BC9" w:rsidRDefault="00895BC9">
            <w:pPr>
              <w:rPr>
                <w:sz w:val="18"/>
              </w:rPr>
            </w:pPr>
            <w:r w:rsidRPr="00895BC9">
              <w:rPr>
                <w:sz w:val="18"/>
              </w:rPr>
              <w:t>0-10</w:t>
            </w:r>
          </w:p>
        </w:tc>
        <w:tc>
          <w:tcPr>
            <w:tcW w:w="1975" w:type="dxa"/>
            <w:noWrap/>
            <w:hideMark/>
          </w:tcPr>
          <w:p w14:paraId="34995AE9" w14:textId="574139AA" w:rsidR="00895BC9" w:rsidRPr="00895BC9" w:rsidRDefault="001F209E">
            <w:pPr>
              <w:rPr>
                <w:sz w:val="18"/>
              </w:rPr>
            </w:pPr>
            <w:r>
              <w:rPr>
                <w:sz w:val="18"/>
              </w:rPr>
              <w:t>Highly variable</w:t>
            </w:r>
            <w:r w:rsidR="00895BC9" w:rsidRPr="00895BC9">
              <w:rPr>
                <w:sz w:val="18"/>
              </w:rPr>
              <w:t xml:space="preserve"> values depending on location (0.14-0.64</w:t>
            </w:r>
            <w:r>
              <w:rPr>
                <w:sz w:val="18"/>
              </w:rPr>
              <w:t xml:space="preserve"> cm</w:t>
            </w:r>
            <w:r w:rsidRPr="001F209E">
              <w:rPr>
                <w:sz w:val="18"/>
                <w:vertAlign w:val="superscript"/>
              </w:rPr>
              <w:t>3</w:t>
            </w:r>
            <w:r>
              <w:rPr>
                <w:sz w:val="18"/>
              </w:rPr>
              <w:t>/cm</w:t>
            </w:r>
            <w:r w:rsidRPr="001F209E">
              <w:rPr>
                <w:sz w:val="18"/>
                <w:vertAlign w:val="superscript"/>
              </w:rPr>
              <w:t>3</w:t>
            </w:r>
            <w:r w:rsidR="00895BC9" w:rsidRPr="00895BC9">
              <w:rPr>
                <w:sz w:val="18"/>
              </w:rPr>
              <w:t>)</w:t>
            </w:r>
          </w:p>
        </w:tc>
      </w:tr>
      <w:tr w:rsidR="00FA243D" w:rsidRPr="00895BC9" w14:paraId="3CAA82B5" w14:textId="77777777" w:rsidTr="4878CDF3">
        <w:trPr>
          <w:trHeight w:val="288"/>
        </w:trPr>
        <w:tc>
          <w:tcPr>
            <w:tcW w:w="1253" w:type="dxa"/>
            <w:noWrap/>
            <w:hideMark/>
          </w:tcPr>
          <w:p w14:paraId="3CB0419E" w14:textId="496D1E80" w:rsidR="00895BC9" w:rsidRPr="00895BC9" w:rsidRDefault="00FA243D" w:rsidP="001F74F2">
            <w:pPr>
              <w:rPr>
                <w:sz w:val="18"/>
              </w:rPr>
            </w:pPr>
            <w:r>
              <w:rPr>
                <w:sz w:val="18"/>
              </w:rPr>
              <w:fldChar w:fldCharType="begin" w:fldLock="1"/>
            </w:r>
            <w:r w:rsidR="001F74F2">
              <w:rPr>
                <w:sz w:val="18"/>
              </w:rPr>
              <w:instrText>ADDIN CSL_CITATION {"citationItems":[{"id":"ITEM-1","itemData":{"DOI":"10.1016/j.still.2018.10.021","ISSN":"01671987","abstract":"Expansion of oil palm (Elaeis guineensis Jacq.) plantations in tropical peatlands is always followed by a lowering groundwater level, which exposes peat to oxidic condition and releases large amounts of carbon dioxide (CO2) to atmosphere. This study is concerned with decomposition of organic matter in the soil profile of tropical peatland under oil palm plantation. For 2 years, CO2 fluxes were measured from the soil surface (CO2-efflux) and from the surface where peat was removed to the depths of 10, 30 and 50 cm (CO2 efflux potential/CO2-EP). CO2-EP is a potential estimation of organic matter decomposition from subsoil. Groundwater level, soil moisture and soil temperature were measured as soil environmental factors. The annual CO2 efflux was 139 mg m–2 h–1 while CO2-EP increased with depth which were 1032, 1209, 2304 mg m–2 h–1 from 10, 30, 50 cm depths, respectively. CO2 efflux did not significantly correlated with soil environmental factors. CO2-EP had a significant negative correlation with groundwater level and soil moisture at depths of 30 cm and 50 cm. There are significant correlations among CO2 released from 0, 10, 30, and 50 cm depths. These results indicated that the formation of CO2 in the deeper peat contributes greatly to the emission of CO2, and that keeping the groundwater level at a high level will greatly contribute to the suppression of CO2 emissions from peatland. The subsoil of cultivated peatland is considered to be vulnerable, and its exploitation should be avoided.","author":[{"dropping-particle":"","family":"Marwanto","given":"Setiari","non-dropping-particle":"","parse-names":false,"suffix":""},{"dropping-particle":"","family":"Sabiham","given":"Supiandi","non-dropping-particle":"","parse-names":false,"suffix":""},{"dropping-particle":"","family":"Funakawa","given":"Shinya","non-dropping-particle":"","parse-names":false,"suffix":""}],"container-title":"Soil and Tillage Research","id":"ITEM-1","issue":"November 2018","issued":{"date-parts":[["2019"]]},"page":"206-213","publisher":"Elsevier","title":"Importance of CO2 production in subsoil layers of drained tropical peatland under mature oil palm plantation","type":"article-journal","volume":"186"},"uris":["http://www.mendeley.com/documents/?uuid=b4a4ef05-344b-425e-a047-05109e15a7e0"]}],"mendeley":{"formattedCitation":"(Marwanto &lt;i&gt;et al&lt;/i&gt; 2019)","manualFormatting":"Marwanto et al 2019","plainTextFormattedCitation":"(Marwanto et al 2019)","previouslyFormattedCitation":"(Marwanto &lt;i&gt;et al&lt;/i&gt; 2019)"},"properties":{"noteIndex":0},"schema":"https://github.com/citation-style-language/schema/raw/master/csl-citation.json"}</w:instrText>
            </w:r>
            <w:r>
              <w:rPr>
                <w:sz w:val="18"/>
              </w:rPr>
              <w:fldChar w:fldCharType="separate"/>
            </w:r>
            <w:r w:rsidR="00C723F0" w:rsidRPr="00C723F0">
              <w:rPr>
                <w:noProof/>
                <w:sz w:val="18"/>
              </w:rPr>
              <w:t xml:space="preserve">Marwanto </w:t>
            </w:r>
            <w:r w:rsidR="00C723F0" w:rsidRPr="00C723F0">
              <w:rPr>
                <w:i/>
                <w:noProof/>
                <w:sz w:val="18"/>
              </w:rPr>
              <w:t>et al</w:t>
            </w:r>
            <w:r w:rsidR="00C723F0" w:rsidRPr="00C723F0">
              <w:rPr>
                <w:noProof/>
                <w:sz w:val="18"/>
              </w:rPr>
              <w:t xml:space="preserve"> 2019</w:t>
            </w:r>
            <w:r>
              <w:rPr>
                <w:sz w:val="18"/>
              </w:rPr>
              <w:fldChar w:fldCharType="end"/>
            </w:r>
          </w:p>
        </w:tc>
        <w:tc>
          <w:tcPr>
            <w:tcW w:w="1257" w:type="dxa"/>
            <w:noWrap/>
            <w:hideMark/>
          </w:tcPr>
          <w:p w14:paraId="51F496DD" w14:textId="77777777" w:rsidR="00FD1A66" w:rsidRDefault="00FD1A66" w:rsidP="00FD1A66">
            <w:pPr>
              <w:rPr>
                <w:sz w:val="18"/>
              </w:rPr>
            </w:pPr>
            <w:r>
              <w:rPr>
                <w:sz w:val="18"/>
              </w:rPr>
              <w:t>Industrial</w:t>
            </w:r>
          </w:p>
          <w:p w14:paraId="50D20DC2" w14:textId="2F4C7C6B" w:rsidR="00895BC9" w:rsidRPr="00895BC9" w:rsidRDefault="00FD1A66" w:rsidP="00FD1A66">
            <w:pPr>
              <w:rPr>
                <w:sz w:val="18"/>
              </w:rPr>
            </w:pPr>
            <w:r>
              <w:rPr>
                <w:sz w:val="18"/>
              </w:rPr>
              <w:t>Plantation</w:t>
            </w:r>
          </w:p>
        </w:tc>
        <w:tc>
          <w:tcPr>
            <w:tcW w:w="539" w:type="dxa"/>
            <w:noWrap/>
            <w:hideMark/>
          </w:tcPr>
          <w:p w14:paraId="2566B0A2" w14:textId="77777777" w:rsidR="00895BC9" w:rsidRPr="00895BC9" w:rsidRDefault="00895BC9" w:rsidP="00895BC9">
            <w:pPr>
              <w:rPr>
                <w:sz w:val="18"/>
              </w:rPr>
            </w:pPr>
            <w:r w:rsidRPr="00895BC9">
              <w:rPr>
                <w:sz w:val="18"/>
              </w:rPr>
              <w:t>0.5</w:t>
            </w:r>
          </w:p>
        </w:tc>
        <w:tc>
          <w:tcPr>
            <w:tcW w:w="629" w:type="dxa"/>
            <w:noWrap/>
            <w:hideMark/>
          </w:tcPr>
          <w:p w14:paraId="6F92F291" w14:textId="77777777" w:rsidR="00895BC9" w:rsidRPr="00895BC9" w:rsidRDefault="00895BC9" w:rsidP="00895BC9">
            <w:pPr>
              <w:rPr>
                <w:sz w:val="18"/>
              </w:rPr>
            </w:pPr>
            <w:r w:rsidRPr="00895BC9">
              <w:rPr>
                <w:sz w:val="18"/>
              </w:rPr>
              <w:t>0.75</w:t>
            </w:r>
          </w:p>
        </w:tc>
        <w:tc>
          <w:tcPr>
            <w:tcW w:w="727" w:type="dxa"/>
            <w:noWrap/>
            <w:hideMark/>
          </w:tcPr>
          <w:p w14:paraId="73709BF5" w14:textId="77777777" w:rsidR="00895BC9" w:rsidRPr="00895BC9" w:rsidRDefault="00895BC9" w:rsidP="00895BC9">
            <w:pPr>
              <w:rPr>
                <w:sz w:val="18"/>
              </w:rPr>
            </w:pPr>
            <w:r w:rsidRPr="00895BC9">
              <w:rPr>
                <w:sz w:val="18"/>
              </w:rPr>
              <w:t>0.61</w:t>
            </w:r>
          </w:p>
        </w:tc>
        <w:tc>
          <w:tcPr>
            <w:tcW w:w="1350" w:type="dxa"/>
            <w:noWrap/>
            <w:hideMark/>
          </w:tcPr>
          <w:p w14:paraId="4923E59F" w14:textId="77777777" w:rsidR="00895BC9" w:rsidRPr="00895BC9" w:rsidRDefault="00895BC9">
            <w:pPr>
              <w:rPr>
                <w:sz w:val="18"/>
              </w:rPr>
            </w:pPr>
            <w:r w:rsidRPr="00895BC9">
              <w:rPr>
                <w:sz w:val="18"/>
              </w:rPr>
              <w:t>Riau</w:t>
            </w:r>
          </w:p>
        </w:tc>
        <w:tc>
          <w:tcPr>
            <w:tcW w:w="900" w:type="dxa"/>
            <w:noWrap/>
            <w:hideMark/>
          </w:tcPr>
          <w:p w14:paraId="012CD3BE" w14:textId="1E3AE13B" w:rsidR="00895BC9" w:rsidRPr="00895BC9" w:rsidRDefault="00895BC9">
            <w:pPr>
              <w:rPr>
                <w:sz w:val="18"/>
              </w:rPr>
            </w:pPr>
            <w:r>
              <w:rPr>
                <w:sz w:val="18"/>
              </w:rPr>
              <w:t>N</w:t>
            </w:r>
            <w:r w:rsidRPr="00895BC9">
              <w:rPr>
                <w:sz w:val="18"/>
              </w:rPr>
              <w:t>o</w:t>
            </w:r>
          </w:p>
        </w:tc>
        <w:tc>
          <w:tcPr>
            <w:tcW w:w="720" w:type="dxa"/>
            <w:noWrap/>
            <w:hideMark/>
          </w:tcPr>
          <w:p w14:paraId="2FC3BE5F" w14:textId="77777777" w:rsidR="00895BC9" w:rsidRPr="00895BC9" w:rsidRDefault="00895BC9">
            <w:pPr>
              <w:rPr>
                <w:sz w:val="18"/>
              </w:rPr>
            </w:pPr>
            <w:r w:rsidRPr="00895BC9">
              <w:rPr>
                <w:sz w:val="18"/>
              </w:rPr>
              <w:t>0-10</w:t>
            </w:r>
          </w:p>
        </w:tc>
        <w:tc>
          <w:tcPr>
            <w:tcW w:w="1975" w:type="dxa"/>
            <w:noWrap/>
            <w:hideMark/>
          </w:tcPr>
          <w:p w14:paraId="036B0BA6" w14:textId="77777777" w:rsidR="00895BC9" w:rsidRPr="00895BC9" w:rsidRDefault="00895BC9">
            <w:pPr>
              <w:rPr>
                <w:sz w:val="18"/>
              </w:rPr>
            </w:pPr>
          </w:p>
        </w:tc>
      </w:tr>
      <w:tr w:rsidR="00FA243D" w:rsidRPr="00895BC9" w14:paraId="13406998" w14:textId="77777777" w:rsidTr="4878CDF3">
        <w:trPr>
          <w:trHeight w:val="288"/>
        </w:trPr>
        <w:tc>
          <w:tcPr>
            <w:tcW w:w="1253" w:type="dxa"/>
            <w:noWrap/>
            <w:hideMark/>
          </w:tcPr>
          <w:p w14:paraId="74654011" w14:textId="053CF955" w:rsidR="00895BC9" w:rsidRPr="00895BC9" w:rsidRDefault="00FA243D" w:rsidP="001F74F2">
            <w:pPr>
              <w:rPr>
                <w:sz w:val="18"/>
              </w:rPr>
            </w:pPr>
            <w:r>
              <w:rPr>
                <w:sz w:val="18"/>
              </w:rPr>
              <w:fldChar w:fldCharType="begin" w:fldLock="1"/>
            </w:r>
            <w:r w:rsidR="001F74F2">
              <w:rPr>
                <w:sz w:val="18"/>
              </w:rPr>
              <w:instrText>ADDIN CSL_CITATION {"citationItems":[{"id":"ITEM-1","itemData":{"DOI":"10.1007/s10533-018-0519-x","ISBN":"0123456789","ISSN":"1573515X","abstract":"To accurately quantify tropical peatlands’ contribution to global greenhouse gas emissions, and to understand how emissions from peat may change in the future, long-term measurements over seasons and years are needed. Sampling soil respiration over a range of temperature and moisture conditions in the field is valuable for understanding how peat soil emissions may respond to climate change. We collected monthly measurements of total soil respiration, moisture and temperature from forest and smallholder oil palm plantations on peat in Central Kalimantan, Indonesia. Our study period, from January 2014 through September 2015, covered wet–dry transitions during 1 year with relatively normal precipitation and one El Niño year. Oil palm plots, with lower water table, had 22% higher total soil respiration (0.71 ± 0.04 g CO 2  m −2  h −1 ) than forest plots (0.58 ± 0.04 g CO 2  m −2  h −1 ) over the entire monitoring period. However, during the El Niño event in September 2015, despite overall lower water table levels in oil palm plots, total soil respiration was higher in forest (1.24 ± 0.20 g CO 2  m −2  h −1 ) than in oil palm (0.90 ± 0.09 g CO 2  m −2  h −1 ). Land-use change continues to be an important driver of carbon dioxide (CO 2 ) emissions from Indonesian peatlands. However, the stronger response of total soil respiration to extreme drought in forest indicates the potential importance of climate regime in determining future net carbon (C) emissions from these ecosystems. Future warming and increased intensity of seasonal drying may increase C emissions from Indonesian peatlands, regardless of land-use.","author":[{"dropping-particle":"","family":"Swails","given":"E.","non-dropping-particle":"","parse-names":false,"suffix":""},{"dropping-particle":"","family":"Hertanti","given":"D.","non-dropping-particle":"","parse-names":false,"suffix":""},{"dropping-particle":"","family":"Hergoualc’h","given":"K.","non-dropping-particle":"","parse-names":false,"suffix":""},{"dropping-particle":"","family":"Verchot","given":"L.","non-dropping-particle":"","parse-names":false,"suffix":""},{"dropping-particle":"","family":"Lawrence","given":"D.","non-dropping-particle":"","parse-names":false,"suffix":""}],"container-title":"Biogeochemistry","id":"ITEM-1","issue":"1","issued":{"date-parts":[["2019"]]},"page":"37-51","publisher":"Springer International Publishing","title":"The response of soil respiration to climatic drivers in undrained forest and drained oil palm plantations in an Indonesian peatland","type":"article-journal","volume":"142"},"uris":["http://www.mendeley.com/documents/?uuid=c479d0de-eb02-4c47-8987-61755e800b21"]}],"mendeley":{"formattedCitation":"(Swails &lt;i&gt;et al&lt;/i&gt; 2019)","manualFormatting":"Swails et al 2019","plainTextFormattedCitation":"(Swails et al 2019)","previouslyFormattedCitation":"(Swails &lt;i&gt;et al&lt;/i&gt; 2019)"},"properties":{"noteIndex":0},"schema":"https://github.com/citation-style-language/schema/raw/master/csl-citation.json"}</w:instrText>
            </w:r>
            <w:r>
              <w:rPr>
                <w:sz w:val="18"/>
              </w:rPr>
              <w:fldChar w:fldCharType="separate"/>
            </w:r>
            <w:r w:rsidR="00C723F0" w:rsidRPr="00C723F0">
              <w:rPr>
                <w:noProof/>
                <w:sz w:val="18"/>
              </w:rPr>
              <w:t xml:space="preserve">Swails </w:t>
            </w:r>
            <w:r w:rsidR="00C723F0" w:rsidRPr="00C723F0">
              <w:rPr>
                <w:i/>
                <w:noProof/>
                <w:sz w:val="18"/>
              </w:rPr>
              <w:t>et al</w:t>
            </w:r>
            <w:r w:rsidR="00C723F0" w:rsidRPr="00C723F0">
              <w:rPr>
                <w:noProof/>
                <w:sz w:val="18"/>
              </w:rPr>
              <w:t xml:space="preserve"> 2019</w:t>
            </w:r>
            <w:r>
              <w:rPr>
                <w:sz w:val="18"/>
              </w:rPr>
              <w:fldChar w:fldCharType="end"/>
            </w:r>
          </w:p>
        </w:tc>
        <w:tc>
          <w:tcPr>
            <w:tcW w:w="1257" w:type="dxa"/>
            <w:noWrap/>
            <w:hideMark/>
          </w:tcPr>
          <w:p w14:paraId="6D109367" w14:textId="77777777" w:rsidR="00FD1A66" w:rsidRDefault="00FD1A66" w:rsidP="00FD1A66">
            <w:pPr>
              <w:rPr>
                <w:sz w:val="18"/>
              </w:rPr>
            </w:pPr>
            <w:r>
              <w:rPr>
                <w:sz w:val="18"/>
              </w:rPr>
              <w:t>Smallholder</w:t>
            </w:r>
          </w:p>
          <w:p w14:paraId="6B57BA51" w14:textId="2FF3C769" w:rsidR="00895BC9" w:rsidRPr="00895BC9" w:rsidRDefault="00FD1A66" w:rsidP="00FD1A66">
            <w:pPr>
              <w:rPr>
                <w:sz w:val="18"/>
              </w:rPr>
            </w:pPr>
            <w:r>
              <w:rPr>
                <w:sz w:val="18"/>
              </w:rPr>
              <w:t>Plantation</w:t>
            </w:r>
          </w:p>
        </w:tc>
        <w:tc>
          <w:tcPr>
            <w:tcW w:w="539" w:type="dxa"/>
            <w:noWrap/>
            <w:hideMark/>
          </w:tcPr>
          <w:p w14:paraId="1F93B63B" w14:textId="77777777" w:rsidR="00895BC9" w:rsidRPr="00895BC9" w:rsidRDefault="00895BC9">
            <w:pPr>
              <w:rPr>
                <w:sz w:val="18"/>
              </w:rPr>
            </w:pPr>
          </w:p>
        </w:tc>
        <w:tc>
          <w:tcPr>
            <w:tcW w:w="629" w:type="dxa"/>
            <w:noWrap/>
            <w:hideMark/>
          </w:tcPr>
          <w:p w14:paraId="00C2B234" w14:textId="77777777" w:rsidR="00895BC9" w:rsidRPr="00895BC9" w:rsidRDefault="00895BC9">
            <w:pPr>
              <w:rPr>
                <w:sz w:val="18"/>
              </w:rPr>
            </w:pPr>
          </w:p>
        </w:tc>
        <w:tc>
          <w:tcPr>
            <w:tcW w:w="727" w:type="dxa"/>
            <w:noWrap/>
            <w:hideMark/>
          </w:tcPr>
          <w:p w14:paraId="483B3448" w14:textId="77777777" w:rsidR="00895BC9" w:rsidRPr="00895BC9" w:rsidRDefault="00895BC9" w:rsidP="00895BC9">
            <w:pPr>
              <w:rPr>
                <w:sz w:val="18"/>
              </w:rPr>
            </w:pPr>
            <w:r w:rsidRPr="00895BC9">
              <w:rPr>
                <w:sz w:val="18"/>
              </w:rPr>
              <w:t>0.65</w:t>
            </w:r>
          </w:p>
        </w:tc>
        <w:tc>
          <w:tcPr>
            <w:tcW w:w="1350" w:type="dxa"/>
            <w:noWrap/>
            <w:hideMark/>
          </w:tcPr>
          <w:p w14:paraId="2AF274C2" w14:textId="0C032238" w:rsidR="00895BC9" w:rsidRPr="00895BC9" w:rsidRDefault="00B62F73">
            <w:pPr>
              <w:rPr>
                <w:sz w:val="18"/>
              </w:rPr>
            </w:pPr>
            <w:r>
              <w:rPr>
                <w:sz w:val="18"/>
              </w:rPr>
              <w:t>Tanjung Put</w:t>
            </w:r>
            <w:r w:rsidR="00895BC9" w:rsidRPr="00895BC9">
              <w:rPr>
                <w:sz w:val="18"/>
              </w:rPr>
              <w:t>ing, C</w:t>
            </w:r>
            <w:r>
              <w:rPr>
                <w:sz w:val="18"/>
              </w:rPr>
              <w:t>entral</w:t>
            </w:r>
            <w:r w:rsidR="00895BC9" w:rsidRPr="00895BC9">
              <w:rPr>
                <w:sz w:val="18"/>
              </w:rPr>
              <w:t xml:space="preserve"> Kalimantan</w:t>
            </w:r>
          </w:p>
        </w:tc>
        <w:tc>
          <w:tcPr>
            <w:tcW w:w="900" w:type="dxa"/>
            <w:noWrap/>
            <w:hideMark/>
          </w:tcPr>
          <w:p w14:paraId="327611E4" w14:textId="77777777" w:rsidR="00895BC9" w:rsidRPr="00895BC9" w:rsidRDefault="00895BC9">
            <w:pPr>
              <w:rPr>
                <w:sz w:val="18"/>
              </w:rPr>
            </w:pPr>
          </w:p>
        </w:tc>
        <w:tc>
          <w:tcPr>
            <w:tcW w:w="720" w:type="dxa"/>
            <w:noWrap/>
            <w:hideMark/>
          </w:tcPr>
          <w:p w14:paraId="76992261" w14:textId="77777777" w:rsidR="00895BC9" w:rsidRPr="00895BC9" w:rsidRDefault="00895BC9">
            <w:pPr>
              <w:rPr>
                <w:sz w:val="18"/>
              </w:rPr>
            </w:pPr>
            <w:r w:rsidRPr="00895BC9">
              <w:rPr>
                <w:sz w:val="18"/>
              </w:rPr>
              <w:t>0-5</w:t>
            </w:r>
          </w:p>
        </w:tc>
        <w:tc>
          <w:tcPr>
            <w:tcW w:w="1975" w:type="dxa"/>
            <w:noWrap/>
            <w:hideMark/>
          </w:tcPr>
          <w:p w14:paraId="6BC8D92C" w14:textId="77777777" w:rsidR="00895BC9" w:rsidRPr="00895BC9" w:rsidRDefault="00895BC9">
            <w:pPr>
              <w:rPr>
                <w:sz w:val="18"/>
              </w:rPr>
            </w:pPr>
          </w:p>
        </w:tc>
      </w:tr>
      <w:tr w:rsidR="00FA243D" w:rsidRPr="00895BC9" w14:paraId="54256D87" w14:textId="77777777" w:rsidTr="4878CDF3">
        <w:trPr>
          <w:trHeight w:val="288"/>
        </w:trPr>
        <w:tc>
          <w:tcPr>
            <w:tcW w:w="1253" w:type="dxa"/>
            <w:noWrap/>
            <w:hideMark/>
          </w:tcPr>
          <w:p w14:paraId="291FA265" w14:textId="4720632F" w:rsidR="00895BC9" w:rsidRPr="00895BC9" w:rsidRDefault="00FA243D" w:rsidP="001F74F2">
            <w:pPr>
              <w:rPr>
                <w:sz w:val="18"/>
              </w:rPr>
            </w:pPr>
            <w:r>
              <w:rPr>
                <w:sz w:val="18"/>
              </w:rPr>
              <w:fldChar w:fldCharType="begin" w:fldLock="1"/>
            </w:r>
            <w:r w:rsidR="001F74F2">
              <w:rPr>
                <w:sz w:val="18"/>
              </w:rPr>
              <w:instrText>ADDIN CSL_CITATION {"citationItems":[{"id":"ITEM-1","itemData":{"DOI":"10.1007/s10533-018-0519-x","ISBN":"0123456789","ISSN":"1573515X","abstract":"To accurately quantify tropical peatlands’ contribution to global greenhouse gas emissions, and to understand how emissions from peat may change in the future, long-term measurements over seasons and years are needed. Sampling soil respiration over a range of temperature and moisture conditions in the field is valuable for understanding how peat soil emissions may respond to climate change. We collected monthly measurements of total soil respiration, moisture and temperature from forest and smallholder oil palm plantations on peat in Central Kalimantan, Indonesia. Our study period, from January 2014 through September 2015, covered wet–dry transitions during 1 year with relatively normal precipitation and one El Niño year. Oil palm plots, with lower water table, had 22% higher total soil respiration (0.71 ± 0.04 g CO 2  m −2  h −1 ) than forest plots (0.58 ± 0.04 g CO 2  m −2  h −1 ) over the entire monitoring period. However, during the El Niño event in September 2015, despite overall lower water table levels in oil palm plots, total soil respiration was higher in forest (1.24 ± 0.20 g CO 2  m −2  h −1 ) than in oil palm (0.90 ± 0.09 g CO 2  m −2  h −1 ). Land-use change continues to be an important driver of carbon dioxide (CO 2 ) emissions from Indonesian peatlands. However, the stronger response of total soil respiration to extreme drought in forest indicates the potential importance of climate regime in determining future net carbon (C) emissions from these ecosystems. Future warming and increased intensity of seasonal drying may increase C emissions from Indonesian peatlands, regardless of land-use.","author":[{"dropping-particle":"","family":"Swails","given":"E.","non-dropping-particle":"","parse-names":false,"suffix":""},{"dropping-particle":"","family":"Hertanti","given":"D.","non-dropping-particle":"","parse-names":false,"suffix":""},{"dropping-particle":"","family":"Hergoualc’h","given":"K.","non-dropping-particle":"","parse-names":false,"suffix":""},{"dropping-particle":"","family":"Verchot","given":"L.","non-dropping-particle":"","parse-names":false,"suffix":""},{"dropping-particle":"","family":"Lawrence","given":"D.","non-dropping-particle":"","parse-names":false,"suffix":""}],"container-title":"Biogeochemistry","id":"ITEM-1","issue":"1","issued":{"date-parts":[["2019"]]},"page":"37-51","publisher":"Springer International Publishing","title":"The response of soil respiration to climatic drivers in undrained forest and drained oil palm plantations in an Indonesian peatland","type":"article-journal","volume":"142"},"uris":["http://www.mendeley.com/documents/?uuid=c479d0de-eb02-4c47-8987-61755e800b21"]}],"mendeley":{"formattedCitation":"(Swails &lt;i&gt;et al&lt;/i&gt; 2019)","manualFormatting":"Swails et al 2019","plainTextFormattedCitation":"(Swails et al 2019)","previouslyFormattedCitation":"(Swails &lt;i&gt;et al&lt;/i&gt; 2019)"},"properties":{"noteIndex":0},"schema":"https://github.com/citation-style-language/schema/raw/master/csl-citation.json"}</w:instrText>
            </w:r>
            <w:r>
              <w:rPr>
                <w:sz w:val="18"/>
              </w:rPr>
              <w:fldChar w:fldCharType="separate"/>
            </w:r>
            <w:r w:rsidR="00C723F0" w:rsidRPr="00C723F0">
              <w:rPr>
                <w:noProof/>
                <w:sz w:val="18"/>
              </w:rPr>
              <w:t xml:space="preserve">Swails </w:t>
            </w:r>
            <w:r w:rsidR="00C723F0" w:rsidRPr="00C723F0">
              <w:rPr>
                <w:i/>
                <w:noProof/>
                <w:sz w:val="18"/>
              </w:rPr>
              <w:t>et al</w:t>
            </w:r>
            <w:r w:rsidR="00C723F0" w:rsidRPr="00C723F0">
              <w:rPr>
                <w:noProof/>
                <w:sz w:val="18"/>
              </w:rPr>
              <w:t xml:space="preserve"> 2019</w:t>
            </w:r>
            <w:r>
              <w:rPr>
                <w:sz w:val="18"/>
              </w:rPr>
              <w:fldChar w:fldCharType="end"/>
            </w:r>
          </w:p>
        </w:tc>
        <w:tc>
          <w:tcPr>
            <w:tcW w:w="1257" w:type="dxa"/>
            <w:noWrap/>
            <w:hideMark/>
          </w:tcPr>
          <w:p w14:paraId="3DA5BCAE" w14:textId="7BB8E2C1" w:rsidR="00895BC9" w:rsidRPr="00895BC9" w:rsidRDefault="00FD1A66">
            <w:pPr>
              <w:rPr>
                <w:sz w:val="18"/>
              </w:rPr>
            </w:pPr>
            <w:r>
              <w:rPr>
                <w:sz w:val="18"/>
              </w:rPr>
              <w:t>Pristine Forest</w:t>
            </w:r>
          </w:p>
        </w:tc>
        <w:tc>
          <w:tcPr>
            <w:tcW w:w="539" w:type="dxa"/>
            <w:noWrap/>
            <w:hideMark/>
          </w:tcPr>
          <w:p w14:paraId="1A443DB3" w14:textId="77777777" w:rsidR="00895BC9" w:rsidRPr="00895BC9" w:rsidRDefault="00895BC9">
            <w:pPr>
              <w:rPr>
                <w:sz w:val="18"/>
              </w:rPr>
            </w:pPr>
          </w:p>
        </w:tc>
        <w:tc>
          <w:tcPr>
            <w:tcW w:w="629" w:type="dxa"/>
            <w:noWrap/>
            <w:hideMark/>
          </w:tcPr>
          <w:p w14:paraId="46FFB160" w14:textId="77777777" w:rsidR="00895BC9" w:rsidRPr="00895BC9" w:rsidRDefault="00895BC9">
            <w:pPr>
              <w:rPr>
                <w:sz w:val="18"/>
              </w:rPr>
            </w:pPr>
          </w:p>
        </w:tc>
        <w:tc>
          <w:tcPr>
            <w:tcW w:w="727" w:type="dxa"/>
            <w:noWrap/>
            <w:hideMark/>
          </w:tcPr>
          <w:p w14:paraId="5A44964D" w14:textId="77777777" w:rsidR="00895BC9" w:rsidRPr="00895BC9" w:rsidRDefault="00895BC9" w:rsidP="00895BC9">
            <w:pPr>
              <w:rPr>
                <w:sz w:val="18"/>
              </w:rPr>
            </w:pPr>
            <w:r w:rsidRPr="00895BC9">
              <w:rPr>
                <w:sz w:val="18"/>
              </w:rPr>
              <w:t>0.82</w:t>
            </w:r>
          </w:p>
        </w:tc>
        <w:tc>
          <w:tcPr>
            <w:tcW w:w="1350" w:type="dxa"/>
            <w:noWrap/>
            <w:hideMark/>
          </w:tcPr>
          <w:p w14:paraId="000F4631" w14:textId="5E55C1BD" w:rsidR="00895BC9" w:rsidRPr="00895BC9" w:rsidRDefault="00B62F73">
            <w:pPr>
              <w:rPr>
                <w:sz w:val="18"/>
              </w:rPr>
            </w:pPr>
            <w:r>
              <w:rPr>
                <w:sz w:val="18"/>
              </w:rPr>
              <w:t>Tanjung Put</w:t>
            </w:r>
            <w:r w:rsidRPr="00895BC9">
              <w:rPr>
                <w:sz w:val="18"/>
              </w:rPr>
              <w:t>ing, C</w:t>
            </w:r>
            <w:r>
              <w:rPr>
                <w:sz w:val="18"/>
              </w:rPr>
              <w:t>entral</w:t>
            </w:r>
            <w:r w:rsidRPr="00895BC9">
              <w:rPr>
                <w:sz w:val="18"/>
              </w:rPr>
              <w:t xml:space="preserve"> Kalimantan</w:t>
            </w:r>
          </w:p>
        </w:tc>
        <w:tc>
          <w:tcPr>
            <w:tcW w:w="900" w:type="dxa"/>
            <w:noWrap/>
            <w:hideMark/>
          </w:tcPr>
          <w:p w14:paraId="6504863D" w14:textId="77777777" w:rsidR="00895BC9" w:rsidRPr="00895BC9" w:rsidRDefault="00895BC9">
            <w:pPr>
              <w:rPr>
                <w:sz w:val="18"/>
              </w:rPr>
            </w:pPr>
          </w:p>
        </w:tc>
        <w:tc>
          <w:tcPr>
            <w:tcW w:w="720" w:type="dxa"/>
            <w:noWrap/>
            <w:hideMark/>
          </w:tcPr>
          <w:p w14:paraId="799EB417" w14:textId="77777777" w:rsidR="00895BC9" w:rsidRPr="00895BC9" w:rsidRDefault="00895BC9">
            <w:pPr>
              <w:rPr>
                <w:sz w:val="18"/>
              </w:rPr>
            </w:pPr>
            <w:r w:rsidRPr="00895BC9">
              <w:rPr>
                <w:sz w:val="18"/>
              </w:rPr>
              <w:t>0-5</w:t>
            </w:r>
          </w:p>
        </w:tc>
        <w:tc>
          <w:tcPr>
            <w:tcW w:w="1975" w:type="dxa"/>
            <w:noWrap/>
            <w:hideMark/>
          </w:tcPr>
          <w:p w14:paraId="586FCD57" w14:textId="77777777" w:rsidR="00895BC9" w:rsidRPr="00895BC9" w:rsidRDefault="00895BC9">
            <w:pPr>
              <w:rPr>
                <w:sz w:val="18"/>
              </w:rPr>
            </w:pPr>
          </w:p>
        </w:tc>
      </w:tr>
      <w:tr w:rsidR="00FA243D" w:rsidRPr="00895BC9" w14:paraId="0830C98A" w14:textId="77777777" w:rsidTr="4878CDF3">
        <w:trPr>
          <w:trHeight w:val="288"/>
        </w:trPr>
        <w:tc>
          <w:tcPr>
            <w:tcW w:w="1253" w:type="dxa"/>
            <w:noWrap/>
            <w:hideMark/>
          </w:tcPr>
          <w:p w14:paraId="3AE7B59A" w14:textId="2EB03D04" w:rsidR="00895BC9" w:rsidRPr="00895BC9" w:rsidRDefault="00FA243D" w:rsidP="001F74F2">
            <w:pPr>
              <w:rPr>
                <w:sz w:val="18"/>
              </w:rPr>
            </w:pPr>
            <w:r>
              <w:rPr>
                <w:sz w:val="18"/>
              </w:rPr>
              <w:fldChar w:fldCharType="begin" w:fldLock="1"/>
            </w:r>
            <w:r w:rsidR="001F74F2">
              <w:rPr>
                <w:sz w:val="18"/>
              </w:rPr>
              <w:instrText>ADDIN CSL_CITATION {"citationItems":[{"id":"ITEM-1","itemData":{"DOI":"10.1111/gcb.15332","ISSN":"13652486","PMID":"32881141","abstract":"Tropical peat forests are a globally important reservoir of carbon, but little is known about CO2 exchange on an annual basis. We measured CO2 exchange between the atmosphere and tropical peat swamp forest in Sarawak, Malaysia using the eddy covariance technique over 4 years from 2011 to 2014. The CO2 fluxes varied between seasons and years. A small carbon uptake took place during the rainy season at the beginning of 2011, while a substantial net efflux of &gt;600 g C/m2 occurred over a 2 month period in the middle of the dry season. Conversely, the peat ecosystem was a source of carbon during both the dry and rainy seasons in subsequent years and more carbon was lost during the rainy season relative to the dry season. Our results demonstrate that the forest was a net source of CO2 to the atmosphere during every year of measurement with annual efflux ranging from 183 to 632 g C m−2 year−1, noting that annual flux values were sensitive to gap filling methodology. This is in contrast to the typical view of tropical peat forests which must have acted as net C sinks over time scales of centuries to millennia to create the peat deposits. Path analyses revealed that the gross primary productivity (GPP) and ecosystem respiration (RE) were primarily affected by vapour pressure deficit (VPD). Results suggest that future increases in VPD could further reduce the C sink strength and result in additional net CO2 losses from this tropical peat swamp forest in the absence of plant acclimation to such changes in atmospheric dryness.","author":[{"dropping-particle":"","family":"Tang","given":"Angela C.I.","non-dropping-particle":"","parse-names":false,"suffix":""},{"dropping-particle":"","family":"Melling","given":"Lulie","non-dropping-particle":"","parse-names":false,"suffix":""},{"dropping-particle":"","family":"Stoy","given":"Paul C.","non-dropping-particle":"","parse-names":false,"suffix":""},{"dropping-particle":"","family":"Musin","given":"Kevin K.","non-dropping-particle":"","parse-names":false,"suffix":""},{"dropping-particle":"","family":"Aeries","given":"Edward B.","non-dropping-particle":"","parse-names":false,"suffix":""},{"dropping-particle":"","family":"Waili","given":"Joseph W.","non-dropping-particle":"","parse-names":false,"suffix":""},{"dropping-particle":"","family":"Shimizu","given":"Mariko","non-dropping-particle":"","parse-names":false,"suffix":""},{"dropping-particle":"","family":"Poulter","given":"Benjamin","non-dropping-particle":"","parse-names":false,"suffix":""},{"dropping-particle":"","family":"Hirata","given":"Ryuichi","non-dropping-particle":"","parse-names":false,"suffix":""}],"container-title":"Global Change Biology","id":"ITEM-1","issue":"12","issued":{"date-parts":[["2020"]]},"page":"6931-6944","title":"A Bornean peat swamp forest is a net source of carbon dioxide to the atmosphere","type":"article-journal","volume":"26"},"uris":["http://www.mendeley.com/documents/?uuid=d8270315-e61f-407c-b96b-c290b05e6100"]}],"mendeley":{"formattedCitation":"(Tang &lt;i&gt;et al&lt;/i&gt; 2020)","manualFormatting":"Tang et al 2020","plainTextFormattedCitation":"(Tang et al 2020)","previouslyFormattedCitation":"(Tang &lt;i&gt;et al&lt;/i&gt; 2020)"},"properties":{"noteIndex":0},"schema":"https://github.com/citation-style-language/schema/raw/master/csl-citation.json"}</w:instrText>
            </w:r>
            <w:r>
              <w:rPr>
                <w:sz w:val="18"/>
              </w:rPr>
              <w:fldChar w:fldCharType="separate"/>
            </w:r>
            <w:r w:rsidR="00C723F0" w:rsidRPr="00C723F0">
              <w:rPr>
                <w:noProof/>
                <w:sz w:val="18"/>
              </w:rPr>
              <w:t xml:space="preserve">Tang </w:t>
            </w:r>
            <w:r w:rsidR="00C723F0" w:rsidRPr="00C723F0">
              <w:rPr>
                <w:i/>
                <w:noProof/>
                <w:sz w:val="18"/>
              </w:rPr>
              <w:t>et al</w:t>
            </w:r>
            <w:r w:rsidR="00C723F0" w:rsidRPr="00C723F0">
              <w:rPr>
                <w:noProof/>
                <w:sz w:val="18"/>
              </w:rPr>
              <w:t xml:space="preserve"> 2020</w:t>
            </w:r>
            <w:r>
              <w:rPr>
                <w:sz w:val="18"/>
              </w:rPr>
              <w:fldChar w:fldCharType="end"/>
            </w:r>
          </w:p>
        </w:tc>
        <w:tc>
          <w:tcPr>
            <w:tcW w:w="1257" w:type="dxa"/>
            <w:noWrap/>
            <w:hideMark/>
          </w:tcPr>
          <w:p w14:paraId="662E9B73" w14:textId="4C88A41D" w:rsidR="00895BC9" w:rsidRPr="00895BC9" w:rsidRDefault="00FD1A66">
            <w:pPr>
              <w:rPr>
                <w:sz w:val="18"/>
              </w:rPr>
            </w:pPr>
            <w:r>
              <w:rPr>
                <w:sz w:val="18"/>
              </w:rPr>
              <w:t>Pristine Forest</w:t>
            </w:r>
          </w:p>
        </w:tc>
        <w:tc>
          <w:tcPr>
            <w:tcW w:w="539" w:type="dxa"/>
            <w:noWrap/>
            <w:hideMark/>
          </w:tcPr>
          <w:p w14:paraId="250E880F" w14:textId="77777777" w:rsidR="00895BC9" w:rsidRPr="00895BC9" w:rsidRDefault="00895BC9" w:rsidP="00895BC9">
            <w:pPr>
              <w:rPr>
                <w:sz w:val="18"/>
              </w:rPr>
            </w:pPr>
            <w:r w:rsidRPr="00895BC9">
              <w:rPr>
                <w:sz w:val="18"/>
              </w:rPr>
              <w:t>0.05</w:t>
            </w:r>
          </w:p>
        </w:tc>
        <w:tc>
          <w:tcPr>
            <w:tcW w:w="629" w:type="dxa"/>
            <w:noWrap/>
            <w:hideMark/>
          </w:tcPr>
          <w:p w14:paraId="398675E6" w14:textId="77777777" w:rsidR="00895BC9" w:rsidRPr="00895BC9" w:rsidRDefault="00895BC9" w:rsidP="00895BC9">
            <w:pPr>
              <w:rPr>
                <w:sz w:val="18"/>
              </w:rPr>
            </w:pPr>
            <w:r w:rsidRPr="00895BC9">
              <w:rPr>
                <w:sz w:val="18"/>
              </w:rPr>
              <w:t>0.5</w:t>
            </w:r>
          </w:p>
        </w:tc>
        <w:tc>
          <w:tcPr>
            <w:tcW w:w="727" w:type="dxa"/>
            <w:noWrap/>
            <w:hideMark/>
          </w:tcPr>
          <w:p w14:paraId="7665D936" w14:textId="77777777" w:rsidR="00895BC9" w:rsidRPr="00895BC9" w:rsidRDefault="00895BC9" w:rsidP="00895BC9">
            <w:pPr>
              <w:rPr>
                <w:sz w:val="18"/>
              </w:rPr>
            </w:pPr>
            <w:r w:rsidRPr="00895BC9">
              <w:rPr>
                <w:sz w:val="18"/>
              </w:rPr>
              <w:t>0.33</w:t>
            </w:r>
          </w:p>
        </w:tc>
        <w:tc>
          <w:tcPr>
            <w:tcW w:w="1350" w:type="dxa"/>
            <w:noWrap/>
            <w:hideMark/>
          </w:tcPr>
          <w:p w14:paraId="1D7DF34D" w14:textId="2DB9CB2D" w:rsidR="00895BC9" w:rsidRPr="00895BC9" w:rsidRDefault="009D2E78">
            <w:pPr>
              <w:rPr>
                <w:sz w:val="18"/>
              </w:rPr>
            </w:pPr>
            <w:r>
              <w:rPr>
                <w:sz w:val="18"/>
              </w:rPr>
              <w:t>Maludam National P</w:t>
            </w:r>
            <w:r w:rsidR="00895BC9" w:rsidRPr="00895BC9">
              <w:rPr>
                <w:sz w:val="18"/>
              </w:rPr>
              <w:t>ark, Sarawak</w:t>
            </w:r>
          </w:p>
        </w:tc>
        <w:tc>
          <w:tcPr>
            <w:tcW w:w="900" w:type="dxa"/>
            <w:noWrap/>
            <w:hideMark/>
          </w:tcPr>
          <w:p w14:paraId="03EBA1E6" w14:textId="4F8CA44C" w:rsidR="00895BC9" w:rsidRPr="00895BC9" w:rsidRDefault="009D2E78">
            <w:pPr>
              <w:rPr>
                <w:sz w:val="18"/>
              </w:rPr>
            </w:pPr>
            <w:r>
              <w:rPr>
                <w:sz w:val="18"/>
              </w:rPr>
              <w:t>Y</w:t>
            </w:r>
            <w:r w:rsidR="00895BC9" w:rsidRPr="00895BC9">
              <w:rPr>
                <w:sz w:val="18"/>
              </w:rPr>
              <w:t>es</w:t>
            </w:r>
          </w:p>
        </w:tc>
        <w:tc>
          <w:tcPr>
            <w:tcW w:w="720" w:type="dxa"/>
            <w:noWrap/>
            <w:hideMark/>
          </w:tcPr>
          <w:p w14:paraId="01AEAEA1" w14:textId="77777777" w:rsidR="00895BC9" w:rsidRPr="00895BC9" w:rsidRDefault="00895BC9">
            <w:pPr>
              <w:rPr>
                <w:sz w:val="18"/>
              </w:rPr>
            </w:pPr>
            <w:r w:rsidRPr="00895BC9">
              <w:rPr>
                <w:sz w:val="18"/>
              </w:rPr>
              <w:t>0-30</w:t>
            </w:r>
          </w:p>
        </w:tc>
        <w:tc>
          <w:tcPr>
            <w:tcW w:w="1975" w:type="dxa"/>
            <w:noWrap/>
            <w:hideMark/>
          </w:tcPr>
          <w:p w14:paraId="256E0133" w14:textId="799059A7" w:rsidR="00895BC9" w:rsidRPr="00895BC9" w:rsidRDefault="001F209E" w:rsidP="4878CDF3">
            <w:pPr>
              <w:rPr>
                <w:sz w:val="18"/>
                <w:szCs w:val="18"/>
              </w:rPr>
            </w:pPr>
            <w:r>
              <w:rPr>
                <w:sz w:val="18"/>
                <w:szCs w:val="18"/>
              </w:rPr>
              <w:t>SM</w:t>
            </w:r>
            <w:r w:rsidR="4878CDF3" w:rsidRPr="4878CDF3">
              <w:rPr>
                <w:sz w:val="18"/>
                <w:szCs w:val="18"/>
              </w:rPr>
              <w:t xml:space="preserve"> probes averaged over flat and hummock terrain</w:t>
            </w:r>
          </w:p>
        </w:tc>
      </w:tr>
    </w:tbl>
    <w:p w14:paraId="0220A0E5" w14:textId="5E27DB1E" w:rsidR="00FD1A66" w:rsidRDefault="00FD1A66" w:rsidP="00865B00">
      <w:pPr>
        <w:rPr>
          <w:sz w:val="24"/>
        </w:rPr>
      </w:pPr>
    </w:p>
    <w:p w14:paraId="3A0E063C" w14:textId="77777777" w:rsidR="00FD1A66" w:rsidRDefault="00FD1A66">
      <w:pPr>
        <w:spacing w:line="259" w:lineRule="auto"/>
        <w:rPr>
          <w:sz w:val="24"/>
        </w:rPr>
      </w:pPr>
      <w:r>
        <w:rPr>
          <w:sz w:val="24"/>
        </w:rPr>
        <w:br w:type="page"/>
      </w:r>
    </w:p>
    <w:p w14:paraId="341FD693" w14:textId="1DB34E51" w:rsidR="00FD1A66" w:rsidRDefault="00206068" w:rsidP="00FD1A66">
      <w:pPr>
        <w:rPr>
          <w:sz w:val="24"/>
          <w:szCs w:val="24"/>
        </w:rPr>
      </w:pPr>
      <w:r>
        <w:rPr>
          <w:noProof/>
        </w:rPr>
        <w:lastRenderedPageBreak/>
        <w:drawing>
          <wp:inline distT="0" distB="0" distL="0" distR="0" wp14:anchorId="7EB191BA" wp14:editId="40382FBE">
            <wp:extent cx="5943600" cy="289115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891155"/>
                    </a:xfrm>
                    <a:prstGeom prst="rect">
                      <a:avLst/>
                    </a:prstGeom>
                  </pic:spPr>
                </pic:pic>
              </a:graphicData>
            </a:graphic>
          </wp:inline>
        </w:drawing>
      </w:r>
    </w:p>
    <w:p w14:paraId="02D02C9B" w14:textId="77777777" w:rsidR="00206068" w:rsidRDefault="00206068" w:rsidP="00FD1A66">
      <w:pPr>
        <w:rPr>
          <w:sz w:val="24"/>
          <w:szCs w:val="24"/>
        </w:rPr>
      </w:pPr>
    </w:p>
    <w:p w14:paraId="44778D1C" w14:textId="08EBD65D" w:rsidR="00FD1A66" w:rsidRDefault="4878CDF3" w:rsidP="4878CDF3">
      <w:pPr>
        <w:rPr>
          <w:i/>
          <w:iCs/>
        </w:rPr>
      </w:pPr>
      <w:r w:rsidRPr="4878CDF3">
        <w:rPr>
          <w:b/>
          <w:bCs/>
          <w:sz w:val="24"/>
          <w:szCs w:val="24"/>
        </w:rPr>
        <w:t>Supplementary Figure 6:</w:t>
      </w:r>
      <w:r w:rsidRPr="4878CDF3">
        <w:rPr>
          <w:sz w:val="24"/>
          <w:szCs w:val="24"/>
        </w:rPr>
        <w:t xml:space="preserve"> Relationship between change in a) </w:t>
      </w:r>
      <w:r w:rsidR="00F173A3">
        <w:rPr>
          <w:sz w:val="24"/>
          <w:szCs w:val="24"/>
        </w:rPr>
        <w:t>dry season soil moisture (</w:t>
      </w:r>
      <w:r w:rsidRPr="4878CDF3">
        <w:rPr>
          <w:sz w:val="24"/>
          <w:szCs w:val="24"/>
        </w:rPr>
        <w:t>sm</w:t>
      </w:r>
      <w:r w:rsidRPr="4878CDF3">
        <w:rPr>
          <w:sz w:val="24"/>
          <w:szCs w:val="24"/>
          <w:vertAlign w:val="subscript"/>
        </w:rPr>
        <w:t>dry season</w:t>
      </w:r>
      <w:r w:rsidR="00F173A3">
        <w:rPr>
          <w:sz w:val="24"/>
          <w:szCs w:val="24"/>
        </w:rPr>
        <w:t>)</w:t>
      </w:r>
      <w:r w:rsidRPr="4878CDF3">
        <w:rPr>
          <w:sz w:val="24"/>
          <w:szCs w:val="24"/>
          <w:vertAlign w:val="subscript"/>
        </w:rPr>
        <w:t xml:space="preserve"> </w:t>
      </w:r>
      <w:r w:rsidRPr="4878CDF3">
        <w:rPr>
          <w:sz w:val="24"/>
          <w:szCs w:val="24"/>
        </w:rPr>
        <w:t>and b)</w:t>
      </w:r>
      <w:r w:rsidR="00F173A3">
        <w:rPr>
          <w:sz w:val="24"/>
          <w:szCs w:val="24"/>
        </w:rPr>
        <w:t xml:space="preserve"> percent low soil moisture</w:t>
      </w:r>
      <w:r w:rsidRPr="4878CDF3">
        <w:rPr>
          <w:sz w:val="24"/>
          <w:szCs w:val="24"/>
        </w:rPr>
        <w:t xml:space="preserve"> </w:t>
      </w:r>
      <w:r w:rsidR="00F173A3">
        <w:rPr>
          <w:sz w:val="24"/>
          <w:szCs w:val="24"/>
        </w:rPr>
        <w:t>(</w:t>
      </w:r>
      <w:r w:rsidRPr="4878CDF3">
        <w:rPr>
          <w:sz w:val="24"/>
          <w:szCs w:val="24"/>
        </w:rPr>
        <w:t>pct</w:t>
      </w:r>
      <w:r w:rsidRPr="4878CDF3">
        <w:rPr>
          <w:sz w:val="24"/>
          <w:szCs w:val="24"/>
          <w:vertAlign w:val="subscript"/>
        </w:rPr>
        <w:t>low sm</w:t>
      </w:r>
      <w:r w:rsidR="00F173A3">
        <w:rPr>
          <w:sz w:val="24"/>
          <w:szCs w:val="24"/>
        </w:rPr>
        <w:t xml:space="preserve">) </w:t>
      </w:r>
      <w:r w:rsidRPr="4878CDF3">
        <w:rPr>
          <w:sz w:val="24"/>
          <w:szCs w:val="24"/>
        </w:rPr>
        <w:t>with tree cover fraction. Equations show best fit linear regression line with p</w:t>
      </w:r>
      <w:r w:rsidR="00A40585" w:rsidRPr="4878CDF3">
        <w:rPr>
          <w:sz w:val="24"/>
          <w:szCs w:val="24"/>
        </w:rPr>
        <w:t>&lt;&lt;</w:t>
      </w:r>
      <w:r w:rsidRPr="4878CDF3">
        <w:rPr>
          <w:sz w:val="24"/>
          <w:szCs w:val="24"/>
        </w:rPr>
        <w:t>0.01 for the regression slope for both variables. Background shows binned density of the two variables. Data is clipped on the y-axis to show the 2</w:t>
      </w:r>
      <w:r w:rsidRPr="4878CDF3">
        <w:rPr>
          <w:sz w:val="24"/>
          <w:szCs w:val="24"/>
          <w:vertAlign w:val="superscript"/>
        </w:rPr>
        <w:t>nd</w:t>
      </w:r>
      <w:r w:rsidRPr="4878CDF3">
        <w:rPr>
          <w:sz w:val="24"/>
          <w:szCs w:val="24"/>
        </w:rPr>
        <w:t>-98</w:t>
      </w:r>
      <w:r w:rsidRPr="4878CDF3">
        <w:rPr>
          <w:sz w:val="24"/>
          <w:szCs w:val="24"/>
          <w:vertAlign w:val="superscript"/>
        </w:rPr>
        <w:t>th</w:t>
      </w:r>
      <w:r w:rsidRPr="4878CDF3">
        <w:rPr>
          <w:sz w:val="24"/>
          <w:szCs w:val="24"/>
        </w:rPr>
        <w:t xml:space="preserve"> percentile range of the soil moisture variables.</w:t>
      </w:r>
    </w:p>
    <w:p w14:paraId="0DE325A5" w14:textId="136EF2BC" w:rsidR="00967BD9" w:rsidRDefault="00967BD9" w:rsidP="00865B00">
      <w:pPr>
        <w:rPr>
          <w:sz w:val="24"/>
        </w:rPr>
      </w:pPr>
    </w:p>
    <w:p w14:paraId="2262C9B3" w14:textId="4AFB9387" w:rsidR="00B80978" w:rsidRDefault="00B80978">
      <w:pPr>
        <w:spacing w:line="259" w:lineRule="auto"/>
        <w:rPr>
          <w:sz w:val="24"/>
        </w:rPr>
      </w:pPr>
      <w:r>
        <w:rPr>
          <w:sz w:val="24"/>
        </w:rPr>
        <w:br w:type="page"/>
      </w:r>
    </w:p>
    <w:p w14:paraId="4BC8B11B" w14:textId="5CC2953F" w:rsidR="00B80978" w:rsidRPr="00B80978" w:rsidRDefault="00B80978" w:rsidP="00B80978">
      <w:pPr>
        <w:widowControl w:val="0"/>
        <w:autoSpaceDE w:val="0"/>
        <w:autoSpaceDN w:val="0"/>
        <w:adjustRightInd w:val="0"/>
        <w:ind w:left="480" w:hanging="480"/>
        <w:rPr>
          <w:b/>
          <w:sz w:val="24"/>
        </w:rPr>
      </w:pPr>
      <w:r w:rsidRPr="00B80978">
        <w:rPr>
          <w:b/>
          <w:sz w:val="24"/>
        </w:rPr>
        <w:lastRenderedPageBreak/>
        <w:t>References</w:t>
      </w:r>
    </w:p>
    <w:p w14:paraId="1FCC47E8" w14:textId="77777777" w:rsidR="00B80978" w:rsidRDefault="00B80978" w:rsidP="00B80978">
      <w:pPr>
        <w:widowControl w:val="0"/>
        <w:autoSpaceDE w:val="0"/>
        <w:autoSpaceDN w:val="0"/>
        <w:adjustRightInd w:val="0"/>
        <w:ind w:left="480" w:hanging="480"/>
        <w:rPr>
          <w:sz w:val="24"/>
        </w:rPr>
      </w:pPr>
    </w:p>
    <w:p w14:paraId="6C78B4AF" w14:textId="741EF28E" w:rsidR="001F209E" w:rsidRPr="001F209E" w:rsidRDefault="00B80978" w:rsidP="001F209E">
      <w:pPr>
        <w:widowControl w:val="0"/>
        <w:autoSpaceDE w:val="0"/>
        <w:autoSpaceDN w:val="0"/>
        <w:adjustRightInd w:val="0"/>
        <w:ind w:left="480" w:hanging="480"/>
        <w:rPr>
          <w:rFonts w:ascii="Calibri" w:hAnsi="Calibri" w:cs="Calibri"/>
          <w:noProof/>
          <w:sz w:val="24"/>
          <w:szCs w:val="24"/>
        </w:rPr>
      </w:pPr>
      <w:r>
        <w:rPr>
          <w:sz w:val="24"/>
        </w:rPr>
        <w:fldChar w:fldCharType="begin" w:fldLock="1"/>
      </w:r>
      <w:r>
        <w:rPr>
          <w:sz w:val="24"/>
        </w:rPr>
        <w:instrText xml:space="preserve">ADDIN Mendeley Bibliography CSL_BIBLIOGRAPHY </w:instrText>
      </w:r>
      <w:r>
        <w:rPr>
          <w:sz w:val="24"/>
        </w:rPr>
        <w:fldChar w:fldCharType="separate"/>
      </w:r>
      <w:r w:rsidR="001F209E" w:rsidRPr="001F209E">
        <w:rPr>
          <w:rFonts w:ascii="Calibri" w:hAnsi="Calibri" w:cs="Calibri"/>
          <w:noProof/>
          <w:sz w:val="24"/>
          <w:szCs w:val="24"/>
        </w:rPr>
        <w:t xml:space="preserve">Aldrian E and Dwi Susanto R 2003 Identification of three dominant rainfall regions within Indonesia and their relationship to sea surface temperature </w:t>
      </w:r>
      <w:r w:rsidR="001F209E" w:rsidRPr="001F209E">
        <w:rPr>
          <w:rFonts w:ascii="Calibri" w:hAnsi="Calibri" w:cs="Calibri"/>
          <w:i/>
          <w:iCs/>
          <w:noProof/>
          <w:sz w:val="24"/>
          <w:szCs w:val="24"/>
        </w:rPr>
        <w:t>Int. J. Climatol.</w:t>
      </w:r>
      <w:r w:rsidR="001F209E" w:rsidRPr="001F209E">
        <w:rPr>
          <w:rFonts w:ascii="Calibri" w:hAnsi="Calibri" w:cs="Calibri"/>
          <w:noProof/>
          <w:sz w:val="24"/>
          <w:szCs w:val="24"/>
        </w:rPr>
        <w:t xml:space="preserve"> </w:t>
      </w:r>
      <w:r w:rsidR="001F209E" w:rsidRPr="001F209E">
        <w:rPr>
          <w:rFonts w:ascii="Calibri" w:hAnsi="Calibri" w:cs="Calibri"/>
          <w:b/>
          <w:bCs/>
          <w:noProof/>
          <w:sz w:val="24"/>
          <w:szCs w:val="24"/>
        </w:rPr>
        <w:t>23</w:t>
      </w:r>
      <w:r w:rsidR="001F209E" w:rsidRPr="001F209E">
        <w:rPr>
          <w:rFonts w:ascii="Calibri" w:hAnsi="Calibri" w:cs="Calibri"/>
          <w:noProof/>
          <w:sz w:val="24"/>
          <w:szCs w:val="24"/>
        </w:rPr>
        <w:t xml:space="preserve"> 1435–52 Online: http://doi.wiley.com/10.1002/joc.950</w:t>
      </w:r>
    </w:p>
    <w:p w14:paraId="6DB882E0" w14:textId="77777777" w:rsidR="001F209E" w:rsidRPr="001F209E" w:rsidRDefault="001F209E" w:rsidP="001F209E">
      <w:pPr>
        <w:widowControl w:val="0"/>
        <w:autoSpaceDE w:val="0"/>
        <w:autoSpaceDN w:val="0"/>
        <w:adjustRightInd w:val="0"/>
        <w:ind w:left="480" w:hanging="480"/>
        <w:rPr>
          <w:rFonts w:ascii="Calibri" w:hAnsi="Calibri" w:cs="Calibri"/>
          <w:noProof/>
          <w:sz w:val="24"/>
          <w:szCs w:val="24"/>
        </w:rPr>
      </w:pPr>
      <w:r w:rsidRPr="001F209E">
        <w:rPr>
          <w:rFonts w:ascii="Calibri" w:hAnsi="Calibri" w:cs="Calibri"/>
          <w:noProof/>
          <w:sz w:val="24"/>
          <w:szCs w:val="24"/>
        </w:rPr>
        <w:t xml:space="preserve">Bentsen M, Bethke I, Debernard J B, Iversen T, Kirkevåg A, Seland Ø, Drange H, Roelandt C, Seierstad I A, Hoose C and Kristjánsson J E 2013 The Norwegian Earth System Model, NorESM1-M – Part 1: Description and basic evaluation of the physical climate </w:t>
      </w:r>
      <w:r w:rsidRPr="001F209E">
        <w:rPr>
          <w:rFonts w:ascii="Calibri" w:hAnsi="Calibri" w:cs="Calibri"/>
          <w:i/>
          <w:iCs/>
          <w:noProof/>
          <w:sz w:val="24"/>
          <w:szCs w:val="24"/>
        </w:rPr>
        <w:t>Geosci. Model Dev.</w:t>
      </w:r>
      <w:r w:rsidRPr="001F209E">
        <w:rPr>
          <w:rFonts w:ascii="Calibri" w:hAnsi="Calibri" w:cs="Calibri"/>
          <w:noProof/>
          <w:sz w:val="24"/>
          <w:szCs w:val="24"/>
        </w:rPr>
        <w:t xml:space="preserve"> </w:t>
      </w:r>
      <w:r w:rsidRPr="001F209E">
        <w:rPr>
          <w:rFonts w:ascii="Calibri" w:hAnsi="Calibri" w:cs="Calibri"/>
          <w:b/>
          <w:bCs/>
          <w:noProof/>
          <w:sz w:val="24"/>
          <w:szCs w:val="24"/>
        </w:rPr>
        <w:t>6</w:t>
      </w:r>
      <w:r w:rsidRPr="001F209E">
        <w:rPr>
          <w:rFonts w:ascii="Calibri" w:hAnsi="Calibri" w:cs="Calibri"/>
          <w:noProof/>
          <w:sz w:val="24"/>
          <w:szCs w:val="24"/>
        </w:rPr>
        <w:t xml:space="preserve"> 687–720</w:t>
      </w:r>
    </w:p>
    <w:p w14:paraId="5A81BB64" w14:textId="77777777" w:rsidR="001F209E" w:rsidRPr="001F209E" w:rsidRDefault="001F209E" w:rsidP="001F209E">
      <w:pPr>
        <w:widowControl w:val="0"/>
        <w:autoSpaceDE w:val="0"/>
        <w:autoSpaceDN w:val="0"/>
        <w:adjustRightInd w:val="0"/>
        <w:ind w:left="480" w:hanging="480"/>
        <w:rPr>
          <w:rFonts w:ascii="Calibri" w:hAnsi="Calibri" w:cs="Calibri"/>
          <w:noProof/>
          <w:sz w:val="24"/>
          <w:szCs w:val="24"/>
        </w:rPr>
      </w:pPr>
      <w:r w:rsidRPr="001F209E">
        <w:rPr>
          <w:rFonts w:ascii="Calibri" w:hAnsi="Calibri" w:cs="Calibri"/>
          <w:noProof/>
          <w:sz w:val="24"/>
          <w:szCs w:val="24"/>
        </w:rPr>
        <w:t xml:space="preserve">Dadap N C, Hoyt A M, Cobb A R, Oner D, Kozinski M, Fua P V, Rao K, Harvey C F and Konings A G 2021 Drainage Canals in Southeast Asian Peatlands Increase Carbon Emissions </w:t>
      </w:r>
      <w:r w:rsidRPr="001F209E">
        <w:rPr>
          <w:rFonts w:ascii="Calibri" w:hAnsi="Calibri" w:cs="Calibri"/>
          <w:i/>
          <w:iCs/>
          <w:noProof/>
          <w:sz w:val="24"/>
          <w:szCs w:val="24"/>
        </w:rPr>
        <w:t>AGU Adv.</w:t>
      </w:r>
      <w:r w:rsidRPr="001F209E">
        <w:rPr>
          <w:rFonts w:ascii="Calibri" w:hAnsi="Calibri" w:cs="Calibri"/>
          <w:noProof/>
          <w:sz w:val="24"/>
          <w:szCs w:val="24"/>
        </w:rPr>
        <w:t xml:space="preserve"> </w:t>
      </w:r>
      <w:r w:rsidRPr="001F209E">
        <w:rPr>
          <w:rFonts w:ascii="Calibri" w:hAnsi="Calibri" w:cs="Calibri"/>
          <w:b/>
          <w:bCs/>
          <w:noProof/>
          <w:sz w:val="24"/>
          <w:szCs w:val="24"/>
        </w:rPr>
        <w:t>2</w:t>
      </w:r>
      <w:r w:rsidRPr="001F209E">
        <w:rPr>
          <w:rFonts w:ascii="Calibri" w:hAnsi="Calibri" w:cs="Calibri"/>
          <w:noProof/>
          <w:sz w:val="24"/>
          <w:szCs w:val="24"/>
        </w:rPr>
        <w:t xml:space="preserve"> 1–14</w:t>
      </w:r>
    </w:p>
    <w:p w14:paraId="3DFEDA72" w14:textId="77777777" w:rsidR="001F209E" w:rsidRPr="001F209E" w:rsidRDefault="001F209E" w:rsidP="001F209E">
      <w:pPr>
        <w:widowControl w:val="0"/>
        <w:autoSpaceDE w:val="0"/>
        <w:autoSpaceDN w:val="0"/>
        <w:adjustRightInd w:val="0"/>
        <w:ind w:left="480" w:hanging="480"/>
        <w:rPr>
          <w:rFonts w:ascii="Calibri" w:hAnsi="Calibri" w:cs="Calibri"/>
          <w:noProof/>
          <w:sz w:val="24"/>
          <w:szCs w:val="24"/>
        </w:rPr>
      </w:pPr>
      <w:r w:rsidRPr="001F209E">
        <w:rPr>
          <w:rFonts w:ascii="Calibri" w:hAnsi="Calibri" w:cs="Calibri"/>
          <w:noProof/>
          <w:sz w:val="24"/>
          <w:szCs w:val="24"/>
        </w:rPr>
        <w:t xml:space="preserve">Giorgi F, Coppola E, Jacob D, Teichmann C, Abba Omar S, Ashfaq M, Ban N, Bülow K, Bukovsky M, Buntemeyer L, Cavazos T, Ciarlo’ J, Da Rocha R P, Das S, di Sante F, Evans J P, Gao X, Giuliani G, Glazer R H, Hoffmann P, Im E-S, Langendijk G, Lierhammer L, Llopart M, Mueller S, Luna-Nino R, Nogherotto R, Pichelli E, Raffaele F, Reboita M, Rechid D, Remedio A, Remke T, Sawadogo W, Sieck K, Torres-Alavez J A and Weber T 2021 The CORDEX-CORE EXP-I initiative: Description and highlight results from the initial analysis </w:t>
      </w:r>
      <w:r w:rsidRPr="001F209E">
        <w:rPr>
          <w:rFonts w:ascii="Calibri" w:hAnsi="Calibri" w:cs="Calibri"/>
          <w:i/>
          <w:iCs/>
          <w:noProof/>
          <w:sz w:val="24"/>
          <w:szCs w:val="24"/>
        </w:rPr>
        <w:t>Bull. Am. Meteorol. Soc.</w:t>
      </w:r>
      <w:r w:rsidRPr="001F209E">
        <w:rPr>
          <w:rFonts w:ascii="Calibri" w:hAnsi="Calibri" w:cs="Calibri"/>
          <w:noProof/>
          <w:sz w:val="24"/>
          <w:szCs w:val="24"/>
        </w:rPr>
        <w:t xml:space="preserve"> 1–52 Online: https://journals.ametsoc.org/view/journals/bams/aop/BAMS-D-21-0119.1/BAMS-D-21-0119.1.xml</w:t>
      </w:r>
    </w:p>
    <w:p w14:paraId="750F2F90" w14:textId="77777777" w:rsidR="001F209E" w:rsidRPr="001F209E" w:rsidRDefault="001F209E" w:rsidP="001F209E">
      <w:pPr>
        <w:widowControl w:val="0"/>
        <w:autoSpaceDE w:val="0"/>
        <w:autoSpaceDN w:val="0"/>
        <w:adjustRightInd w:val="0"/>
        <w:ind w:left="480" w:hanging="480"/>
        <w:rPr>
          <w:rFonts w:ascii="Calibri" w:hAnsi="Calibri" w:cs="Calibri"/>
          <w:noProof/>
          <w:sz w:val="24"/>
          <w:szCs w:val="24"/>
        </w:rPr>
      </w:pPr>
      <w:r w:rsidRPr="001F209E">
        <w:rPr>
          <w:rFonts w:ascii="Calibri" w:hAnsi="Calibri" w:cs="Calibri"/>
          <w:noProof/>
          <w:sz w:val="24"/>
          <w:szCs w:val="24"/>
        </w:rPr>
        <w:t xml:space="preserve">Hergoualc’h K, Hendry D T, Murdiyarso D and Verchot L V 2017 Total and heterotrophic soil respiration in a swamp forest and oil palm plantations on peat in Central Kalimantan, Indonesia </w:t>
      </w:r>
      <w:r w:rsidRPr="001F209E">
        <w:rPr>
          <w:rFonts w:ascii="Calibri" w:hAnsi="Calibri" w:cs="Calibri"/>
          <w:i/>
          <w:iCs/>
          <w:noProof/>
          <w:sz w:val="24"/>
          <w:szCs w:val="24"/>
        </w:rPr>
        <w:t>Biogeochemistry</w:t>
      </w:r>
      <w:r w:rsidRPr="001F209E">
        <w:rPr>
          <w:rFonts w:ascii="Calibri" w:hAnsi="Calibri" w:cs="Calibri"/>
          <w:noProof/>
          <w:sz w:val="24"/>
          <w:szCs w:val="24"/>
        </w:rPr>
        <w:t xml:space="preserve"> </w:t>
      </w:r>
      <w:r w:rsidRPr="001F209E">
        <w:rPr>
          <w:rFonts w:ascii="Calibri" w:hAnsi="Calibri" w:cs="Calibri"/>
          <w:b/>
          <w:bCs/>
          <w:noProof/>
          <w:sz w:val="24"/>
          <w:szCs w:val="24"/>
        </w:rPr>
        <w:t>135</w:t>
      </w:r>
      <w:r w:rsidRPr="001F209E">
        <w:rPr>
          <w:rFonts w:ascii="Calibri" w:hAnsi="Calibri" w:cs="Calibri"/>
          <w:noProof/>
          <w:sz w:val="24"/>
          <w:szCs w:val="24"/>
        </w:rPr>
        <w:t xml:space="preserve"> 203–20</w:t>
      </w:r>
    </w:p>
    <w:p w14:paraId="62A09395" w14:textId="77777777" w:rsidR="001F209E" w:rsidRPr="001F209E" w:rsidRDefault="001F209E" w:rsidP="001F209E">
      <w:pPr>
        <w:widowControl w:val="0"/>
        <w:autoSpaceDE w:val="0"/>
        <w:autoSpaceDN w:val="0"/>
        <w:adjustRightInd w:val="0"/>
        <w:ind w:left="480" w:hanging="480"/>
        <w:rPr>
          <w:rFonts w:ascii="Calibri" w:hAnsi="Calibri" w:cs="Calibri"/>
          <w:noProof/>
          <w:sz w:val="24"/>
          <w:szCs w:val="24"/>
        </w:rPr>
      </w:pPr>
      <w:r w:rsidRPr="001F209E">
        <w:rPr>
          <w:rFonts w:ascii="Calibri" w:hAnsi="Calibri" w:cs="Calibri"/>
          <w:noProof/>
          <w:sz w:val="24"/>
          <w:szCs w:val="24"/>
        </w:rPr>
        <w:t xml:space="preserve">Hirano T, Segah H, Harada T, Limin S, June T, Hirata R and Osaki M 2007 Carbon dioxide balance of a tropical peat swamp forest in Kalimantan, Indonesia </w:t>
      </w:r>
      <w:r w:rsidRPr="001F209E">
        <w:rPr>
          <w:rFonts w:ascii="Calibri" w:hAnsi="Calibri" w:cs="Calibri"/>
          <w:i/>
          <w:iCs/>
          <w:noProof/>
          <w:sz w:val="24"/>
          <w:szCs w:val="24"/>
        </w:rPr>
        <w:t>Glob. Chang. Biol.</w:t>
      </w:r>
      <w:r w:rsidRPr="001F209E">
        <w:rPr>
          <w:rFonts w:ascii="Calibri" w:hAnsi="Calibri" w:cs="Calibri"/>
          <w:noProof/>
          <w:sz w:val="24"/>
          <w:szCs w:val="24"/>
        </w:rPr>
        <w:t xml:space="preserve"> </w:t>
      </w:r>
      <w:r w:rsidRPr="001F209E">
        <w:rPr>
          <w:rFonts w:ascii="Calibri" w:hAnsi="Calibri" w:cs="Calibri"/>
          <w:b/>
          <w:bCs/>
          <w:noProof/>
          <w:sz w:val="24"/>
          <w:szCs w:val="24"/>
        </w:rPr>
        <w:t>13</w:t>
      </w:r>
      <w:r w:rsidRPr="001F209E">
        <w:rPr>
          <w:rFonts w:ascii="Calibri" w:hAnsi="Calibri" w:cs="Calibri"/>
          <w:noProof/>
          <w:sz w:val="24"/>
          <w:szCs w:val="24"/>
        </w:rPr>
        <w:t xml:space="preserve"> 412–25</w:t>
      </w:r>
    </w:p>
    <w:p w14:paraId="454AA71A" w14:textId="77777777" w:rsidR="001F209E" w:rsidRPr="001F209E" w:rsidRDefault="001F209E" w:rsidP="001F209E">
      <w:pPr>
        <w:widowControl w:val="0"/>
        <w:autoSpaceDE w:val="0"/>
        <w:autoSpaceDN w:val="0"/>
        <w:adjustRightInd w:val="0"/>
        <w:ind w:left="480" w:hanging="480"/>
        <w:rPr>
          <w:rFonts w:ascii="Calibri" w:hAnsi="Calibri" w:cs="Calibri"/>
          <w:noProof/>
          <w:sz w:val="24"/>
          <w:szCs w:val="24"/>
        </w:rPr>
      </w:pPr>
      <w:r w:rsidRPr="001F209E">
        <w:rPr>
          <w:rFonts w:ascii="Calibri" w:hAnsi="Calibri" w:cs="Calibri"/>
          <w:noProof/>
          <w:sz w:val="24"/>
          <w:szCs w:val="24"/>
        </w:rPr>
        <w:t xml:space="preserve">Hoyt A M, Chaussard E, Seppalainen S and Harvey C 2020 Widespread Subsidence and Carbon Emissions across Southeast Asia Peatlands </w:t>
      </w:r>
      <w:r w:rsidRPr="001F209E">
        <w:rPr>
          <w:rFonts w:ascii="Calibri" w:hAnsi="Calibri" w:cs="Calibri"/>
          <w:i/>
          <w:iCs/>
          <w:noProof/>
          <w:sz w:val="24"/>
          <w:szCs w:val="24"/>
        </w:rPr>
        <w:t>Nat. Geosci.</w:t>
      </w:r>
      <w:r w:rsidRPr="001F209E">
        <w:rPr>
          <w:rFonts w:ascii="Calibri" w:hAnsi="Calibri" w:cs="Calibri"/>
          <w:noProof/>
          <w:sz w:val="24"/>
          <w:szCs w:val="24"/>
        </w:rPr>
        <w:t xml:space="preserve"> </w:t>
      </w:r>
      <w:r w:rsidRPr="001F209E">
        <w:rPr>
          <w:rFonts w:ascii="Calibri" w:hAnsi="Calibri" w:cs="Calibri"/>
          <w:b/>
          <w:bCs/>
          <w:noProof/>
          <w:sz w:val="24"/>
          <w:szCs w:val="24"/>
        </w:rPr>
        <w:t>13</w:t>
      </w:r>
      <w:r w:rsidRPr="001F209E">
        <w:rPr>
          <w:rFonts w:ascii="Calibri" w:hAnsi="Calibri" w:cs="Calibri"/>
          <w:noProof/>
          <w:sz w:val="24"/>
          <w:szCs w:val="24"/>
        </w:rPr>
        <w:t xml:space="preserve"> 435–40 Online: http://dx.doi.org/10.1038/s41561-020-0575-4</w:t>
      </w:r>
    </w:p>
    <w:p w14:paraId="5BF96078" w14:textId="77777777" w:rsidR="001F209E" w:rsidRPr="001F209E" w:rsidRDefault="001F209E" w:rsidP="001F209E">
      <w:pPr>
        <w:widowControl w:val="0"/>
        <w:autoSpaceDE w:val="0"/>
        <w:autoSpaceDN w:val="0"/>
        <w:adjustRightInd w:val="0"/>
        <w:ind w:left="480" w:hanging="480"/>
        <w:rPr>
          <w:rFonts w:ascii="Calibri" w:hAnsi="Calibri" w:cs="Calibri"/>
          <w:noProof/>
          <w:sz w:val="24"/>
          <w:szCs w:val="24"/>
        </w:rPr>
      </w:pPr>
      <w:r w:rsidRPr="001F209E">
        <w:rPr>
          <w:rFonts w:ascii="Calibri" w:hAnsi="Calibri" w:cs="Calibri"/>
          <w:noProof/>
          <w:sz w:val="24"/>
          <w:szCs w:val="24"/>
        </w:rPr>
        <w:t xml:space="preserve">Jauhiainen J, Kerojoki O, Silvennoinen H, Limin S and Vasander H 2014 Heterotrophic respiration in drained tropical peat is greatly affected by temperature - A passive ecosystem cooling experiment </w:t>
      </w:r>
      <w:r w:rsidRPr="001F209E">
        <w:rPr>
          <w:rFonts w:ascii="Calibri" w:hAnsi="Calibri" w:cs="Calibri"/>
          <w:i/>
          <w:iCs/>
          <w:noProof/>
          <w:sz w:val="24"/>
          <w:szCs w:val="24"/>
        </w:rPr>
        <w:t>Environ. Res. Lett.</w:t>
      </w:r>
      <w:r w:rsidRPr="001F209E">
        <w:rPr>
          <w:rFonts w:ascii="Calibri" w:hAnsi="Calibri" w:cs="Calibri"/>
          <w:noProof/>
          <w:sz w:val="24"/>
          <w:szCs w:val="24"/>
        </w:rPr>
        <w:t xml:space="preserve"> </w:t>
      </w:r>
      <w:r w:rsidRPr="001F209E">
        <w:rPr>
          <w:rFonts w:ascii="Calibri" w:hAnsi="Calibri" w:cs="Calibri"/>
          <w:b/>
          <w:bCs/>
          <w:noProof/>
          <w:sz w:val="24"/>
          <w:szCs w:val="24"/>
        </w:rPr>
        <w:t>9</w:t>
      </w:r>
    </w:p>
    <w:p w14:paraId="08F6B523" w14:textId="77777777" w:rsidR="001F209E" w:rsidRPr="001F209E" w:rsidRDefault="001F209E" w:rsidP="001F209E">
      <w:pPr>
        <w:widowControl w:val="0"/>
        <w:autoSpaceDE w:val="0"/>
        <w:autoSpaceDN w:val="0"/>
        <w:adjustRightInd w:val="0"/>
        <w:ind w:left="480" w:hanging="480"/>
        <w:rPr>
          <w:rFonts w:ascii="Calibri" w:hAnsi="Calibri" w:cs="Calibri"/>
          <w:noProof/>
          <w:sz w:val="24"/>
          <w:szCs w:val="24"/>
        </w:rPr>
      </w:pPr>
      <w:r w:rsidRPr="001F209E">
        <w:rPr>
          <w:rFonts w:ascii="Calibri" w:hAnsi="Calibri" w:cs="Calibri"/>
          <w:noProof/>
          <w:sz w:val="24"/>
          <w:szCs w:val="24"/>
        </w:rPr>
        <w:t xml:space="preserve">Jones C D, Hughes J K, Bellouin N, Hardiman S C, Jones G S, Knight J, Liddicoat S, O’Connor F M, Andres R J, Bell C, Boo K O, Bozzo A, Butchart N, Cadule P, Corbin K D, Doutriaux-Boucher M, Friedlingstein P, Gornall J, Gray L, Halloran P R, Hurtt G, Ingram W J, Lamarque J F, Law R M, Meinshausen M, Osprey S, Palin E J, Parsons Chini L, Raddatz T, Sanderson M G, Sellar A A, Schurer A, Valdes P, Wood N, Woodward S, Yoshioka M and Zerroukat M 2011 The HadGEM2-ES implementation of CMIP5 centennial simulations </w:t>
      </w:r>
      <w:r w:rsidRPr="001F209E">
        <w:rPr>
          <w:rFonts w:ascii="Calibri" w:hAnsi="Calibri" w:cs="Calibri"/>
          <w:i/>
          <w:iCs/>
          <w:noProof/>
          <w:sz w:val="24"/>
          <w:szCs w:val="24"/>
        </w:rPr>
        <w:t>Geosci. Model Dev.</w:t>
      </w:r>
      <w:r w:rsidRPr="001F209E">
        <w:rPr>
          <w:rFonts w:ascii="Calibri" w:hAnsi="Calibri" w:cs="Calibri"/>
          <w:noProof/>
          <w:sz w:val="24"/>
          <w:szCs w:val="24"/>
        </w:rPr>
        <w:t xml:space="preserve"> </w:t>
      </w:r>
      <w:r w:rsidRPr="001F209E">
        <w:rPr>
          <w:rFonts w:ascii="Calibri" w:hAnsi="Calibri" w:cs="Calibri"/>
          <w:b/>
          <w:bCs/>
          <w:noProof/>
          <w:sz w:val="24"/>
          <w:szCs w:val="24"/>
        </w:rPr>
        <w:t>4</w:t>
      </w:r>
      <w:r w:rsidRPr="001F209E">
        <w:rPr>
          <w:rFonts w:ascii="Calibri" w:hAnsi="Calibri" w:cs="Calibri"/>
          <w:noProof/>
          <w:sz w:val="24"/>
          <w:szCs w:val="24"/>
        </w:rPr>
        <w:t xml:space="preserve"> 543–70</w:t>
      </w:r>
    </w:p>
    <w:p w14:paraId="7B8FB583" w14:textId="77777777" w:rsidR="001F209E" w:rsidRPr="001F209E" w:rsidRDefault="001F209E" w:rsidP="001F209E">
      <w:pPr>
        <w:widowControl w:val="0"/>
        <w:autoSpaceDE w:val="0"/>
        <w:autoSpaceDN w:val="0"/>
        <w:adjustRightInd w:val="0"/>
        <w:ind w:left="480" w:hanging="480"/>
        <w:rPr>
          <w:rFonts w:ascii="Calibri" w:hAnsi="Calibri" w:cs="Calibri"/>
          <w:noProof/>
          <w:sz w:val="24"/>
          <w:szCs w:val="24"/>
        </w:rPr>
      </w:pPr>
      <w:r w:rsidRPr="001F209E">
        <w:rPr>
          <w:rFonts w:ascii="Calibri" w:hAnsi="Calibri" w:cs="Calibri"/>
          <w:noProof/>
          <w:sz w:val="24"/>
          <w:szCs w:val="24"/>
        </w:rPr>
        <w:t xml:space="preserve">Könönen M, Jauhiainen J, Straková P, Heinonsalo J, Laiho R, Kusin K, Limin S and Vasander H 2018 Deforested and drained tropical peatland sites show poorer peat substrate quality and lower microbial biomass and activity than unmanaged swamp forest </w:t>
      </w:r>
      <w:r w:rsidRPr="001F209E">
        <w:rPr>
          <w:rFonts w:ascii="Calibri" w:hAnsi="Calibri" w:cs="Calibri"/>
          <w:i/>
          <w:iCs/>
          <w:noProof/>
          <w:sz w:val="24"/>
          <w:szCs w:val="24"/>
        </w:rPr>
        <w:t>Soil Biol. Biochem.</w:t>
      </w:r>
      <w:r w:rsidRPr="001F209E">
        <w:rPr>
          <w:rFonts w:ascii="Calibri" w:hAnsi="Calibri" w:cs="Calibri"/>
          <w:noProof/>
          <w:sz w:val="24"/>
          <w:szCs w:val="24"/>
        </w:rPr>
        <w:t xml:space="preserve"> </w:t>
      </w:r>
      <w:r w:rsidRPr="001F209E">
        <w:rPr>
          <w:rFonts w:ascii="Calibri" w:hAnsi="Calibri" w:cs="Calibri"/>
          <w:b/>
          <w:bCs/>
          <w:noProof/>
          <w:sz w:val="24"/>
          <w:szCs w:val="24"/>
        </w:rPr>
        <w:t>123</w:t>
      </w:r>
      <w:r w:rsidRPr="001F209E">
        <w:rPr>
          <w:rFonts w:ascii="Calibri" w:hAnsi="Calibri" w:cs="Calibri"/>
          <w:noProof/>
          <w:sz w:val="24"/>
          <w:szCs w:val="24"/>
        </w:rPr>
        <w:t xml:space="preserve"> 229–41</w:t>
      </w:r>
    </w:p>
    <w:p w14:paraId="53334C76" w14:textId="77777777" w:rsidR="001F209E" w:rsidRPr="001F209E" w:rsidRDefault="001F209E" w:rsidP="001F209E">
      <w:pPr>
        <w:widowControl w:val="0"/>
        <w:autoSpaceDE w:val="0"/>
        <w:autoSpaceDN w:val="0"/>
        <w:adjustRightInd w:val="0"/>
        <w:ind w:left="480" w:hanging="480"/>
        <w:rPr>
          <w:rFonts w:ascii="Calibri" w:hAnsi="Calibri" w:cs="Calibri"/>
          <w:noProof/>
          <w:sz w:val="24"/>
          <w:szCs w:val="24"/>
        </w:rPr>
      </w:pPr>
      <w:r w:rsidRPr="001F209E">
        <w:rPr>
          <w:rFonts w:ascii="Calibri" w:hAnsi="Calibri" w:cs="Calibri"/>
          <w:noProof/>
          <w:sz w:val="24"/>
          <w:szCs w:val="24"/>
        </w:rPr>
        <w:t xml:space="preserve">Manning F C, Kho L K, Hill T C, Cornulier T and Teh Y A 2019 Carbon Emissions From Oil Palm Plantations on Peat Soil </w:t>
      </w:r>
      <w:r w:rsidRPr="001F209E">
        <w:rPr>
          <w:rFonts w:ascii="Calibri" w:hAnsi="Calibri" w:cs="Calibri"/>
          <w:i/>
          <w:iCs/>
          <w:noProof/>
          <w:sz w:val="24"/>
          <w:szCs w:val="24"/>
        </w:rPr>
        <w:t>Front. For. Glob. Chang.</w:t>
      </w:r>
      <w:r w:rsidRPr="001F209E">
        <w:rPr>
          <w:rFonts w:ascii="Calibri" w:hAnsi="Calibri" w:cs="Calibri"/>
          <w:noProof/>
          <w:sz w:val="24"/>
          <w:szCs w:val="24"/>
        </w:rPr>
        <w:t xml:space="preserve"> </w:t>
      </w:r>
      <w:r w:rsidRPr="001F209E">
        <w:rPr>
          <w:rFonts w:ascii="Calibri" w:hAnsi="Calibri" w:cs="Calibri"/>
          <w:b/>
          <w:bCs/>
          <w:noProof/>
          <w:sz w:val="24"/>
          <w:szCs w:val="24"/>
        </w:rPr>
        <w:t>2</w:t>
      </w:r>
    </w:p>
    <w:p w14:paraId="72093E07" w14:textId="77777777" w:rsidR="001F209E" w:rsidRPr="001F209E" w:rsidRDefault="001F209E" w:rsidP="001F209E">
      <w:pPr>
        <w:widowControl w:val="0"/>
        <w:autoSpaceDE w:val="0"/>
        <w:autoSpaceDN w:val="0"/>
        <w:adjustRightInd w:val="0"/>
        <w:ind w:left="480" w:hanging="480"/>
        <w:rPr>
          <w:rFonts w:ascii="Calibri" w:hAnsi="Calibri" w:cs="Calibri"/>
          <w:noProof/>
          <w:sz w:val="24"/>
          <w:szCs w:val="24"/>
        </w:rPr>
      </w:pPr>
      <w:r w:rsidRPr="001F209E">
        <w:rPr>
          <w:rFonts w:ascii="Calibri" w:hAnsi="Calibri" w:cs="Calibri"/>
          <w:noProof/>
          <w:sz w:val="24"/>
          <w:szCs w:val="24"/>
        </w:rPr>
        <w:lastRenderedPageBreak/>
        <w:t xml:space="preserve">Marwanto S, Sabiham S and Funakawa S 2019 Importance of CO2 production in subsoil layers of drained tropical peatland under mature oil palm plantation </w:t>
      </w:r>
      <w:r w:rsidRPr="001F209E">
        <w:rPr>
          <w:rFonts w:ascii="Calibri" w:hAnsi="Calibri" w:cs="Calibri"/>
          <w:i/>
          <w:iCs/>
          <w:noProof/>
          <w:sz w:val="24"/>
          <w:szCs w:val="24"/>
        </w:rPr>
        <w:t>Soil Tillage Res.</w:t>
      </w:r>
      <w:r w:rsidRPr="001F209E">
        <w:rPr>
          <w:rFonts w:ascii="Calibri" w:hAnsi="Calibri" w:cs="Calibri"/>
          <w:noProof/>
          <w:sz w:val="24"/>
          <w:szCs w:val="24"/>
        </w:rPr>
        <w:t xml:space="preserve"> </w:t>
      </w:r>
      <w:r w:rsidRPr="001F209E">
        <w:rPr>
          <w:rFonts w:ascii="Calibri" w:hAnsi="Calibri" w:cs="Calibri"/>
          <w:b/>
          <w:bCs/>
          <w:noProof/>
          <w:sz w:val="24"/>
          <w:szCs w:val="24"/>
        </w:rPr>
        <w:t>186</w:t>
      </w:r>
      <w:r w:rsidRPr="001F209E">
        <w:rPr>
          <w:rFonts w:ascii="Calibri" w:hAnsi="Calibri" w:cs="Calibri"/>
          <w:noProof/>
          <w:sz w:val="24"/>
          <w:szCs w:val="24"/>
        </w:rPr>
        <w:t xml:space="preserve"> 206–13 Online: https://doi.org/10.1016/j.still.2018.10.021</w:t>
      </w:r>
    </w:p>
    <w:p w14:paraId="679D99B6" w14:textId="77777777" w:rsidR="001F209E" w:rsidRPr="001F209E" w:rsidRDefault="001F209E" w:rsidP="001F209E">
      <w:pPr>
        <w:widowControl w:val="0"/>
        <w:autoSpaceDE w:val="0"/>
        <w:autoSpaceDN w:val="0"/>
        <w:adjustRightInd w:val="0"/>
        <w:ind w:left="480" w:hanging="480"/>
        <w:rPr>
          <w:rFonts w:ascii="Calibri" w:hAnsi="Calibri" w:cs="Calibri"/>
          <w:noProof/>
          <w:sz w:val="24"/>
          <w:szCs w:val="24"/>
        </w:rPr>
      </w:pPr>
      <w:r w:rsidRPr="001F209E">
        <w:rPr>
          <w:rFonts w:ascii="Calibri" w:hAnsi="Calibri" w:cs="Calibri"/>
          <w:noProof/>
          <w:sz w:val="24"/>
          <w:szCs w:val="24"/>
        </w:rPr>
        <w:t xml:space="preserve">Matysek M, Evers S, Samuel M K and Sjogersten S 2018 High heterotrophic CO2 emissions from a Malaysian oil palm plantations during dry-season </w:t>
      </w:r>
      <w:r w:rsidRPr="001F209E">
        <w:rPr>
          <w:rFonts w:ascii="Calibri" w:hAnsi="Calibri" w:cs="Calibri"/>
          <w:i/>
          <w:iCs/>
          <w:noProof/>
          <w:sz w:val="24"/>
          <w:szCs w:val="24"/>
        </w:rPr>
        <w:t>Wetl. Ecol. Manag.</w:t>
      </w:r>
      <w:r w:rsidRPr="001F209E">
        <w:rPr>
          <w:rFonts w:ascii="Calibri" w:hAnsi="Calibri" w:cs="Calibri"/>
          <w:noProof/>
          <w:sz w:val="24"/>
          <w:szCs w:val="24"/>
        </w:rPr>
        <w:t xml:space="preserve"> </w:t>
      </w:r>
      <w:r w:rsidRPr="001F209E">
        <w:rPr>
          <w:rFonts w:ascii="Calibri" w:hAnsi="Calibri" w:cs="Calibri"/>
          <w:b/>
          <w:bCs/>
          <w:noProof/>
          <w:sz w:val="24"/>
          <w:szCs w:val="24"/>
        </w:rPr>
        <w:t>26</w:t>
      </w:r>
      <w:r w:rsidRPr="001F209E">
        <w:rPr>
          <w:rFonts w:ascii="Calibri" w:hAnsi="Calibri" w:cs="Calibri"/>
          <w:noProof/>
          <w:sz w:val="24"/>
          <w:szCs w:val="24"/>
        </w:rPr>
        <w:t xml:space="preserve"> 415–24 Online: https://doi.org/10.1007/s11273-017-9583-6</w:t>
      </w:r>
    </w:p>
    <w:p w14:paraId="241ECF09" w14:textId="77777777" w:rsidR="001F209E" w:rsidRPr="001F209E" w:rsidRDefault="001F209E" w:rsidP="001F209E">
      <w:pPr>
        <w:widowControl w:val="0"/>
        <w:autoSpaceDE w:val="0"/>
        <w:autoSpaceDN w:val="0"/>
        <w:adjustRightInd w:val="0"/>
        <w:ind w:left="480" w:hanging="480"/>
        <w:rPr>
          <w:rFonts w:ascii="Calibri" w:hAnsi="Calibri" w:cs="Calibri"/>
          <w:noProof/>
          <w:sz w:val="24"/>
          <w:szCs w:val="24"/>
        </w:rPr>
      </w:pPr>
      <w:r w:rsidRPr="001F209E">
        <w:rPr>
          <w:rFonts w:ascii="Calibri" w:hAnsi="Calibri" w:cs="Calibri"/>
          <w:noProof/>
          <w:sz w:val="24"/>
          <w:szCs w:val="24"/>
        </w:rPr>
        <w:t xml:space="preserve">Miettinen J, Hooijer A, Vernimmen R, Liew S C and Page S E 2017 From carbon sink to carbon source: Extensive peat oxidation in insular Southeast Asia since 1990 </w:t>
      </w:r>
      <w:r w:rsidRPr="001F209E">
        <w:rPr>
          <w:rFonts w:ascii="Calibri" w:hAnsi="Calibri" w:cs="Calibri"/>
          <w:i/>
          <w:iCs/>
          <w:noProof/>
          <w:sz w:val="24"/>
          <w:szCs w:val="24"/>
        </w:rPr>
        <w:t>Environ. Res. Lett.</w:t>
      </w:r>
      <w:r w:rsidRPr="001F209E">
        <w:rPr>
          <w:rFonts w:ascii="Calibri" w:hAnsi="Calibri" w:cs="Calibri"/>
          <w:noProof/>
          <w:sz w:val="24"/>
          <w:szCs w:val="24"/>
        </w:rPr>
        <w:t xml:space="preserve"> </w:t>
      </w:r>
      <w:r w:rsidRPr="001F209E">
        <w:rPr>
          <w:rFonts w:ascii="Calibri" w:hAnsi="Calibri" w:cs="Calibri"/>
          <w:b/>
          <w:bCs/>
          <w:noProof/>
          <w:sz w:val="24"/>
          <w:szCs w:val="24"/>
        </w:rPr>
        <w:t>12</w:t>
      </w:r>
      <w:r w:rsidRPr="001F209E">
        <w:rPr>
          <w:rFonts w:ascii="Calibri" w:hAnsi="Calibri" w:cs="Calibri"/>
          <w:noProof/>
          <w:sz w:val="24"/>
          <w:szCs w:val="24"/>
        </w:rPr>
        <w:t xml:space="preserve"> 024014</w:t>
      </w:r>
    </w:p>
    <w:p w14:paraId="4CF93FAB" w14:textId="77777777" w:rsidR="001F209E" w:rsidRPr="001F209E" w:rsidRDefault="001F209E" w:rsidP="001F209E">
      <w:pPr>
        <w:widowControl w:val="0"/>
        <w:autoSpaceDE w:val="0"/>
        <w:autoSpaceDN w:val="0"/>
        <w:adjustRightInd w:val="0"/>
        <w:ind w:left="480" w:hanging="480"/>
        <w:rPr>
          <w:rFonts w:ascii="Calibri" w:hAnsi="Calibri" w:cs="Calibri"/>
          <w:noProof/>
          <w:sz w:val="24"/>
          <w:szCs w:val="24"/>
        </w:rPr>
      </w:pPr>
      <w:r w:rsidRPr="001F209E">
        <w:rPr>
          <w:rFonts w:ascii="Calibri" w:hAnsi="Calibri" w:cs="Calibri"/>
          <w:noProof/>
          <w:sz w:val="24"/>
          <w:szCs w:val="24"/>
        </w:rPr>
        <w:t xml:space="preserve">Miettinen J, Shi C and Liew S C 2016 Land cover distribution in the peatlands of Peninsular Malaysia, Sumatra and Borneo in 2015 with changes since 1990 </w:t>
      </w:r>
      <w:r w:rsidRPr="001F209E">
        <w:rPr>
          <w:rFonts w:ascii="Calibri" w:hAnsi="Calibri" w:cs="Calibri"/>
          <w:i/>
          <w:iCs/>
          <w:noProof/>
          <w:sz w:val="24"/>
          <w:szCs w:val="24"/>
        </w:rPr>
        <w:t>Glob. Ecol. Conserv.</w:t>
      </w:r>
      <w:r w:rsidRPr="001F209E">
        <w:rPr>
          <w:rFonts w:ascii="Calibri" w:hAnsi="Calibri" w:cs="Calibri"/>
          <w:noProof/>
          <w:sz w:val="24"/>
          <w:szCs w:val="24"/>
        </w:rPr>
        <w:t xml:space="preserve"> </w:t>
      </w:r>
      <w:r w:rsidRPr="001F209E">
        <w:rPr>
          <w:rFonts w:ascii="Calibri" w:hAnsi="Calibri" w:cs="Calibri"/>
          <w:b/>
          <w:bCs/>
          <w:noProof/>
          <w:sz w:val="24"/>
          <w:szCs w:val="24"/>
        </w:rPr>
        <w:t>6</w:t>
      </w:r>
      <w:r w:rsidRPr="001F209E">
        <w:rPr>
          <w:rFonts w:ascii="Calibri" w:hAnsi="Calibri" w:cs="Calibri"/>
          <w:noProof/>
          <w:sz w:val="24"/>
          <w:szCs w:val="24"/>
        </w:rPr>
        <w:t xml:space="preserve"> 67–78</w:t>
      </w:r>
    </w:p>
    <w:p w14:paraId="110C7431" w14:textId="77777777" w:rsidR="001F209E" w:rsidRPr="001F209E" w:rsidRDefault="001F209E" w:rsidP="001F209E">
      <w:pPr>
        <w:widowControl w:val="0"/>
        <w:autoSpaceDE w:val="0"/>
        <w:autoSpaceDN w:val="0"/>
        <w:adjustRightInd w:val="0"/>
        <w:ind w:left="480" w:hanging="480"/>
        <w:rPr>
          <w:rFonts w:ascii="Calibri" w:hAnsi="Calibri" w:cs="Calibri"/>
          <w:noProof/>
          <w:sz w:val="24"/>
          <w:szCs w:val="24"/>
        </w:rPr>
      </w:pPr>
      <w:r w:rsidRPr="001F209E">
        <w:rPr>
          <w:rFonts w:ascii="Calibri" w:hAnsi="Calibri" w:cs="Calibri"/>
          <w:noProof/>
          <w:sz w:val="24"/>
          <w:szCs w:val="24"/>
        </w:rPr>
        <w:t xml:space="preserve">Myneni R B, Yang W, Nemani R R, Huete A R, Dickinson R E, Knyazikhin Y, Didan K, Fu R, Negrón Juárez R I, Saatchi S S, Hashimoto H, Ichii K, Shabanov N V., Tan B, Ratana P, Privette J L, Morisette J T, Vermote E F, Roy D P, Wolfe R E, Friedl M A, Running S W, Votava P, El-Saleous N, Devadiga S, Su Y and Salomonson V V. 2007 Large seasonal swings in leaf area of Amazon rainforests </w:t>
      </w:r>
      <w:r w:rsidRPr="001F209E">
        <w:rPr>
          <w:rFonts w:ascii="Calibri" w:hAnsi="Calibri" w:cs="Calibri"/>
          <w:i/>
          <w:iCs/>
          <w:noProof/>
          <w:sz w:val="24"/>
          <w:szCs w:val="24"/>
        </w:rPr>
        <w:t>Proc. Natl. Acad. Sci. U. S. A.</w:t>
      </w:r>
      <w:r w:rsidRPr="001F209E">
        <w:rPr>
          <w:rFonts w:ascii="Calibri" w:hAnsi="Calibri" w:cs="Calibri"/>
          <w:noProof/>
          <w:sz w:val="24"/>
          <w:szCs w:val="24"/>
        </w:rPr>
        <w:t xml:space="preserve"> </w:t>
      </w:r>
      <w:r w:rsidRPr="001F209E">
        <w:rPr>
          <w:rFonts w:ascii="Calibri" w:hAnsi="Calibri" w:cs="Calibri"/>
          <w:b/>
          <w:bCs/>
          <w:noProof/>
          <w:sz w:val="24"/>
          <w:szCs w:val="24"/>
        </w:rPr>
        <w:t>104</w:t>
      </w:r>
      <w:r w:rsidRPr="001F209E">
        <w:rPr>
          <w:rFonts w:ascii="Calibri" w:hAnsi="Calibri" w:cs="Calibri"/>
          <w:noProof/>
          <w:sz w:val="24"/>
          <w:szCs w:val="24"/>
        </w:rPr>
        <w:t xml:space="preserve"> 4820–3</w:t>
      </w:r>
    </w:p>
    <w:p w14:paraId="25D232F3" w14:textId="77777777" w:rsidR="001F209E" w:rsidRPr="001F209E" w:rsidRDefault="001F209E" w:rsidP="001F209E">
      <w:pPr>
        <w:widowControl w:val="0"/>
        <w:autoSpaceDE w:val="0"/>
        <w:autoSpaceDN w:val="0"/>
        <w:adjustRightInd w:val="0"/>
        <w:ind w:left="480" w:hanging="480"/>
        <w:rPr>
          <w:rFonts w:ascii="Calibri" w:hAnsi="Calibri" w:cs="Calibri"/>
          <w:noProof/>
          <w:sz w:val="24"/>
          <w:szCs w:val="24"/>
        </w:rPr>
      </w:pPr>
      <w:r w:rsidRPr="001F209E">
        <w:rPr>
          <w:rFonts w:ascii="Calibri" w:hAnsi="Calibri" w:cs="Calibri"/>
          <w:noProof/>
          <w:sz w:val="24"/>
          <w:szCs w:val="24"/>
        </w:rPr>
        <w:t xml:space="preserve">Sakabe A, Itoh M, Hirano T and Kusin K 2018 Ecosystem-scale methane flux in tropical peat swamp forest in Indonesia </w:t>
      </w:r>
      <w:r w:rsidRPr="001F209E">
        <w:rPr>
          <w:rFonts w:ascii="Calibri" w:hAnsi="Calibri" w:cs="Calibri"/>
          <w:i/>
          <w:iCs/>
          <w:noProof/>
          <w:sz w:val="24"/>
          <w:szCs w:val="24"/>
        </w:rPr>
        <w:t>Glob. Chang. Biol.</w:t>
      </w:r>
      <w:r w:rsidRPr="001F209E">
        <w:rPr>
          <w:rFonts w:ascii="Calibri" w:hAnsi="Calibri" w:cs="Calibri"/>
          <w:noProof/>
          <w:sz w:val="24"/>
          <w:szCs w:val="24"/>
        </w:rPr>
        <w:t xml:space="preserve"> </w:t>
      </w:r>
      <w:r w:rsidRPr="001F209E">
        <w:rPr>
          <w:rFonts w:ascii="Calibri" w:hAnsi="Calibri" w:cs="Calibri"/>
          <w:b/>
          <w:bCs/>
          <w:noProof/>
          <w:sz w:val="24"/>
          <w:szCs w:val="24"/>
        </w:rPr>
        <w:t>24</w:t>
      </w:r>
      <w:r w:rsidRPr="001F209E">
        <w:rPr>
          <w:rFonts w:ascii="Calibri" w:hAnsi="Calibri" w:cs="Calibri"/>
          <w:noProof/>
          <w:sz w:val="24"/>
          <w:szCs w:val="24"/>
        </w:rPr>
        <w:t xml:space="preserve"> 5123–36 Online: http://doi.wiley.com/10.1111/gcb.14410</w:t>
      </w:r>
    </w:p>
    <w:p w14:paraId="0BF96222" w14:textId="77777777" w:rsidR="001F209E" w:rsidRPr="001F209E" w:rsidRDefault="001F209E" w:rsidP="001F209E">
      <w:pPr>
        <w:widowControl w:val="0"/>
        <w:autoSpaceDE w:val="0"/>
        <w:autoSpaceDN w:val="0"/>
        <w:adjustRightInd w:val="0"/>
        <w:ind w:left="480" w:hanging="480"/>
        <w:rPr>
          <w:rFonts w:ascii="Calibri" w:hAnsi="Calibri" w:cs="Calibri"/>
          <w:noProof/>
          <w:sz w:val="24"/>
          <w:szCs w:val="24"/>
        </w:rPr>
      </w:pPr>
      <w:r w:rsidRPr="001F209E">
        <w:rPr>
          <w:rFonts w:ascii="Calibri" w:hAnsi="Calibri" w:cs="Calibri"/>
          <w:noProof/>
          <w:sz w:val="24"/>
          <w:szCs w:val="24"/>
        </w:rPr>
        <w:t xml:space="preserve">Schroeder W, Oliva P, Giglio L and Csiszar I A 2014 The New VIIRS 375 m active fire detection data product: Algorithm description and initial assessment </w:t>
      </w:r>
      <w:r w:rsidRPr="001F209E">
        <w:rPr>
          <w:rFonts w:ascii="Calibri" w:hAnsi="Calibri" w:cs="Calibri"/>
          <w:i/>
          <w:iCs/>
          <w:noProof/>
          <w:sz w:val="24"/>
          <w:szCs w:val="24"/>
        </w:rPr>
        <w:t>Remote Sens. Environ.</w:t>
      </w:r>
      <w:r w:rsidRPr="001F209E">
        <w:rPr>
          <w:rFonts w:ascii="Calibri" w:hAnsi="Calibri" w:cs="Calibri"/>
          <w:noProof/>
          <w:sz w:val="24"/>
          <w:szCs w:val="24"/>
        </w:rPr>
        <w:t xml:space="preserve"> </w:t>
      </w:r>
      <w:r w:rsidRPr="001F209E">
        <w:rPr>
          <w:rFonts w:ascii="Calibri" w:hAnsi="Calibri" w:cs="Calibri"/>
          <w:b/>
          <w:bCs/>
          <w:noProof/>
          <w:sz w:val="24"/>
          <w:szCs w:val="24"/>
        </w:rPr>
        <w:t>143</w:t>
      </w:r>
      <w:r w:rsidRPr="001F209E">
        <w:rPr>
          <w:rFonts w:ascii="Calibri" w:hAnsi="Calibri" w:cs="Calibri"/>
          <w:noProof/>
          <w:sz w:val="24"/>
          <w:szCs w:val="24"/>
        </w:rPr>
        <w:t xml:space="preserve"> 85–96 Online: https://www.sciencedirect.com/science/article/pii/S0034425713004483</w:t>
      </w:r>
    </w:p>
    <w:p w14:paraId="79365B42" w14:textId="77777777" w:rsidR="001F209E" w:rsidRPr="001F209E" w:rsidRDefault="001F209E" w:rsidP="001F209E">
      <w:pPr>
        <w:widowControl w:val="0"/>
        <w:autoSpaceDE w:val="0"/>
        <w:autoSpaceDN w:val="0"/>
        <w:adjustRightInd w:val="0"/>
        <w:ind w:left="480" w:hanging="480"/>
        <w:rPr>
          <w:rFonts w:ascii="Calibri" w:hAnsi="Calibri" w:cs="Calibri"/>
          <w:noProof/>
          <w:sz w:val="24"/>
          <w:szCs w:val="24"/>
        </w:rPr>
      </w:pPr>
      <w:r w:rsidRPr="001F209E">
        <w:rPr>
          <w:rFonts w:ascii="Calibri" w:hAnsi="Calibri" w:cs="Calibri"/>
          <w:noProof/>
          <w:sz w:val="24"/>
          <w:szCs w:val="24"/>
        </w:rPr>
        <w:t xml:space="preserve">Shatnawi N and Abu Qdais H 2019 Mapping urban land surface temperature using remote sensing techniques and artificial neural network modelling </w:t>
      </w:r>
      <w:r w:rsidRPr="001F209E">
        <w:rPr>
          <w:rFonts w:ascii="Calibri" w:hAnsi="Calibri" w:cs="Calibri"/>
          <w:i/>
          <w:iCs/>
          <w:noProof/>
          <w:sz w:val="24"/>
          <w:szCs w:val="24"/>
        </w:rPr>
        <w:t>Int. J. Remote Sens.</w:t>
      </w:r>
      <w:r w:rsidRPr="001F209E">
        <w:rPr>
          <w:rFonts w:ascii="Calibri" w:hAnsi="Calibri" w:cs="Calibri"/>
          <w:noProof/>
          <w:sz w:val="24"/>
          <w:szCs w:val="24"/>
        </w:rPr>
        <w:t xml:space="preserve"> </w:t>
      </w:r>
      <w:r w:rsidRPr="001F209E">
        <w:rPr>
          <w:rFonts w:ascii="Calibri" w:hAnsi="Calibri" w:cs="Calibri"/>
          <w:b/>
          <w:bCs/>
          <w:noProof/>
          <w:sz w:val="24"/>
          <w:szCs w:val="24"/>
        </w:rPr>
        <w:t>40</w:t>
      </w:r>
      <w:r w:rsidRPr="001F209E">
        <w:rPr>
          <w:rFonts w:ascii="Calibri" w:hAnsi="Calibri" w:cs="Calibri"/>
          <w:noProof/>
          <w:sz w:val="24"/>
          <w:szCs w:val="24"/>
        </w:rPr>
        <w:t xml:space="preserve"> 3968–83 Online: https://doi.org/10.1080/01431161.2018.1557792</w:t>
      </w:r>
    </w:p>
    <w:p w14:paraId="3557F9EC" w14:textId="77777777" w:rsidR="001F209E" w:rsidRPr="001F209E" w:rsidRDefault="001F209E" w:rsidP="001F209E">
      <w:pPr>
        <w:widowControl w:val="0"/>
        <w:autoSpaceDE w:val="0"/>
        <w:autoSpaceDN w:val="0"/>
        <w:adjustRightInd w:val="0"/>
        <w:ind w:left="480" w:hanging="480"/>
        <w:rPr>
          <w:rFonts w:ascii="Calibri" w:hAnsi="Calibri" w:cs="Calibri"/>
          <w:noProof/>
          <w:sz w:val="24"/>
          <w:szCs w:val="24"/>
        </w:rPr>
      </w:pPr>
      <w:r w:rsidRPr="001F209E">
        <w:rPr>
          <w:rFonts w:ascii="Calibri" w:hAnsi="Calibri" w:cs="Calibri"/>
          <w:noProof/>
          <w:sz w:val="24"/>
          <w:szCs w:val="24"/>
        </w:rPr>
        <w:t xml:space="preserve">Stevens B, Giorgetta M, Esch M, Mauritsen T, Crueger T, Rast S, Salzmann M, Schmidt H, Bader J, Block K, Brokopf R, Fast I, Kinne S, Kornblueh L, Lohmann U, Pincus R, Reichler T and Roeckner E 2013 Atmospheric component of the MPI-M earth system model: ECHAM6 </w:t>
      </w:r>
      <w:r w:rsidRPr="001F209E">
        <w:rPr>
          <w:rFonts w:ascii="Calibri" w:hAnsi="Calibri" w:cs="Calibri"/>
          <w:i/>
          <w:iCs/>
          <w:noProof/>
          <w:sz w:val="24"/>
          <w:szCs w:val="24"/>
        </w:rPr>
        <w:t>J. Adv. Model. Earth Syst.</w:t>
      </w:r>
      <w:r w:rsidRPr="001F209E">
        <w:rPr>
          <w:rFonts w:ascii="Calibri" w:hAnsi="Calibri" w:cs="Calibri"/>
          <w:noProof/>
          <w:sz w:val="24"/>
          <w:szCs w:val="24"/>
        </w:rPr>
        <w:t xml:space="preserve"> </w:t>
      </w:r>
      <w:r w:rsidRPr="001F209E">
        <w:rPr>
          <w:rFonts w:ascii="Calibri" w:hAnsi="Calibri" w:cs="Calibri"/>
          <w:b/>
          <w:bCs/>
          <w:noProof/>
          <w:sz w:val="24"/>
          <w:szCs w:val="24"/>
        </w:rPr>
        <w:t>5</w:t>
      </w:r>
      <w:r w:rsidRPr="001F209E">
        <w:rPr>
          <w:rFonts w:ascii="Calibri" w:hAnsi="Calibri" w:cs="Calibri"/>
          <w:noProof/>
          <w:sz w:val="24"/>
          <w:szCs w:val="24"/>
        </w:rPr>
        <w:t xml:space="preserve"> 146–72</w:t>
      </w:r>
    </w:p>
    <w:p w14:paraId="0B1BB1D2" w14:textId="77777777" w:rsidR="001F209E" w:rsidRPr="001F209E" w:rsidRDefault="001F209E" w:rsidP="001F209E">
      <w:pPr>
        <w:widowControl w:val="0"/>
        <w:autoSpaceDE w:val="0"/>
        <w:autoSpaceDN w:val="0"/>
        <w:adjustRightInd w:val="0"/>
        <w:ind w:left="480" w:hanging="480"/>
        <w:rPr>
          <w:rFonts w:ascii="Calibri" w:hAnsi="Calibri" w:cs="Calibri"/>
          <w:noProof/>
          <w:sz w:val="24"/>
          <w:szCs w:val="24"/>
        </w:rPr>
      </w:pPr>
      <w:r w:rsidRPr="001F209E">
        <w:rPr>
          <w:rFonts w:ascii="Calibri" w:hAnsi="Calibri" w:cs="Calibri"/>
          <w:noProof/>
          <w:sz w:val="24"/>
          <w:szCs w:val="24"/>
        </w:rPr>
        <w:t xml:space="preserve">Swails E, Hertanti D, Hergoualc’h K, Verchot L and Lawrence D 2019 The response of soil respiration to climatic drivers in undrained forest and drained oil palm plantations in an Indonesian peatland </w:t>
      </w:r>
      <w:r w:rsidRPr="001F209E">
        <w:rPr>
          <w:rFonts w:ascii="Calibri" w:hAnsi="Calibri" w:cs="Calibri"/>
          <w:i/>
          <w:iCs/>
          <w:noProof/>
          <w:sz w:val="24"/>
          <w:szCs w:val="24"/>
        </w:rPr>
        <w:t>Biogeochemistry</w:t>
      </w:r>
      <w:r w:rsidRPr="001F209E">
        <w:rPr>
          <w:rFonts w:ascii="Calibri" w:hAnsi="Calibri" w:cs="Calibri"/>
          <w:noProof/>
          <w:sz w:val="24"/>
          <w:szCs w:val="24"/>
        </w:rPr>
        <w:t xml:space="preserve"> </w:t>
      </w:r>
      <w:r w:rsidRPr="001F209E">
        <w:rPr>
          <w:rFonts w:ascii="Calibri" w:hAnsi="Calibri" w:cs="Calibri"/>
          <w:b/>
          <w:bCs/>
          <w:noProof/>
          <w:sz w:val="24"/>
          <w:szCs w:val="24"/>
        </w:rPr>
        <w:t>142</w:t>
      </w:r>
      <w:r w:rsidRPr="001F209E">
        <w:rPr>
          <w:rFonts w:ascii="Calibri" w:hAnsi="Calibri" w:cs="Calibri"/>
          <w:noProof/>
          <w:sz w:val="24"/>
          <w:szCs w:val="24"/>
        </w:rPr>
        <w:t xml:space="preserve"> 37–51 Online: https://doi.org/10.1007/s10533-018-0519-x</w:t>
      </w:r>
    </w:p>
    <w:p w14:paraId="40818C06" w14:textId="77777777" w:rsidR="001F209E" w:rsidRPr="001F209E" w:rsidRDefault="001F209E" w:rsidP="001F209E">
      <w:pPr>
        <w:widowControl w:val="0"/>
        <w:autoSpaceDE w:val="0"/>
        <w:autoSpaceDN w:val="0"/>
        <w:adjustRightInd w:val="0"/>
        <w:ind w:left="480" w:hanging="480"/>
        <w:rPr>
          <w:rFonts w:ascii="Calibri" w:hAnsi="Calibri" w:cs="Calibri"/>
          <w:noProof/>
          <w:sz w:val="24"/>
          <w:szCs w:val="24"/>
        </w:rPr>
      </w:pPr>
      <w:r w:rsidRPr="001F209E">
        <w:rPr>
          <w:rFonts w:ascii="Calibri" w:hAnsi="Calibri" w:cs="Calibri"/>
          <w:noProof/>
          <w:sz w:val="24"/>
          <w:szCs w:val="24"/>
        </w:rPr>
        <w:t xml:space="preserve">Tang A C I, Melling L, Stoy P C, Musin K K, Aeries E B, Waili J W, Shimizu M, Poulter B and Hirata R 2020 A Bornean peat swamp forest is a net source of carbon dioxide to the atmosphere </w:t>
      </w:r>
      <w:r w:rsidRPr="001F209E">
        <w:rPr>
          <w:rFonts w:ascii="Calibri" w:hAnsi="Calibri" w:cs="Calibri"/>
          <w:i/>
          <w:iCs/>
          <w:noProof/>
          <w:sz w:val="24"/>
          <w:szCs w:val="24"/>
        </w:rPr>
        <w:t>Glob. Chang. Biol.</w:t>
      </w:r>
      <w:r w:rsidRPr="001F209E">
        <w:rPr>
          <w:rFonts w:ascii="Calibri" w:hAnsi="Calibri" w:cs="Calibri"/>
          <w:noProof/>
          <w:sz w:val="24"/>
          <w:szCs w:val="24"/>
        </w:rPr>
        <w:t xml:space="preserve"> </w:t>
      </w:r>
      <w:r w:rsidRPr="001F209E">
        <w:rPr>
          <w:rFonts w:ascii="Calibri" w:hAnsi="Calibri" w:cs="Calibri"/>
          <w:b/>
          <w:bCs/>
          <w:noProof/>
          <w:sz w:val="24"/>
          <w:szCs w:val="24"/>
        </w:rPr>
        <w:t>26</w:t>
      </w:r>
      <w:r w:rsidRPr="001F209E">
        <w:rPr>
          <w:rFonts w:ascii="Calibri" w:hAnsi="Calibri" w:cs="Calibri"/>
          <w:noProof/>
          <w:sz w:val="24"/>
          <w:szCs w:val="24"/>
        </w:rPr>
        <w:t xml:space="preserve"> 6931–44</w:t>
      </w:r>
    </w:p>
    <w:p w14:paraId="44E587A3" w14:textId="77777777" w:rsidR="001F209E" w:rsidRPr="001F209E" w:rsidRDefault="001F209E" w:rsidP="001F209E">
      <w:pPr>
        <w:widowControl w:val="0"/>
        <w:autoSpaceDE w:val="0"/>
        <w:autoSpaceDN w:val="0"/>
        <w:adjustRightInd w:val="0"/>
        <w:ind w:left="480" w:hanging="480"/>
        <w:rPr>
          <w:rFonts w:ascii="Calibri" w:hAnsi="Calibri" w:cs="Calibri"/>
          <w:noProof/>
          <w:sz w:val="24"/>
          <w:szCs w:val="24"/>
        </w:rPr>
      </w:pPr>
      <w:r w:rsidRPr="001F209E">
        <w:rPr>
          <w:rFonts w:ascii="Calibri" w:hAnsi="Calibri" w:cs="Calibri"/>
          <w:noProof/>
          <w:sz w:val="24"/>
          <w:szCs w:val="24"/>
        </w:rPr>
        <w:t>Townshend J 2016 Global Forest Cover Change (GFCC) Tree Cover Multi-Year Global 30 m V003 [Data set]</w:t>
      </w:r>
    </w:p>
    <w:p w14:paraId="349160AA" w14:textId="77777777" w:rsidR="001F209E" w:rsidRPr="001F209E" w:rsidRDefault="001F209E" w:rsidP="001F209E">
      <w:pPr>
        <w:widowControl w:val="0"/>
        <w:autoSpaceDE w:val="0"/>
        <w:autoSpaceDN w:val="0"/>
        <w:adjustRightInd w:val="0"/>
        <w:ind w:left="480" w:hanging="480"/>
        <w:rPr>
          <w:rFonts w:ascii="Calibri" w:hAnsi="Calibri" w:cs="Calibri"/>
          <w:noProof/>
          <w:sz w:val="24"/>
          <w:szCs w:val="24"/>
        </w:rPr>
      </w:pPr>
      <w:r w:rsidRPr="001F209E">
        <w:rPr>
          <w:rFonts w:ascii="Calibri" w:hAnsi="Calibri" w:cs="Calibri"/>
          <w:noProof/>
          <w:sz w:val="24"/>
          <w:szCs w:val="24"/>
        </w:rPr>
        <w:t xml:space="preserve">Wang J, Yu W, Chen X, Lei L and Chen Y 2015 Detection of potential fishing zones for neon flying squid based on remote-sensing data in the Northwest Pacific Ocean using an artificial neural network </w:t>
      </w:r>
      <w:r w:rsidRPr="001F209E">
        <w:rPr>
          <w:rFonts w:ascii="Calibri" w:hAnsi="Calibri" w:cs="Calibri"/>
          <w:i/>
          <w:iCs/>
          <w:noProof/>
          <w:sz w:val="24"/>
          <w:szCs w:val="24"/>
        </w:rPr>
        <w:t>Int. J. Remote Sens.</w:t>
      </w:r>
      <w:r w:rsidRPr="001F209E">
        <w:rPr>
          <w:rFonts w:ascii="Calibri" w:hAnsi="Calibri" w:cs="Calibri"/>
          <w:noProof/>
          <w:sz w:val="24"/>
          <w:szCs w:val="24"/>
        </w:rPr>
        <w:t xml:space="preserve"> </w:t>
      </w:r>
      <w:r w:rsidRPr="001F209E">
        <w:rPr>
          <w:rFonts w:ascii="Calibri" w:hAnsi="Calibri" w:cs="Calibri"/>
          <w:b/>
          <w:bCs/>
          <w:noProof/>
          <w:sz w:val="24"/>
          <w:szCs w:val="24"/>
        </w:rPr>
        <w:t>36</w:t>
      </w:r>
      <w:r w:rsidRPr="001F209E">
        <w:rPr>
          <w:rFonts w:ascii="Calibri" w:hAnsi="Calibri" w:cs="Calibri"/>
          <w:noProof/>
          <w:sz w:val="24"/>
          <w:szCs w:val="24"/>
        </w:rPr>
        <w:t xml:space="preserve"> 3317–30</w:t>
      </w:r>
    </w:p>
    <w:p w14:paraId="48363B8A" w14:textId="77777777" w:rsidR="001F209E" w:rsidRPr="001F209E" w:rsidRDefault="001F209E" w:rsidP="001F209E">
      <w:pPr>
        <w:widowControl w:val="0"/>
        <w:autoSpaceDE w:val="0"/>
        <w:autoSpaceDN w:val="0"/>
        <w:adjustRightInd w:val="0"/>
        <w:ind w:left="480" w:hanging="480"/>
        <w:rPr>
          <w:rFonts w:ascii="Calibri" w:hAnsi="Calibri" w:cs="Calibri"/>
          <w:noProof/>
          <w:sz w:val="24"/>
          <w:szCs w:val="24"/>
        </w:rPr>
      </w:pPr>
      <w:r w:rsidRPr="001F209E">
        <w:rPr>
          <w:rFonts w:ascii="Calibri" w:hAnsi="Calibri" w:cs="Calibri"/>
          <w:noProof/>
          <w:sz w:val="24"/>
          <w:szCs w:val="24"/>
        </w:rPr>
        <w:t xml:space="preserve">Wong G X, Hirata R, Hirano T, Kiew F, Aeries E B, Musin K K, Waili J W, Lo K S and Melling L 2018 Micrometeorological measurement of methane flux above a tropical peat swamp forest </w:t>
      </w:r>
      <w:r w:rsidRPr="001F209E">
        <w:rPr>
          <w:rFonts w:ascii="Calibri" w:hAnsi="Calibri" w:cs="Calibri"/>
          <w:i/>
          <w:iCs/>
          <w:noProof/>
          <w:sz w:val="24"/>
          <w:szCs w:val="24"/>
        </w:rPr>
        <w:lastRenderedPageBreak/>
        <w:t>Agric. For. Meteorol.</w:t>
      </w:r>
      <w:r w:rsidRPr="001F209E">
        <w:rPr>
          <w:rFonts w:ascii="Calibri" w:hAnsi="Calibri" w:cs="Calibri"/>
          <w:noProof/>
          <w:sz w:val="24"/>
          <w:szCs w:val="24"/>
        </w:rPr>
        <w:t xml:space="preserve"> </w:t>
      </w:r>
      <w:r w:rsidRPr="001F209E">
        <w:rPr>
          <w:rFonts w:ascii="Calibri" w:hAnsi="Calibri" w:cs="Calibri"/>
          <w:b/>
          <w:bCs/>
          <w:noProof/>
          <w:sz w:val="24"/>
          <w:szCs w:val="24"/>
        </w:rPr>
        <w:t>256</w:t>
      </w:r>
      <w:r w:rsidRPr="001F209E">
        <w:rPr>
          <w:rFonts w:ascii="Calibri" w:hAnsi="Calibri" w:cs="Calibri"/>
          <w:noProof/>
          <w:sz w:val="24"/>
          <w:szCs w:val="24"/>
        </w:rPr>
        <w:t>–</w:t>
      </w:r>
      <w:r w:rsidRPr="001F209E">
        <w:rPr>
          <w:rFonts w:ascii="Calibri" w:hAnsi="Calibri" w:cs="Calibri"/>
          <w:b/>
          <w:bCs/>
          <w:noProof/>
          <w:sz w:val="24"/>
          <w:szCs w:val="24"/>
        </w:rPr>
        <w:t>257</w:t>
      </w:r>
      <w:r w:rsidRPr="001F209E">
        <w:rPr>
          <w:rFonts w:ascii="Calibri" w:hAnsi="Calibri" w:cs="Calibri"/>
          <w:noProof/>
          <w:sz w:val="24"/>
          <w:szCs w:val="24"/>
        </w:rPr>
        <w:t xml:space="preserve"> 353–61</w:t>
      </w:r>
    </w:p>
    <w:p w14:paraId="6396F88B" w14:textId="77777777" w:rsidR="001F209E" w:rsidRPr="001F209E" w:rsidRDefault="001F209E" w:rsidP="001F209E">
      <w:pPr>
        <w:widowControl w:val="0"/>
        <w:autoSpaceDE w:val="0"/>
        <w:autoSpaceDN w:val="0"/>
        <w:adjustRightInd w:val="0"/>
        <w:ind w:left="480" w:hanging="480"/>
        <w:rPr>
          <w:rFonts w:ascii="Calibri" w:hAnsi="Calibri" w:cs="Calibri"/>
          <w:noProof/>
          <w:sz w:val="24"/>
        </w:rPr>
      </w:pPr>
      <w:r w:rsidRPr="001F209E">
        <w:rPr>
          <w:rFonts w:ascii="Calibri" w:hAnsi="Calibri" w:cs="Calibri"/>
          <w:noProof/>
          <w:sz w:val="24"/>
          <w:szCs w:val="24"/>
        </w:rPr>
        <w:t xml:space="preserve">Yang S, Feng Q, Liang T, Liu B, Zhang W and Xie H 2018 Modeling grassland above-ground biomass based on artificial neural network and remote sensing in the Three-River Headwaters Region </w:t>
      </w:r>
      <w:r w:rsidRPr="001F209E">
        <w:rPr>
          <w:rFonts w:ascii="Calibri" w:hAnsi="Calibri" w:cs="Calibri"/>
          <w:i/>
          <w:iCs/>
          <w:noProof/>
          <w:sz w:val="24"/>
          <w:szCs w:val="24"/>
        </w:rPr>
        <w:t>Remote Sens. Environ.</w:t>
      </w:r>
      <w:r w:rsidRPr="001F209E">
        <w:rPr>
          <w:rFonts w:ascii="Calibri" w:hAnsi="Calibri" w:cs="Calibri"/>
          <w:noProof/>
          <w:sz w:val="24"/>
          <w:szCs w:val="24"/>
        </w:rPr>
        <w:t xml:space="preserve"> </w:t>
      </w:r>
      <w:r w:rsidRPr="001F209E">
        <w:rPr>
          <w:rFonts w:ascii="Calibri" w:hAnsi="Calibri" w:cs="Calibri"/>
          <w:b/>
          <w:bCs/>
          <w:noProof/>
          <w:sz w:val="24"/>
          <w:szCs w:val="24"/>
        </w:rPr>
        <w:t>204</w:t>
      </w:r>
      <w:r w:rsidRPr="001F209E">
        <w:rPr>
          <w:rFonts w:ascii="Calibri" w:hAnsi="Calibri" w:cs="Calibri"/>
          <w:noProof/>
          <w:sz w:val="24"/>
          <w:szCs w:val="24"/>
        </w:rPr>
        <w:t xml:space="preserve"> 448–55 Online: https://doi.org/10.1016/j.rse.2017.10.011</w:t>
      </w:r>
    </w:p>
    <w:p w14:paraId="30577930" w14:textId="41533417" w:rsidR="00B80978" w:rsidRPr="00585583" w:rsidRDefault="00B80978" w:rsidP="00865B00">
      <w:pPr>
        <w:rPr>
          <w:sz w:val="24"/>
        </w:rPr>
      </w:pPr>
      <w:r>
        <w:rPr>
          <w:sz w:val="24"/>
        </w:rPr>
        <w:fldChar w:fldCharType="end"/>
      </w:r>
    </w:p>
    <w:sectPr w:rsidR="00B80978" w:rsidRPr="00585583" w:rsidSect="00FA243D">
      <w:footerReference w:type="default" r:id="rId14"/>
      <w:pgSz w:w="12240" w:h="15840"/>
      <w:pgMar w:top="1440" w:right="1440" w:bottom="1260" w:left="1440" w:header="720" w:footer="720" w:gutter="0"/>
      <w:lnNumType w:countBy="1" w:restart="continuous"/>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0B17F1F" w16cex:dateUtc="2022-04-07T08:14:24.383Z"/>
  <w16cex:commentExtensible w16cex:durableId="441E58A2" w16cex:dateUtc="2022-04-07T08:17:08.326Z"/>
  <w16cex:commentExtensible w16cex:durableId="7FB8214F" w16cex:dateUtc="2022-04-07T08:19:36.031Z"/>
  <w16cex:commentExtensible w16cex:durableId="5FFA2AAA" w16cex:dateUtc="2022-04-07T08:20:25.611Z"/>
  <w16cex:commentExtensible w16cex:durableId="07F8F889" w16cex:dateUtc="2022-04-07T08:22:07.193Z"/>
  <w16cex:commentExtensible w16cex:durableId="5223C1FC" w16cex:dateUtc="2022-04-07T08:22:27.74Z"/>
  <w16cex:commentExtensible w16cex:durableId="78973E40" w16cex:dateUtc="2022-04-07T08:23:24.125Z"/>
</w16cex:commentsExtensible>
</file>

<file path=word/commentsIds.xml><?xml version="1.0" encoding="utf-8"?>
<w16cid:commentsIds xmlns:mc="http://schemas.openxmlformats.org/markup-compatibility/2006" xmlns:w16cid="http://schemas.microsoft.com/office/word/2016/wordml/cid" mc:Ignorable="w16cid">
  <w16cid:commentId w16cid:paraId="368E6987" w16cid:durableId="4C6064E7"/>
  <w16cid:commentId w16cid:paraId="6AFBE9DA" w16cid:durableId="30B17F1F"/>
  <w16cid:commentId w16cid:paraId="34C4572C" w16cid:durableId="441E58A2"/>
  <w16cid:commentId w16cid:paraId="62154719" w16cid:durableId="7FB8214F"/>
  <w16cid:commentId w16cid:paraId="16AE9684" w16cid:durableId="5FFA2AAA"/>
  <w16cid:commentId w16cid:paraId="7540287B" w16cid:durableId="07F8F889"/>
  <w16cid:commentId w16cid:paraId="0F12A717" w16cid:durableId="5223C1FC"/>
  <w16cid:commentId w16cid:paraId="186A566B" w16cid:durableId="78973E4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1CAD6" w14:textId="77777777" w:rsidR="00C534F8" w:rsidRDefault="00C534F8" w:rsidP="00967BD9">
      <w:r>
        <w:separator/>
      </w:r>
    </w:p>
  </w:endnote>
  <w:endnote w:type="continuationSeparator" w:id="0">
    <w:p w14:paraId="65835BD7" w14:textId="77777777" w:rsidR="00C534F8" w:rsidRDefault="00C534F8" w:rsidP="00967BD9">
      <w:r>
        <w:continuationSeparator/>
      </w:r>
    </w:p>
  </w:endnote>
  <w:endnote w:type="continuationNotice" w:id="1">
    <w:p w14:paraId="4267078C" w14:textId="77777777" w:rsidR="00C534F8" w:rsidRDefault="00C534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608209"/>
      <w:docPartObj>
        <w:docPartGallery w:val="Page Numbers (Bottom of Page)"/>
        <w:docPartUnique/>
      </w:docPartObj>
    </w:sdtPr>
    <w:sdtEndPr>
      <w:rPr>
        <w:noProof/>
      </w:rPr>
    </w:sdtEndPr>
    <w:sdtContent>
      <w:p w14:paraId="1053F865" w14:textId="244F7309" w:rsidR="00977E45" w:rsidRDefault="00977E45">
        <w:pPr>
          <w:pStyle w:val="Footer"/>
          <w:jc w:val="center"/>
        </w:pPr>
        <w:r>
          <w:fldChar w:fldCharType="begin"/>
        </w:r>
        <w:r>
          <w:instrText xml:space="preserve"> PAGE   \* MERGEFORMAT </w:instrText>
        </w:r>
        <w:r>
          <w:fldChar w:fldCharType="separate"/>
        </w:r>
        <w:r w:rsidR="00236FD0">
          <w:rPr>
            <w:noProof/>
          </w:rPr>
          <w:t>1</w:t>
        </w:r>
        <w:r>
          <w:rPr>
            <w:noProof/>
          </w:rPr>
          <w:fldChar w:fldCharType="end"/>
        </w:r>
      </w:p>
    </w:sdtContent>
  </w:sdt>
  <w:p w14:paraId="300294EB" w14:textId="77777777" w:rsidR="00977E45" w:rsidRDefault="00977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A17A4" w14:textId="77777777" w:rsidR="00C534F8" w:rsidRDefault="00C534F8" w:rsidP="00967BD9">
      <w:r>
        <w:separator/>
      </w:r>
    </w:p>
  </w:footnote>
  <w:footnote w:type="continuationSeparator" w:id="0">
    <w:p w14:paraId="3DF1D261" w14:textId="77777777" w:rsidR="00C534F8" w:rsidRDefault="00C534F8" w:rsidP="00967BD9">
      <w:r>
        <w:continuationSeparator/>
      </w:r>
    </w:p>
  </w:footnote>
  <w:footnote w:type="continuationNotice" w:id="1">
    <w:p w14:paraId="5B15E709" w14:textId="77777777" w:rsidR="00C534F8" w:rsidRDefault="00C534F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E0C7A"/>
    <w:multiLevelType w:val="hybridMultilevel"/>
    <w:tmpl w:val="01C2BF2C"/>
    <w:lvl w:ilvl="0" w:tplc="4820675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4E3B2A"/>
    <w:multiLevelType w:val="hybridMultilevel"/>
    <w:tmpl w:val="CF14D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AE1"/>
    <w:rsid w:val="00005DA9"/>
    <w:rsid w:val="0001425F"/>
    <w:rsid w:val="000170EB"/>
    <w:rsid w:val="00025550"/>
    <w:rsid w:val="00042179"/>
    <w:rsid w:val="000A3F23"/>
    <w:rsid w:val="000B7F62"/>
    <w:rsid w:val="00101078"/>
    <w:rsid w:val="00154425"/>
    <w:rsid w:val="001555F6"/>
    <w:rsid w:val="0017793B"/>
    <w:rsid w:val="001C4D7C"/>
    <w:rsid w:val="001D1078"/>
    <w:rsid w:val="001D2BCE"/>
    <w:rsid w:val="001F209E"/>
    <w:rsid w:val="001F74F2"/>
    <w:rsid w:val="00206068"/>
    <w:rsid w:val="00230EC4"/>
    <w:rsid w:val="00236FD0"/>
    <w:rsid w:val="002424FF"/>
    <w:rsid w:val="002638AA"/>
    <w:rsid w:val="00271145"/>
    <w:rsid w:val="00281679"/>
    <w:rsid w:val="00297B0B"/>
    <w:rsid w:val="002A11B0"/>
    <w:rsid w:val="002B4338"/>
    <w:rsid w:val="002D48E5"/>
    <w:rsid w:val="003404D6"/>
    <w:rsid w:val="0038661C"/>
    <w:rsid w:val="003939ED"/>
    <w:rsid w:val="003A0242"/>
    <w:rsid w:val="003A78C2"/>
    <w:rsid w:val="003A7CAD"/>
    <w:rsid w:val="003B0BDA"/>
    <w:rsid w:val="003D44B9"/>
    <w:rsid w:val="003E2C93"/>
    <w:rsid w:val="00455A56"/>
    <w:rsid w:val="00467F59"/>
    <w:rsid w:val="0048186B"/>
    <w:rsid w:val="00482DEA"/>
    <w:rsid w:val="004910AC"/>
    <w:rsid w:val="004D0F89"/>
    <w:rsid w:val="0050550A"/>
    <w:rsid w:val="00510F1F"/>
    <w:rsid w:val="0052364C"/>
    <w:rsid w:val="00536368"/>
    <w:rsid w:val="00573ACF"/>
    <w:rsid w:val="00585583"/>
    <w:rsid w:val="005B6AA2"/>
    <w:rsid w:val="005C5D2B"/>
    <w:rsid w:val="00607AEA"/>
    <w:rsid w:val="0062316D"/>
    <w:rsid w:val="00632209"/>
    <w:rsid w:val="00636862"/>
    <w:rsid w:val="0066189D"/>
    <w:rsid w:val="0066556A"/>
    <w:rsid w:val="00666615"/>
    <w:rsid w:val="006A0839"/>
    <w:rsid w:val="006A2C7D"/>
    <w:rsid w:val="006A5FA7"/>
    <w:rsid w:val="006C112C"/>
    <w:rsid w:val="00710637"/>
    <w:rsid w:val="00731DE0"/>
    <w:rsid w:val="007602FE"/>
    <w:rsid w:val="00777B45"/>
    <w:rsid w:val="00791CA5"/>
    <w:rsid w:val="00793A9F"/>
    <w:rsid w:val="007A2A0F"/>
    <w:rsid w:val="007D109A"/>
    <w:rsid w:val="007D244B"/>
    <w:rsid w:val="007D4D7F"/>
    <w:rsid w:val="007F7845"/>
    <w:rsid w:val="007F7E24"/>
    <w:rsid w:val="00847FA4"/>
    <w:rsid w:val="00850D1B"/>
    <w:rsid w:val="00865B00"/>
    <w:rsid w:val="00867D9E"/>
    <w:rsid w:val="00873584"/>
    <w:rsid w:val="00875220"/>
    <w:rsid w:val="0088048E"/>
    <w:rsid w:val="00881AAD"/>
    <w:rsid w:val="00895BC9"/>
    <w:rsid w:val="00964B4A"/>
    <w:rsid w:val="00967BD9"/>
    <w:rsid w:val="009716EA"/>
    <w:rsid w:val="00977E45"/>
    <w:rsid w:val="009C3907"/>
    <w:rsid w:val="009C7527"/>
    <w:rsid w:val="009D2E78"/>
    <w:rsid w:val="009F7E72"/>
    <w:rsid w:val="00A05BFE"/>
    <w:rsid w:val="00A162D0"/>
    <w:rsid w:val="00A2742E"/>
    <w:rsid w:val="00A40585"/>
    <w:rsid w:val="00A61E5B"/>
    <w:rsid w:val="00A76C17"/>
    <w:rsid w:val="00AA1B52"/>
    <w:rsid w:val="00AC4AC6"/>
    <w:rsid w:val="00AD18B9"/>
    <w:rsid w:val="00B21AE1"/>
    <w:rsid w:val="00B327B5"/>
    <w:rsid w:val="00B62F73"/>
    <w:rsid w:val="00B80978"/>
    <w:rsid w:val="00B845F9"/>
    <w:rsid w:val="00B850F7"/>
    <w:rsid w:val="00BA34FD"/>
    <w:rsid w:val="00BB0885"/>
    <w:rsid w:val="00BD3F59"/>
    <w:rsid w:val="00BE4DF4"/>
    <w:rsid w:val="00C0269C"/>
    <w:rsid w:val="00C21A05"/>
    <w:rsid w:val="00C334E6"/>
    <w:rsid w:val="00C534F8"/>
    <w:rsid w:val="00C53507"/>
    <w:rsid w:val="00C558D6"/>
    <w:rsid w:val="00C62A9D"/>
    <w:rsid w:val="00C723F0"/>
    <w:rsid w:val="00CA4D99"/>
    <w:rsid w:val="00CF568A"/>
    <w:rsid w:val="00D06AE4"/>
    <w:rsid w:val="00D22C68"/>
    <w:rsid w:val="00D36D88"/>
    <w:rsid w:val="00D61F99"/>
    <w:rsid w:val="00D71FB6"/>
    <w:rsid w:val="00DA2BBD"/>
    <w:rsid w:val="00DA69A0"/>
    <w:rsid w:val="00DB0D59"/>
    <w:rsid w:val="00DD4FE7"/>
    <w:rsid w:val="00E063E5"/>
    <w:rsid w:val="00E07F47"/>
    <w:rsid w:val="00E20520"/>
    <w:rsid w:val="00E476BE"/>
    <w:rsid w:val="00EB1625"/>
    <w:rsid w:val="00EB5762"/>
    <w:rsid w:val="00ED2D02"/>
    <w:rsid w:val="00ED75F7"/>
    <w:rsid w:val="00F04894"/>
    <w:rsid w:val="00F10883"/>
    <w:rsid w:val="00F173A3"/>
    <w:rsid w:val="00F3349C"/>
    <w:rsid w:val="00F412DE"/>
    <w:rsid w:val="00F7525C"/>
    <w:rsid w:val="00F8693B"/>
    <w:rsid w:val="00F960A2"/>
    <w:rsid w:val="00FA243D"/>
    <w:rsid w:val="00FD1A66"/>
    <w:rsid w:val="00FE02D5"/>
    <w:rsid w:val="00FF2785"/>
    <w:rsid w:val="00FF40CF"/>
    <w:rsid w:val="4878CDF3"/>
    <w:rsid w:val="6EE16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3A410"/>
  <w15:chartTrackingRefBased/>
  <w15:docId w15:val="{683B9AF4-B89C-40A5-AACF-166D7B99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B00"/>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5B00"/>
    <w:rPr>
      <w:sz w:val="16"/>
      <w:szCs w:val="16"/>
    </w:rPr>
  </w:style>
  <w:style w:type="paragraph" w:styleId="CommentText">
    <w:name w:val="annotation text"/>
    <w:basedOn w:val="Normal"/>
    <w:link w:val="CommentTextChar"/>
    <w:uiPriority w:val="99"/>
    <w:unhideWhenUsed/>
    <w:rsid w:val="00865B00"/>
    <w:rPr>
      <w:sz w:val="20"/>
      <w:szCs w:val="20"/>
    </w:rPr>
  </w:style>
  <w:style w:type="character" w:customStyle="1" w:styleId="CommentTextChar">
    <w:name w:val="Comment Text Char"/>
    <w:basedOn w:val="DefaultParagraphFont"/>
    <w:link w:val="CommentText"/>
    <w:uiPriority w:val="99"/>
    <w:rsid w:val="00865B00"/>
    <w:rPr>
      <w:sz w:val="20"/>
      <w:szCs w:val="20"/>
    </w:rPr>
  </w:style>
  <w:style w:type="paragraph" w:styleId="BalloonText">
    <w:name w:val="Balloon Text"/>
    <w:basedOn w:val="Normal"/>
    <w:link w:val="BalloonTextChar"/>
    <w:uiPriority w:val="99"/>
    <w:semiHidden/>
    <w:unhideWhenUsed/>
    <w:rsid w:val="00865B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B00"/>
    <w:rPr>
      <w:rFonts w:ascii="Segoe UI" w:hAnsi="Segoe UI" w:cs="Segoe UI"/>
      <w:sz w:val="18"/>
      <w:szCs w:val="18"/>
    </w:rPr>
  </w:style>
  <w:style w:type="table" w:styleId="TableGrid">
    <w:name w:val="Table Grid"/>
    <w:basedOn w:val="TableNormal"/>
    <w:uiPriority w:val="39"/>
    <w:rsid w:val="00AD18B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7D9E"/>
    <w:rPr>
      <w:b/>
      <w:bCs/>
    </w:rPr>
  </w:style>
  <w:style w:type="character" w:customStyle="1" w:styleId="CommentSubjectChar">
    <w:name w:val="Comment Subject Char"/>
    <w:basedOn w:val="CommentTextChar"/>
    <w:link w:val="CommentSubject"/>
    <w:uiPriority w:val="99"/>
    <w:semiHidden/>
    <w:rsid w:val="00867D9E"/>
    <w:rPr>
      <w:b/>
      <w:bCs/>
      <w:sz w:val="20"/>
      <w:szCs w:val="20"/>
    </w:rPr>
  </w:style>
  <w:style w:type="paragraph" w:styleId="Header">
    <w:name w:val="header"/>
    <w:basedOn w:val="Normal"/>
    <w:link w:val="HeaderChar"/>
    <w:uiPriority w:val="99"/>
    <w:unhideWhenUsed/>
    <w:rsid w:val="00967BD9"/>
    <w:pPr>
      <w:tabs>
        <w:tab w:val="center" w:pos="4680"/>
        <w:tab w:val="right" w:pos="9360"/>
      </w:tabs>
    </w:pPr>
  </w:style>
  <w:style w:type="character" w:customStyle="1" w:styleId="HeaderChar">
    <w:name w:val="Header Char"/>
    <w:basedOn w:val="DefaultParagraphFont"/>
    <w:link w:val="Header"/>
    <w:uiPriority w:val="99"/>
    <w:rsid w:val="00967BD9"/>
  </w:style>
  <w:style w:type="paragraph" w:styleId="Footer">
    <w:name w:val="footer"/>
    <w:basedOn w:val="Normal"/>
    <w:link w:val="FooterChar"/>
    <w:uiPriority w:val="99"/>
    <w:unhideWhenUsed/>
    <w:rsid w:val="00967BD9"/>
    <w:pPr>
      <w:tabs>
        <w:tab w:val="center" w:pos="4680"/>
        <w:tab w:val="right" w:pos="9360"/>
      </w:tabs>
    </w:pPr>
  </w:style>
  <w:style w:type="character" w:customStyle="1" w:styleId="FooterChar">
    <w:name w:val="Footer Char"/>
    <w:basedOn w:val="DefaultParagraphFont"/>
    <w:link w:val="Footer"/>
    <w:uiPriority w:val="99"/>
    <w:rsid w:val="00967BD9"/>
  </w:style>
  <w:style w:type="character" w:styleId="LineNumber">
    <w:name w:val="line number"/>
    <w:basedOn w:val="DefaultParagraphFont"/>
    <w:uiPriority w:val="99"/>
    <w:semiHidden/>
    <w:unhideWhenUsed/>
    <w:rsid w:val="00967BD9"/>
  </w:style>
  <w:style w:type="paragraph" w:styleId="ListParagraph">
    <w:name w:val="List Paragraph"/>
    <w:basedOn w:val="Normal"/>
    <w:uiPriority w:val="34"/>
    <w:qFormat/>
    <w:rsid w:val="00DD4FE7"/>
    <w:pPr>
      <w:ind w:left="720"/>
      <w:contextualSpacing/>
    </w:pPr>
  </w:style>
  <w:style w:type="character" w:styleId="Hyperlink">
    <w:name w:val="Hyperlink"/>
    <w:basedOn w:val="DefaultParagraphFont"/>
    <w:uiPriority w:val="99"/>
    <w:unhideWhenUsed/>
    <w:rsid w:val="00607A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745263">
      <w:bodyDiv w:val="1"/>
      <w:marLeft w:val="0"/>
      <w:marRight w:val="0"/>
      <w:marTop w:val="0"/>
      <w:marBottom w:val="0"/>
      <w:divBdr>
        <w:top w:val="none" w:sz="0" w:space="0" w:color="auto"/>
        <w:left w:val="none" w:sz="0" w:space="0" w:color="auto"/>
        <w:bottom w:val="none" w:sz="0" w:space="0" w:color="auto"/>
        <w:right w:val="none" w:sz="0" w:space="0" w:color="auto"/>
      </w:divBdr>
    </w:div>
    <w:div w:id="1598253177">
      <w:bodyDiv w:val="1"/>
      <w:marLeft w:val="0"/>
      <w:marRight w:val="0"/>
      <w:marTop w:val="0"/>
      <w:marBottom w:val="0"/>
      <w:divBdr>
        <w:top w:val="none" w:sz="0" w:space="0" w:color="auto"/>
        <w:left w:val="none" w:sz="0" w:space="0" w:color="auto"/>
        <w:bottom w:val="none" w:sz="0" w:space="0" w:color="auto"/>
        <w:right w:val="none" w:sz="0" w:space="0" w:color="auto"/>
      </w:divBdr>
    </w:div>
    <w:div w:id="203707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6ee251ed6cd34a5b"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5eb6d339751d453f" Type="http://schemas.microsoft.com/office/2018/08/relationships/commentsExtensible" Target="commentsExtensi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F6DB0-0D56-4703-927D-0CBFB4557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20232</Words>
  <Characters>115325</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Dadap</dc:creator>
  <cp:keywords/>
  <dc:description/>
  <cp:lastModifiedBy>Nathan Dadap</cp:lastModifiedBy>
  <cp:revision>4</cp:revision>
  <dcterms:created xsi:type="dcterms:W3CDTF">2022-06-07T01:20:00Z</dcterms:created>
  <dcterms:modified xsi:type="dcterms:W3CDTF">2022-06-09T21:18:00Z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http://www.zotero.org/styles/american-geophysical-union</vt:lpwstr>
  </property>
  <property fmtid="{D5CDD505-2E9C-101B-9397-08002B2CF9AE}" pid="3" name="Mendeley Recent Style Name 0_1">
    <vt:lpwstr>American Geophysical Union</vt:lpwstr>
  </property>
  <property fmtid="{D5CDD505-2E9C-101B-9397-08002B2CF9AE}" pid="4" name="Mendeley Recent Style Id 1_1">
    <vt:lpwstr>http://csl.mendeley.com/styles/337512281/american-geophysical-union</vt:lpwstr>
  </property>
  <property fmtid="{D5CDD505-2E9C-101B-9397-08002B2CF9AE}" pid="5" name="Mendeley Recent Style Name 1_1">
    <vt:lpwstr>American Geophysical Union - Alexandra Konings</vt:lpwstr>
  </property>
  <property fmtid="{D5CDD505-2E9C-101B-9397-08002B2CF9AE}" pid="6" name="Mendeley Recent Style Id 2_1">
    <vt:lpwstr>http://csl.mendeley.com/styles/478165161/american-geophysical-union</vt:lpwstr>
  </property>
  <property fmtid="{D5CDD505-2E9C-101B-9397-08002B2CF9AE}" pid="7" name="Mendeley Recent Style Name 2_1">
    <vt:lpwstr>American Geophysical Union - Nathan Dadap</vt:lpwstr>
  </property>
  <property fmtid="{D5CDD505-2E9C-101B-9397-08002B2CF9AE}" pid="8" name="Mendeley Recent Style Id 3_1">
    <vt:lpwstr>https://csl.mendeley.com/styles/478165161/american-geophysical-union</vt:lpwstr>
  </property>
  <property fmtid="{D5CDD505-2E9C-101B-9397-08002B2CF9AE}" pid="9" name="Mendeley Recent Style Name 3_1">
    <vt:lpwstr>American Geophysical Union - Nathan Dadap</vt:lpwstr>
  </property>
  <property fmtid="{D5CDD505-2E9C-101B-9397-08002B2CF9AE}" pid="10" name="Mendeley Recent Style Id 4_1">
    <vt:lpwstr>http://www.zotero.org/styles/american-political-science-association</vt:lpwstr>
  </property>
  <property fmtid="{D5CDD505-2E9C-101B-9397-08002B2CF9AE}" pid="11" name="Mendeley Recent Style Name 4_1">
    <vt:lpwstr>American Political Science Association</vt:lpwstr>
  </property>
  <property fmtid="{D5CDD505-2E9C-101B-9397-08002B2CF9AE}" pid="12" name="Mendeley Recent Style Id 5_1">
    <vt:lpwstr>http://www.zotero.org/styles/apa</vt:lpwstr>
  </property>
  <property fmtid="{D5CDD505-2E9C-101B-9397-08002B2CF9AE}" pid="13" name="Mendeley Recent Style Name 5_1">
    <vt:lpwstr>American Psychological Association 6th edition</vt:lpwstr>
  </property>
  <property fmtid="{D5CDD505-2E9C-101B-9397-08002B2CF9AE}" pid="14" name="Mendeley Recent Style Id 6_1">
    <vt:lpwstr>http://www.zotero.org/styles/environmental-research-letters</vt:lpwstr>
  </property>
  <property fmtid="{D5CDD505-2E9C-101B-9397-08002B2CF9AE}" pid="15" name="Mendeley Recent Style Name 6_1">
    <vt:lpwstr>Environmental Research Letters</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http://www.zotero.org/styles/nature-communications</vt:lpwstr>
  </property>
  <property fmtid="{D5CDD505-2E9C-101B-9397-08002B2CF9AE}" pid="21" name="Mendeley Recent Style Name 9_1">
    <vt:lpwstr>Nature Communications</vt:lpwstr>
  </property>
  <property fmtid="{D5CDD505-2E9C-101B-9397-08002B2CF9AE}" pid="22" name="Mendeley Document_1">
    <vt:lpwstr>True</vt:lpwstr>
  </property>
  <property fmtid="{D5CDD505-2E9C-101B-9397-08002B2CF9AE}" pid="23" name="Mendeley Unique User Id_1">
    <vt:lpwstr>aa06b194-a584-3f63-8716-13f36025ccae</vt:lpwstr>
  </property>
  <property fmtid="{D5CDD505-2E9C-101B-9397-08002B2CF9AE}" pid="24" name="Mendeley Citation Style_1">
    <vt:lpwstr>http://www.zotero.org/styles/environmental-research-letters</vt:lpwstr>
  </property>
</Properties>
</file>